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6CFCB">
      <w:pPr>
        <w:spacing w:line="360" w:lineRule="auto"/>
        <w:rPr>
          <w:rFonts w:hint="default" w:ascii="Times New Roman" w:hAnsi="Times New Roman" w:cs="Times New Roman"/>
          <w:b/>
          <w:bCs/>
          <w:sz w:val="28"/>
          <w:szCs w:val="28"/>
          <w:highlight w:val="none"/>
        </w:rPr>
      </w:pPr>
      <w:bookmarkStart w:id="0" w:name="_Toc237342986"/>
    </w:p>
    <w:p w14:paraId="5EE419EF">
      <w:pPr>
        <w:spacing w:line="360" w:lineRule="auto"/>
        <w:rPr>
          <w:rFonts w:hint="default" w:ascii="Times New Roman" w:hAnsi="Times New Roman" w:eastAsia="宋体" w:cs="Times New Roman"/>
          <w:b/>
          <w:bCs/>
          <w:sz w:val="28"/>
          <w:szCs w:val="28"/>
          <w:highlight w:val="none"/>
          <w:lang w:val="en-US" w:eastAsia="zh-CN"/>
        </w:rPr>
      </w:pPr>
      <w:r>
        <w:rPr>
          <w:rFonts w:hint="default" w:ascii="Times New Roman" w:hAnsi="Times New Roman" w:cs="Times New Roman"/>
          <w:b/>
          <w:bCs/>
          <w:sz w:val="28"/>
          <w:szCs w:val="28"/>
          <w:highlight w:val="none"/>
        </w:rPr>
        <w:t>采购项目编号：DZDL-2025-037Z</w:t>
      </w:r>
    </w:p>
    <w:p w14:paraId="07C25EAB">
      <w:pPr>
        <w:pStyle w:val="29"/>
        <w:ind w:left="0" w:leftChars="0" w:firstLine="0" w:firstLineChars="0"/>
        <w:rPr>
          <w:rFonts w:hint="default" w:ascii="Times New Roman" w:hAnsi="Times New Roman" w:cs="Times New Roman"/>
          <w:highlight w:val="none"/>
        </w:rPr>
      </w:pPr>
    </w:p>
    <w:p w14:paraId="0A6C74F9">
      <w:pPr>
        <w:pStyle w:val="29"/>
        <w:ind w:left="0" w:leftChars="0" w:firstLine="0" w:firstLineChars="0"/>
        <w:rPr>
          <w:rFonts w:hint="default" w:ascii="Times New Roman" w:hAnsi="Times New Roman" w:cs="Times New Roman"/>
          <w:highlight w:val="none"/>
        </w:rPr>
      </w:pPr>
    </w:p>
    <w:p w14:paraId="249520CE">
      <w:pPr>
        <w:rPr>
          <w:rFonts w:hint="default" w:ascii="Times New Roman" w:hAnsi="Times New Roman" w:cs="Times New Roman"/>
          <w:bCs/>
          <w:sz w:val="24"/>
          <w:szCs w:val="21"/>
          <w:highlight w:val="none"/>
        </w:rPr>
      </w:pPr>
    </w:p>
    <w:p w14:paraId="365C2D12">
      <w:pPr>
        <w:pStyle w:val="29"/>
        <w:spacing w:line="360" w:lineRule="auto"/>
        <w:ind w:firstLine="0" w:firstLineChars="0"/>
        <w:jc w:val="center"/>
        <w:rPr>
          <w:rFonts w:hint="default" w:ascii="Times New Roman" w:hAnsi="Times New Roman" w:cs="Times New Roman"/>
          <w:b/>
          <w:bCs/>
          <w:sz w:val="48"/>
          <w:szCs w:val="48"/>
          <w:highlight w:val="none"/>
        </w:rPr>
      </w:pPr>
      <w:r>
        <w:rPr>
          <w:rFonts w:hint="default" w:ascii="Times New Roman" w:hAnsi="Times New Roman" w:cs="Times New Roman"/>
          <w:b/>
          <w:bCs/>
          <w:sz w:val="48"/>
          <w:szCs w:val="48"/>
          <w:highlight w:val="none"/>
          <w:lang w:val="en-US" w:eastAsia="zh-CN"/>
        </w:rPr>
        <w:t>西安高新区第六十幼儿园一体机及玩教具采购项目</w:t>
      </w:r>
    </w:p>
    <w:p w14:paraId="48870ECD">
      <w:pPr>
        <w:jc w:val="center"/>
        <w:rPr>
          <w:rFonts w:hint="default" w:ascii="Times New Roman" w:hAnsi="Times New Roman" w:cs="Times New Roman"/>
          <w:b/>
          <w:sz w:val="84"/>
          <w:szCs w:val="84"/>
          <w:highlight w:val="none"/>
        </w:rPr>
      </w:pPr>
    </w:p>
    <w:p w14:paraId="5136355B">
      <w:pPr>
        <w:jc w:val="center"/>
        <w:rPr>
          <w:rFonts w:hint="default" w:ascii="Times New Roman" w:hAnsi="Times New Roman" w:eastAsia="宋体" w:cs="Times New Roman"/>
          <w:b/>
          <w:sz w:val="84"/>
          <w:szCs w:val="84"/>
          <w:highlight w:val="none"/>
          <w:lang w:val="en-US" w:eastAsia="zh-CN"/>
        </w:rPr>
      </w:pPr>
      <w:r>
        <w:rPr>
          <w:rFonts w:hint="default" w:ascii="Times New Roman" w:hAnsi="Times New Roman" w:cs="Times New Roman"/>
          <w:b/>
          <w:sz w:val="84"/>
          <w:szCs w:val="84"/>
          <w:highlight w:val="none"/>
        </w:rPr>
        <w:t>竞争性磋商文件</w:t>
      </w:r>
      <w:r>
        <w:rPr>
          <w:rFonts w:hint="default" w:ascii="Times New Roman" w:hAnsi="Times New Roman" w:cs="Times New Roman"/>
          <w:b/>
          <w:sz w:val="84"/>
          <w:szCs w:val="84"/>
          <w:highlight w:val="none"/>
          <w:lang w:val="en-US" w:eastAsia="zh-CN"/>
        </w:rPr>
        <w:t xml:space="preserve"> </w:t>
      </w:r>
    </w:p>
    <w:p w14:paraId="1F7BEE3D">
      <w:pPr>
        <w:rPr>
          <w:rFonts w:hint="default" w:ascii="Times New Roman" w:hAnsi="Times New Roman" w:cs="Times New Roman"/>
          <w:sz w:val="24"/>
          <w:szCs w:val="21"/>
          <w:highlight w:val="none"/>
        </w:rPr>
      </w:pPr>
    </w:p>
    <w:p w14:paraId="7176A280">
      <w:pPr>
        <w:jc w:val="center"/>
        <w:rPr>
          <w:rFonts w:hint="default" w:ascii="Times New Roman" w:hAnsi="Times New Roman" w:cs="Times New Roman"/>
          <w:sz w:val="44"/>
          <w:szCs w:val="44"/>
          <w:highlight w:val="none"/>
        </w:rPr>
      </w:pPr>
      <w:r>
        <w:rPr>
          <w:rFonts w:hint="default"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1508760</wp:posOffset>
            </wp:positionH>
            <wp:positionV relativeFrom="paragraph">
              <wp:posOffset>55880</wp:posOffset>
            </wp:positionV>
            <wp:extent cx="2145030" cy="2189480"/>
            <wp:effectExtent l="0" t="0" r="7620" b="1270"/>
            <wp:wrapTopAndBottom/>
            <wp:docPr id="2" name="图片 1" descr="鼎正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鼎正标志"/>
                    <pic:cNvPicPr>
                      <a:picLocks noChangeAspect="1"/>
                    </pic:cNvPicPr>
                  </pic:nvPicPr>
                  <pic:blipFill>
                    <a:blip r:embed="rId10"/>
                    <a:stretch>
                      <a:fillRect/>
                    </a:stretch>
                  </pic:blipFill>
                  <pic:spPr>
                    <a:xfrm>
                      <a:off x="0" y="0"/>
                      <a:ext cx="2145030" cy="2189480"/>
                    </a:xfrm>
                    <a:prstGeom prst="rect">
                      <a:avLst/>
                    </a:prstGeom>
                    <a:noFill/>
                    <a:ln>
                      <a:noFill/>
                    </a:ln>
                  </pic:spPr>
                </pic:pic>
              </a:graphicData>
            </a:graphic>
          </wp:anchor>
        </w:drawing>
      </w:r>
    </w:p>
    <w:p w14:paraId="1CA2DD32">
      <w:pPr>
        <w:jc w:val="center"/>
        <w:rPr>
          <w:rFonts w:hint="default" w:ascii="Times New Roman" w:hAnsi="Times New Roman" w:cs="Times New Roman"/>
          <w:sz w:val="44"/>
          <w:szCs w:val="44"/>
          <w:highlight w:val="none"/>
        </w:rPr>
      </w:pPr>
    </w:p>
    <w:p w14:paraId="3B0C9FB1">
      <w:pPr>
        <w:pStyle w:val="29"/>
        <w:rPr>
          <w:rFonts w:hint="default" w:ascii="Times New Roman" w:hAnsi="Times New Roman" w:cs="Times New Roman"/>
          <w:highlight w:val="none"/>
        </w:rPr>
      </w:pPr>
    </w:p>
    <w:tbl>
      <w:tblPr>
        <w:tblStyle w:val="19"/>
        <w:tblW w:w="0" w:type="auto"/>
        <w:jc w:val="center"/>
        <w:tblLayout w:type="autofit"/>
        <w:tblCellMar>
          <w:top w:w="0" w:type="dxa"/>
          <w:left w:w="108" w:type="dxa"/>
          <w:bottom w:w="0" w:type="dxa"/>
          <w:right w:w="108" w:type="dxa"/>
        </w:tblCellMar>
      </w:tblPr>
      <w:tblGrid>
        <w:gridCol w:w="2562"/>
        <w:gridCol w:w="5551"/>
      </w:tblGrid>
      <w:tr w14:paraId="0D4611E0">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73053574">
            <w:pPr>
              <w:keepNext w:val="0"/>
              <w:keepLines w:val="0"/>
              <w:pageBreakBefore w:val="0"/>
              <w:widowControl w:val="0"/>
              <w:suppressLineNumbers w:val="0"/>
              <w:tabs>
                <w:tab w:val="left" w:pos="1560"/>
              </w:tabs>
              <w:kinsoku/>
              <w:wordWrap/>
              <w:overflowPunct/>
              <w:topLinePunct w:val="0"/>
              <w:autoSpaceDE/>
              <w:autoSpaceDN/>
              <w:bidi w:val="0"/>
              <w:adjustRightInd/>
              <w:snapToGrid/>
              <w:spacing w:before="0" w:beforeAutospacing="0" w:after="0" w:afterAutospacing="0"/>
              <w:ind w:left="0" w:right="0"/>
              <w:jc w:val="distribute"/>
              <w:textAlignment w:val="auto"/>
              <w:rPr>
                <w:rFonts w:hint="default" w:ascii="Times New Roman" w:hAnsi="Times New Roman" w:eastAsia="宋体" w:cs="Times New Roman"/>
                <w:b/>
                <w:color w:val="auto"/>
                <w:kern w:val="0"/>
                <w:sz w:val="32"/>
                <w:szCs w:val="20"/>
                <w:highlight w:val="none"/>
              </w:rPr>
            </w:pPr>
            <w:r>
              <w:rPr>
                <w:rFonts w:hint="default" w:ascii="Times New Roman" w:hAnsi="Times New Roman" w:eastAsia="宋体" w:cs="Times New Roman"/>
                <w:b/>
                <w:color w:val="auto"/>
                <w:kern w:val="0"/>
                <w:sz w:val="32"/>
                <w:szCs w:val="20"/>
                <w:highlight w:val="none"/>
              </w:rPr>
              <w:t>采购人：</w:t>
            </w:r>
          </w:p>
        </w:tc>
        <w:tc>
          <w:tcPr>
            <w:tcW w:w="5551" w:type="dxa"/>
            <w:shd w:val="clear" w:color="auto" w:fill="auto"/>
            <w:vAlign w:val="center"/>
          </w:tcPr>
          <w:p w14:paraId="55DFAC51">
            <w:pPr>
              <w:keepNext w:val="0"/>
              <w:keepLines w:val="0"/>
              <w:pageBreakBefore w:val="0"/>
              <w:widowControl w:val="0"/>
              <w:suppressLineNumbers w:val="0"/>
              <w:tabs>
                <w:tab w:val="left" w:pos="1560"/>
              </w:tabs>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color w:val="auto"/>
                <w:kern w:val="0"/>
                <w:sz w:val="32"/>
                <w:szCs w:val="20"/>
                <w:highlight w:val="none"/>
              </w:rPr>
            </w:pPr>
            <w:r>
              <w:rPr>
                <w:rFonts w:hint="default" w:ascii="Times New Roman" w:hAnsi="Times New Roman" w:eastAsia="宋体" w:cs="Times New Roman"/>
                <w:b/>
                <w:color w:val="auto"/>
                <w:kern w:val="0"/>
                <w:sz w:val="32"/>
                <w:szCs w:val="20"/>
                <w:highlight w:val="none"/>
                <w:lang w:val="en-US" w:eastAsia="zh-CN"/>
              </w:rPr>
              <w:t>西安高新区第六十幼儿园</w:t>
            </w:r>
          </w:p>
        </w:tc>
      </w:tr>
      <w:tr w14:paraId="5F0425D3">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0A81023B">
            <w:pPr>
              <w:keepNext w:val="0"/>
              <w:keepLines w:val="0"/>
              <w:pageBreakBefore w:val="0"/>
              <w:widowControl w:val="0"/>
              <w:suppressLineNumbers w:val="0"/>
              <w:tabs>
                <w:tab w:val="left" w:pos="1560"/>
              </w:tabs>
              <w:kinsoku/>
              <w:wordWrap/>
              <w:overflowPunct/>
              <w:topLinePunct w:val="0"/>
              <w:autoSpaceDE/>
              <w:autoSpaceDN/>
              <w:bidi w:val="0"/>
              <w:adjustRightInd/>
              <w:snapToGrid/>
              <w:spacing w:before="0" w:beforeAutospacing="0" w:after="0" w:afterAutospacing="0"/>
              <w:ind w:left="0" w:right="0"/>
              <w:jc w:val="distribute"/>
              <w:textAlignment w:val="auto"/>
              <w:rPr>
                <w:rFonts w:hint="default" w:ascii="Times New Roman" w:hAnsi="Times New Roman" w:eastAsia="宋体" w:cs="Times New Roman"/>
                <w:b/>
                <w:color w:val="auto"/>
                <w:kern w:val="0"/>
                <w:sz w:val="32"/>
                <w:szCs w:val="20"/>
                <w:highlight w:val="none"/>
              </w:rPr>
            </w:pPr>
            <w:r>
              <w:rPr>
                <w:rFonts w:hint="default" w:ascii="Times New Roman" w:hAnsi="Times New Roman" w:eastAsia="宋体" w:cs="Times New Roman"/>
                <w:b/>
                <w:color w:val="auto"/>
                <w:kern w:val="0"/>
                <w:sz w:val="32"/>
                <w:szCs w:val="20"/>
                <w:highlight w:val="none"/>
              </w:rPr>
              <w:t>采购代理机构：</w:t>
            </w:r>
          </w:p>
        </w:tc>
        <w:tc>
          <w:tcPr>
            <w:tcW w:w="5551" w:type="dxa"/>
            <w:shd w:val="clear" w:color="auto" w:fill="auto"/>
            <w:vAlign w:val="center"/>
          </w:tcPr>
          <w:p w14:paraId="4E796E82">
            <w:pPr>
              <w:keepNext w:val="0"/>
              <w:keepLines w:val="0"/>
              <w:pageBreakBefore w:val="0"/>
              <w:widowControl w:val="0"/>
              <w:suppressLineNumbers w:val="0"/>
              <w:tabs>
                <w:tab w:val="left" w:pos="1560"/>
              </w:tabs>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color w:val="auto"/>
                <w:kern w:val="0"/>
                <w:sz w:val="32"/>
                <w:szCs w:val="20"/>
                <w:highlight w:val="none"/>
              </w:rPr>
            </w:pPr>
            <w:r>
              <w:rPr>
                <w:rFonts w:hint="default" w:ascii="Times New Roman" w:hAnsi="Times New Roman" w:eastAsia="宋体" w:cs="Times New Roman"/>
                <w:b/>
                <w:color w:val="auto"/>
                <w:kern w:val="0"/>
                <w:sz w:val="32"/>
                <w:szCs w:val="20"/>
                <w:highlight w:val="none"/>
              </w:rPr>
              <w:t>鼎正众创建设集团有限公司</w:t>
            </w:r>
          </w:p>
        </w:tc>
      </w:tr>
      <w:tr w14:paraId="51BCA83C">
        <w:tblPrEx>
          <w:tblCellMar>
            <w:top w:w="0" w:type="dxa"/>
            <w:left w:w="108" w:type="dxa"/>
            <w:bottom w:w="0" w:type="dxa"/>
            <w:right w:w="108" w:type="dxa"/>
          </w:tblCellMar>
        </w:tblPrEx>
        <w:trPr>
          <w:trHeight w:val="812" w:hRule="atLeast"/>
          <w:jc w:val="center"/>
        </w:trPr>
        <w:tc>
          <w:tcPr>
            <w:tcW w:w="8113" w:type="dxa"/>
            <w:gridSpan w:val="2"/>
            <w:shd w:val="clear" w:color="auto" w:fill="auto"/>
            <w:vAlign w:val="center"/>
          </w:tcPr>
          <w:p w14:paraId="09E2352F">
            <w:pPr>
              <w:keepNext w:val="0"/>
              <w:keepLines w:val="0"/>
              <w:pageBreakBefore w:val="0"/>
              <w:widowControl w:val="0"/>
              <w:suppressLineNumbers w:val="0"/>
              <w:tabs>
                <w:tab w:val="left" w:pos="1560"/>
              </w:tabs>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color w:val="auto"/>
                <w:kern w:val="0"/>
                <w:sz w:val="32"/>
                <w:szCs w:val="20"/>
                <w:highlight w:val="none"/>
              </w:rPr>
            </w:pPr>
            <w:r>
              <w:rPr>
                <w:rFonts w:hint="default" w:ascii="Times New Roman" w:hAnsi="Times New Roman" w:eastAsia="宋体" w:cs="Times New Roman"/>
                <w:b/>
                <w:color w:val="auto"/>
                <w:kern w:val="0"/>
                <w:sz w:val="32"/>
                <w:szCs w:val="20"/>
                <w:highlight w:val="none"/>
              </w:rPr>
              <w:t>二〇二</w:t>
            </w:r>
            <w:r>
              <w:rPr>
                <w:rFonts w:hint="default" w:ascii="Times New Roman" w:hAnsi="Times New Roman" w:eastAsia="宋体" w:cs="Times New Roman"/>
                <w:b/>
                <w:color w:val="auto"/>
                <w:kern w:val="0"/>
                <w:sz w:val="32"/>
                <w:szCs w:val="20"/>
                <w:highlight w:val="none"/>
                <w:lang w:val="en-US" w:eastAsia="zh-CN"/>
              </w:rPr>
              <w:t>五</w:t>
            </w:r>
            <w:r>
              <w:rPr>
                <w:rFonts w:hint="default" w:ascii="Times New Roman" w:hAnsi="Times New Roman" w:eastAsia="宋体" w:cs="Times New Roman"/>
                <w:b/>
                <w:color w:val="auto"/>
                <w:kern w:val="0"/>
                <w:sz w:val="32"/>
                <w:szCs w:val="20"/>
                <w:highlight w:val="none"/>
              </w:rPr>
              <w:t>年</w:t>
            </w:r>
            <w:r>
              <w:rPr>
                <w:rFonts w:hint="default" w:ascii="Times New Roman" w:hAnsi="Times New Roman" w:cs="Times New Roman"/>
                <w:b/>
                <w:color w:val="auto"/>
                <w:kern w:val="0"/>
                <w:sz w:val="32"/>
                <w:szCs w:val="20"/>
                <w:highlight w:val="none"/>
                <w:lang w:val="en-US" w:eastAsia="zh-CN"/>
              </w:rPr>
              <w:t>八</w:t>
            </w:r>
            <w:r>
              <w:rPr>
                <w:rFonts w:hint="default" w:ascii="Times New Roman" w:hAnsi="Times New Roman" w:eastAsia="宋体" w:cs="Times New Roman"/>
                <w:b/>
                <w:color w:val="auto"/>
                <w:kern w:val="0"/>
                <w:sz w:val="32"/>
                <w:szCs w:val="20"/>
                <w:highlight w:val="none"/>
              </w:rPr>
              <w:t>月</w:t>
            </w:r>
          </w:p>
        </w:tc>
      </w:tr>
    </w:tbl>
    <w:p w14:paraId="619E70D0">
      <w:pPr>
        <w:spacing w:line="360" w:lineRule="auto"/>
        <w:ind w:firstLine="1807" w:firstLineChars="500"/>
        <w:rPr>
          <w:rFonts w:hint="default" w:ascii="Times New Roman" w:hAnsi="Times New Roman" w:cs="Times New Roman"/>
          <w:b/>
          <w:sz w:val="36"/>
          <w:highlight w:val="none"/>
        </w:rPr>
        <w:sectPr>
          <w:headerReference r:id="rId4" w:type="first"/>
          <w:headerReference r:id="rId3" w:type="default"/>
          <w:footerReference r:id="rId5" w:type="default"/>
          <w:footerReference r:id="rId6" w:type="even"/>
          <w:pgSz w:w="11906" w:h="16838"/>
          <w:pgMar w:top="1440" w:right="1803" w:bottom="1440" w:left="1803" w:header="851" w:footer="992" w:gutter="0"/>
          <w:cols w:space="720" w:num="1"/>
          <w:docGrid w:linePitch="312" w:charSpace="0"/>
        </w:sectPr>
      </w:pPr>
    </w:p>
    <w:p w14:paraId="5F9B7C4D">
      <w:pPr>
        <w:spacing w:line="360" w:lineRule="auto"/>
        <w:jc w:val="center"/>
        <w:rPr>
          <w:rFonts w:hint="default" w:ascii="Times New Roman" w:hAnsi="Times New Roman" w:cs="Times New Roman"/>
          <w:b/>
          <w:highlight w:val="none"/>
        </w:rPr>
      </w:pPr>
      <w:r>
        <w:rPr>
          <w:rFonts w:hint="default" w:ascii="Times New Roman" w:hAnsi="Times New Roman" w:cs="Times New Roman"/>
          <w:b/>
          <w:sz w:val="36"/>
          <w:highlight w:val="none"/>
        </w:rPr>
        <w:t>目 录</w:t>
      </w:r>
    </w:p>
    <w:p w14:paraId="0B52C3D2">
      <w:pPr>
        <w:pStyle w:val="14"/>
        <w:tabs>
          <w:tab w:val="right" w:leader="dot" w:pos="8732"/>
        </w:tabs>
        <w:spacing w:line="360" w:lineRule="auto"/>
        <w:rPr>
          <w:rFonts w:hint="default" w:ascii="Times New Roman" w:hAnsi="Times New Roman" w:cs="Times New Roman"/>
          <w:sz w:val="24"/>
          <w:szCs w:val="24"/>
          <w:highlight w:val="none"/>
        </w:rPr>
      </w:pPr>
      <w:r>
        <w:rPr>
          <w:rFonts w:hint="default" w:ascii="Times New Roman" w:hAnsi="Times New Roman" w:cs="Times New Roman"/>
          <w:sz w:val="36"/>
          <w:highlight w:val="none"/>
        </w:rPr>
        <w:fldChar w:fldCharType="begin"/>
      </w:r>
      <w:r>
        <w:rPr>
          <w:rFonts w:hint="default" w:ascii="Times New Roman" w:hAnsi="Times New Roman" w:cs="Times New Roman"/>
          <w:sz w:val="36"/>
          <w:highlight w:val="none"/>
        </w:rPr>
        <w:instrText xml:space="preserve">TOC \o "1-1" \h \u </w:instrText>
      </w:r>
      <w:r>
        <w:rPr>
          <w:rFonts w:hint="default" w:ascii="Times New Roman" w:hAnsi="Times New Roman" w:cs="Times New Roman"/>
          <w:sz w:val="36"/>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"_Toc30183"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第一部分 竞争性磋商公告</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_Toc30183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0D3F54AD">
      <w:pPr>
        <w:pStyle w:val="14"/>
        <w:tabs>
          <w:tab w:val="right" w:leader="dot" w:pos="8732"/>
        </w:tabs>
        <w:spacing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"_Toc16326"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第二部分 供应商须知</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_Toc16326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2CB58C82">
      <w:pPr>
        <w:pStyle w:val="14"/>
        <w:tabs>
          <w:tab w:val="right" w:leader="dot" w:pos="8732"/>
        </w:tabs>
        <w:spacing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"_Toc30019"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第三部分 采购内容及要求</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_Toc30019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25</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16023C28">
      <w:pPr>
        <w:pStyle w:val="14"/>
        <w:tabs>
          <w:tab w:val="right" w:leader="dot" w:pos="8732"/>
        </w:tabs>
        <w:spacing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"_Toc7598"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第四部分 磋商与评审办法</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_Toc7598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41</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62CEC9F7">
      <w:pPr>
        <w:pStyle w:val="14"/>
        <w:tabs>
          <w:tab w:val="right" w:leader="dot" w:pos="8732"/>
        </w:tabs>
        <w:spacing w:line="360" w:lineRule="auto"/>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"_Toc829"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第五部分 合同主要条款及格式</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_Toc829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55</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fldChar w:fldCharType="end"/>
      </w:r>
    </w:p>
    <w:p w14:paraId="5F3579ED">
      <w:pPr>
        <w:pStyle w:val="14"/>
        <w:tabs>
          <w:tab w:val="right" w:leader="dot" w:pos="8732"/>
        </w:tabs>
        <w:spacing w:line="360" w:lineRule="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"_Toc18892"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第六部分 响应文件格式</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lang w:val="en-US" w:eastAsia="zh-CN"/>
        </w:rPr>
        <w:t>2</w:t>
      </w:r>
    </w:p>
    <w:p w14:paraId="4C24078D">
      <w:pPr>
        <w:spacing w:line="360" w:lineRule="auto"/>
        <w:jc w:val="center"/>
        <w:rPr>
          <w:rFonts w:hint="default" w:ascii="Times New Roman" w:hAnsi="Times New Roman" w:cs="Times New Roman"/>
          <w:sz w:val="36"/>
          <w:highlight w:val="none"/>
        </w:rPr>
      </w:pPr>
      <w:r>
        <w:rPr>
          <w:rFonts w:hint="default" w:ascii="Times New Roman" w:hAnsi="Times New Roman" w:cs="Times New Roman"/>
          <w:highlight w:val="none"/>
        </w:rPr>
        <w:fldChar w:fldCharType="end"/>
      </w:r>
    </w:p>
    <w:p w14:paraId="2506E500">
      <w:pPr>
        <w:ind w:firstLine="105" w:firstLineChars="50"/>
        <w:rPr>
          <w:rFonts w:hint="default" w:ascii="Times New Roman" w:hAnsi="Times New Roman" w:cs="Times New Roman"/>
          <w:highlight w:val="none"/>
        </w:rPr>
      </w:pPr>
    </w:p>
    <w:p w14:paraId="4A46C275">
      <w:pPr>
        <w:rPr>
          <w:rFonts w:hint="default" w:ascii="Times New Roman" w:hAnsi="Times New Roman" w:cs="Times New Roman"/>
          <w:highlight w:val="none"/>
        </w:rPr>
      </w:pPr>
    </w:p>
    <w:p w14:paraId="0C63D7ED">
      <w:pPr>
        <w:pStyle w:val="3"/>
        <w:spacing w:before="240" w:beforeLines="100" w:after="240" w:afterLines="100"/>
        <w:rPr>
          <w:rFonts w:hint="default" w:ascii="Times New Roman" w:hAnsi="Times New Roman" w:cs="Times New Roman"/>
          <w:szCs w:val="22"/>
          <w:highlight w:val="none"/>
        </w:rPr>
        <w:sectPr>
          <w:footerReference r:id="rId7" w:type="default"/>
          <w:pgSz w:w="11907" w:h="16840"/>
          <w:pgMar w:top="1440" w:right="1800" w:bottom="1440" w:left="1800" w:header="851" w:footer="992" w:gutter="0"/>
          <w:pgNumType w:fmt="decimal" w:start="1"/>
          <w:cols w:space="720" w:num="1"/>
          <w:docGrid w:linePitch="312" w:charSpace="0"/>
        </w:sectPr>
      </w:pPr>
      <w:bookmarkStart w:id="1" w:name="_Toc16075"/>
      <w:bookmarkStart w:id="2" w:name="_Toc30183"/>
    </w:p>
    <w:p w14:paraId="23B1CBB5">
      <w:pPr>
        <w:pStyle w:val="3"/>
        <w:spacing w:before="240" w:beforeLines="100" w:after="240" w:afterLines="100"/>
        <w:rPr>
          <w:rFonts w:hint="default" w:ascii="Times New Roman" w:hAnsi="Times New Roman" w:cs="Times New Roman"/>
          <w:highlight w:val="none"/>
        </w:rPr>
      </w:pPr>
      <w:r>
        <w:rPr>
          <w:rFonts w:hint="default" w:ascii="Times New Roman" w:hAnsi="Times New Roman" w:cs="Times New Roman"/>
          <w:szCs w:val="22"/>
          <w:highlight w:val="none"/>
        </w:rPr>
        <w:t xml:space="preserve">第一部分 </w:t>
      </w:r>
      <w:bookmarkEnd w:id="1"/>
      <w:r>
        <w:rPr>
          <w:rFonts w:hint="default" w:ascii="Times New Roman" w:hAnsi="Times New Roman" w:cs="Times New Roman"/>
          <w:szCs w:val="22"/>
          <w:highlight w:val="none"/>
        </w:rPr>
        <w:t>竞争性磋商公告</w:t>
      </w:r>
      <w:bookmarkEnd w:id="2"/>
    </w:p>
    <w:bookmarkEnd w:id="0"/>
    <w:p w14:paraId="3416B4B5">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项目概况</w:t>
      </w:r>
    </w:p>
    <w:p w14:paraId="0B0CB261">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一体机及玩教具采购项目</w:t>
      </w:r>
      <w:r>
        <w:rPr>
          <w:rFonts w:hint="default" w:ascii="Times New Roman" w:hAnsi="Times New Roman" w:cs="Times New Roman"/>
          <w:sz w:val="24"/>
          <w:szCs w:val="24"/>
          <w:highlight w:val="none"/>
        </w:rPr>
        <w:t>的潜在供应商应在陕西省西安市高新区科技路48号创业广场B座15层1506室获取采购文件，并于 202</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月</w:t>
      </w:r>
      <w:r>
        <w:rPr>
          <w:rFonts w:hint="eastAsia" w:cs="Times New Roman"/>
          <w:sz w:val="24"/>
          <w:szCs w:val="24"/>
          <w:highlight w:val="none"/>
          <w:lang w:val="en-US" w:eastAsia="zh-CN"/>
        </w:rPr>
        <w:t>29</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日</w:t>
      </w:r>
      <w:r>
        <w:rPr>
          <w:rFonts w:hint="eastAsia" w:cs="Times New Roman"/>
          <w:sz w:val="24"/>
          <w:szCs w:val="24"/>
          <w:highlight w:val="none"/>
          <w:lang w:val="en-US" w:eastAsia="zh-CN"/>
        </w:rPr>
        <w:t>9</w:t>
      </w:r>
      <w:r>
        <w:rPr>
          <w:rFonts w:hint="default" w:ascii="Times New Roman" w:hAnsi="Times New Roman" w:cs="Times New Roman"/>
          <w:sz w:val="24"/>
          <w:szCs w:val="24"/>
          <w:highlight w:val="none"/>
        </w:rPr>
        <w:t>时</w:t>
      </w:r>
      <w:r>
        <w:rPr>
          <w:rFonts w:hint="eastAsia" w:cs="Times New Roman"/>
          <w:sz w:val="24"/>
          <w:szCs w:val="24"/>
          <w:highlight w:val="none"/>
          <w:lang w:val="en-US" w:eastAsia="zh-CN"/>
        </w:rPr>
        <w:t>30</w:t>
      </w:r>
      <w:r>
        <w:rPr>
          <w:rFonts w:hint="default" w:ascii="Times New Roman" w:hAnsi="Times New Roman" w:cs="Times New Roman"/>
          <w:sz w:val="24"/>
          <w:szCs w:val="24"/>
          <w:highlight w:val="none"/>
        </w:rPr>
        <w:t>分</w:t>
      </w:r>
      <w:r>
        <w:rPr>
          <w:rFonts w:hint="default" w:ascii="Times New Roman" w:hAnsi="Times New Roman" w:cs="Times New Roman"/>
          <w:sz w:val="24"/>
          <w:highlight w:val="none"/>
        </w:rPr>
        <w:t>00秒</w:t>
      </w:r>
      <w:r>
        <w:rPr>
          <w:rFonts w:hint="default" w:ascii="Times New Roman" w:hAnsi="Times New Roman" w:cs="Times New Roman"/>
          <w:sz w:val="24"/>
          <w:szCs w:val="24"/>
          <w:highlight w:val="none"/>
        </w:rPr>
        <w:t> （北京时间）前提交响应文件。</w:t>
      </w:r>
    </w:p>
    <w:p w14:paraId="3AAAD3F9">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一、项目基本情况</w:t>
      </w:r>
    </w:p>
    <w:p w14:paraId="35CB5BE1">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1、项目编号：DZDL-2025-037Z</w:t>
      </w:r>
    </w:p>
    <w:p w14:paraId="0EF76E8C">
      <w:pPr>
        <w:pStyle w:val="29"/>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2、项目名称：</w:t>
      </w:r>
      <w:r>
        <w:rPr>
          <w:rFonts w:hint="default" w:ascii="Times New Roman" w:hAnsi="Times New Roman" w:cs="Times New Roman"/>
          <w:sz w:val="24"/>
          <w:szCs w:val="24"/>
          <w:highlight w:val="none"/>
          <w:lang w:val="en-US" w:eastAsia="zh-CN"/>
        </w:rPr>
        <w:t>一体机及玩教具采购项目</w:t>
      </w:r>
    </w:p>
    <w:p w14:paraId="5B699FD3">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3、采购方式：竞争性磋商</w:t>
      </w:r>
    </w:p>
    <w:p w14:paraId="0F665897">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4、预算金额：</w:t>
      </w:r>
      <w:r>
        <w:rPr>
          <w:rFonts w:hint="default" w:ascii="Times New Roman" w:hAnsi="Times New Roman" w:cs="Times New Roman"/>
          <w:sz w:val="24"/>
          <w:szCs w:val="24"/>
          <w:highlight w:val="none"/>
          <w:lang w:val="en-US" w:eastAsia="zh-CN"/>
        </w:rPr>
        <w:t>129148.00</w:t>
      </w:r>
      <w:r>
        <w:rPr>
          <w:rFonts w:hint="default" w:ascii="Times New Roman" w:hAnsi="Times New Roman" w:cs="Times New Roman"/>
          <w:sz w:val="24"/>
          <w:szCs w:val="24"/>
          <w:highlight w:val="none"/>
        </w:rPr>
        <w:t>元</w:t>
      </w:r>
    </w:p>
    <w:p w14:paraId="2C2841C1">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5、采购需求：</w:t>
      </w:r>
    </w:p>
    <w:p w14:paraId="6BD4DB7D">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合同包1（</w:t>
      </w:r>
      <w:r>
        <w:rPr>
          <w:rFonts w:hint="default" w:ascii="Times New Roman" w:hAnsi="Times New Roman" w:cs="Times New Roman"/>
          <w:sz w:val="24"/>
          <w:szCs w:val="24"/>
          <w:highlight w:val="none"/>
          <w:lang w:val="en-US" w:eastAsia="zh-CN"/>
        </w:rPr>
        <w:t>一体机及玩教具采购项目</w:t>
      </w:r>
      <w:r>
        <w:rPr>
          <w:rFonts w:hint="default" w:ascii="Times New Roman" w:hAnsi="Times New Roman" w:cs="Times New Roman"/>
          <w:sz w:val="24"/>
          <w:szCs w:val="24"/>
          <w:highlight w:val="none"/>
        </w:rPr>
        <w:t>）：</w:t>
      </w:r>
    </w:p>
    <w:p w14:paraId="0C5C0AB5">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合同包预算金额：</w:t>
      </w:r>
      <w:r>
        <w:rPr>
          <w:rFonts w:hint="default" w:ascii="Times New Roman" w:hAnsi="Times New Roman" w:cs="Times New Roman"/>
          <w:sz w:val="24"/>
          <w:szCs w:val="24"/>
          <w:highlight w:val="none"/>
          <w:lang w:val="en-US" w:eastAsia="zh-CN"/>
        </w:rPr>
        <w:t>129148.00</w:t>
      </w:r>
      <w:r>
        <w:rPr>
          <w:rFonts w:hint="default" w:ascii="Times New Roman" w:hAnsi="Times New Roman" w:cs="Times New Roman"/>
          <w:sz w:val="24"/>
          <w:szCs w:val="24"/>
          <w:highlight w:val="none"/>
        </w:rPr>
        <w:t>元</w:t>
      </w:r>
    </w:p>
    <w:tbl>
      <w:tblPr>
        <w:tblStyle w:val="2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02"/>
        <w:gridCol w:w="1650"/>
        <w:gridCol w:w="1165"/>
        <w:gridCol w:w="1460"/>
        <w:gridCol w:w="1466"/>
        <w:gridCol w:w="1251"/>
      </w:tblGrid>
      <w:tr w14:paraId="58C9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14:paraId="07331B76">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品目号</w:t>
            </w:r>
          </w:p>
        </w:tc>
        <w:tc>
          <w:tcPr>
            <w:tcW w:w="1302" w:type="dxa"/>
            <w:vAlign w:val="center"/>
          </w:tcPr>
          <w:p w14:paraId="3EAFC2F1">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品目名称</w:t>
            </w:r>
          </w:p>
        </w:tc>
        <w:tc>
          <w:tcPr>
            <w:tcW w:w="1650" w:type="dxa"/>
            <w:vAlign w:val="center"/>
          </w:tcPr>
          <w:p w14:paraId="2084CE26">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采购标的</w:t>
            </w:r>
          </w:p>
        </w:tc>
        <w:tc>
          <w:tcPr>
            <w:tcW w:w="1165" w:type="dxa"/>
            <w:vAlign w:val="center"/>
          </w:tcPr>
          <w:p w14:paraId="7C003572">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数量（单位）</w:t>
            </w:r>
          </w:p>
        </w:tc>
        <w:tc>
          <w:tcPr>
            <w:tcW w:w="1460" w:type="dxa"/>
            <w:vAlign w:val="center"/>
          </w:tcPr>
          <w:p w14:paraId="52A22F06">
            <w:pPr>
              <w:pStyle w:val="29"/>
              <w:ind w:firstLine="0" w:firstLineChars="0"/>
              <w:jc w:val="center"/>
              <w:rPr>
                <w:rFonts w:hint="default" w:ascii="Times New Roman" w:hAnsi="Times New Roman" w:cs="Times New Roman"/>
                <w:szCs w:val="21"/>
                <w:highlight w:val="none"/>
                <w:shd w:val="clear" w:color="auto" w:fill="FFFFFF"/>
              </w:rPr>
            </w:pPr>
            <w:r>
              <w:rPr>
                <w:rFonts w:hint="default" w:ascii="Times New Roman" w:hAnsi="Times New Roman" w:cs="Times New Roman"/>
                <w:szCs w:val="21"/>
                <w:highlight w:val="none"/>
                <w:shd w:val="clear" w:color="auto" w:fill="FFFFFF"/>
              </w:rPr>
              <w:t>技术规格、参数及要求</w:t>
            </w:r>
          </w:p>
        </w:tc>
        <w:tc>
          <w:tcPr>
            <w:tcW w:w="1466" w:type="dxa"/>
            <w:vAlign w:val="center"/>
          </w:tcPr>
          <w:p w14:paraId="13CA80DE">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品目预算(元)</w:t>
            </w:r>
          </w:p>
        </w:tc>
        <w:tc>
          <w:tcPr>
            <w:tcW w:w="1251" w:type="dxa"/>
            <w:vAlign w:val="center"/>
          </w:tcPr>
          <w:p w14:paraId="4415C8E7">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shd w:val="clear" w:color="auto" w:fill="FFFFFF"/>
              </w:rPr>
              <w:t>最高限价(元)</w:t>
            </w:r>
          </w:p>
        </w:tc>
      </w:tr>
      <w:tr w14:paraId="5A4D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14:paraId="20FBEE0D">
            <w:pPr>
              <w:pStyle w:val="29"/>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1-1</w:t>
            </w:r>
          </w:p>
        </w:tc>
        <w:tc>
          <w:tcPr>
            <w:tcW w:w="1302" w:type="dxa"/>
            <w:vAlign w:val="center"/>
          </w:tcPr>
          <w:p w14:paraId="5541A534">
            <w:pPr>
              <w:pStyle w:val="29"/>
              <w:ind w:firstLine="0" w:firstLineChars="0"/>
              <w:jc w:val="center"/>
              <w:rPr>
                <w:rFonts w:hint="default" w:ascii="Times New Roman" w:hAnsi="Times New Roman" w:eastAsia="宋体" w:cs="Times New Roman"/>
                <w:szCs w:val="21"/>
                <w:highlight w:val="none"/>
                <w:shd w:val="clear" w:color="auto" w:fill="FFFFFF"/>
                <w:lang w:val="en-US" w:eastAsia="zh-CN"/>
              </w:rPr>
            </w:pPr>
          </w:p>
        </w:tc>
        <w:tc>
          <w:tcPr>
            <w:tcW w:w="1650" w:type="dxa"/>
            <w:vAlign w:val="center"/>
          </w:tcPr>
          <w:p w14:paraId="6C475E4B">
            <w:pPr>
              <w:pStyle w:val="29"/>
              <w:ind w:firstLine="0" w:firstLineChars="0"/>
              <w:jc w:val="center"/>
              <w:rPr>
                <w:rFonts w:hint="default" w:ascii="Times New Roman" w:hAnsi="Times New Roman" w:cs="Times New Roman"/>
                <w:szCs w:val="21"/>
                <w:highlight w:val="none"/>
                <w:shd w:val="clear" w:color="auto" w:fill="FFFFFF"/>
                <w:lang w:val="en-US"/>
              </w:rPr>
            </w:pPr>
            <w:r>
              <w:rPr>
                <w:rFonts w:hint="default" w:ascii="Times New Roman" w:hAnsi="Times New Roman" w:cs="Times New Roman"/>
                <w:szCs w:val="21"/>
                <w:highlight w:val="none"/>
                <w:shd w:val="clear" w:color="auto" w:fill="FFFFFF"/>
                <w:lang w:val="en-US" w:eastAsia="zh-CN"/>
              </w:rPr>
              <w:t>一体机及玩教具</w:t>
            </w:r>
            <w:r>
              <w:rPr>
                <w:rFonts w:hint="eastAsia" w:ascii="Times New Roman" w:hAnsi="Times New Roman" w:cs="Times New Roman"/>
                <w:szCs w:val="21"/>
                <w:highlight w:val="none"/>
                <w:shd w:val="clear" w:color="auto" w:fill="FFFFFF"/>
                <w:lang w:val="en-US" w:eastAsia="zh-CN"/>
              </w:rPr>
              <w:t>采购项目</w:t>
            </w:r>
          </w:p>
        </w:tc>
        <w:tc>
          <w:tcPr>
            <w:tcW w:w="1165" w:type="dxa"/>
            <w:vAlign w:val="center"/>
          </w:tcPr>
          <w:p w14:paraId="530BA355">
            <w:pPr>
              <w:pStyle w:val="29"/>
              <w:ind w:firstLine="0" w:firstLineChars="0"/>
              <w:jc w:val="center"/>
              <w:rPr>
                <w:rFonts w:hint="default" w:ascii="Times New Roman" w:hAnsi="Times New Roman" w:cs="Times New Roman"/>
                <w:szCs w:val="21"/>
                <w:highlight w:val="none"/>
                <w:shd w:val="clear" w:color="auto" w:fill="FFFFFF"/>
              </w:rPr>
            </w:pPr>
            <w:r>
              <w:rPr>
                <w:rFonts w:hint="default" w:ascii="Times New Roman" w:hAnsi="Times New Roman" w:cs="Times New Roman"/>
                <w:szCs w:val="21"/>
                <w:highlight w:val="none"/>
                <w:shd w:val="clear" w:color="auto" w:fill="FFFFFF"/>
                <w:lang w:val="en-US" w:eastAsia="zh-CN"/>
              </w:rPr>
              <w:t>1</w:t>
            </w:r>
            <w:r>
              <w:rPr>
                <w:rFonts w:hint="default" w:ascii="Times New Roman" w:hAnsi="Times New Roman" w:cs="Times New Roman"/>
                <w:szCs w:val="21"/>
                <w:highlight w:val="none"/>
                <w:shd w:val="clear" w:color="auto" w:fill="FFFFFF"/>
              </w:rPr>
              <w:t>(</w:t>
            </w:r>
            <w:r>
              <w:rPr>
                <w:rFonts w:hint="default" w:ascii="Times New Roman" w:hAnsi="Times New Roman" w:cs="Times New Roman"/>
                <w:szCs w:val="21"/>
                <w:highlight w:val="none"/>
                <w:shd w:val="clear" w:color="auto" w:fill="FFFFFF"/>
                <w:lang w:val="en-US" w:eastAsia="zh-CN"/>
              </w:rPr>
              <w:t>批</w:t>
            </w:r>
            <w:r>
              <w:rPr>
                <w:rFonts w:hint="default" w:ascii="Times New Roman" w:hAnsi="Times New Roman" w:cs="Times New Roman"/>
                <w:szCs w:val="21"/>
                <w:highlight w:val="none"/>
                <w:shd w:val="clear" w:color="auto" w:fill="FFFFFF"/>
              </w:rPr>
              <w:t>)</w:t>
            </w:r>
          </w:p>
        </w:tc>
        <w:tc>
          <w:tcPr>
            <w:tcW w:w="1460" w:type="dxa"/>
            <w:vAlign w:val="center"/>
          </w:tcPr>
          <w:p w14:paraId="4C9A7FDE">
            <w:pPr>
              <w:pStyle w:val="29"/>
              <w:ind w:firstLine="0" w:firstLineChars="0"/>
              <w:jc w:val="center"/>
              <w:rPr>
                <w:rFonts w:hint="default" w:ascii="Times New Roman" w:hAnsi="Times New Roman" w:cs="Times New Roman"/>
                <w:szCs w:val="21"/>
                <w:highlight w:val="none"/>
                <w:shd w:val="clear" w:color="auto" w:fill="FFFFFF"/>
              </w:rPr>
            </w:pPr>
            <w:r>
              <w:rPr>
                <w:rFonts w:hint="default" w:ascii="Times New Roman" w:hAnsi="Times New Roman" w:cs="Times New Roman"/>
                <w:szCs w:val="21"/>
                <w:highlight w:val="none"/>
                <w:shd w:val="clear" w:color="auto" w:fill="FFFFFF"/>
              </w:rPr>
              <w:t>详见采购文件</w:t>
            </w:r>
          </w:p>
        </w:tc>
        <w:tc>
          <w:tcPr>
            <w:tcW w:w="1466" w:type="dxa"/>
            <w:vAlign w:val="center"/>
          </w:tcPr>
          <w:p w14:paraId="653492D7">
            <w:pPr>
              <w:pStyle w:val="29"/>
              <w:ind w:firstLine="0" w:firstLineChars="0"/>
              <w:jc w:val="center"/>
              <w:rPr>
                <w:rFonts w:hint="default" w:ascii="Times New Roman" w:hAnsi="Times New Roman" w:cs="Times New Roman"/>
                <w:szCs w:val="21"/>
                <w:highlight w:val="none"/>
                <w:shd w:val="clear" w:color="auto" w:fill="FFFFFF"/>
              </w:rPr>
            </w:pPr>
            <w:r>
              <w:rPr>
                <w:rFonts w:hint="default" w:ascii="Times New Roman" w:hAnsi="Times New Roman" w:cs="Times New Roman"/>
                <w:szCs w:val="21"/>
                <w:highlight w:val="none"/>
                <w:shd w:val="clear" w:color="auto" w:fill="FFFFFF"/>
                <w:lang w:val="en-US" w:eastAsia="zh-CN"/>
              </w:rPr>
              <w:t>129148.00</w:t>
            </w:r>
          </w:p>
        </w:tc>
        <w:tc>
          <w:tcPr>
            <w:tcW w:w="1251" w:type="dxa"/>
            <w:vAlign w:val="center"/>
          </w:tcPr>
          <w:p w14:paraId="417911DB">
            <w:pPr>
              <w:pStyle w:val="29"/>
              <w:ind w:firstLine="0" w:firstLineChars="0"/>
              <w:jc w:val="center"/>
              <w:rPr>
                <w:rFonts w:hint="default" w:ascii="Times New Roman" w:hAnsi="Times New Roman" w:cs="Times New Roman"/>
                <w:szCs w:val="21"/>
                <w:highlight w:val="none"/>
                <w:shd w:val="clear" w:color="auto" w:fill="FFFFFF"/>
                <w:lang w:val="en-US" w:eastAsia="zh-CN"/>
              </w:rPr>
            </w:pPr>
            <w:r>
              <w:rPr>
                <w:rFonts w:hint="default" w:ascii="Times New Roman" w:hAnsi="Times New Roman" w:cs="Times New Roman"/>
                <w:szCs w:val="21"/>
                <w:highlight w:val="none"/>
                <w:shd w:val="clear" w:color="auto" w:fill="FFFFFF"/>
                <w:lang w:val="en-US" w:eastAsia="zh-CN"/>
              </w:rPr>
              <w:t>129148.00</w:t>
            </w:r>
          </w:p>
        </w:tc>
      </w:tr>
    </w:tbl>
    <w:p w14:paraId="27B23BEB">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6、本合同包不接受联合体投标</w:t>
      </w:r>
    </w:p>
    <w:p w14:paraId="0DC15FF1">
      <w:pPr>
        <w:pStyle w:val="29"/>
        <w:spacing w:line="360" w:lineRule="auto"/>
        <w:ind w:firstLine="48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7、合同履行期限：</w:t>
      </w:r>
      <w:r>
        <w:rPr>
          <w:rFonts w:hint="default" w:ascii="Times New Roman" w:hAnsi="Times New Roman" w:eastAsia="宋体" w:cs="Times New Roman"/>
          <w:color w:val="auto"/>
          <w:sz w:val="24"/>
          <w:szCs w:val="24"/>
          <w:highlight w:val="none"/>
        </w:rPr>
        <w:t>合同签订后</w:t>
      </w:r>
      <w:r>
        <w:rPr>
          <w:rFonts w:hint="default"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zh-CN"/>
        </w:rPr>
        <w:t>个日历日内完成供货、安装并调试</w:t>
      </w:r>
      <w:r>
        <w:rPr>
          <w:rFonts w:hint="default" w:ascii="Times New Roman" w:hAnsi="Times New Roman" w:eastAsia="宋体" w:cs="Times New Roman"/>
          <w:color w:val="auto"/>
          <w:sz w:val="24"/>
          <w:szCs w:val="24"/>
          <w:highlight w:val="none"/>
        </w:rPr>
        <w:t>。</w:t>
      </w:r>
    </w:p>
    <w:p w14:paraId="209CEFC1">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二、 申请人的资格要求</w:t>
      </w:r>
    </w:p>
    <w:p w14:paraId="380E4C1F">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1、满足《中华人民共和国政府采购法》第二十二条规定；</w:t>
      </w:r>
    </w:p>
    <w:p w14:paraId="51B6DBB8">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2、落实政府采购政策需满足的资格：</w:t>
      </w:r>
    </w:p>
    <w:p w14:paraId="337AAC74">
      <w:pPr>
        <w:pStyle w:val="29"/>
        <w:spacing w:line="360" w:lineRule="auto"/>
        <w:ind w:firstLine="480"/>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合同包1（</w:t>
      </w:r>
      <w:r>
        <w:rPr>
          <w:rFonts w:hint="default" w:ascii="Times New Roman" w:hAnsi="Times New Roman" w:cs="Times New Roman"/>
          <w:sz w:val="24"/>
          <w:szCs w:val="24"/>
          <w:highlight w:val="none"/>
          <w:lang w:val="en-US" w:eastAsia="zh-CN"/>
        </w:rPr>
        <w:t>一体机及玩教具采购项目</w:t>
      </w:r>
      <w:r>
        <w:rPr>
          <w:rFonts w:hint="default" w:ascii="Times New Roman" w:hAnsi="Times New Roman" w:cs="Times New Roman"/>
          <w:sz w:val="24"/>
          <w:szCs w:val="24"/>
          <w:highlight w:val="none"/>
        </w:rPr>
        <w:t>）落实政府采购政策需满足的资格要求如下：本项目</w:t>
      </w:r>
      <w:r>
        <w:rPr>
          <w:rFonts w:hint="eastAsia" w:cs="Times New Roman"/>
          <w:sz w:val="24"/>
          <w:szCs w:val="24"/>
          <w:highlight w:val="none"/>
          <w:lang w:val="en-US" w:eastAsia="zh-CN"/>
        </w:rPr>
        <w:t>非</w:t>
      </w:r>
      <w:r>
        <w:rPr>
          <w:rFonts w:hint="default" w:ascii="Times New Roman" w:hAnsi="Times New Roman" w:cs="Times New Roman"/>
          <w:sz w:val="24"/>
          <w:szCs w:val="24"/>
          <w:highlight w:val="none"/>
        </w:rPr>
        <w:t>专门面向中小企业采购</w:t>
      </w:r>
      <w:r>
        <w:rPr>
          <w:rFonts w:hint="eastAsia" w:cs="Times New Roman"/>
          <w:sz w:val="24"/>
          <w:szCs w:val="24"/>
          <w:highlight w:val="none"/>
          <w:lang w:eastAsia="zh-CN"/>
        </w:rPr>
        <w:t>。</w:t>
      </w:r>
    </w:p>
    <w:p w14:paraId="311C322C">
      <w:pPr>
        <w:pStyle w:val="2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3、本项目的特定资格要求：</w:t>
      </w:r>
    </w:p>
    <w:p w14:paraId="15BC7D8F">
      <w:pPr>
        <w:pStyle w:val="2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w:t>合同包1（</w:t>
      </w:r>
      <w:r>
        <w:rPr>
          <w:rFonts w:hint="default" w:ascii="Times New Roman" w:hAnsi="Times New Roman" w:cs="Times New Roman"/>
          <w:sz w:val="24"/>
          <w:szCs w:val="24"/>
          <w:highlight w:val="none"/>
          <w:lang w:val="en-US" w:eastAsia="zh-CN"/>
        </w:rPr>
        <w:t>一体机及玩教具采购项目</w:t>
      </w:r>
      <w:r>
        <w:rPr>
          <w:rFonts w:hint="default" w:ascii="Times New Roman" w:hAnsi="Times New Roman" w:cs="Times New Roman"/>
          <w:sz w:val="24"/>
          <w:szCs w:val="24"/>
          <w:highlight w:val="none"/>
        </w:rPr>
        <w:t>）特定资格要求如</w:t>
      </w:r>
      <w:r>
        <w:rPr>
          <w:rFonts w:hint="default" w:ascii="Times New Roman" w:hAnsi="Times New Roman" w:eastAsia="宋体" w:cs="Times New Roman"/>
          <w:sz w:val="24"/>
          <w:szCs w:val="24"/>
          <w:highlight w:val="none"/>
        </w:rPr>
        <w:t>下：</w:t>
      </w:r>
    </w:p>
    <w:p w14:paraId="1D875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r>
        <w:rPr>
          <w:rFonts w:hint="default" w:ascii="Times New Roman" w:hAnsi="Times New Roman" w:eastAsia="宋体" w:cs="Times New Roman"/>
          <w:color w:val="auto"/>
          <w:sz w:val="24"/>
          <w:szCs w:val="24"/>
          <w:highlight w:val="none"/>
        </w:rPr>
        <w:t>；</w:t>
      </w:r>
    </w:p>
    <w:p w14:paraId="4C6C3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（2）提供</w:t>
      </w:r>
      <w:r>
        <w:rPr>
          <w:rFonts w:hint="default" w:ascii="Times New Roman" w:hAnsi="Times New Roman" w:eastAsia="宋体" w:cs="Times New Roman"/>
          <w:color w:val="auto"/>
          <w:sz w:val="24"/>
          <w:szCs w:val="24"/>
          <w:highlight w:val="none"/>
          <w:lang w:val="en-US" w:eastAsia="zh-CN"/>
        </w:rPr>
        <w:t>2024年度</w:t>
      </w:r>
      <w:r>
        <w:rPr>
          <w:rFonts w:hint="default" w:ascii="Times New Roman" w:hAnsi="Times New Roman" w:eastAsia="宋体" w:cs="Times New Roman"/>
          <w:color w:val="auto"/>
          <w:sz w:val="24"/>
          <w:szCs w:val="24"/>
          <w:highlight w:val="none"/>
        </w:rPr>
        <w:t>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1EA77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提供投标截止时间前一年内的至少一个月的纳税证明或完税证明（任意税种），依法免税的单位应提供相关证明材料；</w:t>
      </w:r>
    </w:p>
    <w:p w14:paraId="4EE84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提供投标截止时间前一年内至少一个月的社会保障资金缴存凭证或社保机构开具的社会保险参保缴费情况证明，依法不需要缴纳社会保障资金的单位应提供相关证明材料；</w:t>
      </w:r>
    </w:p>
    <w:p w14:paraId="19FA1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参加采购活动近三年内经营活动中无重大违法记录声明；</w:t>
      </w:r>
    </w:p>
    <w:p w14:paraId="74D14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提供具有履行合同所必须的设备和专业技术能力的承诺书；</w:t>
      </w:r>
    </w:p>
    <w:p w14:paraId="2DDFA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法定代表人授权书（附法定代表人身份证复印件）及被授权人身份证（法定代表人直接参加磋商只须提供法定代表人身份证）；</w:t>
      </w:r>
    </w:p>
    <w:p w14:paraId="72F49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应商不得为“信用中国”网站（www.creditchina.gov.cn）中列入失信被执行人和重大税收违法失信主体，不得为中国政府采购网（www.ccgp.gov.cn）政府采购严重违法失信行为记录名单中被财政部门禁止参加政府采购活动供应商；</w:t>
      </w:r>
    </w:p>
    <w:p w14:paraId="41535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本项目不接受联合体投标</w:t>
      </w:r>
      <w:r>
        <w:rPr>
          <w:rFonts w:hint="default" w:ascii="Times New Roman" w:hAnsi="Times New Roman" w:eastAsia="宋体" w:cs="Times New Roman"/>
          <w:color w:val="auto"/>
          <w:sz w:val="24"/>
          <w:highlight w:val="none"/>
        </w:rPr>
        <w:t>说明</w:t>
      </w:r>
      <w:r>
        <w:rPr>
          <w:rFonts w:hint="default" w:ascii="Times New Roman" w:hAnsi="Times New Roman" w:eastAsia="宋体" w:cs="Times New Roman"/>
          <w:color w:val="auto"/>
          <w:sz w:val="24"/>
          <w:szCs w:val="24"/>
          <w:highlight w:val="none"/>
          <w:lang w:eastAsia="zh-CN"/>
        </w:rPr>
        <w:t>：</w:t>
      </w:r>
    </w:p>
    <w:p w14:paraId="33916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华文仿宋" w:cs="Times New Roman"/>
          <w:color w:val="auto"/>
          <w:sz w:val="24"/>
          <w:highlight w:val="none"/>
        </w:rPr>
        <w:t>①</w:t>
      </w:r>
      <w:r>
        <w:rPr>
          <w:rFonts w:hint="default" w:ascii="Times New Roman" w:hAnsi="Times New Roman" w:eastAsia="宋体" w:cs="Times New Roman"/>
          <w:color w:val="auto"/>
          <w:sz w:val="24"/>
          <w:highlight w:val="none"/>
        </w:rPr>
        <w:t>单位负责人为同一人或者存在控股、管理关系的不同供应商，不得同时参加本项目采购活动。</w:t>
      </w:r>
    </w:p>
    <w:p w14:paraId="2BBE2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②为本项目提供过整体设计、规范编制或者项目管理、监理、检测等服务的供应商，不得再参加本项目采购活动。</w:t>
      </w:r>
    </w:p>
    <w:p w14:paraId="026D6377">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三、获取采购文件</w:t>
      </w:r>
    </w:p>
    <w:p w14:paraId="6A8F5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时间：202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19</w:t>
      </w:r>
      <w:r>
        <w:rPr>
          <w:rFonts w:hint="default" w:ascii="Times New Roman" w:hAnsi="Times New Roman" w:eastAsia="宋体" w:cs="Times New Roman"/>
          <w:color w:val="auto"/>
          <w:sz w:val="24"/>
          <w:highlight w:val="none"/>
        </w:rPr>
        <w:t>日至202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25</w:t>
      </w:r>
      <w:r>
        <w:rPr>
          <w:rFonts w:hint="default" w:ascii="Times New Roman" w:hAnsi="Times New Roman" w:eastAsia="宋体" w:cs="Times New Roman"/>
          <w:color w:val="auto"/>
          <w:sz w:val="24"/>
          <w:highlight w:val="none"/>
        </w:rPr>
        <w:t>日，每天上午09:00:00至12:00:00，下午1</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:00:00至17:</w:t>
      </w:r>
      <w:r>
        <w:rPr>
          <w:rFonts w:hint="eastAsia" w:cs="Times New Roman"/>
          <w:color w:val="auto"/>
          <w:sz w:val="24"/>
          <w:highlight w:val="none"/>
          <w:lang w:val="en-US" w:eastAsia="zh-CN"/>
        </w:rPr>
        <w:t>0</w:t>
      </w:r>
      <w:r>
        <w:rPr>
          <w:rFonts w:hint="default" w:ascii="Times New Roman" w:hAnsi="Times New Roman" w:eastAsia="宋体" w:cs="Times New Roman"/>
          <w:color w:val="auto"/>
          <w:sz w:val="24"/>
          <w:highlight w:val="none"/>
        </w:rPr>
        <w:t>0:00（北京时间）</w:t>
      </w:r>
    </w:p>
    <w:p w14:paraId="590EA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地点：西安市高新区科技路48号创业广场B座15层1506室</w:t>
      </w:r>
    </w:p>
    <w:p w14:paraId="73918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方式：现场获取</w:t>
      </w:r>
    </w:p>
    <w:p w14:paraId="5B652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售价：</w:t>
      </w:r>
      <w:r>
        <w:rPr>
          <w:rFonts w:hint="default" w:ascii="Times New Roman" w:hAnsi="Times New Roman" w:eastAsia="宋体" w:cs="Times New Roman"/>
          <w:color w:val="auto"/>
          <w:sz w:val="24"/>
          <w:highlight w:val="none"/>
          <w:lang w:val="en-US" w:eastAsia="zh-CN"/>
        </w:rPr>
        <w:t>0元/套</w:t>
      </w:r>
    </w:p>
    <w:p w14:paraId="1FE57033">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四、响应文件提交</w:t>
      </w:r>
    </w:p>
    <w:p w14:paraId="708FE231">
      <w:pPr>
        <w:pStyle w:val="16"/>
        <w:shd w:val="clear" w:color="auto" w:fill="FFFFFF"/>
        <w:spacing w:before="0" w:beforeAutospacing="0" w:after="0" w:afterAutospacing="0" w:line="360" w:lineRule="auto"/>
        <w:ind w:firstLine="480"/>
        <w:jc w:val="both"/>
        <w:rPr>
          <w:rFonts w:hint="default" w:ascii="Times New Roman" w:hAnsi="Times New Roman" w:cs="Times New Roman"/>
          <w:kern w:val="2"/>
          <w:highlight w:val="none"/>
        </w:rPr>
      </w:pPr>
      <w:r>
        <w:rPr>
          <w:rFonts w:hint="default" w:ascii="Times New Roman" w:hAnsi="Times New Roman" w:cs="Times New Roman"/>
          <w:kern w:val="2"/>
          <w:highlight w:val="none"/>
        </w:rPr>
        <w:t>截止时间：202</w:t>
      </w:r>
      <w:r>
        <w:rPr>
          <w:rFonts w:hint="eastAsia" w:ascii="Times New Roman" w:hAnsi="Times New Roman" w:cs="Times New Roman"/>
          <w:kern w:val="2"/>
          <w:highlight w:val="none"/>
          <w:lang w:val="en-US" w:eastAsia="zh-CN"/>
        </w:rPr>
        <w:t>5</w:t>
      </w:r>
      <w:r>
        <w:rPr>
          <w:rFonts w:hint="default" w:ascii="Times New Roman" w:hAnsi="Times New Roman" w:cs="Times New Roman"/>
          <w:kern w:val="2"/>
          <w:highlight w:val="none"/>
        </w:rPr>
        <w:t>年</w:t>
      </w:r>
      <w:r>
        <w:rPr>
          <w:rFonts w:hint="eastAsia" w:ascii="Times New Roman" w:hAnsi="Times New Roman" w:cs="Times New Roman"/>
          <w:kern w:val="2"/>
          <w:highlight w:val="none"/>
          <w:lang w:val="en-US" w:eastAsia="zh-CN"/>
        </w:rPr>
        <w:t>8</w:t>
      </w:r>
      <w:r>
        <w:rPr>
          <w:rFonts w:hint="default" w:ascii="Times New Roman" w:hAnsi="Times New Roman" w:cs="Times New Roman"/>
          <w:kern w:val="2"/>
          <w:highlight w:val="none"/>
        </w:rPr>
        <w:t>月</w:t>
      </w:r>
      <w:r>
        <w:rPr>
          <w:rFonts w:hint="eastAsia" w:ascii="Times New Roman" w:hAnsi="Times New Roman" w:cs="Times New Roman"/>
          <w:kern w:val="2"/>
          <w:highlight w:val="none"/>
          <w:lang w:val="en-US" w:eastAsia="zh-CN"/>
        </w:rPr>
        <w:t>29</w:t>
      </w:r>
      <w:r>
        <w:rPr>
          <w:rFonts w:hint="default" w:ascii="Times New Roman" w:hAnsi="Times New Roman" w:cs="Times New Roman"/>
          <w:kern w:val="2"/>
          <w:highlight w:val="none"/>
        </w:rPr>
        <w:t>日</w:t>
      </w:r>
      <w:r>
        <w:rPr>
          <w:rFonts w:hint="eastAsia" w:ascii="Times New Roman" w:hAnsi="Times New Roman" w:cs="Times New Roman"/>
          <w:kern w:val="2"/>
          <w:highlight w:val="none"/>
          <w:lang w:val="en-US" w:eastAsia="zh-CN"/>
        </w:rPr>
        <w:t>9</w:t>
      </w:r>
      <w:r>
        <w:rPr>
          <w:rFonts w:hint="default" w:ascii="Times New Roman" w:hAnsi="Times New Roman" w:cs="Times New Roman"/>
          <w:kern w:val="2"/>
          <w:highlight w:val="none"/>
        </w:rPr>
        <w:t>时</w:t>
      </w:r>
      <w:r>
        <w:rPr>
          <w:rFonts w:hint="eastAsia" w:ascii="Times New Roman" w:hAnsi="Times New Roman" w:cs="Times New Roman"/>
          <w:kern w:val="2"/>
          <w:highlight w:val="none"/>
          <w:lang w:val="en-US" w:eastAsia="zh-CN"/>
        </w:rPr>
        <w:t>30</w:t>
      </w:r>
      <w:r>
        <w:rPr>
          <w:rFonts w:hint="default" w:ascii="Times New Roman" w:hAnsi="Times New Roman" w:cs="Times New Roman"/>
          <w:kern w:val="2"/>
          <w:highlight w:val="none"/>
        </w:rPr>
        <w:t>分00秒 （北京时间）</w:t>
      </w:r>
    </w:p>
    <w:p w14:paraId="2896A123">
      <w:pPr>
        <w:pStyle w:val="16"/>
        <w:shd w:val="clear" w:color="auto" w:fill="FFFFFF"/>
        <w:spacing w:before="0" w:beforeAutospacing="0" w:after="0" w:afterAutospacing="0" w:line="360" w:lineRule="auto"/>
        <w:ind w:firstLine="480"/>
        <w:jc w:val="both"/>
        <w:rPr>
          <w:rFonts w:hint="default" w:ascii="Times New Roman" w:hAnsi="Times New Roman" w:cs="Times New Roman"/>
          <w:kern w:val="2"/>
          <w:highlight w:val="none"/>
        </w:rPr>
      </w:pPr>
      <w:r>
        <w:rPr>
          <w:rFonts w:hint="default" w:ascii="Times New Roman" w:hAnsi="Times New Roman" w:cs="Times New Roman"/>
          <w:kern w:val="2"/>
          <w:highlight w:val="none"/>
        </w:rPr>
        <w:t>地点：陕西省西安市高新区科技路48号创业广场B座15层1506会议室</w:t>
      </w:r>
    </w:p>
    <w:p w14:paraId="1A5DB6D1">
      <w:pPr>
        <w:pStyle w:val="29"/>
        <w:spacing w:line="360" w:lineRule="auto"/>
        <w:ind w:firstLine="0" w:firstLineChars="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五、开启</w:t>
      </w:r>
    </w:p>
    <w:p w14:paraId="68CDFF5E">
      <w:pPr>
        <w:pStyle w:val="16"/>
        <w:shd w:val="clear" w:color="auto" w:fill="FFFFFF"/>
        <w:spacing w:before="0" w:beforeAutospacing="0" w:after="0" w:afterAutospacing="0" w:line="360" w:lineRule="auto"/>
        <w:ind w:firstLine="480"/>
        <w:jc w:val="both"/>
        <w:rPr>
          <w:rFonts w:hint="default" w:ascii="Times New Roman" w:hAnsi="Times New Roman" w:cs="Times New Roman"/>
          <w:kern w:val="2"/>
          <w:highlight w:val="none"/>
        </w:rPr>
      </w:pPr>
      <w:r>
        <w:rPr>
          <w:rFonts w:hint="default" w:ascii="Times New Roman" w:hAnsi="Times New Roman" w:cs="Times New Roman"/>
          <w:kern w:val="2"/>
          <w:highlight w:val="none"/>
        </w:rPr>
        <w:t>时间：202</w:t>
      </w:r>
      <w:r>
        <w:rPr>
          <w:rFonts w:hint="eastAsia" w:ascii="Times New Roman" w:hAnsi="Times New Roman" w:cs="Times New Roman"/>
          <w:kern w:val="2"/>
          <w:highlight w:val="none"/>
          <w:lang w:val="en-US" w:eastAsia="zh-CN"/>
        </w:rPr>
        <w:t>5</w:t>
      </w:r>
      <w:r>
        <w:rPr>
          <w:rFonts w:hint="default" w:ascii="Times New Roman" w:hAnsi="Times New Roman" w:cs="Times New Roman"/>
          <w:kern w:val="2"/>
          <w:highlight w:val="none"/>
        </w:rPr>
        <w:t>年</w:t>
      </w:r>
      <w:r>
        <w:rPr>
          <w:rFonts w:hint="eastAsia" w:ascii="Times New Roman" w:hAnsi="Times New Roman" w:cs="Times New Roman"/>
          <w:kern w:val="2"/>
          <w:highlight w:val="none"/>
          <w:lang w:val="en-US" w:eastAsia="zh-CN"/>
        </w:rPr>
        <w:t>8</w:t>
      </w:r>
      <w:r>
        <w:rPr>
          <w:rFonts w:hint="default" w:ascii="Times New Roman" w:hAnsi="Times New Roman" w:cs="Times New Roman"/>
          <w:kern w:val="2"/>
          <w:highlight w:val="none"/>
        </w:rPr>
        <w:t>月</w:t>
      </w:r>
      <w:r>
        <w:rPr>
          <w:rFonts w:hint="eastAsia" w:ascii="Times New Roman" w:hAnsi="Times New Roman" w:cs="Times New Roman"/>
          <w:kern w:val="2"/>
          <w:highlight w:val="none"/>
          <w:lang w:val="en-US" w:eastAsia="zh-CN"/>
        </w:rPr>
        <w:t>29</w:t>
      </w:r>
      <w:r>
        <w:rPr>
          <w:rFonts w:hint="default" w:ascii="Times New Roman" w:hAnsi="Times New Roman" w:cs="Times New Roman"/>
          <w:kern w:val="2"/>
          <w:highlight w:val="none"/>
        </w:rPr>
        <w:t>日</w:t>
      </w:r>
      <w:r>
        <w:rPr>
          <w:rFonts w:hint="eastAsia" w:ascii="Times New Roman" w:hAnsi="Times New Roman" w:cs="Times New Roman"/>
          <w:kern w:val="2"/>
          <w:highlight w:val="none"/>
          <w:lang w:val="en-US" w:eastAsia="zh-CN"/>
        </w:rPr>
        <w:t>9</w:t>
      </w:r>
      <w:r>
        <w:rPr>
          <w:rFonts w:hint="default" w:ascii="Times New Roman" w:hAnsi="Times New Roman" w:cs="Times New Roman"/>
          <w:kern w:val="2"/>
          <w:highlight w:val="none"/>
        </w:rPr>
        <w:t>时</w:t>
      </w:r>
      <w:r>
        <w:rPr>
          <w:rFonts w:hint="eastAsia" w:ascii="Times New Roman" w:hAnsi="Times New Roman" w:cs="Times New Roman"/>
          <w:kern w:val="2"/>
          <w:highlight w:val="none"/>
          <w:lang w:val="en-US" w:eastAsia="zh-CN"/>
        </w:rPr>
        <w:t>30</w:t>
      </w:r>
      <w:r>
        <w:rPr>
          <w:rFonts w:hint="default" w:ascii="Times New Roman" w:hAnsi="Times New Roman" w:cs="Times New Roman"/>
          <w:kern w:val="2"/>
          <w:highlight w:val="none"/>
        </w:rPr>
        <w:t>分00秒 （北京时间）</w:t>
      </w:r>
    </w:p>
    <w:p w14:paraId="79E5BACA">
      <w:pPr>
        <w:pStyle w:val="16"/>
        <w:shd w:val="clear" w:color="auto" w:fill="FFFFFF"/>
        <w:spacing w:before="0" w:beforeAutospacing="0" w:after="0" w:afterAutospacing="0" w:line="360" w:lineRule="auto"/>
        <w:ind w:firstLine="480"/>
        <w:jc w:val="both"/>
        <w:rPr>
          <w:rFonts w:hint="default" w:ascii="Times New Roman" w:hAnsi="Times New Roman" w:cs="Times New Roman"/>
          <w:kern w:val="2"/>
          <w:highlight w:val="none"/>
        </w:rPr>
      </w:pPr>
      <w:r>
        <w:rPr>
          <w:rFonts w:hint="default" w:ascii="Times New Roman" w:hAnsi="Times New Roman" w:cs="Times New Roman"/>
          <w:kern w:val="2"/>
          <w:highlight w:val="none"/>
        </w:rPr>
        <w:t>地点：陕西省西安市高新区科技路48号创业广场B座15层1506会议室</w:t>
      </w:r>
    </w:p>
    <w:p w14:paraId="1DF0F8B4">
      <w:pPr>
        <w:pStyle w:val="29"/>
        <w:spacing w:line="360" w:lineRule="auto"/>
        <w:ind w:firstLine="0" w:firstLineChars="0"/>
        <w:rPr>
          <w:rFonts w:hint="default" w:ascii="Times New Roman" w:hAnsi="Times New Roman" w:cs="Times New Roman"/>
          <w:b/>
          <w:bCs/>
          <w:sz w:val="24"/>
          <w:highlight w:val="none"/>
        </w:rPr>
      </w:pPr>
      <w:r>
        <w:rPr>
          <w:rFonts w:hint="default" w:ascii="Times New Roman" w:hAnsi="Times New Roman" w:cs="Times New Roman"/>
          <w:b/>
          <w:bCs/>
          <w:sz w:val="24"/>
          <w:highlight w:val="none"/>
        </w:rPr>
        <w:t>六、公告期限</w:t>
      </w:r>
    </w:p>
    <w:p w14:paraId="4EE0D36C">
      <w:pPr>
        <w:pStyle w:val="29"/>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自本公告发布之日起3个工作日。</w:t>
      </w:r>
    </w:p>
    <w:p w14:paraId="5B478366">
      <w:pPr>
        <w:pStyle w:val="29"/>
        <w:spacing w:line="360" w:lineRule="auto"/>
        <w:ind w:firstLine="0" w:firstLineChars="0"/>
        <w:rPr>
          <w:rFonts w:hint="default" w:ascii="Times New Roman" w:hAnsi="Times New Roman" w:cs="Times New Roman"/>
          <w:b/>
          <w:bCs/>
          <w:sz w:val="24"/>
          <w:highlight w:val="none"/>
        </w:rPr>
      </w:pPr>
      <w:r>
        <w:rPr>
          <w:rFonts w:hint="default" w:ascii="Times New Roman" w:hAnsi="Times New Roman" w:cs="Times New Roman"/>
          <w:b/>
          <w:bCs/>
          <w:sz w:val="24"/>
          <w:highlight w:val="none"/>
        </w:rPr>
        <w:t>七、其他补充事宜：</w:t>
      </w:r>
    </w:p>
    <w:p w14:paraId="30EDCDA8">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1、</w:t>
      </w:r>
      <w:r>
        <w:rPr>
          <w:rFonts w:hint="default" w:ascii="Times New Roman" w:hAnsi="Times New Roman" w:cs="Times New Roman"/>
          <w:sz w:val="24"/>
          <w:highlight w:val="none"/>
        </w:rPr>
        <w:t>获取文件时请携带单位介绍信原件，经办人身份证原件及加盖供应商公章复印件到陕西省</w:t>
      </w:r>
      <w:r>
        <w:rPr>
          <w:rFonts w:hint="default" w:ascii="Times New Roman" w:hAnsi="Times New Roman" w:cs="Times New Roman"/>
          <w:sz w:val="24"/>
          <w:szCs w:val="24"/>
          <w:highlight w:val="none"/>
        </w:rPr>
        <w:t>西安市高新区科技路48号创业广场B座15层1506室（</w:t>
      </w:r>
      <w:r>
        <w:rPr>
          <w:rFonts w:hint="default" w:ascii="Times New Roman" w:hAnsi="Times New Roman" w:eastAsia="宋体" w:cs="Times New Roman"/>
          <w:color w:val="auto"/>
          <w:sz w:val="24"/>
          <w:szCs w:val="24"/>
          <w:highlight w:val="none"/>
        </w:rPr>
        <w:t>鼎正众创建设集团有限公司</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获取竞争性磋商采购文件。</w:t>
      </w:r>
    </w:p>
    <w:p w14:paraId="17816B9B">
      <w:pPr>
        <w:pStyle w:val="29"/>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、需要落实的政府采购政策：</w:t>
      </w:r>
    </w:p>
    <w:p w14:paraId="26E27D11">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（1）《政府采购促进中小企业发展管理办法》（财库〔2020〕46 号）；</w:t>
      </w:r>
    </w:p>
    <w:p w14:paraId="4B054ABA">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（2）《财政部 司法部关于政府采购支持监狱企业发展有关问题的通知》（财库〔2014〕68号）；</w:t>
      </w:r>
    </w:p>
    <w:p w14:paraId="3952BD12">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（3）《三部门联合发布关于促进残疾人就业政府采购政策的通知》（财库〔2017〕141号）；</w:t>
      </w:r>
    </w:p>
    <w:p w14:paraId="60BDF432">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（4）《节能产品政府采购实施意见》（财库〔20</w:t>
      </w:r>
      <w:r>
        <w:rPr>
          <w:rFonts w:hint="default" w:ascii="Times New Roman" w:hAnsi="Times New Roman" w:eastAsia="宋体" w:cs="Times New Roman"/>
          <w:sz w:val="24"/>
          <w:highlight w:val="none"/>
          <w:lang w:val="en-US" w:eastAsia="zh-CN"/>
        </w:rPr>
        <w:t>04</w:t>
      </w:r>
      <w:r>
        <w:rPr>
          <w:rFonts w:hint="default" w:ascii="Times New Roman" w:hAnsi="Times New Roman" w:eastAsia="宋体" w:cs="Times New Roman"/>
          <w:sz w:val="24"/>
          <w:highlight w:val="none"/>
        </w:rPr>
        <w:t>〕185号）；</w:t>
      </w:r>
    </w:p>
    <w:p w14:paraId="5F260D64">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（5）《环境标志产品政府采购实施的意见》（财库〔20</w:t>
      </w:r>
      <w:r>
        <w:rPr>
          <w:rFonts w:hint="default" w:ascii="Times New Roman" w:hAnsi="Times New Roman" w:eastAsia="宋体" w:cs="Times New Roman"/>
          <w:sz w:val="24"/>
          <w:highlight w:val="none"/>
          <w:lang w:val="en-US" w:eastAsia="zh-CN"/>
        </w:rPr>
        <w:t>06</w:t>
      </w:r>
      <w:r>
        <w:rPr>
          <w:rFonts w:hint="default" w:ascii="Times New Roman" w:hAnsi="Times New Roman" w:eastAsia="宋体" w:cs="Times New Roman"/>
          <w:sz w:val="24"/>
          <w:highlight w:val="none"/>
        </w:rPr>
        <w:t>〕90号）；</w:t>
      </w:r>
    </w:p>
    <w:p w14:paraId="5016EF19">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（6）《财政部 发展改革委 生态环境部 市场监管总局 关于调整优化节能产品、环境标志产品政府采购执行机制的通知》--财库〔2019〕9号；</w:t>
      </w:r>
    </w:p>
    <w:p w14:paraId="72375658">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（7）《关于运用政府采购政策支持乡村产业振兴的通知》（财库[2021]19号）；</w:t>
      </w:r>
    </w:p>
    <w:p w14:paraId="2860DB3F">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（8）关于印发《商品包装政府采购需求标准（试行）》、《快递包装政府采购需求标准（试行）》的通知--财办库〔2020〕123号；</w:t>
      </w:r>
    </w:p>
    <w:p w14:paraId="5710EE7C">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（9）陕西省财政厅关于印发《陕西省中小企业政府采购信用融资办法》（陕财办采〔2018〕23号）；</w:t>
      </w:r>
    </w:p>
    <w:p w14:paraId="15F3F647">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（10）《关于进一步加强政府绿色采购有关问题的通知》（陕财办采〔2021〕29号）；</w:t>
      </w:r>
    </w:p>
    <w:p w14:paraId="410280A8">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（11）其他需要落实的政府采购政策。</w:t>
      </w:r>
    </w:p>
    <w:p w14:paraId="4BFC8595">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注：如有最新颁布的政府采购政策，按最新的文件执行。</w:t>
      </w:r>
    </w:p>
    <w:p w14:paraId="18B5F791">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color w:val="auto"/>
          <w:sz w:val="24"/>
          <w:highlight w:val="none"/>
        </w:rPr>
        <w:t>3、请潜在供应商务必按照《陕西省财政厅关于政府采购供应商注册登记有关事项的通知》要求，通过“陕西省政府采购网”进行身份认证注册登记加入陕西省政府采购供应</w:t>
      </w:r>
      <w:bookmarkStart w:id="3" w:name="bookmark8"/>
      <w:bookmarkEnd w:id="3"/>
      <w:r>
        <w:rPr>
          <w:rFonts w:hint="default" w:ascii="Times New Roman" w:hAnsi="Times New Roman" w:eastAsia="宋体" w:cs="Times New Roman"/>
          <w:color w:val="auto"/>
          <w:sz w:val="24"/>
          <w:highlight w:val="none"/>
        </w:rPr>
        <w:t>商库。</w:t>
      </w:r>
    </w:p>
    <w:p w14:paraId="5D1B8BAD">
      <w:pPr>
        <w:pStyle w:val="29"/>
        <w:spacing w:line="360" w:lineRule="auto"/>
        <w:ind w:firstLine="0" w:firstLineChars="0"/>
        <w:rPr>
          <w:rFonts w:hint="default" w:ascii="Times New Roman" w:hAnsi="Times New Roman" w:cs="Times New Roman"/>
          <w:b/>
          <w:bCs/>
          <w:sz w:val="24"/>
          <w:highlight w:val="none"/>
        </w:rPr>
      </w:pPr>
      <w:r>
        <w:rPr>
          <w:rFonts w:hint="default" w:ascii="Times New Roman" w:hAnsi="Times New Roman" w:cs="Times New Roman"/>
          <w:b/>
          <w:bCs/>
          <w:sz w:val="24"/>
          <w:highlight w:val="none"/>
        </w:rPr>
        <w:t>八、对本次采购提出询问，请按以下方式联系。</w:t>
      </w:r>
    </w:p>
    <w:p w14:paraId="2ED47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1</w:t>
      </w:r>
      <w:r>
        <w:rPr>
          <w:rFonts w:hint="eastAsia" w:ascii="Times New Roman" w:hAnsi="Times New Roman" w:cs="Times New Roman"/>
          <w:b w:val="0"/>
          <w:bCs w:val="0"/>
          <w:kern w:val="2"/>
          <w:sz w:val="24"/>
          <w:szCs w:val="20"/>
          <w:highlight w:val="none"/>
          <w:lang w:val="en-US" w:eastAsia="zh-CN" w:bidi="ar-SA"/>
        </w:rPr>
        <w:t>、</w:t>
      </w:r>
      <w:r>
        <w:rPr>
          <w:rFonts w:hint="default" w:ascii="Times New Roman" w:hAnsi="Times New Roman" w:eastAsia="宋体" w:cs="Times New Roman"/>
          <w:b w:val="0"/>
          <w:bCs w:val="0"/>
          <w:kern w:val="2"/>
          <w:sz w:val="24"/>
          <w:szCs w:val="20"/>
          <w:highlight w:val="none"/>
          <w:lang w:val="en-US" w:eastAsia="zh-CN" w:bidi="ar-SA"/>
        </w:rPr>
        <w:t>采购人信息</w:t>
      </w:r>
    </w:p>
    <w:p w14:paraId="610B1D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名称：西安高新区第六十幼儿园</w:t>
      </w:r>
    </w:p>
    <w:p w14:paraId="66C65D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地址：西安高新区科技八路以北、化龙三路以东</w:t>
      </w:r>
    </w:p>
    <w:p w14:paraId="666BC7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联系方式：029-87304226</w:t>
      </w:r>
    </w:p>
    <w:p w14:paraId="64CF6D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2</w:t>
      </w:r>
      <w:r>
        <w:rPr>
          <w:rFonts w:hint="eastAsia" w:ascii="Times New Roman" w:hAnsi="Times New Roman" w:cs="Times New Roman"/>
          <w:b w:val="0"/>
          <w:bCs w:val="0"/>
          <w:kern w:val="2"/>
          <w:sz w:val="24"/>
          <w:szCs w:val="20"/>
          <w:highlight w:val="none"/>
          <w:lang w:val="en-US" w:eastAsia="zh-CN" w:bidi="ar-SA"/>
        </w:rPr>
        <w:t>、</w:t>
      </w:r>
      <w:r>
        <w:rPr>
          <w:rFonts w:hint="default" w:ascii="Times New Roman" w:hAnsi="Times New Roman" w:eastAsia="宋体" w:cs="Times New Roman"/>
          <w:b w:val="0"/>
          <w:bCs w:val="0"/>
          <w:kern w:val="2"/>
          <w:sz w:val="24"/>
          <w:szCs w:val="20"/>
          <w:highlight w:val="none"/>
          <w:lang w:val="en-US" w:eastAsia="zh-CN" w:bidi="ar-SA"/>
        </w:rPr>
        <w:t>采购代理机构信息</w:t>
      </w:r>
    </w:p>
    <w:p w14:paraId="45A1E6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名称：</w:t>
      </w:r>
      <w:r>
        <w:rPr>
          <w:rFonts w:hint="default" w:ascii="Times New Roman" w:hAnsi="Times New Roman" w:eastAsia="宋体" w:cs="Times New Roman"/>
          <w:color w:val="auto"/>
          <w:sz w:val="24"/>
          <w:szCs w:val="24"/>
          <w:highlight w:val="none"/>
        </w:rPr>
        <w:t>鼎正众创建设集团有限公司</w:t>
      </w:r>
    </w:p>
    <w:p w14:paraId="798807B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地址：</w:t>
      </w:r>
      <w:r>
        <w:rPr>
          <w:rFonts w:hint="default" w:ascii="Times New Roman" w:hAnsi="Times New Roman" w:eastAsia="宋体" w:cs="Times New Roman"/>
          <w:color w:val="auto"/>
          <w:kern w:val="2"/>
          <w:sz w:val="24"/>
          <w:szCs w:val="24"/>
          <w:highlight w:val="none"/>
          <w:lang w:val="en-US" w:eastAsia="zh-CN" w:bidi="ar-SA"/>
        </w:rPr>
        <w:t>西安市高新区科技路48号创业广场B座15层1506室</w:t>
      </w:r>
    </w:p>
    <w:p w14:paraId="28159D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联系方式：</w:t>
      </w:r>
      <w:r>
        <w:rPr>
          <w:rFonts w:hint="default" w:ascii="Times New Roman" w:hAnsi="Times New Roman" w:cs="Times New Roman"/>
          <w:sz w:val="24"/>
          <w:highlight w:val="none"/>
        </w:rPr>
        <w:t>15129241196</w:t>
      </w:r>
    </w:p>
    <w:p w14:paraId="1CBBD8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3</w:t>
      </w:r>
      <w:r>
        <w:rPr>
          <w:rFonts w:hint="eastAsia" w:ascii="Times New Roman" w:hAnsi="Times New Roman" w:cs="Times New Roman"/>
          <w:b w:val="0"/>
          <w:bCs w:val="0"/>
          <w:kern w:val="2"/>
          <w:sz w:val="24"/>
          <w:szCs w:val="20"/>
          <w:highlight w:val="none"/>
          <w:lang w:val="en-US" w:eastAsia="zh-CN" w:bidi="ar-SA"/>
        </w:rPr>
        <w:t>、</w:t>
      </w:r>
      <w:r>
        <w:rPr>
          <w:rFonts w:hint="default" w:ascii="Times New Roman" w:hAnsi="Times New Roman" w:eastAsia="宋体" w:cs="Times New Roman"/>
          <w:b w:val="0"/>
          <w:bCs w:val="0"/>
          <w:kern w:val="2"/>
          <w:sz w:val="24"/>
          <w:szCs w:val="20"/>
          <w:highlight w:val="none"/>
          <w:lang w:val="en-US" w:eastAsia="zh-CN" w:bidi="ar-SA"/>
        </w:rPr>
        <w:t>项目联系方式</w:t>
      </w:r>
    </w:p>
    <w:p w14:paraId="48239C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项目联系人：董蔷芳</w:t>
      </w:r>
      <w:r>
        <w:rPr>
          <w:rFonts w:hint="default" w:ascii="Times New Roman" w:hAnsi="Times New Roman" w:cs="Times New Roman"/>
          <w:b w:val="0"/>
          <w:bCs w:val="0"/>
          <w:kern w:val="2"/>
          <w:sz w:val="24"/>
          <w:szCs w:val="20"/>
          <w:highlight w:val="none"/>
          <w:lang w:val="en-US" w:eastAsia="zh-CN" w:bidi="ar-SA"/>
        </w:rPr>
        <w:t>、孙笑梅</w:t>
      </w:r>
    </w:p>
    <w:p w14:paraId="4EF17A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default" w:ascii="Times New Roman" w:hAnsi="Times New Roman" w:eastAsia="宋体" w:cs="Times New Roman"/>
          <w:b w:val="0"/>
          <w:bCs w:val="0"/>
          <w:kern w:val="2"/>
          <w:sz w:val="24"/>
          <w:szCs w:val="20"/>
          <w:highlight w:val="none"/>
          <w:lang w:val="en-US" w:eastAsia="zh-CN" w:bidi="ar-SA"/>
        </w:rPr>
      </w:pPr>
      <w:r>
        <w:rPr>
          <w:rFonts w:hint="default" w:ascii="Times New Roman" w:hAnsi="Times New Roman" w:eastAsia="宋体" w:cs="Times New Roman"/>
          <w:b w:val="0"/>
          <w:bCs w:val="0"/>
          <w:kern w:val="2"/>
          <w:sz w:val="24"/>
          <w:szCs w:val="20"/>
          <w:highlight w:val="none"/>
          <w:lang w:val="en-US" w:eastAsia="zh-CN" w:bidi="ar-SA"/>
        </w:rPr>
        <w:t>电话：</w:t>
      </w:r>
      <w:r>
        <w:rPr>
          <w:rFonts w:hint="default" w:ascii="Times New Roman" w:hAnsi="Times New Roman" w:cs="Times New Roman"/>
          <w:sz w:val="24"/>
          <w:highlight w:val="none"/>
        </w:rPr>
        <w:t>15129241196</w:t>
      </w:r>
    </w:p>
    <w:p w14:paraId="707AA0B7">
      <w:pPr>
        <w:pStyle w:val="29"/>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bookmarkStart w:id="4" w:name="_Toc10406"/>
      <w:bookmarkStart w:id="5" w:name="_Toc16326"/>
    </w:p>
    <w:p w14:paraId="30635EED">
      <w:pPr>
        <w:rPr>
          <w:rFonts w:hint="default" w:ascii="Times New Roman" w:hAnsi="Times New Roman" w:cs="Times New Roman"/>
          <w:b/>
          <w:sz w:val="36"/>
          <w:szCs w:val="22"/>
          <w:highlight w:val="none"/>
        </w:rPr>
      </w:pPr>
      <w:r>
        <w:rPr>
          <w:rFonts w:hint="default" w:ascii="Times New Roman" w:hAnsi="Times New Roman" w:cs="Times New Roman"/>
          <w:b/>
          <w:sz w:val="36"/>
          <w:szCs w:val="22"/>
          <w:highlight w:val="none"/>
        </w:rPr>
        <w:br w:type="page"/>
      </w:r>
    </w:p>
    <w:p w14:paraId="4800CA55">
      <w:pPr>
        <w:pStyle w:val="29"/>
        <w:spacing w:line="360" w:lineRule="auto"/>
        <w:ind w:left="0" w:leftChars="0" w:firstLine="0" w:firstLineChars="0"/>
        <w:jc w:val="center"/>
        <w:rPr>
          <w:rFonts w:hint="default" w:ascii="Times New Roman" w:hAnsi="Times New Roman" w:cs="Times New Roman"/>
          <w:b/>
          <w:sz w:val="36"/>
          <w:szCs w:val="22"/>
          <w:highlight w:val="none"/>
        </w:rPr>
      </w:pPr>
      <w:r>
        <w:rPr>
          <w:rFonts w:hint="default" w:ascii="Times New Roman" w:hAnsi="Times New Roman" w:cs="Times New Roman"/>
          <w:b/>
          <w:sz w:val="36"/>
          <w:szCs w:val="22"/>
          <w:highlight w:val="none"/>
        </w:rPr>
        <w:t>第二部分  供应商须知</w:t>
      </w:r>
      <w:bookmarkEnd w:id="4"/>
      <w:bookmarkEnd w:id="5"/>
      <w:bookmarkStart w:id="6" w:name="_Toc184283909"/>
      <w:bookmarkStart w:id="7" w:name="_Toc184274915"/>
    </w:p>
    <w:p w14:paraId="5D2A771B">
      <w:pPr>
        <w:pStyle w:val="4"/>
        <w:keepNext/>
        <w:keepLines/>
        <w:spacing w:line="240" w:lineRule="auto"/>
        <w:rPr>
          <w:rFonts w:hint="default" w:ascii="Times New Roman" w:hAnsi="Times New Roman" w:cs="Times New Roman"/>
          <w:sz w:val="28"/>
          <w:szCs w:val="28"/>
          <w:highlight w:val="none"/>
        </w:rPr>
      </w:pPr>
      <w:bookmarkStart w:id="8" w:name="_Toc213396760"/>
      <w:bookmarkStart w:id="9" w:name="_Toc217446032"/>
      <w:bookmarkStart w:id="10" w:name="_Toc213396946"/>
      <w:bookmarkStart w:id="11" w:name="_Toc213397010"/>
      <w:bookmarkStart w:id="12" w:name="_Toc213496268"/>
      <w:bookmarkStart w:id="13" w:name="_Toc189727030"/>
      <w:bookmarkStart w:id="14" w:name="_Toc485883199"/>
      <w:r>
        <w:rPr>
          <w:rFonts w:hint="default" w:ascii="Times New Roman" w:hAnsi="Times New Roman" w:cs="Times New Roman"/>
          <w:sz w:val="28"/>
          <w:szCs w:val="28"/>
          <w:highlight w:val="none"/>
        </w:rPr>
        <w:t>供应商须知前列表</w:t>
      </w:r>
      <w:bookmarkEnd w:id="6"/>
      <w:bookmarkEnd w:id="7"/>
      <w:bookmarkEnd w:id="8"/>
      <w:bookmarkEnd w:id="9"/>
      <w:bookmarkEnd w:id="10"/>
      <w:bookmarkEnd w:id="11"/>
      <w:bookmarkEnd w:id="12"/>
      <w:bookmarkEnd w:id="13"/>
      <w:bookmarkEnd w:id="14"/>
    </w:p>
    <w:tbl>
      <w:tblPr>
        <w:tblStyle w:val="19"/>
        <w:tblpPr w:leftFromText="180" w:rightFromText="180" w:vertAnchor="text" w:tblpXSpec="center" w:tblpY="1"/>
        <w:tblOverlap w:val="never"/>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92"/>
        <w:gridCol w:w="6607"/>
      </w:tblGrid>
      <w:tr w14:paraId="449E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28E9E8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392" w:type="dxa"/>
            <w:vAlign w:val="center"/>
          </w:tcPr>
          <w:p w14:paraId="67767F3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条款名称</w:t>
            </w:r>
          </w:p>
        </w:tc>
        <w:tc>
          <w:tcPr>
            <w:tcW w:w="6607" w:type="dxa"/>
            <w:vAlign w:val="center"/>
          </w:tcPr>
          <w:p w14:paraId="244631C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编列内容</w:t>
            </w:r>
          </w:p>
        </w:tc>
      </w:tr>
      <w:tr w14:paraId="00AF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8DB6D4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392" w:type="dxa"/>
            <w:vAlign w:val="center"/>
          </w:tcPr>
          <w:p w14:paraId="412FD5B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607" w:type="dxa"/>
            <w:vAlign w:val="center"/>
          </w:tcPr>
          <w:p w14:paraId="5F2523B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名称：西安高新区第六十幼儿园</w:t>
            </w:r>
          </w:p>
          <w:p w14:paraId="47DB53A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地址：西安高新区科技八路以北、化龙三路以东</w:t>
            </w:r>
          </w:p>
          <w:p w14:paraId="01049A9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联系人：</w:t>
            </w:r>
            <w:r>
              <w:rPr>
                <w:rFonts w:hint="eastAsia" w:cs="Times New Roman"/>
                <w:color w:val="auto"/>
                <w:sz w:val="21"/>
                <w:szCs w:val="21"/>
                <w:highlight w:val="none"/>
                <w:lang w:val="en-US" w:eastAsia="zh-CN"/>
              </w:rPr>
              <w:t>赵</w:t>
            </w:r>
            <w:r>
              <w:rPr>
                <w:rFonts w:hint="default" w:ascii="Times New Roman" w:hAnsi="Times New Roman" w:eastAsia="宋体" w:cs="Times New Roman"/>
                <w:color w:val="auto"/>
                <w:sz w:val="21"/>
                <w:szCs w:val="21"/>
                <w:highlight w:val="none"/>
                <w:lang w:val="en-US" w:eastAsia="zh-CN"/>
              </w:rPr>
              <w:t>老师</w:t>
            </w:r>
          </w:p>
          <w:p w14:paraId="6246203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联系方式：029-87304226</w:t>
            </w:r>
          </w:p>
        </w:tc>
      </w:tr>
      <w:tr w14:paraId="298A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2E92A8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392" w:type="dxa"/>
            <w:vAlign w:val="center"/>
          </w:tcPr>
          <w:p w14:paraId="2A5B52C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607" w:type="dxa"/>
            <w:vAlign w:val="center"/>
          </w:tcPr>
          <w:p w14:paraId="012B1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r>
              <w:rPr>
                <w:rFonts w:hint="default" w:ascii="Times New Roman" w:hAnsi="Times New Roman" w:eastAsia="宋体" w:cs="Times New Roman"/>
                <w:color w:val="auto"/>
                <w:sz w:val="21"/>
                <w:szCs w:val="21"/>
                <w:highlight w:val="none"/>
              </w:rPr>
              <w:t>鼎正众创建设集团有限公司</w:t>
            </w:r>
          </w:p>
          <w:p w14:paraId="0AA23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地址：西安市高新区科技路48号创业广场B座15层1506室</w:t>
            </w:r>
          </w:p>
          <w:p w14:paraId="23937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联系人：董蔷芳、孙笑梅</w:t>
            </w:r>
          </w:p>
          <w:p w14:paraId="2483B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电话：15129241196 </w:t>
            </w:r>
            <w:r>
              <w:rPr>
                <w:rFonts w:hint="default" w:ascii="Times New Roman" w:hAnsi="Times New Roman" w:eastAsia="宋体" w:cs="Times New Roman"/>
                <w:color w:val="auto"/>
                <w:sz w:val="21"/>
                <w:szCs w:val="21"/>
                <w:highlight w:val="none"/>
              </w:rPr>
              <w:t xml:space="preserve"> </w:t>
            </w:r>
          </w:p>
        </w:tc>
      </w:tr>
      <w:tr w14:paraId="2B8C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27240A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392" w:type="dxa"/>
            <w:vAlign w:val="center"/>
          </w:tcPr>
          <w:p w14:paraId="0744C83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w:t>
            </w:r>
          </w:p>
        </w:tc>
        <w:tc>
          <w:tcPr>
            <w:tcW w:w="6607" w:type="dxa"/>
            <w:vAlign w:val="center"/>
          </w:tcPr>
          <w:p w14:paraId="4B0BF26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szCs w:val="21"/>
                <w:highlight w:val="none"/>
                <w:shd w:val="clear" w:color="auto" w:fill="FFFFFF"/>
                <w:lang w:val="en-US" w:eastAsia="zh-CN"/>
              </w:rPr>
              <w:t>一体机及玩教具</w:t>
            </w:r>
            <w:r>
              <w:rPr>
                <w:rFonts w:hint="eastAsia" w:cs="Times New Roman"/>
                <w:szCs w:val="21"/>
                <w:highlight w:val="none"/>
                <w:shd w:val="clear" w:color="auto" w:fill="FFFFFF"/>
                <w:lang w:val="en-US" w:eastAsia="zh-CN"/>
              </w:rPr>
              <w:t>采购项目</w:t>
            </w:r>
          </w:p>
        </w:tc>
      </w:tr>
      <w:tr w14:paraId="6575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A0D33D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392" w:type="dxa"/>
            <w:vAlign w:val="center"/>
          </w:tcPr>
          <w:p w14:paraId="6ECCBDD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w:t>
            </w:r>
          </w:p>
        </w:tc>
        <w:tc>
          <w:tcPr>
            <w:tcW w:w="6607" w:type="dxa"/>
            <w:vAlign w:val="center"/>
          </w:tcPr>
          <w:p w14:paraId="4EBF334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DZDL-2025-037Z</w:t>
            </w:r>
          </w:p>
        </w:tc>
      </w:tr>
      <w:tr w14:paraId="464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79C6D4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392" w:type="dxa"/>
            <w:vAlign w:val="center"/>
          </w:tcPr>
          <w:p w14:paraId="040603E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采购内容</w:t>
            </w:r>
          </w:p>
        </w:tc>
        <w:tc>
          <w:tcPr>
            <w:tcW w:w="6607" w:type="dxa"/>
            <w:vAlign w:val="center"/>
          </w:tcPr>
          <w:p w14:paraId="0B915A9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szCs w:val="21"/>
                <w:highlight w:val="none"/>
                <w:shd w:val="clear" w:color="auto" w:fill="FFFFFF"/>
                <w:lang w:val="en-US" w:eastAsia="zh-CN"/>
              </w:rPr>
              <w:t>一体机及玩教具</w:t>
            </w:r>
            <w:r>
              <w:rPr>
                <w:rFonts w:hint="eastAsia" w:cs="Times New Roman"/>
                <w:szCs w:val="21"/>
                <w:highlight w:val="none"/>
                <w:shd w:val="clear" w:color="auto" w:fill="FFFFFF"/>
                <w:lang w:val="en-US" w:eastAsia="zh-CN"/>
              </w:rPr>
              <w:t>采购项目</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lang w:eastAsia="zh-CN"/>
              </w:rPr>
              <w:t>班级一体机1套，班级玩教具一批，室内墙面操作玩具一批。</w:t>
            </w:r>
            <w:r>
              <w:rPr>
                <w:rFonts w:hint="eastAsia" w:cs="Times New Roman"/>
                <w:color w:val="auto"/>
                <w:sz w:val="21"/>
                <w:szCs w:val="21"/>
                <w:highlight w:val="none"/>
                <w:lang w:val="en-US" w:eastAsia="zh-CN"/>
              </w:rPr>
              <w:t>具体内容及要求详见本项目磋商文件。</w:t>
            </w:r>
          </w:p>
        </w:tc>
      </w:tr>
      <w:tr w14:paraId="1488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F41402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392" w:type="dxa"/>
            <w:vAlign w:val="center"/>
          </w:tcPr>
          <w:p w14:paraId="2DC86C5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是否预留份额</w:t>
            </w:r>
          </w:p>
          <w:p w14:paraId="0BF58BF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专门面向中小企业采购</w:t>
            </w:r>
          </w:p>
        </w:tc>
        <w:tc>
          <w:tcPr>
            <w:tcW w:w="6607" w:type="dxa"/>
            <w:vAlign w:val="center"/>
          </w:tcPr>
          <w:p w14:paraId="66E7021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否</w:t>
            </w:r>
          </w:p>
        </w:tc>
      </w:tr>
      <w:tr w14:paraId="5ACE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B04BDD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392" w:type="dxa"/>
            <w:vAlign w:val="center"/>
          </w:tcPr>
          <w:p w14:paraId="1886146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预算金额</w:t>
            </w:r>
          </w:p>
        </w:tc>
        <w:tc>
          <w:tcPr>
            <w:tcW w:w="6607" w:type="dxa"/>
            <w:vAlign w:val="center"/>
          </w:tcPr>
          <w:p w14:paraId="5E28E2A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129148.00</w:t>
            </w:r>
            <w:r>
              <w:rPr>
                <w:rFonts w:hint="default" w:ascii="Times New Roman" w:hAnsi="Times New Roman" w:eastAsia="宋体" w:cs="Times New Roman"/>
                <w:color w:val="auto"/>
                <w:sz w:val="21"/>
                <w:szCs w:val="21"/>
                <w:highlight w:val="none"/>
              </w:rPr>
              <w:t>元</w:t>
            </w:r>
          </w:p>
        </w:tc>
      </w:tr>
      <w:tr w14:paraId="4DED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8CE35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2392" w:type="dxa"/>
            <w:vAlign w:val="center"/>
          </w:tcPr>
          <w:p w14:paraId="0A2F7F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6607" w:type="dxa"/>
            <w:vAlign w:val="center"/>
          </w:tcPr>
          <w:p w14:paraId="4812168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129148.00</w:t>
            </w:r>
            <w:r>
              <w:rPr>
                <w:rFonts w:hint="default" w:ascii="Times New Roman" w:hAnsi="Times New Roman" w:eastAsia="宋体" w:cs="Times New Roman"/>
                <w:color w:val="auto"/>
                <w:sz w:val="21"/>
                <w:szCs w:val="21"/>
                <w:highlight w:val="none"/>
              </w:rPr>
              <w:t>元</w:t>
            </w:r>
          </w:p>
        </w:tc>
      </w:tr>
      <w:tr w14:paraId="700B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A9B799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2392" w:type="dxa"/>
            <w:vAlign w:val="center"/>
          </w:tcPr>
          <w:p w14:paraId="2E2B010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是否接受联合体</w:t>
            </w:r>
          </w:p>
        </w:tc>
        <w:tc>
          <w:tcPr>
            <w:tcW w:w="6607" w:type="dxa"/>
            <w:vAlign w:val="center"/>
          </w:tcPr>
          <w:p w14:paraId="1E068BA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否</w:t>
            </w:r>
          </w:p>
        </w:tc>
      </w:tr>
      <w:tr w14:paraId="7DC9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D18356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2392" w:type="dxa"/>
            <w:vAlign w:val="center"/>
          </w:tcPr>
          <w:p w14:paraId="523BD1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是否允许分包</w:t>
            </w:r>
          </w:p>
        </w:tc>
        <w:tc>
          <w:tcPr>
            <w:tcW w:w="6607" w:type="dxa"/>
            <w:vAlign w:val="center"/>
          </w:tcPr>
          <w:p w14:paraId="5015AB5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rPr>
              <w:t>允许分包</w:t>
            </w:r>
          </w:p>
        </w:tc>
      </w:tr>
      <w:tr w14:paraId="7026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274DF5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2392" w:type="dxa"/>
            <w:vAlign w:val="center"/>
          </w:tcPr>
          <w:p w14:paraId="5098F58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供货周期</w:t>
            </w:r>
          </w:p>
        </w:tc>
        <w:tc>
          <w:tcPr>
            <w:tcW w:w="6607" w:type="dxa"/>
            <w:vAlign w:val="center"/>
          </w:tcPr>
          <w:p w14:paraId="2298776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leftChars="0" w:right="0" w:right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合同签订后</w:t>
            </w: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zh-CN"/>
              </w:rPr>
              <w:t>个日历日内完成供货、安装并调试</w:t>
            </w:r>
          </w:p>
        </w:tc>
      </w:tr>
      <w:tr w14:paraId="1F06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AF8BEE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2392" w:type="dxa"/>
            <w:vAlign w:val="center"/>
          </w:tcPr>
          <w:p w14:paraId="40C112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质量标准</w:t>
            </w:r>
          </w:p>
        </w:tc>
        <w:tc>
          <w:tcPr>
            <w:tcW w:w="6607" w:type="dxa"/>
            <w:vAlign w:val="center"/>
          </w:tcPr>
          <w:p w14:paraId="02A8E7B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符合国家、省、市及行业相关规定要求</w:t>
            </w:r>
          </w:p>
        </w:tc>
      </w:tr>
      <w:tr w14:paraId="268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6" w:type="dxa"/>
            <w:vAlign w:val="center"/>
          </w:tcPr>
          <w:p w14:paraId="698FE10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2392" w:type="dxa"/>
            <w:vAlign w:val="center"/>
          </w:tcPr>
          <w:p w14:paraId="58600A3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供应商资格要求</w:t>
            </w:r>
          </w:p>
        </w:tc>
        <w:tc>
          <w:tcPr>
            <w:tcW w:w="6607" w:type="dxa"/>
            <w:vAlign w:val="center"/>
          </w:tcPr>
          <w:p w14:paraId="10826EE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r>
              <w:rPr>
                <w:rFonts w:hint="default" w:ascii="Times New Roman" w:hAnsi="Times New Roman" w:eastAsia="宋体" w:cs="Times New Roman"/>
                <w:color w:val="auto"/>
                <w:sz w:val="21"/>
                <w:szCs w:val="21"/>
                <w:highlight w:val="none"/>
              </w:rPr>
              <w:t>；</w:t>
            </w:r>
          </w:p>
          <w:p w14:paraId="353388E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（2）提供</w:t>
            </w:r>
            <w:r>
              <w:rPr>
                <w:rFonts w:hint="default" w:ascii="Times New Roman" w:hAnsi="Times New Roman" w:eastAsia="宋体" w:cs="Times New Roman"/>
                <w:color w:val="auto"/>
                <w:sz w:val="21"/>
                <w:szCs w:val="21"/>
                <w:highlight w:val="none"/>
                <w:lang w:val="en-US" w:eastAsia="zh-CN"/>
              </w:rPr>
              <w:t>2024年度</w:t>
            </w:r>
            <w:r>
              <w:rPr>
                <w:rFonts w:hint="default" w:ascii="Times New Roman" w:hAnsi="Times New Roman" w:eastAsia="宋体" w:cs="Times New Roman"/>
                <w:color w:val="auto"/>
                <w:sz w:val="21"/>
                <w:szCs w:val="21"/>
                <w:highlight w:val="none"/>
              </w:rPr>
              <w:t>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58671A5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提供投标截止时间前一年内的至少一个月的纳税证明或完税证明（任意税种），依法免税的单位应提供相关证明材料；</w:t>
            </w:r>
          </w:p>
          <w:p w14:paraId="01E35A7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提供投标截止时间前一年内至少一个月的社会保障资金缴存凭证或社保机构开具的社会保险参保缴费情况证明，依法不需要缴纳社会保障资金的单位应提供相关证明材料；</w:t>
            </w:r>
          </w:p>
          <w:p w14:paraId="4956250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参加采购活动近三年内经营活动中无重大违法记录声明；</w:t>
            </w:r>
          </w:p>
          <w:p w14:paraId="7ADE090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提供具有履行合同所必须的设备和专业技术能力的承诺书；</w:t>
            </w:r>
          </w:p>
          <w:p w14:paraId="6F163BD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法定代表人授权书（附法定代表人身份证复印件）及被授权人身份证（法定代表人直接参加磋商只须提供法定代表人身份证）；</w:t>
            </w:r>
          </w:p>
          <w:p w14:paraId="6F04585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供应商不得为“信用中国”网站（www.creditchina.gov.cn）中列入失信被执行人和重大税收违法失信主体，不得为中国政府采购网（www.ccgp.gov.cn）政府采购严重违法失信行为记录名单中被财政部门禁止参加政府采购活动供应商；（提供书面声明）</w:t>
            </w:r>
          </w:p>
          <w:p w14:paraId="2E151A3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本项目不接受联合体投标说明：</w:t>
            </w:r>
          </w:p>
          <w:p w14:paraId="63A4CAD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①单位负责人为同一人或者存在控股、管理关系的不同供应商，不得同时参加本项目采购活动。</w:t>
            </w:r>
          </w:p>
          <w:p w14:paraId="24DEBDB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②为本项目提供过整体设计、规范编制或者项目管理、监理、检测等服务的供应商，不得再参加本项目采购活动。</w:t>
            </w:r>
          </w:p>
        </w:tc>
      </w:tr>
      <w:tr w14:paraId="28E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A237C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2392" w:type="dxa"/>
            <w:vAlign w:val="center"/>
          </w:tcPr>
          <w:p w14:paraId="7138815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评标办法</w:t>
            </w:r>
          </w:p>
        </w:tc>
        <w:tc>
          <w:tcPr>
            <w:tcW w:w="6607" w:type="dxa"/>
            <w:vAlign w:val="center"/>
          </w:tcPr>
          <w:p w14:paraId="5BF2BD9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综合评分法</w:t>
            </w:r>
          </w:p>
        </w:tc>
      </w:tr>
      <w:tr w14:paraId="67E0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0C63E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392" w:type="dxa"/>
            <w:vAlign w:val="center"/>
          </w:tcPr>
          <w:p w14:paraId="5C32194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磋商有效期</w:t>
            </w:r>
          </w:p>
        </w:tc>
        <w:tc>
          <w:tcPr>
            <w:tcW w:w="6607" w:type="dxa"/>
            <w:vAlign w:val="center"/>
          </w:tcPr>
          <w:p w14:paraId="791B231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递交磋商响应文件截止之日起90日历天</w:t>
            </w:r>
          </w:p>
        </w:tc>
      </w:tr>
      <w:tr w14:paraId="3484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FF6D0F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2392" w:type="dxa"/>
            <w:vAlign w:val="center"/>
          </w:tcPr>
          <w:p w14:paraId="36E7FA9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磋商前答疑会</w:t>
            </w:r>
          </w:p>
        </w:tc>
        <w:tc>
          <w:tcPr>
            <w:tcW w:w="6607" w:type="dxa"/>
            <w:vAlign w:val="center"/>
          </w:tcPr>
          <w:p w14:paraId="36CF5B9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不组织</w:t>
            </w:r>
          </w:p>
        </w:tc>
      </w:tr>
      <w:tr w14:paraId="05F6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8DED06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2392" w:type="dxa"/>
            <w:vAlign w:val="center"/>
          </w:tcPr>
          <w:p w14:paraId="54F6E8E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供应商提出询问和质疑的时间</w:t>
            </w:r>
          </w:p>
        </w:tc>
        <w:tc>
          <w:tcPr>
            <w:tcW w:w="6607" w:type="dxa"/>
            <w:vAlign w:val="center"/>
          </w:tcPr>
          <w:p w14:paraId="549E71F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896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CDBFD1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2392" w:type="dxa"/>
            <w:vAlign w:val="center"/>
          </w:tcPr>
          <w:p w14:paraId="134131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是否允许备选磋商响应方案</w:t>
            </w:r>
          </w:p>
        </w:tc>
        <w:tc>
          <w:tcPr>
            <w:tcW w:w="6607" w:type="dxa"/>
            <w:vAlign w:val="center"/>
          </w:tcPr>
          <w:p w14:paraId="05DDC4F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否</w:t>
            </w:r>
          </w:p>
        </w:tc>
      </w:tr>
      <w:tr w14:paraId="45A3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5CBF04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2392" w:type="dxa"/>
            <w:vAlign w:val="center"/>
          </w:tcPr>
          <w:p w14:paraId="2DDB95A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磋商保证金</w:t>
            </w:r>
          </w:p>
        </w:tc>
        <w:tc>
          <w:tcPr>
            <w:tcW w:w="6607" w:type="dxa"/>
            <w:vAlign w:val="center"/>
          </w:tcPr>
          <w:p w14:paraId="5F80D92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14:paraId="6BBD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91EB02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2392" w:type="dxa"/>
            <w:vAlign w:val="center"/>
          </w:tcPr>
          <w:p w14:paraId="648027D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履约保证金</w:t>
            </w:r>
          </w:p>
        </w:tc>
        <w:tc>
          <w:tcPr>
            <w:tcW w:w="6607" w:type="dxa"/>
            <w:vAlign w:val="center"/>
          </w:tcPr>
          <w:p w14:paraId="4E44C3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14:paraId="7244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839E94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2392" w:type="dxa"/>
            <w:vAlign w:val="center"/>
          </w:tcPr>
          <w:p w14:paraId="426B189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签字、盖章</w:t>
            </w:r>
          </w:p>
        </w:tc>
        <w:tc>
          <w:tcPr>
            <w:tcW w:w="6607" w:type="dxa"/>
            <w:vAlign w:val="center"/>
          </w:tcPr>
          <w:p w14:paraId="64CC647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磋商响应文件中要求盖章签字的地方，均应按竞争性磋商文件要求签字、盖章。副本可以为正本的复印件，但签字、盖章页应为原件。</w:t>
            </w:r>
          </w:p>
        </w:tc>
      </w:tr>
      <w:tr w14:paraId="6305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45AD7C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2392" w:type="dxa"/>
            <w:tcBorders>
              <w:top w:val="single" w:color="auto" w:sz="4" w:space="0"/>
              <w:left w:val="single" w:color="auto" w:sz="4" w:space="0"/>
              <w:bottom w:val="single" w:color="auto" w:sz="4" w:space="0"/>
              <w:right w:val="single" w:color="auto" w:sz="4" w:space="0"/>
            </w:tcBorders>
            <w:vAlign w:val="center"/>
          </w:tcPr>
          <w:p w14:paraId="0DC993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磋商响应文件份数</w:t>
            </w:r>
          </w:p>
        </w:tc>
        <w:tc>
          <w:tcPr>
            <w:tcW w:w="6607" w:type="dxa"/>
            <w:tcBorders>
              <w:top w:val="single" w:color="auto" w:sz="4" w:space="0"/>
              <w:left w:val="single" w:color="auto" w:sz="4" w:space="0"/>
              <w:bottom w:val="single" w:color="auto" w:sz="4" w:space="0"/>
              <w:right w:val="single" w:color="auto" w:sz="4" w:space="0"/>
            </w:tcBorders>
            <w:vAlign w:val="center"/>
          </w:tcPr>
          <w:p w14:paraId="1375485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正本壹份，副本贰份，电子版（U盘）两份</w:t>
            </w:r>
          </w:p>
        </w:tc>
      </w:tr>
      <w:tr w14:paraId="3562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C246C8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2392" w:type="dxa"/>
            <w:tcBorders>
              <w:top w:val="single" w:color="auto" w:sz="4" w:space="0"/>
              <w:left w:val="single" w:color="auto" w:sz="4" w:space="0"/>
              <w:bottom w:val="single" w:color="auto" w:sz="4" w:space="0"/>
              <w:right w:val="single" w:color="auto" w:sz="4" w:space="0"/>
            </w:tcBorders>
            <w:vAlign w:val="center"/>
          </w:tcPr>
          <w:p w14:paraId="1FF387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电子版文件要求</w:t>
            </w:r>
          </w:p>
        </w:tc>
        <w:tc>
          <w:tcPr>
            <w:tcW w:w="6607" w:type="dxa"/>
            <w:tcBorders>
              <w:top w:val="single" w:color="auto" w:sz="4" w:space="0"/>
              <w:left w:val="single" w:color="auto" w:sz="4" w:space="0"/>
              <w:bottom w:val="single" w:color="auto" w:sz="4" w:space="0"/>
              <w:right w:val="single" w:color="auto" w:sz="4" w:space="0"/>
            </w:tcBorders>
            <w:vAlign w:val="center"/>
          </w:tcPr>
          <w:p w14:paraId="6D7B24E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格式和载体要求：</w:t>
            </w:r>
          </w:p>
          <w:p w14:paraId="1723A4F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1）电子版响应文件为Word版本和PDF版本，PDF版本为签字、盖章的完整正本扫描件）</w:t>
            </w:r>
          </w:p>
          <w:p w14:paraId="73E4634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2）供应商须保证响应文件的纸质文件与电子文档保持一致；</w:t>
            </w:r>
          </w:p>
          <w:p w14:paraId="6FB7E2A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3）U盘表面标明项目名称、供应商名称等信息，便于与其他供应商U盘区分</w:t>
            </w:r>
          </w:p>
        </w:tc>
      </w:tr>
      <w:tr w14:paraId="78BB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5DE860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2392" w:type="dxa"/>
            <w:tcBorders>
              <w:top w:val="single" w:color="auto" w:sz="4" w:space="0"/>
              <w:left w:val="single" w:color="auto" w:sz="4" w:space="0"/>
              <w:bottom w:val="single" w:color="auto" w:sz="4" w:space="0"/>
              <w:right w:val="single" w:color="auto" w:sz="4" w:space="0"/>
            </w:tcBorders>
            <w:vAlign w:val="center"/>
          </w:tcPr>
          <w:p w14:paraId="188E958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装订、包装、密封及标记要求</w:t>
            </w:r>
          </w:p>
        </w:tc>
        <w:tc>
          <w:tcPr>
            <w:tcW w:w="6607" w:type="dxa"/>
            <w:tcBorders>
              <w:top w:val="single" w:color="auto" w:sz="4" w:space="0"/>
              <w:left w:val="single" w:color="auto" w:sz="4" w:space="0"/>
              <w:bottom w:val="single" w:color="auto" w:sz="4" w:space="0"/>
              <w:right w:val="single" w:color="auto" w:sz="4" w:space="0"/>
            </w:tcBorders>
            <w:vAlign w:val="center"/>
          </w:tcPr>
          <w:p w14:paraId="367B753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1）文件正、副本应分别装订成册，装订应牢固、不易拆散和换页，不得采用活页装订。</w:t>
            </w:r>
          </w:p>
          <w:p w14:paraId="154A228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2）密封包装方式（共3包）：</w:t>
            </w:r>
          </w:p>
          <w:p w14:paraId="42ED029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①磋商响应文件正本一包密封。</w:t>
            </w:r>
          </w:p>
          <w:p w14:paraId="3ADF527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②磋商响应文件副本一包密封。</w:t>
            </w:r>
          </w:p>
          <w:p w14:paraId="1D5B113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③磋商响应文件电子版一包密封。</w:t>
            </w:r>
          </w:p>
          <w:p w14:paraId="6AD21E3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3）封套上应写明：</w:t>
            </w:r>
          </w:p>
          <w:p w14:paraId="3376BD8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                    正本/副本/电子版</w:t>
            </w:r>
          </w:p>
          <w:p w14:paraId="192A10E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                  </w:t>
            </w:r>
          </w:p>
          <w:p w14:paraId="7FAD211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w:t>
            </w:r>
          </w:p>
          <w:p w14:paraId="1579CB2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    年  月  日 时  分前不得开启</w:t>
            </w:r>
          </w:p>
          <w:p w14:paraId="2AEE1E1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供应商名称：              （公章）</w:t>
            </w:r>
          </w:p>
          <w:p w14:paraId="763730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法定代表人或授权代表：   （签字或盖章）</w:t>
            </w:r>
          </w:p>
        </w:tc>
      </w:tr>
      <w:tr w14:paraId="30AB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01C340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2392" w:type="dxa"/>
            <w:tcBorders>
              <w:top w:val="single" w:color="auto" w:sz="4" w:space="0"/>
              <w:left w:val="single" w:color="auto" w:sz="4" w:space="0"/>
              <w:bottom w:val="single" w:color="auto" w:sz="4" w:space="0"/>
              <w:right w:val="single" w:color="auto" w:sz="4" w:space="0"/>
            </w:tcBorders>
            <w:vAlign w:val="center"/>
          </w:tcPr>
          <w:p w14:paraId="121CD81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磋商响应文件递交截止时间和地点</w:t>
            </w:r>
          </w:p>
        </w:tc>
        <w:tc>
          <w:tcPr>
            <w:tcW w:w="6607" w:type="dxa"/>
            <w:tcBorders>
              <w:top w:val="single" w:color="auto" w:sz="4" w:space="0"/>
              <w:left w:val="single" w:color="auto" w:sz="4" w:space="0"/>
              <w:bottom w:val="single" w:color="auto" w:sz="4" w:space="0"/>
              <w:right w:val="single" w:color="auto" w:sz="4" w:space="0"/>
            </w:tcBorders>
            <w:vAlign w:val="center"/>
          </w:tcPr>
          <w:p w14:paraId="033AF44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磋商响应文件递交截止时间：202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29</w:t>
            </w:r>
            <w:r>
              <w:rPr>
                <w:rFonts w:hint="default" w:ascii="Times New Roman" w:hAnsi="Times New Roman" w:eastAsia="宋体" w:cs="Times New Roman"/>
                <w:color w:val="auto"/>
                <w:sz w:val="21"/>
                <w:szCs w:val="21"/>
                <w:highlight w:val="none"/>
              </w:rPr>
              <w:t>日</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时</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0分00秒（北京时间）</w:t>
            </w:r>
          </w:p>
          <w:p w14:paraId="42AF86A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磋商响应文件递交地点：</w:t>
            </w:r>
            <w:r>
              <w:rPr>
                <w:rFonts w:hint="default" w:ascii="Times New Roman" w:hAnsi="Times New Roman" w:eastAsia="宋体" w:cs="Times New Roman"/>
                <w:color w:val="auto"/>
                <w:sz w:val="21"/>
                <w:szCs w:val="21"/>
                <w:highlight w:val="none"/>
                <w:lang w:val="en-US" w:eastAsia="zh-CN"/>
              </w:rPr>
              <w:t>西安市高新区科技路48号创业广场B座15层1506室会议室</w:t>
            </w:r>
          </w:p>
          <w:p w14:paraId="2CBD802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磋商响应文件接收人</w:t>
            </w:r>
            <w:r>
              <w:rPr>
                <w:rFonts w:hint="default" w:ascii="Times New Roman" w:hAnsi="Times New Roman" w:eastAsia="宋体" w:cs="Times New Roman"/>
                <w:color w:val="auto"/>
                <w:sz w:val="21"/>
                <w:szCs w:val="21"/>
                <w:highlight w:val="none"/>
                <w:lang w:eastAsia="zh-CN"/>
              </w:rPr>
              <w:t>：鼎正众创建设集团有限公司</w:t>
            </w:r>
          </w:p>
        </w:tc>
      </w:tr>
      <w:tr w14:paraId="7AF6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E67818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2392" w:type="dxa"/>
            <w:tcBorders>
              <w:top w:val="single" w:color="auto" w:sz="4" w:space="0"/>
              <w:left w:val="single" w:color="auto" w:sz="4" w:space="0"/>
              <w:bottom w:val="single" w:color="auto" w:sz="4" w:space="0"/>
              <w:right w:val="single" w:color="auto" w:sz="4" w:space="0"/>
            </w:tcBorders>
            <w:vAlign w:val="center"/>
          </w:tcPr>
          <w:p w14:paraId="16954C3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磋商时间和地点</w:t>
            </w:r>
          </w:p>
        </w:tc>
        <w:tc>
          <w:tcPr>
            <w:tcW w:w="6607" w:type="dxa"/>
            <w:tcBorders>
              <w:top w:val="single" w:color="auto" w:sz="4" w:space="0"/>
              <w:left w:val="single" w:color="auto" w:sz="4" w:space="0"/>
              <w:bottom w:val="single" w:color="auto" w:sz="4" w:space="0"/>
              <w:right w:val="single" w:color="auto" w:sz="4" w:space="0"/>
            </w:tcBorders>
            <w:vAlign w:val="center"/>
          </w:tcPr>
          <w:p w14:paraId="26A8E0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29</w:t>
            </w:r>
            <w:r>
              <w:rPr>
                <w:rFonts w:hint="default" w:ascii="Times New Roman" w:hAnsi="Times New Roman" w:eastAsia="宋体" w:cs="Times New Roman"/>
                <w:color w:val="auto"/>
                <w:sz w:val="21"/>
                <w:szCs w:val="21"/>
                <w:highlight w:val="none"/>
              </w:rPr>
              <w:t>日</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时</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0分00秒（北京时间）</w:t>
            </w:r>
          </w:p>
          <w:p w14:paraId="46B6AB2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地点：</w:t>
            </w:r>
            <w:r>
              <w:rPr>
                <w:rFonts w:hint="default" w:ascii="Times New Roman" w:hAnsi="Times New Roman" w:eastAsia="宋体" w:cs="Times New Roman"/>
                <w:color w:val="auto"/>
                <w:sz w:val="21"/>
                <w:szCs w:val="21"/>
                <w:highlight w:val="none"/>
                <w:lang w:val="en-US" w:eastAsia="zh-CN"/>
              </w:rPr>
              <w:t>西安市高新区科技路48号创业广场B座15层1506室会议室</w:t>
            </w:r>
          </w:p>
        </w:tc>
      </w:tr>
      <w:tr w14:paraId="110E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E71F55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2392" w:type="dxa"/>
            <w:tcBorders>
              <w:top w:val="single" w:color="auto" w:sz="4" w:space="0"/>
              <w:left w:val="single" w:color="auto" w:sz="4" w:space="0"/>
              <w:bottom w:val="single" w:color="auto" w:sz="4" w:space="0"/>
              <w:right w:val="single" w:color="auto" w:sz="4" w:space="0"/>
            </w:tcBorders>
            <w:vAlign w:val="center"/>
          </w:tcPr>
          <w:p w14:paraId="7EB729F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磋商报价次数、磋商程序和最终报价的产生原则</w:t>
            </w:r>
          </w:p>
        </w:tc>
        <w:tc>
          <w:tcPr>
            <w:tcW w:w="6607" w:type="dxa"/>
            <w:tcBorders>
              <w:top w:val="single" w:color="auto" w:sz="4" w:space="0"/>
              <w:left w:val="single" w:color="auto" w:sz="4" w:space="0"/>
              <w:bottom w:val="single" w:color="auto" w:sz="4" w:space="0"/>
              <w:right w:val="single" w:color="auto" w:sz="4" w:space="0"/>
            </w:tcBorders>
            <w:vAlign w:val="center"/>
          </w:tcPr>
          <w:p w14:paraId="6359373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本次磋商采用二轮报价。</w:t>
            </w:r>
          </w:p>
          <w:p w14:paraId="53625CE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磋商程序为：响应文件密封情况查验、开启响应文件、供应商资格性审查、符合性审查、磋商过程、第二次报价及综合评审等阶段。</w:t>
            </w:r>
          </w:p>
          <w:p w14:paraId="77A1EF8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采购人对响应文件进行资格性审查；</w:t>
            </w:r>
          </w:p>
          <w:p w14:paraId="36EA0E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磋商小组对资格审查合格的响应文件进行符合性评审；</w:t>
            </w:r>
          </w:p>
          <w:p w14:paraId="6B32747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磋商小组与每家供应商单独进行磋商；</w:t>
            </w:r>
          </w:p>
          <w:p w14:paraId="29322E8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供应商按照要求提交二次报价（由法定代表人或被授权人磋商现场填报）；</w:t>
            </w:r>
          </w:p>
          <w:p w14:paraId="5FE02B0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磋商小组评审、推荐成交候选人。</w:t>
            </w:r>
          </w:p>
        </w:tc>
      </w:tr>
      <w:tr w14:paraId="2B44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72CBE7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2392" w:type="dxa"/>
            <w:tcBorders>
              <w:top w:val="single" w:color="auto" w:sz="4" w:space="0"/>
              <w:left w:val="single" w:color="auto" w:sz="4" w:space="0"/>
              <w:bottom w:val="single" w:color="auto" w:sz="4" w:space="0"/>
              <w:right w:val="single" w:color="auto" w:sz="4" w:space="0"/>
            </w:tcBorders>
            <w:vAlign w:val="center"/>
          </w:tcPr>
          <w:p w14:paraId="5357B157">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磋商小组的组建</w:t>
            </w:r>
          </w:p>
        </w:tc>
        <w:tc>
          <w:tcPr>
            <w:tcW w:w="6607" w:type="dxa"/>
            <w:tcBorders>
              <w:top w:val="single" w:color="auto" w:sz="4" w:space="0"/>
              <w:left w:val="single" w:color="auto" w:sz="4" w:space="0"/>
              <w:bottom w:val="single" w:color="auto" w:sz="4" w:space="0"/>
              <w:right w:val="single" w:color="auto" w:sz="4" w:space="0"/>
            </w:tcBorders>
            <w:vAlign w:val="center"/>
          </w:tcPr>
          <w:p w14:paraId="5C7C1EF9">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kern w:val="2"/>
                <w:sz w:val="21"/>
                <w:szCs w:val="21"/>
                <w:highlight w:val="none"/>
                <w:lang w:val="zh-CN"/>
              </w:rPr>
            </w:pPr>
            <w:r>
              <w:rPr>
                <w:rFonts w:hint="default" w:ascii="Times New Roman" w:hAnsi="Times New Roman" w:eastAsia="宋体" w:cs="Times New Roman"/>
                <w:color w:val="auto"/>
                <w:kern w:val="2"/>
                <w:sz w:val="21"/>
                <w:szCs w:val="21"/>
                <w:highlight w:val="none"/>
                <w:lang w:val="zh-CN"/>
              </w:rPr>
              <w:t>磋商小组构成形式、人数，评审专家确定方式：</w:t>
            </w:r>
          </w:p>
          <w:p w14:paraId="59EF87D9">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详见供应商须知第</w:t>
            </w:r>
            <w:r>
              <w:rPr>
                <w:rFonts w:hint="default" w:ascii="Times New Roman" w:hAnsi="Times New Roman" w:eastAsia="宋体" w:cs="Times New Roman"/>
                <w:color w:val="auto"/>
                <w:kern w:val="2"/>
                <w:sz w:val="21"/>
                <w:szCs w:val="21"/>
                <w:highlight w:val="none"/>
                <w:lang w:val="en-US" w:eastAsia="zh-CN"/>
              </w:rPr>
              <w:t>19</w:t>
            </w:r>
            <w:r>
              <w:rPr>
                <w:rFonts w:hint="default" w:ascii="Times New Roman" w:hAnsi="Times New Roman" w:eastAsia="宋体" w:cs="Times New Roman"/>
                <w:color w:val="auto"/>
                <w:kern w:val="2"/>
                <w:sz w:val="21"/>
                <w:szCs w:val="21"/>
                <w:highlight w:val="none"/>
                <w:lang w:val="zh-CN"/>
              </w:rPr>
              <w:t>条款</w:t>
            </w:r>
          </w:p>
        </w:tc>
      </w:tr>
      <w:tr w14:paraId="18E3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737B9C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2392" w:type="dxa"/>
            <w:tcBorders>
              <w:top w:val="single" w:color="auto" w:sz="4" w:space="0"/>
              <w:left w:val="single" w:color="auto" w:sz="4" w:space="0"/>
              <w:bottom w:val="single" w:color="auto" w:sz="4" w:space="0"/>
              <w:right w:val="single" w:color="auto" w:sz="4" w:space="0"/>
            </w:tcBorders>
            <w:vAlign w:val="center"/>
          </w:tcPr>
          <w:p w14:paraId="1C1ECD45">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磋商小组推荐成交候选人的家数</w:t>
            </w:r>
          </w:p>
        </w:tc>
        <w:tc>
          <w:tcPr>
            <w:tcW w:w="6607" w:type="dxa"/>
            <w:tcBorders>
              <w:top w:val="single" w:color="auto" w:sz="4" w:space="0"/>
              <w:left w:val="single" w:color="auto" w:sz="4" w:space="0"/>
              <w:bottom w:val="single" w:color="auto" w:sz="4" w:space="0"/>
              <w:right w:val="single" w:color="auto" w:sz="4" w:space="0"/>
            </w:tcBorders>
            <w:vAlign w:val="center"/>
          </w:tcPr>
          <w:p w14:paraId="3346746A">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105" w:leftChars="50" w:right="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 xml:space="preserve">3 </w:t>
            </w:r>
          </w:p>
        </w:tc>
      </w:tr>
      <w:tr w14:paraId="0D52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BEF375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2392" w:type="dxa"/>
            <w:tcBorders>
              <w:top w:val="single" w:color="auto" w:sz="4" w:space="0"/>
              <w:left w:val="single" w:color="auto" w:sz="4" w:space="0"/>
              <w:bottom w:val="single" w:color="auto" w:sz="4" w:space="0"/>
              <w:right w:val="single" w:color="auto" w:sz="4" w:space="0"/>
            </w:tcBorders>
            <w:vAlign w:val="center"/>
          </w:tcPr>
          <w:p w14:paraId="54FC2D8C">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是否授权磋商小组确定成交供应商</w:t>
            </w:r>
          </w:p>
        </w:tc>
        <w:tc>
          <w:tcPr>
            <w:tcW w:w="6607" w:type="dxa"/>
            <w:tcBorders>
              <w:top w:val="single" w:color="auto" w:sz="4" w:space="0"/>
              <w:left w:val="single" w:color="auto" w:sz="4" w:space="0"/>
              <w:bottom w:val="single" w:color="auto" w:sz="4" w:space="0"/>
              <w:right w:val="single" w:color="auto" w:sz="4" w:space="0"/>
            </w:tcBorders>
            <w:vAlign w:val="center"/>
          </w:tcPr>
          <w:p w14:paraId="55A8ABFC">
            <w:pPr>
              <w:pStyle w:val="30"/>
              <w:keepNext w:val="0"/>
              <w:keepLines w:val="0"/>
              <w:pageBreakBefore w:val="0"/>
              <w:widowControl w:val="0"/>
              <w:suppressLineNumbers w:val="0"/>
              <w:tabs>
                <w:tab w:val="left" w:pos="561"/>
              </w:tabs>
              <w:kinsoku/>
              <w:wordWrap/>
              <w:overflowPunct/>
              <w:topLinePunct w:val="0"/>
              <w:bidi w:val="0"/>
              <w:adjustRightInd/>
              <w:snapToGrid/>
              <w:spacing w:before="0" w:beforeAutospacing="0" w:after="0" w:afterAutospacing="0" w:line="360" w:lineRule="exact"/>
              <w:ind w:left="105" w:leftChars="50" w:right="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t>否</w:t>
            </w:r>
          </w:p>
        </w:tc>
      </w:tr>
      <w:tr w14:paraId="509C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8C3902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2392" w:type="dxa"/>
            <w:tcBorders>
              <w:top w:val="single" w:color="auto" w:sz="4" w:space="0"/>
              <w:left w:val="single" w:color="auto" w:sz="4" w:space="0"/>
              <w:bottom w:val="single" w:color="auto" w:sz="4" w:space="0"/>
              <w:right w:val="single" w:color="auto" w:sz="4" w:space="0"/>
            </w:tcBorders>
            <w:vAlign w:val="center"/>
          </w:tcPr>
          <w:p w14:paraId="1B1C265C">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lang w:val="zh-CN"/>
              </w:rPr>
            </w:pPr>
            <w:r>
              <w:rPr>
                <w:rFonts w:hint="default" w:ascii="Times New Roman" w:hAnsi="Times New Roman" w:eastAsia="宋体" w:cs="Times New Roman"/>
                <w:color w:val="auto"/>
                <w:kern w:val="2"/>
                <w:sz w:val="21"/>
                <w:szCs w:val="21"/>
                <w:highlight w:val="none"/>
                <w:lang w:val="zh-CN"/>
              </w:rPr>
              <w:t>发布成交公告的</w:t>
            </w:r>
          </w:p>
          <w:p w14:paraId="41D4FD83">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时间、媒介和期限</w:t>
            </w:r>
          </w:p>
        </w:tc>
        <w:tc>
          <w:tcPr>
            <w:tcW w:w="6607" w:type="dxa"/>
            <w:tcBorders>
              <w:top w:val="single" w:color="auto" w:sz="4" w:space="0"/>
              <w:left w:val="single" w:color="auto" w:sz="4" w:space="0"/>
              <w:bottom w:val="single" w:color="auto" w:sz="4" w:space="0"/>
              <w:right w:val="single" w:color="auto" w:sz="4" w:space="0"/>
            </w:tcBorders>
            <w:vAlign w:val="center"/>
          </w:tcPr>
          <w:p w14:paraId="4601F026">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kern w:val="2"/>
                <w:sz w:val="21"/>
                <w:szCs w:val="21"/>
                <w:highlight w:val="none"/>
                <w:lang w:val="zh-CN"/>
              </w:rPr>
            </w:pPr>
            <w:r>
              <w:rPr>
                <w:rFonts w:hint="default" w:ascii="Times New Roman" w:hAnsi="Times New Roman" w:eastAsia="宋体" w:cs="Times New Roman"/>
                <w:color w:val="auto"/>
                <w:kern w:val="2"/>
                <w:sz w:val="21"/>
                <w:szCs w:val="21"/>
                <w:highlight w:val="none"/>
                <w:lang w:val="zh-CN"/>
              </w:rPr>
              <w:t>公告时间：在确定成交供应商之日起2个工作日内</w:t>
            </w:r>
          </w:p>
          <w:p w14:paraId="37084999">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zh-CN"/>
              </w:rPr>
              <w:t>公告媒介：陕西</w:t>
            </w:r>
            <w:r>
              <w:rPr>
                <w:rFonts w:hint="default" w:ascii="Times New Roman" w:hAnsi="Times New Roman" w:cs="Times New Roman"/>
                <w:color w:val="auto"/>
                <w:kern w:val="2"/>
                <w:sz w:val="21"/>
                <w:szCs w:val="21"/>
                <w:highlight w:val="none"/>
                <w:lang w:val="en-US" w:eastAsia="zh-CN"/>
              </w:rPr>
              <w:t>省政府采购网</w:t>
            </w:r>
          </w:p>
          <w:p w14:paraId="6A49940A">
            <w:pPr>
              <w:pStyle w:val="30"/>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CN"/>
              </w:rPr>
              <w:t>公告期限：1个工作日</w:t>
            </w:r>
          </w:p>
        </w:tc>
      </w:tr>
      <w:tr w14:paraId="04A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48249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2392" w:type="dxa"/>
            <w:tcBorders>
              <w:top w:val="single" w:color="auto" w:sz="4" w:space="0"/>
              <w:left w:val="single" w:color="auto" w:sz="4" w:space="0"/>
              <w:bottom w:val="single" w:color="auto" w:sz="4" w:space="0"/>
              <w:right w:val="single" w:color="auto" w:sz="4" w:space="0"/>
            </w:tcBorders>
            <w:vAlign w:val="center"/>
          </w:tcPr>
          <w:p w14:paraId="5ABA2B3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607" w:type="dxa"/>
            <w:tcBorders>
              <w:top w:val="single" w:color="auto" w:sz="4" w:space="0"/>
              <w:left w:val="single" w:color="auto" w:sz="4" w:space="0"/>
              <w:bottom w:val="single" w:color="auto" w:sz="4" w:space="0"/>
              <w:right w:val="single" w:color="auto" w:sz="4" w:space="0"/>
            </w:tcBorders>
            <w:vAlign w:val="center"/>
          </w:tcPr>
          <w:p w14:paraId="024A9A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1、收费标准：</w:t>
            </w:r>
            <w:bookmarkStart w:id="164" w:name="_GoBack"/>
            <w:r>
              <w:rPr>
                <w:rFonts w:hint="default" w:ascii="Times New Roman" w:hAnsi="Times New Roman" w:eastAsia="宋体" w:cs="Times New Roman"/>
                <w:color w:val="auto"/>
                <w:sz w:val="21"/>
                <w:szCs w:val="21"/>
                <w:highlight w:val="none"/>
              </w:rPr>
              <w:t>招标代理服务费</w:t>
            </w:r>
            <w:r>
              <w:rPr>
                <w:rFonts w:hint="default" w:ascii="Times New Roman" w:hAnsi="Times New Roman" w:eastAsia="宋体"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《招标代理服务收费管理暂行办法》（计价格[2002]1980号）文件标准收取，由成交供应商在领取中标通知书之前，向采购代理机构一次支付全额招标代理服务费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不足</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000元按</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000元计取。</w:t>
            </w:r>
          </w:p>
          <w:bookmarkEnd w:id="164"/>
          <w:p w14:paraId="3E99F6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2、汇款账号：</w:t>
            </w:r>
          </w:p>
          <w:p w14:paraId="0F52A9E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开户行名称：</w:t>
            </w:r>
            <w:r>
              <w:rPr>
                <w:rFonts w:hint="default" w:ascii="Times New Roman" w:hAnsi="Times New Roman" w:eastAsia="宋体" w:cs="Times New Roman"/>
                <w:color w:val="auto"/>
                <w:sz w:val="21"/>
                <w:szCs w:val="21"/>
                <w:highlight w:val="none"/>
                <w:lang w:eastAsia="zh-CN"/>
              </w:rPr>
              <w:t>鼎正众创建设集团有限公司</w:t>
            </w:r>
          </w:p>
          <w:p w14:paraId="4186E26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  户  行：中国建设银行股份有限公司西安高新科技支行</w:t>
            </w:r>
          </w:p>
          <w:p w14:paraId="30D04AD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帐      号：61001925700052502502</w:t>
            </w:r>
          </w:p>
          <w:p w14:paraId="3777AD1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联系方式：</w:t>
            </w:r>
            <w:r>
              <w:rPr>
                <w:rFonts w:hint="default" w:ascii="Times New Roman" w:hAnsi="Times New Roman" w:eastAsia="宋体" w:cs="Times New Roman"/>
                <w:color w:val="auto"/>
                <w:sz w:val="21"/>
                <w:szCs w:val="21"/>
                <w:highlight w:val="none"/>
                <w:lang w:val="en-US" w:eastAsia="zh-CN"/>
              </w:rPr>
              <w:t>15129241196</w:t>
            </w:r>
          </w:p>
          <w:p w14:paraId="2D9B6AA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备注：供应商在汇款（招标代理服务费）时须注明项目编号+项目简称</w:t>
            </w:r>
          </w:p>
        </w:tc>
      </w:tr>
      <w:tr w14:paraId="6E62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601811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bookmarkStart w:id="15" w:name="_Toc144"/>
            <w:bookmarkStart w:id="16" w:name="_Toc10488"/>
            <w:r>
              <w:rPr>
                <w:rFonts w:hint="default" w:ascii="Times New Roman" w:hAnsi="Times New Roman" w:eastAsia="宋体" w:cs="Times New Roman"/>
                <w:color w:val="auto"/>
                <w:sz w:val="21"/>
                <w:szCs w:val="21"/>
                <w:highlight w:val="none"/>
              </w:rPr>
              <w:t>34</w:t>
            </w:r>
          </w:p>
        </w:tc>
        <w:tc>
          <w:tcPr>
            <w:tcW w:w="2392" w:type="dxa"/>
            <w:vAlign w:val="center"/>
          </w:tcPr>
          <w:p w14:paraId="186F71E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信用担保和信用融资</w:t>
            </w:r>
          </w:p>
        </w:tc>
        <w:tc>
          <w:tcPr>
            <w:tcW w:w="6607" w:type="dxa"/>
            <w:vAlign w:val="center"/>
          </w:tcPr>
          <w:p w14:paraId="0C6B308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14:paraId="711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9BC951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2392" w:type="dxa"/>
            <w:vAlign w:val="center"/>
          </w:tcPr>
          <w:p w14:paraId="097299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所属行业</w:t>
            </w:r>
          </w:p>
        </w:tc>
        <w:tc>
          <w:tcPr>
            <w:tcW w:w="6607" w:type="dxa"/>
            <w:vAlign w:val="center"/>
          </w:tcPr>
          <w:p w14:paraId="4AE5DC7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采购标的对应的中小企业划分标准所属行业为</w:t>
            </w:r>
            <w:r>
              <w:rPr>
                <w:rFonts w:hint="eastAsia" w:cs="Times New Roman"/>
                <w:color w:val="auto"/>
                <w:sz w:val="21"/>
                <w:szCs w:val="21"/>
                <w:highlight w:val="none"/>
                <w:lang w:val="en-US" w:eastAsia="zh-CN"/>
              </w:rPr>
              <w:t>工业</w:t>
            </w:r>
            <w:r>
              <w:rPr>
                <w:rFonts w:hint="default" w:ascii="Times New Roman" w:hAnsi="Times New Roman" w:eastAsia="宋体" w:cs="Times New Roman"/>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A6E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6CDACE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w:t>
            </w:r>
          </w:p>
        </w:tc>
        <w:tc>
          <w:tcPr>
            <w:tcW w:w="2392" w:type="dxa"/>
            <w:vAlign w:val="center"/>
          </w:tcPr>
          <w:p w14:paraId="652DE08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核心产品</w:t>
            </w:r>
          </w:p>
        </w:tc>
        <w:tc>
          <w:tcPr>
            <w:tcW w:w="6607" w:type="dxa"/>
            <w:vAlign w:val="center"/>
          </w:tcPr>
          <w:p w14:paraId="0212392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核心产品，不同供应商提供了任意一个相同品牌的核心产品，即视为提供相同品牌的供应商。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1736F50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textAlignment w:val="auto"/>
              <w:rPr>
                <w:rFonts w:hint="default" w:ascii="Times New Roman" w:hAnsi="Times New Roman" w:eastAsia="宋体" w:cs="Times New Roman"/>
                <w:color w:val="auto"/>
                <w:sz w:val="21"/>
                <w:szCs w:val="21"/>
                <w:highlight w:val="none"/>
              </w:rPr>
            </w:pPr>
            <w:r>
              <w:rPr>
                <w:rFonts w:hint="eastAsia" w:cs="Times New Roman"/>
                <w:b/>
                <w:bCs/>
                <w:color w:val="auto"/>
                <w:sz w:val="21"/>
                <w:szCs w:val="21"/>
                <w:highlight w:val="none"/>
                <w:lang w:val="en-US" w:eastAsia="zh-CN"/>
              </w:rPr>
              <w:t>本项目</w:t>
            </w:r>
            <w:r>
              <w:rPr>
                <w:rFonts w:hint="default" w:ascii="Times New Roman" w:hAnsi="Times New Roman" w:eastAsia="宋体" w:cs="Times New Roman"/>
                <w:b/>
                <w:bCs/>
                <w:color w:val="auto"/>
                <w:sz w:val="21"/>
                <w:szCs w:val="21"/>
                <w:highlight w:val="none"/>
                <w:lang w:val="en-US" w:eastAsia="zh-CN"/>
              </w:rPr>
              <w:t>核心产品</w:t>
            </w:r>
            <w:r>
              <w:rPr>
                <w:rFonts w:hint="eastAsia" w:cs="Times New Roman"/>
                <w:b/>
                <w:bCs/>
                <w:color w:val="auto"/>
                <w:sz w:val="21"/>
                <w:szCs w:val="21"/>
                <w:highlight w:val="none"/>
                <w:lang w:val="en-US" w:eastAsia="zh-CN"/>
              </w:rPr>
              <w:t>为</w:t>
            </w:r>
            <w:r>
              <w:rPr>
                <w:rFonts w:hint="eastAsia" w:ascii="宋体" w:hAnsi="宋体" w:eastAsia="宋体" w:cs="宋体"/>
                <w:b/>
                <w:bCs/>
                <w:i w:val="0"/>
                <w:iCs w:val="0"/>
                <w:color w:val="000000"/>
                <w:kern w:val="0"/>
                <w:sz w:val="21"/>
                <w:szCs w:val="21"/>
                <w:highlight w:val="none"/>
                <w:u w:val="none"/>
                <w:lang w:val="en-US" w:eastAsia="zh-CN" w:bidi="ar"/>
              </w:rPr>
              <w:t>智能一体机</w:t>
            </w:r>
            <w:r>
              <w:rPr>
                <w:rFonts w:hint="default" w:ascii="Times New Roman" w:hAnsi="Times New Roman" w:eastAsia="宋体" w:cs="Times New Roman"/>
                <w:color w:val="auto"/>
                <w:sz w:val="21"/>
                <w:szCs w:val="21"/>
                <w:highlight w:val="none"/>
                <w:lang w:val="en-US" w:eastAsia="zh-CN"/>
              </w:rPr>
              <w:t>。在符合性审查、有效报价环节提供核心产品品牌不足3个的，视为有效响应供应商不足3家。</w:t>
            </w:r>
          </w:p>
        </w:tc>
      </w:tr>
      <w:bookmarkEnd w:id="15"/>
      <w:bookmarkEnd w:id="16"/>
    </w:tbl>
    <w:p w14:paraId="4BE97C7C">
      <w:pPr>
        <w:pStyle w:val="5"/>
        <w:autoSpaceDE/>
        <w:autoSpaceDN/>
        <w:adjustRightInd/>
        <w:spacing w:before="0" w:after="0" w:line="360" w:lineRule="auto"/>
        <w:jc w:val="both"/>
        <w:rPr>
          <w:rFonts w:hint="default" w:ascii="Times New Roman" w:hAnsi="Times New Roman" w:cs="Times New Roman"/>
          <w:highlight w:val="none"/>
        </w:rPr>
      </w:pPr>
      <w:r>
        <w:rPr>
          <w:rFonts w:hint="default" w:ascii="Times New Roman" w:hAnsi="Times New Roman" w:cs="Times New Roman"/>
          <w:highlight w:val="none"/>
        </w:rPr>
        <w:br w:type="page"/>
      </w:r>
      <w:bookmarkStart w:id="17" w:name="_Toc485883200"/>
      <w:bookmarkStart w:id="18" w:name="_Toc89075873"/>
      <w:bookmarkStart w:id="19" w:name="_Toc217446033"/>
      <w:bookmarkStart w:id="20" w:name="_Toc183582204"/>
      <w:bookmarkStart w:id="21" w:name="_Toc183682341"/>
      <w:bookmarkStart w:id="22" w:name="_Toc77400778"/>
      <w:r>
        <w:rPr>
          <w:rFonts w:hint="default" w:ascii="Times New Roman" w:hAnsi="Times New Roman" w:cs="Times New Roman"/>
          <w:kern w:val="2"/>
          <w:sz w:val="30"/>
          <w:szCs w:val="30"/>
          <w:highlight w:val="none"/>
          <w:u w:val="none"/>
        </w:rPr>
        <w:t>一、总  则</w:t>
      </w:r>
      <w:bookmarkEnd w:id="17"/>
      <w:bookmarkEnd w:id="18"/>
      <w:bookmarkEnd w:id="19"/>
      <w:bookmarkEnd w:id="20"/>
      <w:bookmarkEnd w:id="21"/>
      <w:bookmarkEnd w:id="22"/>
      <w:bookmarkStart w:id="23" w:name="_Toc183582205"/>
      <w:bookmarkStart w:id="24" w:name="_Toc183682342"/>
      <w:bookmarkStart w:id="25" w:name="_Toc217446034"/>
    </w:p>
    <w:p w14:paraId="5163A7E2">
      <w:pPr>
        <w:pStyle w:val="2"/>
        <w:keepLines/>
        <w:spacing w:line="360" w:lineRule="auto"/>
        <w:rPr>
          <w:rFonts w:hint="default" w:ascii="Times New Roman" w:hAnsi="Times New Roman" w:cs="Times New Roman"/>
          <w:b/>
          <w:bCs/>
          <w:color w:val="auto"/>
          <w:sz w:val="24"/>
          <w:szCs w:val="24"/>
          <w:highlight w:val="none"/>
          <w:u w:val="none"/>
        </w:rPr>
      </w:pPr>
      <w:bookmarkStart w:id="26" w:name="_Toc485883201"/>
      <w:r>
        <w:rPr>
          <w:rFonts w:hint="default" w:ascii="Times New Roman" w:hAnsi="Times New Roman" w:cs="Times New Roman"/>
          <w:b/>
          <w:bCs/>
          <w:color w:val="auto"/>
          <w:sz w:val="24"/>
          <w:szCs w:val="24"/>
          <w:highlight w:val="none"/>
          <w:u w:val="none"/>
        </w:rPr>
        <w:t>1.</w:t>
      </w:r>
      <w:bookmarkEnd w:id="23"/>
      <w:bookmarkEnd w:id="24"/>
      <w:r>
        <w:rPr>
          <w:rFonts w:hint="default" w:ascii="Times New Roman" w:hAnsi="Times New Roman" w:cs="Times New Roman"/>
          <w:b/>
          <w:bCs/>
          <w:color w:val="auto"/>
          <w:sz w:val="24"/>
          <w:szCs w:val="24"/>
          <w:highlight w:val="none"/>
          <w:u w:val="none"/>
        </w:rPr>
        <w:t>适用范围</w:t>
      </w:r>
      <w:bookmarkEnd w:id="25"/>
      <w:bookmarkEnd w:id="26"/>
    </w:p>
    <w:p w14:paraId="62AC4F2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1.1本竞争性磋商文件仅适用于本次竞争性磋商（以下简称磋商）所叙述的项目采购活动。</w:t>
      </w:r>
      <w:bookmarkStart w:id="27" w:name="_Toc217446035"/>
      <w:bookmarkStart w:id="28" w:name="_Toc183582206"/>
      <w:bookmarkStart w:id="29" w:name="_Toc183682343"/>
    </w:p>
    <w:p w14:paraId="10773B7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1.2本采购项目</w:t>
      </w:r>
      <w:r>
        <w:rPr>
          <w:rFonts w:hint="eastAsia" w:cs="Times New Roman"/>
          <w:sz w:val="24"/>
          <w:highlight w:val="none"/>
          <w:lang w:val="en-US" w:eastAsia="zh-CN"/>
        </w:rPr>
        <w:t>非</w:t>
      </w:r>
      <w:r>
        <w:rPr>
          <w:rFonts w:hint="default" w:ascii="Times New Roman" w:hAnsi="Times New Roman" w:cs="Times New Roman"/>
          <w:sz w:val="24"/>
          <w:highlight w:val="none"/>
        </w:rPr>
        <w:t>专门面向中小企业采购。</w:t>
      </w:r>
    </w:p>
    <w:p w14:paraId="49CFFC9A">
      <w:pPr>
        <w:pStyle w:val="2"/>
        <w:keepLines/>
        <w:spacing w:line="360" w:lineRule="auto"/>
        <w:rPr>
          <w:rFonts w:hint="default" w:ascii="Times New Roman" w:hAnsi="Times New Roman" w:cs="Times New Roman"/>
          <w:b/>
          <w:bCs/>
          <w:color w:val="auto"/>
          <w:sz w:val="24"/>
          <w:szCs w:val="24"/>
          <w:highlight w:val="none"/>
          <w:u w:val="none"/>
        </w:rPr>
      </w:pPr>
      <w:bookmarkStart w:id="30" w:name="_Toc485883202"/>
      <w:r>
        <w:rPr>
          <w:rFonts w:hint="default" w:ascii="Times New Roman" w:hAnsi="Times New Roman" w:cs="Times New Roman"/>
          <w:b/>
          <w:bCs/>
          <w:color w:val="auto"/>
          <w:sz w:val="24"/>
          <w:szCs w:val="24"/>
          <w:highlight w:val="none"/>
          <w:u w:val="none"/>
        </w:rPr>
        <w:t>2.</w:t>
      </w:r>
      <w:bookmarkEnd w:id="27"/>
      <w:bookmarkEnd w:id="28"/>
      <w:bookmarkEnd w:id="29"/>
      <w:r>
        <w:rPr>
          <w:rFonts w:hint="default" w:ascii="Times New Roman" w:hAnsi="Times New Roman" w:cs="Times New Roman"/>
          <w:b/>
          <w:bCs/>
          <w:color w:val="auto"/>
          <w:sz w:val="24"/>
          <w:szCs w:val="24"/>
          <w:highlight w:val="none"/>
          <w:u w:val="none"/>
        </w:rPr>
        <w:t>名词解释</w:t>
      </w:r>
      <w:bookmarkEnd w:id="30"/>
    </w:p>
    <w:p w14:paraId="0D2A6175">
      <w:pPr>
        <w:tabs>
          <w:tab w:val="left" w:pos="7665"/>
        </w:tabs>
        <w:spacing w:line="360" w:lineRule="auto"/>
        <w:ind w:firstLine="480" w:firstLineChars="200"/>
        <w:rPr>
          <w:rFonts w:hint="default" w:ascii="Times New Roman" w:hAnsi="Times New Roman" w:cs="Times New Roman"/>
          <w:sz w:val="24"/>
          <w:highlight w:val="none"/>
        </w:rPr>
      </w:pPr>
      <w:bookmarkStart w:id="31" w:name="_Toc217446036"/>
      <w:bookmarkStart w:id="32" w:name="_Toc183582207"/>
      <w:bookmarkStart w:id="33" w:name="_Toc217390843"/>
      <w:bookmarkStart w:id="34" w:name="_Toc183682344"/>
      <w:r>
        <w:rPr>
          <w:rFonts w:hint="default" w:ascii="Times New Roman" w:hAnsi="Times New Roman" w:cs="Times New Roman"/>
          <w:sz w:val="24"/>
          <w:highlight w:val="none"/>
        </w:rPr>
        <w:t>2.1采购人：</w:t>
      </w:r>
      <w:r>
        <w:rPr>
          <w:rFonts w:hint="default" w:ascii="Times New Roman" w:hAnsi="Times New Roman" w:cs="Times New Roman"/>
          <w:sz w:val="24"/>
          <w:highlight w:val="none"/>
          <w:lang w:val="en-US" w:eastAsia="zh-CN"/>
        </w:rPr>
        <w:t>西安高新区第六十幼儿园</w:t>
      </w:r>
    </w:p>
    <w:p w14:paraId="0406C7D5">
      <w:pPr>
        <w:tabs>
          <w:tab w:val="left" w:pos="7665"/>
        </w:tabs>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2.2监督机构：</w:t>
      </w:r>
      <w:r>
        <w:rPr>
          <w:rFonts w:hint="default" w:ascii="Times New Roman" w:hAnsi="Times New Roman" w:cs="Times New Roman"/>
          <w:sz w:val="24"/>
          <w:highlight w:val="none"/>
          <w:lang w:val="en-US" w:eastAsia="zh-CN"/>
        </w:rPr>
        <w:t>同级人民政府财政部门及有关部门</w:t>
      </w:r>
    </w:p>
    <w:p w14:paraId="0E6B6E6D">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2.3采购代理机构：</w:t>
      </w:r>
      <w:r>
        <w:rPr>
          <w:rFonts w:hint="default" w:ascii="Times New Roman" w:hAnsi="Times New Roman" w:cs="Times New Roman"/>
          <w:sz w:val="24"/>
          <w:highlight w:val="none"/>
          <w:lang w:eastAsia="zh-CN"/>
        </w:rPr>
        <w:t>鼎正众创建设集团有限公司</w:t>
      </w:r>
    </w:p>
    <w:p w14:paraId="706C859D">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2.4供应商：是指响应和符合竞争性磋商文件（以下简称磋商文件）规定资格条件且参与磋商竞争的法人。</w:t>
      </w:r>
    </w:p>
    <w:p w14:paraId="40F18717">
      <w:pPr>
        <w:adjustRightInd w:val="0"/>
        <w:snapToGrid w:val="0"/>
        <w:spacing w:line="360" w:lineRule="auto"/>
        <w:ind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2.5</w:t>
      </w:r>
      <w:r>
        <w:rPr>
          <w:rFonts w:hint="default" w:ascii="Times New Roman" w:hAnsi="Times New Roman" w:cs="Times New Roman"/>
          <w:sz w:val="24"/>
          <w:highlight w:val="none"/>
          <w:lang w:val="en-US" w:eastAsia="zh-CN"/>
        </w:rPr>
        <w:t>磋商文件</w:t>
      </w:r>
      <w:r>
        <w:rPr>
          <w:rFonts w:hint="default" w:ascii="Times New Roman" w:hAnsi="Times New Roman" w:cs="Times New Roman"/>
          <w:sz w:val="24"/>
          <w:highlight w:val="none"/>
          <w:lang w:eastAsia="zh-CN"/>
        </w:rPr>
        <w:t>：</w:t>
      </w:r>
      <w:bookmarkStart w:id="35" w:name="_Toc485883203"/>
      <w:r>
        <w:rPr>
          <w:rFonts w:hint="default" w:ascii="Times New Roman" w:hAnsi="Times New Roman" w:cs="Times New Roman"/>
          <w:sz w:val="24"/>
          <w:highlight w:val="none"/>
        </w:rPr>
        <w:t>竞争性磋商文件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其编制依据为《中华人民共和国政府采购法》、《中华人民共和国政府采购法实施条例》、《政府采购竞争性磋商采购方式管理暂行办法》等相关法律法规文件。</w:t>
      </w:r>
    </w:p>
    <w:p w14:paraId="3AB2B7F1">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2.6节能产品或者环保产品是指财政部发布的《节能产品政府采购清单》或者《环境标志产品政府采购清单》的产品。</w:t>
      </w:r>
    </w:p>
    <w:p w14:paraId="7FC72D75">
      <w:pPr>
        <w:adjustRightInd w:val="0"/>
        <w:snapToGrid w:val="0"/>
        <w:spacing w:line="360" w:lineRule="auto"/>
        <w:ind w:firstLine="360" w:firstLineChars="1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2.7进口产品是指通过中国海关报关验放进入中国境内且产自关境外的产品，详见《关于政府采购进口产品管理有关问题的通知》（财</w:t>
      </w:r>
      <w:r>
        <w:rPr>
          <w:rFonts w:hint="eastAsia" w:ascii="Times New Roman" w:hAnsi="Times New Roman" w:cs="Times New Roman"/>
          <w:kern w:val="0"/>
          <w:sz w:val="24"/>
          <w:highlight w:val="none"/>
          <w:lang w:eastAsia="zh-CN"/>
        </w:rPr>
        <w:t>【</w:t>
      </w:r>
      <w:r>
        <w:rPr>
          <w:rFonts w:hint="default" w:ascii="Times New Roman" w:hAnsi="Times New Roman" w:cs="Times New Roman"/>
          <w:kern w:val="0"/>
          <w:sz w:val="24"/>
          <w:highlight w:val="none"/>
        </w:rPr>
        <w:t>2007</w:t>
      </w:r>
      <w:r>
        <w:rPr>
          <w:rFonts w:hint="eastAsia" w:ascii="Times New Roman" w:hAnsi="Times New Roman" w:cs="Times New Roman"/>
          <w:kern w:val="0"/>
          <w:sz w:val="24"/>
          <w:highlight w:val="none"/>
          <w:lang w:eastAsia="zh-CN"/>
        </w:rPr>
        <w:t>】</w:t>
      </w:r>
      <w:r>
        <w:rPr>
          <w:rFonts w:hint="default" w:ascii="Times New Roman" w:hAnsi="Times New Roman" w:cs="Times New Roman"/>
          <w:kern w:val="0"/>
          <w:sz w:val="24"/>
          <w:highlight w:val="none"/>
        </w:rPr>
        <w:t>119号）。</w:t>
      </w:r>
    </w:p>
    <w:p w14:paraId="05EBC3BF">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kern w:val="0"/>
          <w:sz w:val="24"/>
          <w:highlight w:val="none"/>
        </w:rPr>
        <w:t>2.8</w:t>
      </w:r>
      <w:r>
        <w:rPr>
          <w:rFonts w:hint="default" w:ascii="Times New Roman" w:hAnsi="Times New Roman" w:cs="Times New Roman"/>
          <w:sz w:val="24"/>
          <w:highlight w:val="none"/>
        </w:rPr>
        <w:t xml:space="preserve"> 中小企业是指符合《工业和信息化部、国家统计局、国家发展和改革委员会、财政部关于印发中小企业划型标准规定的通知》（工信部联企业</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2011</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300号）规定的对中小企业的划分标准的企业。</w:t>
      </w:r>
    </w:p>
    <w:p w14:paraId="18BCCAB8">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C0FAF3">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2.10残疾人福利性单位是指符合《民政部、财政部、中国残疾人联合会关于促进残疾人就业政府采购政策的通知》（</w:t>
      </w:r>
      <w:r>
        <w:rPr>
          <w:rFonts w:hint="default" w:ascii="Times New Roman" w:hAnsi="Times New Roman" w:cs="Times New Roman"/>
          <w:kern w:val="0"/>
          <w:sz w:val="24"/>
          <w:highlight w:val="none"/>
        </w:rPr>
        <w:t>财库</w:t>
      </w:r>
      <w:r>
        <w:rPr>
          <w:rFonts w:hint="eastAsia" w:ascii="Times New Roman" w:hAnsi="Times New Roman" w:cs="Times New Roman"/>
          <w:kern w:val="0"/>
          <w:sz w:val="24"/>
          <w:highlight w:val="none"/>
          <w:lang w:eastAsia="zh-CN"/>
        </w:rPr>
        <w:t>【</w:t>
      </w:r>
      <w:r>
        <w:rPr>
          <w:rFonts w:hint="default" w:ascii="Times New Roman" w:hAnsi="Times New Roman" w:cs="Times New Roman"/>
          <w:kern w:val="0"/>
          <w:sz w:val="24"/>
          <w:highlight w:val="none"/>
        </w:rPr>
        <w:t>2017</w:t>
      </w:r>
      <w:r>
        <w:rPr>
          <w:rFonts w:hint="eastAsia" w:ascii="Times New Roman" w:hAnsi="Times New Roman" w:cs="Times New Roman"/>
          <w:kern w:val="0"/>
          <w:sz w:val="24"/>
          <w:highlight w:val="none"/>
          <w:lang w:eastAsia="zh-CN"/>
        </w:rPr>
        <w:t>】</w:t>
      </w:r>
      <w:r>
        <w:rPr>
          <w:rFonts w:hint="default" w:ascii="Times New Roman" w:hAnsi="Times New Roman" w:cs="Times New Roman"/>
          <w:kern w:val="0"/>
          <w:sz w:val="24"/>
          <w:highlight w:val="none"/>
        </w:rPr>
        <w:t>141号</w:t>
      </w:r>
      <w:r>
        <w:rPr>
          <w:rFonts w:hint="default" w:ascii="Times New Roman" w:hAnsi="Times New Roman" w:cs="Times New Roman"/>
          <w:sz w:val="24"/>
          <w:highlight w:val="none"/>
        </w:rPr>
        <w:t>）规定的单位。</w:t>
      </w:r>
    </w:p>
    <w:p w14:paraId="6A25638D">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3.合格的</w:t>
      </w:r>
      <w:bookmarkEnd w:id="31"/>
      <w:bookmarkEnd w:id="32"/>
      <w:bookmarkEnd w:id="33"/>
      <w:bookmarkEnd w:id="34"/>
      <w:r>
        <w:rPr>
          <w:rFonts w:hint="default" w:ascii="Times New Roman" w:hAnsi="Times New Roman" w:cs="Times New Roman"/>
          <w:b/>
          <w:bCs/>
          <w:color w:val="auto"/>
          <w:sz w:val="24"/>
          <w:szCs w:val="24"/>
          <w:highlight w:val="none"/>
          <w:u w:val="none"/>
        </w:rPr>
        <w:t>供应商</w:t>
      </w:r>
      <w:bookmarkEnd w:id="35"/>
    </w:p>
    <w:p w14:paraId="27CE0F39">
      <w:pPr>
        <w:tabs>
          <w:tab w:val="left" w:pos="7665"/>
        </w:tabs>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3.1合格的供应商应具备以下条件：</w:t>
      </w:r>
    </w:p>
    <w:p w14:paraId="3F40135C">
      <w:pPr>
        <w:tabs>
          <w:tab w:val="left" w:pos="7665"/>
        </w:tabs>
        <w:spacing w:line="360" w:lineRule="auto"/>
        <w:ind w:firstLine="480" w:firstLineChars="200"/>
        <w:rPr>
          <w:rFonts w:hint="default" w:ascii="Times New Roman" w:hAnsi="Times New Roman" w:cs="Times New Roman"/>
          <w:spacing w:val="-4"/>
          <w:sz w:val="24"/>
          <w:highlight w:val="none"/>
        </w:rPr>
      </w:pPr>
      <w:r>
        <w:rPr>
          <w:rFonts w:hint="default" w:ascii="Times New Roman" w:hAnsi="Times New Roman" w:cs="Times New Roman"/>
          <w:sz w:val="24"/>
          <w:highlight w:val="none"/>
        </w:rPr>
        <w:t>（1）具备且满足本项目采购公告中“申请人的资格要求”要求的</w:t>
      </w:r>
      <w:r>
        <w:rPr>
          <w:rFonts w:hint="default" w:ascii="Times New Roman" w:hAnsi="Times New Roman" w:cs="Times New Roman"/>
          <w:spacing w:val="-4"/>
          <w:sz w:val="24"/>
          <w:highlight w:val="none"/>
        </w:rPr>
        <w:t>；</w:t>
      </w:r>
    </w:p>
    <w:p w14:paraId="5D1D4AAA">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（2）向采购代理机构购买了磋商文件并登记备案的；</w:t>
      </w:r>
    </w:p>
    <w:p w14:paraId="74FBAD51">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（3）一个供应商只能提交一个响应文件，法定代表人为同一人的两个及两个以上法人，不得同时参加本项目磋商；</w:t>
      </w:r>
    </w:p>
    <w:p w14:paraId="40348860">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（4）有隶属关系的两个公司或有控股关系的两个公司不能同时参加同一包磋商或者未划分包的同一项目的磋商；</w:t>
      </w:r>
    </w:p>
    <w:p w14:paraId="37BE42DD">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（5）遵守国家、陕西省和西安市有关政府采购的法律、条例和法规；</w:t>
      </w:r>
    </w:p>
    <w:p w14:paraId="27D40AEE">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（6）磋商文件和法律、行政法规规定的其他条件。</w:t>
      </w:r>
    </w:p>
    <w:p w14:paraId="74C2326E">
      <w:pPr>
        <w:adjustRightInd w:val="0"/>
        <w:snapToGrid w:val="0"/>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3.2供应商存在下列情形之一</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属于不合格供应商，其磋商响应文件或成交资格将被取消：</w:t>
      </w:r>
    </w:p>
    <w:p w14:paraId="46EC9723">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（l）与采购人、采购代理机构存在隶属关系或者其他利害关系，且可能影响磋商公正性；</w:t>
      </w:r>
    </w:p>
    <w:p w14:paraId="530BF549">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（2）与本采购项目其他供应商的法定代表人（或者负责人）为同一人；</w:t>
      </w:r>
    </w:p>
    <w:p w14:paraId="3C9DEBED">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（3）与本采购项目其他供应商存在控股、管理关系；</w:t>
      </w:r>
    </w:p>
    <w:p w14:paraId="31C2D5A7">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（4）采取不正上手段诋毁、排挤其他供应商；</w:t>
      </w:r>
    </w:p>
    <w:p w14:paraId="23778A0D">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（5）与采购人、采购代理机构、其他供应商恶意串通；</w:t>
      </w:r>
    </w:p>
    <w:p w14:paraId="1223027F">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（6）向采购人、采购代理机构、磋商小组成员行贿或者提供其他不正当利益；</w:t>
      </w:r>
    </w:p>
    <w:p w14:paraId="790C8B36">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（7）拒绝有关部门的监督检查或者向监督检查部门提供虚假情况；</w:t>
      </w:r>
    </w:p>
    <w:p w14:paraId="104BF20F">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8</w:t>
      </w:r>
      <w:r>
        <w:rPr>
          <w:rFonts w:hint="default" w:ascii="Times New Roman" w:hAnsi="Times New Roman" w:cs="Times New Roman"/>
          <w:sz w:val="24"/>
          <w:highlight w:val="none"/>
        </w:rPr>
        <w:t>）受到财政部门5万元以上数额罚款的行政处罚或其他行政部门较大数额罚款的行政处罚（举行听证会的）；</w:t>
      </w:r>
    </w:p>
    <w:p w14:paraId="31F0AF5D">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9</w:t>
      </w:r>
      <w:r>
        <w:rPr>
          <w:rFonts w:hint="default" w:ascii="Times New Roman" w:hAnsi="Times New Roman" w:cs="Times New Roman"/>
          <w:sz w:val="24"/>
          <w:highlight w:val="none"/>
        </w:rPr>
        <w:t>）被责令停产停业、暂扣或者吊销许可证、暂扣或者吊销执照的行政处罚；</w:t>
      </w:r>
    </w:p>
    <w:p w14:paraId="228FA06C">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10</w:t>
      </w:r>
      <w:r>
        <w:rPr>
          <w:rFonts w:hint="default" w:ascii="Times New Roman" w:hAnsi="Times New Roman" w:cs="Times New Roman"/>
          <w:sz w:val="24"/>
          <w:highlight w:val="none"/>
        </w:rPr>
        <w:t>）被列入失信被执行人名单；</w:t>
      </w:r>
    </w:p>
    <w:p w14:paraId="32AEC200">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lang w:val="en-US" w:eastAsia="zh-CN"/>
        </w:rPr>
        <w:t>1</w:t>
      </w:r>
      <w:r>
        <w:rPr>
          <w:rFonts w:hint="default" w:ascii="Times New Roman" w:hAnsi="Times New Roman" w:cs="Times New Roman"/>
          <w:sz w:val="24"/>
          <w:highlight w:val="none"/>
        </w:rPr>
        <w:t>）被列入重大税收违法案件当事人名单；</w:t>
      </w:r>
    </w:p>
    <w:p w14:paraId="2ACD81FC">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）被禁止在一至三年内参加政府采购活动或存在财政部门认定的其他重大违法记录；</w:t>
      </w:r>
    </w:p>
    <w:p w14:paraId="32939EB0">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）法律法规规定的其他情形。</w:t>
      </w:r>
    </w:p>
    <w:p w14:paraId="65857CB0">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3.3有下列情形之一的，视为供应商相关恶意串通磋商，其磋商响应文件或成交资格将被取消：</w:t>
      </w:r>
    </w:p>
    <w:p w14:paraId="2BB79657">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（1）供应商直接或者间接从采购人或者采购代理机构处获得其他供应商的相关情况并修改其响应文件；</w:t>
      </w:r>
    </w:p>
    <w:p w14:paraId="6CF0299E">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（2）供应商按照采购人或者采购代理机构的授意撤换、修改响应文件；</w:t>
      </w:r>
    </w:p>
    <w:p w14:paraId="33DF9A45">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（3）供应商之间协商报价，技术方案等响应文件的实质性内容；</w:t>
      </w:r>
    </w:p>
    <w:p w14:paraId="00DB6BE3">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（4）属于同一集团、协会、商会等组织成员的供应商按照该组织要求协同参加政府采购活动；</w:t>
      </w:r>
    </w:p>
    <w:p w14:paraId="3585B674">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（5）供应商之间事先约定由某一特定供应商成交；</w:t>
      </w:r>
    </w:p>
    <w:p w14:paraId="554DD0E6">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（6）供应商与采购人或者采购代理机构之间、供应商相互之间，为谋求特定供应商成交或者排斥其他供应商的其他串通行为。</w:t>
      </w:r>
    </w:p>
    <w:p w14:paraId="17F57DED">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（7）不同供应商的响应文件由同一单位或者个人编制；</w:t>
      </w:r>
    </w:p>
    <w:p w14:paraId="757CC46F">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（8）不同供应商委托同一单位或者个人办理投标事宜；</w:t>
      </w:r>
    </w:p>
    <w:p w14:paraId="69498481">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（9）不同供应商的响应文件载明的项目管理成员为同一人；</w:t>
      </w:r>
    </w:p>
    <w:p w14:paraId="6CCAF849">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（10）不同供应商的响应文件异常一致或者磋商报价呈规律性差异；</w:t>
      </w:r>
    </w:p>
    <w:p w14:paraId="38EFC448">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（11）不同供应商的响应文件相互混装；</w:t>
      </w:r>
    </w:p>
    <w:p w14:paraId="6484E92B">
      <w:pPr>
        <w:tabs>
          <w:tab w:val="left" w:pos="7665"/>
        </w:tabs>
        <w:spacing w:line="360" w:lineRule="auto"/>
        <w:ind w:firstLine="480" w:firstLineChars="200"/>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（12）不同供应商的磋商保证金从同一单位或者个人的账户转出（仅限供应商须知前附表要求提交磋商保证金的）。</w:t>
      </w:r>
    </w:p>
    <w:p w14:paraId="7E937B25">
      <w:pPr>
        <w:pStyle w:val="2"/>
        <w:keepLines/>
        <w:spacing w:line="360" w:lineRule="auto"/>
        <w:rPr>
          <w:rFonts w:hint="default" w:ascii="Times New Roman" w:hAnsi="Times New Roman" w:eastAsia="宋体" w:cs="Times New Roman"/>
          <w:b/>
          <w:bCs/>
          <w:color w:val="auto"/>
          <w:sz w:val="24"/>
          <w:szCs w:val="24"/>
          <w:highlight w:val="none"/>
          <w:u w:val="none"/>
          <w:lang w:val="en-US" w:eastAsia="zh-CN"/>
        </w:rPr>
      </w:pPr>
      <w:bookmarkStart w:id="36" w:name="_Toc485883204"/>
      <w:bookmarkStart w:id="37" w:name="_Toc217446037"/>
      <w:bookmarkStart w:id="38" w:name="_Toc183582208"/>
      <w:bookmarkStart w:id="39" w:name="_Toc183682345"/>
      <w:r>
        <w:rPr>
          <w:rFonts w:hint="default" w:ascii="Times New Roman" w:hAnsi="Times New Roman" w:cs="Times New Roman"/>
          <w:b/>
          <w:bCs/>
          <w:color w:val="auto"/>
          <w:sz w:val="24"/>
          <w:szCs w:val="24"/>
          <w:highlight w:val="none"/>
          <w:u w:val="none"/>
        </w:rPr>
        <w:t>4.合格的</w:t>
      </w:r>
      <w:bookmarkEnd w:id="36"/>
      <w:r>
        <w:rPr>
          <w:rFonts w:hint="default" w:ascii="Times New Roman" w:hAnsi="Times New Roman" w:cs="Times New Roman"/>
          <w:b/>
          <w:bCs/>
          <w:color w:val="auto"/>
          <w:sz w:val="24"/>
          <w:szCs w:val="24"/>
          <w:highlight w:val="none"/>
          <w:u w:val="none"/>
          <w:lang w:val="en-US" w:eastAsia="zh-CN"/>
        </w:rPr>
        <w:t>货物或服务</w:t>
      </w:r>
    </w:p>
    <w:p w14:paraId="0B920F4F">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highlight w:val="none"/>
          <w:u w:val="none"/>
          <w:lang w:val="en-US" w:eastAsia="zh-CN" w:bidi="ar-SA"/>
        </w:rPr>
      </w:pPr>
      <w:bookmarkStart w:id="40" w:name="_Toc217446047"/>
      <w:bookmarkStart w:id="41" w:name="_Toc485883205"/>
      <w:r>
        <w:rPr>
          <w:rFonts w:hint="default" w:ascii="Times New Roman" w:hAnsi="Times New Roman" w:eastAsia="宋体" w:cs="Times New Roman"/>
          <w:color w:val="auto"/>
          <w:kern w:val="2"/>
          <w:sz w:val="24"/>
          <w:highlight w:val="none"/>
          <w:u w:val="none"/>
          <w:lang w:val="en-US" w:eastAsia="zh-CN" w:bidi="ar-SA"/>
        </w:rPr>
        <w:t>4.1 供应商提供的所有服务及货物，必须是合法来源，符合国家有关标准和规范，并满足磋商文件规定的采购要求。</w:t>
      </w:r>
    </w:p>
    <w:p w14:paraId="7896FEA7">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highlight w:val="none"/>
          <w:u w:val="none"/>
          <w:lang w:val="en-US" w:eastAsia="zh-CN" w:bidi="ar-SA"/>
        </w:rPr>
      </w:pPr>
      <w:r>
        <w:rPr>
          <w:rFonts w:hint="default" w:ascii="Times New Roman" w:hAnsi="Times New Roman" w:eastAsia="宋体" w:cs="Times New Roman"/>
          <w:color w:val="auto"/>
          <w:kern w:val="2"/>
          <w:sz w:val="24"/>
          <w:highlight w:val="none"/>
          <w:u w:val="none"/>
          <w:lang w:val="en-US" w:eastAsia="zh-CN" w:bidi="ar-SA"/>
        </w:rPr>
        <w:t>若本项目包括提供货物的，所供货物亦必须是合法生产、合法来源，符合国家有关标准要求，并满足磋商文件规定的规格、参数、质量、有效期、售后服务及供应商须承担的运输、安装、技术支持、培训和磋商文件规定的其它伴随服务等要求。</w:t>
      </w:r>
    </w:p>
    <w:p w14:paraId="23ABA23F">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kern w:val="2"/>
          <w:sz w:val="24"/>
          <w:highlight w:val="none"/>
          <w:u w:val="none"/>
          <w:lang w:val="en-US" w:eastAsia="zh-CN" w:bidi="ar-SA"/>
        </w:rPr>
      </w:pPr>
      <w:r>
        <w:rPr>
          <w:rFonts w:hint="default" w:ascii="Times New Roman" w:hAnsi="Times New Roman" w:eastAsia="宋体" w:cs="Times New Roman"/>
          <w:color w:val="auto"/>
          <w:kern w:val="2"/>
          <w:sz w:val="24"/>
          <w:highlight w:val="none"/>
          <w:u w:val="none"/>
          <w:lang w:val="en-US" w:eastAsia="zh-CN" w:bidi="ar-SA"/>
        </w:rPr>
        <w:t>4.2采购人有权拒绝接受任何不合格的货物或服务，由此产生的费用及相关后果均由供应商自行承担。</w:t>
      </w:r>
    </w:p>
    <w:p w14:paraId="1BCED2D1">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5.知识产权</w:t>
      </w:r>
      <w:bookmarkEnd w:id="40"/>
      <w:bookmarkEnd w:id="41"/>
    </w:p>
    <w:p w14:paraId="68E8AA7E">
      <w:pPr>
        <w:pStyle w:val="9"/>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5.1供应商应保证在本项目使用的任何服务和产品（包括部分使用，如涉及）时，不会产生因第三方提出侵犯其专利权、商标权或其它知识产权而引起的法律和经济纠纷，如因专利权、商标权或其它知识产权而引起法律和经济纠纷，由供应商承担所有相关责任。</w:t>
      </w:r>
    </w:p>
    <w:p w14:paraId="27C6A994">
      <w:pPr>
        <w:pStyle w:val="9"/>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5.2采购人享有本项目实施过程中产生的知识成果及知识产权。</w:t>
      </w:r>
    </w:p>
    <w:p w14:paraId="25994F3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5.3供应商如欲在项目实施过程中采用自有知识成果，需在响应文件中声明，并提供相关知识产权证明文件。</w:t>
      </w:r>
    </w:p>
    <w:p w14:paraId="3AF288E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5.4如采用供应商所不拥有的知识产权，则在报价中必须包括合法获取该知识产权的相关费用。</w:t>
      </w:r>
    </w:p>
    <w:p w14:paraId="0F3C855C">
      <w:pPr>
        <w:pStyle w:val="2"/>
        <w:keepLines/>
        <w:spacing w:line="360" w:lineRule="auto"/>
        <w:rPr>
          <w:rFonts w:hint="default" w:ascii="Times New Roman" w:hAnsi="Times New Roman" w:cs="Times New Roman"/>
          <w:b/>
          <w:bCs/>
          <w:color w:val="auto"/>
          <w:sz w:val="24"/>
          <w:szCs w:val="24"/>
          <w:highlight w:val="none"/>
          <w:u w:val="none"/>
        </w:rPr>
      </w:pPr>
      <w:bookmarkStart w:id="42" w:name="_Toc485883206"/>
      <w:r>
        <w:rPr>
          <w:rFonts w:hint="default" w:ascii="Times New Roman" w:hAnsi="Times New Roman" w:cs="Times New Roman"/>
          <w:b/>
          <w:bCs/>
          <w:color w:val="auto"/>
          <w:sz w:val="24"/>
          <w:szCs w:val="24"/>
          <w:highlight w:val="none"/>
          <w:u w:val="none"/>
        </w:rPr>
        <w:t>6.磋商费用</w:t>
      </w:r>
      <w:bookmarkEnd w:id="37"/>
      <w:bookmarkEnd w:id="38"/>
      <w:bookmarkEnd w:id="39"/>
      <w:bookmarkEnd w:id="42"/>
    </w:p>
    <w:p w14:paraId="6BB1E2E1">
      <w:pPr>
        <w:tabs>
          <w:tab w:val="left" w:pos="7665"/>
        </w:tabs>
        <w:spacing w:line="360" w:lineRule="auto"/>
        <w:ind w:firstLine="491" w:firstLineChars="205"/>
        <w:rPr>
          <w:rFonts w:hint="default" w:ascii="Times New Roman" w:hAnsi="Times New Roman" w:cs="Times New Roman"/>
          <w:sz w:val="24"/>
          <w:highlight w:val="none"/>
        </w:rPr>
      </w:pPr>
      <w:r>
        <w:rPr>
          <w:rFonts w:hint="default" w:ascii="Times New Roman" w:hAnsi="Times New Roman" w:cs="Times New Roman"/>
          <w:sz w:val="24"/>
          <w:highlight w:val="none"/>
        </w:rPr>
        <w:t>不论磋商结果如何，供应商应自行承担所有与准备和参加磋商相关的全部费用。</w:t>
      </w:r>
      <w:bookmarkStart w:id="43" w:name="_Toc217446038"/>
      <w:bookmarkStart w:id="44" w:name="_Toc183582209"/>
      <w:bookmarkStart w:id="45" w:name="_Toc77400779"/>
      <w:bookmarkStart w:id="46" w:name="_Toc89075875"/>
      <w:bookmarkStart w:id="47" w:name="_Toc183682346"/>
    </w:p>
    <w:p w14:paraId="49C6BDC4">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7.供应商信用记录查询及备案查询</w:t>
      </w:r>
    </w:p>
    <w:p w14:paraId="2E73745E">
      <w:pPr>
        <w:tabs>
          <w:tab w:val="left" w:pos="7665"/>
        </w:tabs>
        <w:spacing w:line="360" w:lineRule="auto"/>
        <w:ind w:firstLine="491" w:firstLineChars="205"/>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信用中国”网站（www.creditchina.gov.cn）和“中国政府采购网”（ccgp.gov.cn）为投标人信用信息查询渠道，如果投标人被查实在投标截止时间前已列入失信被执行人、税收黑名单、政府采购严重违法失信行为记录名单，其响应投标为无效。采购代理机构将打印查询记录作为证据留存。</w:t>
      </w:r>
    </w:p>
    <w:p w14:paraId="436576CD">
      <w:pPr>
        <w:keepNext/>
        <w:keepLines/>
        <w:spacing w:line="360" w:lineRule="auto"/>
        <w:rPr>
          <w:rFonts w:hint="default" w:ascii="Times New Roman" w:hAnsi="Times New Roman" w:cs="Times New Roman"/>
          <w:b/>
          <w:bCs/>
          <w:sz w:val="24"/>
          <w:szCs w:val="24"/>
          <w:highlight w:val="none"/>
          <w:lang w:val="zh-CN"/>
        </w:rPr>
      </w:pPr>
      <w:r>
        <w:rPr>
          <w:rFonts w:hint="default" w:ascii="Times New Roman" w:hAnsi="Times New Roman" w:cs="Times New Roman"/>
          <w:b/>
          <w:bCs/>
          <w:sz w:val="24"/>
          <w:szCs w:val="24"/>
          <w:highlight w:val="none"/>
        </w:rPr>
        <w:t>8.</w:t>
      </w:r>
      <w:r>
        <w:rPr>
          <w:rFonts w:hint="default" w:ascii="Times New Roman" w:hAnsi="Times New Roman" w:cs="Times New Roman"/>
          <w:b/>
          <w:bCs/>
          <w:sz w:val="24"/>
          <w:szCs w:val="24"/>
          <w:highlight w:val="none"/>
          <w:lang w:val="zh-CN"/>
        </w:rPr>
        <w:t>保密</w:t>
      </w:r>
    </w:p>
    <w:p w14:paraId="00C5DC8C">
      <w:pPr>
        <w:tabs>
          <w:tab w:val="left" w:pos="7665"/>
        </w:tabs>
        <w:spacing w:line="360" w:lineRule="auto"/>
        <w:ind w:firstLine="491" w:firstLineChars="205"/>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lang w:val="zh-CN"/>
        </w:rPr>
        <w:t>参与采购活动的当事人应对磋商文件和响应文件中的商业秘密、技术秘密和个人隐私等保密，违者应对由此造成的后果承担法律责任。</w:t>
      </w:r>
    </w:p>
    <w:p w14:paraId="7F86ADD3">
      <w:pPr>
        <w:spacing w:line="360" w:lineRule="auto"/>
        <w:rPr>
          <w:rFonts w:hint="default" w:ascii="Times New Roman" w:hAnsi="Times New Roman" w:cs="Times New Roman"/>
          <w:b/>
          <w:sz w:val="30"/>
          <w:szCs w:val="30"/>
          <w:highlight w:val="none"/>
        </w:rPr>
      </w:pPr>
      <w:bookmarkStart w:id="48" w:name="_Toc485883207"/>
      <w:r>
        <w:rPr>
          <w:rFonts w:hint="default" w:ascii="Times New Roman" w:hAnsi="Times New Roman" w:cs="Times New Roman"/>
          <w:b/>
          <w:sz w:val="30"/>
          <w:szCs w:val="30"/>
          <w:highlight w:val="none"/>
        </w:rPr>
        <w:t>二、磋商文件</w:t>
      </w:r>
      <w:bookmarkEnd w:id="43"/>
      <w:bookmarkEnd w:id="44"/>
      <w:bookmarkEnd w:id="45"/>
      <w:bookmarkEnd w:id="46"/>
      <w:bookmarkEnd w:id="47"/>
      <w:bookmarkEnd w:id="48"/>
      <w:bookmarkStart w:id="49" w:name="_Toc217446039"/>
      <w:bookmarkStart w:id="50" w:name="_Toc183582210"/>
      <w:bookmarkStart w:id="51" w:name="_Toc183682347"/>
    </w:p>
    <w:p w14:paraId="4A7D30B7">
      <w:pPr>
        <w:pStyle w:val="2"/>
        <w:keepLines/>
        <w:spacing w:line="360" w:lineRule="auto"/>
        <w:rPr>
          <w:rFonts w:hint="default" w:ascii="Times New Roman" w:hAnsi="Times New Roman" w:cs="Times New Roman"/>
          <w:b/>
          <w:bCs/>
          <w:color w:val="auto"/>
          <w:sz w:val="24"/>
          <w:szCs w:val="24"/>
          <w:highlight w:val="none"/>
          <w:u w:val="none"/>
        </w:rPr>
      </w:pPr>
      <w:bookmarkStart w:id="52" w:name="_Toc485883208"/>
      <w:r>
        <w:rPr>
          <w:rFonts w:hint="default" w:ascii="Times New Roman" w:hAnsi="Times New Roman" w:cs="Times New Roman"/>
          <w:b/>
          <w:bCs/>
          <w:color w:val="auto"/>
          <w:sz w:val="24"/>
          <w:szCs w:val="24"/>
          <w:highlight w:val="none"/>
          <w:u w:val="none"/>
        </w:rPr>
        <w:t>9.磋商文件的构成</w:t>
      </w:r>
      <w:bookmarkEnd w:id="49"/>
      <w:bookmarkEnd w:id="50"/>
      <w:bookmarkEnd w:id="51"/>
      <w:bookmarkEnd w:id="52"/>
    </w:p>
    <w:p w14:paraId="091091D6">
      <w:pPr>
        <w:tabs>
          <w:tab w:val="left" w:pos="7665"/>
        </w:tabs>
        <w:spacing w:before="120" w:beforeLines="50"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磋商文件是供应商准备竞争性磋商响应文件（以下简称响应文件）和参加磋商的依据，同时也是评审的重要依据。磋商文件用以阐明采购项目所需的资质、技术、服务及报价等要求、磋商程序、评审办法与标准、有关规定和注意事项以及合同主要条款等。本磋商文件包括以下内容：</w:t>
      </w:r>
    </w:p>
    <w:p w14:paraId="2700B556">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（1）竞争性磋商公告；</w:t>
      </w:r>
    </w:p>
    <w:p w14:paraId="17C9B9F4">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（2）供应商须知；</w:t>
      </w:r>
    </w:p>
    <w:p w14:paraId="621C22A4">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（3）采购内容及要求；</w:t>
      </w:r>
    </w:p>
    <w:p w14:paraId="499C79AE">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（4）磋商与评审办法；</w:t>
      </w:r>
    </w:p>
    <w:p w14:paraId="561AB7B0">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（5）合同主要条款；</w:t>
      </w:r>
    </w:p>
    <w:p w14:paraId="07DC728B">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（6）响应文件格式。</w:t>
      </w:r>
    </w:p>
    <w:p w14:paraId="1BE760AC">
      <w:pPr>
        <w:pStyle w:val="2"/>
        <w:keepLines/>
        <w:spacing w:line="360" w:lineRule="auto"/>
        <w:rPr>
          <w:rFonts w:hint="default" w:ascii="Times New Roman" w:hAnsi="Times New Roman" w:cs="Times New Roman"/>
          <w:b/>
          <w:bCs/>
          <w:color w:val="auto"/>
          <w:sz w:val="24"/>
          <w:szCs w:val="24"/>
          <w:highlight w:val="none"/>
          <w:u w:val="none"/>
        </w:rPr>
      </w:pPr>
      <w:bookmarkStart w:id="53" w:name="_Toc183682348"/>
      <w:bookmarkStart w:id="54" w:name="_Toc183582211"/>
      <w:bookmarkStart w:id="55" w:name="_Toc217446040"/>
      <w:bookmarkStart w:id="56" w:name="_Toc485883209"/>
      <w:r>
        <w:rPr>
          <w:rFonts w:hint="default" w:ascii="Times New Roman" w:hAnsi="Times New Roman" w:cs="Times New Roman"/>
          <w:b/>
          <w:bCs/>
          <w:color w:val="auto"/>
          <w:sz w:val="24"/>
          <w:szCs w:val="24"/>
          <w:highlight w:val="none"/>
          <w:u w:val="none"/>
        </w:rPr>
        <w:t>10.磋商文件的澄清</w:t>
      </w:r>
      <w:bookmarkEnd w:id="53"/>
      <w:bookmarkEnd w:id="54"/>
      <w:r>
        <w:rPr>
          <w:rFonts w:hint="default" w:ascii="Times New Roman" w:hAnsi="Times New Roman" w:cs="Times New Roman"/>
          <w:b/>
          <w:bCs/>
          <w:color w:val="auto"/>
          <w:sz w:val="24"/>
          <w:szCs w:val="24"/>
          <w:highlight w:val="none"/>
          <w:u w:val="none"/>
        </w:rPr>
        <w:t>和修改</w:t>
      </w:r>
      <w:bookmarkEnd w:id="55"/>
      <w:bookmarkEnd w:id="56"/>
    </w:p>
    <w:p w14:paraId="3582EA16">
      <w:pPr>
        <w:tabs>
          <w:tab w:val="left" w:pos="72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10.1在磋商截止时间前，采购代理机构无论出于何种原因，可以对磋商文件进行澄清或者修改。</w:t>
      </w:r>
    </w:p>
    <w:p w14:paraId="15FA4A0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10.2采购代理机构对已发出的磋商文件进行澄清或者修改，将在磋商文件要求的提交响应文件截止时间</w:t>
      </w:r>
      <w:r>
        <w:rPr>
          <w:rFonts w:hint="default" w:ascii="Times New Roman" w:hAnsi="Times New Roman" w:cs="Times New Roman"/>
          <w:b/>
          <w:sz w:val="24"/>
          <w:highlight w:val="none"/>
        </w:rPr>
        <w:t>5</w:t>
      </w:r>
      <w:r>
        <w:rPr>
          <w:rFonts w:hint="default" w:ascii="Times New Roman" w:hAnsi="Times New Roman" w:cs="Times New Roman"/>
          <w:sz w:val="24"/>
          <w:highlight w:val="none"/>
        </w:rPr>
        <w:t>日前进行，并以书面形式将澄清或者修改的内容通知所有购买了磋商文件的供应商，同时在原信息发布媒体上发布更正公告。该澄清或者修改的内容为磋商文件的组成部分。供应商在收到上述通知后，应立即以书面形式向采购代理机构确认。</w:t>
      </w:r>
    </w:p>
    <w:p w14:paraId="5119EDCB">
      <w:pPr>
        <w:pStyle w:val="31"/>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10.3如果澄清或者修改发出的时间距规定的磋商截止时间不足</w:t>
      </w:r>
      <w:r>
        <w:rPr>
          <w:rFonts w:hint="default" w:ascii="Times New Roman" w:hAnsi="Times New Roman" w:cs="Times New Roman"/>
          <w:b/>
          <w:sz w:val="24"/>
          <w:szCs w:val="24"/>
          <w:highlight w:val="none"/>
        </w:rPr>
        <w:t>5</w:t>
      </w:r>
      <w:r>
        <w:rPr>
          <w:rFonts w:hint="default" w:ascii="Times New Roman" w:hAnsi="Times New Roman" w:cs="Times New Roman"/>
          <w:sz w:val="24"/>
          <w:szCs w:val="24"/>
          <w:highlight w:val="none"/>
        </w:rPr>
        <w:t>日，将相应顺延磋商截止时间。</w:t>
      </w:r>
    </w:p>
    <w:p w14:paraId="6F56424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w:t>
      </w:r>
      <w:r>
        <w:rPr>
          <w:rFonts w:hint="default" w:ascii="Times New Roman" w:hAnsi="Times New Roman" w:cs="Times New Roman"/>
          <w:b/>
          <w:bCs/>
          <w:sz w:val="24"/>
          <w:highlight w:val="none"/>
        </w:rPr>
        <w:t>.</w:t>
      </w:r>
      <w:r>
        <w:rPr>
          <w:rFonts w:hint="default" w:ascii="Times New Roman" w:hAnsi="Times New Roman" w:cs="Times New Roman"/>
          <w:sz w:val="24"/>
          <w:highlight w:val="none"/>
        </w:rPr>
        <w:t>4任何对磋商文件进行澄清的供应商，或认为有必要与采购代理机构进行技术交流的，均应将澄清的内容，按照磋商文件中的联系方式，以书面形式送达采购代理机构，采购代理机构以书面形式予以答复（答复中不包括问题的来源），或认为有必要召开答疑会。各供应商须在磋商截至时间</w:t>
      </w:r>
      <w:r>
        <w:rPr>
          <w:rFonts w:hint="default" w:ascii="Times New Roman" w:hAnsi="Times New Roman" w:cs="Times New Roman"/>
          <w:b/>
          <w:sz w:val="24"/>
          <w:highlight w:val="none"/>
        </w:rPr>
        <w:t>3</w:t>
      </w:r>
      <w:r>
        <w:rPr>
          <w:rFonts w:hint="default" w:ascii="Times New Roman" w:hAnsi="Times New Roman" w:cs="Times New Roman"/>
          <w:sz w:val="24"/>
          <w:highlight w:val="none"/>
        </w:rPr>
        <w:t>日前，将准备澄清内容送达采购代理机构，超过该时间收到的需澄清的内容，采购代理机构有权不予答复。</w:t>
      </w:r>
    </w:p>
    <w:p w14:paraId="68CDC5D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10.5在磋商截止时间前，采购代理机构可以视采购具体情况，延长磋商截止时间，并在磋商文件要求提交磋商文件的截止时间前，将变更时间以书面形式通知所有购买了磋商文件的供应商，同时在原信息发布媒体上发布变更公告。</w:t>
      </w:r>
      <w:bookmarkStart w:id="57" w:name="_Toc183582213"/>
      <w:bookmarkStart w:id="58" w:name="_Toc183682350"/>
      <w:bookmarkStart w:id="59" w:name="_Toc208848971"/>
      <w:bookmarkStart w:id="60" w:name="_Toc217446041"/>
    </w:p>
    <w:bookmarkEnd w:id="57"/>
    <w:bookmarkEnd w:id="58"/>
    <w:p w14:paraId="06BD2A2E">
      <w:pPr>
        <w:pStyle w:val="2"/>
        <w:keepLines/>
        <w:spacing w:line="360" w:lineRule="auto"/>
        <w:rPr>
          <w:rFonts w:hint="default" w:ascii="Times New Roman" w:hAnsi="Times New Roman" w:eastAsia="宋体" w:cs="Times New Roman"/>
          <w:b/>
          <w:bCs/>
          <w:color w:val="auto"/>
          <w:sz w:val="24"/>
          <w:szCs w:val="24"/>
          <w:highlight w:val="none"/>
          <w:u w:val="none"/>
          <w:lang w:val="en-US" w:eastAsia="zh-CN"/>
        </w:rPr>
      </w:pPr>
      <w:bookmarkStart w:id="61" w:name="_Toc485883210"/>
      <w:r>
        <w:rPr>
          <w:rFonts w:hint="default" w:ascii="Times New Roman" w:hAnsi="Times New Roman" w:cs="Times New Roman"/>
          <w:b/>
          <w:bCs/>
          <w:color w:val="auto"/>
          <w:sz w:val="24"/>
          <w:szCs w:val="24"/>
          <w:highlight w:val="none"/>
          <w:u w:val="none"/>
        </w:rPr>
        <w:t>11.</w:t>
      </w:r>
      <w:bookmarkEnd w:id="59"/>
      <w:bookmarkEnd w:id="60"/>
      <w:bookmarkEnd w:id="61"/>
      <w:r>
        <w:rPr>
          <w:rFonts w:hint="default" w:ascii="Times New Roman" w:hAnsi="Times New Roman" w:cs="Times New Roman"/>
          <w:b/>
          <w:bCs/>
          <w:color w:val="auto"/>
          <w:sz w:val="24"/>
          <w:szCs w:val="24"/>
          <w:highlight w:val="none"/>
          <w:u w:val="none"/>
          <w:lang w:val="en-US" w:eastAsia="zh-CN"/>
        </w:rPr>
        <w:t>踏勘现场</w:t>
      </w:r>
    </w:p>
    <w:p w14:paraId="501975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11.1本项目不组织</w:t>
      </w:r>
      <w:r>
        <w:rPr>
          <w:rFonts w:hint="default" w:ascii="Times New Roman" w:hAnsi="Times New Roman" w:cs="Times New Roman"/>
          <w:sz w:val="24"/>
          <w:highlight w:val="none"/>
          <w:lang w:val="en-US" w:eastAsia="zh-CN"/>
        </w:rPr>
        <w:t>统一踏勘时间，供应商可自行进行踏勘，费用自理</w:t>
      </w:r>
      <w:r>
        <w:rPr>
          <w:rFonts w:hint="default" w:ascii="Times New Roman" w:hAnsi="Times New Roman" w:cs="Times New Roman"/>
          <w:sz w:val="24"/>
          <w:highlight w:val="none"/>
        </w:rPr>
        <w:t>。</w:t>
      </w:r>
    </w:p>
    <w:p w14:paraId="2EEC1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11.</w:t>
      </w:r>
      <w:r>
        <w:rPr>
          <w:rFonts w:hint="default" w:ascii="Times New Roman" w:hAnsi="Times New Roman" w:cs="Times New Roman"/>
          <w:sz w:val="24"/>
          <w:highlight w:val="none"/>
          <w:lang w:val="en-US" w:eastAsia="zh-CN"/>
        </w:rPr>
        <w:t>2经采购人允许，供应商可为踏勘目的进入采购人的项目现场，但供应商不得因此使采购人承担有关责任和蒙受损失；供应商应承担踏勘现场的责任和风险。</w:t>
      </w:r>
    </w:p>
    <w:p w14:paraId="78B4F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11.3</w:t>
      </w:r>
      <w:r>
        <w:rPr>
          <w:rFonts w:hint="default" w:ascii="Times New Roman" w:hAnsi="Times New Roman" w:cs="Times New Roman"/>
          <w:sz w:val="24"/>
          <w:highlight w:val="none"/>
        </w:rPr>
        <w:t>采购人不对供应商现场</w:t>
      </w:r>
      <w:r>
        <w:rPr>
          <w:rFonts w:hint="default" w:ascii="Times New Roman" w:hAnsi="Times New Roman" w:cs="Times New Roman"/>
          <w:sz w:val="24"/>
          <w:highlight w:val="none"/>
          <w:lang w:val="en-US" w:eastAsia="zh-CN"/>
        </w:rPr>
        <w:t>踏勘</w:t>
      </w:r>
      <w:r>
        <w:rPr>
          <w:rFonts w:hint="default" w:ascii="Times New Roman" w:hAnsi="Times New Roman" w:cs="Times New Roman"/>
          <w:sz w:val="24"/>
          <w:highlight w:val="none"/>
        </w:rPr>
        <w:t>而做出的推论、理解和结论负责。一旦成交，</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不得以任何借口，提出额外补偿，或延长合同期限的要求。</w:t>
      </w:r>
    </w:p>
    <w:p w14:paraId="06A2D857">
      <w:pPr>
        <w:pStyle w:val="2"/>
        <w:keepLines/>
        <w:spacing w:line="360" w:lineRule="auto"/>
        <w:rPr>
          <w:rFonts w:hint="default" w:ascii="Times New Roman" w:hAnsi="Times New Roman" w:cs="Times New Roman"/>
          <w:b/>
          <w:bCs/>
          <w:color w:val="auto"/>
          <w:sz w:val="24"/>
          <w:szCs w:val="24"/>
          <w:highlight w:val="none"/>
          <w:u w:val="none"/>
        </w:rPr>
      </w:pPr>
      <w:bookmarkStart w:id="62" w:name="_Toc485883211"/>
      <w:r>
        <w:rPr>
          <w:rFonts w:hint="default" w:ascii="Times New Roman" w:hAnsi="Times New Roman" w:cs="Times New Roman"/>
          <w:b/>
          <w:bCs/>
          <w:color w:val="auto"/>
          <w:sz w:val="24"/>
          <w:szCs w:val="24"/>
          <w:highlight w:val="none"/>
          <w:u w:val="none"/>
        </w:rPr>
        <w:t>12.磋商文件的解释权</w:t>
      </w:r>
      <w:bookmarkEnd w:id="62"/>
    </w:p>
    <w:p w14:paraId="6342454D">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磋商文件的解释权归采购代理机构，如发现磋商文件内容与现行法律法规不相符的情况，以现行法律法规为准。</w:t>
      </w:r>
      <w:bookmarkStart w:id="63" w:name="_Toc183682351"/>
      <w:bookmarkStart w:id="64" w:name="_Toc89075876"/>
      <w:bookmarkStart w:id="65" w:name="_Toc77400780"/>
      <w:bookmarkStart w:id="66" w:name="_Toc183582214"/>
      <w:bookmarkStart w:id="67" w:name="_Toc217446042"/>
    </w:p>
    <w:p w14:paraId="3887CFD3">
      <w:pPr>
        <w:spacing w:line="360" w:lineRule="auto"/>
        <w:rPr>
          <w:rFonts w:hint="default" w:ascii="Times New Roman" w:hAnsi="Times New Roman" w:cs="Times New Roman"/>
          <w:b/>
          <w:sz w:val="30"/>
          <w:szCs w:val="30"/>
          <w:highlight w:val="none"/>
        </w:rPr>
      </w:pPr>
      <w:bookmarkStart w:id="68" w:name="_Toc485883212"/>
      <w:r>
        <w:rPr>
          <w:rFonts w:hint="default" w:ascii="Times New Roman" w:hAnsi="Times New Roman" w:cs="Times New Roman"/>
          <w:b/>
          <w:sz w:val="30"/>
          <w:szCs w:val="30"/>
          <w:highlight w:val="none"/>
        </w:rPr>
        <w:t>三、供应商</w:t>
      </w:r>
      <w:bookmarkEnd w:id="68"/>
    </w:p>
    <w:p w14:paraId="06D25779">
      <w:pPr>
        <w:pStyle w:val="2"/>
        <w:keepLines/>
        <w:spacing w:line="360" w:lineRule="auto"/>
        <w:rPr>
          <w:rFonts w:hint="default" w:ascii="Times New Roman" w:hAnsi="Times New Roman" w:cs="Times New Roman"/>
          <w:b/>
          <w:bCs/>
          <w:color w:val="auto"/>
          <w:sz w:val="24"/>
          <w:szCs w:val="24"/>
          <w:highlight w:val="none"/>
          <w:u w:val="none"/>
        </w:rPr>
      </w:pPr>
      <w:bookmarkStart w:id="69" w:name="_Toc485883213"/>
      <w:r>
        <w:rPr>
          <w:rFonts w:hint="default" w:ascii="Times New Roman" w:hAnsi="Times New Roman" w:cs="Times New Roman"/>
          <w:b/>
          <w:bCs/>
          <w:color w:val="auto"/>
          <w:sz w:val="24"/>
          <w:szCs w:val="24"/>
          <w:highlight w:val="none"/>
          <w:u w:val="none"/>
        </w:rPr>
        <w:t>13.</w:t>
      </w:r>
      <w:bookmarkEnd w:id="63"/>
      <w:bookmarkEnd w:id="64"/>
      <w:bookmarkEnd w:id="65"/>
      <w:bookmarkEnd w:id="66"/>
      <w:bookmarkEnd w:id="67"/>
      <w:bookmarkStart w:id="70" w:name="_Toc183582215"/>
      <w:bookmarkStart w:id="71" w:name="_Toc183682352"/>
      <w:bookmarkStart w:id="72" w:name="_Toc217446043"/>
      <w:r>
        <w:rPr>
          <w:rFonts w:hint="default" w:ascii="Times New Roman" w:hAnsi="Times New Roman" w:cs="Times New Roman"/>
          <w:b/>
          <w:bCs/>
          <w:color w:val="auto"/>
          <w:sz w:val="24"/>
          <w:szCs w:val="24"/>
          <w:highlight w:val="none"/>
          <w:u w:val="none"/>
        </w:rPr>
        <w:t>供应商资格要求</w:t>
      </w:r>
      <w:bookmarkEnd w:id="69"/>
    </w:p>
    <w:p w14:paraId="43188026">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13.1供应商应具备以下资质条件：</w:t>
      </w:r>
    </w:p>
    <w:p w14:paraId="370532C8">
      <w:pPr>
        <w:pStyle w:val="7"/>
        <w:spacing w:line="360" w:lineRule="auto"/>
        <w:ind w:firstLine="48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（一）基本资格条件：</w:t>
      </w:r>
    </w:p>
    <w:p w14:paraId="1CA99936">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rPr>
        <w:t>供应商应符合《中华人民共和国政府采购法》第二十二条规定的资格条件，</w:t>
      </w:r>
      <w:r>
        <w:rPr>
          <w:rFonts w:hint="default" w:ascii="Times New Roman" w:hAnsi="Times New Roman" w:cs="Times New Roman"/>
          <w:sz w:val="24"/>
          <w:szCs w:val="24"/>
          <w:highlight w:val="none"/>
          <w:lang w:val="zh-CN"/>
        </w:rPr>
        <w:t>并按照《政府采购法实施条例》第十七条规定提供下列材料：</w:t>
      </w:r>
    </w:p>
    <w:p w14:paraId="36ED9D55">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r>
        <w:rPr>
          <w:rFonts w:hint="default" w:ascii="Times New Roman" w:hAnsi="Times New Roman" w:cs="Times New Roman"/>
          <w:sz w:val="24"/>
          <w:szCs w:val="24"/>
          <w:highlight w:val="none"/>
        </w:rPr>
        <w:t>；</w:t>
      </w:r>
    </w:p>
    <w:p w14:paraId="547BD996">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（2）提供</w:t>
      </w:r>
      <w:r>
        <w:rPr>
          <w:rFonts w:hint="default" w:ascii="Times New Roman" w:hAnsi="Times New Roman" w:cs="Times New Roman"/>
          <w:sz w:val="24"/>
          <w:szCs w:val="24"/>
          <w:highlight w:val="none"/>
          <w:lang w:val="en-US" w:eastAsia="zh-CN"/>
        </w:rPr>
        <w:t>2024年度</w:t>
      </w:r>
      <w:r>
        <w:rPr>
          <w:rFonts w:hint="default" w:ascii="Times New Roman" w:hAnsi="Times New Roman" w:cs="Times New Roman"/>
          <w:sz w:val="24"/>
          <w:szCs w:val="24"/>
          <w:highlight w:val="none"/>
        </w:rPr>
        <w:t>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36F5EB8D">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提供投标截止时间前一年内的至少一个月的纳税证明或完税证明（任意税种），依法免税的单位应提供相关证明材料；</w:t>
      </w:r>
    </w:p>
    <w:p w14:paraId="40BC6CC8">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提供投标截止时间前一年内至少一个月的社会保障资金缴存凭证或社保机构开具的社会保险参保缴费情况证明，依法不需要缴纳社会保障资金的单位应提供相关证明材料；</w:t>
      </w:r>
    </w:p>
    <w:p w14:paraId="22628B59">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参加采购活动近三年内经营活动中无重大违法记录声明；</w:t>
      </w:r>
    </w:p>
    <w:p w14:paraId="047BDA21">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提供具有履行合同所必须的设备和专业技术能力的承诺书</w:t>
      </w:r>
      <w:r>
        <w:rPr>
          <w:rFonts w:hint="eastAsia" w:ascii="Times New Roman" w:hAnsi="Times New Roman" w:cs="Times New Roman"/>
          <w:sz w:val="24"/>
          <w:szCs w:val="24"/>
          <w:highlight w:val="none"/>
          <w:lang w:eastAsia="zh-CN"/>
        </w:rPr>
        <w:t>。</w:t>
      </w:r>
    </w:p>
    <w:p w14:paraId="44DEAF64">
      <w:pPr>
        <w:pStyle w:val="7"/>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（二）落实政府采购政策资格条件：</w:t>
      </w:r>
    </w:p>
    <w:p w14:paraId="0DCE29E4">
      <w:pPr>
        <w:pStyle w:val="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w:t>
      </w:r>
      <w:r>
        <w:rPr>
          <w:rFonts w:hint="eastAsia" w:cs="Times New Roman"/>
          <w:sz w:val="24"/>
          <w:szCs w:val="24"/>
          <w:highlight w:val="none"/>
          <w:lang w:val="en-US" w:eastAsia="zh-CN"/>
        </w:rPr>
        <w:t>非</w:t>
      </w:r>
      <w:r>
        <w:rPr>
          <w:rFonts w:hint="default" w:ascii="Times New Roman" w:hAnsi="Times New Roman" w:cs="Times New Roman"/>
          <w:sz w:val="24"/>
          <w:szCs w:val="24"/>
          <w:highlight w:val="none"/>
        </w:rPr>
        <w:t>专门面向中小企业采购。</w:t>
      </w:r>
    </w:p>
    <w:p w14:paraId="5114F0B9">
      <w:pPr>
        <w:pStyle w:val="7"/>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（三）特定资格条件：</w:t>
      </w:r>
    </w:p>
    <w:p w14:paraId="3405DB0F">
      <w:pPr>
        <w:pStyle w:val="2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auto"/>
          <w:sz w:val="24"/>
          <w:szCs w:val="24"/>
          <w:highlight w:val="none"/>
        </w:rPr>
        <w:t>法定代表人授权书（附法定代表人身份证复印件）及被授权人身份证（法定代表人直接参加磋商只须提供法定代表人身份证）</w:t>
      </w:r>
      <w:r>
        <w:rPr>
          <w:rFonts w:hint="default" w:ascii="Times New Roman" w:hAnsi="Times New Roman" w:eastAsia="宋体" w:cs="Times New Roman"/>
          <w:sz w:val="24"/>
          <w:szCs w:val="24"/>
          <w:highlight w:val="none"/>
        </w:rPr>
        <w:t>；</w:t>
      </w:r>
    </w:p>
    <w:p w14:paraId="39F1E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auto"/>
          <w:sz w:val="24"/>
          <w:szCs w:val="24"/>
          <w:highlight w:val="none"/>
        </w:rPr>
        <w:t>供应商不得为“信用中国”网站（www.creditchina.gov.cn）中列入失信被执行人和重大税收违法失信主体，不得为中国政府采购网（www.ccgp.gov.cn）政府采购严重违法失信行为记录名单中被财政部门禁止参加政府采购活动供应商</w:t>
      </w:r>
      <w:r>
        <w:rPr>
          <w:rFonts w:hint="eastAsia" w:cs="Times New Roman"/>
          <w:color w:val="auto"/>
          <w:sz w:val="24"/>
          <w:szCs w:val="24"/>
          <w:highlight w:val="none"/>
          <w:lang w:eastAsia="zh-CN"/>
        </w:rPr>
        <w:t>；</w:t>
      </w:r>
    </w:p>
    <w:p w14:paraId="5177F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auto"/>
          <w:sz w:val="24"/>
          <w:szCs w:val="24"/>
          <w:highlight w:val="none"/>
        </w:rPr>
        <w:t>本项目不接受联合体投标</w:t>
      </w:r>
      <w:r>
        <w:rPr>
          <w:rFonts w:hint="default" w:ascii="Times New Roman" w:hAnsi="Times New Roman" w:eastAsia="宋体" w:cs="Times New Roman"/>
          <w:color w:val="auto"/>
          <w:sz w:val="24"/>
          <w:highlight w:val="none"/>
        </w:rPr>
        <w:t>说明</w:t>
      </w:r>
      <w:r>
        <w:rPr>
          <w:rFonts w:hint="default" w:ascii="Times New Roman" w:hAnsi="Times New Roman" w:eastAsia="宋体" w:cs="Times New Roman"/>
          <w:color w:val="auto"/>
          <w:sz w:val="24"/>
          <w:szCs w:val="24"/>
          <w:highlight w:val="none"/>
          <w:lang w:eastAsia="zh-CN"/>
        </w:rPr>
        <w:t>：</w:t>
      </w:r>
    </w:p>
    <w:p w14:paraId="67F96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华文仿宋" w:cs="Times New Roman"/>
          <w:color w:val="auto"/>
          <w:sz w:val="24"/>
          <w:highlight w:val="none"/>
        </w:rPr>
        <w:t>①</w:t>
      </w:r>
      <w:r>
        <w:rPr>
          <w:rFonts w:hint="default" w:ascii="Times New Roman" w:hAnsi="Times New Roman" w:eastAsia="宋体" w:cs="Times New Roman"/>
          <w:color w:val="auto"/>
          <w:sz w:val="24"/>
          <w:highlight w:val="none"/>
        </w:rPr>
        <w:t>单位负责人为同一人或者存在控股、管理关系的不同供应商，不得同时参加本项目采购活动。</w:t>
      </w:r>
    </w:p>
    <w:p w14:paraId="5C2E9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②为本项目提供过整体设计、规范编制或者项目管理、监理、检测等服务的供应商，不得再参加本项目采购活动。</w:t>
      </w:r>
    </w:p>
    <w:p w14:paraId="78E62C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注：上述资格证明材料为必备材料，缺少一项或某项达不到磋商文件要求的按无效响应文件处理。</w:t>
      </w:r>
    </w:p>
    <w:p w14:paraId="2F84B69C">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bCs/>
          <w:sz w:val="24"/>
          <w:highlight w:val="none"/>
        </w:rPr>
        <w:t>13.2</w:t>
      </w:r>
      <w:r>
        <w:rPr>
          <w:rFonts w:hint="default" w:ascii="Times New Roman" w:hAnsi="Times New Roman" w:cs="Times New Roman"/>
          <w:sz w:val="24"/>
          <w:highlight w:val="none"/>
        </w:rPr>
        <w:t>供应商应保证所提供的全部证明材料的真实性，并承诺愿意接受由采购人对其所提供材料的真实性的调查和考证。</w:t>
      </w:r>
    </w:p>
    <w:p w14:paraId="14BBA7E0">
      <w:pPr>
        <w:pStyle w:val="2"/>
        <w:keepLines/>
        <w:spacing w:line="360" w:lineRule="auto"/>
        <w:rPr>
          <w:rFonts w:hint="default" w:ascii="Times New Roman" w:hAnsi="Times New Roman" w:cs="Times New Roman"/>
          <w:b/>
          <w:bCs/>
          <w:color w:val="auto"/>
          <w:sz w:val="24"/>
          <w:szCs w:val="24"/>
          <w:highlight w:val="none"/>
          <w:u w:val="none"/>
        </w:rPr>
      </w:pPr>
      <w:bookmarkStart w:id="73" w:name="_Toc485883214"/>
      <w:r>
        <w:rPr>
          <w:rFonts w:hint="default" w:ascii="Times New Roman" w:hAnsi="Times New Roman" w:cs="Times New Roman"/>
          <w:b/>
          <w:bCs/>
          <w:color w:val="auto"/>
          <w:sz w:val="24"/>
          <w:szCs w:val="24"/>
          <w:highlight w:val="none"/>
          <w:u w:val="none"/>
        </w:rPr>
        <w:t>14.授权委托</w:t>
      </w:r>
      <w:bookmarkEnd w:id="73"/>
    </w:p>
    <w:p w14:paraId="5BC749F9">
      <w:pPr>
        <w:pStyle w:val="10"/>
        <w:adjustRightInd w:val="0"/>
        <w:snapToGrid w:val="0"/>
        <w:spacing w:line="360" w:lineRule="auto"/>
        <w:ind w:left="-178" w:leftChars="-85" w:firstLine="600" w:firstLineChars="2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14.1供应商代表为供应商法定代表人的，应持有法定代表人身份证明。供应商代表不是供应商法定代表人的，应持有法定代表人授权书，并附法定代表人身份证明。</w:t>
      </w:r>
    </w:p>
    <w:p w14:paraId="0BC1CEDC">
      <w:pPr>
        <w:pStyle w:val="10"/>
        <w:adjustRightInd w:val="0"/>
        <w:snapToGrid w:val="0"/>
        <w:spacing w:line="360" w:lineRule="auto"/>
        <w:ind w:left="-178" w:leftChars="-85" w:firstLine="600" w:firstLineChars="250"/>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14</w:t>
      </w:r>
      <w:r>
        <w:rPr>
          <w:rFonts w:hint="default" w:ascii="Times New Roman" w:hAnsi="Times New Roman" w:cs="Times New Roman"/>
          <w:kern w:val="0"/>
          <w:sz w:val="24"/>
          <w:szCs w:val="24"/>
          <w:highlight w:val="none"/>
        </w:rPr>
        <w:t>.2供应商代表只能接受一个供应商的委托参加磋商。</w:t>
      </w:r>
    </w:p>
    <w:p w14:paraId="02191846">
      <w:pPr>
        <w:pStyle w:val="2"/>
        <w:keepLines/>
        <w:spacing w:line="360" w:lineRule="auto"/>
        <w:rPr>
          <w:rFonts w:hint="default" w:ascii="Times New Roman" w:hAnsi="Times New Roman" w:cs="Times New Roman"/>
          <w:b/>
          <w:bCs/>
          <w:color w:val="auto"/>
          <w:sz w:val="24"/>
          <w:szCs w:val="24"/>
          <w:highlight w:val="none"/>
          <w:u w:val="none"/>
        </w:rPr>
      </w:pPr>
      <w:bookmarkStart w:id="74" w:name="_Toc485883216"/>
      <w:r>
        <w:rPr>
          <w:rFonts w:hint="default" w:ascii="Times New Roman" w:hAnsi="Times New Roman" w:cs="Times New Roman"/>
          <w:b/>
          <w:bCs/>
          <w:color w:val="auto"/>
          <w:sz w:val="24"/>
          <w:szCs w:val="24"/>
          <w:highlight w:val="none"/>
          <w:u w:val="none"/>
        </w:rPr>
        <w:t>15.转包与分包</w:t>
      </w:r>
      <w:bookmarkEnd w:id="74"/>
    </w:p>
    <w:p w14:paraId="3B6D8FEB">
      <w:pPr>
        <w:spacing w:line="360" w:lineRule="auto"/>
        <w:ind w:firstLine="493"/>
        <w:rPr>
          <w:rFonts w:hint="default" w:ascii="Times New Roman" w:hAnsi="Times New Roman" w:cs="Times New Roman"/>
          <w:sz w:val="24"/>
          <w:highlight w:val="none"/>
        </w:rPr>
      </w:pPr>
      <w:r>
        <w:rPr>
          <w:rFonts w:hint="default" w:ascii="Times New Roman" w:hAnsi="Times New Roman" w:cs="Times New Roman"/>
          <w:kern w:val="0"/>
          <w:sz w:val="24"/>
          <w:highlight w:val="none"/>
        </w:rPr>
        <w:t>15.1本项目不允许采取转包方式履行合同。</w:t>
      </w:r>
    </w:p>
    <w:p w14:paraId="5EA5F26C">
      <w:pPr>
        <w:spacing w:line="360" w:lineRule="auto"/>
        <w:ind w:firstLine="493"/>
        <w:rPr>
          <w:rFonts w:hint="default" w:ascii="Times New Roman" w:hAnsi="Times New Roman" w:cs="Times New Roman"/>
          <w:b/>
          <w:bCs/>
          <w:kern w:val="0"/>
          <w:sz w:val="24"/>
          <w:highlight w:val="none"/>
        </w:rPr>
      </w:pPr>
      <w:r>
        <w:rPr>
          <w:rFonts w:hint="default" w:ascii="Times New Roman" w:hAnsi="Times New Roman" w:cs="Times New Roman"/>
          <w:sz w:val="24"/>
          <w:highlight w:val="none"/>
        </w:rPr>
        <w:t>15.2本项目不允许分包。</w:t>
      </w:r>
    </w:p>
    <w:p w14:paraId="55F01B60">
      <w:pPr>
        <w:pStyle w:val="2"/>
        <w:keepLines/>
        <w:spacing w:line="360" w:lineRule="auto"/>
        <w:rPr>
          <w:rFonts w:hint="default" w:ascii="Times New Roman" w:hAnsi="Times New Roman" w:cs="Times New Roman"/>
          <w:b/>
          <w:bCs/>
          <w:color w:val="auto"/>
          <w:sz w:val="24"/>
          <w:szCs w:val="24"/>
          <w:highlight w:val="none"/>
          <w:u w:val="none"/>
        </w:rPr>
      </w:pPr>
      <w:bookmarkStart w:id="75" w:name="_Toc485883217"/>
      <w:r>
        <w:rPr>
          <w:rFonts w:hint="default" w:ascii="Times New Roman" w:hAnsi="Times New Roman" w:cs="Times New Roman"/>
          <w:b/>
          <w:bCs/>
          <w:color w:val="auto"/>
          <w:sz w:val="24"/>
          <w:szCs w:val="24"/>
          <w:highlight w:val="none"/>
          <w:u w:val="none"/>
        </w:rPr>
        <w:t>16.供应商的风险</w:t>
      </w:r>
      <w:bookmarkEnd w:id="75"/>
    </w:p>
    <w:p w14:paraId="3DC799DA">
      <w:pPr>
        <w:tabs>
          <w:tab w:val="left" w:pos="7665"/>
        </w:tabs>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sz w:val="24"/>
          <w:highlight w:val="none"/>
        </w:rPr>
        <w:t>供应商应认真阅读和充分理解磋商文件中所有的事项、格式条款和规范要求，任何对</w:t>
      </w:r>
      <w:r>
        <w:rPr>
          <w:rFonts w:hint="default" w:ascii="Times New Roman" w:hAnsi="Times New Roman" w:cs="Times New Roman"/>
          <w:bCs/>
          <w:sz w:val="24"/>
          <w:highlight w:val="none"/>
        </w:rPr>
        <w:t>磋商</w:t>
      </w:r>
      <w:r>
        <w:rPr>
          <w:rFonts w:hint="default" w:ascii="Times New Roman" w:hAnsi="Times New Roman" w:cs="Times New Roman"/>
          <w:sz w:val="24"/>
          <w:highlight w:val="none"/>
        </w:rPr>
        <w:t>文件的忽略或误解不能作为响应文件存在缺陷或瑕疵的理由；供应商</w:t>
      </w:r>
      <w:r>
        <w:rPr>
          <w:rFonts w:hint="default" w:ascii="Times New Roman" w:hAnsi="Times New Roman" w:cs="Times New Roman"/>
          <w:kern w:val="0"/>
          <w:sz w:val="24"/>
          <w:highlight w:val="none"/>
        </w:rPr>
        <w:t>没有按照磋商文件要求提供全部资料，</w:t>
      </w:r>
      <w:r>
        <w:rPr>
          <w:rFonts w:hint="default" w:ascii="Times New Roman" w:hAnsi="Times New Roman" w:cs="Times New Roman"/>
          <w:sz w:val="24"/>
          <w:highlight w:val="none"/>
        </w:rPr>
        <w:t>或对磋商文件未全面做出实质性响应是供应商的风险，</w:t>
      </w:r>
      <w:r>
        <w:rPr>
          <w:rFonts w:hint="default" w:ascii="Times New Roman" w:hAnsi="Times New Roman" w:cs="Times New Roman"/>
          <w:kern w:val="0"/>
          <w:sz w:val="24"/>
          <w:highlight w:val="none"/>
        </w:rPr>
        <w:t>并可能导致其响应文件被拒绝。</w:t>
      </w:r>
    </w:p>
    <w:p w14:paraId="7E6ADD29">
      <w:pPr>
        <w:keepNext/>
        <w:keepLines/>
        <w:spacing w:line="360" w:lineRule="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17.供应商的纪律要求</w:t>
      </w:r>
    </w:p>
    <w:p w14:paraId="3B466B64">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17.1有下列情形之一的，属于不合格供应商，其磋商或成交资格将被取消：</w:t>
      </w:r>
    </w:p>
    <w:p w14:paraId="1A54988A">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（1）提供虚假材料谋取成交资格；</w:t>
      </w:r>
    </w:p>
    <w:p w14:paraId="23D5841F">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（2）采取不正当手段诋毁、排挤其他供应商；</w:t>
      </w:r>
    </w:p>
    <w:p w14:paraId="159B8EF2">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（3）与采购人、采购代理机构、其他供应商恶意串通；</w:t>
      </w:r>
    </w:p>
    <w:p w14:paraId="35FC9175">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（4）向采购人、采购代理机构、磋商小组成员行贿或者提供其他不正当利益；</w:t>
      </w:r>
    </w:p>
    <w:p w14:paraId="4898F9C8">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（5）拒绝有关部门的监督检查或者向监督检查部门提供虚假情况；</w:t>
      </w:r>
    </w:p>
    <w:p w14:paraId="497C22E1">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（6）法律法规规定的其他情形。</w:t>
      </w:r>
    </w:p>
    <w:p w14:paraId="792AF1A6">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17.2有下列情形之一的，视为供应商相互恶意串通磋商响应，其响应文件无效：</w:t>
      </w:r>
    </w:p>
    <w:p w14:paraId="20947632">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（1）不同供应商的响应文件由同一单位或者个人编制；</w:t>
      </w:r>
    </w:p>
    <w:p w14:paraId="7459C45A">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（2）不同供应商委托同一单位或者个人办理磋商事宜；</w:t>
      </w:r>
    </w:p>
    <w:p w14:paraId="784A1A7F">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（3）不同供应商的响应文件载明的项目管理成员为同一人；</w:t>
      </w:r>
    </w:p>
    <w:p w14:paraId="3A9F5821">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（4）不同供应商的响应文件异常一致或者磋商报价呈规律性差异；</w:t>
      </w:r>
    </w:p>
    <w:p w14:paraId="1DE28D82">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（5）不同供应商的响应文件相互混装；</w:t>
      </w:r>
    </w:p>
    <w:p w14:paraId="0D2289CC">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（6）不同供应商的磋商保证金从同一单位或者个人的账户转出（仅限供应商须知前附表要求供应商提交磋商保证金的）；</w:t>
      </w:r>
    </w:p>
    <w:p w14:paraId="474771C9">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（7）不同供应商的响应文件由同一单位送达。</w:t>
      </w:r>
    </w:p>
    <w:p w14:paraId="42D5F144">
      <w:pPr>
        <w:spacing w:line="360" w:lineRule="auto"/>
        <w:rPr>
          <w:rFonts w:hint="default" w:ascii="Times New Roman" w:hAnsi="Times New Roman" w:cs="Times New Roman"/>
          <w:b/>
          <w:sz w:val="30"/>
          <w:szCs w:val="30"/>
          <w:highlight w:val="none"/>
        </w:rPr>
      </w:pPr>
      <w:bookmarkStart w:id="76" w:name="_Toc485883218"/>
      <w:r>
        <w:rPr>
          <w:rFonts w:hint="default" w:ascii="Times New Roman" w:hAnsi="Times New Roman" w:cs="Times New Roman"/>
          <w:b/>
          <w:sz w:val="30"/>
          <w:szCs w:val="30"/>
          <w:highlight w:val="none"/>
        </w:rPr>
        <w:t>四、响应文件</w:t>
      </w:r>
      <w:bookmarkEnd w:id="76"/>
    </w:p>
    <w:p w14:paraId="249A9647">
      <w:pPr>
        <w:pStyle w:val="2"/>
        <w:keepLines/>
        <w:spacing w:line="360" w:lineRule="auto"/>
        <w:rPr>
          <w:rFonts w:hint="default" w:ascii="Times New Roman" w:hAnsi="Times New Roman" w:cs="Times New Roman"/>
          <w:b/>
          <w:bCs/>
          <w:color w:val="auto"/>
          <w:sz w:val="24"/>
          <w:szCs w:val="24"/>
          <w:highlight w:val="none"/>
          <w:u w:val="none"/>
        </w:rPr>
      </w:pPr>
      <w:bookmarkStart w:id="77" w:name="_Toc485883219"/>
      <w:r>
        <w:rPr>
          <w:rFonts w:hint="default" w:ascii="Times New Roman" w:hAnsi="Times New Roman" w:cs="Times New Roman"/>
          <w:b/>
          <w:bCs/>
          <w:color w:val="auto"/>
          <w:sz w:val="24"/>
          <w:szCs w:val="24"/>
          <w:highlight w:val="none"/>
          <w:u w:val="none"/>
        </w:rPr>
        <w:t>18.响应文件的编写原则和要求</w:t>
      </w:r>
      <w:bookmarkEnd w:id="77"/>
    </w:p>
    <w:p w14:paraId="030496DB">
      <w:pPr>
        <w:tabs>
          <w:tab w:val="left" w:pos="72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18.1供应商应仔细阅读磋商文件的所有内容，按照磋商文件规定及要求编写，应当对磋商文件提出的实质性要求做出响应，并提交完整的响应文件。供应商应对采购</w:t>
      </w:r>
      <w:r>
        <w:rPr>
          <w:rFonts w:hint="default" w:ascii="Times New Roman" w:hAnsi="Times New Roman" w:cs="Times New Roman"/>
          <w:sz w:val="24"/>
          <w:highlight w:val="none"/>
          <w:lang w:val="en-US" w:eastAsia="zh-CN"/>
        </w:rPr>
        <w:t>项目</w:t>
      </w:r>
      <w:r>
        <w:rPr>
          <w:rFonts w:hint="default" w:ascii="Times New Roman" w:hAnsi="Times New Roman" w:cs="Times New Roman"/>
          <w:sz w:val="24"/>
          <w:highlight w:val="none"/>
        </w:rPr>
        <w:t>提供完整详细的技术说明，若供应商对指定的技术要求不能完全响应，应在响应文件中清楚地注明。供应商对本磋商文件的每一项要求所给予的响应必须是唯一的，否则将视为无效响应文件。</w:t>
      </w:r>
    </w:p>
    <w:p w14:paraId="24998829">
      <w:pPr>
        <w:tabs>
          <w:tab w:val="left" w:pos="72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18.2真实性原则</w:t>
      </w:r>
    </w:p>
    <w:p w14:paraId="781EF7E7">
      <w:pPr>
        <w:tabs>
          <w:tab w:val="left" w:pos="720"/>
        </w:tabs>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18.2.1供应商应保证所提供的响应文件和所有资料的真实性、准确性和完整性。</w:t>
      </w:r>
    </w:p>
    <w:p w14:paraId="5DD1EEEC">
      <w:pPr>
        <w:tabs>
          <w:tab w:val="left" w:pos="720"/>
        </w:tabs>
        <w:snapToGrid w:val="0"/>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18.2.2供应商在政府采购过程中提供不真实的材料，无论其材料是否重要，采购人均有权拒绝，并取消其磋商资格，供应商需承担相应的后果及法律责任。</w:t>
      </w:r>
    </w:p>
    <w:p w14:paraId="3E03AEA3">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18.3供应商提交的响应文件以及供应商与采购代理机构就有关磋商的所有来往书面文件均须使用中文。响应文件中如附有外文资料，必须逐一对应翻译成中文并加盖供应商公章后附在相关外文资料后面，否则，其响应文件将作为无效响应文件处理。</w:t>
      </w:r>
    </w:p>
    <w:p w14:paraId="3B954B84">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18.3.1翻译的中文资料与外文资料如果出现差异和矛盾时，以中文为准。但不能故意错误翻译，否则，供应商的响应文件将作为无效响应文件处理。</w:t>
      </w:r>
      <w:r>
        <w:rPr>
          <w:rFonts w:hint="default" w:ascii="Times New Roman" w:hAnsi="Times New Roman" w:cs="Times New Roman"/>
          <w:kern w:val="0"/>
          <w:sz w:val="24"/>
          <w:szCs w:val="24"/>
          <w:highlight w:val="none"/>
        </w:rPr>
        <w:t>必要时采购人可以要求供应商提供附有公证书的中文翻译文件或者与原版文件签章相一致的中文翻译文件。</w:t>
      </w:r>
    </w:p>
    <w:p w14:paraId="64ADF15E">
      <w:pPr>
        <w:tabs>
          <w:tab w:val="left" w:pos="720"/>
        </w:tabs>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18.4响应文件的计量单位</w:t>
      </w:r>
    </w:p>
    <w:p w14:paraId="28A17537">
      <w:pPr>
        <w:tabs>
          <w:tab w:val="left" w:pos="720"/>
        </w:tabs>
        <w:snapToGrid w:val="0"/>
        <w:spacing w:line="360" w:lineRule="auto"/>
        <w:ind w:firstLine="480"/>
        <w:rPr>
          <w:rFonts w:hint="default" w:ascii="Times New Roman" w:hAnsi="Times New Roman" w:cs="Times New Roman"/>
          <w:kern w:val="0"/>
          <w:sz w:val="24"/>
          <w:highlight w:val="none"/>
        </w:rPr>
      </w:pPr>
      <w:r>
        <w:rPr>
          <w:rFonts w:hint="default" w:ascii="Times New Roman" w:hAnsi="Times New Roman" w:cs="Times New Roman"/>
          <w:sz w:val="24"/>
          <w:highlight w:val="none"/>
        </w:rPr>
        <w:t>18.4.1</w:t>
      </w:r>
      <w:r>
        <w:rPr>
          <w:rFonts w:hint="default" w:ascii="Times New Roman" w:hAnsi="Times New Roman" w:cs="Times New Roman"/>
          <w:kern w:val="0"/>
          <w:sz w:val="24"/>
          <w:highlight w:val="none"/>
        </w:rPr>
        <w:t>磋商文件已有明确规定的，使用磋商文件规定的计量单位；磋商文件没有规定的，应采用中华人民共和国法定计量单位</w:t>
      </w:r>
      <w:r>
        <w:rPr>
          <w:rFonts w:hint="default" w:ascii="Times New Roman" w:hAnsi="Times New Roman" w:cs="Times New Roman"/>
          <w:sz w:val="24"/>
          <w:highlight w:val="none"/>
        </w:rPr>
        <w:t>（国际单位制和国家选定的其他计量单位）</w:t>
      </w:r>
      <w:r>
        <w:rPr>
          <w:rFonts w:hint="default" w:ascii="Times New Roman" w:hAnsi="Times New Roman" w:cs="Times New Roman"/>
          <w:kern w:val="0"/>
          <w:sz w:val="24"/>
          <w:highlight w:val="none"/>
        </w:rPr>
        <w:t>。否则，视为对磋商文件未作出实质性响应。</w:t>
      </w:r>
    </w:p>
    <w:p w14:paraId="53DFF61C">
      <w:pPr>
        <w:tabs>
          <w:tab w:val="left" w:pos="720"/>
        </w:tabs>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18.5报价使用货币</w:t>
      </w:r>
    </w:p>
    <w:p w14:paraId="4FDBDCDE">
      <w:pPr>
        <w:tabs>
          <w:tab w:val="left" w:pos="720"/>
        </w:tabs>
        <w:snapToGrid w:val="0"/>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18.5.1本次采购项目的报价均以人民币报价。</w:t>
      </w:r>
    </w:p>
    <w:p w14:paraId="4C20E96C">
      <w:pPr>
        <w:pStyle w:val="10"/>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18.6响应</w:t>
      </w:r>
      <w:r>
        <w:rPr>
          <w:rFonts w:hint="default" w:ascii="Times New Roman" w:hAnsi="Times New Roman" w:cs="Times New Roman"/>
          <w:sz w:val="24"/>
          <w:szCs w:val="24"/>
          <w:highlight w:val="none"/>
        </w:rPr>
        <w:t>文件形式</w:t>
      </w:r>
    </w:p>
    <w:p w14:paraId="4EF94787">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highlight w:val="none"/>
        </w:rPr>
        <w:t>18.6.1本项目响应</w:t>
      </w:r>
      <w:r>
        <w:rPr>
          <w:rFonts w:hint="default" w:ascii="Times New Roman" w:hAnsi="Times New Roman" w:cs="Times New Roman"/>
          <w:sz w:val="24"/>
          <w:szCs w:val="24"/>
          <w:highlight w:val="none"/>
        </w:rPr>
        <w:t>文件应采用书面文件形式，电报、传真、电子邮件形式的响应文件不予接受。</w:t>
      </w:r>
    </w:p>
    <w:p w14:paraId="2FC0A21D">
      <w:pPr>
        <w:tabs>
          <w:tab w:val="left" w:pos="72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18.7备选方案</w:t>
      </w:r>
    </w:p>
    <w:p w14:paraId="75D5C12A">
      <w:pPr>
        <w:tabs>
          <w:tab w:val="left" w:pos="720"/>
        </w:tabs>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18.7.1本项目不接受备选响应方案，响应文件的报价只允许有一个报价，不接受有任何选择或具有附加条件的报价，否则，在评审时将其视为无效报价</w:t>
      </w:r>
      <w:r>
        <w:rPr>
          <w:rFonts w:hint="default" w:ascii="Times New Roman" w:hAnsi="Times New Roman" w:cs="Times New Roman"/>
          <w:highlight w:val="none"/>
        </w:rPr>
        <w:t>。</w:t>
      </w:r>
    </w:p>
    <w:bookmarkEnd w:id="70"/>
    <w:bookmarkEnd w:id="71"/>
    <w:bookmarkEnd w:id="72"/>
    <w:p w14:paraId="6D17E783">
      <w:pPr>
        <w:pStyle w:val="2"/>
        <w:keepLines/>
        <w:spacing w:line="360" w:lineRule="auto"/>
        <w:rPr>
          <w:rFonts w:hint="default" w:ascii="Times New Roman" w:hAnsi="Times New Roman" w:cs="Times New Roman"/>
          <w:b/>
          <w:bCs/>
          <w:color w:val="auto"/>
          <w:sz w:val="24"/>
          <w:szCs w:val="24"/>
          <w:highlight w:val="none"/>
          <w:u w:val="none"/>
        </w:rPr>
      </w:pPr>
      <w:bookmarkStart w:id="78" w:name="_Toc485883220"/>
      <w:bookmarkStart w:id="79" w:name="_Toc217446048"/>
      <w:bookmarkStart w:id="80" w:name="_Toc183682354"/>
      <w:bookmarkStart w:id="81" w:name="_Toc183582217"/>
      <w:r>
        <w:rPr>
          <w:rFonts w:hint="default" w:ascii="Times New Roman" w:hAnsi="Times New Roman" w:cs="Times New Roman"/>
          <w:b/>
          <w:bCs/>
          <w:color w:val="auto"/>
          <w:sz w:val="24"/>
          <w:szCs w:val="24"/>
          <w:highlight w:val="none"/>
          <w:u w:val="none"/>
        </w:rPr>
        <w:t>19．响应文件的组成</w:t>
      </w:r>
      <w:bookmarkEnd w:id="78"/>
      <w:bookmarkEnd w:id="79"/>
      <w:bookmarkEnd w:id="80"/>
      <w:bookmarkEnd w:id="81"/>
    </w:p>
    <w:p w14:paraId="5ABC435A">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19.1响应文件由下列部分组成：</w:t>
      </w:r>
    </w:p>
    <w:p w14:paraId="63DD8943">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（1）报价部分；</w:t>
      </w:r>
    </w:p>
    <w:p w14:paraId="73E02AC3">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（2）商务技术部分；</w:t>
      </w:r>
    </w:p>
    <w:p w14:paraId="6734CDAA">
      <w:pPr>
        <w:spacing w:line="360" w:lineRule="auto"/>
        <w:ind w:firstLine="472" w:firstLineChars="196"/>
        <w:rPr>
          <w:rFonts w:hint="default" w:ascii="Times New Roman" w:hAnsi="Times New Roman" w:cs="Times New Roman"/>
          <w:b/>
          <w:sz w:val="24"/>
          <w:highlight w:val="none"/>
        </w:rPr>
      </w:pPr>
      <w:r>
        <w:rPr>
          <w:rFonts w:hint="default" w:ascii="Times New Roman" w:hAnsi="Times New Roman" w:cs="Times New Roman"/>
          <w:b/>
          <w:sz w:val="24"/>
          <w:highlight w:val="none"/>
        </w:rPr>
        <w:t>19.2报价部分</w:t>
      </w:r>
    </w:p>
    <w:p w14:paraId="3ECC9282">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19.2.1</w:t>
      </w:r>
      <w:r>
        <w:rPr>
          <w:rFonts w:hint="default" w:ascii="Times New Roman" w:hAnsi="Times New Roman" w:cs="Times New Roman"/>
          <w:b/>
          <w:sz w:val="24"/>
          <w:highlight w:val="none"/>
        </w:rPr>
        <w:t>本次竞争性磋商根据磋商情况确定磋商轮次，</w:t>
      </w:r>
      <w:r>
        <w:rPr>
          <w:rFonts w:hint="default" w:ascii="Times New Roman" w:hAnsi="Times New Roman" w:cs="Times New Roman"/>
          <w:b/>
          <w:sz w:val="24"/>
          <w:highlight w:val="none"/>
          <w:lang w:val="en-US" w:eastAsia="zh-CN"/>
        </w:rPr>
        <w:t>最后一轮</w:t>
      </w:r>
      <w:r>
        <w:rPr>
          <w:rFonts w:hint="default" w:ascii="Times New Roman" w:hAnsi="Times New Roman" w:cs="Times New Roman"/>
          <w:b/>
          <w:sz w:val="24"/>
          <w:highlight w:val="none"/>
        </w:rPr>
        <w:t>报价为最终报价</w:t>
      </w:r>
      <w:r>
        <w:rPr>
          <w:rFonts w:hint="default" w:ascii="Times New Roman" w:hAnsi="Times New Roman" w:cs="Times New Roman"/>
          <w:sz w:val="24"/>
          <w:highlight w:val="none"/>
        </w:rPr>
        <w:t>。</w:t>
      </w:r>
    </w:p>
    <w:p w14:paraId="0E57DAED">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bCs/>
          <w:sz w:val="24"/>
          <w:highlight w:val="none"/>
        </w:rPr>
        <w:t>19.2.2</w:t>
      </w:r>
      <w:r>
        <w:rPr>
          <w:rFonts w:hint="default" w:ascii="Times New Roman" w:hAnsi="Times New Roman" w:cs="Times New Roman"/>
          <w:sz w:val="24"/>
          <w:highlight w:val="none"/>
        </w:rPr>
        <w:t>报价要求：</w:t>
      </w:r>
    </w:p>
    <w:p w14:paraId="2FE161A7">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（1）本项目采购预算金额</w:t>
      </w:r>
      <w:r>
        <w:rPr>
          <w:rFonts w:hint="default" w:ascii="Times New Roman" w:hAnsi="Times New Roman" w:cs="Times New Roman"/>
          <w:sz w:val="24"/>
          <w:highlight w:val="none"/>
          <w:lang w:val="en-US" w:eastAsia="zh-CN"/>
        </w:rPr>
        <w:t>及最高限价</w:t>
      </w:r>
      <w:r>
        <w:rPr>
          <w:rFonts w:hint="default" w:ascii="Times New Roman" w:hAnsi="Times New Roman" w:cs="Times New Roman"/>
          <w:sz w:val="24"/>
          <w:highlight w:val="none"/>
        </w:rPr>
        <w:t>见供应商须知前列表。供应商各轮次报价均不得超过采购预算金额</w:t>
      </w:r>
      <w:r>
        <w:rPr>
          <w:rFonts w:hint="default" w:ascii="Times New Roman" w:hAnsi="Times New Roman" w:cs="Times New Roman"/>
          <w:sz w:val="24"/>
          <w:highlight w:val="none"/>
          <w:lang w:val="en-US" w:eastAsia="zh-CN"/>
        </w:rPr>
        <w:t>及最高限价</w:t>
      </w:r>
      <w:r>
        <w:rPr>
          <w:rFonts w:hint="default" w:ascii="Times New Roman" w:hAnsi="Times New Roman" w:cs="Times New Roman"/>
          <w:sz w:val="24"/>
          <w:highlight w:val="none"/>
        </w:rPr>
        <w:t>；否则，按无效响应文件处理。若采购需求没有实质性变化的，各供应商的报价应逐次降低，本次报价超过上次报价的，按无效报价处理，评审时按上次报价计算。</w:t>
      </w:r>
    </w:p>
    <w:p w14:paraId="23979AF9">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cs="Times New Roman"/>
          <w:sz w:val="24"/>
          <w:highlight w:val="none"/>
        </w:rPr>
        <w:t>（2）</w:t>
      </w:r>
      <w:r>
        <w:rPr>
          <w:rFonts w:hint="default" w:ascii="Times New Roman" w:hAnsi="Times New Roman" w:cs="Times New Roman"/>
          <w:b/>
          <w:sz w:val="24"/>
          <w:highlight w:val="none"/>
        </w:rPr>
        <w:t>本项目报价供应商应自行考虑并承担风险</w:t>
      </w:r>
      <w:r>
        <w:rPr>
          <w:rFonts w:hint="default" w:ascii="Times New Roman" w:hAnsi="Times New Roman" w:cs="Times New Roman"/>
          <w:sz w:val="24"/>
          <w:highlight w:val="none"/>
        </w:rPr>
        <w:t>。</w:t>
      </w:r>
      <w:r>
        <w:rPr>
          <w:rFonts w:hint="default" w:ascii="Times New Roman" w:hAnsi="Times New Roman" w:cs="Times New Roman"/>
          <w:sz w:val="24"/>
          <w:szCs w:val="22"/>
          <w:highlight w:val="none"/>
        </w:rPr>
        <w:t>本项目报价采用全费用报价方式</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lang w:val="en-US" w:eastAsia="zh-CN"/>
        </w:rPr>
        <w:t>为固定总价承包</w:t>
      </w:r>
      <w:r>
        <w:rPr>
          <w:rFonts w:hint="default" w:ascii="Times New Roman" w:hAnsi="Times New Roman" w:cs="Times New Roman"/>
          <w:sz w:val="24"/>
          <w:szCs w:val="22"/>
          <w:highlight w:val="none"/>
        </w:rPr>
        <w:t>，</w:t>
      </w:r>
      <w:r>
        <w:rPr>
          <w:rFonts w:hint="default" w:ascii="Times New Roman" w:hAnsi="Times New Roman" w:cs="Times New Roman"/>
          <w:sz w:val="24"/>
          <w:szCs w:val="22"/>
          <w:highlight w:val="none"/>
          <w:lang w:val="en-US" w:eastAsia="zh-CN"/>
        </w:rPr>
        <w:t>供应商自行考虑并承担风险。即供应商的报价是供应商响应本项目要求的全部工作内容的价格体现，</w:t>
      </w:r>
      <w:r>
        <w:rPr>
          <w:rFonts w:hint="default" w:ascii="Times New Roman" w:hAnsi="Times New Roman" w:eastAsia="宋体" w:cs="Times New Roman"/>
          <w:color w:val="auto"/>
          <w:sz w:val="24"/>
          <w:szCs w:val="22"/>
          <w:highlight w:val="none"/>
          <w:lang w:val="zh-CN"/>
        </w:rPr>
        <w:t>包含</w:t>
      </w:r>
      <w:r>
        <w:rPr>
          <w:rFonts w:hint="default" w:ascii="Times New Roman" w:hAnsi="Times New Roman" w:eastAsia="宋体" w:cs="Times New Roman"/>
          <w:color w:val="auto"/>
          <w:sz w:val="24"/>
          <w:szCs w:val="22"/>
          <w:highlight w:val="none"/>
          <w:lang w:val="en-US" w:eastAsia="zh-CN"/>
        </w:rPr>
        <w:t>设备费、运</w:t>
      </w:r>
      <w:r>
        <w:rPr>
          <w:rFonts w:hint="default" w:ascii="Times New Roman" w:hAnsi="Times New Roman" w:eastAsia="宋体" w:cs="Times New Roman"/>
          <w:color w:val="auto"/>
          <w:sz w:val="24"/>
          <w:szCs w:val="22"/>
          <w:highlight w:val="none"/>
          <w:lang w:val="zh-CN"/>
        </w:rPr>
        <w:t>费、</w:t>
      </w:r>
      <w:r>
        <w:rPr>
          <w:rFonts w:hint="default" w:ascii="Times New Roman" w:hAnsi="Times New Roman" w:eastAsia="宋体" w:cs="Times New Roman"/>
          <w:color w:val="auto"/>
          <w:sz w:val="24"/>
          <w:szCs w:val="22"/>
          <w:highlight w:val="none"/>
          <w:lang w:val="en-US" w:eastAsia="zh-CN"/>
        </w:rPr>
        <w:t>保管费、</w:t>
      </w:r>
      <w:r>
        <w:rPr>
          <w:rFonts w:hint="default" w:ascii="Times New Roman" w:hAnsi="Times New Roman" w:eastAsia="宋体" w:cs="Times New Roman"/>
          <w:color w:val="auto"/>
          <w:sz w:val="24"/>
          <w:szCs w:val="22"/>
          <w:highlight w:val="none"/>
          <w:lang w:val="zh-CN"/>
        </w:rPr>
        <w:t>安装费、</w:t>
      </w:r>
      <w:r>
        <w:rPr>
          <w:rFonts w:hint="eastAsia" w:ascii="Times New Roman" w:hAnsi="Times New Roman" w:cs="Times New Roman"/>
          <w:color w:val="auto"/>
          <w:sz w:val="24"/>
          <w:szCs w:val="22"/>
          <w:highlight w:val="none"/>
          <w:lang w:val="en-US" w:eastAsia="zh-CN"/>
        </w:rPr>
        <w:t>调试费</w:t>
      </w:r>
      <w:r>
        <w:rPr>
          <w:rFonts w:hint="default" w:ascii="Times New Roman" w:hAnsi="Times New Roman" w:eastAsia="宋体" w:cs="Times New Roman"/>
          <w:color w:val="auto"/>
          <w:sz w:val="24"/>
          <w:szCs w:val="22"/>
          <w:highlight w:val="none"/>
          <w:lang w:val="zh-CN"/>
        </w:rPr>
        <w:t>、验收费、利润及税金</w:t>
      </w:r>
      <w:r>
        <w:rPr>
          <w:rFonts w:hint="default" w:ascii="Times New Roman" w:hAnsi="Times New Roman" w:eastAsia="宋体" w:cs="Times New Roman"/>
          <w:color w:val="auto"/>
          <w:sz w:val="24"/>
          <w:szCs w:val="22"/>
          <w:highlight w:val="none"/>
        </w:rPr>
        <w:t>等全部相关费用</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任何有选择性的报价将不予接受。</w:t>
      </w:r>
      <w:r>
        <w:rPr>
          <w:rFonts w:hint="default" w:ascii="Times New Roman" w:hAnsi="Times New Roman" w:eastAsia="宋体" w:cs="Times New Roman"/>
          <w:color w:val="auto"/>
          <w:sz w:val="24"/>
          <w:highlight w:val="none"/>
        </w:rPr>
        <w:t>在提供服务的过程中的任何遗漏，均由成交服务供应商免费提供，采购人将不再支付任何费用。成交服务后不允许擅自改变服务内容、质量标准、期限和追加项目预算，并且在合同履行过程中是固定不变的，任何有选择或可调整的报价将不予接受，并按无效响应文件处理。</w:t>
      </w:r>
    </w:p>
    <w:p w14:paraId="6E17A603">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kern w:val="0"/>
          <w:sz w:val="24"/>
          <w:highlight w:val="none"/>
        </w:rPr>
        <w:t>供应商的</w:t>
      </w:r>
      <w:r>
        <w:rPr>
          <w:rFonts w:hint="default" w:ascii="Times New Roman" w:hAnsi="Times New Roman" w:cs="Times New Roman"/>
          <w:b/>
          <w:kern w:val="0"/>
          <w:sz w:val="24"/>
          <w:highlight w:val="none"/>
        </w:rPr>
        <w:t>第一次报价应</w:t>
      </w:r>
      <w:r>
        <w:rPr>
          <w:rFonts w:hint="default" w:ascii="Times New Roman" w:hAnsi="Times New Roman" w:cs="Times New Roman"/>
          <w:kern w:val="0"/>
          <w:sz w:val="24"/>
          <w:highlight w:val="none"/>
        </w:rPr>
        <w:t>按</w:t>
      </w:r>
      <w:r>
        <w:rPr>
          <w:rFonts w:hint="default" w:ascii="Times New Roman" w:hAnsi="Times New Roman" w:cs="Times New Roman"/>
          <w:sz w:val="24"/>
          <w:highlight w:val="none"/>
        </w:rPr>
        <w:t>“报价一览表”</w:t>
      </w:r>
      <w:r>
        <w:rPr>
          <w:rFonts w:hint="default" w:ascii="Times New Roman" w:hAnsi="Times New Roman" w:cs="Times New Roman"/>
          <w:kern w:val="0"/>
          <w:sz w:val="24"/>
          <w:highlight w:val="none"/>
        </w:rPr>
        <w:t>的内容</w:t>
      </w:r>
      <w:r>
        <w:rPr>
          <w:rFonts w:hint="default" w:ascii="Times New Roman" w:hAnsi="Times New Roman" w:cs="Times New Roman"/>
          <w:sz w:val="24"/>
          <w:highlight w:val="none"/>
        </w:rPr>
        <w:t>和格式要求填。</w:t>
      </w:r>
    </w:p>
    <w:p w14:paraId="4936EE1E">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w:t>
      </w:r>
      <w:r>
        <w:rPr>
          <w:rFonts w:hint="default" w:ascii="Times New Roman" w:hAnsi="Times New Roman" w:cs="Times New Roman"/>
          <w:kern w:val="0"/>
          <w:sz w:val="24"/>
          <w:highlight w:val="none"/>
        </w:rPr>
        <w:t>供应商的</w:t>
      </w:r>
      <w:r>
        <w:rPr>
          <w:rFonts w:hint="default" w:ascii="Times New Roman" w:hAnsi="Times New Roman" w:cs="Times New Roman"/>
          <w:b/>
          <w:kern w:val="0"/>
          <w:sz w:val="24"/>
          <w:highlight w:val="none"/>
        </w:rPr>
        <w:t>最终磋商报价</w:t>
      </w:r>
      <w:r>
        <w:rPr>
          <w:rFonts w:hint="default" w:ascii="Times New Roman" w:hAnsi="Times New Roman" w:cs="Times New Roman"/>
          <w:kern w:val="0"/>
          <w:sz w:val="24"/>
          <w:highlight w:val="none"/>
        </w:rPr>
        <w:t>应按采购代理机构给定格式</w:t>
      </w:r>
      <w:r>
        <w:rPr>
          <w:rFonts w:hint="default" w:ascii="Times New Roman" w:hAnsi="Times New Roman" w:cs="Times New Roman"/>
          <w:sz w:val="24"/>
          <w:highlight w:val="none"/>
        </w:rPr>
        <w:t>填写。总报价中不得包含磋商文件要求以外的内容，否则，在评审时不予核减。</w:t>
      </w:r>
    </w:p>
    <w:p w14:paraId="4818A31F">
      <w:pPr>
        <w:adjustRightInd w:val="0"/>
        <w:snapToGrid w:val="0"/>
        <w:spacing w:line="360" w:lineRule="auto"/>
        <w:ind w:firstLine="482"/>
        <w:rPr>
          <w:rFonts w:hint="default" w:ascii="Times New Roman" w:hAnsi="Times New Roman" w:cs="Times New Roman"/>
          <w:b/>
          <w:sz w:val="24"/>
          <w:highlight w:val="none"/>
        </w:rPr>
      </w:pPr>
      <w:r>
        <w:rPr>
          <w:rFonts w:hint="default" w:ascii="Times New Roman" w:hAnsi="Times New Roman" w:cs="Times New Roman"/>
          <w:b/>
          <w:sz w:val="24"/>
          <w:highlight w:val="none"/>
        </w:rPr>
        <w:t>（5）供应商不得以低于成本的报价参与磋商。当磋商小组认为，某供应商的报价或者部分分项报价存在明显不合理的低于成本的报价，有可能影响</w:t>
      </w:r>
      <w:r>
        <w:rPr>
          <w:rFonts w:hint="default" w:ascii="Times New Roman" w:hAnsi="Times New Roman" w:cs="Times New Roman"/>
          <w:b/>
          <w:sz w:val="24"/>
          <w:highlight w:val="none"/>
          <w:lang w:val="en-US" w:eastAsia="zh-CN"/>
        </w:rPr>
        <w:t>设备</w:t>
      </w:r>
      <w:r>
        <w:rPr>
          <w:rFonts w:hint="default" w:ascii="Times New Roman" w:hAnsi="Times New Roman" w:cs="Times New Roman"/>
          <w:b/>
          <w:sz w:val="24"/>
          <w:highlight w:val="none"/>
        </w:rPr>
        <w:t>质量和不能诚信履约的，可要求该供应商在规定期限内，提供必要的书面文件予以解释和说明并附带相关证明材料；否则，磋商小组认定该供应商以低于成本价竞价，其响应文件作无效响应文件处理。</w:t>
      </w:r>
    </w:p>
    <w:p w14:paraId="4AE5B317">
      <w:pPr>
        <w:tabs>
          <w:tab w:val="left" w:pos="540"/>
        </w:tabs>
        <w:spacing w:line="360" w:lineRule="auto"/>
        <w:ind w:firstLine="472" w:firstLineChars="196"/>
        <w:rPr>
          <w:rFonts w:hint="default" w:ascii="Times New Roman" w:hAnsi="Times New Roman" w:cs="Times New Roman"/>
          <w:b/>
          <w:bCs/>
          <w:sz w:val="24"/>
          <w:highlight w:val="none"/>
        </w:rPr>
      </w:pPr>
      <w:r>
        <w:rPr>
          <w:rFonts w:hint="default" w:ascii="Times New Roman" w:hAnsi="Times New Roman" w:cs="Times New Roman"/>
          <w:b/>
          <w:bCs/>
          <w:sz w:val="24"/>
          <w:highlight w:val="none"/>
        </w:rPr>
        <w:t>19.3 技术商务部分</w:t>
      </w:r>
    </w:p>
    <w:p w14:paraId="56F535F1">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highlight w:val="none"/>
        </w:rPr>
        <w:t>供应商</w:t>
      </w:r>
      <w:r>
        <w:rPr>
          <w:rFonts w:hint="default" w:ascii="Times New Roman" w:hAnsi="Times New Roman" w:cs="Times New Roman"/>
          <w:sz w:val="24"/>
          <w:highlight w:val="none"/>
        </w:rPr>
        <w:t>按照磋商文件要求做出的</w:t>
      </w:r>
      <w:r>
        <w:rPr>
          <w:rFonts w:hint="default" w:ascii="Times New Roman" w:hAnsi="Times New Roman" w:cs="Times New Roman"/>
          <w:sz w:val="24"/>
          <w:highlight w:val="none"/>
          <w:lang w:val="en-US" w:eastAsia="zh-CN"/>
        </w:rPr>
        <w:t>完全响应</w:t>
      </w:r>
      <w:r>
        <w:rPr>
          <w:rFonts w:hint="default" w:ascii="Times New Roman" w:hAnsi="Times New Roman" w:cs="Times New Roman"/>
          <w:sz w:val="24"/>
          <w:highlight w:val="none"/>
        </w:rPr>
        <w:t>，</w:t>
      </w:r>
    </w:p>
    <w:p w14:paraId="5EE4277A">
      <w:pPr>
        <w:pStyle w:val="2"/>
        <w:keepLines/>
        <w:spacing w:line="360" w:lineRule="auto"/>
        <w:rPr>
          <w:rFonts w:hint="default" w:ascii="Times New Roman" w:hAnsi="Times New Roman" w:cs="Times New Roman"/>
          <w:b/>
          <w:bCs/>
          <w:color w:val="auto"/>
          <w:sz w:val="24"/>
          <w:szCs w:val="24"/>
          <w:highlight w:val="none"/>
          <w:u w:val="none"/>
        </w:rPr>
      </w:pPr>
      <w:bookmarkStart w:id="82" w:name="_Toc183682360"/>
      <w:bookmarkStart w:id="83" w:name="_Toc485883221"/>
      <w:bookmarkStart w:id="84" w:name="_Toc183582223"/>
      <w:bookmarkStart w:id="85" w:name="_Toc217446050"/>
      <w:r>
        <w:rPr>
          <w:rFonts w:hint="default" w:ascii="Times New Roman" w:hAnsi="Times New Roman" w:cs="Times New Roman"/>
          <w:b/>
          <w:bCs/>
          <w:color w:val="auto"/>
          <w:sz w:val="24"/>
          <w:szCs w:val="24"/>
          <w:highlight w:val="none"/>
          <w:u w:val="none"/>
        </w:rPr>
        <w:t>20．磋商保证金</w:t>
      </w:r>
      <w:bookmarkEnd w:id="82"/>
      <w:bookmarkEnd w:id="83"/>
      <w:bookmarkEnd w:id="84"/>
      <w:bookmarkEnd w:id="85"/>
    </w:p>
    <w:p w14:paraId="4524D36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本项目不收取磋商保证金</w:t>
      </w:r>
      <w:bookmarkStart w:id="86" w:name="_Toc217446051"/>
      <w:bookmarkStart w:id="87" w:name="_Toc183582224"/>
      <w:bookmarkStart w:id="88" w:name="_Toc183682361"/>
    </w:p>
    <w:p w14:paraId="32051A70">
      <w:pPr>
        <w:pStyle w:val="2"/>
        <w:keepLines/>
        <w:spacing w:line="360" w:lineRule="auto"/>
        <w:rPr>
          <w:rFonts w:hint="default" w:ascii="Times New Roman" w:hAnsi="Times New Roman" w:cs="Times New Roman"/>
          <w:b/>
          <w:bCs/>
          <w:color w:val="auto"/>
          <w:sz w:val="24"/>
          <w:szCs w:val="24"/>
          <w:highlight w:val="none"/>
          <w:u w:val="none"/>
        </w:rPr>
      </w:pPr>
      <w:bookmarkStart w:id="89" w:name="_Toc485883222"/>
      <w:r>
        <w:rPr>
          <w:rFonts w:hint="default" w:ascii="Times New Roman" w:hAnsi="Times New Roman" w:cs="Times New Roman"/>
          <w:b/>
          <w:bCs/>
          <w:color w:val="auto"/>
          <w:sz w:val="24"/>
          <w:szCs w:val="24"/>
          <w:highlight w:val="none"/>
          <w:u w:val="none"/>
        </w:rPr>
        <w:t>21．磋商有效期</w:t>
      </w:r>
      <w:bookmarkEnd w:id="86"/>
      <w:bookmarkEnd w:id="87"/>
      <w:bookmarkEnd w:id="88"/>
      <w:bookmarkEnd w:id="89"/>
    </w:p>
    <w:p w14:paraId="731F304F">
      <w:pPr>
        <w:tabs>
          <w:tab w:val="left" w:pos="7665"/>
        </w:tabs>
        <w:spacing w:line="360" w:lineRule="auto"/>
        <w:ind w:left="13" w:leftChars="6"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21.1磋商有效期见供应商须知前列表。磋商有效期短于此规定期限的响应文件，将按无效响应文件处理。</w:t>
      </w:r>
    </w:p>
    <w:p w14:paraId="0CC94B83">
      <w:pPr>
        <w:tabs>
          <w:tab w:val="left" w:pos="7665"/>
        </w:tabs>
        <w:spacing w:line="360" w:lineRule="auto"/>
        <w:ind w:left="13" w:leftChars="6"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21.2特殊情况下，采购代理机构可于磋商有效期届满之前，要求供应商同意延长有效期，要求与答复均应采用书面形式。供应商拒绝延长的，响应文件在原磋商有效期届满后将不再有效，但有权收回其磋商保证金；供应商同意延长的，应相应延长其磋商保证金的有效期，但不能修改或撤回其响应文件。</w:t>
      </w:r>
      <w:bookmarkStart w:id="90" w:name="_Toc217446052"/>
      <w:bookmarkStart w:id="91" w:name="_Toc183682362"/>
      <w:bookmarkStart w:id="92" w:name="_Toc183582225"/>
    </w:p>
    <w:p w14:paraId="5BE1BD67">
      <w:pPr>
        <w:tabs>
          <w:tab w:val="left" w:pos="7665"/>
        </w:tabs>
        <w:spacing w:line="360" w:lineRule="auto"/>
        <w:ind w:left="13" w:leftChars="6"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21.3</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的磋商有效期自动延长至合同终止为止</w:t>
      </w:r>
      <w:r>
        <w:rPr>
          <w:rFonts w:hint="default" w:ascii="Times New Roman" w:hAnsi="Times New Roman" w:cs="Times New Roman"/>
          <w:szCs w:val="21"/>
          <w:highlight w:val="none"/>
        </w:rPr>
        <w:t>。</w:t>
      </w:r>
    </w:p>
    <w:p w14:paraId="5C3ABFBF">
      <w:pPr>
        <w:pStyle w:val="2"/>
        <w:keepLines/>
        <w:spacing w:line="360" w:lineRule="auto"/>
        <w:rPr>
          <w:rFonts w:hint="default" w:ascii="Times New Roman" w:hAnsi="Times New Roman" w:cs="Times New Roman"/>
          <w:b/>
          <w:bCs/>
          <w:color w:val="auto"/>
          <w:sz w:val="24"/>
          <w:szCs w:val="24"/>
          <w:highlight w:val="none"/>
          <w:u w:val="none"/>
        </w:rPr>
      </w:pPr>
      <w:bookmarkStart w:id="93" w:name="_Toc485883223"/>
      <w:r>
        <w:rPr>
          <w:rFonts w:hint="default" w:ascii="Times New Roman" w:hAnsi="Times New Roman" w:cs="Times New Roman"/>
          <w:b/>
          <w:bCs/>
          <w:color w:val="auto"/>
          <w:sz w:val="24"/>
          <w:szCs w:val="24"/>
          <w:highlight w:val="none"/>
          <w:u w:val="none"/>
        </w:rPr>
        <w:t>22．响应文件的制作和签署</w:t>
      </w:r>
      <w:bookmarkEnd w:id="90"/>
      <w:bookmarkEnd w:id="91"/>
      <w:bookmarkEnd w:id="92"/>
      <w:bookmarkEnd w:id="93"/>
    </w:p>
    <w:p w14:paraId="6E1C50FB">
      <w:pPr>
        <w:tabs>
          <w:tab w:val="left" w:pos="7665"/>
        </w:tabs>
        <w:spacing w:line="360" w:lineRule="auto"/>
        <w:ind w:left="13" w:leftChars="6"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22.1响应文件应根据磋商文件的要求制作。供应商应填写全称，同时加盖公章，签署、盖章和内容应完整，如有遗漏，将被视为无效响应文件。</w:t>
      </w:r>
    </w:p>
    <w:p w14:paraId="55CF80A0">
      <w:pPr>
        <w:tabs>
          <w:tab w:val="left" w:pos="7665"/>
        </w:tabs>
        <w:spacing w:line="360" w:lineRule="auto"/>
        <w:ind w:left="13" w:leftChars="6"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22.2响应文件格式。供应商应严格按照磋商文件第六章提供的“竞争性磋商响应文件格式”填写相关内容。除明确允许供应商可以自行编写的外，供应商不得以“竞争性磋商响应文件格式”规定之外的方式填写相关内容。</w:t>
      </w:r>
    </w:p>
    <w:p w14:paraId="112FABE1">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22.3对于没有格式要求的响应文件由供应商自行编写。</w:t>
      </w:r>
    </w:p>
    <w:p w14:paraId="2E63A480">
      <w:pPr>
        <w:tabs>
          <w:tab w:val="left" w:pos="1080"/>
        </w:tabs>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22.4供应商应按“供应商须知前列表”规定的数量准备响应文件文件正本、副本和相应的电子文件。响应文件的正本和副本应在其封面右上角清楚地标明“正本”或“副本”字样。若正本和副本有不一致的内容，以正本书面响应文件为准。</w:t>
      </w:r>
    </w:p>
    <w:p w14:paraId="5EF0AD9D">
      <w:pPr>
        <w:spacing w:line="360" w:lineRule="auto"/>
        <w:ind w:firstLine="547" w:firstLineChars="228"/>
        <w:jc w:val="left"/>
        <w:rPr>
          <w:rFonts w:hint="default" w:ascii="Times New Roman" w:hAnsi="Times New Roman" w:cs="Times New Roman"/>
          <w:sz w:val="24"/>
          <w:highlight w:val="none"/>
        </w:rPr>
      </w:pPr>
      <w:r>
        <w:rPr>
          <w:rFonts w:hint="default" w:ascii="Times New Roman" w:hAnsi="Times New Roman" w:cs="Times New Roman"/>
          <w:sz w:val="24"/>
          <w:highlight w:val="none"/>
        </w:rPr>
        <w:t>22.5响应文件的正本和副本均需打印或用不褪色、不变质的墨水书写，并由供应商的法定代表人或其授权代表在规定签章处签字和盖章。响应文件副本可采用正本的复印件。</w:t>
      </w:r>
    </w:p>
    <w:p w14:paraId="04D13B8D">
      <w:pPr>
        <w:tabs>
          <w:tab w:val="left" w:pos="1095"/>
        </w:tabs>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22.6响应文件的打印和书写应清楚工整，任何行间插字、涂改或增删，应当由供应商的法定代表人或其授权代表签字或盖个人印鉴。字迹潦草、表达不清或可能导致非唯一理解的响应文件可能视为无效响应文件。</w:t>
      </w:r>
    </w:p>
    <w:p w14:paraId="3D47C9EC">
      <w:pPr>
        <w:tabs>
          <w:tab w:val="left" w:pos="1080"/>
        </w:tabs>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22.7响应文件正本和副本</w:t>
      </w:r>
      <w:r>
        <w:rPr>
          <w:rFonts w:hint="default" w:ascii="Times New Roman" w:hAnsi="Times New Roman" w:cs="Times New Roman"/>
          <w:sz w:val="24"/>
          <w:highlight w:val="none"/>
          <w:lang w:val="zh-CN"/>
        </w:rPr>
        <w:t>一律采用A4纸幅面加胶装分别装订成册，</w:t>
      </w:r>
      <w:r>
        <w:rPr>
          <w:rFonts w:hint="default" w:ascii="Times New Roman" w:hAnsi="Times New Roman" w:cs="Times New Roman"/>
          <w:sz w:val="24"/>
          <w:highlight w:val="none"/>
        </w:rPr>
        <w:t>并逐页编目编码。文件胶装装订后，页面不可抽取，不得有活动页，无破损、不可拆分。</w:t>
      </w:r>
    </w:p>
    <w:p w14:paraId="29B330A6">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22.8电子文件制作要求</w:t>
      </w:r>
      <w:bookmarkStart w:id="94" w:name="_Toc183582226"/>
      <w:bookmarkStart w:id="95" w:name="_Toc77400781"/>
      <w:bookmarkStart w:id="96" w:name="_Toc89075877"/>
      <w:bookmarkStart w:id="97" w:name="_Toc183682363"/>
      <w:bookmarkStart w:id="98" w:name="_Toc217446053"/>
      <w:r>
        <w:rPr>
          <w:rFonts w:hint="default" w:ascii="Times New Roman" w:hAnsi="Times New Roman" w:cs="Times New Roman"/>
          <w:sz w:val="24"/>
          <w:highlight w:val="none"/>
        </w:rPr>
        <w:t>（未按以下要求提供电子文件的，按无效响应文件处理）：</w:t>
      </w:r>
    </w:p>
    <w:p w14:paraId="6DC5BC16">
      <w:pPr>
        <w:spacing w:line="360" w:lineRule="auto"/>
        <w:ind w:firstLine="480" w:firstLineChars="200"/>
        <w:jc w:val="left"/>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1</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电子版响应文件为Word版本和PDF版本，PDF版本为签字、盖章的完整正本扫描件）</w:t>
      </w:r>
    </w:p>
    <w:p w14:paraId="2771A749">
      <w:pPr>
        <w:spacing w:line="360" w:lineRule="auto"/>
        <w:ind w:firstLine="480" w:firstLineChars="200"/>
        <w:jc w:val="left"/>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2）供应商须保证响应文件的纸质文件与电子文档保持一致；</w:t>
      </w:r>
    </w:p>
    <w:p w14:paraId="642F1134">
      <w:pPr>
        <w:spacing w:line="360" w:lineRule="auto"/>
        <w:ind w:firstLine="480" w:firstLineChars="200"/>
        <w:jc w:val="left"/>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3）U盘表面标明项目名称、供应商名称等信息，便于与其他供应商U盘区分。</w:t>
      </w:r>
    </w:p>
    <w:p w14:paraId="658E7AE7">
      <w:pPr>
        <w:spacing w:line="360" w:lineRule="auto"/>
        <w:rPr>
          <w:rFonts w:hint="default" w:ascii="Times New Roman" w:hAnsi="Times New Roman" w:cs="Times New Roman"/>
          <w:b/>
          <w:sz w:val="30"/>
          <w:szCs w:val="30"/>
          <w:highlight w:val="none"/>
        </w:rPr>
      </w:pPr>
      <w:bookmarkStart w:id="99" w:name="_Toc485883224"/>
      <w:r>
        <w:rPr>
          <w:rFonts w:hint="default" w:ascii="Times New Roman" w:hAnsi="Times New Roman" w:cs="Times New Roman"/>
          <w:b/>
          <w:sz w:val="30"/>
          <w:szCs w:val="30"/>
          <w:highlight w:val="none"/>
        </w:rPr>
        <w:t>五、响应文件的递交</w:t>
      </w:r>
      <w:bookmarkEnd w:id="99"/>
    </w:p>
    <w:p w14:paraId="022AEF1B">
      <w:pPr>
        <w:pStyle w:val="2"/>
        <w:keepLines/>
        <w:spacing w:line="360" w:lineRule="auto"/>
        <w:rPr>
          <w:rFonts w:hint="default" w:ascii="Times New Roman" w:hAnsi="Times New Roman" w:cs="Times New Roman"/>
          <w:b/>
          <w:bCs/>
          <w:color w:val="auto"/>
          <w:sz w:val="24"/>
          <w:szCs w:val="24"/>
          <w:highlight w:val="none"/>
          <w:u w:val="none"/>
        </w:rPr>
      </w:pPr>
      <w:bookmarkStart w:id="100" w:name="_Toc485883225"/>
      <w:r>
        <w:rPr>
          <w:rFonts w:hint="default" w:ascii="Times New Roman" w:hAnsi="Times New Roman" w:cs="Times New Roman"/>
          <w:b/>
          <w:bCs/>
          <w:color w:val="auto"/>
          <w:sz w:val="24"/>
          <w:szCs w:val="24"/>
          <w:highlight w:val="none"/>
          <w:u w:val="none"/>
        </w:rPr>
        <w:t>23.响应文件内容要求</w:t>
      </w:r>
      <w:bookmarkEnd w:id="100"/>
    </w:p>
    <w:p w14:paraId="5DCCC2C3">
      <w:pPr>
        <w:tabs>
          <w:tab w:val="left" w:pos="1080"/>
        </w:tabs>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23.1供应商应仔细阅读磋商文件中的所有事项、格式、条款和要求，对磋商文件的全部内容及要求作出实质性响应，提交相应资料。若分包，应以包为单位递交，不得在其中选项递交或将其中内容再行分解；否则，响应文件将视为无效响应文件。</w:t>
      </w:r>
    </w:p>
    <w:p w14:paraId="6B47FB96">
      <w:pPr>
        <w:pStyle w:val="2"/>
        <w:keepLines/>
        <w:spacing w:line="360" w:lineRule="auto"/>
        <w:rPr>
          <w:rFonts w:hint="default" w:ascii="Times New Roman" w:hAnsi="Times New Roman" w:cs="Times New Roman"/>
          <w:b/>
          <w:bCs/>
          <w:color w:val="auto"/>
          <w:sz w:val="24"/>
          <w:szCs w:val="24"/>
          <w:highlight w:val="none"/>
          <w:u w:val="none"/>
        </w:rPr>
      </w:pPr>
      <w:bookmarkStart w:id="101" w:name="_Toc485883226"/>
      <w:r>
        <w:rPr>
          <w:rFonts w:hint="default" w:ascii="Times New Roman" w:hAnsi="Times New Roman" w:cs="Times New Roman"/>
          <w:b/>
          <w:bCs/>
          <w:color w:val="auto"/>
          <w:sz w:val="24"/>
          <w:szCs w:val="24"/>
          <w:highlight w:val="none"/>
          <w:u w:val="none"/>
        </w:rPr>
        <w:t>24.响应文件的密封和标</w:t>
      </w:r>
      <w:bookmarkEnd w:id="94"/>
      <w:bookmarkEnd w:id="95"/>
      <w:bookmarkEnd w:id="96"/>
      <w:bookmarkEnd w:id="97"/>
      <w:r>
        <w:rPr>
          <w:rFonts w:hint="default" w:ascii="Times New Roman" w:hAnsi="Times New Roman" w:cs="Times New Roman"/>
          <w:b/>
          <w:bCs/>
          <w:color w:val="auto"/>
          <w:sz w:val="24"/>
          <w:szCs w:val="24"/>
          <w:highlight w:val="none"/>
          <w:u w:val="none"/>
        </w:rPr>
        <w:t>注</w:t>
      </w:r>
      <w:bookmarkEnd w:id="98"/>
      <w:bookmarkEnd w:id="101"/>
    </w:p>
    <w:p w14:paraId="0A6113E0">
      <w:pPr>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highlight w:val="none"/>
        </w:rPr>
        <w:t>24.1</w:t>
      </w:r>
      <w:r>
        <w:rPr>
          <w:rFonts w:hint="default" w:ascii="Times New Roman" w:hAnsi="Times New Roman" w:cs="Times New Roman"/>
          <w:kern w:val="0"/>
          <w:sz w:val="24"/>
          <w:highlight w:val="none"/>
        </w:rPr>
        <w:t>磋商前，</w:t>
      </w:r>
      <w:r>
        <w:rPr>
          <w:rFonts w:hint="default" w:ascii="Times New Roman" w:hAnsi="Times New Roman" w:cs="Times New Roman"/>
          <w:kern w:val="0"/>
          <w:sz w:val="24"/>
          <w:szCs w:val="24"/>
          <w:highlight w:val="none"/>
        </w:rPr>
        <w:t>供应商应将响应文件所有正、副本、电子文件全部密封递交。</w:t>
      </w:r>
    </w:p>
    <w:p w14:paraId="586372E9">
      <w:pPr>
        <w:adjustRightInd w:val="0"/>
        <w:snapToGrid w:val="0"/>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24.2所有密封包装均应符合以下要求：</w:t>
      </w:r>
    </w:p>
    <w:p w14:paraId="3C696494">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kern w:val="0"/>
          <w:sz w:val="24"/>
          <w:highlight w:val="none"/>
        </w:rPr>
        <w:t>（1）</w:t>
      </w:r>
      <w:r>
        <w:rPr>
          <w:rFonts w:hint="default" w:ascii="Times New Roman" w:hAnsi="Times New Roman" w:cs="Times New Roman"/>
          <w:sz w:val="24"/>
          <w:highlight w:val="none"/>
        </w:rPr>
        <w:t>响应文件（正本、所有副本、电子文件）应装袋密封，加贴封条，应粘贴牢固，并在封套的封口处（封套两端折叠封口处）加盖密封章（供应商印章）。</w:t>
      </w:r>
    </w:p>
    <w:p w14:paraId="48A60EA8">
      <w:pPr>
        <w:adjustRightInd w:val="0"/>
        <w:snapToGrid w:val="0"/>
        <w:spacing w:line="360"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sz w:val="24"/>
          <w:highlight w:val="none"/>
        </w:rPr>
        <w:t>（2）</w:t>
      </w:r>
      <w:r>
        <w:rPr>
          <w:rFonts w:hint="default" w:ascii="Times New Roman" w:hAnsi="Times New Roman" w:cs="Times New Roman"/>
          <w:kern w:val="0"/>
          <w:sz w:val="24"/>
          <w:highlight w:val="none"/>
        </w:rPr>
        <w:t>密封包装上还应注明采购项目名称、采购项目编号、供应商名称、地址、法定代表人或授权代</w:t>
      </w:r>
      <w:r>
        <w:rPr>
          <w:rFonts w:hint="eastAsia" w:ascii="Times New Roman" w:hAnsi="Times New Roman" w:cs="Times New Roman"/>
          <w:kern w:val="0"/>
          <w:sz w:val="24"/>
          <w:highlight w:val="none"/>
          <w:lang w:val="en-US" w:eastAsia="zh-CN"/>
        </w:rPr>
        <w:t>表</w:t>
      </w:r>
      <w:r>
        <w:rPr>
          <w:rFonts w:hint="eastAsia" w:ascii="Times New Roman" w:hAnsi="Times New Roman" w:cs="Times New Roman"/>
          <w:kern w:val="0"/>
          <w:sz w:val="24"/>
          <w:highlight w:val="none"/>
          <w:lang w:eastAsia="zh-CN"/>
        </w:rPr>
        <w:t>、</w:t>
      </w:r>
      <w:r>
        <w:rPr>
          <w:rFonts w:hint="default" w:ascii="Times New Roman" w:hAnsi="Times New Roman" w:cs="Times New Roman"/>
          <w:kern w:val="0"/>
          <w:sz w:val="24"/>
          <w:highlight w:val="none"/>
        </w:rPr>
        <w:t>“在    年  月  日 时  分前不得开启”的字样。</w:t>
      </w:r>
    </w:p>
    <w:p w14:paraId="1C1FDEAD">
      <w:pPr>
        <w:tabs>
          <w:tab w:val="left" w:pos="1080"/>
        </w:tabs>
        <w:spacing w:line="360" w:lineRule="auto"/>
        <w:ind w:firstLine="435"/>
        <w:rPr>
          <w:rFonts w:hint="default" w:ascii="Times New Roman" w:hAnsi="Times New Roman" w:cs="Times New Roman"/>
          <w:sz w:val="24"/>
          <w:highlight w:val="none"/>
        </w:rPr>
      </w:pPr>
      <w:r>
        <w:rPr>
          <w:rFonts w:hint="default" w:ascii="Times New Roman" w:hAnsi="Times New Roman" w:cs="Times New Roman"/>
          <w:sz w:val="24"/>
          <w:highlight w:val="none"/>
        </w:rPr>
        <w:t>24.3未进行密封的响应文件，经磋商小组确认后按无效响应文件处理。</w:t>
      </w:r>
    </w:p>
    <w:p w14:paraId="137CE905">
      <w:pPr>
        <w:pStyle w:val="2"/>
        <w:keepLines/>
        <w:spacing w:line="360" w:lineRule="auto"/>
        <w:rPr>
          <w:rFonts w:hint="default" w:ascii="Times New Roman" w:hAnsi="Times New Roman" w:cs="Times New Roman"/>
          <w:b/>
          <w:bCs/>
          <w:color w:val="auto"/>
          <w:sz w:val="24"/>
          <w:szCs w:val="24"/>
          <w:highlight w:val="none"/>
          <w:u w:val="none"/>
        </w:rPr>
      </w:pPr>
      <w:bookmarkStart w:id="102" w:name="_Toc183682364"/>
      <w:bookmarkStart w:id="103" w:name="_Toc183582227"/>
      <w:bookmarkStart w:id="104" w:name="_Toc217446054"/>
      <w:bookmarkStart w:id="105" w:name="_Toc485883227"/>
      <w:r>
        <w:rPr>
          <w:rFonts w:hint="default" w:ascii="Times New Roman" w:hAnsi="Times New Roman" w:cs="Times New Roman"/>
          <w:b/>
          <w:bCs/>
          <w:color w:val="auto"/>
          <w:sz w:val="24"/>
          <w:szCs w:val="24"/>
          <w:highlight w:val="none"/>
          <w:u w:val="none"/>
        </w:rPr>
        <w:t>25.响应文件的</w:t>
      </w:r>
      <w:bookmarkEnd w:id="102"/>
      <w:bookmarkEnd w:id="103"/>
      <w:r>
        <w:rPr>
          <w:rFonts w:hint="default" w:ascii="Times New Roman" w:hAnsi="Times New Roman" w:cs="Times New Roman"/>
          <w:b/>
          <w:bCs/>
          <w:color w:val="auto"/>
          <w:sz w:val="24"/>
          <w:szCs w:val="24"/>
          <w:highlight w:val="none"/>
          <w:u w:val="none"/>
        </w:rPr>
        <w:t>递交</w:t>
      </w:r>
      <w:bookmarkEnd w:id="104"/>
      <w:bookmarkEnd w:id="105"/>
    </w:p>
    <w:p w14:paraId="4D666330">
      <w:pPr>
        <w:tabs>
          <w:tab w:val="left" w:pos="1095"/>
        </w:tabs>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25.1供应商应在</w:t>
      </w:r>
      <w:r>
        <w:rPr>
          <w:rFonts w:hint="default" w:ascii="Times New Roman" w:hAnsi="Times New Roman" w:cs="Times New Roman"/>
          <w:kern w:val="0"/>
          <w:sz w:val="24"/>
          <w:highlight w:val="none"/>
        </w:rPr>
        <w:t>“供应商须知前列表”中</w:t>
      </w:r>
      <w:r>
        <w:rPr>
          <w:rFonts w:hint="default" w:ascii="Times New Roman" w:hAnsi="Times New Roman" w:cs="Times New Roman"/>
          <w:sz w:val="24"/>
          <w:highlight w:val="none"/>
        </w:rPr>
        <w:t>规定的磋商截止时间前，将响应文件按供应商须知前列表第</w:t>
      </w:r>
      <w:r>
        <w:rPr>
          <w:rFonts w:hint="default" w:ascii="Times New Roman" w:hAnsi="Times New Roman" w:cs="Times New Roman"/>
          <w:sz w:val="24"/>
          <w:highlight w:val="none"/>
          <w:lang w:val="en-US" w:eastAsia="zh-CN"/>
        </w:rPr>
        <w:t>30</w:t>
      </w:r>
      <w:r>
        <w:rPr>
          <w:rFonts w:hint="default" w:ascii="Times New Roman" w:hAnsi="Times New Roman" w:cs="Times New Roman"/>
          <w:sz w:val="24"/>
          <w:highlight w:val="none"/>
        </w:rPr>
        <w:t>条规定密封后送达磋商地点。采购代理机构工作人员当场签字确认收到响应文件的时间、份数和递交人等信息。磋商截止时间以后送达的响应文件将被拒绝。</w:t>
      </w:r>
    </w:p>
    <w:p w14:paraId="0AA1752C">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25.2本次磋商不接受邮寄的响应文件。</w:t>
      </w:r>
    </w:p>
    <w:p w14:paraId="147F9D72">
      <w:pPr>
        <w:pStyle w:val="2"/>
        <w:keepLines/>
        <w:spacing w:line="360" w:lineRule="auto"/>
        <w:rPr>
          <w:rFonts w:hint="default" w:ascii="Times New Roman" w:hAnsi="Times New Roman" w:cs="Times New Roman"/>
          <w:b/>
          <w:bCs/>
          <w:color w:val="auto"/>
          <w:sz w:val="24"/>
          <w:szCs w:val="24"/>
          <w:highlight w:val="none"/>
          <w:u w:val="none"/>
        </w:rPr>
      </w:pPr>
      <w:bookmarkStart w:id="106" w:name="_Toc183582228"/>
      <w:bookmarkStart w:id="107" w:name="_Toc183682365"/>
      <w:bookmarkStart w:id="108" w:name="_Toc217446055"/>
      <w:bookmarkStart w:id="109" w:name="_Toc485883228"/>
      <w:r>
        <w:rPr>
          <w:rFonts w:hint="default" w:ascii="Times New Roman" w:hAnsi="Times New Roman" w:cs="Times New Roman"/>
          <w:b/>
          <w:bCs/>
          <w:color w:val="auto"/>
          <w:sz w:val="24"/>
          <w:szCs w:val="24"/>
          <w:highlight w:val="none"/>
          <w:u w:val="none"/>
        </w:rPr>
        <w:t>26.响应文件的修改和撤</w:t>
      </w:r>
      <w:bookmarkEnd w:id="106"/>
      <w:bookmarkEnd w:id="107"/>
      <w:r>
        <w:rPr>
          <w:rFonts w:hint="default" w:ascii="Times New Roman" w:hAnsi="Times New Roman" w:cs="Times New Roman"/>
          <w:b/>
          <w:bCs/>
          <w:color w:val="auto"/>
          <w:sz w:val="24"/>
          <w:szCs w:val="24"/>
          <w:highlight w:val="none"/>
          <w:u w:val="none"/>
        </w:rPr>
        <w:t>回</w:t>
      </w:r>
      <w:bookmarkEnd w:id="108"/>
      <w:bookmarkEnd w:id="109"/>
    </w:p>
    <w:p w14:paraId="1B880A29">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26.1供应商在递交了响应文件后，可以修改或撤回其响应文件，但必须在规定的磋商截止时间前，以书面形式通知采购代理机构。</w:t>
      </w:r>
    </w:p>
    <w:p w14:paraId="4C29D897">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26.2供应商的修改书或撤回通知书，应由其法定代表人或授权代表签署并盖单位公章。修改书应按供应商须知第2</w:t>
      </w:r>
      <w:r>
        <w:rPr>
          <w:rFonts w:hint="default" w:ascii="Times New Roman" w:hAnsi="Times New Roman" w:cs="Times New Roman"/>
          <w:sz w:val="24"/>
          <w:highlight w:val="none"/>
          <w:lang w:val="en-US" w:eastAsia="zh-CN"/>
        </w:rPr>
        <w:t>8、29</w:t>
      </w:r>
      <w:r>
        <w:rPr>
          <w:rFonts w:hint="default" w:ascii="Times New Roman" w:hAnsi="Times New Roman" w:cs="Times New Roman"/>
          <w:sz w:val="24"/>
          <w:highlight w:val="none"/>
        </w:rPr>
        <w:t>条规定进行密封和标注，并在密封袋上标注“响应文件修改”或“响应文件撤回通知”字样，“修改文件”作为响应文件的组成部分；采购代理机构不退还供应商已撤回的响应文件（包括纸质和电子版）。</w:t>
      </w:r>
    </w:p>
    <w:p w14:paraId="178E8E58">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26.3</w:t>
      </w:r>
      <w:bookmarkStart w:id="110" w:name="_Toc183582231"/>
      <w:bookmarkStart w:id="111" w:name="_Toc77400782"/>
      <w:bookmarkStart w:id="112" w:name="_Toc183682368"/>
      <w:bookmarkStart w:id="113" w:name="_Toc89075878"/>
      <w:bookmarkStart w:id="114" w:name="_Toc217446056"/>
      <w:r>
        <w:rPr>
          <w:rFonts w:hint="default" w:ascii="Times New Roman" w:hAnsi="Times New Roman" w:cs="Times New Roman"/>
          <w:sz w:val="24"/>
          <w:highlight w:val="none"/>
        </w:rPr>
        <w:t>供应商撤回响应文件的，采购代理机构自收到供应商书面撤回通知之日起5个工作日内退还已收取的磋商保证金。</w:t>
      </w:r>
    </w:p>
    <w:p w14:paraId="4BB876A6">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26.4在磋商截止时间之后，供应商不得对其递交的响应文件做任何修改或撤回，否则，磋商保证金将不予退还；但供应商在提交最终报价之前，可以根据磋商情况退出磋商。</w:t>
      </w:r>
    </w:p>
    <w:p w14:paraId="654D1560">
      <w:pPr>
        <w:pStyle w:val="2"/>
        <w:keepLines/>
        <w:spacing w:line="360" w:lineRule="auto"/>
        <w:rPr>
          <w:rFonts w:hint="default" w:ascii="Times New Roman" w:hAnsi="Times New Roman" w:cs="Times New Roman"/>
          <w:b/>
          <w:bCs/>
          <w:color w:val="auto"/>
          <w:sz w:val="24"/>
          <w:szCs w:val="24"/>
          <w:highlight w:val="none"/>
          <w:u w:val="none"/>
        </w:rPr>
      </w:pPr>
      <w:bookmarkStart w:id="115" w:name="_Toc485883229"/>
      <w:r>
        <w:rPr>
          <w:rFonts w:hint="default" w:ascii="Times New Roman" w:hAnsi="Times New Roman" w:cs="Times New Roman"/>
          <w:b/>
          <w:bCs/>
          <w:color w:val="auto"/>
          <w:sz w:val="24"/>
          <w:szCs w:val="24"/>
          <w:highlight w:val="none"/>
          <w:u w:val="none"/>
        </w:rPr>
        <w:t>27.磋商纪律要求</w:t>
      </w:r>
      <w:bookmarkEnd w:id="115"/>
    </w:p>
    <w:p w14:paraId="6A0F0BE7">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27.1供应商参加磋商时不得有下列情形：</w:t>
      </w:r>
    </w:p>
    <w:p w14:paraId="14713943">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（1）提供虚假材料谋取成交服务资格；</w:t>
      </w:r>
    </w:p>
    <w:p w14:paraId="3CD4466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（2）采取不正当手段诋毁、排挤其他供应商；</w:t>
      </w:r>
    </w:p>
    <w:p w14:paraId="6C7BEEF4">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（3）与采购人、采购代理机构、其他供应商恶意串通；</w:t>
      </w:r>
    </w:p>
    <w:p w14:paraId="619160B2">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（4）向采购人、采购代理机构、磋商小组成员行贿或者提供其他不正当利益；</w:t>
      </w:r>
    </w:p>
    <w:p w14:paraId="635393BC">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（5）拒绝有关部门的监督检查或者向监督检查部门提供虚假情况。</w:t>
      </w:r>
    </w:p>
    <w:p w14:paraId="37BD84EC">
      <w:pPr>
        <w:pStyle w:val="7"/>
        <w:spacing w:line="360" w:lineRule="auto"/>
        <w:ind w:firstLine="480"/>
        <w:rPr>
          <w:rFonts w:hint="default" w:ascii="Times New Roman" w:hAnsi="Times New Roman" w:cs="Times New Roman"/>
          <w:sz w:val="28"/>
          <w:szCs w:val="28"/>
          <w:highlight w:val="none"/>
        </w:rPr>
      </w:pPr>
      <w:r>
        <w:rPr>
          <w:rFonts w:hint="default" w:ascii="Times New Roman" w:hAnsi="Times New Roman" w:cs="Times New Roman"/>
          <w:sz w:val="24"/>
          <w:szCs w:val="24"/>
          <w:highlight w:val="none"/>
        </w:rPr>
        <w:t>有上述情形之一的，属于不合格供应商，其响应文件或成交服务资格将被取消</w:t>
      </w:r>
      <w:r>
        <w:rPr>
          <w:rFonts w:hint="default" w:ascii="Times New Roman" w:hAnsi="Times New Roman" w:cs="Times New Roman"/>
          <w:sz w:val="28"/>
          <w:szCs w:val="28"/>
          <w:highlight w:val="none"/>
        </w:rPr>
        <w:t>。</w:t>
      </w:r>
    </w:p>
    <w:p w14:paraId="1C0C4174">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27.2有下列情形之一的，视为供应商相互恶意串通：</w:t>
      </w:r>
    </w:p>
    <w:p w14:paraId="2ADC2994">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（1）不同供应商的响应文件由同一单位或者个人编制；</w:t>
      </w:r>
    </w:p>
    <w:p w14:paraId="1C851C95">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（2）不同供应商委托同一单位或者个人办理磋商事宜；</w:t>
      </w:r>
    </w:p>
    <w:p w14:paraId="14FE6E68">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（3）不同供应商的响应文件载明的项目管理成员为同一人；</w:t>
      </w:r>
    </w:p>
    <w:p w14:paraId="5CAD7859">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（4）不同供应商的响应文件异常一致或者磋商报价呈规律性差异；</w:t>
      </w:r>
    </w:p>
    <w:p w14:paraId="4387B1D4">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（5）不同供应商的响应文件相互混装；</w:t>
      </w:r>
    </w:p>
    <w:p w14:paraId="0FED4FEF">
      <w:pPr>
        <w:pStyle w:val="11"/>
        <w:tabs>
          <w:tab w:val="left" w:pos="720"/>
        </w:tabs>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（6）不同供应商的磋商保证金从同一单位或者个人的账户转出。</w:t>
      </w:r>
    </w:p>
    <w:p w14:paraId="7DD3A83C">
      <w:pPr>
        <w:spacing w:line="360" w:lineRule="auto"/>
        <w:rPr>
          <w:rFonts w:hint="default" w:ascii="Times New Roman" w:hAnsi="Times New Roman" w:cs="Times New Roman"/>
          <w:b/>
          <w:sz w:val="30"/>
          <w:szCs w:val="30"/>
          <w:highlight w:val="none"/>
        </w:rPr>
      </w:pPr>
      <w:bookmarkStart w:id="116" w:name="_Toc485883230"/>
      <w:r>
        <w:rPr>
          <w:rFonts w:hint="default" w:ascii="Times New Roman" w:hAnsi="Times New Roman" w:cs="Times New Roman"/>
          <w:b/>
          <w:sz w:val="30"/>
          <w:szCs w:val="30"/>
          <w:highlight w:val="none"/>
        </w:rPr>
        <w:t>六、</w:t>
      </w:r>
      <w:bookmarkEnd w:id="110"/>
      <w:bookmarkEnd w:id="111"/>
      <w:bookmarkEnd w:id="112"/>
      <w:bookmarkEnd w:id="113"/>
      <w:bookmarkEnd w:id="114"/>
      <w:r>
        <w:rPr>
          <w:rFonts w:hint="default" w:ascii="Times New Roman" w:hAnsi="Times New Roman" w:cs="Times New Roman"/>
          <w:b/>
          <w:sz w:val="30"/>
          <w:szCs w:val="30"/>
          <w:highlight w:val="none"/>
        </w:rPr>
        <w:t>组织竞争性磋商</w:t>
      </w:r>
      <w:bookmarkEnd w:id="116"/>
    </w:p>
    <w:p w14:paraId="6489F2AD">
      <w:pPr>
        <w:pStyle w:val="2"/>
        <w:keepLines/>
        <w:spacing w:line="360" w:lineRule="auto"/>
        <w:rPr>
          <w:rFonts w:hint="default" w:ascii="Times New Roman" w:hAnsi="Times New Roman" w:cs="Times New Roman"/>
          <w:b/>
          <w:bCs/>
          <w:color w:val="auto"/>
          <w:sz w:val="24"/>
          <w:szCs w:val="24"/>
          <w:highlight w:val="none"/>
          <w:u w:val="none"/>
        </w:rPr>
      </w:pPr>
      <w:bookmarkStart w:id="117" w:name="_Toc485883231"/>
      <w:r>
        <w:rPr>
          <w:rFonts w:hint="default" w:ascii="Times New Roman" w:hAnsi="Times New Roman" w:cs="Times New Roman"/>
          <w:b/>
          <w:bCs/>
          <w:color w:val="auto"/>
          <w:sz w:val="24"/>
          <w:szCs w:val="24"/>
          <w:highlight w:val="none"/>
          <w:u w:val="none"/>
        </w:rPr>
        <w:t>28.磋商时间和地点</w:t>
      </w:r>
      <w:bookmarkEnd w:id="117"/>
    </w:p>
    <w:p w14:paraId="21ED90EE">
      <w:pPr>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sz w:val="24"/>
          <w:highlight w:val="none"/>
        </w:rPr>
        <w:t>28.1采购代理机构在“供应商须知前列表”中规定的磋商日期、时间和地点组织磋商，采购人、供应商须派代表参加并签到以证明其出席。</w:t>
      </w:r>
    </w:p>
    <w:p w14:paraId="6E7BCD92">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28.2采购代理机构邀请有关监督管理机构对磋商进行现场监督。</w:t>
      </w:r>
      <w:bookmarkStart w:id="118" w:name="_Toc217446058"/>
    </w:p>
    <w:p w14:paraId="2A9F1645">
      <w:pPr>
        <w:pStyle w:val="2"/>
        <w:keepLines/>
        <w:spacing w:line="360" w:lineRule="auto"/>
        <w:rPr>
          <w:rFonts w:hint="default" w:ascii="Times New Roman" w:hAnsi="Times New Roman" w:cs="Times New Roman"/>
          <w:b/>
          <w:bCs/>
          <w:color w:val="auto"/>
          <w:sz w:val="24"/>
          <w:szCs w:val="24"/>
          <w:highlight w:val="none"/>
          <w:u w:val="none"/>
        </w:rPr>
      </w:pPr>
      <w:bookmarkStart w:id="119" w:name="_Toc485883232"/>
      <w:r>
        <w:rPr>
          <w:rFonts w:hint="default" w:ascii="Times New Roman" w:hAnsi="Times New Roman" w:cs="Times New Roman"/>
          <w:b/>
          <w:bCs/>
          <w:color w:val="auto"/>
          <w:sz w:val="24"/>
          <w:szCs w:val="24"/>
          <w:highlight w:val="none"/>
          <w:u w:val="none"/>
        </w:rPr>
        <w:t>29.</w:t>
      </w:r>
      <w:bookmarkEnd w:id="118"/>
      <w:r>
        <w:rPr>
          <w:rFonts w:hint="default" w:ascii="Times New Roman" w:hAnsi="Times New Roman" w:cs="Times New Roman"/>
          <w:b/>
          <w:bCs/>
          <w:color w:val="auto"/>
          <w:sz w:val="24"/>
          <w:szCs w:val="24"/>
          <w:highlight w:val="none"/>
          <w:u w:val="none"/>
        </w:rPr>
        <w:t>磋商程序</w:t>
      </w:r>
      <w:bookmarkEnd w:id="119"/>
    </w:p>
    <w:p w14:paraId="74514A13">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竞争性磋商按下列工作程序进行：</w:t>
      </w:r>
    </w:p>
    <w:p w14:paraId="14D62E6E">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（1）组建磋商小组；</w:t>
      </w:r>
    </w:p>
    <w:p w14:paraId="33729C52">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（2）磋商会议；</w:t>
      </w:r>
    </w:p>
    <w:p w14:paraId="1A5EDB6B">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（3）响应文件初步评审；</w:t>
      </w:r>
    </w:p>
    <w:p w14:paraId="0BD1B213">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（4）响应文件的澄清；</w:t>
      </w:r>
    </w:p>
    <w:p w14:paraId="772F4EFE">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（5）技术磋商；</w:t>
      </w:r>
    </w:p>
    <w:p w14:paraId="70B008FD">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（6）商务磋商（提交最终报价）；</w:t>
      </w:r>
    </w:p>
    <w:p w14:paraId="1E3F4462">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（7）响应文件详细评审；</w:t>
      </w:r>
    </w:p>
    <w:p w14:paraId="421F0CF5">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（8）推荐</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w:t>
      </w:r>
    </w:p>
    <w:p w14:paraId="737C6455">
      <w:pPr>
        <w:spacing w:line="360" w:lineRule="auto"/>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（9）编写评审报告。</w:t>
      </w:r>
    </w:p>
    <w:p w14:paraId="5203ABBE">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30.磋商仪式</w:t>
      </w:r>
    </w:p>
    <w:p w14:paraId="4454A990">
      <w:pPr>
        <w:pStyle w:val="15"/>
        <w:spacing w:after="0" w:line="360" w:lineRule="auto"/>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30.1磋商仪式由采购代理机构主持。主持人按照磋商文件规定的磋商时间宣布磋商会开始，并按规定要求主持仪式。磋商仪式将按以下程序进行（但不限于）：</w:t>
      </w:r>
    </w:p>
    <w:p w14:paraId="12D0383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（1）宣布磋商会开始并致辞。</w:t>
      </w:r>
    </w:p>
    <w:p w14:paraId="0EFC7E1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（2）宣布会场纪律和有关注意事项。</w:t>
      </w:r>
    </w:p>
    <w:p w14:paraId="56FE7DA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（3）宣布参加磋商会的现场监督人员和主持人、会议记录等磋商会工作人员，根据“磋商会供应商签到表”宣布参加磋商的供应商名单。</w:t>
      </w:r>
    </w:p>
    <w:p w14:paraId="520360B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（4）宣布检查响应文件的密封情况。由供应商或其推荐的代表与监督管理机构共同检查响应文件密封情况，经检查无误后，签字确认。</w:t>
      </w:r>
    </w:p>
    <w:p w14:paraId="1C31B7D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（5）启封响应文件，仅向采购人及监督人员宣布第一次磋商报价，并由监督人员确认。</w:t>
      </w:r>
    </w:p>
    <w:p w14:paraId="41188345">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（6）磋商响应供应商退场。</w:t>
      </w:r>
    </w:p>
    <w:p w14:paraId="50AA452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（7）磋商小组与供应商一对一谈判，供应商进行磋商报价。</w:t>
      </w:r>
    </w:p>
    <w:p w14:paraId="397FFAB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（8）宣布磋商仪式结束。</w:t>
      </w:r>
    </w:p>
    <w:p w14:paraId="0DB110A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30.2采购代理机构对磋商过程进行全程摄（录）像、文字记录，并存档备查。</w:t>
      </w:r>
      <w:bookmarkStart w:id="120" w:name="_Toc217446059"/>
    </w:p>
    <w:bookmarkEnd w:id="120"/>
    <w:p w14:paraId="4B0E1868">
      <w:pPr>
        <w:pStyle w:val="2"/>
        <w:keepLines/>
        <w:spacing w:line="360" w:lineRule="auto"/>
        <w:rPr>
          <w:rFonts w:hint="default" w:ascii="Times New Roman" w:hAnsi="Times New Roman" w:cs="Times New Roman"/>
          <w:b/>
          <w:bCs/>
          <w:color w:val="auto"/>
          <w:sz w:val="24"/>
          <w:szCs w:val="24"/>
          <w:highlight w:val="none"/>
          <w:u w:val="none"/>
        </w:rPr>
      </w:pPr>
      <w:bookmarkStart w:id="121" w:name="_Toc485883233"/>
      <w:r>
        <w:rPr>
          <w:rFonts w:hint="default" w:ascii="Times New Roman" w:hAnsi="Times New Roman" w:cs="Times New Roman"/>
          <w:b/>
          <w:bCs/>
          <w:color w:val="auto"/>
          <w:sz w:val="24"/>
          <w:szCs w:val="24"/>
          <w:highlight w:val="none"/>
          <w:u w:val="none"/>
        </w:rPr>
        <w:t>31.磋商小组</w:t>
      </w:r>
      <w:bookmarkEnd w:id="121"/>
    </w:p>
    <w:p w14:paraId="0BC961A5">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31.1</w:t>
      </w:r>
      <w:r>
        <w:rPr>
          <w:rFonts w:hint="default" w:ascii="Times New Roman" w:hAnsi="Times New Roman" w:cs="Times New Roman"/>
          <w:kern w:val="0"/>
          <w:sz w:val="24"/>
          <w:highlight w:val="none"/>
        </w:rPr>
        <w:t>采购代理机构根据采购项目的特点依法组建磋商小组。磋商小组由采购人代表和有关技术、经济等方面的专家组成，成员为3人及以上单数组成。</w:t>
      </w:r>
      <w:r>
        <w:rPr>
          <w:rFonts w:hint="default" w:ascii="Times New Roman" w:hAnsi="Times New Roman" w:cs="Times New Roman"/>
          <w:sz w:val="24"/>
          <w:highlight w:val="none"/>
        </w:rPr>
        <w:t>专家人在</w:t>
      </w:r>
      <w:r>
        <w:rPr>
          <w:rFonts w:hint="default" w:ascii="Times New Roman" w:hAnsi="Times New Roman" w:cs="Times New Roman"/>
          <w:sz w:val="24"/>
          <w:highlight w:val="none"/>
          <w:lang w:val="en-US" w:eastAsia="zh-CN"/>
        </w:rPr>
        <w:t>相关</w:t>
      </w:r>
      <w:r>
        <w:rPr>
          <w:rFonts w:hint="default" w:ascii="Times New Roman" w:hAnsi="Times New Roman" w:cs="Times New Roman"/>
          <w:sz w:val="24"/>
          <w:highlight w:val="none"/>
        </w:rPr>
        <w:t>评审专家库中随机抽取。</w:t>
      </w:r>
    </w:p>
    <w:p w14:paraId="74CA47CC">
      <w:pPr>
        <w:spacing w:line="360" w:lineRule="auto"/>
        <w:ind w:left="120" w:leftChars="57"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31.2磋商小组成员有下列情形之一的，应当回避：</w:t>
      </w:r>
    </w:p>
    <w:p w14:paraId="73D276A4">
      <w:pPr>
        <w:spacing w:line="360" w:lineRule="auto"/>
        <w:ind w:left="120" w:leftChars="57"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（1）采购人或供应商的主要负责人的近亲属；</w:t>
      </w:r>
    </w:p>
    <w:p w14:paraId="206928EF">
      <w:pPr>
        <w:spacing w:line="360" w:lineRule="auto"/>
        <w:ind w:left="120" w:leftChars="57"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（2）与供应商有经济利益关系，可能影响对响应文件公正评审的；</w:t>
      </w:r>
    </w:p>
    <w:p w14:paraId="6A4B2C89">
      <w:pPr>
        <w:spacing w:line="360" w:lineRule="auto"/>
        <w:ind w:left="120" w:leftChars="57"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（3）曾因在磋商、评标以及其他与磋商投标有关活动中从事违法行为而受过行政处罚或刑事处罚的。</w:t>
      </w:r>
    </w:p>
    <w:p w14:paraId="3ABF49A1">
      <w:pPr>
        <w:pStyle w:val="2"/>
        <w:keepLines/>
        <w:spacing w:line="360" w:lineRule="auto"/>
        <w:rPr>
          <w:rFonts w:hint="default" w:ascii="Times New Roman" w:hAnsi="Times New Roman" w:cs="Times New Roman"/>
          <w:b/>
          <w:bCs/>
          <w:color w:val="auto"/>
          <w:sz w:val="24"/>
          <w:szCs w:val="24"/>
          <w:highlight w:val="none"/>
          <w:u w:val="none"/>
        </w:rPr>
      </w:pPr>
      <w:bookmarkStart w:id="122" w:name="_Toc485883234"/>
      <w:r>
        <w:rPr>
          <w:rFonts w:hint="default" w:ascii="Times New Roman" w:hAnsi="Times New Roman" w:cs="Times New Roman"/>
          <w:b/>
          <w:bCs/>
          <w:color w:val="auto"/>
          <w:sz w:val="24"/>
          <w:szCs w:val="24"/>
          <w:highlight w:val="none"/>
          <w:u w:val="none"/>
        </w:rPr>
        <w:t>32.磋商与评审</w:t>
      </w:r>
      <w:bookmarkEnd w:id="122"/>
    </w:p>
    <w:p w14:paraId="6946E987">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详见磋商文件第三章磋商与评审办法。</w:t>
      </w:r>
    </w:p>
    <w:p w14:paraId="574D5B3F">
      <w:pPr>
        <w:spacing w:line="360" w:lineRule="auto"/>
        <w:rPr>
          <w:rFonts w:hint="default" w:ascii="Times New Roman" w:hAnsi="Times New Roman" w:cs="Times New Roman"/>
          <w:b/>
          <w:sz w:val="30"/>
          <w:szCs w:val="30"/>
          <w:highlight w:val="none"/>
        </w:rPr>
      </w:pPr>
      <w:bookmarkStart w:id="123" w:name="_Toc217446064"/>
      <w:bookmarkStart w:id="124" w:name="_Toc485883235"/>
      <w:bookmarkStart w:id="125" w:name="_Toc183682377"/>
      <w:bookmarkStart w:id="126" w:name="_Toc183582240"/>
      <w:r>
        <w:rPr>
          <w:rFonts w:hint="default" w:ascii="Times New Roman" w:hAnsi="Times New Roman" w:cs="Times New Roman"/>
          <w:b/>
          <w:sz w:val="30"/>
          <w:szCs w:val="30"/>
          <w:highlight w:val="none"/>
        </w:rPr>
        <w:t>七、合同</w:t>
      </w:r>
      <w:bookmarkEnd w:id="123"/>
      <w:r>
        <w:rPr>
          <w:rFonts w:hint="default" w:ascii="Times New Roman" w:hAnsi="Times New Roman" w:cs="Times New Roman"/>
          <w:b/>
          <w:sz w:val="30"/>
          <w:szCs w:val="30"/>
          <w:highlight w:val="none"/>
        </w:rPr>
        <w:t>授予</w:t>
      </w:r>
      <w:bookmarkEnd w:id="124"/>
      <w:bookmarkStart w:id="127" w:name="_Toc217446065"/>
    </w:p>
    <w:p w14:paraId="6EAF4EAC">
      <w:pPr>
        <w:pStyle w:val="2"/>
        <w:keepLines/>
        <w:spacing w:line="360" w:lineRule="auto"/>
        <w:rPr>
          <w:rFonts w:hint="default" w:ascii="Times New Roman" w:hAnsi="Times New Roman" w:cs="Times New Roman"/>
          <w:b/>
          <w:bCs/>
          <w:color w:val="auto"/>
          <w:sz w:val="24"/>
          <w:szCs w:val="24"/>
          <w:highlight w:val="none"/>
          <w:u w:val="none"/>
        </w:rPr>
      </w:pPr>
      <w:bookmarkStart w:id="128" w:name="_Toc485883236"/>
      <w:r>
        <w:rPr>
          <w:rFonts w:hint="default" w:ascii="Times New Roman" w:hAnsi="Times New Roman" w:cs="Times New Roman"/>
          <w:b/>
          <w:bCs/>
          <w:color w:val="auto"/>
          <w:sz w:val="24"/>
          <w:szCs w:val="24"/>
          <w:highlight w:val="none"/>
          <w:u w:val="none"/>
        </w:rPr>
        <w:t>33.合同</w:t>
      </w:r>
      <w:bookmarkEnd w:id="127"/>
      <w:r>
        <w:rPr>
          <w:rFonts w:hint="default" w:ascii="Times New Roman" w:hAnsi="Times New Roman" w:cs="Times New Roman"/>
          <w:b/>
          <w:bCs/>
          <w:color w:val="auto"/>
          <w:sz w:val="24"/>
          <w:szCs w:val="24"/>
          <w:highlight w:val="none"/>
          <w:u w:val="none"/>
        </w:rPr>
        <w:t>订立</w:t>
      </w:r>
      <w:bookmarkEnd w:id="128"/>
    </w:p>
    <w:p w14:paraId="2D71A4F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33.1成交供应商应在《成交通知书》发出之日起30日内与采购人签订采购合同。由于成交供应商的原因逾期未与采购人签订采购合同的，将视为放弃成交，取消其成交资格，其磋商保证金不予退还；给采购人造成的损失超过保证金数额的，采购人将对其超过部分予以追偿。</w:t>
      </w:r>
    </w:p>
    <w:p w14:paraId="3425C873">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33.2采购人与成交供应商洽谈合同条款及所签订的合同不得对磋商文件和成交供应商响应文件作实质性修改，磋商文件和成交供应商的响应文件均作为合同的组成部分。</w:t>
      </w:r>
    </w:p>
    <w:p w14:paraId="14A3605B">
      <w:pPr>
        <w:pStyle w:val="10"/>
        <w:adjustRightInd w:val="0"/>
        <w:snapToGrid w:val="0"/>
        <w:spacing w:line="360" w:lineRule="auto"/>
        <w:ind w:firstLine="480" w:firstLineChars="200"/>
        <w:rPr>
          <w:rFonts w:hint="default" w:ascii="Times New Roman" w:hAnsi="Times New Roman" w:cs="Times New Roman"/>
          <w:sz w:val="24"/>
          <w:szCs w:val="24"/>
          <w:highlight w:val="none"/>
        </w:rPr>
      </w:pPr>
      <w:bookmarkStart w:id="129" w:name="_Toc217446066"/>
      <w:r>
        <w:rPr>
          <w:rFonts w:hint="default" w:ascii="Times New Roman" w:hAnsi="Times New Roman" w:cs="Times New Roman"/>
          <w:sz w:val="24"/>
          <w:szCs w:val="24"/>
          <w:highlight w:val="none"/>
        </w:rPr>
        <w:t>33.3</w:t>
      </w:r>
      <w:r>
        <w:rPr>
          <w:rFonts w:hint="default" w:ascii="Times New Roman" w:hAnsi="Times New Roman" w:cs="Times New Roman"/>
          <w:kern w:val="0"/>
          <w:sz w:val="24"/>
          <w:szCs w:val="24"/>
          <w:highlight w:val="none"/>
        </w:rPr>
        <w:t>成交供应商因不可抗力原因不能履行采购合同或放弃成交的，采购人可以与排在成交供应商之后第一位的成交候选供应商签订采购合同，以此类推。</w:t>
      </w:r>
      <w:r>
        <w:rPr>
          <w:rFonts w:hint="default" w:ascii="Times New Roman" w:hAnsi="Times New Roman" w:cs="Times New Roman"/>
          <w:sz w:val="24"/>
          <w:szCs w:val="24"/>
          <w:highlight w:val="none"/>
        </w:rPr>
        <w:t xml:space="preserve"> </w:t>
      </w:r>
    </w:p>
    <w:p w14:paraId="7297B01E">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33.4成交供应商有下列情形之一的，责令限期改正，情节严重的，列入不良行为记录名单，在1至3年内禁止参加政府采购活动，并予以通报：</w:t>
      </w:r>
    </w:p>
    <w:p w14:paraId="79388541">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（1）成交后无正当理由不与采购人签订合同的；</w:t>
      </w:r>
    </w:p>
    <w:p w14:paraId="579505DB">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（2）未按照磋商文件确定的事项签订政府采购合同，或者与采购人另行订立背离合同实质性内容的协议的；</w:t>
      </w:r>
    </w:p>
    <w:p w14:paraId="21CB4453">
      <w:pPr>
        <w:pStyle w:val="10"/>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（3）拒绝履行合同义务的；</w:t>
      </w:r>
    </w:p>
    <w:p w14:paraId="4A0F29B5">
      <w:pPr>
        <w:pStyle w:val="10"/>
        <w:adjustRightInd w:val="0"/>
        <w:snapToGrid w:val="0"/>
        <w:spacing w:line="360"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（4）</w:t>
      </w:r>
      <w:r>
        <w:rPr>
          <w:rFonts w:hint="default" w:ascii="Times New Roman" w:hAnsi="Times New Roman" w:cs="Times New Roman"/>
          <w:kern w:val="0"/>
          <w:sz w:val="24"/>
          <w:szCs w:val="24"/>
          <w:highlight w:val="none"/>
        </w:rPr>
        <w:t>违反法律、规章、规范性文件规定的。</w:t>
      </w:r>
    </w:p>
    <w:p w14:paraId="6433B99E">
      <w:pPr>
        <w:pStyle w:val="2"/>
        <w:keepLines/>
        <w:spacing w:line="360" w:lineRule="auto"/>
        <w:rPr>
          <w:rFonts w:hint="default" w:ascii="Times New Roman" w:hAnsi="Times New Roman" w:cs="Times New Roman"/>
          <w:b/>
          <w:bCs/>
          <w:color w:val="auto"/>
          <w:sz w:val="24"/>
          <w:szCs w:val="24"/>
          <w:highlight w:val="none"/>
          <w:u w:val="none"/>
        </w:rPr>
      </w:pPr>
      <w:bookmarkStart w:id="130" w:name="_Toc485883237"/>
      <w:bookmarkStart w:id="131" w:name="_Toc322606648"/>
      <w:r>
        <w:rPr>
          <w:rFonts w:hint="default" w:ascii="Times New Roman" w:hAnsi="Times New Roman" w:cs="Times New Roman"/>
          <w:b/>
          <w:bCs/>
          <w:color w:val="auto"/>
          <w:sz w:val="24"/>
          <w:szCs w:val="24"/>
          <w:highlight w:val="none"/>
          <w:u w:val="none"/>
        </w:rPr>
        <w:t>34.合同履行</w:t>
      </w:r>
      <w:bookmarkEnd w:id="130"/>
      <w:bookmarkEnd w:id="131"/>
    </w:p>
    <w:p w14:paraId="3B03D571">
      <w:pPr>
        <w:tabs>
          <w:tab w:val="left" w:pos="426"/>
        </w:tabs>
        <w:autoSpaceDE w:val="0"/>
        <w:autoSpaceDN w:val="0"/>
        <w:adjustRightInd w:val="0"/>
        <w:snapToGrid w:val="0"/>
        <w:spacing w:line="360" w:lineRule="auto"/>
        <w:ind w:firstLine="480" w:firstLineChars="200"/>
        <w:rPr>
          <w:rFonts w:hint="default" w:ascii="Times New Roman" w:hAnsi="Times New Roman" w:cs="Times New Roman"/>
          <w:b/>
          <w:bCs/>
          <w:sz w:val="24"/>
          <w:highlight w:val="none"/>
        </w:rPr>
      </w:pPr>
      <w:r>
        <w:rPr>
          <w:rFonts w:hint="default" w:ascii="Times New Roman" w:hAnsi="Times New Roman" w:cs="Times New Roman"/>
          <w:sz w:val="24"/>
          <w:highlight w:val="none"/>
          <w:lang w:eastAsia="zh-TW"/>
        </w:rPr>
        <w:t>政府采购合同订立后，合同各方不得擅自变更、中止或者终止合同。政府采购合同需要变更的，采购人应将有关合同变更内容，以书面形式报政府采购监督管理</w:t>
      </w:r>
      <w:r>
        <w:rPr>
          <w:rFonts w:hint="default" w:ascii="Times New Roman" w:hAnsi="Times New Roman" w:cs="Times New Roman"/>
          <w:sz w:val="24"/>
          <w:highlight w:val="none"/>
        </w:rPr>
        <w:t>部门</w:t>
      </w:r>
      <w:r>
        <w:rPr>
          <w:rFonts w:hint="default" w:ascii="Times New Roman" w:hAnsi="Times New Roman" w:cs="Times New Roman"/>
          <w:sz w:val="24"/>
          <w:highlight w:val="none"/>
          <w:lang w:eastAsia="zh-TW"/>
        </w:rPr>
        <w:t>备案；因特殊情况需要中止或终止合同的，采购人应将中止或终止合同的理由以及相应措施，以书面形式报政府采购监督管理</w:t>
      </w:r>
      <w:r>
        <w:rPr>
          <w:rFonts w:hint="default" w:ascii="Times New Roman" w:hAnsi="Times New Roman" w:cs="Times New Roman"/>
          <w:sz w:val="24"/>
          <w:highlight w:val="none"/>
        </w:rPr>
        <w:t>部门</w:t>
      </w:r>
      <w:r>
        <w:rPr>
          <w:rFonts w:hint="default" w:ascii="Times New Roman" w:hAnsi="Times New Roman" w:cs="Times New Roman"/>
          <w:sz w:val="24"/>
          <w:highlight w:val="none"/>
          <w:lang w:eastAsia="zh-TW"/>
        </w:rPr>
        <w:t>备案。</w:t>
      </w:r>
    </w:p>
    <w:bookmarkEnd w:id="125"/>
    <w:bookmarkEnd w:id="126"/>
    <w:bookmarkEnd w:id="129"/>
    <w:p w14:paraId="164FA1EA">
      <w:pPr>
        <w:spacing w:line="360" w:lineRule="auto"/>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八、终止磋商</w:t>
      </w:r>
    </w:p>
    <w:p w14:paraId="7271FBC3">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35.终止磋商</w:t>
      </w:r>
    </w:p>
    <w:p w14:paraId="0434BA5A">
      <w:pPr>
        <w:widowControl/>
        <w:spacing w:line="360" w:lineRule="auto"/>
        <w:ind w:firstLine="480"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出现下列情形之一的，采购人或者采购代理机构应当终止竞争性磋商采购活动，发布项目终止公告并说明原因，重新开展采购活动：</w:t>
      </w:r>
    </w:p>
    <w:p w14:paraId="1FB57DC7">
      <w:pPr>
        <w:widowControl/>
        <w:spacing w:line="360" w:lineRule="auto"/>
        <w:ind w:firstLine="480"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（1）因情况变化，不再符合规定的竞争性磋商采购方式适用情形的；</w:t>
      </w:r>
    </w:p>
    <w:p w14:paraId="12F2D5EE">
      <w:pPr>
        <w:widowControl/>
        <w:spacing w:line="360" w:lineRule="auto"/>
        <w:ind w:firstLine="480"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（2）出现影响采购公正的违法、违规行为的；</w:t>
      </w:r>
    </w:p>
    <w:p w14:paraId="281CDCC8">
      <w:pPr>
        <w:widowControl/>
        <w:spacing w:line="360" w:lineRule="auto"/>
        <w:ind w:firstLine="480" w:firstLineChars="200"/>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（3）除《政府采购竞争性磋商采购方式管理暂行办法》办法第21条第3款规定的情形外，在采购过程中符合要求的供应商或者磋商报价未超过采购预算的供应商不足3家的。</w:t>
      </w:r>
    </w:p>
    <w:p w14:paraId="1318A83C">
      <w:pPr>
        <w:spacing w:line="360" w:lineRule="auto"/>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九、采购代理服务费/成交服务费</w:t>
      </w:r>
    </w:p>
    <w:p w14:paraId="5A84DF04">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36.采购代理服务费/成交服务费的数额及缴纳方式</w:t>
      </w:r>
    </w:p>
    <w:p w14:paraId="3361265C">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36.1成交供应商在领取成交通知书前，须向采购代理机构支付成交服务费。</w:t>
      </w:r>
    </w:p>
    <w:p w14:paraId="62093A71">
      <w:pPr>
        <w:pStyle w:val="29"/>
        <w:spacing w:line="360" w:lineRule="auto"/>
        <w:ind w:firstLine="480"/>
        <w:rPr>
          <w:rFonts w:hint="default" w:ascii="Times New Roman" w:hAnsi="Times New Roman" w:cs="Times New Roman"/>
          <w:sz w:val="24"/>
          <w:szCs w:val="24"/>
          <w:highlight w:val="none"/>
          <w:lang w:val="zh-CN" w:eastAsia="zh-CN"/>
        </w:rPr>
      </w:pPr>
      <w:r>
        <w:rPr>
          <w:rFonts w:hint="default" w:ascii="Times New Roman" w:hAnsi="Times New Roman" w:cs="Times New Roman"/>
          <w:sz w:val="24"/>
          <w:szCs w:val="24"/>
          <w:highlight w:val="none"/>
        </w:rPr>
        <w:t>36.2</w:t>
      </w:r>
      <w:r>
        <w:rPr>
          <w:rFonts w:hint="default" w:ascii="Times New Roman" w:hAnsi="Times New Roman" w:cs="Times New Roman"/>
          <w:sz w:val="24"/>
          <w:szCs w:val="24"/>
          <w:highlight w:val="none"/>
          <w:lang w:val="zh-CN"/>
        </w:rPr>
        <w:t>招标代理服务费的计算方法：以成交金额为基数，</w:t>
      </w:r>
      <w:r>
        <w:rPr>
          <w:rFonts w:hint="default" w:ascii="Times New Roman" w:hAnsi="Times New Roman" w:cs="Times New Roman"/>
          <w:sz w:val="24"/>
          <w:szCs w:val="24"/>
          <w:highlight w:val="none"/>
          <w:lang w:val="zh-CN" w:eastAsia="zh-CN"/>
        </w:rPr>
        <w:t>参照</w:t>
      </w:r>
      <w:r>
        <w:rPr>
          <w:rFonts w:hint="default" w:ascii="Times New Roman" w:hAnsi="Times New Roman" w:cs="Times New Roman"/>
          <w:sz w:val="24"/>
          <w:szCs w:val="24"/>
          <w:highlight w:val="none"/>
          <w:lang w:val="zh-CN"/>
        </w:rPr>
        <w:t>国家计委颁发的《招标代理服务收费管理暂行办法》（计价格[</w:t>
      </w:r>
      <w:r>
        <w:rPr>
          <w:rFonts w:hint="eastAsia" w:ascii="Times New Roman" w:hAnsi="Times New Roman" w:cs="Times New Roman"/>
          <w:sz w:val="24"/>
          <w:szCs w:val="24"/>
          <w:highlight w:val="none"/>
          <w:lang w:val="zh-CN"/>
        </w:rPr>
        <w:t>【</w:t>
      </w:r>
      <w:r>
        <w:rPr>
          <w:rFonts w:hint="default" w:ascii="Times New Roman" w:hAnsi="Times New Roman" w:cs="Times New Roman"/>
          <w:sz w:val="24"/>
          <w:szCs w:val="24"/>
          <w:highlight w:val="none"/>
          <w:lang w:val="zh-CN"/>
        </w:rPr>
        <w:t>2002</w:t>
      </w:r>
      <w:r>
        <w:rPr>
          <w:rFonts w:hint="eastAsia" w:ascii="Times New Roman" w:hAnsi="Times New Roman" w:cs="Times New Roman"/>
          <w:sz w:val="24"/>
          <w:szCs w:val="24"/>
          <w:highlight w:val="none"/>
          <w:lang w:val="zh-CN"/>
        </w:rPr>
        <w:t>】</w:t>
      </w:r>
      <w:r>
        <w:rPr>
          <w:rFonts w:hint="default" w:ascii="Times New Roman" w:hAnsi="Times New Roman" w:cs="Times New Roman"/>
          <w:sz w:val="24"/>
          <w:szCs w:val="24"/>
          <w:highlight w:val="none"/>
          <w:lang w:val="zh-CN"/>
        </w:rPr>
        <w:t>1980号）文件标准收取，由成交供应商在领取中标通知书之前，向采购代理机构一次支付全额招标代理服务费</w:t>
      </w:r>
      <w:r>
        <w:rPr>
          <w:rFonts w:hint="default" w:ascii="Times New Roman" w:hAnsi="Times New Roman" w:cs="Times New Roman"/>
          <w:sz w:val="24"/>
          <w:szCs w:val="24"/>
          <w:highlight w:val="none"/>
          <w:lang w:val="zh-CN" w:eastAsia="zh-CN"/>
        </w:rPr>
        <w:t>，不足</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val="zh-CN" w:eastAsia="zh-CN"/>
        </w:rPr>
        <w:t>000元按</w:t>
      </w:r>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val="zh-CN" w:eastAsia="zh-CN"/>
        </w:rPr>
        <w:t>000元计取。</w:t>
      </w:r>
    </w:p>
    <w:p w14:paraId="02A364D8">
      <w:pPr>
        <w:pStyle w:val="29"/>
        <w:spacing w:line="360" w:lineRule="auto"/>
        <w:ind w:firstLine="48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rPr>
        <w:t>36.3</w:t>
      </w:r>
      <w:r>
        <w:rPr>
          <w:rFonts w:hint="default" w:ascii="Times New Roman" w:hAnsi="Times New Roman" w:cs="Times New Roman"/>
          <w:sz w:val="24"/>
          <w:szCs w:val="24"/>
          <w:highlight w:val="none"/>
          <w:lang w:val="zh-CN"/>
        </w:rPr>
        <w:t>成交服务费可以采取现金、支票、银行汇票、电汇、网银等方式缴纳。</w:t>
      </w:r>
    </w:p>
    <w:p w14:paraId="31E33697">
      <w:pPr>
        <w:pStyle w:val="29"/>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36.4成交供应商服务费交纳信息：</w:t>
      </w:r>
    </w:p>
    <w:p w14:paraId="58014397">
      <w:pPr>
        <w:pStyle w:val="12"/>
        <w:snapToGrid/>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账户名称：鼎正众创建设集团有限公司</w:t>
      </w:r>
    </w:p>
    <w:p w14:paraId="678FC63E">
      <w:pPr>
        <w:pStyle w:val="12"/>
        <w:snapToGrid/>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账户号码：61001925700052502502</w:t>
      </w:r>
    </w:p>
    <w:p w14:paraId="7082ED5A">
      <w:pPr>
        <w:pStyle w:val="12"/>
        <w:snapToGrid/>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开户行：中国建设银行股份有限公司西安高新科技支行</w:t>
      </w:r>
    </w:p>
    <w:p w14:paraId="4311EB7F">
      <w:pPr>
        <w:pStyle w:val="12"/>
        <w:snapToGrid/>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zh-CN"/>
        </w:rPr>
        <w:t>转账请备注项目名称+代理费</w:t>
      </w:r>
    </w:p>
    <w:p w14:paraId="7E85C9AF">
      <w:pPr>
        <w:spacing w:line="360" w:lineRule="auto"/>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十、质疑与投诉</w:t>
      </w:r>
    </w:p>
    <w:p w14:paraId="3474E328">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37.质疑</w:t>
      </w:r>
    </w:p>
    <w:p w14:paraId="4A9799F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37.1供应商对本次磋商采购活动有疑问的，按照国家《中华人民共和国政府采购法》及其实施条例的规定办理。</w:t>
      </w:r>
    </w:p>
    <w:p w14:paraId="39FA5038">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37.2供应商对采购文件、采购过程或中标结果使自身的合法权益受到损害，应当在法定期限内，以书面形式向采购代理机构或采购人提出质疑。</w:t>
      </w:r>
    </w:p>
    <w:p w14:paraId="5E5AE83F">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（1）质疑书应当包括以下主要内容：被质疑项目名称、项目编号、标段、采购公告/中标公告发布时间、质疑事项、证据材料、法律依据（具体条款）、质疑人有效联系方式等。</w:t>
      </w:r>
    </w:p>
    <w:p w14:paraId="2D6A116C">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6B66928F">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37.3有下列情形之一的，属于无效质疑，采购代理机构和采购人不予受理：</w:t>
      </w:r>
    </w:p>
    <w:p w14:paraId="7692126E">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（1）质疑人不是参与本次政府采购项目的供应商；</w:t>
      </w:r>
    </w:p>
    <w:p w14:paraId="57A44B08">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（2）质疑人与质疑事项不存在利害关系的；</w:t>
      </w:r>
    </w:p>
    <w:p w14:paraId="1B8B967F">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（3）未在法定期限内提出质疑的；</w:t>
      </w:r>
    </w:p>
    <w:p w14:paraId="2AFDEF93">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（4）质疑未以书面形式提出，或质疑书主要内容构成不完整的；</w:t>
      </w:r>
    </w:p>
    <w:p w14:paraId="5683537A">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（5）质疑书没有合法有效的签字、盖章或授权的；</w:t>
      </w:r>
    </w:p>
    <w:p w14:paraId="0AB65CB4">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（6）以非法手段取得证据、材料的；</w:t>
      </w:r>
    </w:p>
    <w:p w14:paraId="4AC69350">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（7）质疑答复后，同一质疑人就同一事项再次提出质疑的；</w:t>
      </w:r>
    </w:p>
    <w:p w14:paraId="28C9D333">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（8）不符合法律、法规、规章和政府采购监管机构规定的其他条件的。</w:t>
      </w:r>
    </w:p>
    <w:p w14:paraId="466B46EF">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37.4采购代理机构或采购人将在收到书面质疑后7个工作日内做出答复，并以书面形式通知质疑人和其他有关磋商响应供应商。</w:t>
      </w:r>
    </w:p>
    <w:p w14:paraId="51476F67">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38.投诉</w:t>
      </w:r>
    </w:p>
    <w:p w14:paraId="7051358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38.1参加磋商的供应商和其他厉害关系人认为本次磋商采购活动违反法律、法规和规章规定的，有权向有关行政监督机构投诉。</w:t>
      </w:r>
    </w:p>
    <w:p w14:paraId="4F9C0ED1">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38.2质疑人对采购代理机构或采购人的答复不满意，以及采购代理机构或采购人未在规定时间内做出答复的，可以在答复期满后15个工作日内向政府采购监管机构提出投诉。</w:t>
      </w:r>
    </w:p>
    <w:p w14:paraId="754DAF59">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38.3磋商响应供应商投诉的事项不得超出已质疑事项的范围。</w:t>
      </w:r>
    </w:p>
    <w:p w14:paraId="142F8CBB">
      <w:pPr>
        <w:spacing w:line="360" w:lineRule="auto"/>
        <w:rPr>
          <w:rFonts w:hint="default" w:ascii="Times New Roman" w:hAnsi="Times New Roman" w:cs="Times New Roman"/>
          <w:b/>
          <w:sz w:val="30"/>
          <w:szCs w:val="30"/>
          <w:highlight w:val="none"/>
        </w:rPr>
      </w:pPr>
      <w:bookmarkStart w:id="132" w:name="_Toc28229"/>
      <w:r>
        <w:rPr>
          <w:rFonts w:hint="default" w:ascii="Times New Roman" w:hAnsi="Times New Roman" w:cs="Times New Roman"/>
          <w:b/>
          <w:sz w:val="30"/>
          <w:szCs w:val="30"/>
          <w:highlight w:val="none"/>
          <w:lang w:val="en-US" w:eastAsia="zh-CN"/>
        </w:rPr>
        <w:t>十一、</w:t>
      </w:r>
      <w:r>
        <w:rPr>
          <w:rFonts w:hint="default" w:ascii="Times New Roman" w:hAnsi="Times New Roman" w:cs="Times New Roman"/>
          <w:b/>
          <w:sz w:val="30"/>
          <w:szCs w:val="30"/>
          <w:highlight w:val="none"/>
        </w:rPr>
        <w:t>其他</w:t>
      </w:r>
    </w:p>
    <w:p w14:paraId="2F4A73CA">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39.成交供应商融资</w:t>
      </w:r>
    </w:p>
    <w:p w14:paraId="45C33458">
      <w:pPr>
        <w:widowControl/>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本着“银企自愿，风险自担”的原则，成交供应商为中小企业的可以自愿选择政府采购贷进行融资，通过“陕西省政府采购信用融资平台”（http：//www.ccgp-shaanxi.gov.cn/）实施政采贷。</w:t>
      </w:r>
    </w:p>
    <w:p w14:paraId="215E93AF">
      <w:pPr>
        <w:pStyle w:val="8"/>
        <w:rPr>
          <w:rFonts w:hint="default" w:ascii="Times New Roman" w:hAnsi="Times New Roman" w:cs="Times New Roman"/>
          <w:highlight w:val="none"/>
        </w:rPr>
      </w:pPr>
    </w:p>
    <w:p w14:paraId="301AD276">
      <w:pPr>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p w14:paraId="7A82B5BA">
      <w:pPr>
        <w:spacing w:before="240" w:beforeLines="100" w:after="240" w:afterLines="100"/>
        <w:jc w:val="center"/>
        <w:outlineLvl w:val="0"/>
        <w:rPr>
          <w:rFonts w:hint="default" w:ascii="Times New Roman" w:hAnsi="Times New Roman" w:cs="Times New Roman"/>
          <w:b/>
          <w:sz w:val="36"/>
          <w:szCs w:val="36"/>
          <w:highlight w:val="none"/>
        </w:rPr>
      </w:pPr>
      <w:bookmarkStart w:id="133" w:name="_Toc30019"/>
      <w:r>
        <w:rPr>
          <w:rFonts w:hint="default" w:ascii="Times New Roman" w:hAnsi="Times New Roman" w:cs="Times New Roman"/>
          <w:b/>
          <w:sz w:val="36"/>
          <w:szCs w:val="22"/>
          <w:highlight w:val="none"/>
        </w:rPr>
        <w:t>第三部分  采购内容及要求</w:t>
      </w:r>
      <w:bookmarkEnd w:id="132"/>
      <w:bookmarkEnd w:id="133"/>
    </w:p>
    <w:p w14:paraId="0905E8B8">
      <w:pPr>
        <w:widowControl/>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cs="Times New Roman"/>
          <w:sz w:val="24"/>
          <w:highlight w:val="none"/>
          <w:lang w:val="en-US" w:eastAsia="zh-CN"/>
        </w:rPr>
        <w:t>西安</w:t>
      </w:r>
      <w:r>
        <w:rPr>
          <w:rFonts w:hint="default" w:ascii="Times New Roman" w:hAnsi="Times New Roman" w:eastAsia="宋体" w:cs="Times New Roman"/>
          <w:sz w:val="24"/>
          <w:highlight w:val="none"/>
          <w:lang w:val="en-US" w:eastAsia="zh-CN"/>
        </w:rPr>
        <w:t>高新区第六十幼儿园于2023年9月开园，</w:t>
      </w:r>
      <w:r>
        <w:rPr>
          <w:rFonts w:hint="eastAsia" w:ascii="Times New Roman" w:hAnsi="Times New Roman" w:cs="Times New Roman"/>
          <w:sz w:val="24"/>
          <w:highlight w:val="none"/>
          <w:lang w:val="en-US" w:eastAsia="zh-CN"/>
        </w:rPr>
        <w:t>现因</w:t>
      </w:r>
      <w:r>
        <w:rPr>
          <w:rFonts w:hint="default" w:ascii="Times New Roman" w:hAnsi="Times New Roman" w:eastAsia="宋体" w:cs="Times New Roman"/>
          <w:sz w:val="24"/>
          <w:highlight w:val="none"/>
          <w:lang w:val="en-US" w:eastAsia="zh-CN"/>
        </w:rPr>
        <w:t>入园幼儿</w:t>
      </w:r>
      <w:r>
        <w:rPr>
          <w:rFonts w:hint="eastAsia" w:ascii="Times New Roman" w:hAnsi="Times New Roman" w:cs="Times New Roman"/>
          <w:sz w:val="24"/>
          <w:highlight w:val="none"/>
          <w:lang w:val="en-US" w:eastAsia="zh-CN"/>
        </w:rPr>
        <w:t>人数</w:t>
      </w:r>
      <w:r>
        <w:rPr>
          <w:rFonts w:hint="default" w:ascii="Times New Roman" w:hAnsi="Times New Roman" w:eastAsia="宋体" w:cs="Times New Roman"/>
          <w:sz w:val="24"/>
          <w:highlight w:val="none"/>
          <w:lang w:val="en-US" w:eastAsia="zh-CN"/>
        </w:rPr>
        <w:t>增加，现有设备无法满足园所运行需求</w:t>
      </w:r>
      <w:r>
        <w:rPr>
          <w:rFonts w:hint="eastAsia" w:ascii="Times New Roman" w:hAnsi="Times New Roman" w:cs="Times New Roman"/>
          <w:sz w:val="24"/>
          <w:highlight w:val="none"/>
          <w:lang w:val="en-US" w:eastAsia="zh-CN"/>
        </w:rPr>
        <w:t>，因此需采购班级一体机1套，班级玩教具一批，室内墙面操作玩具一批，以满足幼儿在园活动需求以及教师办公需求，全面助力园所保育教育工作开展</w:t>
      </w:r>
      <w:r>
        <w:rPr>
          <w:rFonts w:hint="default" w:ascii="Times New Roman" w:hAnsi="Times New Roman" w:eastAsia="宋体" w:cs="Times New Roman"/>
          <w:sz w:val="24"/>
          <w:highlight w:val="none"/>
          <w:lang w:val="en-US" w:eastAsia="zh-CN"/>
        </w:rPr>
        <w:t>。</w:t>
      </w:r>
    </w:p>
    <w:p w14:paraId="64F6B4E7">
      <w:pPr>
        <w:widowControl/>
        <w:spacing w:line="360" w:lineRule="auto"/>
        <w:ind w:firstLine="482" w:firstLineChars="200"/>
        <w:rPr>
          <w:rFonts w:hint="default" w:ascii="Times New Roman" w:hAnsi="Times New Roman" w:eastAsia="宋体" w:cs="Times New Roman"/>
          <w:b/>
          <w:bCs/>
          <w:sz w:val="24"/>
          <w:highlight w:val="none"/>
          <w:lang w:val="en-US" w:eastAsia="zh-CN"/>
        </w:rPr>
      </w:pPr>
      <w:r>
        <w:rPr>
          <w:rFonts w:hint="default" w:ascii="Times New Roman" w:hAnsi="Times New Roman" w:eastAsia="宋体" w:cs="Times New Roman"/>
          <w:b/>
          <w:bCs/>
          <w:sz w:val="24"/>
          <w:highlight w:val="none"/>
        </w:rPr>
        <w:t>一、</w:t>
      </w:r>
      <w:r>
        <w:rPr>
          <w:rFonts w:hint="default" w:ascii="Times New Roman" w:hAnsi="Times New Roman" w:eastAsia="宋体" w:cs="Times New Roman"/>
          <w:b/>
          <w:bCs/>
          <w:sz w:val="24"/>
          <w:highlight w:val="none"/>
          <w:lang w:val="en-US" w:eastAsia="zh-CN"/>
        </w:rPr>
        <w:t>产品及技术参数</w:t>
      </w:r>
    </w:p>
    <w:p w14:paraId="478839F5">
      <w:pPr>
        <w:widowControl/>
        <w:spacing w:line="360" w:lineRule="auto"/>
        <w:ind w:firstLine="482" w:firstLineChars="200"/>
        <w:rPr>
          <w:rFonts w:hint="eastAsia" w:ascii="Times New Roman" w:hAnsi="Times New Roman" w:cs="Times New Roman"/>
          <w:b/>
          <w:bCs/>
          <w:sz w:val="24"/>
          <w:highlight w:val="none"/>
          <w:lang w:eastAsia="zh-CN"/>
        </w:rPr>
      </w:pPr>
      <w:r>
        <w:rPr>
          <w:rFonts w:hint="eastAsia" w:ascii="Times New Roman" w:hAnsi="Times New Roman" w:cs="Times New Roman"/>
          <w:b/>
          <w:bCs/>
          <w:sz w:val="24"/>
          <w:highlight w:val="none"/>
          <w:lang w:eastAsia="zh-CN"/>
        </w:rPr>
        <w:t>（</w:t>
      </w:r>
      <w:r>
        <w:rPr>
          <w:rFonts w:hint="eastAsia" w:ascii="Times New Roman" w:hAnsi="Times New Roman" w:cs="Times New Roman"/>
          <w:b/>
          <w:bCs/>
          <w:sz w:val="24"/>
          <w:highlight w:val="none"/>
          <w:lang w:val="en-US" w:eastAsia="zh-CN"/>
        </w:rPr>
        <w:t>一</w:t>
      </w:r>
      <w:r>
        <w:rPr>
          <w:rFonts w:hint="eastAsia" w:ascii="Times New Roman" w:hAnsi="Times New Roman" w:cs="Times New Roman"/>
          <w:b/>
          <w:bCs/>
          <w:sz w:val="24"/>
          <w:highlight w:val="none"/>
          <w:lang w:eastAsia="zh-CN"/>
        </w:rPr>
        <w:t>）教学一体机</w:t>
      </w:r>
    </w:p>
    <w:tbl>
      <w:tblPr>
        <w:tblStyle w:val="19"/>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951"/>
        <w:gridCol w:w="6824"/>
        <w:gridCol w:w="508"/>
        <w:gridCol w:w="641"/>
      </w:tblGrid>
      <w:tr w14:paraId="4D3A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EC3">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91A">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FB76">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规格参数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1AD">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6BB">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5AAA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21D1F">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975E8">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智能一体机</w:t>
            </w:r>
          </w:p>
          <w:p w14:paraId="12A90507">
            <w:pPr>
              <w:pStyle w:val="8"/>
              <w:keepNext w:val="0"/>
              <w:keepLines w:val="0"/>
              <w:pageBreakBefore w:val="0"/>
              <w:kinsoku/>
              <w:wordWrap/>
              <w:overflowPunct/>
              <w:topLinePunct w:val="0"/>
              <w:autoSpaceDE/>
              <w:autoSpaceDN/>
              <w:bidi w:val="0"/>
              <w:adjustRightInd/>
              <w:snapToGrid/>
              <w:spacing w:line="360" w:lineRule="atLeast"/>
              <w:rPr>
                <w:rFonts w:hint="eastAsia"/>
                <w:sz w:val="21"/>
                <w:szCs w:val="21"/>
                <w:highlight w:val="none"/>
              </w:rPr>
            </w:pPr>
            <w:r>
              <w:rPr>
                <w:rFonts w:hint="eastAsia" w:ascii="宋体" w:hAnsi="宋体" w:cs="宋体"/>
                <w:b/>
                <w:bCs/>
                <w:i w:val="0"/>
                <w:iCs w:val="0"/>
                <w:color w:val="000000"/>
                <w:kern w:val="0"/>
                <w:sz w:val="21"/>
                <w:szCs w:val="21"/>
                <w:highlight w:val="none"/>
                <w:u w:val="none"/>
                <w:lang w:val="en-US" w:eastAsia="zh-CN" w:bidi="ar"/>
              </w:rPr>
              <w:t>（核心产品）</w:t>
            </w:r>
          </w:p>
        </w:tc>
        <w:tc>
          <w:tcPr>
            <w:tcW w:w="6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F3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一、整体设计：​</w:t>
            </w:r>
          </w:p>
          <w:p w14:paraId="678C67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整机采用一体设计，外部无可见内部功能模块连接线。​</w:t>
            </w:r>
          </w:p>
          <w:p w14:paraId="26261AB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lang w:val="en-US" w:eastAsia="zh-CN"/>
              </w:rPr>
              <w:t>整机屏幕采用≥75英寸液晶显示器。​</w:t>
            </w:r>
          </w:p>
          <w:p w14:paraId="588EFFA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lang w:val="en-US" w:eastAsia="zh-CN"/>
              </w:rPr>
              <w:t>玻璃表面硬度≥9H，整机触控点数不少于20点。​</w:t>
            </w:r>
          </w:p>
          <w:p w14:paraId="179C8C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lang w:val="en-US" w:eastAsia="zh-CN"/>
              </w:rPr>
              <w:t>整机内置2.2声道扬声器，额定总功率 60W。​</w:t>
            </w:r>
          </w:p>
          <w:p w14:paraId="46EF4C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w:t>
            </w:r>
            <w:r>
              <w:rPr>
                <w:rFonts w:hint="eastAsia" w:ascii="宋体" w:hAnsi="宋体" w:eastAsia="宋体" w:cs="宋体"/>
                <w:i w:val="0"/>
                <w:iCs w:val="0"/>
                <w:color w:val="000000"/>
                <w:sz w:val="21"/>
                <w:szCs w:val="21"/>
                <w:highlight w:val="none"/>
                <w:u w:val="none"/>
                <w:lang w:val="en-US" w:eastAsia="zh-CN"/>
              </w:rPr>
              <w:t>整机支持色彩空间可选，包含标准模式和 sRGB 模式。​</w:t>
            </w:r>
          </w:p>
          <w:p w14:paraId="707506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w:t>
            </w:r>
            <w:r>
              <w:rPr>
                <w:rFonts w:hint="eastAsia" w:ascii="宋体" w:hAnsi="宋体" w:eastAsia="宋体" w:cs="宋体"/>
                <w:i w:val="0"/>
                <w:iCs w:val="0"/>
                <w:color w:val="000000"/>
                <w:sz w:val="21"/>
                <w:szCs w:val="21"/>
                <w:highlight w:val="none"/>
                <w:u w:val="none"/>
                <w:lang w:val="en-US" w:eastAsia="zh-CN"/>
              </w:rPr>
              <w:t>从内部PC通道切换到外部通道后，触摸框在3s内可触控。​</w:t>
            </w:r>
          </w:p>
          <w:p w14:paraId="1741B90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w:t>
            </w:r>
            <w:r>
              <w:rPr>
                <w:rFonts w:hint="eastAsia" w:ascii="宋体" w:hAnsi="宋体" w:eastAsia="宋体" w:cs="宋体"/>
                <w:i w:val="0"/>
                <w:iCs w:val="0"/>
                <w:color w:val="000000"/>
                <w:sz w:val="21"/>
                <w:szCs w:val="21"/>
                <w:highlight w:val="none"/>
                <w:u w:val="none"/>
                <w:lang w:val="en-US" w:eastAsia="zh-CN"/>
              </w:rPr>
              <w:t>整机具备至少6个前置按键，支持开关机、调出中控菜单、音量 +/-、护眼、录屏操作。​</w:t>
            </w:r>
          </w:p>
          <w:p w14:paraId="244EF6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w:t>
            </w:r>
            <w:r>
              <w:rPr>
                <w:rFonts w:hint="eastAsia" w:ascii="宋体" w:hAnsi="宋体" w:eastAsia="宋体" w:cs="宋体"/>
                <w:i w:val="0"/>
                <w:iCs w:val="0"/>
                <w:color w:val="000000"/>
                <w:sz w:val="21"/>
                <w:szCs w:val="21"/>
                <w:highlight w:val="none"/>
                <w:u w:val="none"/>
                <w:lang w:val="en-US" w:eastAsia="zh-CN"/>
              </w:rPr>
              <w:t>整机支持高级音效设置，支持音效模式选择、调节左右声道平衡；中低频段125Hz～1KHz，高频段2KHz～16KHz 分别有-12dB～12dB调节功能</w:t>
            </w:r>
            <w:r>
              <w:rPr>
                <w:rFonts w:hint="eastAsia" w:ascii="宋体" w:hAnsi="宋体" w:cs="宋体"/>
                <w:i w:val="0"/>
                <w:iCs w:val="0"/>
                <w:color w:val="000000"/>
                <w:sz w:val="21"/>
                <w:szCs w:val="21"/>
                <w:highlight w:val="none"/>
                <w:u w:val="none"/>
                <w:lang w:val="en-US" w:eastAsia="zh-CN"/>
              </w:rPr>
              <w:t>。9.</w:t>
            </w:r>
            <w:r>
              <w:rPr>
                <w:rFonts w:hint="eastAsia" w:ascii="宋体" w:hAnsi="宋体" w:eastAsia="宋体" w:cs="宋体"/>
                <w:i w:val="0"/>
                <w:iCs w:val="0"/>
                <w:color w:val="000000"/>
                <w:sz w:val="21"/>
                <w:szCs w:val="21"/>
                <w:highlight w:val="none"/>
                <w:u w:val="none"/>
                <w:lang w:val="en-US" w:eastAsia="zh-CN"/>
              </w:rPr>
              <w:t>整机全通道侧边栏支持批注小工具，可切换书写笔颜色、截屏保存、清屏，板擦工具大小</w:t>
            </w:r>
            <w:r>
              <w:rPr>
                <w:rFonts w:hint="eastAsia" w:ascii="宋体" w:hAnsi="宋体" w:cs="宋体"/>
                <w:i w:val="0"/>
                <w:iCs w:val="0"/>
                <w:color w:val="000000"/>
                <w:sz w:val="21"/>
                <w:szCs w:val="21"/>
                <w:highlight w:val="none"/>
                <w:u w:val="none"/>
                <w:lang w:val="en-US" w:eastAsia="zh-CN"/>
              </w:rPr>
              <w:t>可</w:t>
            </w:r>
            <w:r>
              <w:rPr>
                <w:rFonts w:hint="eastAsia" w:ascii="宋体" w:hAnsi="宋体" w:eastAsia="宋体" w:cs="宋体"/>
                <w:i w:val="0"/>
                <w:iCs w:val="0"/>
                <w:color w:val="000000"/>
                <w:sz w:val="21"/>
                <w:szCs w:val="21"/>
                <w:highlight w:val="none"/>
                <w:u w:val="none"/>
                <w:lang w:val="en-US" w:eastAsia="zh-CN"/>
              </w:rPr>
              <w:t>自动调整。​</w:t>
            </w:r>
          </w:p>
          <w:p w14:paraId="3D4863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10.</w:t>
            </w:r>
            <w:r>
              <w:rPr>
                <w:rFonts w:hint="eastAsia" w:ascii="宋体" w:hAnsi="宋体" w:eastAsia="宋体" w:cs="宋体"/>
                <w:i w:val="0"/>
                <w:iCs w:val="0"/>
                <w:color w:val="000000"/>
                <w:sz w:val="21"/>
                <w:szCs w:val="21"/>
                <w:highlight w:val="none"/>
                <w:u w:val="none"/>
                <w:lang w:val="en-US" w:eastAsia="zh-CN"/>
              </w:rPr>
              <w:t>具备多种纸质护眼模式。​</w:t>
            </w:r>
          </w:p>
          <w:p w14:paraId="230BFD5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11.</w:t>
            </w:r>
            <w:r>
              <w:rPr>
                <w:rFonts w:hint="eastAsia" w:ascii="宋体" w:hAnsi="宋体" w:eastAsia="宋体" w:cs="宋体"/>
                <w:i w:val="0"/>
                <w:iCs w:val="0"/>
                <w:color w:val="000000"/>
                <w:sz w:val="21"/>
                <w:szCs w:val="21"/>
                <w:highlight w:val="none"/>
                <w:u w:val="none"/>
                <w:lang w:val="en-US" w:eastAsia="zh-CN"/>
              </w:rPr>
              <w:t>设备支持自动感应功能。​</w:t>
            </w:r>
          </w:p>
          <w:p w14:paraId="42F4903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12.</w:t>
            </w:r>
            <w:r>
              <w:rPr>
                <w:rFonts w:hint="eastAsia" w:ascii="宋体" w:hAnsi="宋体" w:eastAsia="宋体" w:cs="宋体"/>
                <w:i w:val="0"/>
                <w:iCs w:val="0"/>
                <w:color w:val="000000"/>
                <w:sz w:val="21"/>
                <w:szCs w:val="21"/>
                <w:highlight w:val="none"/>
                <w:u w:val="none"/>
                <w:lang w:val="en-US" w:eastAsia="zh-CN"/>
              </w:rPr>
              <w:t>整机全通道侧边栏支持计时功能。​</w:t>
            </w:r>
          </w:p>
          <w:p w14:paraId="0B1C477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13.</w:t>
            </w:r>
            <w:r>
              <w:rPr>
                <w:rFonts w:hint="eastAsia" w:ascii="宋体" w:hAnsi="宋体" w:eastAsia="宋体" w:cs="宋体"/>
                <w:i w:val="0"/>
                <w:iCs w:val="0"/>
                <w:color w:val="000000"/>
                <w:sz w:val="21"/>
                <w:szCs w:val="21"/>
                <w:highlight w:val="none"/>
                <w:u w:val="none"/>
                <w:lang w:val="en-US" w:eastAsia="zh-CN"/>
              </w:rPr>
              <w:t>整机内置非独立摄像头，像素数≥1300万，对角角度≥120°</w:t>
            </w:r>
            <w:r>
              <w:rPr>
                <w:rFonts w:hint="eastAsia" w:ascii="宋体" w:hAnsi="宋体" w:cs="宋体"/>
                <w:i w:val="0"/>
                <w:iCs w:val="0"/>
                <w:color w:val="000000"/>
                <w:sz w:val="21"/>
                <w:szCs w:val="21"/>
                <w:highlight w:val="none"/>
                <w:u w:val="none"/>
                <w:lang w:val="en-US" w:eastAsia="zh-CN"/>
              </w:rPr>
              <w:t>，</w:t>
            </w:r>
            <w:r>
              <w:rPr>
                <w:rFonts w:hint="eastAsia" w:ascii="宋体" w:hAnsi="宋体" w:eastAsia="宋体" w:cs="宋体"/>
                <w:i w:val="0"/>
                <w:iCs w:val="0"/>
                <w:color w:val="000000"/>
                <w:sz w:val="21"/>
                <w:szCs w:val="21"/>
                <w:highlight w:val="none"/>
                <w:u w:val="none"/>
                <w:lang w:val="en-US" w:eastAsia="zh-CN"/>
              </w:rPr>
              <w:t>具备摄像头指示灯。​</w:t>
            </w:r>
          </w:p>
          <w:p w14:paraId="6C87A6D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14.</w:t>
            </w:r>
            <w:r>
              <w:rPr>
                <w:rFonts w:hint="eastAsia" w:ascii="宋体" w:hAnsi="宋体" w:eastAsia="宋体" w:cs="宋体"/>
                <w:i w:val="0"/>
                <w:iCs w:val="0"/>
                <w:color w:val="000000"/>
                <w:sz w:val="21"/>
                <w:szCs w:val="21"/>
                <w:highlight w:val="none"/>
                <w:u w:val="none"/>
                <w:lang w:val="en-US" w:eastAsia="zh-CN"/>
              </w:rPr>
              <w:t>整机支持终端物联。​</w:t>
            </w:r>
          </w:p>
          <w:p w14:paraId="24636B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15.</w:t>
            </w:r>
            <w:r>
              <w:rPr>
                <w:rFonts w:hint="eastAsia" w:ascii="宋体" w:hAnsi="宋体" w:eastAsia="宋体" w:cs="宋体"/>
                <w:i w:val="0"/>
                <w:iCs w:val="0"/>
                <w:color w:val="000000"/>
                <w:sz w:val="21"/>
                <w:szCs w:val="21"/>
                <w:highlight w:val="none"/>
                <w:u w:val="none"/>
                <w:lang w:val="en-US" w:eastAsia="zh-CN"/>
              </w:rPr>
              <w:t>整机支持蓝牙</w:t>
            </w:r>
            <w:r>
              <w:rPr>
                <w:rFonts w:hint="eastAsia" w:ascii="宋体" w:hAnsi="宋体" w:cs="宋体"/>
                <w:i w:val="0"/>
                <w:iCs w:val="0"/>
                <w:color w:val="000000"/>
                <w:sz w:val="21"/>
                <w:szCs w:val="21"/>
                <w:highlight w:val="none"/>
                <w:u w:val="none"/>
                <w:lang w:val="en-US" w:eastAsia="zh-CN"/>
              </w:rPr>
              <w:t>功能</w:t>
            </w:r>
            <w:r>
              <w:rPr>
                <w:rFonts w:hint="eastAsia" w:ascii="宋体" w:hAnsi="宋体" w:eastAsia="宋体" w:cs="宋体"/>
                <w:i w:val="0"/>
                <w:iCs w:val="0"/>
                <w:color w:val="000000"/>
                <w:sz w:val="21"/>
                <w:szCs w:val="21"/>
                <w:highlight w:val="none"/>
                <w:u w:val="none"/>
                <w:lang w:val="en-US" w:eastAsia="zh-CN"/>
              </w:rPr>
              <w:t>。​</w:t>
            </w:r>
          </w:p>
          <w:p w14:paraId="7BBBC4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二、电脑模块​</w:t>
            </w:r>
          </w:p>
          <w:p w14:paraId="60768F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采用抽拉内置式模块化电脑，可无单独接线插拔，按压式卡扣，无需工具快速拆卸，需厂家提供功能证明并加盖公章。​</w:t>
            </w:r>
          </w:p>
          <w:p w14:paraId="02B4F2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lang w:val="en-US" w:eastAsia="zh-CN"/>
              </w:rPr>
              <w:t>CPU内存≥8GB；硬盘≥256GB 固态硬盘。​</w:t>
            </w:r>
          </w:p>
          <w:p w14:paraId="2B21B03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三、教学白板软件​</w:t>
            </w:r>
          </w:p>
          <w:p w14:paraId="07AD7C3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提供至少15种学科工具，可一键插入课件，需厂家提供功能证明并加盖公章。​</w:t>
            </w:r>
          </w:p>
          <w:p w14:paraId="77BBA05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lang w:val="en-US" w:eastAsia="zh-CN"/>
              </w:rPr>
              <w:t>具备交互表格功能。​</w:t>
            </w:r>
          </w:p>
          <w:p w14:paraId="78166D1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lang w:val="en-US" w:eastAsia="zh-CN"/>
              </w:rPr>
              <w:t>支持多对象叠放层级、对齐方式设置，可批量组合、锁定，对象移动时自动弹出辅助线；支持课件元素创建超链接。​</w:t>
            </w:r>
          </w:p>
          <w:p w14:paraId="7E7CA34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lang w:val="en-US" w:eastAsia="zh-CN"/>
              </w:rPr>
              <w:t>提供多种基本几何图形和特殊图形，总数不少于40种，支持多种图形编辑及样式设置功能。​</w:t>
            </w:r>
          </w:p>
          <w:p w14:paraId="2EA4C34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5.</w:t>
            </w:r>
            <w:r>
              <w:rPr>
                <w:rFonts w:hint="eastAsia" w:ascii="宋体" w:hAnsi="宋体" w:eastAsia="宋体" w:cs="宋体"/>
                <w:i w:val="0"/>
                <w:iCs w:val="0"/>
                <w:color w:val="000000"/>
                <w:sz w:val="21"/>
                <w:szCs w:val="21"/>
                <w:highlight w:val="none"/>
                <w:u w:val="none"/>
                <w:lang w:val="en-US" w:eastAsia="zh-CN"/>
              </w:rPr>
              <w:t>支持互动课件导出为多种格式，导出课件支持多终端二次编辑，需厂家提供功能证明。​</w:t>
            </w:r>
          </w:p>
          <w:p w14:paraId="58E5F32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w:t>
            </w:r>
            <w:r>
              <w:rPr>
                <w:rFonts w:hint="eastAsia" w:ascii="宋体" w:hAnsi="宋体" w:eastAsia="宋体" w:cs="宋体"/>
                <w:i w:val="0"/>
                <w:iCs w:val="0"/>
                <w:color w:val="000000"/>
                <w:sz w:val="21"/>
                <w:szCs w:val="21"/>
                <w:highlight w:val="none"/>
                <w:u w:val="none"/>
                <w:lang w:val="en-US" w:eastAsia="zh-CN"/>
              </w:rPr>
              <w:t>内置不少于70个课件主题模板，教师可自定义课件背景。​​</w:t>
            </w:r>
          </w:p>
          <w:p w14:paraId="6139CA2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7.</w:t>
            </w:r>
            <w:r>
              <w:rPr>
                <w:rFonts w:hint="eastAsia" w:ascii="宋体" w:hAnsi="宋体" w:eastAsia="宋体" w:cs="宋体"/>
                <w:i w:val="0"/>
                <w:iCs w:val="0"/>
                <w:color w:val="000000"/>
                <w:sz w:val="21"/>
                <w:szCs w:val="21"/>
                <w:highlight w:val="none"/>
                <w:u w:val="none"/>
                <w:lang w:val="en-US" w:eastAsia="zh-CN"/>
              </w:rPr>
              <w:t>支持创建智能选词填空游戏，支持并列选项及答案互换，提供不少于10种可自定义模板，需厂家提供功能证明并加盖公章。​</w:t>
            </w:r>
          </w:p>
          <w:p w14:paraId="351D8F6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w:t>
            </w:r>
            <w:r>
              <w:rPr>
                <w:rFonts w:hint="eastAsia" w:ascii="宋体" w:hAnsi="宋体" w:eastAsia="宋体" w:cs="宋体"/>
                <w:i w:val="0"/>
                <w:iCs w:val="0"/>
                <w:color w:val="000000"/>
                <w:sz w:val="21"/>
                <w:szCs w:val="21"/>
                <w:highlight w:val="none"/>
                <w:u w:val="none"/>
                <w:lang w:val="en-US" w:eastAsia="zh-CN"/>
              </w:rPr>
              <w:t>支持创建配对游戏，提供不少于10种可自定义模板，支持设置干扰​</w:t>
            </w:r>
          </w:p>
          <w:p w14:paraId="473112A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9.</w:t>
            </w:r>
            <w:r>
              <w:rPr>
                <w:rFonts w:hint="eastAsia" w:ascii="宋体" w:hAnsi="宋体" w:eastAsia="宋体" w:cs="宋体"/>
                <w:i w:val="0"/>
                <w:iCs w:val="0"/>
                <w:color w:val="000000"/>
                <w:sz w:val="21"/>
                <w:szCs w:val="21"/>
                <w:highlight w:val="none"/>
                <w:u w:val="none"/>
                <w:lang w:val="en-US" w:eastAsia="zh-CN"/>
              </w:rPr>
              <w:t>采用备授课一体化框架设计，可切换备课模式和教学模式。​</w:t>
            </w:r>
          </w:p>
          <w:p w14:paraId="6D5FE0D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10.</w:t>
            </w:r>
            <w:r>
              <w:rPr>
                <w:rFonts w:hint="eastAsia" w:ascii="宋体" w:hAnsi="宋体" w:eastAsia="宋体" w:cs="宋体"/>
                <w:i w:val="0"/>
                <w:iCs w:val="0"/>
                <w:color w:val="000000"/>
                <w:sz w:val="21"/>
                <w:szCs w:val="21"/>
                <w:highlight w:val="none"/>
                <w:u w:val="none"/>
                <w:lang w:val="en-US" w:eastAsia="zh-CN"/>
              </w:rPr>
              <w:t>具备云端静默推送下载功能，支持应用在线升级及信息验证。​</w:t>
            </w:r>
          </w:p>
          <w:p w14:paraId="759713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11.</w:t>
            </w:r>
            <w:r>
              <w:rPr>
                <w:rFonts w:hint="eastAsia" w:ascii="宋体" w:hAnsi="宋体" w:eastAsia="宋体" w:cs="宋体"/>
                <w:i w:val="0"/>
                <w:iCs w:val="0"/>
                <w:color w:val="000000"/>
                <w:sz w:val="21"/>
                <w:szCs w:val="21"/>
                <w:highlight w:val="none"/>
                <w:u w:val="none"/>
                <w:lang w:val="en-US" w:eastAsia="zh-CN"/>
              </w:rPr>
              <w:t>提供至少30种课件元素触发动画，支持多种动画设置及自定义路径动画，一个元素可设多组动画，需厂家提供功能证明并加盖公章。​</w:t>
            </w:r>
          </w:p>
          <w:p w14:paraId="09F3FD9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12.</w:t>
            </w:r>
            <w:r>
              <w:rPr>
                <w:rFonts w:hint="eastAsia" w:ascii="宋体" w:hAnsi="宋体" w:eastAsia="宋体" w:cs="宋体"/>
                <w:i w:val="0"/>
                <w:iCs w:val="0"/>
                <w:color w:val="000000"/>
                <w:sz w:val="21"/>
                <w:szCs w:val="21"/>
                <w:highlight w:val="none"/>
                <w:u w:val="none"/>
                <w:lang w:val="en-US" w:eastAsia="zh-CN"/>
              </w:rPr>
              <w:t>支持课件内嵌多种格式音视频等多媒体文件，支持关键帧标记及多种播放模式。​</w:t>
            </w:r>
          </w:p>
          <w:p w14:paraId="14991A1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13.</w:t>
            </w:r>
            <w:r>
              <w:rPr>
                <w:rFonts w:hint="eastAsia" w:ascii="宋体" w:hAnsi="宋体" w:eastAsia="宋体" w:cs="宋体"/>
                <w:i w:val="0"/>
                <w:iCs w:val="0"/>
                <w:color w:val="000000"/>
                <w:sz w:val="21"/>
                <w:szCs w:val="21"/>
                <w:highlight w:val="none"/>
                <w:u w:val="none"/>
                <w:lang w:val="en-US" w:eastAsia="zh-CN"/>
              </w:rPr>
              <w:t>具有学科思维导图功能​</w:t>
            </w:r>
          </w:p>
          <w:p w14:paraId="3104FFB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14.</w:t>
            </w:r>
            <w:r>
              <w:rPr>
                <w:rFonts w:hint="eastAsia" w:ascii="宋体" w:hAnsi="宋体" w:eastAsia="宋体" w:cs="宋体"/>
                <w:i w:val="0"/>
                <w:iCs w:val="0"/>
                <w:color w:val="000000"/>
                <w:sz w:val="21"/>
                <w:szCs w:val="21"/>
                <w:highlight w:val="none"/>
                <w:u w:val="none"/>
                <w:lang w:val="en-US" w:eastAsia="zh-CN"/>
              </w:rPr>
              <w:t>具备不少于5000个汉字生字卡，可展示汉字相关信息；</w:t>
            </w:r>
          </w:p>
          <w:p w14:paraId="35F1237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四、教学数据分析管理平台​</w:t>
            </w:r>
          </w:p>
          <w:p w14:paraId="06B1AE3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w:t>
            </w:r>
            <w:r>
              <w:rPr>
                <w:rFonts w:hint="eastAsia" w:ascii="宋体" w:hAnsi="宋体" w:eastAsia="宋体" w:cs="宋体"/>
                <w:i w:val="0"/>
                <w:iCs w:val="0"/>
                <w:color w:val="000000"/>
                <w:sz w:val="21"/>
                <w:szCs w:val="21"/>
                <w:highlight w:val="none"/>
                <w:u w:val="none"/>
                <w:lang w:val="en-US" w:eastAsia="zh-CN"/>
              </w:rPr>
              <w:t>校本资源管理：可审核发布、移动 / 删除教师上传的各类资源。​</w:t>
            </w:r>
          </w:p>
          <w:p w14:paraId="58D1ADD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lang w:val="en-US" w:eastAsia="zh-CN"/>
              </w:rPr>
              <w:t>课件制作数据：支持按时间查看全校教师课件制作数据排行及学科对比。​</w:t>
            </w:r>
          </w:p>
          <w:p w14:paraId="6F358DC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lang w:val="en-US" w:eastAsia="zh-CN"/>
              </w:rPr>
              <w:t>提供教研全流程管理服务及数据分析，需厂家提供功能证明并加盖公章。​</w:t>
            </w:r>
          </w:p>
          <w:p w14:paraId="08F04F4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4.</w:t>
            </w:r>
            <w:r>
              <w:rPr>
                <w:rFonts w:hint="eastAsia" w:ascii="宋体" w:hAnsi="宋体" w:eastAsia="宋体" w:cs="宋体"/>
                <w:i w:val="0"/>
                <w:iCs w:val="0"/>
                <w:color w:val="000000"/>
                <w:sz w:val="21"/>
                <w:szCs w:val="21"/>
                <w:highlight w:val="none"/>
                <w:u w:val="none"/>
                <w:lang w:val="en-US" w:eastAsia="zh-CN"/>
              </w:rPr>
              <w:t>学校目标与计划：可录入教学计划，与教案课时数关联。​</w:t>
            </w:r>
          </w:p>
          <w:p w14:paraId="0469350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w:t>
            </w:r>
            <w:r>
              <w:rPr>
                <w:rFonts w:hint="eastAsia" w:ascii="宋体" w:hAnsi="宋体" w:eastAsia="宋体" w:cs="宋体"/>
                <w:i w:val="0"/>
                <w:iCs w:val="0"/>
                <w:color w:val="000000"/>
                <w:sz w:val="21"/>
                <w:szCs w:val="21"/>
                <w:highlight w:val="none"/>
                <w:u w:val="none"/>
                <w:lang w:val="en-US" w:eastAsia="zh-CN"/>
              </w:rPr>
              <w:t>教研组计划：可按教研组录入教学计划，与教案课时数关联。​</w:t>
            </w:r>
          </w:p>
          <w:p w14:paraId="05803F8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w:t>
            </w:r>
            <w:r>
              <w:rPr>
                <w:rFonts w:hint="eastAsia" w:ascii="宋体" w:hAnsi="宋体" w:eastAsia="宋体" w:cs="宋体"/>
                <w:i w:val="0"/>
                <w:iCs w:val="0"/>
                <w:color w:val="000000"/>
                <w:sz w:val="21"/>
                <w:szCs w:val="21"/>
                <w:highlight w:val="none"/>
                <w:u w:val="none"/>
                <w:lang w:val="en-US" w:eastAsia="zh-CN"/>
              </w:rPr>
              <w:t>教案模板管理：支持自定义教案模板，设置必填项和选填项。​</w:t>
            </w:r>
          </w:p>
          <w:p w14:paraId="6DAACA7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7.</w:t>
            </w:r>
            <w:r>
              <w:rPr>
                <w:rFonts w:hint="eastAsia" w:ascii="宋体" w:hAnsi="宋体" w:eastAsia="宋体" w:cs="宋体"/>
                <w:i w:val="0"/>
                <w:iCs w:val="0"/>
                <w:color w:val="000000"/>
                <w:sz w:val="21"/>
                <w:szCs w:val="21"/>
                <w:highlight w:val="none"/>
                <w:u w:val="none"/>
                <w:lang w:val="en-US" w:eastAsia="zh-CN"/>
              </w:rPr>
              <w:t>信息化数据雷达图，从五个维度评估并与全省均值对比，需厂家提供功能证明并加盖公章。​</w:t>
            </w:r>
          </w:p>
          <w:p w14:paraId="002F374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w:t>
            </w:r>
            <w:r>
              <w:rPr>
                <w:rFonts w:hint="eastAsia" w:ascii="宋体" w:hAnsi="宋体" w:eastAsia="宋体" w:cs="宋体"/>
                <w:i w:val="0"/>
                <w:iCs w:val="0"/>
                <w:color w:val="000000"/>
                <w:sz w:val="21"/>
                <w:szCs w:val="21"/>
                <w:highlight w:val="none"/>
                <w:u w:val="none"/>
                <w:lang w:val="en-US" w:eastAsia="zh-CN"/>
              </w:rPr>
              <w:t>学校通知：管理员可选定教师发送通知，可查看已读 / 未读情况，支持微信小程序操作。​</w:t>
            </w:r>
          </w:p>
          <w:p w14:paraId="04B6C2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9.</w:t>
            </w:r>
            <w:r>
              <w:rPr>
                <w:rFonts w:hint="eastAsia" w:ascii="宋体" w:hAnsi="宋体" w:eastAsia="宋体" w:cs="宋体"/>
                <w:i w:val="0"/>
                <w:iCs w:val="0"/>
                <w:color w:val="000000"/>
                <w:sz w:val="21"/>
                <w:szCs w:val="21"/>
                <w:highlight w:val="none"/>
                <w:u w:val="none"/>
                <w:lang w:val="en-US" w:eastAsia="zh-CN"/>
              </w:rPr>
              <w:t>支持查看不同时间段班级氛围数据情况，需厂家提供功能证明并加盖公章。​</w:t>
            </w:r>
          </w:p>
          <w:p w14:paraId="1FBFCD7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听评课数据统计导出：支持统计评分、查看记录及一键导出 Excel。​</w:t>
            </w:r>
          </w:p>
          <w:p w14:paraId="15982E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r>
              <w:rPr>
                <w:rFonts w:hint="eastAsia" w:ascii="宋体" w:hAnsi="宋体" w:cs="宋体"/>
                <w:i w:val="0"/>
                <w:iCs w:val="0"/>
                <w:color w:val="000000"/>
                <w:sz w:val="21"/>
                <w:szCs w:val="21"/>
                <w:highlight w:val="none"/>
                <w:u w:val="none"/>
                <w:lang w:val="en-US" w:eastAsia="zh-CN"/>
              </w:rPr>
              <w:t>10.</w:t>
            </w:r>
            <w:r>
              <w:rPr>
                <w:rFonts w:hint="eastAsia" w:ascii="宋体" w:hAnsi="宋体" w:eastAsia="宋体" w:cs="宋体"/>
                <w:i w:val="0"/>
                <w:iCs w:val="0"/>
                <w:color w:val="000000"/>
                <w:sz w:val="21"/>
                <w:szCs w:val="21"/>
                <w:highlight w:val="none"/>
                <w:u w:val="none"/>
                <w:lang w:val="en-US" w:eastAsia="zh-CN"/>
              </w:rPr>
              <w:t>具备教师 GPS 定位打卡考勤功能，支持多种设置及数据查看导出，需厂家提供功能证明并加盖公章。​</w:t>
            </w:r>
          </w:p>
          <w:p w14:paraId="4B92FCA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11.</w:t>
            </w:r>
            <w:r>
              <w:rPr>
                <w:rFonts w:hint="eastAsia" w:ascii="宋体" w:hAnsi="宋体" w:eastAsia="宋体" w:cs="宋体"/>
                <w:i w:val="0"/>
                <w:iCs w:val="0"/>
                <w:color w:val="000000"/>
                <w:sz w:val="21"/>
                <w:szCs w:val="21"/>
                <w:highlight w:val="none"/>
                <w:u w:val="none"/>
                <w:lang w:val="en-US" w:eastAsia="zh-CN"/>
              </w:rPr>
              <w:t>组织架构：管理员可自定义部门、导入教师，支持移动端审核教师入校申请。​</w:t>
            </w:r>
          </w:p>
          <w:p w14:paraId="75F2E02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12.</w:t>
            </w:r>
            <w:r>
              <w:rPr>
                <w:rFonts w:hint="eastAsia" w:ascii="宋体" w:hAnsi="宋体" w:eastAsia="宋体" w:cs="宋体"/>
                <w:i w:val="0"/>
                <w:iCs w:val="0"/>
                <w:color w:val="000000"/>
                <w:sz w:val="21"/>
                <w:szCs w:val="21"/>
                <w:highlight w:val="none"/>
                <w:u w:val="none"/>
                <w:lang w:val="en-US" w:eastAsia="zh-CN"/>
              </w:rPr>
              <w:t>听评课数据查看：教师可查看个人听评课数据及分析。​</w:t>
            </w:r>
          </w:p>
          <w:p w14:paraId="7378E32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13.</w:t>
            </w:r>
            <w:r>
              <w:rPr>
                <w:rFonts w:hint="eastAsia" w:ascii="宋体" w:hAnsi="宋体" w:eastAsia="宋体" w:cs="宋体"/>
                <w:i w:val="0"/>
                <w:iCs w:val="0"/>
                <w:color w:val="000000"/>
                <w:sz w:val="21"/>
                <w:szCs w:val="21"/>
                <w:highlight w:val="none"/>
                <w:u w:val="none"/>
                <w:lang w:val="en-US" w:eastAsia="zh-CN"/>
              </w:rPr>
              <w:t>校本课件管理：可审核发布、删除校本库课件，支持查看数据及批量操作。​</w:t>
            </w:r>
          </w:p>
          <w:p w14:paraId="2ED452A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14.</w:t>
            </w:r>
            <w:r>
              <w:rPr>
                <w:rFonts w:hint="eastAsia" w:ascii="宋体" w:hAnsi="宋体" w:eastAsia="宋体" w:cs="宋体"/>
                <w:i w:val="0"/>
                <w:iCs w:val="0"/>
                <w:color w:val="000000"/>
                <w:sz w:val="21"/>
                <w:szCs w:val="21"/>
                <w:highlight w:val="none"/>
                <w:u w:val="none"/>
                <w:lang w:val="en-US" w:eastAsia="zh-CN"/>
              </w:rPr>
              <w:t>校本课件数据详情：支持查看新增数据、年级学科对比及按下载数排序的课件列表。</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8E713">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5DFE">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 </w:t>
            </w:r>
          </w:p>
        </w:tc>
      </w:tr>
      <w:tr w14:paraId="350E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DEFA">
            <w:pPr>
              <w:keepNext w:val="0"/>
              <w:keepLines w:val="0"/>
              <w:pageBreakBefore w:val="0"/>
              <w:widowControl/>
              <w:kinsoku/>
              <w:wordWrap/>
              <w:overflowPunct/>
              <w:topLinePunct w:val="0"/>
              <w:autoSpaceDE/>
              <w:autoSpaceDN/>
              <w:bidi w:val="0"/>
              <w:adjustRightInd/>
              <w:snapToGrid/>
              <w:spacing w:line="360" w:lineRule="atLeast"/>
              <w:jc w:val="center"/>
              <w:rPr>
                <w:rFonts w:hint="eastAsia" w:ascii="宋体" w:hAnsi="宋体" w:eastAsia="宋体" w:cs="宋体"/>
                <w:i w:val="0"/>
                <w:iCs w:val="0"/>
                <w:color w:val="000000"/>
                <w:sz w:val="21"/>
                <w:szCs w:val="21"/>
                <w:highlight w:val="none"/>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7963">
            <w:pPr>
              <w:keepNext w:val="0"/>
              <w:keepLines w:val="0"/>
              <w:pageBreakBefore w:val="0"/>
              <w:widowControl/>
              <w:kinsoku/>
              <w:wordWrap/>
              <w:overflowPunct/>
              <w:topLinePunct w:val="0"/>
              <w:autoSpaceDE/>
              <w:autoSpaceDN/>
              <w:bidi w:val="0"/>
              <w:adjustRightInd/>
              <w:snapToGrid/>
              <w:spacing w:line="360" w:lineRule="atLeast"/>
              <w:jc w:val="center"/>
              <w:rPr>
                <w:rFonts w:hint="eastAsia" w:ascii="宋体" w:hAnsi="宋体" w:eastAsia="宋体" w:cs="宋体"/>
                <w:i w:val="0"/>
                <w:iCs w:val="0"/>
                <w:color w:val="000000"/>
                <w:sz w:val="21"/>
                <w:szCs w:val="21"/>
                <w:highlight w:val="none"/>
                <w:u w:val="none"/>
              </w:rPr>
            </w:pPr>
          </w:p>
        </w:tc>
        <w:tc>
          <w:tcPr>
            <w:tcW w:w="6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B123">
            <w:pPr>
              <w:keepNext w:val="0"/>
              <w:keepLines w:val="0"/>
              <w:pageBreakBefore w:val="0"/>
              <w:widowControl/>
              <w:kinsoku/>
              <w:wordWrap/>
              <w:overflowPunct/>
              <w:topLinePunct w:val="0"/>
              <w:autoSpaceDE/>
              <w:autoSpaceDN/>
              <w:bidi w:val="0"/>
              <w:adjustRightInd/>
              <w:snapToGrid/>
              <w:spacing w:line="360" w:lineRule="atLeast"/>
              <w:jc w:val="left"/>
              <w:rPr>
                <w:rFonts w:hint="eastAsia" w:ascii="宋体" w:hAnsi="宋体" w:eastAsia="宋体" w:cs="宋体"/>
                <w:i w:val="0"/>
                <w:iCs w:val="0"/>
                <w:color w:val="000000"/>
                <w:sz w:val="21"/>
                <w:szCs w:val="21"/>
                <w:highlight w:val="none"/>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4F320">
            <w:pPr>
              <w:keepNext w:val="0"/>
              <w:keepLines w:val="0"/>
              <w:pageBreakBefore w:val="0"/>
              <w:widowControl/>
              <w:kinsoku/>
              <w:wordWrap/>
              <w:overflowPunct/>
              <w:topLinePunct w:val="0"/>
              <w:autoSpaceDE/>
              <w:autoSpaceDN/>
              <w:bidi w:val="0"/>
              <w:adjustRightInd/>
              <w:snapToGrid/>
              <w:spacing w:line="360" w:lineRule="atLeast"/>
              <w:jc w:val="center"/>
              <w:rPr>
                <w:rFonts w:hint="eastAsia" w:ascii="宋体" w:hAnsi="宋体" w:eastAsia="宋体" w:cs="宋体"/>
                <w:i w:val="0"/>
                <w:iCs w:val="0"/>
                <w:color w:val="000000"/>
                <w:sz w:val="21"/>
                <w:szCs w:val="21"/>
                <w:highlight w:val="none"/>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A770">
            <w:pPr>
              <w:keepNext w:val="0"/>
              <w:keepLines w:val="0"/>
              <w:pageBreakBefore w:val="0"/>
              <w:widowControl/>
              <w:kinsoku/>
              <w:wordWrap/>
              <w:overflowPunct/>
              <w:topLinePunct w:val="0"/>
              <w:autoSpaceDE/>
              <w:autoSpaceDN/>
              <w:bidi w:val="0"/>
              <w:adjustRightInd/>
              <w:snapToGrid/>
              <w:spacing w:line="360" w:lineRule="atLeast"/>
              <w:jc w:val="center"/>
              <w:rPr>
                <w:rFonts w:hint="eastAsia" w:ascii="宋体" w:hAnsi="宋体" w:eastAsia="宋体" w:cs="宋体"/>
                <w:i w:val="0"/>
                <w:iCs w:val="0"/>
                <w:color w:val="000000"/>
                <w:sz w:val="21"/>
                <w:szCs w:val="21"/>
                <w:highlight w:val="none"/>
                <w:u w:val="none"/>
              </w:rPr>
            </w:pPr>
          </w:p>
        </w:tc>
      </w:tr>
    </w:tbl>
    <w:p w14:paraId="64010BA2">
      <w:pPr>
        <w:pStyle w:val="8"/>
        <w:jc w:val="both"/>
        <w:rPr>
          <w:rFonts w:hint="eastAsia"/>
          <w:highlight w:val="none"/>
          <w:lang w:eastAsia="zh-CN"/>
        </w:rPr>
      </w:pPr>
    </w:p>
    <w:p w14:paraId="4475A5E9">
      <w:pPr>
        <w:widowControl/>
        <w:spacing w:line="360" w:lineRule="auto"/>
        <w:ind w:firstLine="482" w:firstLineChars="200"/>
        <w:rPr>
          <w:rFonts w:hint="eastAsia" w:ascii="Times New Roman" w:hAnsi="Times New Roman" w:cs="Times New Roman"/>
          <w:b/>
          <w:bCs/>
          <w:sz w:val="24"/>
          <w:highlight w:val="none"/>
          <w:lang w:eastAsia="zh-CN"/>
        </w:rPr>
      </w:pPr>
      <w:r>
        <w:rPr>
          <w:rFonts w:hint="eastAsia" w:ascii="Times New Roman" w:hAnsi="Times New Roman" w:cs="Times New Roman"/>
          <w:b/>
          <w:bCs/>
          <w:sz w:val="24"/>
          <w:highlight w:val="none"/>
          <w:lang w:eastAsia="zh-CN"/>
        </w:rPr>
        <w:t>（</w:t>
      </w:r>
      <w:r>
        <w:rPr>
          <w:rFonts w:hint="eastAsia" w:ascii="Times New Roman" w:hAnsi="Times New Roman" w:cs="Times New Roman"/>
          <w:b/>
          <w:bCs/>
          <w:sz w:val="24"/>
          <w:highlight w:val="none"/>
          <w:lang w:val="en-US" w:eastAsia="zh-CN"/>
        </w:rPr>
        <w:t>二</w:t>
      </w:r>
      <w:r>
        <w:rPr>
          <w:rFonts w:hint="eastAsia" w:ascii="Times New Roman" w:hAnsi="Times New Roman" w:cs="Times New Roman"/>
          <w:b/>
          <w:bCs/>
          <w:sz w:val="24"/>
          <w:highlight w:val="none"/>
          <w:lang w:eastAsia="zh-CN"/>
        </w:rPr>
        <w:t>）班级玩教具</w:t>
      </w:r>
    </w:p>
    <w:tbl>
      <w:tblPr>
        <w:tblStyle w:val="19"/>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54"/>
        <w:gridCol w:w="6105"/>
        <w:gridCol w:w="710"/>
        <w:gridCol w:w="653"/>
      </w:tblGrid>
      <w:tr w14:paraId="4E84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0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D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6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0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规格参数</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8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C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2358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F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D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找朋友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61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材质：木质；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底板尺寸：</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27.8cm*20cm,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彩色小木片：</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4.7cm*4.7cm*0.4cm*60片。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6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6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27C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B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D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小小整理员</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1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盒子尺寸：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23cm*9cm*4cm，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7cm*5.5cm*0.4cm*9片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点子印章：底部直径：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1.5cm,高度：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3.5cm，2个。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25B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0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5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图形宝宝回家</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26cm*9cm*7cm*1组，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形状配件：三组(1)直径6cm圆4个，边长6cm正方形4个，边长8cm三角形4个。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7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09E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E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F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小农场</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69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材质：戟绒布、边纶布；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31.5cm*23.5cm。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53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0CF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0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9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小刺猬背蘑菇</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6E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材质：木质+纸质；小刺猬：</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13cm*6.8cm*1.5cm*1个，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蘑菇:</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3cm*3.2cm*1.5cm*9个（红、蓝、黄各3个）</w:t>
            </w:r>
          </w:p>
          <w:p w14:paraId="4E748B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纸牌尺寸：8.7cm*5.7cm*27张。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1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E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382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F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9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小动物拼图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7E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拼图尺寸：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4cm*4cm*4cm*3块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任务卡尺寸：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15.5cm*7.7cm。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D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E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1ED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D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9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彩色毛毛虫</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A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材质：绒布，PP棉，铁丝外圈包胶，400克白卡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毛毛虫尺寸：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30cm*6.5cm,红、黄、蓝三色毛圈各10个，卡纸尺寸：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17.5cm*7.7cm*12张。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3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82D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F2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3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猫咪排排队</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9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材质：木质；操作底卡，纸质示例卡；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操作卡尺寸：（1）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10.9cm*9.7cm，(2)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8.7cm*8.3cm，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6.8cm*6.4cm，(4)</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4.8cm*4.4cm</w:t>
            </w:r>
            <w:r>
              <w:rPr>
                <w:rFonts w:hint="eastAsia" w:ascii="宋体" w:hAnsi="宋体" w:cs="宋体"/>
                <w:i w:val="0"/>
                <w:iCs w:val="0"/>
                <w:color w:val="000000"/>
                <w:kern w:val="0"/>
                <w:sz w:val="21"/>
                <w:szCs w:val="21"/>
                <w:highlight w:val="none"/>
                <w:u w:val="none"/>
                <w:lang w:val="en-US" w:eastAsia="zh-CN" w:bidi="ar"/>
              </w:rPr>
              <w:t>；</w:t>
            </w:r>
          </w:p>
          <w:p w14:paraId="479CCD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1.5cm,各一个；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纸质示例卡：（1）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36.4cm*12.4cm*2张，（2）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23.9cm*12.4cm*2张，（3）</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119cm*12.4cm*2张。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66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AFD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C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7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蜗牛在哪里</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55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材质：木质、纸质；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蜗牛：</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3.3cm*2.8cm*1cm*2只，底座：</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20cm*10cm*9cm*1组，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纸牌尺寸：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10cm*7cm。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D44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2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C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蝴蝶找花</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BE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拼图：</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4cm*4cm*4cm*3块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7cm*16.6cm*18cm。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8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278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3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小餐厅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D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材质：软磁片、铁质底板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18.5cm*18cm*1张,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铁质底板：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26cm*18.5cm*1张。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7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3E2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2F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EDBD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1F75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E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3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分饼干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4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木盒：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18.5cm*16.5cm*4cm*1个，任务卡：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5cm*7cm*0.4cm*6片，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饼干：</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4cm*4cm*0.4cm*27片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点子印章：底部直径：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1.5cm,高度：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B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C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6C3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1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2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帮助小朋友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06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材质：软磁片、铁质底板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4cm*4cm*36片，铁纸底板：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28cm*20.5cm*2张。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43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935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2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E3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串串乐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DD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材质：木质，绳子、400克白卡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串珠：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3.3cm*2.7cm*1.2cm*50颗，串珠绳长度：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60cm*5根，任务卡：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17.3cm*5.7cm。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C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7CE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A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4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小猫头鹰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FB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底座：</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20cm*3.5cm*3.2cm*1个，猫头鹰小木块：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3.5cm*4cm*1.4cm*5个，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木片：宽度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3cm*9块。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18.5cm*26cm*1张。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7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1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65C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6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2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图形分一分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E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正方形：边长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3.5cm*9片，边长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4.5cm*9片，圆：直径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3.5cm*9片，直径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4.5cm*9片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三角形：边长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3.5cm*9片，边长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4.5cm*9片，木质任务卡：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7cm*5cm*0.4cm*6片。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A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405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B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1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萝卜排排队</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49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29.5cm*12cm*1.5cm*2组，萝卜：厚度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0.9cm*2组，共10个。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2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786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3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2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小企鹅，来坐车</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E7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尺寸：车：(1)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15.2cm*4.5cm*2.5cm，</w:t>
            </w:r>
          </w:p>
          <w:p w14:paraId="6CD8317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12.2cm*4.5cm*2.5cm，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18.2cm*4.5cm*2.5cm各一辆，</w:t>
            </w:r>
          </w:p>
          <w:p w14:paraId="389BF6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小企鹅：</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4.8*2.4*1.2*15只。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1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A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F55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B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1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套圈圈</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25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木质小人：</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6cm*3.6cm*1.5cm*2个，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圈圈：直径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8cm*3个，任务卡：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13cm*9cm。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D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945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8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0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动物拼拼乐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9E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立体拼图积木,尺寸：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4cm*4cm*4cm*6块;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15.5cm*11.8cm*6张。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B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02A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2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39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去郊游</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B9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26cm*18.5cm*1张，软磁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18.5*23.7*1张。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2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DD4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D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53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创意拼搭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E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材质：软磁片，230克白卡纸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26*18.5*1张，软磁：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28.5*21*1片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18.5*26*20张。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37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8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D97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E6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6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珠子排排队</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3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底座:</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24cm*14.5cm*6cm*1个，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珠子：</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3.5cm*2.8cm*1.5cm*15颗。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5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B8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4C5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AC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C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小动物的家</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2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材质：木质，纸质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立体拼图积木：</w:t>
            </w:r>
          </w:p>
          <w:p w14:paraId="53ADD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4cm*4cm*3cm*2块，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4cm*4cm*6cm*1块，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任务卡尺寸：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7cm*10cm*20张。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9A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4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949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F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D1D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4066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6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9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小松鼠捡松果</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F4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松鼠和松果木片：各7片；尺寸：小松鼠：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5.5cm*4.6cm*7片，松果：</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3cm*2.2cm*7片；物群卡14张，点卡17张，数字卡5张，纸质：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5.7cm*8.7cm。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5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6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A54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7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B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森林里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57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树：</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6.3cm*4.8cm*24片，小动物 </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5cm*2.85cm*24片；任务卡：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16cm*5.7cm*16张,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21*5.7cm*15张。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E0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CD8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6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1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交通工具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分一分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3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底板：26CM*37CM*1张；软磁 </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26CM*18.5CM*196片。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E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12A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A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4D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转转乐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73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材质：雪弗板；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双面转盘：1个，直径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白板笔：1支。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F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C65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9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14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大丰收</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8B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21cm*21cm*32片，底板：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23cm*24.5cm*1张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4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F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BC4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8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79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长颈鹿排排队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C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8.5cm*5cm、</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10cm*5cm、</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11.5cm*5cm、</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13cm*5cm、</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14.5cm*5cm、</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16*5cm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厚度1.5cm，以上尺寸各一只，共六只；任务卡4张：37cm*18cm。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5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0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EDB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C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9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小树桩</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9A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材质：木质，400克白卡；树桩：直径：3cm、4cm、5cm、6cm、7cm，高度：3cm，以上尺寸各一个，共五个；任务卡2张：370cm*130cm。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FD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8F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DF7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0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22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一起来出拳</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7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材质：木质，棉布袋；尺寸：小手：</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5cm*10cm*0.4cm*14片，布袋1个。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6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B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F63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0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E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图形拼拼乐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FE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材质：软磁片、230克白卡；铁纸底板：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27cm*19.5cm*1张,软磁：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26cm*18.5cm*34片，任务卡：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18.5cm*26cm*20张。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2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2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E04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6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0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图形印章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8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材质：多种形状的积木，400克白卡，230克白卡；木质印章:立方体：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2.5*2.5*2.5cm*2只、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2.5*2.5*5cm*2只、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2.5*2.5*7cm*1只、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5*5*2.5cm*1只，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立体三角：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2.5*2.5cm*2只、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2.5*5cm*1只，立体等腰三角：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5*2.5cm*2只，三棱柱：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2.5*2.5cm*2只；任务卡：10张，尺寸：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17.5cm*12cm，；纸质记录单：2页，尺寸：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C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FC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9B7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5E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7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双层巴士</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B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材质：木质；双层巴士：1辆，</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14.5*14.5*4.5cm；小动物：7个，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3*3.7*1.2cm；任务卡：20张，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7cm*10cm。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8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7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7A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3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7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准备过冬啦</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4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材质：木质，麻绳；熊头挂架：1个，木质，含挂绳1根双面小方片：（一面数字，一面点子），5片，木质木片：小鱼形状、树叶形状、杮子形状各15片，配上下挂钩，木质挂板: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29cm*10.9cm*2cm*1块,麻绳长度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45cm*1根,小鱼:</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2.8cm*4.5cm*0.6cm*15条,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树叶:</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4.5cm*4cm*0.6cm*15片,柿子:</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4.65cm*4.5cm*0.6cm*15个,数字木片:</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3.3cm*2.7cm*0.4cm*10片，白板笔：1支。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A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BD1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18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1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百变拼图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5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材质：木质，400克白卡；立体拼图积木：4块，尺寸：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3.5cm*3.5cm*3.5cm；任务卡：24张，尺寸：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8.5cm*12cm。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95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4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7A3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0C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A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小老鼠拼图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A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材质：纸质；双层拼图：1份（16片拼版），</w:t>
            </w:r>
          </w:p>
          <w:p w14:paraId="593004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拼图尺寸：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9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D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09B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F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17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7612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DB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0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动物分一分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F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37cm*26cm*1张，软磁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26cm*18.5cm*22片。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2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5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EE6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4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9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恐龙模式 </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材质：木质，400克白卡；恐龙木片：4种，各12片，尺寸：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5.7cm*4cm*0.4cm；恐龙模式卡，27张，尺寸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：8.5cm*20cm*27张；纸质操作底卡：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8.5cm*27cm*23张。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A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3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4D7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8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7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长长短短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A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材质：木质磁力条，白卡纸；长短不同的磁力木条：红、黄、蓝、绿各7根，共28根，带磁片；任务卡：24张。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6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F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055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C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4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数字王国</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7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铁质底板：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26cm*18.5cm*2张；软磁：数字2套，圆形2套，星星2套，物群6套，尺寸：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26cm*18.5cm*6片。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B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0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0DF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0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6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星星和月亮</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材质：木质；月亮：红、蓝各1个，大小不同的星星：20个，月亮：</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15cm*7.5cm*1.5cm*2只，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星星：</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5cm*5cm*1.5cm*6只，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4cm*4cm*1.5cm*6只,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3cm*3cm*1.5cm*8只 ；任务卡：350克双铜，</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6.2cm*4.2cm； 400克白卡，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32cm*12.4cm。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6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886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02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D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趣味拼图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C1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材质：软磁片，230克白卡；软磁：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26cm*18.5cm*48片，铁质底板：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27cm*19.5cm*1张；任务卡：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18.5cm*26cm，24张。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0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A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BB5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1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1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小红帽与小精灵</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0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8.6cm*6.6cm*7cm，帐篷、草地、人偶等配件一组；任务卡：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12.4cm*17.8cm，400克白卡。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4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60F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37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0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鱼儿拼图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9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材质：木质；立体拼图积木尺寸：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3.5cm*3.5cm*3.5cm*9个，任务卡尺寸：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12.3cm*15.5cm，350克双铜。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4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3B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ED9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A3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2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小火车，来运货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DF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材料350白卡对裱，火车头拼板：4片，车厢点子拼板：4片，车厢物群拼板：36片，尺寸：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A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5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FAE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A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8C2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动物跑道</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D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材质：木质；圆形底板直径：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22cm， 木质小熊3只、小鸭4只、企鹅5只；彩色皮筋合计30根，颜色随机；任务卡：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21cm*28.5cm*12张，230克白卡对裱。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B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C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B32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5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1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小小建筑师</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3C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材质：软磁片；操作底板：1块，操作底卡：3张，软磁片：多倍7片，单倍49片，软磁片：点子10片，数字14片，记录单：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7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8C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AB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9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9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名画拼图</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0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纸质，双层拼图：1份（20片拼板）拼图尺寸：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9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8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5BF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D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3794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5F02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52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2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拼梯形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FC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材质：木质；等边三角形15片、直角三角形12片、等腰梯形3片、其他梯形8片，厚度:0.3cm，任务卡：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F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D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C8E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E6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7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水果牌</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55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材质：纸质；扑克牌：</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7cm*10cm，数学牌：10张，水果牌：40张。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E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12A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83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E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建社区</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04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材质：木质；长方体：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3*3*6cm*8块，正方体：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3*3*3cm*8块，三棱柱：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3*6*2.2cm*4块，四棱锥：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3*3*2.2cm*8块，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标志牌：</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4*2.8*1.5cm*6块，底板: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37*26cm*1张。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1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D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35C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B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39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身体模式</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2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材质：木质；印有身体动作的木片尺寸：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3.8cm*3cm*5款，每款12片；身体动作模式卡：6套，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6.3cm*25cm*24cm张，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6.3cm*27.8cm*12张，400克白卡。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E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4F2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6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2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图形钉板</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92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材质：木质，橡皮筋；底板1块：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20.8cm*20.8cm*1.2cm，橡皮筋：彩色皮筋，任务卡14张: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A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E0B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2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6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图形找朋友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2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材质：350克白卡、木质、塑料；底板：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32cm*26cm*1张，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21cm*28.5cm*1张，骰子：</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2.55cm*2.55cm*2.55cm*1个；圆形透明卡座，直径：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2.5cm，20个/包。</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9B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2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C56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B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AE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七个小矮人</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0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材质：木质；粗细不同的圆柱体积木：7个，木质高矮不同的圆稚体积木：7个，木质。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B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44A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78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5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蜂巢棋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7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材质：木质；棋盘：</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21cm*22cm*0.6cm，六边形棋子：边长2cm、厚度0.8cm， 一共20片，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小蜜蜂：</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3.5*2.4*0.6cm*2只 ，扑克牌：</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7cm*10cm*30张，木质转盘：点子、数字转盘各1个，纸质大任务卡：20张，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12.4cm*17.8cm。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20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3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495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7A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C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考拉叠叠乐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1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材质：木质；底座：</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25cm*6.5cm*25.5cm*1个，考拉：</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2.5cm*3.4cm*1.5cm*42只，数字片：</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3cm*3cm*0.4cm*5片。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F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703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D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7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动物运动会</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86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0.3cm*0.8cm*2cm ，1-10数字印章各一，印章尺寸：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2.5cm*2.5cm*2cm，任务卡：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18.5cm*26cm*5张，400克白卡；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18.5cm*26cm*2张，230克白卡。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1C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970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5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6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美丽的对称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3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材质：软磁片，操作底板：2块，软磁软磁片：蝴蝶翅膀12对，蜻蜓翅膀12对，软磁示例卡：12张，纸质。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5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EC9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3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9F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花朵数独</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材质：木质，400克白卡；花朵木片：直径3cm的花朵，红、黄、蓝3色，各6片 ；纸质空白底卡：2张，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B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328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6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B6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小农夫</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D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材质：铁质底板，软磁片，230克白卡；操作底板：1块，软磁操作底卡：8张，纸质方形软磁片：红、蓝两色各10片，共20片，软磁记录单：2页，软磁：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18.5cm*14.4cm*1片，铁纸底板：27cm*19.5cm*1张。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B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4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41C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8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0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七巧板</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9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材质：木质，400克白卡；外框尺寸：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11.5cm*11.5cm*1cm，原木色；任务卡：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21cm*28.5cm*24张。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1FF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6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B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停车场</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7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材质:木质，纸质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棋盘底板2块：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21cm*28.5cm；小汽车 ：黄色，绿色各10辆，尺寸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4.3cm*2.8cm*1.2cm。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C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2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A5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1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7EBA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7FBF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B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92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有用的月历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0F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材质：布艺/布毯尺寸：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41cm*50cm。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4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6EA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E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9F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人偶分一分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C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材质：纸质/棋盘底板：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37cm*26cm*1张，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21cm*28.5cm*2张，350克白卡对裱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材质：塑料/圆形透明卡座，直径2.5cm。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B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FFE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E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4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比谁快</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01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材质：纸质/扑克牌：</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5.7cm*8.7cm。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3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1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DB1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C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C5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摸球</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4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 /木球真径：4cm，黄、蓝双色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材质：布艺/布袋尺寸：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21cm*26cm。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66F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6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F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美丽的街景</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B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16cm*30cm*0.8cm*4片,配件厚度：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0.4cm*72片，小木条：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12cm*2cm*0.5cm*48根。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E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B2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4C4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9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F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拼出多边形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9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材质：木质/多边形木片：73片，厚度：0.4cm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13cm*37cm。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32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9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69E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D5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6D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摇摇乐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35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材质：木质/木盒盒身尺寸：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18cm*21cm*3.7cm*1个，盖子尺寸：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17.6*20*0.2cm，材质：透明亚克力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骰子：2cm*2cm*2cm*18只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1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064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7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E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加减故事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9A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材质：软磁、铁纸底板/软磁：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17cm*18.5cm*1片，铁纸底板：27cm*19.5cm*1张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1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8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5A4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0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7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套筒</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7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材质：纸质/套筒尺寸：直径：3cm、4cm、5cm、6cm、7cm、8cm、9cm、10cm、11cm、12cm，高度 10cm，3*10cm、4*9.5cm、5*9cm、6*8.5cm、7*8cm、8*7.5cm、9*7cm、10*6.5cm、11*6cm、12*5.5cm。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F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2D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D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3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逛公园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1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材质：木质/木块尺寸：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0.8cm*0.3cm*2cm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18.5cm*26cm*2张，400克白卡。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F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C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D96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C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0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我们来统计</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2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材质：木质/挂板尺寸：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52.8cm*12cm*0.8cm*1块，挂件:</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3cm*3.6cm*40片                                                       绳子长度：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60cm*1根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材质：笔/白板笔：1支。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4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F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CC8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6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D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鼹鼠打地道</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06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材质：纸质/棋盘底板：（1）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37cm*26cm*1张，（2）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21cm*18cm*1张对裱；材质350克白卡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12.4cm*15cm。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B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2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324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F1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5386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3D62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87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2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特别的印章</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F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材质：木质/印章尺寸：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3.5cm*2cm*2.5cm*2个，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2.5cm*2cm*2.5cm*4个,点数那面为橡胶材质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5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64F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B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EE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叠一叠</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B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材质：木质/木片尺寸：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4cm*2.9cm*1.6cm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12cm*8.5cm，400克白卡。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5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25C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2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02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展开合拢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A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材质：塑料/长方体：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6*5*8cm，正方体：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8*8*8cm,圆锥：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8*8.7cm，三菱锥：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8*9cm，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正六棱柱：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4*8cm,圆柱体：</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7.8*8cm，正三棱柱：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8*9cm，四棱锥：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8*9.5cm，各一。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93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2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E70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12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5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种花</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52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21.7cm*14.5cm*1cm*1块，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24cm*10cm*1cm*1块，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木质小花：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5.5cm*3.5cm*0.7cm*72朵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12cm*8.5cm，400克白卡。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E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F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3AC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3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1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纽扣分分乐</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材质：软磁、铁纸底板/铁纸底板：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18.5cm*26cm*1张，软磁：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8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DF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893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B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2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比谁大</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82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材质：纸质/扑克牌：</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5.7cm*8.7cm。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D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4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745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E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41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洞洞磁片</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00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材质：软磁、铁纸底板/软磁*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26cm*18.5cm*2片，铁纸底板：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26cm*18.5cm*1张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C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620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2D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B1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形状密码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0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 /底盘尺寸：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12cm*10.5cm*0.8cm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材质：塑料/塑料片尺寸: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9cm*9cm，厚度：36丝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8.9cm*8.9cm，400克白卡。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33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7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9FF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D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9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时钟滴答滴</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E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材质：塑料/尺寸：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10.5cm*11cm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8.7cm*5.7cm，400克白卡。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4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751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5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8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拨珠架</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A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材质：木质/珠架尺寸：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12cm*5cm*3cm，含底座1块，木珠直径：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2.5cm*10个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材质：金属/U字形铁丝架：</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6.8cm*24cm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0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A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5C4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C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2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风车来了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23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材质：软磁、铁纸底板/软磁: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32cm*15cm*1片，铁纸底板：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37cm*15cm*1块，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74cm*15cm*1块。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90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5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2A4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7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0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加减数线</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2A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材质：木质/木尺尺寸：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22cm*3cm*2cm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21cm*28.5cm，350白卡对裱。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AD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4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080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6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3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照镜子拼图形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0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 /尺寸：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15cm*15cm*2.5cm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8cm*4cm，350克双铜。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8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0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A36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C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7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温馨的家</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1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材质：木质/底板尺寸：（1）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38cm*20cm*0.8cm*1块，（2）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38cm*12cm*0.4cm*1块，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18.5cm*12cm*0.4*1块，其余小家具配件共20个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材质：毛毡/毛毡尺寸：半圆形：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60cm*30mm*1，长方形：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90cm*50mm*1,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毛毡厚度：0.2cm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12.4cm*15cm，400克白卡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1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8E1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0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F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寻宝</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AE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0.3cm*0.8cm*2cm*1根，</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0.3cm*0.8cm*4cm*1根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材质：纸质/棋盘底板尺寸：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12cm*8.5cm，400克白卡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6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C1B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7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B3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完成购物清单</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8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材质：纸质/棋盘底板尺寸：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材质：软磁/尺寸：（1）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26cm*18.5cm*1张，</w:t>
            </w:r>
          </w:p>
          <w:p w14:paraId="6FD123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17.5cm*18.5cm*1张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10.5cm*9cm。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0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5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0C5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D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564D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5B62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2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1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数宝珠</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20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材质：塑料/串珠：（1）按1粒～9粒排列，共49粒，颜色如图，（2）共100粒，按每组10粒，共10组排列，桔色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8cm*8.5cm，400克白卡。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DA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903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F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CE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魔方</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E3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材质：木质/魔方：</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3cm*3cm*3cm*27块，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3cm*3cm*9cm*9块。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B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831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E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E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深深浅浅</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1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26cm*37cm，230克白卡对裱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材质：塑料/螺丝材质：塑料，颜色：白色，长度：1.1cm。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E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D20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4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CA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数棒里的秘密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E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32*25*1cm*1只，隔板：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30*23*0.4cm*1块、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2*2*2cm*55个、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2*2*4cm*1个、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2*2*6cm*1个、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2*2*8cm*1个、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2*2*10cm*1个、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2*2*12cm*1个、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2*2*14cm*1个、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2*2*16cm*1个、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2*2*18cm*1个、</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2*2*20cm*1个。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C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F9B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E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D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平均分一分</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C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材质：木质/木片尺寸：厚度：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0.4cm*82片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31.5cm*15cm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5C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C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D3B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2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0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神奇百数表</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5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26.5cm*26.5cm*1块，数字木片</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1.8cm*1.8cm*0.6cm*110片，遮挡条:厚度0.5cm*10块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材质：纸质/记录单：</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18.5cm*26cm，230克白卡。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C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5C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221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3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7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趣味数独</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4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材质：软磁、铁纸底板/软磁：</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18.5cm*18.5cm*2片，铁纸底板：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21cm*23.5cm*1张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18.5cm*26cm*4张，400克白卡。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C8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E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AA5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B6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F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数字棋</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D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材质：木质/数字棋：2个，</w:t>
            </w:r>
          </w:p>
          <w:p w14:paraId="4CFFD6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骰子 </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2.55cm*2.55cm*2.55cm*2个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9D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E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CE1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C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F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梦想游乐园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3A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材质：木质/棋子直径：</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5.5cm*2只，骰子尺寸：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2.55cm*2.55cm*2.55cm*1粒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材质：纸质/棋盘尺寸：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37cm*26cm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18.5cm*26cm*1张，</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18.5cm*23cm*1张，250白卡对裱。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C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2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951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1B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DD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迷宫大冒险</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13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材质：木质/底盒：2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9.5cm*29.5cm*3cm*1只，箭头：</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4cm*1.8cm*0.4cm*20个，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挡板：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2.7cm*2.7cm*0.4cm*85片,小人:</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5.5cm*2cm*1个，旗子：</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6cm*1.5cm*2个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12.4cm*15cm，400克白卡。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6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FA4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7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8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尺子量一量</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F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材质：木质/木尺尺寸：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20cm*3*0.4cm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材质：无纺布/布尺尺寸：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25cm*2mm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材质：纸质/任务卡：</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12cm*8.5cm，400克白卡。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E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433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2CA3E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46FE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魔力城堡</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32DD12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材质：木质/尺寸：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2cm*2cm*2cm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材质：纸质/底板：</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15*15cm*1块，卡片：（1）</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12cm*8.5cm*4张（2）</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17.9cm*8cm*7张(4)</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25.4cm*9.5cm*1张。</w:t>
            </w:r>
          </w:p>
        </w:tc>
        <w:tc>
          <w:tcPr>
            <w:tcW w:w="710"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138F8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5B9BD5" w:sz="4" w:space="0"/>
              <w:right w:val="single" w:color="000000" w:sz="4" w:space="0"/>
            </w:tcBorders>
            <w:shd w:val="clear" w:color="auto" w:fill="auto"/>
            <w:noWrap/>
            <w:vAlign w:val="center"/>
          </w:tcPr>
          <w:p w14:paraId="5EC2F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D2F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00B4D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备注</w:t>
            </w:r>
          </w:p>
        </w:tc>
        <w:tc>
          <w:tcPr>
            <w:tcW w:w="9022" w:type="dxa"/>
            <w:gridSpan w:val="4"/>
            <w:tcBorders>
              <w:top w:val="single" w:color="000000" w:sz="4" w:space="0"/>
              <w:left w:val="single" w:color="000000" w:sz="4" w:space="0"/>
              <w:bottom w:val="single" w:color="5B9BD5" w:sz="4" w:space="0"/>
              <w:right w:val="single" w:color="000000" w:sz="4" w:space="0"/>
            </w:tcBorders>
            <w:shd w:val="clear" w:color="auto" w:fill="FFFFFF"/>
            <w:vAlign w:val="center"/>
          </w:tcPr>
          <w:p w14:paraId="5C512E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上述产品</w:t>
            </w:r>
            <w:r>
              <w:rPr>
                <w:rFonts w:hint="eastAsia" w:ascii="宋体" w:hAnsi="宋体" w:eastAsia="宋体" w:cs="宋体"/>
                <w:i w:val="0"/>
                <w:iCs w:val="0"/>
                <w:color w:val="000000"/>
                <w:kern w:val="0"/>
                <w:sz w:val="21"/>
                <w:szCs w:val="21"/>
                <w:highlight w:val="none"/>
                <w:u w:val="none"/>
                <w:lang w:val="en-US" w:eastAsia="zh-CN" w:bidi="ar"/>
              </w:rPr>
              <w:t>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全、第4部分：特定元素的迁移》的相关标准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r>
      <w:tr w14:paraId="529F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auto"/>
            <w:vAlign w:val="center"/>
          </w:tcPr>
          <w:p w14:paraId="5A5EE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1554" w:type="dxa"/>
            <w:tcBorders>
              <w:top w:val="single" w:color="000000" w:sz="4" w:space="0"/>
              <w:left w:val="single" w:color="000000" w:sz="4" w:space="0"/>
              <w:bottom w:val="single" w:color="5B9BD5" w:sz="4" w:space="0"/>
              <w:right w:val="single" w:color="000000" w:sz="4" w:space="0"/>
            </w:tcBorders>
            <w:shd w:val="clear" w:color="auto" w:fill="auto"/>
            <w:vAlign w:val="center"/>
          </w:tcPr>
          <w:p w14:paraId="7FF7B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400片中型积木</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5FEFC7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材质:橡胶木。19种规格共计400片，6箱/套。全部整木无粘接，橡胶木材质。材质:橡胶木整木切无粘接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57.5*29.5*23.5cm（3箱）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57.5*29.5*19cm（3箱）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1.单元积木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35*70*140mm 140块2.半单元积木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35*70*70mm 34块3.双倍单元积木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35*70*280mm40块 4.4倍单元积木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35*70*560mm2块 5.柱形积木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35*35*280mm20块 6.半柱形积木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35*35*140mm10块 7.小圆柱体积木φ35*70mm18块 8.大圆柱体积木φ</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70*140mm8块 9.小1/4园环 内圆直径φ：140mm，外圆直径φ：280mm，厚：35mm12块 10.大1/4园环内圆直径φ：:280mm， 外圆直径φ：420mm， 厚：35mm12块 11.小三角形积木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70*70*35mm 10块 12.三角形积木</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140*70*35mm10块 13.斜坡积木 </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140*35*70mm 20块 14.双倍地板积木 280*70*17.5 mm20块 15.半圆环积木内圆直径φ：140mm外圆直径φ：280mm，厚：35mm4块 16.双倍大三角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280*70*35mm4块 17.直角式弯道积木及“X”形弯道积木 35*210*140mm 圆弧直径φ：140mm 外圆直径φ：280mm4块 18.十字转接积木 </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210*210*35mm 圆弧直径φ：140mm 4块 19.半圆积木直径φ：140mm  厚35 mm10块 。</w:t>
            </w:r>
          </w:p>
          <w:p w14:paraId="241F4D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▲产品符合GB 6675.1-2014《玩具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全、第1部分：基本规范》、GB 6675.2-2014《玩具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全、第2部分：物理与机械性能》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GB 6675.3-2014《玩具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全、第3部分：易燃性能》</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GB 6675.4-2014《 玩具</w:t>
            </w:r>
            <w:r>
              <w:rPr>
                <w:rFonts w:hint="eastAsia" w:ascii="宋体" w:hAnsi="宋体" w:cs="宋体"/>
                <w:i w:val="0"/>
                <w:iCs w:val="0"/>
                <w:color w:val="000000"/>
                <w:kern w:val="0"/>
                <w:sz w:val="21"/>
                <w:szCs w:val="21"/>
                <w:highlight w:val="none"/>
                <w:u w:val="none"/>
                <w:lang w:val="en-US" w:eastAsia="zh-CN" w:bidi="ar"/>
              </w:rPr>
              <w:t>安</w:t>
            </w:r>
            <w:r>
              <w:rPr>
                <w:rFonts w:hint="eastAsia" w:ascii="宋体" w:hAnsi="宋体" w:eastAsia="宋体" w:cs="宋体"/>
                <w:i w:val="0"/>
                <w:iCs w:val="0"/>
                <w:color w:val="000000"/>
                <w:kern w:val="0"/>
                <w:sz w:val="21"/>
                <w:szCs w:val="21"/>
                <w:highlight w:val="none"/>
                <w:u w:val="none"/>
                <w:lang w:val="en-US" w:eastAsia="zh-CN" w:bidi="ar"/>
              </w:rPr>
              <w:t>全、第</w:t>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部分：特定元素的迁移》的相关标准。</w:t>
            </w:r>
            <w:r>
              <w:rPr>
                <w:rFonts w:hint="eastAsia" w:ascii="宋体" w:hAnsi="宋体" w:cs="宋体"/>
                <w:i w:val="0"/>
                <w:iCs w:val="0"/>
                <w:color w:val="000000"/>
                <w:kern w:val="0"/>
                <w:sz w:val="21"/>
                <w:szCs w:val="21"/>
                <w:highlight w:val="none"/>
                <w:u w:val="none"/>
                <w:lang w:val="en-US" w:eastAsia="zh-CN" w:bidi="ar"/>
              </w:rPr>
              <w:t>需提供相关检测报告。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C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E8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672F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8602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DE3D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功能回力车（1套4种，各1辆。）</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313B11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优质木料</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9*3*3cm</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E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D85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1447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1554"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FD62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自行车</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4B10D3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6*2.5*4cm 4辆/套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B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6FB4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47A2B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1554"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CE18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摩托车</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4796D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6*2.5*4cm 4辆/套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07A9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EFAE7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4518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交通标识 </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727734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优质榉木，标志+底座总高约</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17-18cm 8个/套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3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7DE3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1EC6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FAA2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木头小人</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F8996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木质高:</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11cm 2个/套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6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4725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3A04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9064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指南针</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58AF23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合金</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φ7*0.8cm 2个/套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E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9FE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3F7E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5DC8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火车轨道小镇运输收纳套</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6E4C3E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1、产品材质：MDF、榉木、ABS、PP、PE、磁铁、金属。</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500x800x140H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3、产品配件：50个配件。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B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729A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5EDD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6EE8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几何体灵感积木套装</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A2CC0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1、产品材质：榉木。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圆和半圆尺寸-最大空心Ø150mm，最小实心Ø30mm；长方形尺寸-最大空心150x75mm，最小实心90x30mm；正方形尺寸-最大150x150mm，最小实心30x30mm；直角等腰三角形尺寸-最大空心直角边150mm，最小实心直角边30mm；积木块等高37.5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3、产品配件：1个木盒，圆形空心5个实心1个、半圆形空心5个实心1个、三角形空心3个实心1个、正方形空心5个实心1个，长方形空心3个实心1个，4条直板木条。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8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7BF0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DDF8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7FBF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拱形桥建构积木套装</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8E3EF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1、产品材质：榉木。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2、产品尺寸：最大半圆拱桥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Ø350x70x175H mm，最小半圆拱桥</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75x70x38H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3、产品配件：11 个半圆形轮廓积木， 1 个半圆实心积木。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E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64B3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239F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BDBE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清水积木块</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319037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1、产品材质：榉木。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2、产品尺寸：立方块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30x30x30H mm-30x30x60H mm-30x30x90H mm，长方块</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15x30x30H mm-15x30x60H mm-15x30下0H mm，等腰直角三角块直角边</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30x30mm，圆柱</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Ø30x60H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3、产品配件：32个正方块，40个长方块，14个三角块，14个圆柱。</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B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206B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3839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20B1C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中世纪城堡套</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473AD6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产品尺寸：包装尺寸：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675×340×100mm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配件清单：310块积木+5张眼睛贴纸+1份拼搭说明书+1张主题贴纸+1份折页。</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3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468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E973B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5D81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工程塔吊</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EA9C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产品尺寸：产品尺寸：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452×538×419mm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产品描述：大范围转向运作，超高幅度上下运载，霸气的吊塔让你的工程进展更加迅速。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BE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4EAC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8265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A221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攀爬塔</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10C4F1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产品尺寸：包装尺寸：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400x400x450mm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产品描述：攀爬塔是一款非常有趣的游戏，幼儿需要非常灵活和精巧地将球平衡托举到顶部，游戏可以单人 完成也可以组队完成。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5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137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2BB4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D2FF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竹球掉篓-经典献礼</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04D3C3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产品尺寸：包装尺寸：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240x240x320mm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产品描述：你能将棒子抽出并且不让任何一颗球掉下来么？这个有趣的游戏有三种不同的玩法，对应不同难度的技巧等级。它采用可持续的环保竹材。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D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4115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D790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FF12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足球游戏+冰球游戏</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72BF14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产品尺寸：产品尺寸：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616x655x100mm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产品描述：这是一款非常酷的双面桌游，一面是桌面足球争霸游戏，另一面是冰球联盟游戏。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A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1A62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000B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05BF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Akustiko</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声学教学盒</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53DB9F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530x270x120mm（木盒）</w:t>
            </w:r>
            <w:r>
              <w:rPr>
                <w:rFonts w:hint="eastAsia" w:ascii="宋体" w:hAnsi="宋体" w:cs="宋体"/>
                <w:i w:val="0"/>
                <w:iCs w:val="0"/>
                <w:color w:val="000000"/>
                <w:kern w:val="0"/>
                <w:sz w:val="21"/>
                <w:szCs w:val="21"/>
                <w:highlight w:val="none"/>
                <w:u w:val="none"/>
                <w:lang w:val="en-US" w:eastAsia="zh-CN" w:bidi="ar"/>
              </w:rPr>
              <w:t>、</w:t>
            </w:r>
          </w:p>
          <w:p w14:paraId="17E102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产品描述：在这款游戏中孩子们有机会尝试感受声音、声调和节奏，从而更好地理解声学现象。实验盒里面包含有16款关于击打乐器、鼓风器和弦乐器音调的有趣游戏和实验。配有教师指导用书。</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1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B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390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06690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291A5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科学物理实验台</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285D0A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黄色和灰色ABS、手柄灰色PP和黄色TPE、螺丝刀灰色PA扳手、灰色PA螺钉灰色PA长螺丝灰色PA短螺钉灰色PA止动螺母灰色尼龙螺母红色橡皮筋红白ABS、磁铁PE拍手ABS风扇PE手柄黑色PP天棚橙色PA和黑色ABS、小车轮橙色PA和黑色ABS、大车轮橙色PA和黑色ABS、2孔旋转器橙色PA和黑色ABS、3孔旋转器橙色PA和黑色ABS、大齿轮橙色功放盒橙色PA挂钩100%聚丙烯管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690x450x500~870H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通孔立方块x3，3通孔长方块x3，三角片x1，5孔连接臂x8，7孔连接臂x12，9孔连接臂x8，大齿轮x6，大滑轮x3，小滑轮x4，3孔连接件x1，2孔连接件x1，塑料斗x2，塑料挂钩x2，白色绳子x2，摇动把手x3，螺丝刀x3，扳手x2，无头螺杆x1，长螺杆x20，短螺杆x30，封口螺帽x10，螺帽x38，磁铁环x3，扇叶x3，扶手x4，跑马灯x1，环形皮筋x3，手掌x4，星球纸片x3，光学错觉片x1，操作台x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7B1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91C3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1C3B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恐龙骨骼匹配测量卡</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32970A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1、产品材质：PVC。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2、产品尺寸：单张卡片</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275x210mm。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3、产品配件：16张任务卡。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B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1CF2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456E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1B99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六阶-环游世界拼图游戏棋</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637BBB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1、产品材质：榉木、荷木、硬纸板。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2、产品尺寸：包装盒</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420x360x50H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3、产品配件：100片拼图、4块木制玩偶、1个骰子。</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7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0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253F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464ED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45F86F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亚克力积木块，28pcs</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4349BC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1、产品材质：亚克力。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2、产品尺寸：大长方形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80x40x20mm；小长方形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80x20x20mm；正方形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40x40x20mm；拱形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80x40x20mm；直角三角形</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77x40x20mm；半圆Ø38mm。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3、产品配件：大长方形6个，小长方形6个，正方形6个，拱形4个，直角三角形4个，半圆2个， 共28个。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8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14:paraId="0D8E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6EA6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4307DE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幼儿科学盒-水的秘密</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19991A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包装尺寸：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210x130x55mm；材质：塑料、纸、纺织物、EVA等。配件：弹珠x5，海盗船上层和下层，海盗的岛屿，2根海盗桅杆，2根橡皮筋，硬卡纸，塑料水母，宝物收藏袋，带盖的罐子，3个软木塞，滴管1根，木筏的桅杆，船帆2片，说明书一本。</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A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50BD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B4B3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B84C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魔法手指球套装</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654E65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365x365x150mm（框架）</w:t>
            </w:r>
          </w:p>
          <w:p w14:paraId="6B30A64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产品材质：榉木、MDF、纸卡。</w:t>
            </w:r>
          </w:p>
          <w:p w14:paraId="54591F4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产品的机械与物理性能：产品的可预见的合理滥用、材料、边缘、尖端均符合GB6675.2-2014标准的要求，提供对应的检测报告。</w:t>
            </w:r>
          </w:p>
          <w:p w14:paraId="346CCA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产品的基本规范：产品的易燃性能和安全标识均符合GB6675.1-2014和GB6675.3-2014标准的要求，提供检测报告。</w:t>
            </w:r>
          </w:p>
          <w:p w14:paraId="3D4113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产品材质的化学性能：产品中使用的涂层、木头、纸、塑料等材料均通过GB6675.4-2014标准中的可迁移元素检测，锑、砷、钡、镉、铬、铅、汞、硒八大重金属含量均低于限定值，提供检测报告。</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5394B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6B5F1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3</w:t>
            </w:r>
          </w:p>
        </w:tc>
      </w:tr>
      <w:tr w14:paraId="039C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4214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468119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缤纷几何透明卡，48pcs</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6CF917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 PET。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120x120mm/张。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3、产品配件：红黄蓝每个颜色各16片， 共48片。</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3EAB2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45539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1</w:t>
            </w:r>
          </w:p>
        </w:tc>
      </w:tr>
      <w:tr w14:paraId="5B28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15F84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878B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迷你彩色蛋糕托</w:t>
            </w:r>
          </w:p>
        </w:tc>
        <w:tc>
          <w:tcPr>
            <w:tcW w:w="6105" w:type="dxa"/>
            <w:tcBorders>
              <w:top w:val="single" w:color="000000" w:sz="4" w:space="0"/>
              <w:left w:val="single" w:color="000000" w:sz="4" w:space="0"/>
              <w:bottom w:val="single" w:color="5B9BD5" w:sz="4" w:space="0"/>
              <w:right w:val="single" w:color="000000" w:sz="4" w:space="0"/>
            </w:tcBorders>
            <w:shd w:val="clear" w:color="auto" w:fill="auto"/>
            <w:vAlign w:val="center"/>
          </w:tcPr>
          <w:p w14:paraId="6372AB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1、产品材质：食品防油纸。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Ø30x22H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3、产品配件：1400个迷你彩色手工蛋糕托。</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0A446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00639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1</w:t>
            </w:r>
          </w:p>
        </w:tc>
      </w:tr>
      <w:tr w14:paraId="1762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6D8C9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F060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70件套小班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7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一套包含</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60*40*36CM带盖子收纳箱1个和70件乐器分别为：6寸红色仿羊皮铃鼓5个，8寸红色彩虹手鼓 5个，6寸棒棒糖鼓 3个，20cm雨声响筒2个，红色磨砂塑料砂蛋5对，红色圆头砂球5对，红色卡通午板5对，红木鱼5付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橡木单响筒5 付，小号鱼蛙2付，红色卡通响板3个，6寸三角铁3 付，橡木手柄小号把碰钟5 对，橡木13棒铃 5个，红色透明串铃5对，六色舞蹈纱巾2套，绿盒8音砖 1套，教师指导用书2本，配套儿童音乐书本2本</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40C00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2313C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2</w:t>
            </w:r>
          </w:p>
        </w:tc>
      </w:tr>
      <w:tr w14:paraId="37C4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FE46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50A08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70件套中班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5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一套包含</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60*40*36CM带盖子收纳箱1个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和70件乐器分别为：绿边仿羊皮8寸铃鼓5 个，绿边8寸仿羊皮手鼓5个，绿边18CM拨浪鼓 3个，椰树木质沙筒2个，绿色木质砂蛋5对，绿色椭圆砂球5对，青蛙塑料午板5对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橡木单响筒5 付，橡木高低梆子5付，橡木双响筒5付，绿色节拍器3个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橡木手柄大号把碰钟3 对，8寸三角铁5 付，绿色圆形塑料花鼓圈2 个，牛皮5握铃5 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16孔木质口琴2个，手提箱8音砖1套，教师指导用书2本，儿童音乐配套书本2本，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60*40*36CM带盖子收纳箱1个</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655865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75F269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3</w:t>
            </w:r>
          </w:p>
        </w:tc>
      </w:tr>
      <w:tr w14:paraId="3271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11"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3A9B1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1554" w:type="dxa"/>
            <w:tcBorders>
              <w:top w:val="single" w:color="000000" w:sz="4" w:space="0"/>
              <w:left w:val="single" w:color="000000" w:sz="4" w:space="0"/>
              <w:bottom w:val="single" w:color="5B9BD5" w:sz="4" w:space="0"/>
              <w:right w:val="single" w:color="000000" w:sz="4" w:space="0"/>
            </w:tcBorders>
            <w:shd w:val="clear" w:color="auto" w:fill="FFFFFF"/>
            <w:vAlign w:val="center"/>
          </w:tcPr>
          <w:p w14:paraId="726C08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70件套大班</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B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一套包含</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60*40*36CM带盖子收纳箱1个和70件乐器分别为：8寸牛皮铃鼓5 个，8寸牛皮手鼓5个，韩国鼓1个，黄色木质沙筒2 个，橘色大号木质砂蛋5对，大号条纹砂球3 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橡木加沟单响筒5 付，橡木小号加沟双响筒5 付，橡木高中低梆子1 付，黄色彩带响棒5对，橙色塑料午板5对，小鱼梆子5 付，橡木手柄大号把碰钟5 对，4寸牛铃 1个，5寸牛铃1 个，6寸牛铃 1个，黄色五星塑料花鼓圈2个，织带腕铃5 对，榉木21棒铃 3个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黄盒25音琴 1台，教师指导用书2本，配套儿童音乐书本2本</w:t>
            </w:r>
          </w:p>
        </w:tc>
        <w:tc>
          <w:tcPr>
            <w:tcW w:w="710" w:type="dxa"/>
            <w:tcBorders>
              <w:top w:val="single" w:color="4472C4" w:sz="4" w:space="0"/>
              <w:left w:val="single" w:color="4472C4" w:sz="4" w:space="0"/>
              <w:bottom w:val="single" w:color="4472C4" w:sz="4" w:space="0"/>
              <w:right w:val="single" w:color="4472C4" w:sz="4" w:space="0"/>
            </w:tcBorders>
            <w:shd w:val="clear" w:color="auto" w:fill="auto"/>
            <w:vAlign w:val="center"/>
          </w:tcPr>
          <w:p w14:paraId="1AEDB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53" w:type="dxa"/>
            <w:tcBorders>
              <w:top w:val="single" w:color="4472C4" w:sz="4" w:space="0"/>
              <w:left w:val="single" w:color="4472C4" w:sz="4" w:space="0"/>
              <w:bottom w:val="single" w:color="4472C4" w:sz="4" w:space="0"/>
              <w:right w:val="single" w:color="4472C4" w:sz="4" w:space="0"/>
            </w:tcBorders>
            <w:shd w:val="clear" w:color="auto" w:fill="auto"/>
            <w:vAlign w:val="center"/>
          </w:tcPr>
          <w:p w14:paraId="1F389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color w:val="000000"/>
                <w:kern w:val="0"/>
                <w:sz w:val="21"/>
                <w:szCs w:val="21"/>
                <w:highlight w:val="none"/>
                <w:u w:val="none"/>
                <w:lang w:val="en-US" w:eastAsia="zh-CN" w:bidi="ar"/>
              </w:rPr>
              <w:t>1</w:t>
            </w:r>
          </w:p>
        </w:tc>
      </w:tr>
    </w:tbl>
    <w:p w14:paraId="5F6D58D1">
      <w:pPr>
        <w:widowControl/>
        <w:spacing w:line="360" w:lineRule="auto"/>
        <w:ind w:firstLine="482" w:firstLineChars="200"/>
        <w:rPr>
          <w:rFonts w:hint="eastAsia" w:ascii="Times New Roman" w:hAnsi="Times New Roman" w:eastAsia="宋体" w:cs="Times New Roman"/>
          <w:b/>
          <w:bCs/>
          <w:sz w:val="24"/>
          <w:highlight w:val="none"/>
          <w:lang w:eastAsia="zh-CN"/>
        </w:rPr>
      </w:pPr>
      <w:r>
        <w:rPr>
          <w:rFonts w:hint="eastAsia" w:ascii="Times New Roman" w:hAnsi="Times New Roman" w:cs="Times New Roman"/>
          <w:b/>
          <w:bCs/>
          <w:sz w:val="24"/>
          <w:highlight w:val="none"/>
          <w:lang w:eastAsia="zh-CN"/>
        </w:rPr>
        <w:t>（</w:t>
      </w:r>
      <w:r>
        <w:rPr>
          <w:rFonts w:hint="eastAsia" w:ascii="Times New Roman" w:hAnsi="Times New Roman" w:cs="Times New Roman"/>
          <w:b/>
          <w:bCs/>
          <w:sz w:val="24"/>
          <w:highlight w:val="none"/>
          <w:lang w:val="en-US" w:eastAsia="zh-CN"/>
        </w:rPr>
        <w:t>三</w:t>
      </w:r>
      <w:r>
        <w:rPr>
          <w:rFonts w:hint="eastAsia" w:ascii="Times New Roman" w:hAnsi="Times New Roman" w:cs="Times New Roman"/>
          <w:b/>
          <w:bCs/>
          <w:sz w:val="24"/>
          <w:highlight w:val="none"/>
          <w:lang w:eastAsia="zh-CN"/>
        </w:rPr>
        <w:t>）墙面玩具</w:t>
      </w:r>
    </w:p>
    <w:tbl>
      <w:tblPr>
        <w:tblStyle w:val="19"/>
        <w:tblW w:w="9792"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915"/>
        <w:gridCol w:w="5717"/>
        <w:gridCol w:w="729"/>
        <w:gridCol w:w="728"/>
      </w:tblGrid>
      <w:tr w14:paraId="3FF9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AF6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3DE">
            <w:pPr>
              <w:keepNext w:val="0"/>
              <w:keepLines w:val="0"/>
              <w:widowControl/>
              <w:suppressLineNumbers w:val="0"/>
              <w:jc w:val="center"/>
              <w:textAlignment w:val="center"/>
              <w:rPr>
                <w:rFonts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产品名称</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AAE">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规格参数</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C4B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3CE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51DB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1A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5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环保系列-农场</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C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39.5*39.5cm,材质：桦木，环保水性漆；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E5E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A2C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2FE4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9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0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环保系列-保护动物</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F8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39.5*39.5cm,材质：桦木，环保水性漆；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789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86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7936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B44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5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环保系列-垃圾分类</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8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39.5*39.5cm,材质：桦木，环保水性漆；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8E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5A2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5682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06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BD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环保系列-植树森林</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2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39.5*39.5cm,材质：桦木，环保水性漆；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2BE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6FD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06A3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3F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D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春天</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FF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54D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6A7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41DC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9F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1F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夏天</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8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3D7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217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71AD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0CE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0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秋天</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E0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13C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E73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192C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20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E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冬天</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9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10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D46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1FA0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18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9</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E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西洋乐器</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1A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87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1A4B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9D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古典乐器</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A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477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22B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r w14:paraId="3AEE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E5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11</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B3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现代乐器</w:t>
            </w:r>
          </w:p>
        </w:tc>
        <w:tc>
          <w:tcPr>
            <w:tcW w:w="5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39.5*59.5CM。材质：榉木、桦木。环保水性漆；</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6B1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F7D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r>
    </w:tbl>
    <w:p w14:paraId="54ED93D6">
      <w:pPr>
        <w:widowControl/>
        <w:spacing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二、付款进度要求</w:t>
      </w:r>
    </w:p>
    <w:p w14:paraId="4D41D357">
      <w:pPr>
        <w:widowControl/>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安装验收结束后</w:t>
      </w:r>
      <w:r>
        <w:rPr>
          <w:rFonts w:hint="default" w:ascii="Times New Roman" w:hAnsi="Times New Roman" w:eastAsia="宋体" w:cs="Times New Roman"/>
          <w:sz w:val="24"/>
          <w:highlight w:val="none"/>
          <w:lang w:val="en-US" w:eastAsia="zh-CN"/>
        </w:rPr>
        <w:t>全额支付货款</w:t>
      </w:r>
      <w:r>
        <w:rPr>
          <w:rFonts w:hint="default" w:ascii="Times New Roman" w:hAnsi="Times New Roman" w:eastAsia="宋体" w:cs="Times New Roman"/>
          <w:sz w:val="24"/>
          <w:highlight w:val="none"/>
        </w:rPr>
        <w:t>。</w:t>
      </w:r>
    </w:p>
    <w:p w14:paraId="0F94601C">
      <w:pPr>
        <w:widowControl/>
        <w:spacing w:line="360" w:lineRule="auto"/>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三、售后服务要求</w:t>
      </w:r>
    </w:p>
    <w:p w14:paraId="573FDE48">
      <w:pPr>
        <w:widowControl/>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1、项目所有设备</w:t>
      </w:r>
      <w:r>
        <w:rPr>
          <w:rFonts w:hint="eastAsia" w:cs="Times New Roman"/>
          <w:sz w:val="24"/>
          <w:highlight w:val="none"/>
          <w:lang w:val="en-US" w:eastAsia="zh-CN"/>
        </w:rPr>
        <w:t>三年</w:t>
      </w:r>
      <w:r>
        <w:rPr>
          <w:rFonts w:hint="default" w:ascii="Times New Roman" w:hAnsi="Times New Roman" w:eastAsia="宋体" w:cs="Times New Roman"/>
          <w:sz w:val="24"/>
          <w:highlight w:val="none"/>
        </w:rPr>
        <w:t>免费保修</w:t>
      </w:r>
    </w:p>
    <w:p w14:paraId="5A1A5F7E">
      <w:pPr>
        <w:widowControl/>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免费维保期为自验收次日起的</w:t>
      </w:r>
      <w:r>
        <w:rPr>
          <w:rFonts w:hint="eastAsia" w:cs="Times New Roman"/>
          <w:sz w:val="24"/>
          <w:highlight w:val="none"/>
          <w:lang w:val="en-US" w:eastAsia="zh-CN"/>
        </w:rPr>
        <w:t>三</w:t>
      </w:r>
      <w:r>
        <w:rPr>
          <w:rFonts w:hint="default" w:ascii="Times New Roman" w:hAnsi="Times New Roman" w:eastAsia="宋体" w:cs="Times New Roman"/>
          <w:sz w:val="24"/>
          <w:highlight w:val="none"/>
        </w:rPr>
        <w:t>年内，对合同范围内的所有设备因制造、安装、调试不当而引起的零部件或结构的缺陷或损坏、达不到性能指标以及出现事故等情况负全部责任，保证设备的正常运行。</w:t>
      </w:r>
    </w:p>
    <w:p w14:paraId="6E503355">
      <w:pPr>
        <w:widowControl/>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如果是设备、材料或安装出现质量问题，承担由于更换设备所发生的运输、保险、安装、检测等全部费用。</w:t>
      </w:r>
    </w:p>
    <w:p w14:paraId="5C957A3E">
      <w:pPr>
        <w:widowControl/>
        <w:spacing w:line="360" w:lineRule="auto"/>
        <w:ind w:firstLine="480" w:firstLineChars="200"/>
        <w:rPr>
          <w:rFonts w:hint="default" w:ascii="Times New Roman" w:hAnsi="Times New Roman" w:eastAsia="宋体" w:cs="Times New Roman"/>
          <w:sz w:val="24"/>
          <w:highlight w:val="none"/>
        </w:rPr>
      </w:pPr>
      <w:bookmarkStart w:id="134" w:name="_Toc410762550"/>
      <w:r>
        <w:rPr>
          <w:rFonts w:hint="default" w:ascii="Times New Roman" w:hAnsi="Times New Roman" w:eastAsia="宋体" w:cs="Times New Roman"/>
          <w:sz w:val="24"/>
          <w:highlight w:val="none"/>
        </w:rPr>
        <w:t>2、服务响应时间</w:t>
      </w:r>
      <w:bookmarkEnd w:id="134"/>
    </w:p>
    <w:p w14:paraId="465C1C94">
      <w:pPr>
        <w:widowControl/>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提供及时的本地化服务，提供2小时到达现场服务，提供电话服务，提供远程服务。实行技术人员与客户“一对一”服务，指派专人工程师长期跟踪服务，技术人员可以随时与其保持联系，进行沟通。</w:t>
      </w:r>
    </w:p>
    <w:p w14:paraId="6822B927">
      <w:pPr>
        <w:pStyle w:val="8"/>
        <w:rPr>
          <w:rFonts w:hint="default"/>
          <w:highlight w:val="none"/>
        </w:rPr>
      </w:pPr>
    </w:p>
    <w:p w14:paraId="32EA3B77">
      <w:pPr>
        <w:rPr>
          <w:rFonts w:hint="default" w:ascii="Times New Roman" w:hAnsi="Times New Roman" w:cs="Times New Roman"/>
          <w:b/>
          <w:sz w:val="36"/>
          <w:szCs w:val="36"/>
          <w:highlight w:val="none"/>
        </w:rPr>
      </w:pPr>
      <w:bookmarkStart w:id="135" w:name="_Toc7598"/>
      <w:bookmarkStart w:id="136" w:name="_Toc7430"/>
      <w:r>
        <w:rPr>
          <w:rFonts w:hint="default" w:ascii="Times New Roman" w:hAnsi="Times New Roman" w:cs="Times New Roman"/>
          <w:b/>
          <w:sz w:val="36"/>
          <w:szCs w:val="36"/>
          <w:highlight w:val="none"/>
        </w:rPr>
        <w:br w:type="page"/>
      </w:r>
    </w:p>
    <w:p w14:paraId="1E76675D">
      <w:pPr>
        <w:spacing w:before="240" w:beforeLines="100" w:after="240" w:afterLines="100"/>
        <w:jc w:val="center"/>
        <w:outlineLvl w:val="0"/>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rPr>
        <w:t>第四部分  磋商与评审办法</w:t>
      </w:r>
      <w:bookmarkEnd w:id="135"/>
      <w:bookmarkEnd w:id="136"/>
    </w:p>
    <w:p w14:paraId="10578965">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根据《中华人民共和国政府采购法》及其实施条例和《政府采购竞争性磋商采购方式管理暂行办法》（财政部财库【2014】215号文件）等法律法规规定，结合采购项目特点，制定本磋商内容和评审办法。</w:t>
      </w:r>
    </w:p>
    <w:p w14:paraId="3D4FCA2A">
      <w:pPr>
        <w:spacing w:line="360" w:lineRule="auto"/>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一、总则</w:t>
      </w:r>
    </w:p>
    <w:p w14:paraId="2889176D">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1.磋商原则</w:t>
      </w:r>
    </w:p>
    <w:p w14:paraId="7A32EE96">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1.1“公平、公正、择优、效益”为本次磋商的基本原则，磋商小组按照这一原则的要求，公正、平等地对待各供应商。同时，在磋商中恪守以下原则：</w:t>
      </w:r>
    </w:p>
    <w:p w14:paraId="1794B1A7">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（1）统一性原则：磋商小组将按照统一的磋商原则和方法，用统一标准进行评审。</w:t>
      </w:r>
    </w:p>
    <w:p w14:paraId="04DA1763">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（2）独立性原则：磋商工作在磋商小组内部独立进行，不受外界任何因素的干扰和影响。磋商小组成员对其出具的意见承担个人责任。</w:t>
      </w:r>
      <w:r>
        <w:rPr>
          <w:rFonts w:hint="default" w:ascii="Times New Roman" w:hAnsi="Times New Roman" w:cs="Times New Roman"/>
          <w:kern w:val="0"/>
          <w:sz w:val="24"/>
          <w:highlight w:val="none"/>
        </w:rPr>
        <w:t>供应商试图影响或干预评审的任何行为，将导致其丧失磋商的资格，并承担相应的法律责任。</w:t>
      </w:r>
    </w:p>
    <w:p w14:paraId="28044DD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（3）物有所值原则：通过第一轮的报价，激发供应商展开竞争，进一步优化方案，并使报价符合预期目标。</w:t>
      </w:r>
    </w:p>
    <w:p w14:paraId="5C0C68AD">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（4）客观性原则：磋商小组将严格按照磋商文件要求，对供应商的响应文件进行认真评审；磋商小组对响应文件的评审仅依据响应文件本身，而不依据响应文件以外的任何因素。</w:t>
      </w:r>
    </w:p>
    <w:p w14:paraId="2F37611A">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（5）保密性原则：采购代理机构应当采取必要的措施，保证评审在严格保密情况下进行。</w:t>
      </w:r>
    </w:p>
    <w:p w14:paraId="02FC9097">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（6）综合性原则：磋商小组将综合分析、评审供应商的各项指标，而不以单项指标的优劣评定出</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w:t>
      </w:r>
    </w:p>
    <w:p w14:paraId="53FBA35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1.2磋商小组有权对整个磋商和评审过程中出现的所有问题，可根据《中华人民共和国政府采购法》及实施条例和《政府采购竞争性磋商采购方式管理暂行办法》等相关规定进行处理。</w:t>
      </w:r>
    </w:p>
    <w:p w14:paraId="460817C0">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2.磋商人员职责</w:t>
      </w:r>
    </w:p>
    <w:p w14:paraId="40817511">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 磋商小组独立履行下列职责：</w:t>
      </w:r>
    </w:p>
    <w:p w14:paraId="51F62955">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（1）审查、评价响应文件是否符合磋商文件的商务、技术、服务等实质性要求；</w:t>
      </w:r>
    </w:p>
    <w:p w14:paraId="4ACD664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（2）要求供应商对响应文件有关事项作出解释或者澄清；</w:t>
      </w:r>
    </w:p>
    <w:p w14:paraId="45E45C15">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（3）与</w:t>
      </w:r>
      <w:r>
        <w:rPr>
          <w:rFonts w:hint="default" w:ascii="Times New Roman" w:hAnsi="Times New Roman" w:cs="Times New Roman"/>
          <w:sz w:val="24"/>
          <w:highlight w:val="none"/>
          <w:lang w:val="en-US" w:eastAsia="zh-CN"/>
        </w:rPr>
        <w:t>各</w:t>
      </w:r>
      <w:r>
        <w:rPr>
          <w:rFonts w:hint="default" w:ascii="Times New Roman" w:hAnsi="Times New Roman" w:cs="Times New Roman"/>
          <w:sz w:val="24"/>
          <w:highlight w:val="none"/>
        </w:rPr>
        <w:t>供应商进行技术和商务磋商；</w:t>
      </w:r>
    </w:p>
    <w:p w14:paraId="3AE8D1D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（4）对响应文件进行比较和评价；</w:t>
      </w:r>
    </w:p>
    <w:p w14:paraId="5052CF8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（5）推荐成交候选供应商名单，或者根据采购人委托直接确定成交供应商；</w:t>
      </w:r>
    </w:p>
    <w:p w14:paraId="45325485">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（6）向采购人、采购代理机构或者有关部门报告非法干预评审工作的行为。</w:t>
      </w:r>
    </w:p>
    <w:p w14:paraId="5F14ECA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2.2采购代理机构负责组织磋商工作并履行下列职责：</w:t>
      </w:r>
    </w:p>
    <w:p w14:paraId="6B7F854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（1）核对磋商小组成员身份和采购人代表授权函；</w:t>
      </w:r>
    </w:p>
    <w:p w14:paraId="78F9FEA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（2）宣布磋商纪律；</w:t>
      </w:r>
    </w:p>
    <w:p w14:paraId="054606D4">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（3）公布响应供应商名单，告知磋商小组成员应当回避的情形；</w:t>
      </w:r>
    </w:p>
    <w:p w14:paraId="713D17E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（4）组织磋商小组成员推选磋商小组组长，采购人代表不得担任组长；</w:t>
      </w:r>
    </w:p>
    <w:p w14:paraId="2E760113">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（5）集中保管磋商小组成员及现场工作人员的通讯工具；</w:t>
      </w:r>
    </w:p>
    <w:p w14:paraId="7E3A21A3">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（6）根据磋商小组的要求介绍政府采购相关政策法规、磋商文件；</w:t>
      </w:r>
    </w:p>
    <w:p w14:paraId="45C52244">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（7）维护磋商秩序，监督磋商小组依照磋商文件规定的磋商程序、评审方法和标准进行独立评审，对采购人代表、磋商小组成员的倾向性言论或违法违规行为及时制止和纠正；</w:t>
      </w:r>
    </w:p>
    <w:p w14:paraId="6850E910">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（8）核对磋商结果，有本章第11.8条规定情形的，要求磋商小组复核或书面说明理由，磋商小组拒绝的，应予记录并向采购人本级财政部门报告；</w:t>
      </w:r>
    </w:p>
    <w:p w14:paraId="1592F176">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（9）处理与磋商有关的其他事项。</w:t>
      </w:r>
    </w:p>
    <w:p w14:paraId="272C874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2.3采购人可以在磋商前介绍项目背景和采购需求，介绍内容不得含有歧视性、倾向性意见，不得超出磋商件所述范围。介绍应当提交书面介绍材料，并随采购文件一并存档。</w:t>
      </w:r>
    </w:p>
    <w:p w14:paraId="74E42A69">
      <w:pPr>
        <w:widowControl/>
        <w:autoSpaceDE w:val="0"/>
        <w:autoSpaceDN w:val="0"/>
        <w:spacing w:line="360" w:lineRule="auto"/>
        <w:ind w:right="51" w:firstLine="480" w:firstLineChars="200"/>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2.4磋商小组及其成员，在磋商中不得有下列行为：</w:t>
      </w:r>
    </w:p>
    <w:p w14:paraId="273940FF">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（1）确定参与磋商至磋商结束前私自接触供应商；</w:t>
      </w:r>
    </w:p>
    <w:p w14:paraId="3E9FD774">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（2）接受供应商提出的与磋商文件不一致的澄清和说明；</w:t>
      </w:r>
    </w:p>
    <w:p w14:paraId="757ABC29">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（3）征询采购人的倾向性意见；</w:t>
      </w:r>
    </w:p>
    <w:p w14:paraId="7D100826">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（4）对主观评审因素协商评分；</w:t>
      </w:r>
    </w:p>
    <w:p w14:paraId="541C6317">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（5）对客观评审因素评分不一致；</w:t>
      </w:r>
    </w:p>
    <w:p w14:paraId="72C1F9C5">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（6）在磋商过程中擅离职守，影响磋商程序正常进行的；</w:t>
      </w:r>
    </w:p>
    <w:p w14:paraId="311FD114">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（7）记录、复制或带走任何评审资料。</w:t>
      </w:r>
    </w:p>
    <w:p w14:paraId="3773B7C5">
      <w:pPr>
        <w:pStyle w:val="1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磋商小组成员有前款第一至四项行为之一的，其评审意见无效。</w:t>
      </w:r>
    </w:p>
    <w:p w14:paraId="4DDCABED">
      <w:pPr>
        <w:spacing w:line="360" w:lineRule="auto"/>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二、磋商步骤与评审方法</w:t>
      </w:r>
    </w:p>
    <w:p w14:paraId="53DD92D2">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3.响应文件初审</w:t>
      </w:r>
    </w:p>
    <w:p w14:paraId="2EFE131F">
      <w:pPr>
        <w:tabs>
          <w:tab w:val="left" w:pos="0"/>
        </w:tabs>
        <w:adjustRightInd w:val="0"/>
        <w:snapToGrid w:val="0"/>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3.1资格性审查</w:t>
      </w:r>
    </w:p>
    <w:p w14:paraId="5F623687">
      <w:pPr>
        <w:tabs>
          <w:tab w:val="left" w:pos="0"/>
        </w:tabs>
        <w:adjustRightInd w:val="0"/>
        <w:snapToGrid w:val="0"/>
        <w:spacing w:line="360" w:lineRule="auto"/>
        <w:ind w:firstLine="470" w:firstLineChars="196"/>
        <w:rPr>
          <w:rFonts w:hint="default" w:ascii="Times New Roman" w:hAnsi="Times New Roman" w:cs="Times New Roman"/>
          <w:b/>
          <w:bCs/>
          <w:sz w:val="24"/>
          <w:highlight w:val="none"/>
          <w:lang w:val="zh-CN"/>
        </w:rPr>
      </w:pPr>
      <w:r>
        <w:rPr>
          <w:rFonts w:hint="eastAsia" w:ascii="Times New Roman" w:hAnsi="Times New Roman" w:cs="Times New Roman"/>
          <w:sz w:val="24"/>
          <w:highlight w:val="none"/>
          <w:lang w:val="en-US" w:eastAsia="zh-CN"/>
        </w:rPr>
        <w:t>采购人或者采购代理机构组建资格审查小组，</w:t>
      </w:r>
      <w:r>
        <w:rPr>
          <w:rFonts w:hint="default" w:ascii="Times New Roman" w:hAnsi="Times New Roman" w:cs="Times New Roman"/>
          <w:sz w:val="24"/>
          <w:highlight w:val="none"/>
          <w:lang w:val="zh-CN"/>
        </w:rPr>
        <w:t>对响应文件正本中的供应商资格证明文件进行审查，资格审查时</w:t>
      </w:r>
      <w:r>
        <w:rPr>
          <w:rFonts w:hint="default" w:ascii="Times New Roman" w:hAnsi="Times New Roman" w:cs="Times New Roman"/>
          <w:b/>
          <w:bCs/>
          <w:sz w:val="24"/>
          <w:highlight w:val="none"/>
          <w:lang w:val="zh-CN"/>
        </w:rPr>
        <w:t>有1项不合格，评审不予通过，按无效标处理。</w:t>
      </w:r>
    </w:p>
    <w:tbl>
      <w:tblPr>
        <w:tblStyle w:val="19"/>
        <w:tblW w:w="9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336"/>
        <w:gridCol w:w="6641"/>
      </w:tblGrid>
      <w:tr w14:paraId="6BF9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shd w:val="clear" w:color="auto" w:fill="F2F2F2"/>
            <w:vAlign w:val="center"/>
          </w:tcPr>
          <w:p w14:paraId="125378B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序号</w:t>
            </w:r>
          </w:p>
        </w:tc>
        <w:tc>
          <w:tcPr>
            <w:tcW w:w="2336" w:type="dxa"/>
            <w:tcBorders>
              <w:tl2br w:val="nil"/>
              <w:tr2bl w:val="nil"/>
            </w:tcBorders>
            <w:shd w:val="clear" w:color="auto" w:fill="F2F2F2"/>
            <w:vAlign w:val="center"/>
          </w:tcPr>
          <w:p w14:paraId="202A1D5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资格项</w:t>
            </w:r>
          </w:p>
        </w:tc>
        <w:tc>
          <w:tcPr>
            <w:tcW w:w="6641" w:type="dxa"/>
            <w:tcBorders>
              <w:tl2br w:val="nil"/>
              <w:tr2bl w:val="nil"/>
            </w:tcBorders>
            <w:shd w:val="clear" w:color="auto" w:fill="F2F2F2"/>
            <w:vAlign w:val="center"/>
          </w:tcPr>
          <w:p w14:paraId="08CA0E1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审查内容</w:t>
            </w:r>
          </w:p>
        </w:tc>
      </w:tr>
      <w:tr w14:paraId="0D1D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051F9E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2336" w:type="dxa"/>
            <w:tcBorders>
              <w:tl2br w:val="nil"/>
              <w:tr2bl w:val="nil"/>
            </w:tcBorders>
            <w:vAlign w:val="center"/>
          </w:tcPr>
          <w:p w14:paraId="6000836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有效的主体资格证明</w:t>
            </w:r>
          </w:p>
        </w:tc>
        <w:tc>
          <w:tcPr>
            <w:tcW w:w="6641" w:type="dxa"/>
            <w:tcBorders>
              <w:tl2br w:val="nil"/>
              <w:tr2bl w:val="nil"/>
            </w:tcBorders>
            <w:vAlign w:val="center"/>
          </w:tcPr>
          <w:p w14:paraId="152E1628">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p>
        </w:tc>
      </w:tr>
      <w:tr w14:paraId="1A15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29E0AF35">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p>
        </w:tc>
        <w:tc>
          <w:tcPr>
            <w:tcW w:w="2336" w:type="dxa"/>
            <w:tcBorders>
              <w:tl2br w:val="nil"/>
              <w:tr2bl w:val="nil"/>
            </w:tcBorders>
            <w:vAlign w:val="center"/>
          </w:tcPr>
          <w:p w14:paraId="1D2BC2C8">
            <w:pPr>
              <w:pStyle w:val="61"/>
              <w:keepNext w:val="0"/>
              <w:keepLines w:val="0"/>
              <w:widowControl/>
              <w:suppressLineNumbers w:val="0"/>
              <w:kinsoku w:val="0"/>
              <w:autoSpaceDE w:val="0"/>
              <w:autoSpaceDN w:val="0"/>
              <w:adjustRightInd w:val="0"/>
              <w:snapToGrid w:val="0"/>
              <w:spacing w:before="0" w:beforeAutospacing="0" w:after="0" w:afterAutospacing="0" w:line="320" w:lineRule="exact"/>
              <w:ind w:left="0" w:right="0"/>
              <w:jc w:val="left"/>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pacing w:val="-1"/>
                <w:sz w:val="21"/>
                <w:szCs w:val="21"/>
                <w:highlight w:val="none"/>
                <w:lang w:eastAsia="zh-CN"/>
              </w:rPr>
              <w:t>主体资格证明：</w:t>
            </w:r>
          </w:p>
          <w:p w14:paraId="7D796641">
            <w:pPr>
              <w:pStyle w:val="61"/>
              <w:keepNext w:val="0"/>
              <w:keepLines w:val="0"/>
              <w:widowControl/>
              <w:suppressLineNumbers w:val="0"/>
              <w:kinsoku w:val="0"/>
              <w:autoSpaceDE w:val="0"/>
              <w:autoSpaceDN w:val="0"/>
              <w:adjustRightInd w:val="0"/>
              <w:snapToGrid w:val="0"/>
              <w:spacing w:before="0" w:beforeAutospacing="0" w:after="0" w:afterAutospacing="0" w:line="320" w:lineRule="exact"/>
              <w:ind w:left="0" w:right="0"/>
              <w:jc w:val="left"/>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pacing w:val="-3"/>
                <w:sz w:val="21"/>
                <w:szCs w:val="21"/>
                <w:highlight w:val="none"/>
                <w:lang w:eastAsia="zh-CN"/>
              </w:rPr>
              <w:t>(1)企业响应的：营业执照</w:t>
            </w:r>
          </w:p>
          <w:p w14:paraId="7D309811">
            <w:pPr>
              <w:pStyle w:val="61"/>
              <w:keepNext w:val="0"/>
              <w:keepLines w:val="0"/>
              <w:widowControl/>
              <w:suppressLineNumbers w:val="0"/>
              <w:kinsoku w:val="0"/>
              <w:autoSpaceDE w:val="0"/>
              <w:autoSpaceDN w:val="0"/>
              <w:adjustRightInd w:val="0"/>
              <w:snapToGrid w:val="0"/>
              <w:spacing w:before="0" w:beforeAutospacing="0" w:after="0" w:afterAutospacing="0" w:line="320" w:lineRule="exact"/>
              <w:ind w:left="0" w:right="0"/>
              <w:jc w:val="left"/>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pacing w:val="-3"/>
                <w:sz w:val="21"/>
                <w:szCs w:val="21"/>
                <w:highlight w:val="none"/>
                <w:lang w:eastAsia="zh-CN"/>
              </w:rPr>
              <w:t>(2)事业单位响应的：事业单位法人证书</w:t>
            </w:r>
          </w:p>
          <w:p w14:paraId="1AE95A82">
            <w:pPr>
              <w:pStyle w:val="61"/>
              <w:keepNext w:val="0"/>
              <w:keepLines w:val="0"/>
              <w:widowControl/>
              <w:suppressLineNumbers w:val="0"/>
              <w:kinsoku w:val="0"/>
              <w:autoSpaceDE w:val="0"/>
              <w:autoSpaceDN w:val="0"/>
              <w:adjustRightInd w:val="0"/>
              <w:snapToGrid w:val="0"/>
              <w:spacing w:before="0" w:beforeAutospacing="0" w:after="0" w:afterAutospacing="0" w:line="320" w:lineRule="exact"/>
              <w:ind w:left="0" w:right="0"/>
              <w:jc w:val="left"/>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pacing w:val="-3"/>
                <w:sz w:val="21"/>
                <w:szCs w:val="21"/>
                <w:highlight w:val="none"/>
                <w:lang w:eastAsia="zh-CN"/>
              </w:rPr>
              <w:t>(3)其他组织响应的：登记证书</w:t>
            </w:r>
          </w:p>
          <w:p w14:paraId="50206C19">
            <w:pPr>
              <w:pStyle w:val="61"/>
              <w:keepNext w:val="0"/>
              <w:keepLines w:val="0"/>
              <w:widowControl/>
              <w:suppressLineNumbers w:val="0"/>
              <w:kinsoku w:val="0"/>
              <w:autoSpaceDE w:val="0"/>
              <w:autoSpaceDN w:val="0"/>
              <w:adjustRightInd w:val="0"/>
              <w:snapToGrid w:val="0"/>
              <w:spacing w:before="0" w:beforeAutospacing="0" w:after="0" w:afterAutospacing="0" w:line="320" w:lineRule="exact"/>
              <w:ind w:left="0" w:right="0"/>
              <w:jc w:val="left"/>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pacing w:val="-2"/>
                <w:sz w:val="21"/>
                <w:szCs w:val="21"/>
                <w:highlight w:val="none"/>
                <w:lang w:eastAsia="zh-CN"/>
              </w:rPr>
              <w:t>(4)个体工商户响应的：个体工商户营业执照</w:t>
            </w:r>
          </w:p>
          <w:p w14:paraId="08DD1872">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szCs w:val="21"/>
                <w:highlight w:val="none"/>
              </w:rPr>
            </w:pPr>
            <w:r>
              <w:rPr>
                <w:rFonts w:hint="default" w:ascii="Times New Roman" w:hAnsi="Times New Roman" w:eastAsia="宋体" w:cs="Times New Roman"/>
                <w:spacing w:val="-1"/>
                <w:szCs w:val="21"/>
                <w:highlight w:val="none"/>
              </w:rPr>
              <w:t>(5)自然人响应的：身份证</w:t>
            </w:r>
          </w:p>
        </w:tc>
        <w:tc>
          <w:tcPr>
            <w:tcW w:w="6641" w:type="dxa"/>
            <w:tcBorders>
              <w:tl2br w:val="nil"/>
              <w:tr2bl w:val="nil"/>
            </w:tcBorders>
            <w:vAlign w:val="center"/>
          </w:tcPr>
          <w:p w14:paraId="4B2A953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 供应商属企业法人的，其营业执照，不审查原件，通过国家企业信用信息公示系统（http://www.gsxt.gov.cn/index.html）进行相关信息的核实；</w:t>
            </w:r>
          </w:p>
          <w:p w14:paraId="5FA9753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（2）供应商属事业单位的，审查事业单位法人证书；</w:t>
            </w:r>
          </w:p>
          <w:p w14:paraId="0D0F188C">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（3）供应商属于其他组织的（包括但不限于民办非企业单位登记证书、社会团体法人登记证书、基金会法人登记证书），审查登记证书；</w:t>
            </w:r>
          </w:p>
          <w:p w14:paraId="5C4E195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（4）供应商属于个体工商户的，其个体工商户营业执照，不审查原件，通过国家企业信用信息公示系统（http://www.gsxt.gov.cn/index.html）进行相关信息的核实；</w:t>
            </w:r>
          </w:p>
          <w:p w14:paraId="1E3DD8A3">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（5）供应商属于自然人的，审查身份证。</w:t>
            </w:r>
          </w:p>
        </w:tc>
      </w:tr>
      <w:tr w14:paraId="26B8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48EBD4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2336" w:type="dxa"/>
            <w:tcBorders>
              <w:tl2br w:val="nil"/>
              <w:tr2bl w:val="nil"/>
            </w:tcBorders>
            <w:vAlign w:val="center"/>
          </w:tcPr>
          <w:p w14:paraId="74085E4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财务状况报告</w:t>
            </w:r>
          </w:p>
        </w:tc>
        <w:tc>
          <w:tcPr>
            <w:tcW w:w="6641" w:type="dxa"/>
            <w:tcBorders>
              <w:tl2br w:val="nil"/>
              <w:tr2bl w:val="nil"/>
            </w:tcBorders>
            <w:vAlign w:val="center"/>
          </w:tcPr>
          <w:p w14:paraId="201F5D4E">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提供2024年度经审计的财务审计报告(包括审计报告、资产负债表、利润表、现金流量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tc>
      </w:tr>
      <w:tr w14:paraId="6F98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582190D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2336" w:type="dxa"/>
            <w:tcBorders>
              <w:tl2br w:val="nil"/>
              <w:tr2bl w:val="nil"/>
            </w:tcBorders>
            <w:vAlign w:val="center"/>
          </w:tcPr>
          <w:p w14:paraId="51DEB20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社保资金缴纳</w:t>
            </w:r>
          </w:p>
          <w:p w14:paraId="2DF8292D">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证明</w:t>
            </w:r>
          </w:p>
        </w:tc>
        <w:tc>
          <w:tcPr>
            <w:tcW w:w="6641" w:type="dxa"/>
            <w:tcBorders>
              <w:tl2br w:val="nil"/>
              <w:tr2bl w:val="nil"/>
            </w:tcBorders>
            <w:vAlign w:val="center"/>
          </w:tcPr>
          <w:p w14:paraId="5158AE7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提供投标截止时间前一年内至少一个月的社会保障资金缴存凭证或社保机构开具的社会保险参保缴费情况证明，依法不需要缴纳社会保障资金的单位应提供相关证明材料</w:t>
            </w:r>
            <w:r>
              <w:rPr>
                <w:rFonts w:hint="default" w:ascii="Times New Roman" w:hAnsi="Times New Roman" w:eastAsia="宋体" w:cs="Times New Roman"/>
                <w:szCs w:val="21"/>
                <w:highlight w:val="none"/>
                <w:lang w:eastAsia="zh-CN"/>
              </w:rPr>
              <w:t>。</w:t>
            </w:r>
          </w:p>
        </w:tc>
      </w:tr>
      <w:tr w14:paraId="5D3B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29B1C3A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p>
        </w:tc>
        <w:tc>
          <w:tcPr>
            <w:tcW w:w="2336" w:type="dxa"/>
            <w:tcBorders>
              <w:tl2br w:val="nil"/>
              <w:tr2bl w:val="nil"/>
            </w:tcBorders>
            <w:vAlign w:val="center"/>
          </w:tcPr>
          <w:p w14:paraId="342FE22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税收缴纳证明</w:t>
            </w:r>
          </w:p>
        </w:tc>
        <w:tc>
          <w:tcPr>
            <w:tcW w:w="6641" w:type="dxa"/>
            <w:tcBorders>
              <w:tl2br w:val="nil"/>
              <w:tr2bl w:val="nil"/>
            </w:tcBorders>
            <w:vAlign w:val="center"/>
          </w:tcPr>
          <w:p w14:paraId="7D674517">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提供投标截止时间前一年内的至少一个月的纳税证明或完税证明（任意税种），依法免税的单位应提供相关证明材料</w:t>
            </w:r>
            <w:r>
              <w:rPr>
                <w:rFonts w:hint="default" w:ascii="Times New Roman" w:hAnsi="Times New Roman" w:eastAsia="宋体" w:cs="Times New Roman"/>
                <w:szCs w:val="21"/>
                <w:highlight w:val="none"/>
                <w:lang w:eastAsia="zh-CN"/>
              </w:rPr>
              <w:t>。</w:t>
            </w:r>
          </w:p>
        </w:tc>
      </w:tr>
      <w:tr w14:paraId="5795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6E008DA1">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w:t>
            </w:r>
          </w:p>
        </w:tc>
        <w:tc>
          <w:tcPr>
            <w:tcW w:w="2336" w:type="dxa"/>
            <w:tcBorders>
              <w:tl2br w:val="nil"/>
              <w:tr2bl w:val="nil"/>
            </w:tcBorders>
            <w:vAlign w:val="center"/>
          </w:tcPr>
          <w:p w14:paraId="545F822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无重大违法记录声明</w:t>
            </w:r>
          </w:p>
        </w:tc>
        <w:tc>
          <w:tcPr>
            <w:tcW w:w="6641" w:type="dxa"/>
            <w:tcBorders>
              <w:tl2br w:val="nil"/>
              <w:tr2bl w:val="nil"/>
            </w:tcBorders>
            <w:vAlign w:val="center"/>
          </w:tcPr>
          <w:p w14:paraId="4C9D01C2">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参加采购活动近三年内经营活动中无重大违法记录声明</w:t>
            </w:r>
            <w:r>
              <w:rPr>
                <w:rFonts w:hint="default" w:ascii="Times New Roman" w:hAnsi="Times New Roman" w:eastAsia="宋体" w:cs="Times New Roman"/>
                <w:szCs w:val="21"/>
                <w:highlight w:val="none"/>
                <w:lang w:eastAsia="zh-CN"/>
              </w:rPr>
              <w:t>。</w:t>
            </w:r>
          </w:p>
        </w:tc>
      </w:tr>
      <w:tr w14:paraId="2509A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68554ECE">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2336" w:type="dxa"/>
            <w:tcBorders>
              <w:tl2br w:val="nil"/>
              <w:tr2bl w:val="nil"/>
            </w:tcBorders>
            <w:shd w:val="clear" w:color="auto" w:fill="auto"/>
            <w:vAlign w:val="center"/>
          </w:tcPr>
          <w:p w14:paraId="1A69A0A6">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书面声明</w:t>
            </w:r>
          </w:p>
        </w:tc>
        <w:tc>
          <w:tcPr>
            <w:tcW w:w="6641" w:type="dxa"/>
            <w:tcBorders>
              <w:tl2br w:val="nil"/>
              <w:tr2bl w:val="nil"/>
            </w:tcBorders>
            <w:shd w:val="clear" w:color="auto" w:fill="auto"/>
            <w:vAlign w:val="top"/>
          </w:tcPr>
          <w:p w14:paraId="4070C90B">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Cs w:val="21"/>
                <w:highlight w:val="none"/>
              </w:rPr>
              <w:t>提供书面声明，包括声明具有履行合同所必需的设备和专业技术能力；未为本项目提供整体设计、规范编制或者项目管理、监理、检测等服务。</w:t>
            </w:r>
          </w:p>
        </w:tc>
      </w:tr>
      <w:tr w14:paraId="5851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5C518E7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7</w:t>
            </w:r>
          </w:p>
        </w:tc>
        <w:tc>
          <w:tcPr>
            <w:tcW w:w="2336" w:type="dxa"/>
            <w:tcBorders>
              <w:tl2br w:val="nil"/>
              <w:tr2bl w:val="nil"/>
            </w:tcBorders>
            <w:vAlign w:val="center"/>
          </w:tcPr>
          <w:p w14:paraId="4EB0971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控股管理关系</w:t>
            </w:r>
          </w:p>
        </w:tc>
        <w:tc>
          <w:tcPr>
            <w:tcW w:w="6641" w:type="dxa"/>
            <w:tcBorders>
              <w:tl2br w:val="nil"/>
              <w:tr2bl w:val="nil"/>
            </w:tcBorders>
          </w:tcPr>
          <w:p w14:paraId="47171149">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提供直接控股和管理关系清单。若与其他供应商存在单位负责人为同一人或者存在直接控股、管理关系的，则响应无效。</w:t>
            </w:r>
          </w:p>
        </w:tc>
      </w:tr>
      <w:tr w14:paraId="25639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329FAE3A">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p>
        </w:tc>
        <w:tc>
          <w:tcPr>
            <w:tcW w:w="2336" w:type="dxa"/>
            <w:tcBorders>
              <w:tl2br w:val="nil"/>
              <w:tr2bl w:val="nil"/>
            </w:tcBorders>
            <w:vAlign w:val="center"/>
          </w:tcPr>
          <w:p w14:paraId="59DEDD8F">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法定代表人（主要负责人）委托授权书\身份证明</w:t>
            </w:r>
          </w:p>
        </w:tc>
        <w:tc>
          <w:tcPr>
            <w:tcW w:w="6641" w:type="dxa"/>
            <w:tcBorders>
              <w:tl2br w:val="nil"/>
              <w:tr2bl w:val="nil"/>
            </w:tcBorders>
            <w:vAlign w:val="center"/>
          </w:tcPr>
          <w:p w14:paraId="7B9BE386">
            <w:pPr>
              <w:keepNext w:val="0"/>
              <w:keepLines w:val="0"/>
              <w:suppressLineNumbers w:val="0"/>
              <w:spacing w:before="0" w:beforeAutospacing="0" w:after="0" w:afterAutospacing="0" w:line="320" w:lineRule="exact"/>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法定代表人（主要负责人）委托代理人参加</w:t>
            </w:r>
            <w:r>
              <w:rPr>
                <w:rFonts w:hint="default" w:ascii="Times New Roman" w:hAnsi="Times New Roman" w:eastAsia="宋体" w:cs="Times New Roman"/>
                <w:szCs w:val="21"/>
                <w:highlight w:val="none"/>
                <w:lang w:val="en-US" w:eastAsia="zh-CN"/>
              </w:rPr>
              <w:t>磋商</w:t>
            </w:r>
            <w:r>
              <w:rPr>
                <w:rFonts w:hint="default" w:ascii="Times New Roman" w:hAnsi="Times New Roman" w:eastAsia="宋体" w:cs="Times New Roman"/>
                <w:szCs w:val="21"/>
                <w:highlight w:val="none"/>
              </w:rPr>
              <w:t>时，应提供法定代表人（主要负责人）委托授权书；法定代表人（主要负责人）亲自参加</w:t>
            </w:r>
            <w:r>
              <w:rPr>
                <w:rFonts w:hint="default" w:ascii="Times New Roman" w:hAnsi="Times New Roman" w:eastAsia="宋体" w:cs="Times New Roman"/>
                <w:szCs w:val="21"/>
                <w:highlight w:val="none"/>
                <w:lang w:val="en-US" w:eastAsia="zh-CN"/>
              </w:rPr>
              <w:t>磋商</w:t>
            </w:r>
            <w:r>
              <w:rPr>
                <w:rFonts w:hint="default" w:ascii="Times New Roman" w:hAnsi="Times New Roman" w:eastAsia="宋体" w:cs="Times New Roman"/>
                <w:szCs w:val="21"/>
                <w:highlight w:val="none"/>
              </w:rPr>
              <w:t>时，应提供法定代表人（主要负责人）身份证明书。</w:t>
            </w:r>
          </w:p>
        </w:tc>
      </w:tr>
      <w:tr w14:paraId="2267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3441D87">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szCs w:val="21"/>
                <w:highlight w:val="none"/>
                <w:lang w:eastAsia="zh-CN"/>
              </w:rPr>
            </w:pPr>
            <w:r>
              <w:rPr>
                <w:rFonts w:hint="eastAsia" w:cs="Times New Roman"/>
                <w:szCs w:val="21"/>
                <w:highlight w:val="none"/>
                <w:lang w:val="en-US" w:eastAsia="zh-CN"/>
              </w:rPr>
              <w:t>9</w:t>
            </w:r>
          </w:p>
        </w:tc>
        <w:tc>
          <w:tcPr>
            <w:tcW w:w="2336" w:type="dxa"/>
            <w:tcBorders>
              <w:tl2br w:val="nil"/>
              <w:tr2bl w:val="nil"/>
            </w:tcBorders>
            <w:vAlign w:val="center"/>
          </w:tcPr>
          <w:p w14:paraId="7C372B17">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联合体响应及分包</w:t>
            </w:r>
          </w:p>
        </w:tc>
        <w:tc>
          <w:tcPr>
            <w:tcW w:w="6641" w:type="dxa"/>
            <w:tcBorders>
              <w:tl2br w:val="nil"/>
              <w:tr2bl w:val="nil"/>
            </w:tcBorders>
            <w:vAlign w:val="center"/>
          </w:tcPr>
          <w:p w14:paraId="5B3FF86C">
            <w:pPr>
              <w:keepNext w:val="0"/>
              <w:keepLines w:val="0"/>
              <w:suppressLineNumbers w:val="0"/>
              <w:spacing w:before="0" w:beforeAutospacing="0" w:after="0" w:afterAutospacing="0" w:line="360" w:lineRule="exact"/>
              <w:ind w:left="0" w:right="0"/>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本项目不接受联合体响应，不允许分包。供应商应提供《非联合体不分包投标声明》，视为独立投标，不分包。</w:t>
            </w:r>
          </w:p>
        </w:tc>
      </w:tr>
      <w:tr w14:paraId="18510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813" w:type="dxa"/>
            <w:gridSpan w:val="3"/>
            <w:tcBorders>
              <w:tl2br w:val="nil"/>
              <w:tr2bl w:val="nil"/>
            </w:tcBorders>
            <w:vAlign w:val="center"/>
          </w:tcPr>
          <w:p w14:paraId="32D9AD11">
            <w:pPr>
              <w:keepNext w:val="0"/>
              <w:keepLines w:val="0"/>
              <w:suppressLineNumbers w:val="0"/>
              <w:spacing w:before="0" w:beforeAutospacing="0" w:after="0" w:afterAutospacing="0" w:line="360" w:lineRule="exact"/>
              <w:ind w:left="0" w:right="0"/>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评定结果：以上内容有一项不符合要求，则资格审查评定为不合格。</w:t>
            </w:r>
          </w:p>
        </w:tc>
      </w:tr>
    </w:tbl>
    <w:p w14:paraId="0EE7B6E1">
      <w:pPr>
        <w:pStyle w:val="8"/>
        <w:jc w:val="both"/>
        <w:rPr>
          <w:rFonts w:hint="default"/>
          <w:highlight w:val="none"/>
        </w:rPr>
      </w:pPr>
    </w:p>
    <w:p w14:paraId="48E643BC">
      <w:pPr>
        <w:tabs>
          <w:tab w:val="left" w:pos="0"/>
        </w:tabs>
        <w:adjustRightInd w:val="0"/>
        <w:snapToGrid w:val="0"/>
        <w:spacing w:line="360" w:lineRule="auto"/>
        <w:ind w:firstLine="470" w:firstLineChars="196"/>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3.2符合性审查</w:t>
      </w:r>
    </w:p>
    <w:p w14:paraId="2318676B">
      <w:pPr>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磋商小组依据磋商文件的规定，对符合资格条件的供应商的磋商响应文件进行有效性、完整性和对磋商文件的响应程度审查，具体审查内容如下：</w:t>
      </w:r>
    </w:p>
    <w:tbl>
      <w:tblPr>
        <w:tblStyle w:val="1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045"/>
        <w:gridCol w:w="4539"/>
      </w:tblGrid>
      <w:tr w14:paraId="2C17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5" w:type="dxa"/>
            <w:gridSpan w:val="2"/>
            <w:tcBorders>
              <w:top w:val="single" w:color="auto" w:sz="4" w:space="0"/>
              <w:left w:val="single" w:color="auto" w:sz="4" w:space="0"/>
              <w:bottom w:val="single" w:color="auto" w:sz="4" w:space="0"/>
              <w:right w:val="single" w:color="auto" w:sz="4" w:space="0"/>
            </w:tcBorders>
            <w:vAlign w:val="center"/>
          </w:tcPr>
          <w:p w14:paraId="5ABD3712">
            <w:pPr>
              <w:spacing w:line="360" w:lineRule="exact"/>
              <w:ind w:firstLine="420" w:firstLineChars="200"/>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实质性条款</w:t>
            </w:r>
          </w:p>
        </w:tc>
        <w:tc>
          <w:tcPr>
            <w:tcW w:w="4539" w:type="dxa"/>
            <w:tcBorders>
              <w:top w:val="single" w:color="auto" w:sz="4" w:space="0"/>
              <w:left w:val="single" w:color="auto" w:sz="4" w:space="0"/>
              <w:bottom w:val="single" w:color="auto" w:sz="4" w:space="0"/>
              <w:right w:val="single" w:color="auto" w:sz="4" w:space="0"/>
            </w:tcBorders>
            <w:vAlign w:val="center"/>
          </w:tcPr>
          <w:p w14:paraId="5E93469E">
            <w:pPr>
              <w:spacing w:line="360" w:lineRule="exact"/>
              <w:ind w:firstLine="420" w:firstLineChars="200"/>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通过条件</w:t>
            </w:r>
          </w:p>
        </w:tc>
      </w:tr>
      <w:tr w14:paraId="7A5E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20" w:type="dxa"/>
            <w:vMerge w:val="restart"/>
            <w:tcBorders>
              <w:top w:val="single" w:color="auto" w:sz="4" w:space="0"/>
              <w:left w:val="single" w:color="auto" w:sz="4" w:space="0"/>
              <w:right w:val="single" w:color="auto" w:sz="4" w:space="0"/>
            </w:tcBorders>
            <w:vAlign w:val="center"/>
          </w:tcPr>
          <w:p w14:paraId="29F98038">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lang w:val="zh-CN"/>
              </w:rPr>
              <w:t>有效性审查</w:t>
            </w:r>
          </w:p>
        </w:tc>
        <w:tc>
          <w:tcPr>
            <w:tcW w:w="3045" w:type="dxa"/>
            <w:tcBorders>
              <w:top w:val="single" w:color="auto" w:sz="4" w:space="0"/>
              <w:left w:val="single" w:color="auto" w:sz="4" w:space="0"/>
              <w:right w:val="single" w:color="auto" w:sz="4" w:space="0"/>
            </w:tcBorders>
            <w:vAlign w:val="center"/>
          </w:tcPr>
          <w:p w14:paraId="15FD4E4A">
            <w:pPr>
              <w:spacing w:line="360" w:lineRule="exact"/>
              <w:jc w:val="center"/>
              <w:rPr>
                <w:rFonts w:hint="default" w:ascii="Times New Roman" w:hAnsi="Times New Roman" w:cs="Times New Roman"/>
                <w:bCs/>
                <w:szCs w:val="21"/>
                <w:highlight w:val="none"/>
                <w:lang w:val="zh-CN"/>
              </w:rPr>
            </w:pPr>
            <w:r>
              <w:rPr>
                <w:rFonts w:hint="default" w:ascii="Times New Roman" w:hAnsi="Times New Roman" w:cs="Times New Roman"/>
                <w:bCs/>
                <w:szCs w:val="21"/>
                <w:highlight w:val="none"/>
              </w:rPr>
              <w:t>磋商</w:t>
            </w:r>
            <w:r>
              <w:rPr>
                <w:rFonts w:hint="default" w:ascii="Times New Roman" w:hAnsi="Times New Roman" w:cs="Times New Roman"/>
                <w:szCs w:val="21"/>
                <w:highlight w:val="none"/>
              </w:rPr>
              <w:t>响应文件的签署盖章</w:t>
            </w:r>
          </w:p>
        </w:tc>
        <w:tc>
          <w:tcPr>
            <w:tcW w:w="4539" w:type="dxa"/>
            <w:tcBorders>
              <w:top w:val="single" w:color="auto" w:sz="4" w:space="0"/>
              <w:left w:val="single" w:color="auto" w:sz="4" w:space="0"/>
              <w:bottom w:val="single" w:color="auto" w:sz="4" w:space="0"/>
              <w:right w:val="single" w:color="auto" w:sz="4" w:space="0"/>
            </w:tcBorders>
            <w:vAlign w:val="center"/>
          </w:tcPr>
          <w:p w14:paraId="22A9AD0C">
            <w:pPr>
              <w:spacing w:line="360" w:lineRule="exact"/>
              <w:rPr>
                <w:rFonts w:hint="default" w:ascii="Times New Roman" w:hAnsi="Times New Roman" w:cs="Times New Roman"/>
                <w:bCs/>
                <w:szCs w:val="21"/>
                <w:highlight w:val="none"/>
              </w:rPr>
            </w:pPr>
            <w:r>
              <w:rPr>
                <w:rFonts w:hint="default" w:ascii="Times New Roman" w:hAnsi="Times New Roman" w:cs="Times New Roman"/>
                <w:bCs/>
                <w:szCs w:val="21"/>
                <w:highlight w:val="none"/>
              </w:rPr>
              <w:t>均符合磋商文件要求。</w:t>
            </w:r>
          </w:p>
        </w:tc>
      </w:tr>
      <w:tr w14:paraId="772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20" w:type="dxa"/>
            <w:vMerge w:val="continue"/>
            <w:tcBorders>
              <w:left w:val="single" w:color="auto" w:sz="4" w:space="0"/>
              <w:right w:val="single" w:color="auto" w:sz="4" w:space="0"/>
            </w:tcBorders>
            <w:vAlign w:val="center"/>
          </w:tcPr>
          <w:p w14:paraId="11048C56">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54FF2C45">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磋商</w:t>
            </w:r>
            <w:r>
              <w:rPr>
                <w:rFonts w:hint="default" w:ascii="Times New Roman" w:hAnsi="Times New Roman" w:cs="Times New Roman"/>
                <w:szCs w:val="21"/>
                <w:highlight w:val="none"/>
              </w:rPr>
              <w:t>响应文件格式、语言、计量单位、报价货币</w:t>
            </w:r>
          </w:p>
        </w:tc>
        <w:tc>
          <w:tcPr>
            <w:tcW w:w="4539" w:type="dxa"/>
            <w:tcBorders>
              <w:top w:val="single" w:color="auto" w:sz="4" w:space="0"/>
              <w:left w:val="single" w:color="auto" w:sz="4" w:space="0"/>
              <w:bottom w:val="single" w:color="auto" w:sz="4" w:space="0"/>
              <w:right w:val="single" w:color="auto" w:sz="4" w:space="0"/>
            </w:tcBorders>
            <w:vAlign w:val="center"/>
          </w:tcPr>
          <w:p w14:paraId="01E3A401">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应符合“响应文件格式”和响应文件要求</w:t>
            </w:r>
          </w:p>
        </w:tc>
      </w:tr>
      <w:tr w14:paraId="1C64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vMerge w:val="continue"/>
            <w:tcBorders>
              <w:left w:val="single" w:color="auto" w:sz="4" w:space="0"/>
              <w:right w:val="single" w:color="auto" w:sz="4" w:space="0"/>
            </w:tcBorders>
            <w:vAlign w:val="center"/>
          </w:tcPr>
          <w:p w14:paraId="3A2E399C">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28265DAB">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报价唯一</w:t>
            </w:r>
          </w:p>
        </w:tc>
        <w:tc>
          <w:tcPr>
            <w:tcW w:w="4539" w:type="dxa"/>
            <w:tcBorders>
              <w:top w:val="single" w:color="auto" w:sz="4" w:space="0"/>
              <w:left w:val="single" w:color="auto" w:sz="4" w:space="0"/>
              <w:bottom w:val="single" w:color="auto" w:sz="4" w:space="0"/>
              <w:right w:val="single" w:color="auto" w:sz="4" w:space="0"/>
            </w:tcBorders>
            <w:vAlign w:val="center"/>
          </w:tcPr>
          <w:p w14:paraId="50AFD6B7">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只能有一个有效报价，不得提交选择性报价，且报价不超过采购预算金额或最高限价</w:t>
            </w:r>
          </w:p>
        </w:tc>
      </w:tr>
      <w:tr w14:paraId="7711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20" w:type="dxa"/>
            <w:vMerge w:val="continue"/>
            <w:tcBorders>
              <w:left w:val="single" w:color="auto" w:sz="4" w:space="0"/>
              <w:bottom w:val="single" w:color="auto" w:sz="4" w:space="0"/>
              <w:right w:val="single" w:color="auto" w:sz="4" w:space="0"/>
            </w:tcBorders>
            <w:vAlign w:val="center"/>
          </w:tcPr>
          <w:p w14:paraId="0277EEA1">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0FA8D02F">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电子文件</w:t>
            </w:r>
          </w:p>
        </w:tc>
        <w:tc>
          <w:tcPr>
            <w:tcW w:w="4539" w:type="dxa"/>
            <w:tcBorders>
              <w:top w:val="single" w:color="auto" w:sz="4" w:space="0"/>
              <w:left w:val="single" w:color="auto" w:sz="4" w:space="0"/>
              <w:bottom w:val="single" w:color="auto" w:sz="4" w:space="0"/>
              <w:right w:val="single" w:color="auto" w:sz="4" w:space="0"/>
            </w:tcBorders>
            <w:vAlign w:val="center"/>
          </w:tcPr>
          <w:p w14:paraId="25CCDEC5">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应符合磋商文件中的规定</w:t>
            </w:r>
          </w:p>
        </w:tc>
      </w:tr>
      <w:tr w14:paraId="36C9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20" w:type="dxa"/>
            <w:vMerge w:val="restart"/>
            <w:tcBorders>
              <w:top w:val="single" w:color="auto" w:sz="4" w:space="0"/>
              <w:left w:val="single" w:color="auto" w:sz="4" w:space="0"/>
              <w:right w:val="single" w:color="auto" w:sz="4" w:space="0"/>
            </w:tcBorders>
            <w:vAlign w:val="center"/>
          </w:tcPr>
          <w:p w14:paraId="4611F64E">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lang w:val="zh-CN"/>
              </w:rPr>
              <w:t>完整性审查</w:t>
            </w:r>
          </w:p>
        </w:tc>
        <w:tc>
          <w:tcPr>
            <w:tcW w:w="3045" w:type="dxa"/>
            <w:tcBorders>
              <w:top w:val="single" w:color="auto" w:sz="4" w:space="0"/>
              <w:left w:val="single" w:color="auto" w:sz="4" w:space="0"/>
              <w:bottom w:val="single" w:color="auto" w:sz="4" w:space="0"/>
              <w:right w:val="single" w:color="auto" w:sz="4" w:space="0"/>
            </w:tcBorders>
            <w:vAlign w:val="center"/>
          </w:tcPr>
          <w:p w14:paraId="4B6AF07D">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响应文件份数</w:t>
            </w:r>
          </w:p>
        </w:tc>
        <w:tc>
          <w:tcPr>
            <w:tcW w:w="4539" w:type="dxa"/>
            <w:tcBorders>
              <w:top w:val="single" w:color="auto" w:sz="4" w:space="0"/>
              <w:left w:val="single" w:color="auto" w:sz="4" w:space="0"/>
              <w:bottom w:val="single" w:color="auto" w:sz="4" w:space="0"/>
              <w:right w:val="single" w:color="auto" w:sz="4" w:space="0"/>
            </w:tcBorders>
            <w:vAlign w:val="center"/>
          </w:tcPr>
          <w:p w14:paraId="437AD097">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应符合“供应商须知前附表”规定的正本、副本、电子文件数量</w:t>
            </w:r>
          </w:p>
        </w:tc>
      </w:tr>
      <w:tr w14:paraId="555A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0" w:type="dxa"/>
            <w:vMerge w:val="continue"/>
            <w:tcBorders>
              <w:left w:val="single" w:color="auto" w:sz="4" w:space="0"/>
              <w:right w:val="single" w:color="auto" w:sz="4" w:space="0"/>
            </w:tcBorders>
            <w:vAlign w:val="center"/>
          </w:tcPr>
          <w:p w14:paraId="035AD29C">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2CCA3482">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响应文件内容</w:t>
            </w:r>
          </w:p>
        </w:tc>
        <w:tc>
          <w:tcPr>
            <w:tcW w:w="4539" w:type="dxa"/>
            <w:tcBorders>
              <w:top w:val="single" w:color="auto" w:sz="4" w:space="0"/>
              <w:left w:val="single" w:color="auto" w:sz="4" w:space="0"/>
              <w:bottom w:val="single" w:color="auto" w:sz="4" w:space="0"/>
              <w:right w:val="single" w:color="auto" w:sz="4" w:space="0"/>
            </w:tcBorders>
            <w:vAlign w:val="center"/>
          </w:tcPr>
          <w:p w14:paraId="4367D9D1">
            <w:pPr>
              <w:spacing w:line="360" w:lineRule="exact"/>
              <w:jc w:val="left"/>
              <w:rPr>
                <w:rFonts w:hint="default" w:ascii="Times New Roman" w:hAnsi="Times New Roman" w:cs="Times New Roman"/>
                <w:bCs/>
                <w:szCs w:val="21"/>
                <w:highlight w:val="none"/>
              </w:rPr>
            </w:pPr>
            <w:r>
              <w:rPr>
                <w:rFonts w:hint="default" w:ascii="Times New Roman" w:hAnsi="Times New Roman" w:cs="Times New Roman"/>
                <w:szCs w:val="21"/>
                <w:highlight w:val="none"/>
              </w:rPr>
              <w:t>响应文件内容齐全、无遗漏</w:t>
            </w:r>
          </w:p>
        </w:tc>
      </w:tr>
      <w:tr w14:paraId="7D3A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20" w:type="dxa"/>
            <w:vMerge w:val="restart"/>
            <w:tcBorders>
              <w:top w:val="single" w:color="auto" w:sz="4" w:space="0"/>
              <w:left w:val="single" w:color="auto" w:sz="4" w:space="0"/>
              <w:right w:val="single" w:color="auto" w:sz="4" w:space="0"/>
            </w:tcBorders>
            <w:vAlign w:val="center"/>
          </w:tcPr>
          <w:p w14:paraId="524DD7BD">
            <w:pPr>
              <w:spacing w:line="360" w:lineRule="exact"/>
              <w:ind w:firstLine="420" w:firstLineChars="200"/>
              <w:jc w:val="center"/>
              <w:rPr>
                <w:rFonts w:hint="default" w:ascii="Times New Roman" w:hAnsi="Times New Roman" w:cs="Times New Roman"/>
                <w:bCs/>
                <w:szCs w:val="21"/>
                <w:highlight w:val="none"/>
                <w:lang w:val="zh-CN"/>
              </w:rPr>
            </w:pPr>
          </w:p>
          <w:p w14:paraId="7BE3201C">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响应性审查</w:t>
            </w:r>
          </w:p>
        </w:tc>
        <w:tc>
          <w:tcPr>
            <w:tcW w:w="3045" w:type="dxa"/>
            <w:tcBorders>
              <w:top w:val="single" w:color="auto" w:sz="4" w:space="0"/>
              <w:left w:val="single" w:color="auto" w:sz="4" w:space="0"/>
              <w:right w:val="single" w:color="auto" w:sz="4" w:space="0"/>
            </w:tcBorders>
            <w:vAlign w:val="center"/>
          </w:tcPr>
          <w:p w14:paraId="0CA0A98E">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对磋商文件响应程度</w:t>
            </w:r>
          </w:p>
        </w:tc>
        <w:tc>
          <w:tcPr>
            <w:tcW w:w="4539" w:type="dxa"/>
            <w:tcBorders>
              <w:top w:val="single" w:color="auto" w:sz="4" w:space="0"/>
              <w:left w:val="single" w:color="auto" w:sz="4" w:space="0"/>
              <w:right w:val="single" w:color="auto" w:sz="4" w:space="0"/>
            </w:tcBorders>
            <w:vAlign w:val="center"/>
          </w:tcPr>
          <w:p w14:paraId="1A4AAF3E">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要求全面响应，不能有任何采购人不能接受的附加条件</w:t>
            </w:r>
          </w:p>
        </w:tc>
      </w:tr>
      <w:tr w14:paraId="4AF3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0" w:type="dxa"/>
            <w:vMerge w:val="continue"/>
            <w:tcBorders>
              <w:left w:val="single" w:color="auto" w:sz="4" w:space="0"/>
              <w:right w:val="single" w:color="auto" w:sz="4" w:space="0"/>
            </w:tcBorders>
            <w:vAlign w:val="center"/>
          </w:tcPr>
          <w:p w14:paraId="1658F940">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1BB5C439">
            <w:pPr>
              <w:spacing w:line="360" w:lineRule="exact"/>
              <w:jc w:val="center"/>
              <w:rPr>
                <w:rFonts w:hint="default" w:ascii="Times New Roman" w:hAnsi="Times New Roman" w:cs="Times New Roman"/>
                <w:bCs/>
                <w:szCs w:val="21"/>
                <w:highlight w:val="none"/>
              </w:rPr>
            </w:pPr>
            <w:r>
              <w:rPr>
                <w:rFonts w:hint="default" w:ascii="Times New Roman" w:hAnsi="Times New Roman" w:cs="Times New Roman"/>
                <w:szCs w:val="21"/>
                <w:highlight w:val="none"/>
              </w:rPr>
              <w:t>拟提供服务要求、技术要求</w:t>
            </w:r>
          </w:p>
        </w:tc>
        <w:tc>
          <w:tcPr>
            <w:tcW w:w="4539" w:type="dxa"/>
            <w:tcBorders>
              <w:top w:val="single" w:color="auto" w:sz="4" w:space="0"/>
              <w:left w:val="single" w:color="auto" w:sz="4" w:space="0"/>
              <w:bottom w:val="single" w:color="auto" w:sz="4" w:space="0"/>
              <w:right w:val="single" w:color="auto" w:sz="4" w:space="0"/>
            </w:tcBorders>
            <w:vAlign w:val="center"/>
          </w:tcPr>
          <w:p w14:paraId="1BD96A38">
            <w:pPr>
              <w:spacing w:line="360" w:lineRule="exact"/>
              <w:rPr>
                <w:rFonts w:hint="default" w:ascii="Times New Roman" w:hAnsi="Times New Roman" w:cs="Times New Roman"/>
                <w:bCs/>
                <w:szCs w:val="21"/>
                <w:highlight w:val="none"/>
              </w:rPr>
            </w:pPr>
            <w:r>
              <w:rPr>
                <w:rFonts w:hint="default" w:ascii="Times New Roman" w:hAnsi="Times New Roman" w:cs="Times New Roman"/>
                <w:szCs w:val="21"/>
                <w:highlight w:val="none"/>
              </w:rPr>
              <w:t>应满足磋商文件提出的服务要求与技术要求</w:t>
            </w:r>
          </w:p>
        </w:tc>
      </w:tr>
      <w:tr w14:paraId="4770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0" w:type="dxa"/>
            <w:vMerge w:val="continue"/>
            <w:tcBorders>
              <w:left w:val="single" w:color="auto" w:sz="4" w:space="0"/>
              <w:right w:val="single" w:color="auto" w:sz="4" w:space="0"/>
            </w:tcBorders>
            <w:vAlign w:val="center"/>
          </w:tcPr>
          <w:p w14:paraId="4C3914B4">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3C03014A">
            <w:pPr>
              <w:spacing w:line="360" w:lineRule="exact"/>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供货周期</w:t>
            </w:r>
          </w:p>
        </w:tc>
        <w:tc>
          <w:tcPr>
            <w:tcW w:w="4539" w:type="dxa"/>
            <w:tcBorders>
              <w:top w:val="single" w:color="auto" w:sz="4" w:space="0"/>
              <w:left w:val="single" w:color="auto" w:sz="4" w:space="0"/>
              <w:bottom w:val="single" w:color="auto" w:sz="4" w:space="0"/>
              <w:right w:val="single" w:color="auto" w:sz="4" w:space="0"/>
            </w:tcBorders>
            <w:vAlign w:val="center"/>
          </w:tcPr>
          <w:p w14:paraId="53A1DF3D">
            <w:pPr>
              <w:spacing w:line="360" w:lineRule="exact"/>
              <w:rPr>
                <w:rFonts w:hint="default" w:ascii="Times New Roman" w:hAnsi="Times New Roman" w:eastAsia="宋体" w:cs="Times New Roman"/>
                <w:b w:val="0"/>
                <w:bCs w:val="0"/>
                <w:color w:val="auto"/>
                <w:szCs w:val="21"/>
                <w:highlight w:val="none"/>
                <w:lang w:eastAsia="zh-CN"/>
              </w:rPr>
            </w:pPr>
            <w:r>
              <w:rPr>
                <w:rFonts w:hint="default" w:ascii="Times New Roman" w:hAnsi="Times New Roman" w:cs="Times New Roman"/>
                <w:b w:val="0"/>
                <w:bCs w:val="0"/>
                <w:color w:val="auto"/>
                <w:szCs w:val="21"/>
                <w:highlight w:val="none"/>
              </w:rPr>
              <w:t>应满足磋商文件中要求的</w:t>
            </w:r>
            <w:r>
              <w:rPr>
                <w:rFonts w:hint="eastAsia" w:ascii="Times New Roman" w:hAnsi="Times New Roman" w:cs="Times New Roman"/>
                <w:b w:val="0"/>
                <w:bCs w:val="0"/>
                <w:color w:val="auto"/>
                <w:szCs w:val="21"/>
                <w:highlight w:val="none"/>
                <w:lang w:val="en-US" w:eastAsia="zh-CN"/>
              </w:rPr>
              <w:t>供货周期</w:t>
            </w:r>
          </w:p>
        </w:tc>
      </w:tr>
      <w:tr w14:paraId="1988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0" w:type="dxa"/>
            <w:vMerge w:val="continue"/>
            <w:tcBorders>
              <w:left w:val="single" w:color="auto" w:sz="4" w:space="0"/>
              <w:right w:val="single" w:color="auto" w:sz="4" w:space="0"/>
            </w:tcBorders>
            <w:vAlign w:val="center"/>
          </w:tcPr>
          <w:p w14:paraId="4B3BDF11">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6C45F274">
            <w:pPr>
              <w:spacing w:line="360" w:lineRule="exact"/>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质保期</w:t>
            </w:r>
          </w:p>
        </w:tc>
        <w:tc>
          <w:tcPr>
            <w:tcW w:w="4539" w:type="dxa"/>
            <w:tcBorders>
              <w:top w:val="single" w:color="auto" w:sz="4" w:space="0"/>
              <w:left w:val="single" w:color="auto" w:sz="4" w:space="0"/>
              <w:bottom w:val="single" w:color="auto" w:sz="4" w:space="0"/>
              <w:right w:val="single" w:color="auto" w:sz="4" w:space="0"/>
            </w:tcBorders>
            <w:vAlign w:val="center"/>
          </w:tcPr>
          <w:p w14:paraId="7B33F9D3">
            <w:pPr>
              <w:spacing w:line="360" w:lineRule="exact"/>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rPr>
              <w:t>应满足磋商文件中要求的</w:t>
            </w:r>
            <w:r>
              <w:rPr>
                <w:rFonts w:hint="eastAsia" w:ascii="Times New Roman" w:hAnsi="Times New Roman" w:cs="Times New Roman"/>
                <w:b w:val="0"/>
                <w:bCs w:val="0"/>
                <w:color w:val="auto"/>
                <w:szCs w:val="21"/>
                <w:highlight w:val="none"/>
                <w:lang w:val="en-US" w:eastAsia="zh-CN"/>
              </w:rPr>
              <w:t>质保期</w:t>
            </w:r>
          </w:p>
        </w:tc>
      </w:tr>
      <w:tr w14:paraId="4868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0" w:type="dxa"/>
            <w:vMerge w:val="continue"/>
            <w:tcBorders>
              <w:left w:val="single" w:color="auto" w:sz="4" w:space="0"/>
              <w:right w:val="single" w:color="auto" w:sz="4" w:space="0"/>
            </w:tcBorders>
            <w:vAlign w:val="center"/>
          </w:tcPr>
          <w:p w14:paraId="066D813B">
            <w:pPr>
              <w:spacing w:line="360" w:lineRule="exact"/>
              <w:ind w:firstLine="420" w:firstLineChars="200"/>
              <w:jc w:val="center"/>
              <w:rPr>
                <w:rFonts w:hint="default" w:ascii="Times New Roman" w:hAnsi="Times New Roman" w:cs="Times New Roman"/>
                <w:bCs/>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37B38799">
            <w:pPr>
              <w:tabs>
                <w:tab w:val="left" w:pos="0"/>
              </w:tabs>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磋商有效期</w:t>
            </w:r>
          </w:p>
        </w:tc>
        <w:tc>
          <w:tcPr>
            <w:tcW w:w="4539" w:type="dxa"/>
            <w:tcBorders>
              <w:top w:val="single" w:color="auto" w:sz="4" w:space="0"/>
              <w:left w:val="single" w:color="auto" w:sz="4" w:space="0"/>
              <w:bottom w:val="single" w:color="auto" w:sz="4" w:space="0"/>
              <w:right w:val="single" w:color="auto" w:sz="4" w:space="0"/>
            </w:tcBorders>
            <w:vAlign w:val="center"/>
          </w:tcPr>
          <w:p w14:paraId="31BC29EC">
            <w:pPr>
              <w:tabs>
                <w:tab w:val="left" w:pos="0"/>
              </w:tabs>
              <w:adjustRightInd w:val="0"/>
              <w:snapToGrid w:val="0"/>
              <w:rPr>
                <w:rFonts w:hint="default" w:ascii="Times New Roman" w:hAnsi="Times New Roman" w:cs="Times New Roman"/>
                <w:szCs w:val="21"/>
                <w:highlight w:val="none"/>
              </w:rPr>
            </w:pPr>
            <w:r>
              <w:rPr>
                <w:rFonts w:hint="default" w:ascii="Times New Roman" w:hAnsi="Times New Roman" w:cs="Times New Roman"/>
                <w:szCs w:val="21"/>
                <w:highlight w:val="none"/>
              </w:rPr>
              <w:t>应满足磋商文件中的规定</w:t>
            </w:r>
          </w:p>
        </w:tc>
      </w:tr>
    </w:tbl>
    <w:p w14:paraId="0EFBD6E9">
      <w:pPr>
        <w:spacing w:line="360" w:lineRule="auto"/>
        <w:ind w:firstLine="482" w:firstLineChars="200"/>
        <w:rPr>
          <w:rFonts w:hint="default" w:ascii="Times New Roman" w:hAnsi="Times New Roman" w:cs="Times New Roman"/>
          <w:b/>
          <w:sz w:val="24"/>
          <w:highlight w:val="none"/>
          <w:lang w:val="zh-CN"/>
        </w:rPr>
      </w:pPr>
      <w:r>
        <w:rPr>
          <w:rFonts w:hint="default" w:ascii="Times New Roman" w:hAnsi="Times New Roman" w:cs="Times New Roman"/>
          <w:b/>
          <w:sz w:val="24"/>
          <w:highlight w:val="none"/>
          <w:lang w:val="zh-CN"/>
        </w:rPr>
        <w:t>注：以上各项有1项不合格，评审不予通过，按无效标处理。符合性审查结束后，评审小组当对审查结果进行签字确认，并告知无效供应商符合性审查未通过的原因。</w:t>
      </w:r>
    </w:p>
    <w:p w14:paraId="0C9E52BD">
      <w:pPr>
        <w:tabs>
          <w:tab w:val="left" w:pos="0"/>
        </w:tabs>
        <w:adjustRightInd w:val="0"/>
        <w:snapToGrid w:val="0"/>
        <w:spacing w:line="360" w:lineRule="auto"/>
        <w:ind w:firstLine="470" w:firstLineChars="196"/>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3.3供应商信用记录查询及备案查询</w:t>
      </w:r>
    </w:p>
    <w:p w14:paraId="638EA5D0">
      <w:pPr>
        <w:tabs>
          <w:tab w:val="left" w:pos="7665"/>
        </w:tabs>
        <w:spacing w:line="360" w:lineRule="auto"/>
        <w:ind w:firstLine="491" w:firstLineChars="205"/>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信用中国”网站（www.creditchina.gov.cn）和“中国政府采购网”（ccgp.gov.cn）为投标人信用信息查询渠道，如果供应商在磋商现场被查实在投标截止时间前已列入失信被执行人、税收很名单、政府采购严重违法失信行为记录名单，其响应投标为无效。采购代理机构将打印查询记录作为证据留存。</w:t>
      </w:r>
    </w:p>
    <w:p w14:paraId="7A25F1D7">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磋商小组通过上述评审，确定合格供应商名单，只有合格的供应商才能进入磋商和后续评审环节。</w:t>
      </w:r>
    </w:p>
    <w:p w14:paraId="7B2FA1D9">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4.响应文件的澄清</w:t>
      </w:r>
    </w:p>
    <w:p w14:paraId="2422B832">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4.1磋商小组在对响应文件的有效性、完整性和响应程度进行审查时，可以要求供应商对响应文件中非实质性（含义不明确、同类问题表述不一致或者有明显文字和计算错误的内容）等有关问题作出必要的澄清、说明或者更正。供应商有关澄清、说明或者更正不得超出响应文件的范围或者改变响应文件的实质性内容。磋商小组要求供应商澄清、说明或者更正响应文件应当以书面形式作出，并由磋商小组专家签字。供应商必须按照磋商小组通知的内容和时间作出书面答复，有关澄清、说明或者更正应以书面形式提交，并由法定代表人或其授权代表签字或者加盖公章；供应商拒不按照要求对响应文件进行澄清、说明或补正的，磋商小组可拒绝该响应。磋商小组不接受供应商主动提出的澄清、说明。</w:t>
      </w:r>
    </w:p>
    <w:p w14:paraId="58EE2786">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4.2有效的书面澄清材料，是响应文件的补充材料，成为响应文件的组成部分。</w:t>
      </w:r>
    </w:p>
    <w:p w14:paraId="67F993E3">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5.磋商</w:t>
      </w:r>
    </w:p>
    <w:p w14:paraId="1BBF9396">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5.1磋商方式：</w:t>
      </w:r>
    </w:p>
    <w:p w14:paraId="443EDA07">
      <w:pPr>
        <w:spacing w:line="360" w:lineRule="auto"/>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5.1.1对资格性检查和符合性检查合格的供应商，进入本次磋商程序。</w:t>
      </w:r>
    </w:p>
    <w:p w14:paraId="7080BA25">
      <w:pPr>
        <w:spacing w:line="360" w:lineRule="auto"/>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5.1.2在磋商期间，供应商应派代表参加磋商，代表人数不超过</w:t>
      </w:r>
      <w:r>
        <w:rPr>
          <w:rFonts w:hint="default" w:ascii="Times New Roman" w:hAnsi="Times New Roman" w:cs="Times New Roman"/>
          <w:kern w:val="0"/>
          <w:sz w:val="24"/>
          <w:highlight w:val="none"/>
          <w:u w:val="single"/>
        </w:rPr>
        <w:t>1</w:t>
      </w:r>
      <w:r>
        <w:rPr>
          <w:rFonts w:hint="default" w:ascii="Times New Roman" w:hAnsi="Times New Roman" w:cs="Times New Roman"/>
          <w:kern w:val="0"/>
          <w:sz w:val="24"/>
          <w:highlight w:val="none"/>
        </w:rPr>
        <w:t>人。</w:t>
      </w:r>
    </w:p>
    <w:p w14:paraId="55665D05">
      <w:pPr>
        <w:spacing w:line="360" w:lineRule="auto"/>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5.1.3磋商小组通过随机方式确定参加磋商供应商的磋商顺序，所有成员集中与单一供应商按照顺序分别进行磋商，</w:t>
      </w:r>
      <w:r>
        <w:rPr>
          <w:rFonts w:hint="default" w:ascii="Times New Roman" w:hAnsi="Times New Roman" w:cs="Times New Roman"/>
          <w:sz w:val="24"/>
          <w:highlight w:val="none"/>
        </w:rPr>
        <w:t>并给予所有参加磋商的供应商平等的磋商机会</w:t>
      </w:r>
      <w:r>
        <w:rPr>
          <w:rFonts w:hint="default" w:ascii="Times New Roman" w:hAnsi="Times New Roman" w:cs="Times New Roman"/>
          <w:kern w:val="0"/>
          <w:sz w:val="24"/>
          <w:highlight w:val="none"/>
        </w:rPr>
        <w:t>。在磋商中，磋商的任何一方不得透露与磋商有关的其他供应商的技术资料、价格和其他信息。</w:t>
      </w:r>
    </w:p>
    <w:p w14:paraId="0D23AE75">
      <w:pPr>
        <w:spacing w:line="360" w:lineRule="auto"/>
        <w:ind w:firstLine="482"/>
        <w:rPr>
          <w:rFonts w:hint="default" w:ascii="Times New Roman" w:hAnsi="Times New Roman" w:cs="Times New Roman"/>
          <w:sz w:val="24"/>
          <w:highlight w:val="none"/>
        </w:rPr>
      </w:pPr>
      <w:r>
        <w:rPr>
          <w:rFonts w:hint="default" w:ascii="Times New Roman" w:hAnsi="Times New Roman" w:cs="Times New Roman"/>
          <w:kern w:val="0"/>
          <w:sz w:val="24"/>
          <w:highlight w:val="none"/>
        </w:rPr>
        <w:t>5.1.4技术磋商。</w:t>
      </w:r>
      <w:r>
        <w:rPr>
          <w:rFonts w:hint="default" w:ascii="Times New Roman" w:hAnsi="Times New Roman" w:cs="Times New Roman"/>
          <w:sz w:val="24"/>
          <w:highlight w:val="none"/>
        </w:rPr>
        <w:t>在磋商过程中，磋商小组可以根据磋商文件和磋商情况实质性变动采购需求中的技术、</w:t>
      </w:r>
      <w:r>
        <w:rPr>
          <w:rFonts w:hint="default" w:ascii="Times New Roman" w:hAnsi="Times New Roman" w:cs="Times New Roman"/>
          <w:sz w:val="24"/>
          <w:highlight w:val="none"/>
          <w:lang w:val="en-US" w:eastAsia="zh-CN"/>
        </w:rPr>
        <w:t>商务</w:t>
      </w:r>
      <w:r>
        <w:rPr>
          <w:rFonts w:hint="default" w:ascii="Times New Roman" w:hAnsi="Times New Roman" w:cs="Times New Roman"/>
          <w:sz w:val="24"/>
          <w:highlight w:val="none"/>
        </w:rPr>
        <w:t>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r>
        <w:rPr>
          <w:rFonts w:hint="default" w:ascii="Times New Roman" w:hAnsi="Times New Roman" w:cs="Times New Roman"/>
          <w:kern w:val="0"/>
          <w:sz w:val="24"/>
          <w:highlight w:val="none"/>
        </w:rPr>
        <w:t>磋商小组应当</w:t>
      </w:r>
      <w:r>
        <w:rPr>
          <w:rFonts w:hint="default" w:ascii="Times New Roman" w:hAnsi="Times New Roman" w:cs="Times New Roman"/>
          <w:sz w:val="24"/>
          <w:highlight w:val="none"/>
        </w:rPr>
        <w:t>根据规定</w:t>
      </w:r>
      <w:r>
        <w:rPr>
          <w:rFonts w:hint="default" w:ascii="Times New Roman" w:hAnsi="Times New Roman" w:cs="Times New Roman"/>
          <w:kern w:val="0"/>
          <w:sz w:val="24"/>
          <w:highlight w:val="none"/>
        </w:rPr>
        <w:t>对供应商重新提交的响应文件进行符合性审查。供应商重新提交的响应文件未通过符合性审查的，不得进入商务磋商，也不得要求提交最后报价。</w:t>
      </w:r>
    </w:p>
    <w:p w14:paraId="20551CAE">
      <w:pPr>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5.1.5商务磋商。技术磋商结束后，进行商务磋商。</w:t>
      </w:r>
      <w:r>
        <w:rPr>
          <w:rFonts w:hint="default" w:ascii="Times New Roman" w:hAnsi="Times New Roman" w:cs="Times New Roman"/>
          <w:b/>
          <w:sz w:val="24"/>
          <w:highlight w:val="none"/>
        </w:rPr>
        <w:t>磋商文件能够详细列明采购标的的技术、服务要求的，</w:t>
      </w:r>
      <w:r>
        <w:rPr>
          <w:rFonts w:hint="default" w:ascii="Times New Roman" w:hAnsi="Times New Roman" w:cs="Times New Roman"/>
          <w:sz w:val="24"/>
          <w:highlight w:val="none"/>
        </w:rPr>
        <w:t>磋商小组应当要求所有实质性响应的供应商在规定时间内提交最后报价，</w:t>
      </w:r>
      <w:r>
        <w:rPr>
          <w:rFonts w:hint="default" w:ascii="Times New Roman" w:hAnsi="Times New Roman" w:cs="Times New Roman"/>
          <w:b/>
          <w:sz w:val="24"/>
          <w:highlight w:val="none"/>
        </w:rPr>
        <w:t>提交最后报价的供应商不得少于3家</w:t>
      </w:r>
      <w:r>
        <w:rPr>
          <w:rFonts w:hint="default" w:ascii="Times New Roman" w:hAnsi="Times New Roman" w:cs="Times New Roman"/>
          <w:sz w:val="24"/>
          <w:highlight w:val="none"/>
        </w:rPr>
        <w:t>；</w:t>
      </w:r>
      <w:r>
        <w:rPr>
          <w:rFonts w:hint="default" w:ascii="Times New Roman" w:hAnsi="Times New Roman" w:cs="Times New Roman"/>
          <w:b/>
          <w:sz w:val="24"/>
          <w:highlight w:val="none"/>
        </w:rPr>
        <w:t>磋商文件不能详细列明采购标的的技术、服务要求</w:t>
      </w:r>
      <w:r>
        <w:rPr>
          <w:rFonts w:hint="default" w:ascii="Times New Roman" w:hAnsi="Times New Roman" w:cs="Times New Roman"/>
          <w:sz w:val="24"/>
          <w:highlight w:val="none"/>
        </w:rPr>
        <w:t>，需经磋商由供应商提供最终技术方案或解决方案的，</w:t>
      </w:r>
      <w:r>
        <w:rPr>
          <w:rFonts w:hint="default" w:ascii="Times New Roman" w:hAnsi="Times New Roman" w:cs="Times New Roman"/>
          <w:b/>
          <w:sz w:val="24"/>
          <w:highlight w:val="none"/>
        </w:rPr>
        <w:t>磋商小组应当按照少数服从多数的原则投票推荐3家以上供应商的技术方案或者解决方案，</w:t>
      </w:r>
      <w:r>
        <w:rPr>
          <w:rFonts w:hint="default" w:ascii="Times New Roman" w:hAnsi="Times New Roman" w:cs="Times New Roman"/>
          <w:sz w:val="24"/>
          <w:highlight w:val="none"/>
        </w:rPr>
        <w:t>并要求其在规定时间内提交最后报价。最后报价是供应商响应文件的有效组成部分。</w:t>
      </w:r>
    </w:p>
    <w:p w14:paraId="6EE62711">
      <w:pPr>
        <w:spacing w:line="360" w:lineRule="auto"/>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5.1.6已提交响应文件的供应商，在提交最后报价之前，可以根据磋商情况退出磋商，采购代理机构应当退还其磋商保证金。</w:t>
      </w:r>
    </w:p>
    <w:p w14:paraId="0B5D213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5.2磋商步骤：</w:t>
      </w:r>
    </w:p>
    <w:p w14:paraId="54F26E5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5.2.1第一轮磋商。对进入第一轮磋商的供应商再次进行评审、质疑和澄清。在此阶段，磋商小组依据参加磋商的供应商递交的响应文件进行技术和商务磋商，磋商小组可根据实际需要提出方案和技术要求，与单一供应商分别进行磋商，并给予所有参加磋商的供应商平等的磋商机会。要求参加磋商的供应商重新承诺技术</w:t>
      </w:r>
      <w:r>
        <w:rPr>
          <w:rFonts w:hint="default" w:ascii="Times New Roman" w:hAnsi="Times New Roman" w:cs="Times New Roman"/>
          <w:sz w:val="24"/>
          <w:highlight w:val="none"/>
          <w:lang w:val="en-US" w:eastAsia="zh-CN"/>
        </w:rPr>
        <w:t>响应</w:t>
      </w:r>
      <w:r>
        <w:rPr>
          <w:rFonts w:hint="default" w:ascii="Times New Roman" w:hAnsi="Times New Roman" w:cs="Times New Roman"/>
          <w:sz w:val="24"/>
          <w:highlight w:val="none"/>
        </w:rPr>
        <w:t>和第</w:t>
      </w:r>
      <w:r>
        <w:rPr>
          <w:rFonts w:hint="default" w:ascii="Times New Roman" w:hAnsi="Times New Roman" w:cs="Times New Roman"/>
          <w:sz w:val="24"/>
          <w:highlight w:val="none"/>
          <w:lang w:eastAsia="zh-CN"/>
        </w:rPr>
        <w:t>三次</w:t>
      </w:r>
      <w:r>
        <w:rPr>
          <w:rFonts w:hint="default" w:ascii="Times New Roman" w:hAnsi="Times New Roman" w:cs="Times New Roman"/>
          <w:sz w:val="24"/>
          <w:highlight w:val="none"/>
        </w:rPr>
        <w:t>商务总报价，以满足采购人的最大需求。</w:t>
      </w:r>
    </w:p>
    <w:p w14:paraId="1128A70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5.2.2第二轮磋商。对第一轮磋商结果不满意，磋商小组可以再次要求参加磋商的供应商进行第二轮磋商，磋商内容及要求与第一轮磋商相同。</w:t>
      </w:r>
    </w:p>
    <w:p w14:paraId="4857279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5.2.3每轮磋商结束后，磋商小组对磋商情况进行讨论，综合考虑供应商提供的</w:t>
      </w:r>
      <w:r>
        <w:rPr>
          <w:rFonts w:hint="default" w:ascii="Times New Roman" w:hAnsi="Times New Roman" w:cs="Times New Roman"/>
          <w:sz w:val="24"/>
          <w:highlight w:val="none"/>
          <w:lang w:val="en-US" w:eastAsia="zh-CN"/>
        </w:rPr>
        <w:t>技术响应</w:t>
      </w:r>
      <w:r>
        <w:rPr>
          <w:rFonts w:hint="default" w:ascii="Times New Roman" w:hAnsi="Times New Roman" w:cs="Times New Roman"/>
          <w:sz w:val="24"/>
          <w:highlight w:val="none"/>
        </w:rPr>
        <w:t>和性价比，有权对技术</w:t>
      </w:r>
      <w:r>
        <w:rPr>
          <w:rFonts w:hint="default" w:ascii="Times New Roman" w:hAnsi="Times New Roman" w:cs="Times New Roman"/>
          <w:sz w:val="24"/>
          <w:highlight w:val="none"/>
          <w:lang w:val="en-US" w:eastAsia="zh-CN"/>
        </w:rPr>
        <w:t>响应</w:t>
      </w:r>
      <w:r>
        <w:rPr>
          <w:rFonts w:hint="default" w:ascii="Times New Roman" w:hAnsi="Times New Roman" w:cs="Times New Roman"/>
          <w:sz w:val="24"/>
          <w:highlight w:val="none"/>
        </w:rPr>
        <w:t>最差供应商或性价比最低点供应商进行淘汰，并将淘汰理由写入评审报告。</w:t>
      </w:r>
    </w:p>
    <w:p w14:paraId="77242D1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5.2.4磋商小组应在最后一轮磋商前告知所有符合磋商的供应商是否是最后一次磋商环节。</w:t>
      </w:r>
    </w:p>
    <w:p w14:paraId="34021B0E">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5.2.5最后一轮结束后，磋商小组将对进入最后一轮的供应商进行综合评分。</w:t>
      </w:r>
    </w:p>
    <w:p w14:paraId="600E7F18">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6.响应文件详细评审</w:t>
      </w:r>
    </w:p>
    <w:p w14:paraId="5E8AF07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6.1经磋商确定最终采购需求和提交最后报价的供应商后，由磋商小组采用</w:t>
      </w:r>
      <w:r>
        <w:rPr>
          <w:rFonts w:hint="default" w:ascii="Times New Roman" w:hAnsi="Times New Roman" w:cs="Times New Roman"/>
          <w:b/>
          <w:sz w:val="24"/>
          <w:highlight w:val="none"/>
        </w:rPr>
        <w:t>综合评分法</w:t>
      </w:r>
      <w:r>
        <w:rPr>
          <w:rFonts w:hint="default" w:ascii="Times New Roman" w:hAnsi="Times New Roman" w:cs="Times New Roman"/>
          <w:sz w:val="24"/>
          <w:highlight w:val="none"/>
        </w:rPr>
        <w:t>对提交最后报价的供应商的响应文件和最后报价进行综合评分。</w:t>
      </w:r>
    </w:p>
    <w:p w14:paraId="62C1FB4D">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7.最后报价</w:t>
      </w:r>
    </w:p>
    <w:p w14:paraId="4153F9E1">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kern w:val="0"/>
          <w:sz w:val="24"/>
          <w:highlight w:val="none"/>
        </w:rPr>
        <w:t>7.1</w:t>
      </w:r>
      <w:r>
        <w:rPr>
          <w:rFonts w:hint="default" w:ascii="Times New Roman" w:hAnsi="Times New Roman" w:cs="Times New Roman"/>
          <w:sz w:val="24"/>
          <w:highlight w:val="none"/>
        </w:rPr>
        <w:t>供应商应以书面形式提交最后报价（各合格供应商的最后报价将作为综合评分法中价格分的计算依据），并由其法定代表人或被授权人签字。</w:t>
      </w:r>
    </w:p>
    <w:p w14:paraId="768DE43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kern w:val="0"/>
          <w:sz w:val="24"/>
          <w:highlight w:val="none"/>
        </w:rPr>
        <w:t>7.2仅向采购人及监督人员宣布最后磋商报价，并由监督人员确认。</w:t>
      </w:r>
    </w:p>
    <w:p w14:paraId="3E01FB50">
      <w:pPr>
        <w:spacing w:line="360" w:lineRule="auto"/>
        <w:rPr>
          <w:rFonts w:hint="default" w:ascii="Times New Roman" w:hAnsi="Times New Roman" w:cs="Times New Roman"/>
          <w:b/>
          <w:sz w:val="30"/>
          <w:szCs w:val="30"/>
          <w:highlight w:val="none"/>
        </w:rPr>
      </w:pPr>
      <w:bookmarkStart w:id="137" w:name="_Toc485883252"/>
      <w:r>
        <w:rPr>
          <w:rFonts w:hint="default" w:ascii="Times New Roman" w:hAnsi="Times New Roman" w:cs="Times New Roman"/>
          <w:b/>
          <w:sz w:val="30"/>
          <w:szCs w:val="30"/>
          <w:highlight w:val="none"/>
        </w:rPr>
        <w:t>三、评审细则及标准</w:t>
      </w:r>
      <w:bookmarkEnd w:id="137"/>
    </w:p>
    <w:p w14:paraId="77AFCDB9">
      <w:pPr>
        <w:pStyle w:val="2"/>
        <w:keepLines/>
        <w:spacing w:line="360" w:lineRule="auto"/>
        <w:rPr>
          <w:rFonts w:hint="default" w:ascii="Times New Roman" w:hAnsi="Times New Roman" w:cs="Times New Roman"/>
          <w:b/>
          <w:bCs/>
          <w:color w:val="auto"/>
          <w:sz w:val="24"/>
          <w:szCs w:val="24"/>
          <w:highlight w:val="none"/>
          <w:u w:val="none"/>
        </w:rPr>
      </w:pPr>
      <w:bookmarkStart w:id="138" w:name="_Toc485883253"/>
      <w:r>
        <w:rPr>
          <w:rFonts w:hint="default" w:ascii="Times New Roman" w:hAnsi="Times New Roman" w:cs="Times New Roman"/>
          <w:b/>
          <w:bCs/>
          <w:color w:val="auto"/>
          <w:sz w:val="24"/>
          <w:szCs w:val="24"/>
          <w:highlight w:val="none"/>
          <w:u w:val="none"/>
        </w:rPr>
        <w:t>8.综合评分法</w:t>
      </w:r>
      <w:bookmarkEnd w:id="138"/>
    </w:p>
    <w:p w14:paraId="38F52C23">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8.1本采购项目评审方法采用综合评分法。即响应文件能够最大限度的满足磋商文件规定的各项综合评分标准，并按得分由高到低顺序推荐成交候选人的评审方法。</w:t>
      </w:r>
    </w:p>
    <w:p w14:paraId="7E0C9E49">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8.2综合评分法评审标准中的分值设置应当与评审因素的量化指标相对应。磋商文件中没有规定的评审标准不得作为评审依据。</w:t>
      </w:r>
    </w:p>
    <w:p w14:paraId="1140BD21">
      <w:pPr>
        <w:pStyle w:val="2"/>
        <w:keepLines/>
        <w:spacing w:line="360" w:lineRule="auto"/>
        <w:rPr>
          <w:rFonts w:hint="default" w:ascii="Times New Roman" w:hAnsi="Times New Roman" w:cs="Times New Roman"/>
          <w:b/>
          <w:bCs/>
          <w:color w:val="auto"/>
          <w:sz w:val="24"/>
          <w:szCs w:val="24"/>
          <w:highlight w:val="none"/>
          <w:u w:val="none"/>
        </w:rPr>
      </w:pPr>
      <w:bookmarkStart w:id="139" w:name="_Toc485883254"/>
      <w:r>
        <w:rPr>
          <w:rFonts w:hint="default" w:ascii="Times New Roman" w:hAnsi="Times New Roman" w:cs="Times New Roman"/>
          <w:b/>
          <w:bCs/>
          <w:color w:val="auto"/>
          <w:sz w:val="24"/>
          <w:szCs w:val="24"/>
          <w:highlight w:val="none"/>
          <w:u w:val="none"/>
        </w:rPr>
        <w:t>9.评审细则及标准</w:t>
      </w:r>
      <w:bookmarkEnd w:id="139"/>
    </w:p>
    <w:p w14:paraId="75BF96A3">
      <w:pPr>
        <w:pStyle w:val="10"/>
        <w:adjustRightInd w:val="0"/>
        <w:snapToGrid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sz w:val="24"/>
          <w:highlight w:val="none"/>
        </w:rPr>
        <w:t>9.1</w:t>
      </w:r>
      <w:r>
        <w:rPr>
          <w:rFonts w:hint="default" w:ascii="Times New Roman" w:hAnsi="Times New Roman" w:cs="Times New Roman"/>
          <w:bCs/>
          <w:sz w:val="24"/>
          <w:szCs w:val="24"/>
          <w:highlight w:val="none"/>
        </w:rPr>
        <w:t>磋商小组将综合分析供应商的各项评审因素，而不以单项评审因素的优劣评选出合格单位。对所有供应商的响应评估，都采用相同的程序和标准，严格按照磋商文件的要求和条件进行。</w:t>
      </w:r>
    </w:p>
    <w:p w14:paraId="06A69C2A">
      <w:pPr>
        <w:tabs>
          <w:tab w:val="left" w:pos="0"/>
        </w:tabs>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9.2评审因素包括：磋商报价，</w:t>
      </w:r>
      <w:r>
        <w:rPr>
          <w:rFonts w:hint="default" w:ascii="Times New Roman" w:hAnsi="Times New Roman" w:cs="Times New Roman"/>
          <w:bCs/>
          <w:sz w:val="24"/>
          <w:szCs w:val="24"/>
          <w:highlight w:val="none"/>
          <w:lang w:val="en-US" w:eastAsia="zh-CN"/>
        </w:rPr>
        <w:t>产品技术指标，组织措施、产品供货、安装调试等措施</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产品渠道及质量保障，进度计划及人员配备，安全保障措施及应急方案，售后服务承诺，培训服务方案，</w:t>
      </w:r>
      <w:r>
        <w:rPr>
          <w:rFonts w:hint="default" w:ascii="Times New Roman" w:hAnsi="Times New Roman" w:cs="Times New Roman"/>
          <w:sz w:val="24"/>
          <w:szCs w:val="24"/>
          <w:highlight w:val="none"/>
          <w:lang w:val="en-US" w:eastAsia="zh-CN"/>
        </w:rPr>
        <w:t>业绩等评审因素，</w:t>
      </w:r>
      <w:r>
        <w:rPr>
          <w:rFonts w:hint="default" w:ascii="Times New Roman" w:hAnsi="Times New Roman" w:cs="Times New Roman"/>
          <w:sz w:val="24"/>
          <w:highlight w:val="none"/>
        </w:rPr>
        <w:t>但不包括“供应商须知”规定的供应商资格条件。</w:t>
      </w:r>
    </w:p>
    <w:p w14:paraId="13FEBADB">
      <w:pPr>
        <w:pStyle w:val="10"/>
        <w:adjustRightInd w:val="0"/>
        <w:snapToGrid w:val="0"/>
        <w:spacing w:line="360" w:lineRule="auto"/>
        <w:ind w:left="857" w:leftChars="229" w:hanging="376" w:hangingChars="157"/>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9.3综合评分操作程序为：</w:t>
      </w:r>
    </w:p>
    <w:p w14:paraId="4A13C457">
      <w:pPr>
        <w:pStyle w:val="11"/>
        <w:widowControl/>
        <w:tabs>
          <w:tab w:val="left" w:pos="1506"/>
        </w:tabs>
        <w:spacing w:after="0" w:line="360" w:lineRule="auto"/>
        <w:ind w:left="0" w:leftChars="0"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9.3.1根据磋商文件和磋商原则，按下表《综合评分明细表》所列评分因素和各评分因素的权重进行评审。</w:t>
      </w:r>
    </w:p>
    <w:p w14:paraId="210DA2D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9.3.2磋商报价：采用低价优先法计算，即满足磋商文件要求且最终磋商报价最低的磋商报价为评标基准价，其价格分为满分。磋商报价得分＝（评标基准价/磋商报价）×</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0。</w:t>
      </w:r>
    </w:p>
    <w:p w14:paraId="12690FE7">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9.3.3由磋商小组成员独立地根据各项因素的评分标准，结合每个供应商的实际情况，分别就磋商报价以外的各项评审因素对每个供应商独立打分。</w:t>
      </w:r>
    </w:p>
    <w:p w14:paraId="208240B7">
      <w:pPr>
        <w:pStyle w:val="11"/>
        <w:widowControl/>
        <w:tabs>
          <w:tab w:val="left" w:pos="1506"/>
        </w:tabs>
        <w:spacing w:after="0" w:line="360" w:lineRule="auto"/>
        <w:ind w:left="0" w:leftChars="0"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9.3.4将所有评审因素所得实际评审分数相加，即为该供应商的评审总得分。评审总得分按下例公式计算：</w:t>
      </w:r>
    </w:p>
    <w:p w14:paraId="6D3CB451">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评审总得分＝F1＋F2＋……＋Fn</w:t>
      </w:r>
    </w:p>
    <w:p w14:paraId="0DEC0ACC">
      <w:pPr>
        <w:pStyle w:val="8"/>
        <w:spacing w:line="360" w:lineRule="auto"/>
        <w:ind w:firstLine="480" w:firstLineChars="200"/>
        <w:jc w:val="both"/>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F1、F2……Fn分别为各项评审因素的汇总得分；</w:t>
      </w:r>
    </w:p>
    <w:p w14:paraId="32DF32D8">
      <w:pPr>
        <w:pStyle w:val="8"/>
        <w:spacing w:line="360" w:lineRule="auto"/>
        <w:ind w:firstLine="480" w:firstLineChars="200"/>
        <w:jc w:val="both"/>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评审过程中，不得去掉报价中的最高报价和最低报价。</w:t>
      </w:r>
    </w:p>
    <w:p w14:paraId="51D5FE76">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9.5非实质性偏离是指磋商文件在实质上响应磋商文件的要求，但在个别地方存在一些不规则、不一致、不完整的内容，并且澄清、说明或者补正这些内容不会改变响应文件的实质性内容。以下情况属于非实质性偏离：</w:t>
      </w:r>
    </w:p>
    <w:p w14:paraId="7F31747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（1）文字表述的内容含义不明确；</w:t>
      </w:r>
    </w:p>
    <w:p w14:paraId="2A78286A">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（2）同类问题表述不一致；</w:t>
      </w:r>
    </w:p>
    <w:p w14:paraId="644C873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（3）有明显文字和计算错误；</w:t>
      </w:r>
    </w:p>
    <w:p w14:paraId="59C8AF32">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（4）提供的技术信息和数据资料不完整；</w:t>
      </w:r>
    </w:p>
    <w:p w14:paraId="18DA39E0">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（5）响应文件未按磋商文件要求进行编制目录、页码；</w:t>
      </w:r>
    </w:p>
    <w:p w14:paraId="6075C0C0">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（6）磋商小组认定的其他非实质性偏离。</w:t>
      </w:r>
    </w:p>
    <w:p w14:paraId="2F4F5CB4">
      <w:pPr>
        <w:tabs>
          <w:tab w:val="left" w:pos="7665"/>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响应文件有上述（1）至（4）情形之一的，磋商小组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w:t>
      </w:r>
    </w:p>
    <w:p w14:paraId="466DEF97">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9.6在响应文件初审过程中，如果出现磋商小组成员意见不一致的情况，按照少数服从多数的原则确定。</w:t>
      </w:r>
    </w:p>
    <w:p w14:paraId="679A03C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9.7本采购项目的评审因素和标准见下列综合评分明细表。</w:t>
      </w:r>
      <w:bookmarkStart w:id="140" w:name="_Toc485883255"/>
    </w:p>
    <w:p w14:paraId="0B7C5942">
      <w:pPr>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br w:type="page"/>
      </w:r>
      <w:r>
        <w:rPr>
          <w:rFonts w:hint="default" w:ascii="Times New Roman" w:hAnsi="Times New Roman" w:cs="Times New Roman"/>
          <w:b/>
          <w:bCs/>
          <w:sz w:val="24"/>
          <w:szCs w:val="24"/>
          <w:highlight w:val="none"/>
        </w:rPr>
        <w:t>综合评分明细表（满分100分）</w:t>
      </w:r>
      <w:bookmarkEnd w:id="140"/>
    </w:p>
    <w:tbl>
      <w:tblPr>
        <w:tblStyle w:val="19"/>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73"/>
        <w:gridCol w:w="7071"/>
        <w:gridCol w:w="832"/>
      </w:tblGrid>
      <w:tr w14:paraId="23C7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1" w:type="dxa"/>
            <w:vAlign w:val="center"/>
          </w:tcPr>
          <w:p w14:paraId="019D3082">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w:t>
            </w:r>
          </w:p>
          <w:p w14:paraId="3147EF05">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因素</w:t>
            </w:r>
          </w:p>
        </w:tc>
        <w:tc>
          <w:tcPr>
            <w:tcW w:w="8544" w:type="dxa"/>
            <w:gridSpan w:val="2"/>
            <w:vAlign w:val="center"/>
          </w:tcPr>
          <w:p w14:paraId="63690814">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     容</w:t>
            </w:r>
          </w:p>
        </w:tc>
        <w:tc>
          <w:tcPr>
            <w:tcW w:w="832" w:type="dxa"/>
            <w:vAlign w:val="center"/>
          </w:tcPr>
          <w:p w14:paraId="4C9E5BFD">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权值</w:t>
            </w:r>
            <w:r>
              <w:rPr>
                <w:rFonts w:hint="default" w:ascii="Times New Roman" w:hAnsi="Times New Roman" w:cs="Times New Roman"/>
                <w:color w:val="auto"/>
                <w:szCs w:val="21"/>
                <w:highlight w:val="none"/>
              </w:rPr>
              <w:t>%</w:t>
            </w:r>
          </w:p>
        </w:tc>
      </w:tr>
      <w:tr w14:paraId="70B0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1" w:type="dxa"/>
            <w:vAlign w:val="center"/>
          </w:tcPr>
          <w:p w14:paraId="210640F9">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磋商</w:t>
            </w:r>
          </w:p>
          <w:p w14:paraId="1E294A87">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报价</w:t>
            </w:r>
          </w:p>
        </w:tc>
        <w:tc>
          <w:tcPr>
            <w:tcW w:w="8544" w:type="dxa"/>
            <w:gridSpan w:val="2"/>
            <w:vAlign w:val="center"/>
          </w:tcPr>
          <w:p w14:paraId="0E20D64B">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满足磋商文件要求且最终报价最低的供应商的价格为磋商基准价，其价格分为满分。其他供应商的价格分统一按照下列公式计算：</w:t>
            </w:r>
          </w:p>
          <w:p w14:paraId="058935CB">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磋商报价得分=</w:t>
            </w:r>
            <w:r>
              <w:rPr>
                <w:rFonts w:hint="default" w:ascii="Times New Roman" w:hAnsi="Times New Roman" w:cs="Times New Roman"/>
                <w:snapToGrid w:val="0"/>
                <w:color w:val="auto"/>
                <w:kern w:val="0"/>
                <w:szCs w:val="21"/>
                <w:highlight w:val="none"/>
              </w:rPr>
              <w:t>（磋商基准价/最后磋商报价）×价格权值×100</w:t>
            </w:r>
          </w:p>
          <w:p w14:paraId="79C28627">
            <w:pPr>
              <w:pStyle w:val="8"/>
              <w:keepNext w:val="0"/>
              <w:keepLines w:val="0"/>
              <w:pageBreakBefore w:val="0"/>
              <w:kinsoku/>
              <w:wordWrap/>
              <w:overflowPunct/>
              <w:topLinePunct w:val="0"/>
              <w:bidi w:val="0"/>
              <w:adjustRightInd/>
              <w:snapToGrid/>
              <w:spacing w:line="360" w:lineRule="exact"/>
              <w:jc w:val="left"/>
              <w:textAlignment w:val="auto"/>
              <w:rPr>
                <w:rFonts w:hint="default"/>
                <w:highlight w:val="none"/>
                <w:lang w:val="en-US" w:eastAsia="zh-CN"/>
              </w:rPr>
            </w:pPr>
            <w:r>
              <w:rPr>
                <w:rFonts w:hint="default" w:ascii="Times New Roman" w:hAnsi="Times New Roman" w:eastAsia="宋体" w:cs="Times New Roman"/>
                <w:b/>
                <w:bCs/>
                <w:color w:val="auto"/>
                <w:sz w:val="21"/>
                <w:szCs w:val="21"/>
                <w:highlight w:val="none"/>
                <w:lang w:val="en-US" w:eastAsia="zh-CN"/>
              </w:rPr>
              <w:t>注：符合招标文件规定的小微企业、监狱企业、残疾人福利企业优惠条件的投标人，价格给予10%的扣除，用扣除后的价格参与评审。</w:t>
            </w:r>
          </w:p>
        </w:tc>
        <w:tc>
          <w:tcPr>
            <w:tcW w:w="832" w:type="dxa"/>
            <w:vAlign w:val="center"/>
          </w:tcPr>
          <w:p w14:paraId="3EF7EA53">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w:t>
            </w:r>
          </w:p>
        </w:tc>
      </w:tr>
      <w:tr w14:paraId="39B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11" w:type="dxa"/>
            <w:vMerge w:val="restart"/>
            <w:vAlign w:val="center"/>
          </w:tcPr>
          <w:p w14:paraId="76EBD2E4">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w:t>
            </w:r>
          </w:p>
          <w:p w14:paraId="0F6BB204">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方案</w:t>
            </w:r>
          </w:p>
        </w:tc>
        <w:tc>
          <w:tcPr>
            <w:tcW w:w="1473" w:type="dxa"/>
            <w:vAlign w:val="center"/>
          </w:tcPr>
          <w:p w14:paraId="621878AD">
            <w:pPr>
              <w:pStyle w:val="8"/>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投标产品技术参数的响应程度</w:t>
            </w:r>
          </w:p>
        </w:tc>
        <w:tc>
          <w:tcPr>
            <w:tcW w:w="7071" w:type="dxa"/>
          </w:tcPr>
          <w:p w14:paraId="122A7B0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vertAlign w:val="baseline"/>
                <w:lang w:val="en-US" w:eastAsia="zh-CN"/>
              </w:rPr>
              <w:t>根据产品技术和性能响应情况打分，完全满足采购技术要求的</w:t>
            </w:r>
            <w:r>
              <w:rPr>
                <w:rFonts w:hint="eastAsia" w:ascii="宋体" w:hAnsi="宋体" w:eastAsia="宋体" w:cs="宋体"/>
                <w:color w:val="auto"/>
                <w:highlight w:val="none"/>
                <w:lang w:val="en-US" w:eastAsia="zh-CN"/>
              </w:rPr>
              <w:t>▲符号参数的，得20分；▲符号参数中，有一项负偏离的扣1分，扣完为止。</w:t>
            </w:r>
            <w:r>
              <w:rPr>
                <w:rFonts w:hint="default" w:ascii="Times New Roman" w:hAnsi="Times New Roman" w:eastAsia="宋体" w:cs="Times New Roman"/>
                <w:color w:val="auto"/>
                <w:sz w:val="21"/>
                <w:szCs w:val="21"/>
                <w:highlight w:val="none"/>
                <w:lang w:val="en-US" w:eastAsia="zh-CN"/>
              </w:rPr>
              <w:t>要求提供证明材料的应提供明材料予以佐证，未提供视为负偏离。</w:t>
            </w:r>
          </w:p>
          <w:p w14:paraId="2D2DDF50">
            <w:pPr>
              <w:pStyle w:val="8"/>
              <w:keepNext w:val="0"/>
              <w:keepLines w:val="0"/>
              <w:pageBreakBefore w:val="0"/>
              <w:kinsoku/>
              <w:wordWrap/>
              <w:overflowPunct/>
              <w:topLinePunct w:val="0"/>
              <w:bidi w:val="0"/>
              <w:adjustRightInd/>
              <w:snapToGrid/>
              <w:spacing w:line="360" w:lineRule="exact"/>
              <w:jc w:val="left"/>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color w:val="auto"/>
                <w:sz w:val="21"/>
                <w:szCs w:val="21"/>
                <w:highlight w:val="none"/>
                <w:lang w:val="en-US" w:eastAsia="zh-CN"/>
              </w:rPr>
              <w:t>证明材料：</w:t>
            </w:r>
            <w:r>
              <w:rPr>
                <w:rFonts w:hint="default" w:ascii="Times New Roman" w:hAnsi="Times New Roman" w:cs="Times New Roman"/>
                <w:bCs/>
                <w:color w:val="auto"/>
                <w:sz w:val="21"/>
                <w:szCs w:val="21"/>
                <w:highlight w:val="none"/>
                <w:vertAlign w:val="baseline"/>
                <w:lang w:val="en-US" w:eastAsia="zh-CN"/>
              </w:rPr>
              <w:t>包含但不限于</w:t>
            </w:r>
            <w:r>
              <w:rPr>
                <w:rFonts w:hint="eastAsia" w:ascii="Times New Roman" w:hAnsi="Times New Roman" w:cs="Times New Roman"/>
                <w:bCs/>
                <w:color w:val="auto"/>
                <w:sz w:val="21"/>
                <w:szCs w:val="21"/>
                <w:highlight w:val="none"/>
                <w:vertAlign w:val="baseline"/>
                <w:lang w:val="en-US" w:eastAsia="zh-CN"/>
              </w:rPr>
              <w:t>供应商</w:t>
            </w:r>
            <w:r>
              <w:rPr>
                <w:rFonts w:hint="default" w:ascii="Times New Roman" w:hAnsi="Times New Roman" w:cs="Times New Roman"/>
                <w:bCs/>
                <w:color w:val="auto"/>
                <w:sz w:val="21"/>
                <w:szCs w:val="21"/>
                <w:highlight w:val="none"/>
                <w:vertAlign w:val="baseline"/>
                <w:lang w:val="en-US" w:eastAsia="zh-CN"/>
              </w:rPr>
              <w:t>出具的产品技术说明书或产品彩页、使用说明书、第三方出具的检验报告或证明等技术指标和参数证明或支持文件。</w:t>
            </w:r>
          </w:p>
        </w:tc>
        <w:tc>
          <w:tcPr>
            <w:tcW w:w="832" w:type="dxa"/>
            <w:vAlign w:val="center"/>
          </w:tcPr>
          <w:p w14:paraId="0F387217">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val="en-US" w:eastAsia="zh-CN"/>
              </w:rPr>
              <w:t>20</w:t>
            </w:r>
          </w:p>
        </w:tc>
      </w:tr>
      <w:tr w14:paraId="06B0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11" w:type="dxa"/>
            <w:vMerge w:val="continue"/>
            <w:vAlign w:val="center"/>
          </w:tcPr>
          <w:p w14:paraId="511FCE59">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cs="Times New Roman"/>
                <w:color w:val="auto"/>
                <w:szCs w:val="21"/>
                <w:highlight w:val="none"/>
              </w:rPr>
            </w:pPr>
          </w:p>
        </w:tc>
        <w:tc>
          <w:tcPr>
            <w:tcW w:w="1473" w:type="dxa"/>
            <w:vAlign w:val="center"/>
          </w:tcPr>
          <w:p w14:paraId="5AC40476">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kern w:val="0"/>
                <w:szCs w:val="21"/>
                <w:highlight w:val="none"/>
              </w:rPr>
              <w:t>供货及安装实施方案</w:t>
            </w:r>
          </w:p>
        </w:tc>
        <w:tc>
          <w:tcPr>
            <w:tcW w:w="7071" w:type="dxa"/>
            <w:vAlign w:val="center"/>
          </w:tcPr>
          <w:p w14:paraId="157766FF">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投标产品的供货、安装调试组织措施完善，并针对本项目特点做出合理计划及调配，由专业的技术人员提供设备安装服务，并帮助采购人将设备调试到最佳使用状态，能保证项目的顺利运行。</w:t>
            </w:r>
          </w:p>
          <w:p w14:paraId="40BA25A8">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供货实施方案完备、合理、切实可行，得8-</w:t>
            </w:r>
            <w:r>
              <w:rPr>
                <w:rFonts w:hint="default" w:ascii="Times New Roman" w:hAnsi="Times New Roman" w:eastAsia="宋体" w:cs="Times New Roman"/>
                <w:szCs w:val="21"/>
                <w:highlight w:val="none"/>
                <w:lang w:val="en-US" w:eastAsia="zh-CN"/>
              </w:rPr>
              <w:t>12</w:t>
            </w:r>
            <w:r>
              <w:rPr>
                <w:rFonts w:hint="default" w:ascii="Times New Roman" w:hAnsi="Times New Roman" w:eastAsia="宋体" w:cs="Times New Roman"/>
                <w:szCs w:val="21"/>
                <w:highlight w:val="none"/>
              </w:rPr>
              <w:t>分；</w:t>
            </w:r>
          </w:p>
          <w:p w14:paraId="61921D61">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供货实施方案较完备，基本合理、可行，得4-7.9分；</w:t>
            </w:r>
          </w:p>
          <w:p w14:paraId="067726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szCs w:val="21"/>
                <w:highlight w:val="none"/>
              </w:rPr>
              <w:t>供货实施方案较差或未提供，得0-3.9分。</w:t>
            </w:r>
          </w:p>
        </w:tc>
        <w:tc>
          <w:tcPr>
            <w:tcW w:w="832" w:type="dxa"/>
            <w:vAlign w:val="center"/>
          </w:tcPr>
          <w:p w14:paraId="674ACD27">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w:t>
            </w:r>
          </w:p>
        </w:tc>
      </w:tr>
      <w:tr w14:paraId="20AE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11" w:type="dxa"/>
            <w:vMerge w:val="continue"/>
            <w:vAlign w:val="center"/>
          </w:tcPr>
          <w:p w14:paraId="29733FE0">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cs="Times New Roman"/>
                <w:color w:val="auto"/>
                <w:szCs w:val="21"/>
                <w:highlight w:val="none"/>
              </w:rPr>
            </w:pPr>
          </w:p>
        </w:tc>
        <w:tc>
          <w:tcPr>
            <w:tcW w:w="1473" w:type="dxa"/>
            <w:vAlign w:val="center"/>
          </w:tcPr>
          <w:p w14:paraId="349EB2EF">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color w:val="auto"/>
                <w:szCs w:val="21"/>
                <w:highlight w:val="none"/>
                <w:lang w:val="en-US" w:eastAsia="zh-CN"/>
              </w:rPr>
              <w:t>安全保障措施及应急方案</w:t>
            </w:r>
          </w:p>
        </w:tc>
        <w:tc>
          <w:tcPr>
            <w:tcW w:w="7071" w:type="dxa"/>
            <w:vAlign w:val="center"/>
          </w:tcPr>
          <w:p w14:paraId="6627ED5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en-US" w:eastAsia="zh-CN"/>
              </w:rPr>
              <w:t>各</w:t>
            </w:r>
            <w:r>
              <w:rPr>
                <w:rFonts w:hint="default" w:ascii="Times New Roman" w:hAnsi="Times New Roman" w:cs="Times New Roman"/>
                <w:color w:val="auto"/>
                <w:szCs w:val="21"/>
                <w:highlight w:val="none"/>
                <w:lang w:val="zh-CN" w:eastAsia="zh-CN"/>
              </w:rPr>
              <w:t>供应商提供科学完整的安全保障措施、</w:t>
            </w:r>
            <w:r>
              <w:rPr>
                <w:rFonts w:hint="default" w:ascii="Times New Roman" w:hAnsi="Times New Roman" w:cs="Times New Roman"/>
                <w:color w:val="auto"/>
                <w:szCs w:val="21"/>
                <w:highlight w:val="none"/>
                <w:lang w:val="en-US" w:eastAsia="zh-CN"/>
              </w:rPr>
              <w:t>设备安装</w:t>
            </w:r>
            <w:r>
              <w:rPr>
                <w:rFonts w:hint="default" w:ascii="Times New Roman" w:hAnsi="Times New Roman" w:cs="Times New Roman"/>
                <w:color w:val="auto"/>
                <w:szCs w:val="21"/>
                <w:highlight w:val="none"/>
                <w:lang w:val="zh-CN" w:eastAsia="zh-CN"/>
              </w:rPr>
              <w:t>现场的安全检查方案、应急处理方案。</w:t>
            </w:r>
          </w:p>
          <w:p w14:paraId="2612572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eastAsia="zh-CN"/>
              </w:rPr>
            </w:pPr>
            <w:r>
              <w:rPr>
                <w:rFonts w:hint="default" w:ascii="Times New Roman" w:hAnsi="Times New Roman" w:eastAsia="宋体" w:cs="Times New Roman"/>
                <w:color w:val="auto"/>
                <w:szCs w:val="21"/>
                <w:highlight w:val="none"/>
                <w:lang w:val="en-US" w:eastAsia="zh-CN"/>
              </w:rPr>
              <w:t>安全保障措施及应急方案</w:t>
            </w:r>
            <w:r>
              <w:rPr>
                <w:rFonts w:hint="default" w:ascii="Times New Roman" w:hAnsi="Times New Roman" w:cs="Times New Roman"/>
                <w:color w:val="auto"/>
                <w:szCs w:val="21"/>
                <w:highlight w:val="none"/>
                <w:lang w:val="zh-CN" w:eastAsia="zh-CN"/>
              </w:rPr>
              <w:t>内容详尽，符合项目实际情况可操作性强的得</w:t>
            </w:r>
            <w:r>
              <w:rPr>
                <w:rFonts w:hint="default" w:ascii="Times New Roman" w:hAnsi="Times New Roman" w:eastAsia="宋体" w:cs="Times New Roman"/>
                <w:szCs w:val="21"/>
                <w:highlight w:val="none"/>
                <w:lang w:val="en-US" w:eastAsia="zh-CN"/>
              </w:rPr>
              <w:t>7</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val="en-US" w:eastAsia="zh-CN"/>
              </w:rPr>
              <w:t>10</w:t>
            </w:r>
            <w:r>
              <w:rPr>
                <w:rFonts w:hint="default" w:ascii="Times New Roman" w:hAnsi="Times New Roman" w:cs="Times New Roman"/>
                <w:color w:val="auto"/>
                <w:szCs w:val="21"/>
                <w:highlight w:val="none"/>
                <w:lang w:val="zh-CN" w:eastAsia="zh-CN"/>
              </w:rPr>
              <w:t>分；</w:t>
            </w:r>
          </w:p>
          <w:p w14:paraId="3B7A2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eastAsia="zh-CN"/>
              </w:rPr>
            </w:pPr>
            <w:r>
              <w:rPr>
                <w:rFonts w:hint="default" w:ascii="Times New Roman" w:hAnsi="Times New Roman" w:eastAsia="宋体" w:cs="Times New Roman"/>
                <w:color w:val="auto"/>
                <w:szCs w:val="21"/>
                <w:highlight w:val="none"/>
                <w:lang w:val="en-US" w:eastAsia="zh-CN"/>
              </w:rPr>
              <w:t>安全保障措施及应急方案</w:t>
            </w:r>
            <w:r>
              <w:rPr>
                <w:rFonts w:hint="default" w:ascii="Times New Roman" w:hAnsi="Times New Roman" w:cs="Times New Roman"/>
                <w:color w:val="auto"/>
                <w:szCs w:val="21"/>
                <w:highlight w:val="none"/>
                <w:lang w:val="zh-CN" w:eastAsia="zh-CN"/>
              </w:rPr>
              <w:t>内容基本合理，各项内容偶有不全面的，基本满足项目实际情况的得</w:t>
            </w:r>
            <w:r>
              <w:rPr>
                <w:rFonts w:hint="default"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rPr>
              <w:t>.9</w:t>
            </w:r>
            <w:r>
              <w:rPr>
                <w:rFonts w:hint="default" w:ascii="Times New Roman" w:hAnsi="Times New Roman" w:cs="Times New Roman"/>
                <w:color w:val="auto"/>
                <w:szCs w:val="21"/>
                <w:highlight w:val="none"/>
                <w:lang w:val="zh-CN" w:eastAsia="zh-CN"/>
              </w:rPr>
              <w:t>分；</w:t>
            </w:r>
          </w:p>
          <w:p w14:paraId="71649F1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color w:val="auto"/>
                <w:szCs w:val="21"/>
                <w:highlight w:val="none"/>
                <w:lang w:val="en-US" w:eastAsia="zh-CN"/>
              </w:rPr>
              <w:t>安全保障措施及应急方案</w:t>
            </w:r>
            <w:r>
              <w:rPr>
                <w:rFonts w:hint="default" w:ascii="Times New Roman" w:hAnsi="Times New Roman" w:cs="Times New Roman"/>
                <w:color w:val="auto"/>
                <w:szCs w:val="21"/>
                <w:highlight w:val="none"/>
                <w:lang w:val="zh-CN" w:eastAsia="zh-CN"/>
              </w:rPr>
              <w:t>内容内容不全面，各项内容缺失严重，内容空洞不符合项目实际情况的</w:t>
            </w:r>
            <w:r>
              <w:rPr>
                <w:rFonts w:hint="default" w:ascii="Times New Roman" w:hAnsi="Times New Roman" w:cs="Times New Roman"/>
                <w:color w:val="auto"/>
                <w:szCs w:val="21"/>
                <w:highlight w:val="none"/>
                <w:lang w:val="en-US" w:eastAsia="zh-CN"/>
              </w:rPr>
              <w:t>或未提供，</w:t>
            </w:r>
            <w:r>
              <w:rPr>
                <w:rFonts w:hint="default" w:ascii="Times New Roman" w:hAnsi="Times New Roman" w:cs="Times New Roman"/>
                <w:color w:val="auto"/>
                <w:szCs w:val="21"/>
                <w:highlight w:val="none"/>
                <w:lang w:val="zh-CN" w:eastAsia="zh-CN"/>
              </w:rPr>
              <w:t>得</w:t>
            </w:r>
            <w:r>
              <w:rPr>
                <w:rFonts w:hint="default" w:ascii="Times New Roman" w:hAnsi="Times New Roman" w:eastAsia="宋体" w:cs="Times New Roman"/>
                <w:szCs w:val="21"/>
                <w:highlight w:val="none"/>
              </w:rPr>
              <w:t>0-</w:t>
            </w: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.9</w:t>
            </w:r>
            <w:r>
              <w:rPr>
                <w:rFonts w:hint="default" w:ascii="Times New Roman" w:hAnsi="Times New Roman" w:cs="Times New Roman"/>
                <w:color w:val="auto"/>
                <w:szCs w:val="21"/>
                <w:highlight w:val="none"/>
                <w:lang w:val="zh-CN" w:eastAsia="zh-CN"/>
              </w:rPr>
              <w:t>分。</w:t>
            </w:r>
          </w:p>
        </w:tc>
        <w:tc>
          <w:tcPr>
            <w:tcW w:w="832" w:type="dxa"/>
            <w:vAlign w:val="center"/>
          </w:tcPr>
          <w:p w14:paraId="4A65DB62">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w:t>
            </w:r>
          </w:p>
        </w:tc>
      </w:tr>
      <w:tr w14:paraId="14D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1" w:type="dxa"/>
            <w:vMerge w:val="continue"/>
            <w:vAlign w:val="center"/>
          </w:tcPr>
          <w:p w14:paraId="2DFD91BE">
            <w:pPr>
              <w:pStyle w:val="12"/>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highlight w:val="none"/>
              </w:rPr>
            </w:pPr>
          </w:p>
        </w:tc>
        <w:tc>
          <w:tcPr>
            <w:tcW w:w="1473" w:type="dxa"/>
            <w:vAlign w:val="center"/>
          </w:tcPr>
          <w:p w14:paraId="2B282023">
            <w:pPr>
              <w:keepNext w:val="0"/>
              <w:keepLines w:val="0"/>
              <w:pageBreakBefore w:val="0"/>
              <w:widowControl/>
              <w:kinsoku/>
              <w:wordWrap/>
              <w:overflowPunct/>
              <w:topLinePunct w:val="0"/>
              <w:bidi w:val="0"/>
              <w:adjustRightInd/>
              <w:snapToGrid/>
              <w:spacing w:line="360" w:lineRule="exact"/>
              <w:jc w:val="center"/>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kern w:val="0"/>
                <w:szCs w:val="21"/>
                <w:highlight w:val="none"/>
              </w:rPr>
              <w:t>质量保证</w:t>
            </w:r>
          </w:p>
        </w:tc>
        <w:tc>
          <w:tcPr>
            <w:tcW w:w="7071" w:type="dxa"/>
            <w:vAlign w:val="center"/>
          </w:tcPr>
          <w:p w14:paraId="3A7E274C">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投标产品供应渠道正常、质量有保证，产品环保、可靠，具有较好的使用效果，符合相关标准及行业要求。提供投标产品的来源渠道证明（包括但不限于销售协议、代理协议、原厂授权等）、技术资料等。</w:t>
            </w:r>
          </w:p>
          <w:p w14:paraId="3E244074">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提供投标产品的来源渠道及技术证明材料完整，质量保证措施完善，得8-1</w:t>
            </w: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分；</w:t>
            </w:r>
          </w:p>
          <w:p w14:paraId="053092C5">
            <w:pPr>
              <w:keepNext w:val="0"/>
              <w:keepLines w:val="0"/>
              <w:pageBreakBefore w:val="0"/>
              <w:kinsoku/>
              <w:wordWrap/>
              <w:overflowPunct/>
              <w:topLinePunct w:val="0"/>
              <w:bidi w:val="0"/>
              <w:adjustRightInd/>
              <w:snapToGrid/>
              <w:spacing w:line="36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提供投标产品的来源渠道及技术证明材料基本完整，质量保证措施基本完善，得4-7.9分；</w:t>
            </w:r>
          </w:p>
          <w:p w14:paraId="0013E8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szCs w:val="21"/>
                <w:highlight w:val="none"/>
              </w:rPr>
              <w:t>提供投标产品来源渠道及技术证明材料不全或质量保证措施不够完善</w:t>
            </w:r>
            <w:r>
              <w:rPr>
                <w:rFonts w:hint="default" w:ascii="Times New Roman" w:hAnsi="Times New Roman" w:eastAsia="宋体" w:cs="Times New Roman"/>
                <w:szCs w:val="21"/>
                <w:highlight w:val="none"/>
                <w:lang w:val="en-US" w:eastAsia="zh-CN"/>
              </w:rPr>
              <w:t>或未提供</w:t>
            </w:r>
            <w:r>
              <w:rPr>
                <w:rFonts w:hint="default" w:ascii="Times New Roman" w:hAnsi="Times New Roman" w:eastAsia="宋体" w:cs="Times New Roman"/>
                <w:szCs w:val="21"/>
                <w:highlight w:val="none"/>
              </w:rPr>
              <w:t>，得0-3.9分。</w:t>
            </w:r>
          </w:p>
        </w:tc>
        <w:tc>
          <w:tcPr>
            <w:tcW w:w="832" w:type="dxa"/>
            <w:vAlign w:val="center"/>
          </w:tcPr>
          <w:p w14:paraId="51BC64BC">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w:t>
            </w:r>
          </w:p>
        </w:tc>
      </w:tr>
      <w:tr w14:paraId="5998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1" w:type="dxa"/>
            <w:vMerge w:val="continue"/>
            <w:vAlign w:val="center"/>
          </w:tcPr>
          <w:p w14:paraId="0FD69997">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Cs w:val="21"/>
                <w:highlight w:val="none"/>
              </w:rPr>
            </w:pPr>
          </w:p>
        </w:tc>
        <w:tc>
          <w:tcPr>
            <w:tcW w:w="1473" w:type="dxa"/>
            <w:vAlign w:val="center"/>
          </w:tcPr>
          <w:p w14:paraId="416C1EEC">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kern w:val="0"/>
                <w:szCs w:val="21"/>
                <w:highlight w:val="none"/>
              </w:rPr>
              <w:t>售后服务</w:t>
            </w:r>
          </w:p>
        </w:tc>
        <w:tc>
          <w:tcPr>
            <w:tcW w:w="7071" w:type="dxa"/>
            <w:vAlign w:val="center"/>
          </w:tcPr>
          <w:p w14:paraId="320BA44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具有便利的售后服务机构并有充足的技术服务人员，针对本项目及采购人实际需求提供详细具体可行的售后服务</w:t>
            </w:r>
            <w:r>
              <w:rPr>
                <w:rFonts w:hint="default" w:ascii="Times New Roman" w:hAnsi="Times New Roman" w:cs="Times New Roman"/>
                <w:color w:val="auto"/>
                <w:szCs w:val="21"/>
                <w:highlight w:val="none"/>
                <w:lang w:val="zh-CN" w:eastAsia="zh-CN"/>
              </w:rPr>
              <w:t>方案</w:t>
            </w:r>
            <w:r>
              <w:rPr>
                <w:rFonts w:hint="default" w:ascii="Times New Roman" w:hAnsi="Times New Roman" w:cs="Times New Roman"/>
                <w:color w:val="auto"/>
                <w:szCs w:val="21"/>
                <w:highlight w:val="none"/>
                <w:lang w:val="zh-CN"/>
              </w:rPr>
              <w:t>。</w:t>
            </w:r>
          </w:p>
          <w:p w14:paraId="6F10B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售后服务机构便利，售后服务措施和承诺详细可行，得8-1</w:t>
            </w:r>
            <w:r>
              <w:rPr>
                <w:rFonts w:hint="default" w:ascii="Times New Roman" w:hAnsi="Times New Roman" w:cs="Times New Roman"/>
                <w:color w:val="auto"/>
                <w:szCs w:val="21"/>
                <w:highlight w:val="none"/>
                <w:lang w:val="zh-CN" w:eastAsia="zh-CN"/>
              </w:rPr>
              <w:t>2</w:t>
            </w:r>
            <w:r>
              <w:rPr>
                <w:rFonts w:hint="default" w:ascii="Times New Roman" w:hAnsi="Times New Roman" w:cs="Times New Roman"/>
                <w:color w:val="auto"/>
                <w:szCs w:val="21"/>
                <w:highlight w:val="none"/>
                <w:lang w:val="zh-CN"/>
              </w:rPr>
              <w:t>分；</w:t>
            </w:r>
          </w:p>
          <w:p w14:paraId="0B49777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售后服务机构较便利，售后服务组织措施和承诺基本可行，得4-7.9分；</w:t>
            </w:r>
          </w:p>
          <w:p w14:paraId="02ECF00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售后服务组织措施和承诺较差</w:t>
            </w:r>
            <w:r>
              <w:rPr>
                <w:rFonts w:hint="default" w:ascii="Times New Roman" w:hAnsi="Times New Roman" w:cs="Times New Roman"/>
                <w:color w:val="auto"/>
                <w:szCs w:val="21"/>
                <w:highlight w:val="none"/>
                <w:lang w:val="en-US" w:eastAsia="zh-CN"/>
              </w:rPr>
              <w:t>或未提供</w:t>
            </w:r>
            <w:r>
              <w:rPr>
                <w:rFonts w:hint="default" w:ascii="Times New Roman" w:hAnsi="Times New Roman" w:cs="Times New Roman"/>
                <w:color w:val="auto"/>
                <w:szCs w:val="21"/>
                <w:highlight w:val="none"/>
                <w:lang w:val="zh-CN"/>
              </w:rPr>
              <w:t>，得0-3.9分。</w:t>
            </w:r>
          </w:p>
        </w:tc>
        <w:tc>
          <w:tcPr>
            <w:tcW w:w="832" w:type="dxa"/>
            <w:vAlign w:val="center"/>
          </w:tcPr>
          <w:p w14:paraId="4CABDD63">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w:t>
            </w:r>
          </w:p>
        </w:tc>
      </w:tr>
      <w:tr w14:paraId="2158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1" w:type="dxa"/>
            <w:vAlign w:val="center"/>
          </w:tcPr>
          <w:p w14:paraId="59A41CC5">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业绩</w:t>
            </w:r>
          </w:p>
        </w:tc>
        <w:tc>
          <w:tcPr>
            <w:tcW w:w="1473" w:type="dxa"/>
            <w:vAlign w:val="center"/>
          </w:tcPr>
          <w:p w14:paraId="6A33769A">
            <w:pPr>
              <w:keepNext w:val="0"/>
              <w:keepLines w:val="0"/>
              <w:pageBreakBefore w:val="0"/>
              <w:tabs>
                <w:tab w:val="left" w:pos="420"/>
                <w:tab w:val="center" w:pos="4153"/>
                <w:tab w:val="right" w:pos="8306"/>
              </w:tabs>
              <w:kinsoku/>
              <w:wordWrap/>
              <w:overflowPunct/>
              <w:topLinePunct w:val="0"/>
              <w:bidi w:val="0"/>
              <w:adjustRightInd/>
              <w:snapToGrid/>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业绩</w:t>
            </w:r>
          </w:p>
        </w:tc>
        <w:tc>
          <w:tcPr>
            <w:tcW w:w="7071" w:type="dxa"/>
            <w:vAlign w:val="center"/>
          </w:tcPr>
          <w:p w14:paraId="1CDB51B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供应商提供202</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val="en-US" w:eastAsia="zh-CN"/>
              </w:rPr>
              <w:t>年1月1日至今类似项目业绩证明材料，以项目中标通知书或者项目合同为准（复印件加盖公章且复印件应清晰），每提供一个业绩证明材料得1分，满分4分。</w:t>
            </w:r>
          </w:p>
        </w:tc>
        <w:tc>
          <w:tcPr>
            <w:tcW w:w="832" w:type="dxa"/>
            <w:vAlign w:val="center"/>
          </w:tcPr>
          <w:p w14:paraId="32DAB214">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r>
      <w:tr w14:paraId="49F2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87" w:type="dxa"/>
            <w:gridSpan w:val="4"/>
            <w:vAlign w:val="center"/>
          </w:tcPr>
          <w:p w14:paraId="6E6569E5">
            <w:pPr>
              <w:keepNext w:val="0"/>
              <w:keepLines w:val="0"/>
              <w:pageBreakBefore w:val="0"/>
              <w:kinsoku/>
              <w:wordWrap/>
              <w:overflowPunct/>
              <w:topLinePunct w:val="0"/>
              <w:bidi w:val="0"/>
              <w:adjustRightInd/>
              <w:snapToGrid/>
              <w:spacing w:line="360" w:lineRule="exact"/>
              <w:jc w:val="both"/>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注：以上内容未提供者，此项不得分。</w:t>
            </w:r>
          </w:p>
        </w:tc>
      </w:tr>
    </w:tbl>
    <w:p w14:paraId="5F699ABF">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10.需要落实的政府采购政策</w:t>
      </w:r>
    </w:p>
    <w:p w14:paraId="3096A08A">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bookmarkStart w:id="141" w:name="_Toc485883256"/>
      <w:r>
        <w:rPr>
          <w:rFonts w:hint="default" w:ascii="Times New Roman" w:hAnsi="Times New Roman" w:cs="Times New Roman"/>
          <w:sz w:val="24"/>
          <w:szCs w:val="24"/>
          <w:highlight w:val="none"/>
        </w:rPr>
        <w:t>10.1节能产品、环境标志产品</w:t>
      </w:r>
    </w:p>
    <w:p w14:paraId="512DED2D">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10.1.1若本项目包括提供货物（产品）的，则适用本条款。</w:t>
      </w:r>
    </w:p>
    <w:p w14:paraId="1F850E05">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10.1.2供应商所供产品，将依据《节能产品、环境标志产品品目清单》和认证证书实施政府优先采购和强制采购。</w:t>
      </w:r>
    </w:p>
    <w:p w14:paraId="40204DAD">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10.1.3供应商可以提供所供产品经国家确定的认证机构出具的、处于有效期之内的节能产品、环境标志产品认证证书复印件。采购代理机构通过中国政府采购网（http</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//www.ccgp.gov.cn/）对获证产品信息进行核对。</w:t>
      </w:r>
    </w:p>
    <w:p w14:paraId="3DF70C8C">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10.1.4供应商所供产品属于下列情形之一的，属于优先采购的不再享受优先采购政策，或者属于强制采购的按无效响应文件处理：</w:t>
      </w:r>
    </w:p>
    <w:p w14:paraId="342A4CB9">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（1）不属于《节能产品、环境标志产品品目清单》中的产品；</w:t>
      </w:r>
    </w:p>
    <w:p w14:paraId="2ED422D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（2）未提供认证证书复印件或经核对认证证书存在信息有误的；</w:t>
      </w:r>
    </w:p>
    <w:p w14:paraId="2FCDFB51">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（3）认证证书过期的。</w:t>
      </w:r>
    </w:p>
    <w:p w14:paraId="2829D896">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10.2中小企业</w:t>
      </w:r>
    </w:p>
    <w:p w14:paraId="5AF24DC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10.2.1 供应商依据《中小企业划型标准规定》（工信部联企业〔2011〕300号）、《金融业企业划型标准规定》（银发〔2015〕309号）的划分标准，属于中小企业的，可享受扶持中小型企业发展优惠政策。</w:t>
      </w:r>
    </w:p>
    <w:p w14:paraId="2C8C9F44">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10.2.2供应商作为中小企业参加政府采购活动，应当提供《中小企业声明函》（见第六章响应文件格式），不提供的声明函，不享受优惠。</w:t>
      </w:r>
    </w:p>
    <w:p w14:paraId="1753A03F">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10.2.3依据《财政部、司法部关于政府采购支持监狱企业发展有关问题的通知》（财库〔2014〕68号）之规定，监狱企业参加政府采购活动，视同小微企业。</w:t>
      </w:r>
    </w:p>
    <w:p w14:paraId="01F39768">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供应商为监狱企业的，应当提供由省级以上监狱管理局、戒毒管理局出具的属于监狱企业的证明文件，未提供或出具证明文件的单位不符合要求的，不视为小微企业，不提供的声明函，不享受优惠。</w:t>
      </w:r>
    </w:p>
    <w:p w14:paraId="663B04A2">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10.2.4依据《财政部、民政部、中国残疾人联合会关于促进残疾人就业政府采购政策的通知》（财库〔2017〕141号）之规定，残疾人福利性单位参加政府采购活动，视同小微企业。</w:t>
      </w:r>
    </w:p>
    <w:p w14:paraId="6076824E">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供应商为残疾人福利性单位的，应当提供《残疾人福利性单位声明函》，未提供的不视为小微企业，不提供的声明函，不享受优惠。 </w:t>
      </w:r>
    </w:p>
    <w:p w14:paraId="29F348AE">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10.2.5以联合体形式参加政府采购活动，联合体各方应均为中小企业，联合体牵头方应当提供《中小企业声明函》，不提供的声明函，不享受优惠。（本项目不接受联合体磋商）</w:t>
      </w:r>
    </w:p>
    <w:p w14:paraId="7AD07DB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10.2.6 政府采购监督检查、投诉处理及政府采购行政处罚中对中小企业的认定，由服务商注册登记所在地的县级以上人民政府中小企业主管部门负责。</w:t>
      </w:r>
    </w:p>
    <w:p w14:paraId="375268E2">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10.3小微企业的价格评分标准</w:t>
      </w:r>
    </w:p>
    <w:p w14:paraId="4C0049A2">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10.3.1对小型、微型企业的价格给予10%的扣除，用扣除后的价格参与评审，其评标价=投标报价*（1-10%）。</w:t>
      </w:r>
    </w:p>
    <w:p w14:paraId="16789BD6">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14:paraId="7E030E09">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10.3.3参加本项目的小微企业须提供《小微企业声明函》（附件），未提供的不视为小微企业。本项目提供的货物不包括使用大型企业注册商标的货物，小型、微型企业提供中型企业制造的货物的，视同为中型企业。投标人须做出承诺，保证真实性，如有虚假，将依法承担相应责任。</w:t>
      </w:r>
    </w:p>
    <w:p w14:paraId="54533FD4">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10.3.4小微企业按《政府采购促进中小企业发展暂行办法》（财库【2020】46号）和《工业和信息化部、国家统计局、国家发展和改革委员会、财政部关于印发&lt;中小企业划型标准规定&gt;的通知》（工信部联企业【2011】300号）文件规定标准确认。</w:t>
      </w:r>
    </w:p>
    <w:p w14:paraId="65CC9E6D">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10.4监狱企业的价格评分标准</w:t>
      </w:r>
    </w:p>
    <w:p w14:paraId="12E5C2D7">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10.4.1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14:paraId="028466E3">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10.4.2监狱企业属于小型、微型企业的，不重复享受政策。 </w:t>
      </w:r>
    </w:p>
    <w:p w14:paraId="3ECF8456">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10.4.3监狱企业参加政府采购活动时，应当提供由省级以上监狱管理局、戒毒管理局（含新疆生产建设兵团）出具的属于监狱企业的证明文件。</w:t>
      </w:r>
    </w:p>
    <w:p w14:paraId="52C3EB36">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10.4.4监狱企业按《财政部、司法部关于政府采购支持监狱企业发展有关问题的通知》（财库〔2014〕68号）文件规定标准执行。</w:t>
      </w:r>
    </w:p>
    <w:p w14:paraId="2970674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10.5残疾人福利性单位的价格评分标准</w:t>
      </w:r>
    </w:p>
    <w:p w14:paraId="509784AD">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10.5.1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14:paraId="61541E81">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10.5.2残疾人福利性单位属于小型、微型企业的，不重复享受政策。</w:t>
      </w:r>
    </w:p>
    <w:p w14:paraId="55A3DE21">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10.5.3符合条件的残疾人福利性单位在参加政府采购活动时，应当提供本通知规定的《残疾人福利性单位声明函》（见附件），并对声明的真实性负责，未提供的不视为残疾人福利性单位。 </w:t>
      </w:r>
    </w:p>
    <w:p w14:paraId="5CA16DFE">
      <w:pPr>
        <w:pStyle w:val="9"/>
        <w:tabs>
          <w:tab w:val="left" w:pos="600"/>
        </w:tabs>
        <w:spacing w:after="0" w:line="360" w:lineRule="auto"/>
        <w:ind w:left="0" w:leftChars="0" w:firstLine="482" w:firstLineChars="200"/>
        <w:jc w:val="left"/>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注：</w:t>
      </w:r>
      <w:r>
        <w:rPr>
          <w:rFonts w:hint="default" w:ascii="Times New Roman" w:hAnsi="Times New Roman" w:cs="Times New Roman"/>
          <w:b/>
          <w:bCs/>
          <w:sz w:val="24"/>
          <w:szCs w:val="24"/>
          <w:highlight w:val="none"/>
          <w:lang w:val="en-US" w:eastAsia="zh-CN"/>
        </w:rPr>
        <w:t>本项目为专门面向中小企业采购，本次报价评审不执行相关政府采购价格优惠政策。</w:t>
      </w:r>
    </w:p>
    <w:p w14:paraId="72DFEC40">
      <w:pPr>
        <w:pStyle w:val="2"/>
        <w:keepLines/>
        <w:spacing w:line="360" w:lineRule="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11.无效响应文件的认定</w:t>
      </w:r>
      <w:bookmarkEnd w:id="141"/>
    </w:p>
    <w:p w14:paraId="59D4C3A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11.1在评审过程中，出现下列情形之一的，应作为无效响应文件：</w:t>
      </w:r>
    </w:p>
    <w:p w14:paraId="78D1B8E4">
      <w:pPr>
        <w:spacing w:line="360" w:lineRule="auto"/>
        <w:ind w:firstLine="480" w:firstLineChars="200"/>
        <w:jc w:val="left"/>
        <w:rPr>
          <w:rFonts w:hint="default" w:ascii="Times New Roman" w:hAnsi="Times New Roman" w:cs="Times New Roman"/>
          <w:sz w:val="24"/>
          <w:highlight w:val="none"/>
        </w:rPr>
      </w:pPr>
      <w:bookmarkStart w:id="142" w:name="_Toc485883257"/>
      <w:r>
        <w:rPr>
          <w:rFonts w:hint="default" w:ascii="Times New Roman" w:hAnsi="Times New Roman" w:cs="Times New Roman"/>
          <w:sz w:val="24"/>
          <w:highlight w:val="none"/>
        </w:rPr>
        <w:t>（1）供应商未经过正常渠道购买磋商文件的；</w:t>
      </w:r>
    </w:p>
    <w:p w14:paraId="0B80590D">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（2）供应商名称与登记领取磋商文件单位的名称不一致的；</w:t>
      </w:r>
    </w:p>
    <w:p w14:paraId="2A30BBE3">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（3）未按照磋商文件规定交纳磋商保证金或提供保证金有瑕疵的（不要求缴纳保证金的除外）；</w:t>
      </w:r>
    </w:p>
    <w:p w14:paraId="20B56C77">
      <w:pPr>
        <w:spacing w:line="360" w:lineRule="auto"/>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（4）未按照磋商文件规定和要求密封、签署、盖章的</w:t>
      </w:r>
      <w:r>
        <w:rPr>
          <w:rFonts w:hint="default" w:ascii="Times New Roman" w:hAnsi="Times New Roman" w:cs="Times New Roman"/>
          <w:sz w:val="24"/>
          <w:highlight w:val="none"/>
          <w:lang w:eastAsia="zh-CN"/>
        </w:rPr>
        <w:t>；</w:t>
      </w:r>
    </w:p>
    <w:p w14:paraId="56D3E403">
      <w:pPr>
        <w:spacing w:line="360" w:lineRule="auto"/>
        <w:ind w:firstLine="480" w:firstLineChars="200"/>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（5）不具备磋商文件中规定的资格条件和要求的</w:t>
      </w:r>
      <w:r>
        <w:rPr>
          <w:rFonts w:hint="default" w:ascii="Times New Roman" w:hAnsi="Times New Roman" w:cs="Times New Roman"/>
          <w:sz w:val="24"/>
          <w:highlight w:val="none"/>
          <w:lang w:eastAsia="zh-CN"/>
        </w:rPr>
        <w:t>；</w:t>
      </w:r>
    </w:p>
    <w:p w14:paraId="68640F93">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（6）未按磋商文件要求提交资格文件或提交资格文件有瑕疵的；</w:t>
      </w:r>
    </w:p>
    <w:p w14:paraId="6BE0C9EC">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（7）磋商文件要求提交原件时未按要求提交原件的；未按要求提交响应文件份数和内容的；电子标书内容与纸质响应文件内容不一致的；</w:t>
      </w:r>
    </w:p>
    <w:p w14:paraId="60BD4606">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（8）提供服务内容出现漏项或数量与要求不符的；</w:t>
      </w:r>
    </w:p>
    <w:p w14:paraId="3730F0D0">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（9）磋商有效期、服务周期要求、售后服务等商务条款不能满足磋商文件要求的；</w:t>
      </w:r>
    </w:p>
    <w:p w14:paraId="2D7A6660">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（10）供应商的第一次报价超过了采购人的预算控制价；</w:t>
      </w:r>
    </w:p>
    <w:p w14:paraId="0F0F6CDE">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（11）响应文件中附有采购人不能接受的条件；</w:t>
      </w:r>
    </w:p>
    <w:p w14:paraId="11697708">
      <w:pPr>
        <w:pStyle w:val="9"/>
        <w:tabs>
          <w:tab w:val="left" w:pos="600"/>
        </w:tabs>
        <w:spacing w:after="0" w:line="360" w:lineRule="auto"/>
        <w:ind w:left="0" w:leftChars="0"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szCs w:val="24"/>
          <w:highlight w:val="none"/>
        </w:rPr>
        <w:t>（12）</w:t>
      </w:r>
      <w:r>
        <w:rPr>
          <w:rFonts w:hint="default" w:ascii="Times New Roman" w:hAnsi="Times New Roman" w:cs="Times New Roman"/>
          <w:sz w:val="24"/>
          <w:highlight w:val="none"/>
        </w:rPr>
        <w:t>未载明或者载明的采购项目履约时间、方式、服务量、及其他政府采购合同实质性内容与磋商文件要求不一致；</w:t>
      </w:r>
    </w:p>
    <w:p w14:paraId="7F373BCF">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（13）响应文件的关键内容字迹模糊和无法辨认的；</w:t>
      </w:r>
    </w:p>
    <w:p w14:paraId="5B77E9EB">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（14）响应文件不符合磋商文件规定的其他情形的；</w:t>
      </w:r>
    </w:p>
    <w:p w14:paraId="18EEE1C6">
      <w:pPr>
        <w:pStyle w:val="9"/>
        <w:tabs>
          <w:tab w:val="left" w:pos="600"/>
        </w:tabs>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（15）响应文件不符合法律法规要求的。</w:t>
      </w:r>
    </w:p>
    <w:p w14:paraId="7383E888">
      <w:pPr>
        <w:keepNext/>
        <w:keepLines/>
        <w:spacing w:line="360" w:lineRule="auto"/>
        <w:ind w:firstLine="482" w:firstLineChars="200"/>
        <w:jc w:val="left"/>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12.特殊情况的处理</w:t>
      </w:r>
      <w:bookmarkEnd w:id="142"/>
    </w:p>
    <w:p w14:paraId="0449A587">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12.1响应文件中如果出现前后不一致的，按照下列规定修正：</w:t>
      </w:r>
    </w:p>
    <w:p w14:paraId="2D1D9ED1">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（1）响应文件中的大写金额与小写金额不一致的，以大写金额为准；</w:t>
      </w:r>
    </w:p>
    <w:p w14:paraId="54065EB8">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（2）响应文件中的总报价与按单价计算的汇总报价不一致的，以单价计算的汇总报价为准；</w:t>
      </w:r>
    </w:p>
    <w:p w14:paraId="3BBB8495">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（3）响应文件中的报价有明显小数点错误的，以总报价为准，并修改报价；</w:t>
      </w:r>
    </w:p>
    <w:p w14:paraId="79F7593D">
      <w:pPr>
        <w:pStyle w:val="15"/>
        <w:spacing w:after="0" w:line="360" w:lineRule="auto"/>
        <w:ind w:left="0" w:leftChars="0"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（4）响应文件中图表与文字表述不一致的，以文字表述为准；</w:t>
      </w:r>
    </w:p>
    <w:p w14:paraId="0F14F67F">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（5）响应文件正本与副本不一致的，以正本为准；</w:t>
      </w:r>
    </w:p>
    <w:p w14:paraId="14050423">
      <w:pPr>
        <w:pStyle w:val="7"/>
        <w:spacing w:line="360" w:lineRule="auto"/>
        <w:ind w:firstLine="48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（6）对不同文字文本响应文件的解释发生异议的，以中文文本为准。</w:t>
      </w:r>
    </w:p>
    <w:p w14:paraId="428744A4">
      <w:pPr>
        <w:widowControl/>
        <w:autoSpaceDE w:val="0"/>
        <w:autoSpaceDN w:val="0"/>
        <w:spacing w:line="360" w:lineRule="auto"/>
        <w:ind w:firstLine="482" w:firstLineChars="200"/>
        <w:jc w:val="left"/>
        <w:textAlignment w:val="bottom"/>
        <w:rPr>
          <w:rFonts w:hint="default" w:ascii="Times New Roman" w:hAnsi="Times New Roman" w:cs="Times New Roman"/>
          <w:b/>
          <w:sz w:val="24"/>
          <w:highlight w:val="none"/>
        </w:rPr>
      </w:pPr>
      <w:r>
        <w:rPr>
          <w:rFonts w:hint="default" w:ascii="Times New Roman" w:hAnsi="Times New Roman" w:cs="Times New Roman"/>
          <w:b/>
          <w:sz w:val="24"/>
          <w:highlight w:val="none"/>
        </w:rPr>
        <w:t>按上述修正错误的方法调整的报价应对供应商具有约束力。如果供应商不接受修正后的价格，其响应文件将被拒绝。</w:t>
      </w:r>
    </w:p>
    <w:p w14:paraId="75653326">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12.2响应文件中，若某项内容为零报价、无报价，经磋商小组评审后，报价得分为零，不参与磋商报价分值的计算。</w:t>
      </w:r>
    </w:p>
    <w:p w14:paraId="25D44AE9">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12.3磋商小组成员打分超过得分界限或未按本办法赋分时，该成员的打分，按废票处理。</w:t>
      </w:r>
    </w:p>
    <w:p w14:paraId="649EC8EC">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12.4评审过程中，各种数字的计算结果，均保留两位小数，第三位“四舍五入”，但计算百分数时应精确到千分位，万分位“四舍五入”。</w:t>
      </w:r>
    </w:p>
    <w:p w14:paraId="12C82D9A">
      <w:pPr>
        <w:pStyle w:val="34"/>
        <w:adjustRightInd/>
        <w:spacing w:line="36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12.5评审过程中，若出现本评审办法以外的特殊情况时，将暂停评审，待磋商小组商榷后，再进行评定。</w:t>
      </w:r>
    </w:p>
    <w:p w14:paraId="31D9E99F">
      <w:pPr>
        <w:pStyle w:val="7"/>
        <w:spacing w:line="360" w:lineRule="auto"/>
        <w:ind w:firstLine="482"/>
        <w:jc w:val="lef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12.6评审过程中，若出现合格供应商只有2家时，符合《政府采购竞争性磋商采购方式管理暂行办法》第3条第4项情形的或政府和社会资本合作服务项目的（财政部财库【2015】124号文件），可以继续进行</w:t>
      </w:r>
      <w:r>
        <w:rPr>
          <w:rFonts w:hint="default" w:ascii="Times New Roman" w:hAnsi="Times New Roman" w:cs="Times New Roman"/>
          <w:b/>
          <w:sz w:val="24"/>
          <w:highlight w:val="none"/>
        </w:rPr>
        <w:t>。</w:t>
      </w:r>
    </w:p>
    <w:p w14:paraId="33121B36">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12.7评审过程中，除符合本章第11.6条款规定情形外，若出现合格供应商少于3家时，采购人将依法报请本级财政部门批准重新组织采购活动。</w:t>
      </w:r>
    </w:p>
    <w:p w14:paraId="781F340F">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12.8评审结果汇总完成后，除下列情形外，任何人不得修改评审结果：</w:t>
      </w:r>
    </w:p>
    <w:p w14:paraId="1551BCCE">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（1）分值汇总计算错误的；</w:t>
      </w:r>
    </w:p>
    <w:p w14:paraId="2FE5779A">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（2）分项评分超出评分标准范围的；</w:t>
      </w:r>
    </w:p>
    <w:p w14:paraId="180E92E5">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（3）磋商小组对客观评审因素评分不一致的；</w:t>
      </w:r>
    </w:p>
    <w:p w14:paraId="53EFEB9B">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（4）经磋商小组会认定评分畸高、畸低的。</w:t>
      </w:r>
    </w:p>
    <w:p w14:paraId="27E5E0A1">
      <w:pPr>
        <w:pStyle w:val="8"/>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成交服务结果的，书面报采购人本级财政部门认定。</w:t>
      </w:r>
    </w:p>
    <w:p w14:paraId="32A80449">
      <w:pPr>
        <w:spacing w:line="360" w:lineRule="auto"/>
        <w:rPr>
          <w:rFonts w:hint="default" w:ascii="Times New Roman" w:hAnsi="Times New Roman" w:cs="Times New Roman"/>
          <w:b/>
          <w:sz w:val="30"/>
          <w:szCs w:val="30"/>
          <w:highlight w:val="none"/>
        </w:rPr>
      </w:pPr>
      <w:bookmarkStart w:id="143" w:name="_Toc485883258"/>
      <w:r>
        <w:rPr>
          <w:rFonts w:hint="default" w:ascii="Times New Roman" w:hAnsi="Times New Roman" w:cs="Times New Roman"/>
          <w:b/>
          <w:sz w:val="30"/>
          <w:szCs w:val="30"/>
          <w:highlight w:val="none"/>
        </w:rPr>
        <w:t>四、磋商结果</w:t>
      </w:r>
      <w:bookmarkEnd w:id="143"/>
    </w:p>
    <w:p w14:paraId="51C6C447">
      <w:pPr>
        <w:keepNext/>
        <w:keepLines/>
        <w:spacing w:line="360" w:lineRule="auto"/>
        <w:ind w:firstLine="482" w:firstLineChars="200"/>
        <w:jc w:val="left"/>
        <w:rPr>
          <w:rFonts w:hint="default" w:ascii="Times New Roman" w:hAnsi="Times New Roman" w:cs="Times New Roman"/>
          <w:b/>
          <w:bCs/>
          <w:sz w:val="24"/>
          <w:szCs w:val="24"/>
          <w:highlight w:val="none"/>
        </w:rPr>
      </w:pPr>
      <w:bookmarkStart w:id="144" w:name="_Toc485883259"/>
      <w:r>
        <w:rPr>
          <w:rFonts w:hint="default" w:ascii="Times New Roman" w:hAnsi="Times New Roman" w:cs="Times New Roman"/>
          <w:b/>
          <w:bCs/>
          <w:sz w:val="24"/>
          <w:szCs w:val="24"/>
          <w:highlight w:val="none"/>
        </w:rPr>
        <w:t>13.成交服务原则</w:t>
      </w:r>
      <w:bookmarkEnd w:id="144"/>
    </w:p>
    <w:p w14:paraId="1DFE46C9">
      <w:pPr>
        <w:widowControl/>
        <w:autoSpaceDE w:val="0"/>
        <w:autoSpaceDN w:val="0"/>
        <w:spacing w:line="360" w:lineRule="auto"/>
        <w:ind w:firstLine="480" w:firstLineChars="200"/>
        <w:jc w:val="left"/>
        <w:textAlignment w:val="bottom"/>
        <w:rPr>
          <w:rFonts w:hint="default" w:ascii="Times New Roman" w:hAnsi="Times New Roman" w:cs="Times New Roman"/>
          <w:sz w:val="24"/>
          <w:highlight w:val="none"/>
        </w:rPr>
      </w:pPr>
      <w:r>
        <w:rPr>
          <w:rFonts w:hint="default" w:ascii="Times New Roman" w:hAnsi="Times New Roman" w:cs="Times New Roman"/>
          <w:sz w:val="24"/>
          <w:highlight w:val="none"/>
        </w:rPr>
        <w:t>13.1采购人从评审报告中推荐的候选供应商中，按照排序由高到低的原则确定</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w:t>
      </w:r>
    </w:p>
    <w:p w14:paraId="52C8967E">
      <w:pPr>
        <w:keepNext/>
        <w:keepLines/>
        <w:spacing w:line="360" w:lineRule="auto"/>
        <w:ind w:firstLine="482" w:firstLineChars="200"/>
        <w:jc w:val="left"/>
        <w:rPr>
          <w:rFonts w:hint="default" w:ascii="Times New Roman" w:hAnsi="Times New Roman" w:cs="Times New Roman"/>
          <w:b/>
          <w:bCs/>
          <w:sz w:val="24"/>
          <w:szCs w:val="24"/>
          <w:highlight w:val="none"/>
        </w:rPr>
      </w:pPr>
      <w:bookmarkStart w:id="145" w:name="_Toc485883260"/>
      <w:r>
        <w:rPr>
          <w:rFonts w:hint="default" w:ascii="Times New Roman" w:hAnsi="Times New Roman" w:cs="Times New Roman"/>
          <w:b/>
          <w:bCs/>
          <w:sz w:val="24"/>
          <w:szCs w:val="24"/>
          <w:highlight w:val="none"/>
        </w:rPr>
        <w:t>14.确定成交服务候选人</w:t>
      </w:r>
      <w:bookmarkEnd w:id="145"/>
    </w:p>
    <w:p w14:paraId="70731266">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14.1磋商小组将评审情况写出书面报告，按包推荐3名服务供应商，并按照综合得分高低标明排列顺序，综合得分相同的，按磋商报价由低到高顺序排列；得分且磋商报价相同的，按实施方案优劣顺序排列，</w:t>
      </w:r>
      <w:r>
        <w:rPr>
          <w:rFonts w:hint="default" w:ascii="Times New Roman" w:hAnsi="Times New Roman" w:cs="Times New Roman"/>
          <w:kern w:val="0"/>
          <w:sz w:val="24"/>
          <w:highlight w:val="none"/>
        </w:rPr>
        <w:t>以上全部相同的，由磋商小组投票决定。</w:t>
      </w:r>
    </w:p>
    <w:p w14:paraId="42D4A850">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14.2采购代理机构在评磋商束后2个工作日内将评审报告送采购人确认。</w:t>
      </w:r>
    </w:p>
    <w:p w14:paraId="03FF6D0A">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14.3采购人在收到评审报告后5个工作日内，按照审标报告中推荐的服务候选人顺序和有关规定确定</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。同时，复函采购代理机构。</w:t>
      </w:r>
    </w:p>
    <w:p w14:paraId="112C3378">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14.4采购代理机构在接到采购人“磋商结果”复函之日起2个工作日内，根据采购人确定的</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，在财政部门指定的政府采购网和媒体上发布成交公告，同时向</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发出《成交通知书》。</w:t>
      </w:r>
    </w:p>
    <w:p w14:paraId="2CFE6F5E">
      <w:pPr>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14.5采购代理机构将评审过程与采购人情况书面报送有关监督机构备案。</w:t>
      </w:r>
    </w:p>
    <w:p w14:paraId="51A3F318">
      <w:pPr>
        <w:keepNext/>
        <w:keepLines/>
        <w:spacing w:line="360" w:lineRule="auto"/>
        <w:ind w:firstLine="482" w:firstLineChars="200"/>
        <w:jc w:val="left"/>
        <w:rPr>
          <w:rFonts w:hint="default" w:ascii="Times New Roman" w:hAnsi="Times New Roman" w:cs="Times New Roman"/>
          <w:b/>
          <w:bCs/>
          <w:sz w:val="24"/>
          <w:szCs w:val="24"/>
          <w:highlight w:val="none"/>
        </w:rPr>
      </w:pPr>
      <w:bookmarkStart w:id="146" w:name="_Toc183582238"/>
      <w:bookmarkStart w:id="147" w:name="_Toc183682375"/>
      <w:bookmarkStart w:id="148" w:name="_Toc485883261"/>
      <w:bookmarkStart w:id="149" w:name="_Toc217446063"/>
      <w:r>
        <w:rPr>
          <w:rFonts w:hint="default" w:ascii="Times New Roman" w:hAnsi="Times New Roman" w:cs="Times New Roman"/>
          <w:b/>
          <w:bCs/>
          <w:sz w:val="24"/>
          <w:szCs w:val="24"/>
          <w:highlight w:val="none"/>
        </w:rPr>
        <w:t>15.成交通知</w:t>
      </w:r>
      <w:bookmarkEnd w:id="146"/>
      <w:bookmarkEnd w:id="147"/>
      <w:r>
        <w:rPr>
          <w:rFonts w:hint="default" w:ascii="Times New Roman" w:hAnsi="Times New Roman" w:cs="Times New Roman"/>
          <w:b/>
          <w:bCs/>
          <w:sz w:val="24"/>
          <w:szCs w:val="24"/>
          <w:highlight w:val="none"/>
        </w:rPr>
        <w:t>书</w:t>
      </w:r>
      <w:bookmarkEnd w:id="148"/>
      <w:bookmarkEnd w:id="149"/>
    </w:p>
    <w:p w14:paraId="785EA0BB">
      <w:pPr>
        <w:tabs>
          <w:tab w:val="left" w:pos="7665"/>
        </w:tabs>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15.1成交通知书是合同文件的组成部分，对采购人和</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具有同等法律效力。成交通知书发出后，采购人改变成交服务结果，或者</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放弃成交服务，应按相关法律、规章、规范性文件的要求承担相应的法律责任。</w:t>
      </w:r>
    </w:p>
    <w:p w14:paraId="17BBB47B">
      <w:pPr>
        <w:tabs>
          <w:tab w:val="left" w:pos="7665"/>
        </w:tabs>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15.2</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应当在接到采购代理机构通知之日起5个工作日内，领取《成交通知书》。</w:t>
      </w:r>
    </w:p>
    <w:p w14:paraId="644E6F88">
      <w:pPr>
        <w:tabs>
          <w:tab w:val="left" w:pos="7665"/>
        </w:tabs>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15.3在《成交通知书》发出后，发现</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有政府采购法律法规规章制度规定的服务无效情形的，采购代理机构在取得有权主体认定后，应当宣布发出的成交通知书无效，并收回发出的成交通知书（</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也应当缴回），依法重新确定</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或者重新开展采购活动。</w:t>
      </w:r>
    </w:p>
    <w:p w14:paraId="2C94360E">
      <w:pPr>
        <w:tabs>
          <w:tab w:val="left" w:pos="7665"/>
        </w:tabs>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15.4</w:t>
      </w:r>
      <w:r>
        <w:rPr>
          <w:rFonts w:hint="default" w:ascii="Times New Roman" w:hAnsi="Times New Roman" w:cs="Times New Roman"/>
          <w:sz w:val="24"/>
          <w:highlight w:val="none"/>
          <w:lang w:eastAsia="zh-CN"/>
        </w:rPr>
        <w:t>成交供应商</w:t>
      </w:r>
      <w:r>
        <w:rPr>
          <w:rFonts w:hint="default" w:ascii="Times New Roman" w:hAnsi="Times New Roman" w:cs="Times New Roman"/>
          <w:sz w:val="24"/>
          <w:highlight w:val="none"/>
        </w:rPr>
        <w:t>在收到采购代理机构的成交通知书后10日内，应按照</w:t>
      </w:r>
      <w:r>
        <w:rPr>
          <w:rFonts w:hint="default" w:ascii="Times New Roman" w:hAnsi="Times New Roman" w:cs="Times New Roman"/>
          <w:b/>
          <w:sz w:val="24"/>
          <w:highlight w:val="none"/>
        </w:rPr>
        <w:t>供应商须知前列表</w:t>
      </w:r>
      <w:r>
        <w:rPr>
          <w:rFonts w:hint="default" w:ascii="Times New Roman" w:hAnsi="Times New Roman" w:cs="Times New Roman"/>
          <w:sz w:val="24"/>
          <w:highlight w:val="none"/>
        </w:rPr>
        <w:t>的规定，向采购人提交履约保证金或履约担保。</w:t>
      </w:r>
    </w:p>
    <w:p w14:paraId="16018F67">
      <w:pPr>
        <w:spacing w:line="360" w:lineRule="auto"/>
        <w:ind w:firstLine="480" w:firstLineChars="200"/>
        <w:jc w:val="left"/>
        <w:rPr>
          <w:rFonts w:hint="default" w:ascii="Times New Roman" w:hAnsi="Times New Roman" w:cs="Times New Roman"/>
          <w:spacing w:val="2"/>
          <w:sz w:val="24"/>
          <w:highlight w:val="none"/>
        </w:rPr>
      </w:pPr>
      <w:r>
        <w:rPr>
          <w:rFonts w:hint="default" w:ascii="Times New Roman" w:hAnsi="Times New Roman" w:cs="Times New Roman"/>
          <w:sz w:val="24"/>
          <w:highlight w:val="none"/>
        </w:rPr>
        <w:t>15.5</w:t>
      </w:r>
      <w:r>
        <w:rPr>
          <w:rFonts w:hint="default" w:ascii="Times New Roman" w:hAnsi="Times New Roman" w:cs="Times New Roman"/>
          <w:sz w:val="24"/>
          <w:highlight w:val="none"/>
          <w:lang w:eastAsia="zh-CN"/>
        </w:rPr>
        <w:t>成交供应商</w:t>
      </w:r>
      <w:r>
        <w:rPr>
          <w:rFonts w:hint="default" w:ascii="Times New Roman" w:hAnsi="Times New Roman" w:cs="Times New Roman"/>
          <w:spacing w:val="4"/>
          <w:sz w:val="24"/>
          <w:highlight w:val="none"/>
        </w:rPr>
        <w:t>没有按照本章第15.4条</w:t>
      </w:r>
      <w:r>
        <w:rPr>
          <w:rFonts w:hint="default" w:ascii="Times New Roman" w:hAnsi="Times New Roman" w:cs="Times New Roman"/>
          <w:kern w:val="0"/>
          <w:sz w:val="24"/>
          <w:highlight w:val="none"/>
          <w:lang w:val="zh-CN"/>
        </w:rPr>
        <w:t>款</w:t>
      </w:r>
      <w:r>
        <w:rPr>
          <w:rFonts w:hint="default" w:ascii="Times New Roman" w:hAnsi="Times New Roman" w:cs="Times New Roman"/>
          <w:spacing w:val="4"/>
          <w:sz w:val="24"/>
          <w:highlight w:val="none"/>
        </w:rPr>
        <w:t>规定</w:t>
      </w:r>
      <w:r>
        <w:rPr>
          <w:rFonts w:hint="default" w:ascii="Times New Roman" w:hAnsi="Times New Roman" w:cs="Times New Roman"/>
          <w:sz w:val="24"/>
          <w:highlight w:val="none"/>
        </w:rPr>
        <w:t>提交履约保证金或履约担保的</w:t>
      </w:r>
      <w:r>
        <w:rPr>
          <w:rFonts w:hint="default" w:ascii="Times New Roman" w:hAnsi="Times New Roman" w:cs="Times New Roman"/>
          <w:spacing w:val="4"/>
          <w:sz w:val="24"/>
          <w:highlight w:val="none"/>
        </w:rPr>
        <w:t>，视为放弃</w:t>
      </w:r>
      <w:r>
        <w:rPr>
          <w:rFonts w:hint="default" w:ascii="Times New Roman" w:hAnsi="Times New Roman" w:cs="Times New Roman"/>
          <w:sz w:val="24"/>
          <w:highlight w:val="none"/>
        </w:rPr>
        <w:t>成交服务资格</w:t>
      </w:r>
      <w:r>
        <w:rPr>
          <w:rFonts w:hint="default" w:ascii="Times New Roman" w:hAnsi="Times New Roman" w:cs="Times New Roman"/>
          <w:spacing w:val="4"/>
          <w:sz w:val="24"/>
          <w:highlight w:val="none"/>
        </w:rPr>
        <w:t>，</w:t>
      </w:r>
      <w:r>
        <w:rPr>
          <w:rFonts w:hint="default" w:ascii="Times New Roman" w:hAnsi="Times New Roman" w:cs="Times New Roman"/>
          <w:spacing w:val="2"/>
          <w:sz w:val="24"/>
          <w:highlight w:val="none"/>
        </w:rPr>
        <w:t>其保证金不予退还。</w:t>
      </w:r>
      <w:bookmarkStart w:id="150" w:name="_Toc237343009"/>
    </w:p>
    <w:p w14:paraId="17EDD86A">
      <w:pPr>
        <w:pStyle w:val="8"/>
        <w:rPr>
          <w:rFonts w:hint="default" w:ascii="Times New Roman" w:hAnsi="Times New Roman" w:cs="Times New Roman"/>
          <w:spacing w:val="2"/>
          <w:sz w:val="24"/>
          <w:highlight w:val="none"/>
        </w:rPr>
      </w:pPr>
    </w:p>
    <w:p w14:paraId="50A4FEDE">
      <w:pPr>
        <w:keepNext w:val="0"/>
        <w:keepLines w:val="0"/>
        <w:pageBreakBefore w:val="0"/>
        <w:widowControl w:val="0"/>
        <w:kinsoku/>
        <w:wordWrap/>
        <w:overflowPunct/>
        <w:topLinePunct w:val="0"/>
        <w:autoSpaceDE w:val="0"/>
        <w:autoSpaceDN w:val="0"/>
        <w:bidi w:val="0"/>
        <w:adjustRightInd/>
        <w:snapToGrid/>
        <w:spacing w:before="313" w:beforeLines="100" w:line="360" w:lineRule="auto"/>
        <w:jc w:val="center"/>
        <w:textAlignment w:val="auto"/>
        <w:outlineLvl w:val="0"/>
        <w:rPr>
          <w:rFonts w:hint="default" w:ascii="Times New Roman" w:hAnsi="Times New Roman" w:cs="Times New Roman"/>
          <w:b/>
          <w:bCs/>
          <w:sz w:val="44"/>
          <w:szCs w:val="44"/>
          <w:highlight w:val="none"/>
          <w:lang w:val="zh-CN"/>
        </w:rPr>
      </w:pPr>
      <w:bookmarkStart w:id="151" w:name="_Toc41045709"/>
      <w:bookmarkStart w:id="152" w:name="_Toc829"/>
      <w:r>
        <w:rPr>
          <w:rFonts w:hint="default" w:ascii="Times New Roman" w:hAnsi="Times New Roman" w:cs="Times New Roman"/>
          <w:b/>
          <w:sz w:val="36"/>
          <w:szCs w:val="36"/>
          <w:highlight w:val="none"/>
        </w:rPr>
        <w:br w:type="page"/>
      </w:r>
      <w:r>
        <w:rPr>
          <w:rFonts w:hint="default" w:ascii="Times New Roman" w:hAnsi="Times New Roman" w:eastAsia="宋体" w:cs="Times New Roman"/>
          <w:b/>
          <w:kern w:val="2"/>
          <w:sz w:val="36"/>
          <w:szCs w:val="36"/>
          <w:highlight w:val="none"/>
          <w:lang w:val="en-US" w:eastAsia="zh-CN" w:bidi="ar-SA"/>
        </w:rPr>
        <w:t>第五部分 合同主要条款及格式</w:t>
      </w:r>
      <w:bookmarkEnd w:id="151"/>
      <w:bookmarkEnd w:id="152"/>
    </w:p>
    <w:bookmarkEnd w:id="150"/>
    <w:p w14:paraId="5526B9A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b/>
          <w:bCs/>
          <w:color w:val="auto"/>
          <w:sz w:val="24"/>
          <w:szCs w:val="24"/>
          <w:highlight w:val="none"/>
          <w:u w:val="none"/>
          <w:lang w:val="en-US" w:eastAsia="zh-CN"/>
        </w:rPr>
      </w:pPr>
      <w:bookmarkStart w:id="153" w:name="_Toc19537"/>
      <w:bookmarkStart w:id="154" w:name="_Toc485883280"/>
      <w:bookmarkStart w:id="155" w:name="_Toc18892"/>
      <w:r>
        <w:rPr>
          <w:rFonts w:hint="default" w:ascii="Times New Roman" w:hAnsi="Times New Roman" w:eastAsia="宋体" w:cs="Times New Roman"/>
          <w:b/>
          <w:bCs/>
          <w:color w:val="auto"/>
          <w:sz w:val="24"/>
          <w:szCs w:val="24"/>
          <w:highlight w:val="none"/>
          <w:u w:val="none"/>
          <w:lang w:val="en-US" w:eastAsia="zh-CN"/>
        </w:rPr>
        <w:t xml:space="preserve"> </w:t>
      </w:r>
    </w:p>
    <w:p w14:paraId="3E6F7433">
      <w:pPr>
        <w:pStyle w:val="33"/>
        <w:spacing w:line="360" w:lineRule="auto"/>
        <w:ind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合同编号： </w:t>
      </w:r>
    </w:p>
    <w:p w14:paraId="058C7AA8">
      <w:pPr>
        <w:pStyle w:val="33"/>
        <w:spacing w:line="360" w:lineRule="auto"/>
        <w:ind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签订地点： </w:t>
      </w:r>
    </w:p>
    <w:p w14:paraId="79923339">
      <w:pPr>
        <w:pStyle w:val="33"/>
        <w:spacing w:line="360" w:lineRule="auto"/>
        <w:ind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签订时间：</w:t>
      </w:r>
    </w:p>
    <w:p w14:paraId="174EB5CD">
      <w:pPr>
        <w:pStyle w:val="33"/>
        <w:spacing w:line="360" w:lineRule="auto"/>
        <w:ind w:firstLine="0" w:firstLineChars="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采购人（甲方）：</w:t>
      </w:r>
    </w:p>
    <w:p w14:paraId="28A74EC1">
      <w:pPr>
        <w:pStyle w:val="33"/>
        <w:spacing w:line="360" w:lineRule="auto"/>
        <w:ind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中标人（乙方）：</w:t>
      </w:r>
    </w:p>
    <w:p w14:paraId="5034AD2A">
      <w:pPr>
        <w:pStyle w:val="33"/>
        <w:spacing w:line="360" w:lineRule="auto"/>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根据《中华人民共和国政府采购法》及实施条例、《中华人民共和国</w:t>
      </w:r>
      <w:r>
        <w:rPr>
          <w:rFonts w:hint="default" w:ascii="Times New Roman" w:hAnsi="Times New Roman" w:eastAsia="宋体" w:cs="Times New Roman"/>
          <w:sz w:val="24"/>
          <w:szCs w:val="24"/>
          <w:highlight w:val="none"/>
          <w:lang w:val="en-US" w:eastAsia="zh-CN"/>
        </w:rPr>
        <w:t>民法典</w:t>
      </w:r>
      <w:r>
        <w:rPr>
          <w:rFonts w:hint="default" w:ascii="Times New Roman" w:hAnsi="Times New Roman" w:eastAsia="宋体" w:cs="Times New Roman"/>
          <w:sz w:val="24"/>
          <w:szCs w:val="24"/>
          <w:highlight w:val="none"/>
        </w:rPr>
        <w:t>法》和甲方</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采购项目（采购项目编号：</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sz w:val="24"/>
          <w:szCs w:val="24"/>
          <w:highlight w:val="none"/>
          <w:lang w:eastAsia="zh-CN"/>
        </w:rPr>
        <w:t>竞争性磋商</w:t>
      </w:r>
      <w:r>
        <w:rPr>
          <w:rFonts w:hint="default" w:ascii="Times New Roman" w:hAnsi="Times New Roman" w:eastAsia="宋体" w:cs="Times New Roman"/>
          <w:sz w:val="24"/>
          <w:szCs w:val="24"/>
          <w:highlight w:val="none"/>
        </w:rPr>
        <w:t>文件、</w:t>
      </w:r>
      <w:r>
        <w:rPr>
          <w:rFonts w:hint="default" w:ascii="Times New Roman" w:hAnsi="Times New Roman" w:eastAsia="宋体" w:cs="Times New Roman"/>
          <w:sz w:val="24"/>
          <w:szCs w:val="24"/>
          <w:highlight w:val="none"/>
          <w:lang w:eastAsia="zh-CN"/>
        </w:rPr>
        <w:t>磋商响应</w:t>
      </w:r>
      <w:r>
        <w:rPr>
          <w:rFonts w:hint="default" w:ascii="Times New Roman" w:hAnsi="Times New Roman" w:eastAsia="宋体" w:cs="Times New Roman"/>
          <w:sz w:val="24"/>
          <w:szCs w:val="24"/>
          <w:highlight w:val="none"/>
        </w:rPr>
        <w:t>文件等有关规定，为确保甲方采购项目的顺利实施，甲、乙双方在平等自愿原则下签订本合同，并共同遵守如下条款：</w:t>
      </w:r>
    </w:p>
    <w:p w14:paraId="5F4D0BCB">
      <w:pPr>
        <w:pStyle w:val="33"/>
        <w:spacing w:line="360" w:lineRule="auto"/>
        <w:ind w:firstLine="482"/>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第一条 合同标的及数量</w:t>
      </w:r>
    </w:p>
    <w:p w14:paraId="24A282D0">
      <w:pPr>
        <w:pStyle w:val="33"/>
        <w:spacing w:line="360" w:lineRule="auto"/>
        <w:ind w:firstLine="480"/>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乙方向甲方提供下列货物（产品）：</w:t>
      </w:r>
    </w:p>
    <w:p w14:paraId="7AF60F5A">
      <w:pPr>
        <w:pStyle w:val="7"/>
        <w:spacing w:line="360" w:lineRule="auto"/>
        <w:ind w:firstLine="602"/>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供货一览表</w:t>
      </w:r>
    </w:p>
    <w:tbl>
      <w:tblPr>
        <w:tblStyle w:val="19"/>
        <w:tblpPr w:leftFromText="181" w:rightFromText="181" w:vertAnchor="text" w:horzAnchor="margin" w:tblpY="58"/>
        <w:tblW w:w="88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3"/>
        <w:gridCol w:w="1885"/>
        <w:gridCol w:w="797"/>
        <w:gridCol w:w="808"/>
        <w:gridCol w:w="730"/>
        <w:gridCol w:w="1060"/>
        <w:gridCol w:w="1461"/>
      </w:tblGrid>
      <w:tr w14:paraId="13A6C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76146280">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序号</w:t>
            </w:r>
          </w:p>
        </w:tc>
        <w:tc>
          <w:tcPr>
            <w:tcW w:w="1333" w:type="dxa"/>
            <w:noWrap/>
            <w:vAlign w:val="center"/>
          </w:tcPr>
          <w:p w14:paraId="06827C8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货物名称</w:t>
            </w:r>
          </w:p>
        </w:tc>
        <w:tc>
          <w:tcPr>
            <w:tcW w:w="1885" w:type="dxa"/>
            <w:noWrap/>
            <w:vAlign w:val="center"/>
          </w:tcPr>
          <w:p w14:paraId="6B4959D9">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品牌/型号</w:t>
            </w:r>
          </w:p>
        </w:tc>
        <w:tc>
          <w:tcPr>
            <w:tcW w:w="797" w:type="dxa"/>
            <w:noWrap/>
            <w:vAlign w:val="center"/>
          </w:tcPr>
          <w:p w14:paraId="664D3493">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规格</w:t>
            </w:r>
          </w:p>
        </w:tc>
        <w:tc>
          <w:tcPr>
            <w:tcW w:w="808" w:type="dxa"/>
            <w:noWrap/>
            <w:vAlign w:val="center"/>
          </w:tcPr>
          <w:p w14:paraId="272EE786">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计量单位</w:t>
            </w:r>
          </w:p>
        </w:tc>
        <w:tc>
          <w:tcPr>
            <w:tcW w:w="730" w:type="dxa"/>
            <w:noWrap/>
            <w:vAlign w:val="center"/>
          </w:tcPr>
          <w:p w14:paraId="34B849C1">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数量</w:t>
            </w:r>
          </w:p>
        </w:tc>
        <w:tc>
          <w:tcPr>
            <w:tcW w:w="1060" w:type="dxa"/>
            <w:noWrap/>
            <w:vAlign w:val="center"/>
          </w:tcPr>
          <w:p w14:paraId="1BF14688">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单价（元）</w:t>
            </w:r>
          </w:p>
        </w:tc>
        <w:tc>
          <w:tcPr>
            <w:tcW w:w="1461" w:type="dxa"/>
            <w:noWrap/>
            <w:vAlign w:val="center"/>
          </w:tcPr>
          <w:p w14:paraId="7C3C9D7E">
            <w:pPr>
              <w:keepNext/>
              <w:keepLines/>
              <w:pageBreakBefore w:val="0"/>
              <w:widowControl w:val="0"/>
              <w:kinsoku/>
              <w:wordWrap/>
              <w:overflowPunct/>
              <w:topLinePunct w:val="0"/>
              <w:autoSpaceDE/>
              <w:autoSpaceDN/>
              <w:bidi w:val="0"/>
              <w:adjustRightInd/>
              <w:snapToGrid/>
              <w:spacing w:before="0" w:after="0" w:line="360" w:lineRule="auto"/>
              <w:ind w:left="236" w:hanging="235" w:hangingChars="98"/>
              <w:jc w:val="center"/>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金额 (元)</w:t>
            </w:r>
          </w:p>
        </w:tc>
      </w:tr>
      <w:tr w14:paraId="14264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4A428A3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1A9B7A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456BD6A7">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23A2C0F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38D0E46E">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208E6A0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680519E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0CF131C8">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6F427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4101B445">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38A830F0">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75E4DD43">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742BBD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1D65E0B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73FDE90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05500D9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16B14E6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21FBD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3E10D09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2586C6E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4330411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46CD5F95">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6678F757">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7E7923E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5B6ED0A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0994BFBE">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63846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6F075414">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2EDB4F87">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1093EDCE">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3B3081F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3F5470A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2D69A230">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0638201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20E1AD0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7F81F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5C54752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68A9E210">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17D1F270">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53845B6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518DA93A">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5870568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1C639DB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4DE71000">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2A7B7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349C0485">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top"/>
          </w:tcPr>
          <w:p w14:paraId="188E8905">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885" w:type="dxa"/>
            <w:noWrap/>
            <w:vAlign w:val="top"/>
          </w:tcPr>
          <w:p w14:paraId="327F0B4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97" w:type="dxa"/>
            <w:noWrap/>
            <w:vAlign w:val="top"/>
          </w:tcPr>
          <w:p w14:paraId="77673FDA">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808" w:type="dxa"/>
            <w:noWrap/>
            <w:vAlign w:val="top"/>
          </w:tcPr>
          <w:p w14:paraId="05785D5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730" w:type="dxa"/>
            <w:noWrap/>
            <w:vAlign w:val="top"/>
          </w:tcPr>
          <w:p w14:paraId="5EB4ACD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060" w:type="dxa"/>
            <w:noWrap/>
            <w:vAlign w:val="top"/>
          </w:tcPr>
          <w:p w14:paraId="636368D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461" w:type="dxa"/>
            <w:noWrap/>
            <w:vAlign w:val="top"/>
          </w:tcPr>
          <w:p w14:paraId="33F5661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r>
      <w:tr w14:paraId="34698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ign w:val="top"/>
          </w:tcPr>
          <w:p w14:paraId="2DE26448">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p>
        </w:tc>
        <w:tc>
          <w:tcPr>
            <w:tcW w:w="1333" w:type="dxa"/>
            <w:noWrap/>
            <w:vAlign w:val="center"/>
          </w:tcPr>
          <w:p w14:paraId="67F2EDAF">
            <w:pPr>
              <w:keepNext/>
              <w:keepLines/>
              <w:pageBreakBefore w:val="0"/>
              <w:widowControl w:val="0"/>
              <w:kinsoku/>
              <w:wordWrap/>
              <w:overflowPunct/>
              <w:topLinePunct w:val="0"/>
              <w:autoSpaceDE/>
              <w:autoSpaceDN/>
              <w:bidi w:val="0"/>
              <w:adjustRightInd/>
              <w:snapToGrid/>
              <w:spacing w:before="0" w:after="0" w:line="360" w:lineRule="auto"/>
              <w:ind w:firstLine="352" w:firstLineChars="147"/>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合计</w:t>
            </w:r>
          </w:p>
        </w:tc>
        <w:tc>
          <w:tcPr>
            <w:tcW w:w="4220" w:type="dxa"/>
            <w:gridSpan w:val="4"/>
            <w:noWrap/>
            <w:vAlign w:val="center"/>
          </w:tcPr>
          <w:p w14:paraId="2CC5748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大写</w:t>
            </w:r>
          </w:p>
        </w:tc>
        <w:tc>
          <w:tcPr>
            <w:tcW w:w="2521" w:type="dxa"/>
            <w:gridSpan w:val="2"/>
            <w:noWrap/>
            <w:vAlign w:val="center"/>
          </w:tcPr>
          <w:p w14:paraId="44610EB3">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w:t>
            </w:r>
          </w:p>
        </w:tc>
      </w:tr>
    </w:tbl>
    <w:p w14:paraId="53543DA6">
      <w:pPr>
        <w:keepNext w:val="0"/>
        <w:keepLines w:val="0"/>
        <w:pageBreakBefore w:val="0"/>
        <w:widowControl w:val="0"/>
        <w:kinsoku/>
        <w:wordWrap/>
        <w:overflowPunct/>
        <w:topLinePunct w:val="0"/>
        <w:autoSpaceDE/>
        <w:autoSpaceDN/>
        <w:bidi w:val="0"/>
        <w:adjustRightInd/>
        <w:snapToGrid/>
        <w:spacing w:before="0" w:after="0" w:line="360" w:lineRule="auto"/>
        <w:ind w:left="0" w:firstLine="482" w:firstLineChars="200"/>
        <w:jc w:val="left"/>
        <w:textAlignment w:val="auto"/>
        <w:outlineLvl w:val="9"/>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第二条 合同价款</w:t>
      </w:r>
    </w:p>
    <w:p w14:paraId="494E764D">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1、合同总价为人民币大写：</w:t>
      </w:r>
      <w:r>
        <w:rPr>
          <w:rFonts w:hint="default" w:ascii="Times New Roman" w:hAnsi="Times New Roman" w:eastAsia="宋体" w:cs="Times New Roman"/>
          <w:b w:val="0"/>
          <w:color w:val="000000"/>
          <w:sz w:val="24"/>
          <w:szCs w:val="24"/>
          <w:highlight w:val="none"/>
          <w:u w:val="single"/>
        </w:rPr>
        <w:t xml:space="preserve">          </w:t>
      </w:r>
      <w:r>
        <w:rPr>
          <w:rFonts w:hint="default" w:ascii="Times New Roman" w:hAnsi="Times New Roman" w:eastAsia="宋体" w:cs="Times New Roman"/>
          <w:b w:val="0"/>
          <w:color w:val="000000"/>
          <w:sz w:val="24"/>
          <w:szCs w:val="24"/>
          <w:highlight w:val="none"/>
        </w:rPr>
        <w:t>元， RMB￥</w:t>
      </w:r>
      <w:r>
        <w:rPr>
          <w:rFonts w:hint="default" w:ascii="Times New Roman" w:hAnsi="Times New Roman" w:eastAsia="宋体" w:cs="Times New Roman"/>
          <w:b w:val="0"/>
          <w:color w:val="000000"/>
          <w:sz w:val="24"/>
          <w:szCs w:val="24"/>
          <w:highlight w:val="none"/>
          <w:u w:val="single"/>
        </w:rPr>
        <w:t xml:space="preserve">         </w:t>
      </w:r>
      <w:r>
        <w:rPr>
          <w:rFonts w:hint="default" w:ascii="Times New Roman" w:hAnsi="Times New Roman" w:eastAsia="宋体" w:cs="Times New Roman"/>
          <w:b w:val="0"/>
          <w:color w:val="000000"/>
          <w:sz w:val="24"/>
          <w:szCs w:val="24"/>
          <w:highlight w:val="none"/>
        </w:rPr>
        <w:t>元。</w:t>
      </w:r>
    </w:p>
    <w:p w14:paraId="13C2F61B">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2、本合同总价是货物（产品）设计、材料、制造、包装、运输、安装、调试、检测、验收合格交付使用之前及保修期内保修服务与备用物件等其他有关各项的含税费用。</w:t>
      </w:r>
    </w:p>
    <w:p w14:paraId="2F55B833">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3、本合同总价还包含乙方应当提供的伴随服务和售后服务费用。</w:t>
      </w:r>
    </w:p>
    <w:p w14:paraId="6C1670D2">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4、本合同执行期间合同总价不变，甲方无须另向乙方支付本合同规定之外的其他任何费用。</w:t>
      </w:r>
    </w:p>
    <w:p w14:paraId="47CFCA9E">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left"/>
        <w:textAlignment w:val="auto"/>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第三条 款项结算</w:t>
      </w:r>
    </w:p>
    <w:p w14:paraId="45684846">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1、货物（产品）按下列比例支付价款：</w:t>
      </w:r>
    </w:p>
    <w:p w14:paraId="1C128C30">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交付完毕并验收合格后，甲方向乙方支付合同总价</w:t>
      </w:r>
      <w:r>
        <w:rPr>
          <w:rFonts w:hint="default" w:ascii="Times New Roman" w:hAnsi="Times New Roman" w:eastAsia="宋体" w:cs="Times New Roman"/>
          <w:b w:val="0"/>
          <w:color w:val="auto"/>
          <w:sz w:val="24"/>
          <w:szCs w:val="24"/>
          <w:highlight w:val="none"/>
          <w:u w:val="single"/>
          <w:lang w:val="en-US" w:eastAsia="zh-CN"/>
        </w:rPr>
        <w:t>100</w:t>
      </w:r>
      <w:r>
        <w:rPr>
          <w:rFonts w:hint="default" w:ascii="Times New Roman" w:hAnsi="Times New Roman" w:eastAsia="宋体" w:cs="Times New Roman"/>
          <w:b w:val="0"/>
          <w:color w:val="auto"/>
          <w:sz w:val="24"/>
          <w:szCs w:val="24"/>
          <w:highlight w:val="none"/>
          <w:u w:val="single"/>
        </w:rPr>
        <w:t>%</w:t>
      </w:r>
      <w:r>
        <w:rPr>
          <w:rFonts w:hint="default" w:ascii="Times New Roman" w:hAnsi="Times New Roman" w:eastAsia="宋体" w:cs="Times New Roman"/>
          <w:b w:val="0"/>
          <w:color w:val="auto"/>
          <w:sz w:val="24"/>
          <w:szCs w:val="24"/>
          <w:highlight w:val="none"/>
        </w:rPr>
        <w:t>的价款。</w:t>
      </w:r>
    </w:p>
    <w:p w14:paraId="2E06C30C">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2、乙方须向甲方出具合法有效的完税发票，甲方进行支付结算。</w:t>
      </w:r>
    </w:p>
    <w:p w14:paraId="0CC00747">
      <w:pPr>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outlineLvl w:val="9"/>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3、结算方式：银行转账。</w:t>
      </w:r>
    </w:p>
    <w:p w14:paraId="1C2EF1C8">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left"/>
        <w:textAlignment w:val="auto"/>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第四条 权利保证</w:t>
      </w:r>
    </w:p>
    <w:p w14:paraId="5283703F">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1、乙方保证对其出售的货物享有合法的权利。</w:t>
      </w:r>
    </w:p>
    <w:p w14:paraId="544C1C5D">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2、乙方保证对其出售的货物上不存在任何未曾向甲方透露的担保物权，如抵押权、质押权、留置权。</w:t>
      </w:r>
    </w:p>
    <w:p w14:paraId="3E9F268D">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3、乙方保证对其出售的货物或其任何一部分没有侵犯第三方的专利权、版权、商标权或其他权利。</w:t>
      </w:r>
    </w:p>
    <w:p w14:paraId="0967ECDB">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4、如甲方在使用该货物构成上述侵权的，则由乙方承担全部责任。</w:t>
      </w:r>
    </w:p>
    <w:p w14:paraId="6E65ED0D">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left"/>
        <w:textAlignment w:val="auto"/>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第五条 交货时间与地点</w:t>
      </w:r>
    </w:p>
    <w:p w14:paraId="047137D1">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乙方在合同签订生效之日起，按甲方指定时间、地点交货。</w:t>
      </w:r>
    </w:p>
    <w:p w14:paraId="00C96C9A">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1、供货时间：合同签订后</w:t>
      </w:r>
      <w:r>
        <w:rPr>
          <w:rFonts w:hint="default"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zh-CN"/>
        </w:rPr>
        <w:t>个日历日内完成供货、安装并调试</w:t>
      </w:r>
      <w:r>
        <w:rPr>
          <w:rFonts w:hint="default" w:ascii="Times New Roman" w:hAnsi="Times New Roman" w:eastAsia="宋体" w:cs="Times New Roman"/>
          <w:color w:val="auto"/>
          <w:sz w:val="24"/>
          <w:szCs w:val="24"/>
          <w:highlight w:val="none"/>
        </w:rPr>
        <w:t>。</w:t>
      </w:r>
    </w:p>
    <w:p w14:paraId="7A2F5C55">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2、交货地点：</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指定地点。</w:t>
      </w:r>
    </w:p>
    <w:p w14:paraId="47E2F5A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cs="Times New Roman"/>
          <w:color w:val="auto"/>
          <w:sz w:val="24"/>
          <w:szCs w:val="24"/>
          <w:highlight w:val="none"/>
          <w:lang w:val="en-US" w:eastAsia="zh-CN"/>
        </w:rPr>
        <w:t>质</w:t>
      </w:r>
      <w:r>
        <w:rPr>
          <w:rFonts w:hint="default" w:ascii="Times New Roman" w:hAnsi="Times New Roman" w:eastAsia="宋体" w:cs="Times New Roman"/>
          <w:color w:val="auto"/>
          <w:sz w:val="24"/>
          <w:szCs w:val="24"/>
          <w:highlight w:val="none"/>
        </w:rPr>
        <w:t>保期：验收合格</w:t>
      </w:r>
      <w:r>
        <w:rPr>
          <w:rFonts w:hint="default" w:ascii="Times New Roman" w:hAnsi="Times New Roman" w:eastAsia="宋体" w:cs="Times New Roman"/>
          <w:color w:val="auto"/>
          <w:sz w:val="24"/>
          <w:szCs w:val="24"/>
          <w:highlight w:val="none"/>
          <w:lang w:val="en-US" w:eastAsia="zh-CN"/>
        </w:rPr>
        <w:t>次日起</w:t>
      </w:r>
      <w:r>
        <w:rPr>
          <w:rFonts w:hint="eastAsia" w:cs="Times New Roman"/>
          <w:color w:val="auto"/>
          <w:sz w:val="24"/>
          <w:szCs w:val="24"/>
          <w:highlight w:val="none"/>
          <w:lang w:val="en-US" w:eastAsia="zh-CN"/>
        </w:rPr>
        <w:t>叁</w:t>
      </w:r>
      <w:r>
        <w:rPr>
          <w:rFonts w:hint="default" w:ascii="Times New Roman" w:hAnsi="Times New Roman" w:eastAsia="宋体" w:cs="Times New Roman"/>
          <w:color w:val="auto"/>
          <w:sz w:val="24"/>
          <w:szCs w:val="24"/>
          <w:highlight w:val="none"/>
        </w:rPr>
        <w:t>年。</w:t>
      </w:r>
    </w:p>
    <w:p w14:paraId="1EE887EE">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xml:space="preserve">第六条 包装要求与运输方式  </w:t>
      </w:r>
    </w:p>
    <w:p w14:paraId="3FDB9416">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1、除合同另有规定外，乙方提供的全部货物均应按标准保护措施进行包装，该包装应适应于远距离运输、防潮、防震、防锈和防野蛮装卸，以确保货物安全运抵指定地点。</w:t>
      </w:r>
    </w:p>
    <w:p w14:paraId="4F25B836">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2、每一包装单元应附详细的装箱单和质量合格证。</w:t>
      </w:r>
    </w:p>
    <w:p w14:paraId="1DAD0832">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3、货物（产品）运输方式：</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FAA1A5F">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4、乙方负责货物（产品）运输，货物运输的合理损耗及计算方法。</w:t>
      </w:r>
    </w:p>
    <w:p w14:paraId="0386D735">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第七条 质量保证</w:t>
      </w:r>
    </w:p>
    <w:p w14:paraId="54001086">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1、乙方须提供全新的、未使用过的合格正品货物（含零部件、配件等），完全符合合同规定的质量、规格和性能的要求。</w:t>
      </w:r>
    </w:p>
    <w:p w14:paraId="214B5D0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2、乙方提供的节能和环保产品必须是列入政府采购清单的产品。</w:t>
      </w:r>
    </w:p>
    <w:p w14:paraId="68588608">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3、质量标准按照最新颁布的国家标准、行业标准或制造商企业标准确定，上述标准不一致的，以严格标准为准。</w:t>
      </w:r>
    </w:p>
    <w:p w14:paraId="61637B2C">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4、乙方所提供货物还应符合国家和陕西省有关安全、环保、节能之规定，“3C”认证的货物（产品）应加贴“3C”认证标志。</w:t>
      </w:r>
    </w:p>
    <w:p w14:paraId="1E752E4B">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5、货物制造质量出现问题，乙方应负责三包（包修、包换、包退），费用由乙方负担，甲方有权到乙方生产场地检查货物质量和生产进度。</w:t>
      </w:r>
    </w:p>
    <w:p w14:paraId="31F37FCB">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第八条 货物验收</w:t>
      </w:r>
    </w:p>
    <w:p w14:paraId="2D7245C1">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1、货物验收由甲方组织，乙方配合，并按下列程序进行：</w:t>
      </w:r>
    </w:p>
    <w:p w14:paraId="3E14304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交货验收时，乙方须提供质检部门产品抽样检查合格的检测报告（或制造商自检报告）及所提供货物（产品）的合格证、装箱清单、配件、随机工具、用户使用手册（产品使用说明书）、保修卡等资料交付给甲方；</w:t>
      </w:r>
    </w:p>
    <w:p w14:paraId="402C1BF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（2）到货验收：货物到达后，按合同第一条款的货物清单和装箱单经行逐一核对，同时检查货物外观，是否有划痕或破损的，并做好相应记录；</w:t>
      </w:r>
    </w:p>
    <w:p w14:paraId="53FBA837">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货物初验：乙方应在货物到货之日起，日内全部完成安装调试完毕；乙方安装调试完毕后日内完成初步验收；初步验收合格后，进入日试用期；试用期间发生重大质量问题的乙方应按照甲方要求履行退换货责任，对于小的质量瑕疵在乙方修复后试用期相应顺延；</w:t>
      </w:r>
    </w:p>
    <w:p w14:paraId="2CC1AC04">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（4）货物终验：试用期结束后日内完成最终验收；</w:t>
      </w:r>
    </w:p>
    <w:p w14:paraId="267B2EA0">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（5）质量验收合格，双方签署质量验收报告。</w:t>
      </w:r>
    </w:p>
    <w:p w14:paraId="7D006531">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2、货物验收依据：</w:t>
      </w:r>
    </w:p>
    <w:p w14:paraId="5E61BCC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（1）招标文件；</w:t>
      </w:r>
    </w:p>
    <w:p w14:paraId="4C4022B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（2）投标文件；</w:t>
      </w:r>
    </w:p>
    <w:p w14:paraId="5ADBDE0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（3）采购合同及补充协议；</w:t>
      </w:r>
    </w:p>
    <w:p w14:paraId="71B9CF37">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（4）质检部门抽样检查货物（产品）合格的检测报告。</w:t>
      </w:r>
    </w:p>
    <w:p w14:paraId="63809F84">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3、货物验收时发现问题的处理办法：</w:t>
      </w:r>
    </w:p>
    <w:p w14:paraId="5876960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（1）乙方提供不符合招标文件和本合同规定的货物（产品），甲方有权拒绝接受；</w:t>
      </w:r>
    </w:p>
    <w:p w14:paraId="3537D293">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553FE9D9">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（3）如货物经乙方次维修仍不能达到合同约定的质量标准，甲方有权退货，并视作乙方不能交付货物而须支付违约赔偿金给甲方，甲方还可依法追究乙方的违约责任； </w:t>
      </w:r>
    </w:p>
    <w:p w14:paraId="6B3FEDAE">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（4）货物安装完成后日内，甲方无故不进行验收工作并已使用货物的，视同已安装调试完成并验收合格；</w:t>
      </w:r>
    </w:p>
    <w:p w14:paraId="7E9AA5AB">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（5）乙方不能完整交付货物及本条第一款规定的单证和工具的，必须负责补齐，否则视为未按合同约定交货；</w:t>
      </w:r>
    </w:p>
    <w:p w14:paraId="24D7FF14">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（6）超出合理磅差的处理方法：</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73C6811B">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第九条 售后服务</w:t>
      </w:r>
    </w:p>
    <w:p w14:paraId="5BC84022">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乙方所供货物提供以下售后服务：</w:t>
      </w:r>
    </w:p>
    <w:p w14:paraId="6B25C488">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（一）质保期内：</w:t>
      </w:r>
    </w:p>
    <w:p w14:paraId="0D95222F">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1、发生质量问题，接到甲方通知后，应于当日派出专业的维修人员到现场进行检测维修，发生的全部费用由乙方承担，若需送回生产厂，乙方承担往返费用 。</w:t>
      </w:r>
    </w:p>
    <w:p w14:paraId="1F7E7ED5">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2、定期派技术人员到现场走访，给予检查维护 。</w:t>
      </w:r>
    </w:p>
    <w:p w14:paraId="1AF8E1F6">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3、排除故障的期限不得超过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小时（工作日）。否则甲方有权指定第三方维修，维修费用由乙方承担。</w:t>
      </w:r>
    </w:p>
    <w:p w14:paraId="3C55E69B">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（二）质保期结束前，进行系统测试，全面保养维护，确保正常运行。</w:t>
      </w:r>
    </w:p>
    <w:p w14:paraId="0B08501F">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第十条 履约保证金</w:t>
      </w:r>
    </w:p>
    <w:p w14:paraId="68BCEA2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lang w:eastAsia="zh-CN"/>
        </w:rPr>
        <w:t>本项目不收取履约保证金。</w:t>
      </w:r>
    </w:p>
    <w:p w14:paraId="2F2DD2DD">
      <w:pPr>
        <w:pStyle w:val="33"/>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第十一条 违约责任</w:t>
      </w:r>
    </w:p>
    <w:p w14:paraId="5A0E532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1、甲方违约责任</w:t>
      </w:r>
    </w:p>
    <w:p w14:paraId="10B62BA1">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（1）甲方无正当理由拒收货物的，甲方应偿付合同总价</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%的违约金；</w:t>
      </w:r>
    </w:p>
    <w:p w14:paraId="6373DA64">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（2）甲方逾期支付货款的，除应及时付足货款外，应向乙方每天支付欠款总额</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‰的滞纳金；但累计滞纳金总额不超过欠款总额的</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3813DF9F">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2、乙方违约责任</w:t>
      </w:r>
    </w:p>
    <w:p w14:paraId="5E0A9B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（1）如乙方不能交付货物，乙方应向甲方支付合同总价</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％的违约金；</w:t>
      </w:r>
    </w:p>
    <w:p w14:paraId="08F649A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（2）乙方逾期交付货物的，每逾期1天，乙方向甲方偿付逾期交货部分货款总额的</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‰的滞纳金。如乙方逾期交货达___天，甲方有权解除合同，解除合同的通知自到达乙方时生效；</w:t>
      </w:r>
    </w:p>
    <w:p w14:paraId="36F35B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（3）乙方所交付的货物品种、型号、规格不符合合同规定的，甲方有权拒收。甲方拒收的，乙方应向甲方支付货款总额</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%的违约金；</w:t>
      </w:r>
    </w:p>
    <w:p w14:paraId="63ED71D7">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向甲方支付货款总额的</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%的违约金；</w:t>
      </w:r>
    </w:p>
    <w:p w14:paraId="428F8A97">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7A0EB75A">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（6）乙方未按本合同的规定和“服务承诺”提供伴随服务/售后服务的，应按合同总价款的%向甲方承担违约责任；</w:t>
      </w:r>
    </w:p>
    <w:p w14:paraId="600957FF">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（7）乙方在承担上述1-7款一项或多项违约责任后，仍应继续履行合同规定的义务（甲方解除合同的除外）。甲方未能及时追究乙方的任何一项违约责任并不表明甲方放弃追究乙方该项或其他违约责任；</w:t>
      </w:r>
    </w:p>
    <w:p w14:paraId="178DDBC6">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（8）乙方偿付的违约金不足以弥补甲方损失的，还应按甲方损失尚未弥补的部分，支付赔偿金给甲方。</w:t>
      </w:r>
    </w:p>
    <w:p w14:paraId="3AADA0D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第十二条 合同的变更和终止</w:t>
      </w:r>
    </w:p>
    <w:p w14:paraId="40DFB31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除《中华人民共和国政府采购法》第49条、第50条第二款规定的情形外，本合同一经签订，甲乙双方不得擅自变更、中止或终止合同。</w:t>
      </w:r>
    </w:p>
    <w:p w14:paraId="03D50AB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第十三条 争议的解决</w:t>
      </w:r>
    </w:p>
    <w:p w14:paraId="70B18185">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5FC72720">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2、因履行本合同引起的或与本合同有关的争议，甲、乙双方应首先通过友好协商解决，如果协商不成，则采取以下第</w:t>
      </w:r>
      <w:r>
        <w:rPr>
          <w:rFonts w:hint="default" w:ascii="Times New Roman" w:hAnsi="Times New Roman" w:eastAsia="宋体" w:cs="Times New Roman"/>
          <w:sz w:val="24"/>
          <w:szCs w:val="24"/>
          <w:highlight w:val="none"/>
          <w:u w:val="single"/>
        </w:rPr>
        <w:t xml:space="preserve">  (2)  </w:t>
      </w:r>
      <w:r>
        <w:rPr>
          <w:rFonts w:hint="default" w:ascii="Times New Roman" w:hAnsi="Times New Roman" w:eastAsia="宋体" w:cs="Times New Roman"/>
          <w:sz w:val="24"/>
          <w:szCs w:val="24"/>
          <w:highlight w:val="none"/>
        </w:rPr>
        <w:t>种方式解决争议：</w:t>
      </w:r>
    </w:p>
    <w:p w14:paraId="37429587">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（1）向甲方所在地有管辖权的人民法院提起诉讼；</w:t>
      </w:r>
    </w:p>
    <w:p w14:paraId="2BA5D17D">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（2）向</w:t>
      </w:r>
      <w:r>
        <w:rPr>
          <w:rFonts w:hint="default" w:ascii="Times New Roman" w:hAnsi="Times New Roman" w:eastAsia="宋体" w:cs="Times New Roman"/>
          <w:sz w:val="24"/>
          <w:szCs w:val="24"/>
          <w:highlight w:val="none"/>
          <w:u w:val="single"/>
        </w:rPr>
        <w:t>西安</w:t>
      </w:r>
      <w:r>
        <w:rPr>
          <w:rFonts w:hint="default" w:ascii="Times New Roman" w:hAnsi="Times New Roman" w:eastAsia="宋体" w:cs="Times New Roman"/>
          <w:sz w:val="24"/>
          <w:szCs w:val="24"/>
          <w:highlight w:val="none"/>
        </w:rPr>
        <w:t>仲裁委员会按其仲裁规则申请仲裁。</w:t>
      </w:r>
    </w:p>
    <w:p w14:paraId="44AF84A4">
      <w:pPr>
        <w:pStyle w:val="3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3、在仲裁期间，本合同应继续履行。</w:t>
      </w:r>
    </w:p>
    <w:p w14:paraId="55A0481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baseline"/>
        <w:outlineLvl w:val="9"/>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第十四条 合同生效及其他</w:t>
      </w:r>
    </w:p>
    <w:p w14:paraId="7C21FE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1、如有未尽事宜，由双方依法订立补充合同。</w:t>
      </w:r>
    </w:p>
    <w:p w14:paraId="53BA446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2、本合同自签订之日起生效。</w:t>
      </w:r>
    </w:p>
    <w:p w14:paraId="46CABF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3、本合同一式___份，具有同等法律效力，甲乙双方各执____份，___份报送政府采购监督管理部门备案，一份鉴证人存档。</w:t>
      </w:r>
    </w:p>
    <w:p w14:paraId="088CFAB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第十五条  附件</w:t>
      </w:r>
    </w:p>
    <w:p w14:paraId="303172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1、项目磋商文件</w:t>
      </w:r>
    </w:p>
    <w:p w14:paraId="1DE5E69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2、项目修改澄清文件</w:t>
      </w:r>
    </w:p>
    <w:p w14:paraId="2408556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3、项目磋商响应文件</w:t>
      </w:r>
    </w:p>
    <w:p w14:paraId="004EE4F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4、成交通知书</w:t>
      </w:r>
    </w:p>
    <w:p w14:paraId="6A55CEC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5、其他</w:t>
      </w:r>
    </w:p>
    <w:p w14:paraId="5C1FDF97">
      <w:pPr>
        <w:snapToGrid w:val="0"/>
        <w:spacing w:line="360" w:lineRule="auto"/>
        <w:jc w:val="left"/>
        <w:rPr>
          <w:rFonts w:hint="default" w:ascii="Times New Roman" w:hAnsi="Times New Roman" w:eastAsia="宋体" w:cs="Times New Roman"/>
          <w:color w:val="auto"/>
          <w:sz w:val="24"/>
          <w:szCs w:val="24"/>
          <w:highlight w:val="none"/>
        </w:rPr>
      </w:pPr>
    </w:p>
    <w:p w14:paraId="102326B0">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甲方</w:t>
      </w:r>
      <w:r>
        <w:rPr>
          <w:rFonts w:hint="default" w:ascii="Times New Roman" w:hAnsi="Times New Roman" w:eastAsia="宋体" w:cs="Times New Roman"/>
          <w:color w:val="auto"/>
          <w:kern w:val="0"/>
          <w:sz w:val="24"/>
          <w:szCs w:val="24"/>
          <w:highlight w:val="none"/>
        </w:rPr>
        <w:t xml:space="preserve">（盖章）：                           </w:t>
      </w:r>
      <w:r>
        <w:rPr>
          <w:rFonts w:hint="default" w:ascii="Times New Roman" w:hAnsi="Times New Roman" w:eastAsia="宋体" w:cs="Times New Roman"/>
          <w:color w:val="auto"/>
          <w:kern w:val="0"/>
          <w:sz w:val="24"/>
          <w:szCs w:val="24"/>
          <w:highlight w:val="none"/>
          <w:lang w:eastAsia="zh-CN"/>
        </w:rPr>
        <w:t>乙方</w:t>
      </w:r>
      <w:r>
        <w:rPr>
          <w:rFonts w:hint="default" w:ascii="Times New Roman" w:hAnsi="Times New Roman" w:eastAsia="宋体" w:cs="Times New Roman"/>
          <w:color w:val="auto"/>
          <w:kern w:val="0"/>
          <w:sz w:val="24"/>
          <w:szCs w:val="24"/>
          <w:highlight w:val="none"/>
        </w:rPr>
        <w:t>（盖章）：</w:t>
      </w:r>
    </w:p>
    <w:p w14:paraId="228CDC62">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法定代表人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委托代理人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法定代表人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委托代理人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w:t>
      </w:r>
    </w:p>
    <w:p w14:paraId="28DC09D9">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地</w:t>
      </w:r>
      <w:r>
        <w:rPr>
          <w:rFonts w:hint="default"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lang w:eastAsia="zh-CN"/>
        </w:rPr>
        <w:t>址</w:t>
      </w: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eastAsia="zh-CN"/>
        </w:rPr>
        <w:t>地</w:t>
      </w:r>
      <w:r>
        <w:rPr>
          <w:rFonts w:hint="default"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lang w:eastAsia="zh-CN"/>
        </w:rPr>
        <w:t>址</w:t>
      </w:r>
      <w:r>
        <w:rPr>
          <w:rFonts w:hint="default" w:ascii="Times New Roman" w:hAnsi="Times New Roman" w:eastAsia="宋体" w:cs="Times New Roman"/>
          <w:color w:val="auto"/>
          <w:kern w:val="0"/>
          <w:sz w:val="24"/>
          <w:szCs w:val="24"/>
          <w:highlight w:val="none"/>
        </w:rPr>
        <w:t>：</w:t>
      </w:r>
    </w:p>
    <w:p w14:paraId="75470B4E">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开户银行：                               开户银行：</w:t>
      </w:r>
    </w:p>
    <w:p w14:paraId="30600D19">
      <w:pPr>
        <w:pStyle w:val="33"/>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银行帐号：                               银行帐号：</w:t>
      </w:r>
    </w:p>
    <w:p w14:paraId="4A1DC426">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    话：                               电    话：</w:t>
      </w:r>
    </w:p>
    <w:p w14:paraId="61ED463F">
      <w:pPr>
        <w:snapToGrid w:val="0"/>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    真：                               传    真：</w:t>
      </w:r>
    </w:p>
    <w:p w14:paraId="3BEF9E69">
      <w:pPr>
        <w:pStyle w:val="8"/>
        <w:keepNext w:val="0"/>
        <w:keepLines w:val="0"/>
        <w:pageBreakBefore w:val="0"/>
        <w:widowControl w:val="0"/>
        <w:kinsoku/>
        <w:wordWrap/>
        <w:overflowPunct/>
        <w:topLinePunct w:val="0"/>
        <w:autoSpaceDE/>
        <w:autoSpaceDN/>
        <w:bidi w:val="0"/>
        <w:adjustRightInd/>
        <w:snapToGrid/>
        <w:spacing w:before="240" w:beforeLines="100" w:after="240" w:afterLines="100"/>
        <w:textAlignment w:val="auto"/>
        <w:outlineLvl w:val="0"/>
        <w:rPr>
          <w:rFonts w:hint="default" w:ascii="Times New Roman" w:hAnsi="Times New Roman" w:cs="Times New Roman"/>
          <w:b/>
          <w:sz w:val="36"/>
          <w:szCs w:val="36"/>
          <w:highlight w:val="none"/>
        </w:rPr>
      </w:pPr>
      <w:r>
        <w:rPr>
          <w:rFonts w:hint="default" w:ascii="Times New Roman" w:hAnsi="Times New Roman" w:eastAsia="宋体" w:cs="Times New Roman"/>
          <w:color w:val="auto"/>
          <w:sz w:val="24"/>
          <w:szCs w:val="24"/>
          <w:highlight w:val="none"/>
          <w:lang w:eastAsia="zh-CN"/>
        </w:rPr>
        <w:t>签约日期：</w:t>
      </w:r>
      <w:r>
        <w:rPr>
          <w:rFonts w:hint="default" w:ascii="Times New Roman" w:hAnsi="Times New Roman" w:eastAsia="宋体" w:cs="Times New Roman"/>
          <w:color w:val="auto"/>
          <w:sz w:val="24"/>
          <w:szCs w:val="24"/>
          <w:highlight w:val="none"/>
          <w:lang w:val="en-US" w:eastAsia="zh-CN"/>
        </w:rPr>
        <w:t xml:space="preserve">    年    月   日              </w:t>
      </w:r>
      <w:r>
        <w:rPr>
          <w:rFonts w:hint="default" w:ascii="Times New Roman" w:hAnsi="Times New Roman" w:eastAsia="宋体" w:cs="Times New Roman"/>
          <w:color w:val="auto"/>
          <w:sz w:val="24"/>
          <w:szCs w:val="24"/>
          <w:highlight w:val="none"/>
          <w:lang w:eastAsia="zh-CN"/>
        </w:rPr>
        <w:t>签约日期：</w:t>
      </w:r>
      <w:r>
        <w:rPr>
          <w:rFonts w:hint="default" w:ascii="Times New Roman" w:hAnsi="Times New Roman" w:eastAsia="宋体" w:cs="Times New Roman"/>
          <w:color w:val="auto"/>
          <w:sz w:val="24"/>
          <w:szCs w:val="24"/>
          <w:highlight w:val="none"/>
          <w:lang w:val="en-US" w:eastAsia="zh-CN"/>
        </w:rPr>
        <w:t xml:space="preserve">    年    月   日</w:t>
      </w:r>
      <w:r>
        <w:rPr>
          <w:rFonts w:hint="default" w:ascii="Times New Roman" w:hAnsi="Times New Roman" w:cs="Times New Roman"/>
          <w:b/>
          <w:sz w:val="24"/>
          <w:szCs w:val="24"/>
          <w:highlight w:val="none"/>
        </w:rPr>
        <w:br w:type="page"/>
      </w:r>
      <w:r>
        <w:rPr>
          <w:rFonts w:hint="default" w:ascii="Times New Roman" w:hAnsi="Times New Roman" w:eastAsia="宋体" w:cs="Times New Roman"/>
          <w:b/>
          <w:kern w:val="2"/>
          <w:sz w:val="36"/>
          <w:szCs w:val="36"/>
          <w:highlight w:val="none"/>
          <w:lang w:val="en-US" w:eastAsia="zh-CN" w:bidi="ar-SA"/>
        </w:rPr>
        <w:t>第六部分 响应文件格式</w:t>
      </w:r>
      <w:bookmarkEnd w:id="153"/>
      <w:bookmarkEnd w:id="154"/>
      <w:bookmarkEnd w:id="155"/>
    </w:p>
    <w:p w14:paraId="1FECC091">
      <w:pPr>
        <w:spacing w:line="360" w:lineRule="auto"/>
        <w:ind w:firstLine="470" w:firstLineChars="196"/>
        <w:rPr>
          <w:rFonts w:hint="default" w:ascii="Times New Roman" w:hAnsi="Times New Roman" w:cs="Times New Roman"/>
          <w:sz w:val="24"/>
          <w:highlight w:val="none"/>
        </w:rPr>
      </w:pPr>
    </w:p>
    <w:p w14:paraId="5D471CF3">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sz w:val="24"/>
          <w:highlight w:val="none"/>
        </w:rPr>
        <w:t>响应文件格式是供应商的部分响应文件格式，供应商应按照这些格式编制响应文件。编制响应文件前，请详细阅读磋商文件，理解文件中的每一项要求，做出逐一实质性响应，认为有必要，可做补充说明。</w:t>
      </w:r>
    </w:p>
    <w:p w14:paraId="76B398BF">
      <w:pPr>
        <w:spacing w:line="400" w:lineRule="exact"/>
        <w:jc w:val="center"/>
        <w:rPr>
          <w:rFonts w:hint="default" w:ascii="Times New Roman" w:hAnsi="Times New Roman" w:cs="Times New Roman"/>
          <w:b/>
          <w:sz w:val="28"/>
          <w:szCs w:val="28"/>
          <w:highlight w:val="none"/>
        </w:rPr>
      </w:pPr>
    </w:p>
    <w:p w14:paraId="300F37E9">
      <w:pPr>
        <w:spacing w:line="400" w:lineRule="exact"/>
        <w:ind w:firstLine="570"/>
        <w:rPr>
          <w:rFonts w:hint="default" w:ascii="Times New Roman" w:hAnsi="Times New Roman" w:cs="Times New Roman"/>
          <w:sz w:val="28"/>
          <w:szCs w:val="28"/>
          <w:highlight w:val="none"/>
        </w:rPr>
      </w:pPr>
    </w:p>
    <w:p w14:paraId="3218B5F7">
      <w:pPr>
        <w:spacing w:line="400" w:lineRule="exact"/>
        <w:ind w:firstLine="570"/>
        <w:rPr>
          <w:rFonts w:hint="default" w:ascii="Times New Roman" w:hAnsi="Times New Roman" w:cs="Times New Roman"/>
          <w:sz w:val="28"/>
          <w:szCs w:val="28"/>
          <w:highlight w:val="none"/>
        </w:rPr>
      </w:pPr>
    </w:p>
    <w:p w14:paraId="3CFB5606">
      <w:pPr>
        <w:spacing w:line="400" w:lineRule="exact"/>
        <w:ind w:firstLine="570"/>
        <w:rPr>
          <w:rFonts w:hint="default" w:ascii="Times New Roman" w:hAnsi="Times New Roman" w:cs="Times New Roman"/>
          <w:sz w:val="28"/>
          <w:szCs w:val="28"/>
          <w:highlight w:val="none"/>
        </w:rPr>
      </w:pPr>
    </w:p>
    <w:p w14:paraId="53F1F96A">
      <w:pPr>
        <w:rPr>
          <w:rFonts w:hint="default" w:ascii="Times New Roman" w:hAnsi="Times New Roman" w:cs="Times New Roman"/>
          <w:highlight w:val="none"/>
        </w:rPr>
      </w:pPr>
    </w:p>
    <w:p w14:paraId="4C6F735E">
      <w:pPr>
        <w:rPr>
          <w:rFonts w:hint="default" w:ascii="Times New Roman" w:hAnsi="Times New Roman" w:cs="Times New Roman"/>
          <w:highlight w:val="none"/>
        </w:rPr>
      </w:pPr>
    </w:p>
    <w:p w14:paraId="58665597">
      <w:pPr>
        <w:spacing w:line="400" w:lineRule="exact"/>
        <w:ind w:firstLine="570"/>
        <w:rPr>
          <w:rFonts w:hint="default" w:ascii="Times New Roman" w:hAnsi="Times New Roman" w:cs="Times New Roman"/>
          <w:sz w:val="28"/>
          <w:szCs w:val="28"/>
          <w:highlight w:val="none"/>
        </w:rPr>
      </w:pPr>
    </w:p>
    <w:p w14:paraId="050F29E8">
      <w:pPr>
        <w:spacing w:line="400" w:lineRule="exact"/>
        <w:ind w:firstLine="570"/>
        <w:rPr>
          <w:rFonts w:hint="default" w:ascii="Times New Roman" w:hAnsi="Times New Roman" w:cs="Times New Roman"/>
          <w:sz w:val="28"/>
          <w:szCs w:val="28"/>
          <w:highlight w:val="none"/>
        </w:rPr>
      </w:pPr>
    </w:p>
    <w:p w14:paraId="0A117D5A">
      <w:pPr>
        <w:spacing w:line="400" w:lineRule="exact"/>
        <w:ind w:firstLine="570"/>
        <w:rPr>
          <w:rFonts w:hint="default" w:ascii="Times New Roman" w:hAnsi="Times New Roman" w:cs="Times New Roman"/>
          <w:sz w:val="28"/>
          <w:szCs w:val="28"/>
          <w:highlight w:val="none"/>
        </w:rPr>
      </w:pPr>
    </w:p>
    <w:p w14:paraId="3E04B721">
      <w:pPr>
        <w:spacing w:line="400" w:lineRule="exact"/>
        <w:ind w:firstLine="570"/>
        <w:rPr>
          <w:rFonts w:hint="default" w:ascii="Times New Roman" w:hAnsi="Times New Roman" w:cs="Times New Roman"/>
          <w:sz w:val="28"/>
          <w:szCs w:val="28"/>
          <w:highlight w:val="none"/>
        </w:rPr>
      </w:pPr>
    </w:p>
    <w:p w14:paraId="54417C3F">
      <w:pPr>
        <w:spacing w:line="400" w:lineRule="exact"/>
        <w:ind w:firstLine="570"/>
        <w:rPr>
          <w:rFonts w:hint="default" w:ascii="Times New Roman" w:hAnsi="Times New Roman" w:cs="Times New Roman"/>
          <w:sz w:val="28"/>
          <w:szCs w:val="28"/>
          <w:highlight w:val="none"/>
        </w:rPr>
      </w:pPr>
    </w:p>
    <w:p w14:paraId="1967C7D3">
      <w:pPr>
        <w:spacing w:line="400" w:lineRule="exact"/>
        <w:ind w:firstLine="570"/>
        <w:rPr>
          <w:rFonts w:hint="default" w:ascii="Times New Roman" w:hAnsi="Times New Roman" w:cs="Times New Roman"/>
          <w:sz w:val="28"/>
          <w:szCs w:val="28"/>
          <w:highlight w:val="none"/>
        </w:rPr>
      </w:pPr>
    </w:p>
    <w:p w14:paraId="76F22AFB">
      <w:pPr>
        <w:spacing w:line="400" w:lineRule="exact"/>
        <w:ind w:firstLine="570"/>
        <w:rPr>
          <w:rFonts w:hint="default" w:ascii="Times New Roman" w:hAnsi="Times New Roman" w:cs="Times New Roman"/>
          <w:sz w:val="28"/>
          <w:szCs w:val="28"/>
          <w:highlight w:val="none"/>
        </w:rPr>
      </w:pPr>
    </w:p>
    <w:p w14:paraId="74A8F99F">
      <w:pPr>
        <w:spacing w:line="400" w:lineRule="exact"/>
        <w:ind w:firstLine="570"/>
        <w:rPr>
          <w:rFonts w:hint="default" w:ascii="Times New Roman" w:hAnsi="Times New Roman" w:cs="Times New Roman"/>
          <w:b/>
          <w:sz w:val="28"/>
          <w:szCs w:val="28"/>
          <w:highlight w:val="none"/>
        </w:rPr>
      </w:pPr>
    </w:p>
    <w:p w14:paraId="2C197297">
      <w:pPr>
        <w:spacing w:line="400" w:lineRule="exact"/>
        <w:ind w:firstLine="570"/>
        <w:rPr>
          <w:rFonts w:hint="default" w:ascii="Times New Roman" w:hAnsi="Times New Roman" w:cs="Times New Roman"/>
          <w:b/>
          <w:sz w:val="28"/>
          <w:szCs w:val="28"/>
          <w:highlight w:val="none"/>
        </w:rPr>
      </w:pPr>
    </w:p>
    <w:p w14:paraId="1D0AC2AE">
      <w:pPr>
        <w:spacing w:line="400" w:lineRule="exact"/>
        <w:ind w:firstLine="570"/>
        <w:rPr>
          <w:rFonts w:hint="default" w:ascii="Times New Roman" w:hAnsi="Times New Roman" w:cs="Times New Roman"/>
          <w:b/>
          <w:sz w:val="28"/>
          <w:szCs w:val="28"/>
          <w:highlight w:val="none"/>
        </w:rPr>
      </w:pPr>
    </w:p>
    <w:p w14:paraId="31DABDDC">
      <w:pPr>
        <w:spacing w:line="400" w:lineRule="exact"/>
        <w:ind w:firstLine="570"/>
        <w:rPr>
          <w:rFonts w:hint="default" w:ascii="Times New Roman" w:hAnsi="Times New Roman" w:cs="Times New Roman"/>
          <w:b/>
          <w:sz w:val="28"/>
          <w:szCs w:val="28"/>
          <w:highlight w:val="none"/>
        </w:rPr>
      </w:pPr>
    </w:p>
    <w:p w14:paraId="0B83C73D">
      <w:pPr>
        <w:spacing w:line="400" w:lineRule="exact"/>
        <w:ind w:firstLine="570"/>
        <w:rPr>
          <w:rFonts w:hint="default" w:ascii="Times New Roman" w:hAnsi="Times New Roman" w:cs="Times New Roman"/>
          <w:b/>
          <w:sz w:val="28"/>
          <w:szCs w:val="28"/>
          <w:highlight w:val="none"/>
        </w:rPr>
      </w:pPr>
    </w:p>
    <w:p w14:paraId="17E20117">
      <w:pPr>
        <w:spacing w:line="400" w:lineRule="exact"/>
        <w:ind w:firstLine="570"/>
        <w:rPr>
          <w:rFonts w:hint="default" w:ascii="Times New Roman" w:hAnsi="Times New Roman" w:cs="Times New Roman"/>
          <w:b/>
          <w:sz w:val="28"/>
          <w:szCs w:val="28"/>
          <w:highlight w:val="none"/>
        </w:rPr>
      </w:pPr>
    </w:p>
    <w:p w14:paraId="259F9EC3">
      <w:pPr>
        <w:spacing w:line="400" w:lineRule="exact"/>
        <w:ind w:firstLine="570"/>
        <w:rPr>
          <w:rFonts w:hint="default" w:ascii="Times New Roman" w:hAnsi="Times New Roman" w:cs="Times New Roman"/>
          <w:b/>
          <w:sz w:val="28"/>
          <w:szCs w:val="28"/>
          <w:highlight w:val="none"/>
        </w:rPr>
      </w:pPr>
    </w:p>
    <w:p w14:paraId="3DF78FFB">
      <w:pPr>
        <w:spacing w:line="400" w:lineRule="exact"/>
        <w:ind w:firstLine="570"/>
        <w:rPr>
          <w:rFonts w:hint="default" w:ascii="Times New Roman" w:hAnsi="Times New Roman" w:cs="Times New Roman"/>
          <w:b/>
          <w:sz w:val="28"/>
          <w:szCs w:val="28"/>
          <w:highlight w:val="none"/>
        </w:rPr>
      </w:pPr>
    </w:p>
    <w:p w14:paraId="2E5D8BFE">
      <w:pPr>
        <w:spacing w:line="400" w:lineRule="exact"/>
        <w:ind w:firstLine="570"/>
        <w:rPr>
          <w:rFonts w:hint="default" w:ascii="Times New Roman" w:hAnsi="Times New Roman" w:cs="Times New Roman"/>
          <w:b/>
          <w:sz w:val="28"/>
          <w:szCs w:val="28"/>
          <w:highlight w:val="none"/>
        </w:rPr>
      </w:pPr>
    </w:p>
    <w:p w14:paraId="7AE0133B">
      <w:pPr>
        <w:spacing w:line="400" w:lineRule="exact"/>
        <w:ind w:firstLine="570"/>
        <w:rPr>
          <w:rFonts w:hint="default" w:ascii="Times New Roman" w:hAnsi="Times New Roman" w:cs="Times New Roman"/>
          <w:b/>
          <w:sz w:val="28"/>
          <w:szCs w:val="28"/>
          <w:highlight w:val="none"/>
        </w:rPr>
      </w:pPr>
    </w:p>
    <w:p w14:paraId="0CD8A88F">
      <w:pPr>
        <w:spacing w:line="400" w:lineRule="exact"/>
        <w:ind w:firstLine="570"/>
        <w:rPr>
          <w:rFonts w:hint="default" w:ascii="Times New Roman" w:hAnsi="Times New Roman" w:cs="Times New Roman"/>
          <w:b/>
          <w:sz w:val="28"/>
          <w:szCs w:val="28"/>
          <w:highlight w:val="none"/>
        </w:rPr>
      </w:pPr>
    </w:p>
    <w:p w14:paraId="7714939B">
      <w:pPr>
        <w:spacing w:line="360" w:lineRule="auto"/>
        <w:rPr>
          <w:rFonts w:hint="default" w:ascii="Times New Roman" w:hAnsi="Times New Roman" w:cs="Times New Roman"/>
          <w:sz w:val="32"/>
          <w:szCs w:val="32"/>
          <w:highlight w:val="none"/>
        </w:rPr>
      </w:pPr>
    </w:p>
    <w:p w14:paraId="7FB4A0BF">
      <w:pPr>
        <w:spacing w:line="360" w:lineRule="auto"/>
        <w:rPr>
          <w:rFonts w:hint="default" w:ascii="Times New Roman" w:hAnsi="Times New Roman" w:cs="Times New Roman"/>
          <w:sz w:val="32"/>
          <w:szCs w:val="32"/>
          <w:highlight w:val="none"/>
        </w:rPr>
      </w:pPr>
    </w:p>
    <w:p w14:paraId="716B74AF">
      <w:pPr>
        <w:spacing w:line="360" w:lineRule="auto"/>
        <w:jc w:val="right"/>
        <w:rPr>
          <w:rFonts w:hint="default" w:ascii="Times New Roman" w:hAnsi="Times New Roman" w:cs="Times New Roman"/>
          <w:sz w:val="32"/>
          <w:szCs w:val="32"/>
          <w:highlight w:val="none"/>
        </w:rPr>
      </w:pPr>
      <w:bookmarkStart w:id="156" w:name="_Toc217446082"/>
      <w:r>
        <w:rPr>
          <w:rFonts w:hint="default" w:ascii="Times New Roman" w:hAnsi="Times New Roman" w:cs="Times New Roman"/>
          <w:sz w:val="32"/>
          <w:szCs w:val="32"/>
          <w:highlight w:val="none"/>
        </w:rPr>
        <w:br w:type="page"/>
      </w:r>
    </w:p>
    <w:p w14:paraId="5291BCFA">
      <w:pPr>
        <w:spacing w:line="360" w:lineRule="auto"/>
        <w:jc w:val="righ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正本/副本</w:t>
      </w:r>
    </w:p>
    <w:p w14:paraId="41434BEC">
      <w:pPr>
        <w:spacing w:line="360" w:lineRule="auto"/>
        <w:rPr>
          <w:rFonts w:hint="default" w:ascii="Times New Roman" w:hAnsi="Times New Roman" w:cs="Times New Roman"/>
          <w:kern w:val="0"/>
          <w:sz w:val="32"/>
          <w:szCs w:val="32"/>
          <w:highlight w:val="none"/>
        </w:rPr>
      </w:pPr>
      <w:r>
        <w:rPr>
          <w:rFonts w:hint="default" w:ascii="Times New Roman" w:hAnsi="Times New Roman" w:cs="Times New Roman"/>
          <w:sz w:val="32"/>
          <w:szCs w:val="32"/>
          <w:highlight w:val="none"/>
        </w:rPr>
        <w:t>采购项目编号：</w:t>
      </w:r>
    </w:p>
    <w:p w14:paraId="1721A0BD">
      <w:pPr>
        <w:spacing w:line="360" w:lineRule="auto"/>
        <w:rPr>
          <w:rFonts w:hint="default" w:ascii="Times New Roman" w:hAnsi="Times New Roman" w:cs="Times New Roman"/>
          <w:sz w:val="32"/>
          <w:szCs w:val="32"/>
          <w:highlight w:val="none"/>
        </w:rPr>
      </w:pPr>
    </w:p>
    <w:p w14:paraId="0CEE5097">
      <w:pPr>
        <w:pStyle w:val="10"/>
        <w:adjustRightInd w:val="0"/>
        <w:snapToGrid w:val="0"/>
        <w:spacing w:line="360" w:lineRule="auto"/>
        <w:jc w:val="center"/>
        <w:rPr>
          <w:rFonts w:hint="default" w:ascii="Times New Roman" w:hAnsi="Times New Roman" w:cs="Times New Roman"/>
          <w:b/>
          <w:bCs/>
          <w:kern w:val="44"/>
          <w:sz w:val="48"/>
          <w:szCs w:val="48"/>
          <w:highlight w:val="none"/>
        </w:rPr>
      </w:pPr>
    </w:p>
    <w:p w14:paraId="3B03631A">
      <w:pPr>
        <w:pStyle w:val="8"/>
        <w:tabs>
          <w:tab w:val="left" w:pos="1890"/>
          <w:tab w:val="left" w:pos="2100"/>
          <w:tab w:val="left" w:pos="7560"/>
        </w:tabs>
        <w:spacing w:line="360" w:lineRule="auto"/>
        <w:rPr>
          <w:rFonts w:hint="default" w:ascii="Times New Roman" w:hAnsi="Times New Roman" w:cs="Times New Roman"/>
          <w:b/>
          <w:bCs/>
          <w:iCs/>
          <w:sz w:val="36"/>
          <w:szCs w:val="36"/>
          <w:highlight w:val="none"/>
        </w:rPr>
      </w:pPr>
      <w:r>
        <w:rPr>
          <w:rFonts w:hint="default" w:ascii="Times New Roman" w:hAnsi="Times New Roman" w:cs="Times New Roman"/>
          <w:b/>
          <w:bCs/>
          <w:iCs/>
          <w:sz w:val="36"/>
          <w:szCs w:val="36"/>
          <w:highlight w:val="none"/>
          <w:lang w:val="en-US" w:eastAsia="zh-CN"/>
        </w:rPr>
        <w:t>一体机及玩教具采购项目</w:t>
      </w:r>
    </w:p>
    <w:p w14:paraId="280CB1F1">
      <w:pPr>
        <w:pStyle w:val="10"/>
        <w:adjustRightInd w:val="0"/>
        <w:snapToGrid w:val="0"/>
        <w:spacing w:line="360" w:lineRule="auto"/>
        <w:jc w:val="center"/>
        <w:rPr>
          <w:rFonts w:hint="default" w:ascii="Times New Roman" w:hAnsi="Times New Roman" w:cs="Times New Roman"/>
          <w:b/>
          <w:bCs/>
          <w:kern w:val="44"/>
          <w:sz w:val="30"/>
          <w:szCs w:val="30"/>
          <w:highlight w:val="none"/>
        </w:rPr>
      </w:pPr>
    </w:p>
    <w:p w14:paraId="0F4C90CE">
      <w:pPr>
        <w:pStyle w:val="10"/>
        <w:adjustRightInd w:val="0"/>
        <w:snapToGrid w:val="0"/>
        <w:spacing w:line="360" w:lineRule="auto"/>
        <w:jc w:val="center"/>
        <w:rPr>
          <w:rFonts w:hint="default" w:ascii="Times New Roman" w:hAnsi="Times New Roman" w:cs="Times New Roman"/>
          <w:highlight w:val="none"/>
        </w:rPr>
      </w:pPr>
    </w:p>
    <w:p w14:paraId="3E89229F">
      <w:pPr>
        <w:pStyle w:val="7"/>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b/>
          <w:bCs/>
          <w:kern w:val="44"/>
          <w:sz w:val="52"/>
          <w:szCs w:val="52"/>
          <w:highlight w:val="none"/>
        </w:rPr>
        <w:t>竞争性磋商响应文件</w:t>
      </w:r>
    </w:p>
    <w:p w14:paraId="5B83E524">
      <w:pPr>
        <w:pStyle w:val="7"/>
        <w:ind w:firstLine="560"/>
        <w:rPr>
          <w:rFonts w:hint="default" w:ascii="Times New Roman" w:hAnsi="Times New Roman" w:cs="Times New Roman"/>
          <w:sz w:val="28"/>
          <w:szCs w:val="28"/>
          <w:highlight w:val="none"/>
        </w:rPr>
      </w:pPr>
    </w:p>
    <w:p w14:paraId="1115CB9E">
      <w:pPr>
        <w:pStyle w:val="7"/>
        <w:ind w:firstLine="560"/>
        <w:rPr>
          <w:rFonts w:hint="default" w:ascii="Times New Roman" w:hAnsi="Times New Roman" w:cs="Times New Roman"/>
          <w:sz w:val="28"/>
          <w:szCs w:val="28"/>
          <w:highlight w:val="none"/>
        </w:rPr>
      </w:pPr>
    </w:p>
    <w:p w14:paraId="1C0D23D2">
      <w:pPr>
        <w:pStyle w:val="7"/>
        <w:ind w:firstLine="560"/>
        <w:rPr>
          <w:rFonts w:hint="default" w:ascii="Times New Roman" w:hAnsi="Times New Roman" w:cs="Times New Roman"/>
          <w:sz w:val="28"/>
          <w:szCs w:val="28"/>
          <w:highlight w:val="none"/>
        </w:rPr>
      </w:pPr>
    </w:p>
    <w:p w14:paraId="430E9F1B">
      <w:pPr>
        <w:pStyle w:val="7"/>
        <w:ind w:firstLine="560"/>
        <w:rPr>
          <w:rFonts w:hint="default" w:ascii="Times New Roman" w:hAnsi="Times New Roman" w:cs="Times New Roman"/>
          <w:sz w:val="28"/>
          <w:szCs w:val="28"/>
          <w:highlight w:val="none"/>
        </w:rPr>
      </w:pPr>
    </w:p>
    <w:p w14:paraId="4A95067D">
      <w:pPr>
        <w:pStyle w:val="7"/>
        <w:spacing w:before="120" w:beforeLines="50"/>
        <w:ind w:firstLine="1630" w:firstLineChars="580"/>
        <w:rPr>
          <w:rFonts w:hint="default" w:ascii="Times New Roman" w:hAnsi="Times New Roman" w:cs="Times New Roman"/>
          <w:b/>
          <w:sz w:val="28"/>
          <w:szCs w:val="28"/>
          <w:highlight w:val="none"/>
        </w:rPr>
      </w:pPr>
    </w:p>
    <w:p w14:paraId="3BA36B1C">
      <w:pPr>
        <w:pStyle w:val="7"/>
        <w:spacing w:before="120" w:beforeLines="50"/>
        <w:ind w:firstLine="1630" w:firstLineChars="580"/>
        <w:rPr>
          <w:rFonts w:hint="default" w:ascii="Times New Roman" w:hAnsi="Times New Roman" w:cs="Times New Roman"/>
          <w:b/>
          <w:sz w:val="28"/>
          <w:szCs w:val="28"/>
          <w:highlight w:val="none"/>
        </w:rPr>
      </w:pPr>
    </w:p>
    <w:p w14:paraId="62611BE6">
      <w:pPr>
        <w:pStyle w:val="7"/>
        <w:spacing w:before="120" w:beforeLines="50"/>
        <w:ind w:firstLine="1630" w:firstLineChars="580"/>
        <w:rPr>
          <w:rFonts w:hint="default" w:ascii="Times New Roman" w:hAnsi="Times New Roman" w:cs="Times New Roman"/>
          <w:b/>
          <w:sz w:val="28"/>
          <w:szCs w:val="28"/>
          <w:highlight w:val="none"/>
        </w:rPr>
      </w:pPr>
    </w:p>
    <w:p w14:paraId="58853ED4">
      <w:pPr>
        <w:pStyle w:val="7"/>
        <w:spacing w:before="120" w:beforeLines="50"/>
        <w:ind w:firstLine="1630" w:firstLineChars="58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供应商：</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（单位盖章）</w:t>
      </w:r>
    </w:p>
    <w:p w14:paraId="6456F048">
      <w:pPr>
        <w:pStyle w:val="7"/>
        <w:spacing w:before="120" w:beforeLines="50"/>
        <w:ind w:firstLine="1630" w:firstLineChars="580"/>
        <w:rPr>
          <w:rFonts w:hint="default" w:ascii="Times New Roman" w:hAnsi="Times New Roman" w:cs="Times New Roman"/>
          <w:b/>
          <w:sz w:val="28"/>
          <w:szCs w:val="28"/>
          <w:highlight w:val="none"/>
        </w:rPr>
      </w:pPr>
    </w:p>
    <w:p w14:paraId="082D4CE7">
      <w:pPr>
        <w:pStyle w:val="7"/>
        <w:spacing w:before="120" w:beforeLines="50"/>
        <w:ind w:firstLine="1630" w:firstLineChars="58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法定代表人（授权代表）：</w:t>
      </w:r>
      <w:r>
        <w:rPr>
          <w:rFonts w:hint="default" w:ascii="Times New Roman" w:hAnsi="Times New Roman" w:cs="Times New Roman"/>
          <w:b/>
          <w:sz w:val="28"/>
          <w:szCs w:val="28"/>
          <w:highlight w:val="none"/>
          <w:u w:val="single"/>
        </w:rPr>
        <w:t xml:space="preserve">         </w:t>
      </w:r>
      <w:r>
        <w:rPr>
          <w:rFonts w:hint="default" w:ascii="Times New Roman" w:hAnsi="Times New Roman" w:cs="Times New Roman"/>
          <w:b/>
          <w:sz w:val="28"/>
          <w:szCs w:val="28"/>
          <w:highlight w:val="none"/>
        </w:rPr>
        <w:t>（签名或盖章）</w:t>
      </w:r>
    </w:p>
    <w:p w14:paraId="1E4CCFF2">
      <w:pPr>
        <w:pStyle w:val="7"/>
        <w:spacing w:before="120" w:beforeLines="50"/>
        <w:ind w:firstLine="1630" w:firstLineChars="580"/>
        <w:rPr>
          <w:rFonts w:hint="default" w:ascii="Times New Roman" w:hAnsi="Times New Roman" w:cs="Times New Roman"/>
          <w:b/>
          <w:sz w:val="28"/>
          <w:szCs w:val="28"/>
          <w:highlight w:val="none"/>
        </w:rPr>
      </w:pPr>
    </w:p>
    <w:p w14:paraId="2862A667">
      <w:pPr>
        <w:pStyle w:val="7"/>
        <w:spacing w:before="120" w:beforeLines="50"/>
        <w:ind w:firstLine="1630" w:firstLineChars="58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时  间：      二〇   年  月  日</w:t>
      </w:r>
    </w:p>
    <w:p w14:paraId="1E0106D7">
      <w:pPr>
        <w:pStyle w:val="7"/>
        <w:spacing w:before="120" w:beforeLines="50" w:after="120" w:afterLines="50"/>
        <w:ind w:firstLine="883"/>
        <w:jc w:val="center"/>
        <w:rPr>
          <w:rFonts w:hint="default" w:ascii="Times New Roman" w:hAnsi="Times New Roman" w:cs="Times New Roman"/>
          <w:b/>
          <w:sz w:val="44"/>
          <w:szCs w:val="44"/>
          <w:highlight w:val="none"/>
        </w:rPr>
      </w:pPr>
    </w:p>
    <w:p w14:paraId="3DB3E5DE">
      <w:pPr>
        <w:spacing w:line="360" w:lineRule="auto"/>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rPr>
        <w:br w:type="page"/>
      </w:r>
      <w:r>
        <w:rPr>
          <w:rFonts w:hint="default" w:ascii="Times New Roman" w:hAnsi="Times New Roman" w:cs="Times New Roman"/>
          <w:b/>
          <w:sz w:val="32"/>
          <w:szCs w:val="32"/>
          <w:highlight w:val="none"/>
        </w:rPr>
        <w:t>目  录</w:t>
      </w:r>
    </w:p>
    <w:p w14:paraId="3B2A89F1">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一、 磋商响应函 ……………………………………………页码</w:t>
      </w:r>
    </w:p>
    <w:p w14:paraId="0F96B023">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二、 首次磋商报价表 ………………………………………</w:t>
      </w:r>
    </w:p>
    <w:p w14:paraId="1AFD8F2B">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三</w:t>
      </w:r>
      <w:r>
        <w:rPr>
          <w:rFonts w:hint="default" w:ascii="Times New Roman" w:hAnsi="Times New Roman" w:cs="Times New Roman"/>
          <w:bCs/>
          <w:sz w:val="24"/>
          <w:szCs w:val="24"/>
          <w:highlight w:val="none"/>
          <w:lang w:val="zh-CN" w:eastAsia="zh-CN"/>
        </w:rPr>
        <w:t>、</w:t>
      </w:r>
      <w:r>
        <w:rPr>
          <w:rFonts w:hint="default" w:ascii="Times New Roman" w:hAnsi="Times New Roman" w:cs="Times New Roman"/>
          <w:bCs/>
          <w:sz w:val="24"/>
          <w:szCs w:val="24"/>
          <w:highlight w:val="none"/>
          <w:lang w:val="en-US" w:eastAsia="zh-CN"/>
        </w:rPr>
        <w:t xml:space="preserve"> 商务条款偏离表</w:t>
      </w:r>
      <w:r>
        <w:rPr>
          <w:rFonts w:hint="default" w:ascii="Times New Roman" w:hAnsi="Times New Roman" w:cs="Times New Roman"/>
          <w:bCs/>
          <w:sz w:val="24"/>
          <w:szCs w:val="24"/>
          <w:highlight w:val="none"/>
        </w:rPr>
        <w:t xml:space="preserve"> ………………………………………</w:t>
      </w:r>
    </w:p>
    <w:p w14:paraId="59359B3E">
      <w:pPr>
        <w:spacing w:line="360" w:lineRule="auto"/>
        <w:ind w:firstLine="480" w:firstLineChars="200"/>
        <w:rPr>
          <w:rFonts w:hint="default" w:ascii="Times New Roman" w:hAnsi="Times New Roman" w:cs="Times New Roman"/>
          <w:highlight w:val="none"/>
          <w:lang w:val="en-US" w:eastAsia="zh-CN"/>
        </w:rPr>
      </w:pPr>
      <w:r>
        <w:rPr>
          <w:rFonts w:hint="default" w:ascii="Times New Roman" w:hAnsi="Times New Roman" w:cs="Times New Roman"/>
          <w:bCs/>
          <w:sz w:val="24"/>
          <w:szCs w:val="24"/>
          <w:highlight w:val="none"/>
          <w:lang w:val="en-US" w:eastAsia="zh-CN"/>
        </w:rPr>
        <w:t>四</w:t>
      </w:r>
      <w:r>
        <w:rPr>
          <w:rFonts w:hint="default" w:ascii="Times New Roman" w:hAnsi="Times New Roman" w:cs="Times New Roman"/>
          <w:bCs/>
          <w:sz w:val="24"/>
          <w:szCs w:val="24"/>
          <w:highlight w:val="none"/>
          <w:lang w:val="zh-CN" w:eastAsia="zh-CN"/>
        </w:rPr>
        <w:t>、</w:t>
      </w:r>
      <w:r>
        <w:rPr>
          <w:rFonts w:hint="default" w:ascii="Times New Roman" w:hAnsi="Times New Roman" w:cs="Times New Roman"/>
          <w:bCs/>
          <w:sz w:val="24"/>
          <w:szCs w:val="24"/>
          <w:highlight w:val="none"/>
          <w:lang w:val="en-US" w:eastAsia="zh-CN"/>
        </w:rPr>
        <w:t xml:space="preserve"> 技术参数偏离表</w:t>
      </w:r>
      <w:r>
        <w:rPr>
          <w:rFonts w:hint="default" w:ascii="Times New Roman" w:hAnsi="Times New Roman" w:cs="Times New Roman"/>
          <w:bCs/>
          <w:sz w:val="24"/>
          <w:szCs w:val="24"/>
          <w:highlight w:val="none"/>
        </w:rPr>
        <w:t xml:space="preserve"> ………………………………………</w:t>
      </w:r>
    </w:p>
    <w:p w14:paraId="6AB96F9C">
      <w:pPr>
        <w:spacing w:line="360" w:lineRule="auto"/>
        <w:ind w:firstLine="480" w:firstLineChars="200"/>
        <w:rPr>
          <w:rFonts w:hint="default" w:ascii="Times New Roman" w:hAnsi="Times New Roman" w:cs="Times New Roman"/>
          <w:bCs/>
          <w:sz w:val="24"/>
          <w:szCs w:val="24"/>
          <w:highlight w:val="none"/>
          <w:lang w:val="zh-CN"/>
        </w:rPr>
      </w:pPr>
      <w:r>
        <w:rPr>
          <w:rFonts w:hint="default" w:ascii="Times New Roman" w:hAnsi="Times New Roman" w:cs="Times New Roman"/>
          <w:bCs/>
          <w:sz w:val="24"/>
          <w:szCs w:val="24"/>
          <w:highlight w:val="none"/>
          <w:lang w:val="en-US" w:eastAsia="zh-CN"/>
        </w:rPr>
        <w:t>五</w:t>
      </w:r>
      <w:r>
        <w:rPr>
          <w:rFonts w:hint="default" w:ascii="Times New Roman" w:hAnsi="Times New Roman" w:cs="Times New Roman"/>
          <w:bCs/>
          <w:sz w:val="24"/>
          <w:szCs w:val="24"/>
          <w:highlight w:val="none"/>
        </w:rPr>
        <w:t>、 磋商服务响应方案说明…………………………………</w:t>
      </w:r>
    </w:p>
    <w:p w14:paraId="5BA5AA19">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六</w:t>
      </w:r>
      <w:r>
        <w:rPr>
          <w:rFonts w:hint="default" w:ascii="Times New Roman" w:hAnsi="Times New Roman" w:cs="Times New Roman"/>
          <w:bCs/>
          <w:sz w:val="24"/>
          <w:szCs w:val="24"/>
          <w:highlight w:val="none"/>
        </w:rPr>
        <w:t>、 供应商资格证明文件………………………………………</w:t>
      </w:r>
    </w:p>
    <w:p w14:paraId="5EC8E8C8">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七</w:t>
      </w:r>
      <w:r>
        <w:rPr>
          <w:rFonts w:hint="default" w:ascii="Times New Roman" w:hAnsi="Times New Roman" w:cs="Times New Roman"/>
          <w:bCs/>
          <w:sz w:val="24"/>
          <w:szCs w:val="24"/>
          <w:highlight w:val="none"/>
        </w:rPr>
        <w:t>、 近年业绩的有关证明材料…………………………………</w:t>
      </w:r>
    </w:p>
    <w:p w14:paraId="1C2B1341">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八</w:t>
      </w:r>
      <w:r>
        <w:rPr>
          <w:rFonts w:hint="default" w:ascii="Times New Roman" w:hAnsi="Times New Roman" w:cs="Times New Roman"/>
          <w:bCs/>
          <w:sz w:val="24"/>
          <w:szCs w:val="24"/>
          <w:highlight w:val="none"/>
        </w:rPr>
        <w:t>、 供应商承诺书………………………………</w:t>
      </w:r>
    </w:p>
    <w:p w14:paraId="424588E3">
      <w:pPr>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lang w:val="en-US" w:eastAsia="zh-CN"/>
        </w:rPr>
        <w:t>九</w:t>
      </w:r>
      <w:r>
        <w:rPr>
          <w:rFonts w:hint="default" w:ascii="Times New Roman" w:hAnsi="Times New Roman" w:cs="Times New Roman"/>
          <w:bCs/>
          <w:sz w:val="24"/>
          <w:szCs w:val="24"/>
          <w:highlight w:val="none"/>
        </w:rPr>
        <w:t>、 落实政府采购政策需提供的相关材料及供应商认为有必要补充说明的事项……………………………………………</w:t>
      </w:r>
    </w:p>
    <w:p w14:paraId="3F33FD71">
      <w:pPr>
        <w:pStyle w:val="7"/>
        <w:spacing w:before="120" w:beforeLines="50"/>
        <w:ind w:firstLine="1218" w:firstLineChars="580"/>
        <w:rPr>
          <w:rFonts w:hint="default" w:ascii="Times New Roman" w:hAnsi="Times New Roman" w:cs="Times New Roman"/>
          <w:highlight w:val="none"/>
        </w:rPr>
      </w:pPr>
    </w:p>
    <w:p w14:paraId="080DC423">
      <w:pPr>
        <w:pStyle w:val="7"/>
        <w:spacing w:before="120" w:beforeLines="50"/>
        <w:ind w:firstLine="1218" w:firstLineChars="580"/>
        <w:rPr>
          <w:rFonts w:hint="default" w:ascii="Times New Roman" w:hAnsi="Times New Roman" w:cs="Times New Roman"/>
          <w:highlight w:val="none"/>
        </w:rPr>
      </w:pPr>
    </w:p>
    <w:p w14:paraId="3B2C46C6">
      <w:pPr>
        <w:pStyle w:val="7"/>
        <w:spacing w:before="120" w:beforeLines="50"/>
        <w:ind w:firstLine="1218" w:firstLineChars="580"/>
        <w:rPr>
          <w:rFonts w:hint="default" w:ascii="Times New Roman" w:hAnsi="Times New Roman" w:cs="Times New Roman"/>
          <w:highlight w:val="none"/>
        </w:rPr>
      </w:pPr>
    </w:p>
    <w:p w14:paraId="6E6542F6">
      <w:pPr>
        <w:pStyle w:val="7"/>
        <w:spacing w:before="120" w:beforeLines="50"/>
        <w:ind w:firstLine="1218" w:firstLineChars="580"/>
        <w:rPr>
          <w:rFonts w:hint="default" w:ascii="Times New Roman" w:hAnsi="Times New Roman" w:cs="Times New Roman"/>
          <w:highlight w:val="none"/>
        </w:rPr>
      </w:pPr>
    </w:p>
    <w:p w14:paraId="77F88559">
      <w:pPr>
        <w:pStyle w:val="7"/>
        <w:spacing w:before="120" w:beforeLines="50"/>
        <w:ind w:firstLine="1218" w:firstLineChars="580"/>
        <w:rPr>
          <w:rFonts w:hint="default" w:ascii="Times New Roman" w:hAnsi="Times New Roman" w:cs="Times New Roman"/>
          <w:highlight w:val="none"/>
        </w:rPr>
      </w:pPr>
    </w:p>
    <w:p w14:paraId="43716C7F">
      <w:pPr>
        <w:pStyle w:val="7"/>
        <w:spacing w:before="120" w:beforeLines="50"/>
        <w:ind w:firstLine="1218" w:firstLineChars="580"/>
        <w:rPr>
          <w:rFonts w:hint="default" w:ascii="Times New Roman" w:hAnsi="Times New Roman" w:cs="Times New Roman"/>
          <w:highlight w:val="none"/>
        </w:rPr>
      </w:pPr>
    </w:p>
    <w:p w14:paraId="5DC6F85C">
      <w:pPr>
        <w:pStyle w:val="7"/>
        <w:spacing w:before="120" w:beforeLines="50"/>
        <w:ind w:firstLine="1218" w:firstLineChars="580"/>
        <w:rPr>
          <w:rFonts w:hint="default" w:ascii="Times New Roman" w:hAnsi="Times New Roman" w:cs="Times New Roman"/>
          <w:highlight w:val="none"/>
        </w:rPr>
      </w:pPr>
    </w:p>
    <w:p w14:paraId="2AA8C953">
      <w:pPr>
        <w:pStyle w:val="7"/>
        <w:spacing w:before="120" w:beforeLines="50"/>
        <w:ind w:firstLine="1218" w:firstLineChars="580"/>
        <w:rPr>
          <w:rFonts w:hint="default" w:ascii="Times New Roman" w:hAnsi="Times New Roman" w:cs="Times New Roman"/>
          <w:highlight w:val="none"/>
        </w:rPr>
      </w:pPr>
    </w:p>
    <w:p w14:paraId="69EA57FF">
      <w:pPr>
        <w:pStyle w:val="7"/>
        <w:spacing w:before="120" w:beforeLines="50"/>
        <w:ind w:firstLine="1218" w:firstLineChars="580"/>
        <w:rPr>
          <w:rFonts w:hint="default" w:ascii="Times New Roman" w:hAnsi="Times New Roman" w:cs="Times New Roman"/>
          <w:highlight w:val="none"/>
        </w:rPr>
      </w:pPr>
    </w:p>
    <w:p w14:paraId="7AF7A917">
      <w:pPr>
        <w:pStyle w:val="7"/>
        <w:spacing w:before="120" w:beforeLines="50"/>
        <w:ind w:firstLine="1218" w:firstLineChars="580"/>
        <w:rPr>
          <w:rFonts w:hint="default" w:ascii="Times New Roman" w:hAnsi="Times New Roman" w:cs="Times New Roman"/>
          <w:highlight w:val="none"/>
        </w:rPr>
      </w:pPr>
    </w:p>
    <w:p w14:paraId="7FCC9BB9">
      <w:pPr>
        <w:pStyle w:val="7"/>
        <w:spacing w:before="120" w:beforeLines="50"/>
        <w:ind w:firstLine="1218" w:firstLineChars="580"/>
        <w:rPr>
          <w:rFonts w:hint="default" w:ascii="Times New Roman" w:hAnsi="Times New Roman" w:cs="Times New Roman"/>
          <w:highlight w:val="none"/>
        </w:rPr>
      </w:pPr>
    </w:p>
    <w:p w14:paraId="040F974E">
      <w:pPr>
        <w:pStyle w:val="7"/>
        <w:spacing w:before="120" w:beforeLines="50"/>
        <w:ind w:firstLine="1218" w:firstLineChars="580"/>
        <w:rPr>
          <w:rFonts w:hint="default" w:ascii="Times New Roman" w:hAnsi="Times New Roman" w:cs="Times New Roman"/>
          <w:highlight w:val="none"/>
        </w:rPr>
      </w:pPr>
    </w:p>
    <w:p w14:paraId="47EBDB36">
      <w:pPr>
        <w:pStyle w:val="7"/>
        <w:spacing w:before="120" w:beforeLines="50"/>
        <w:ind w:firstLine="1218" w:firstLineChars="580"/>
        <w:rPr>
          <w:rFonts w:hint="default" w:ascii="Times New Roman" w:hAnsi="Times New Roman" w:cs="Times New Roman"/>
          <w:highlight w:val="none"/>
        </w:rPr>
      </w:pPr>
    </w:p>
    <w:p w14:paraId="025E8DDA">
      <w:pPr>
        <w:pStyle w:val="7"/>
        <w:spacing w:before="120" w:beforeLines="50"/>
        <w:ind w:firstLine="1218" w:firstLineChars="580"/>
        <w:rPr>
          <w:rFonts w:hint="default" w:ascii="Times New Roman" w:hAnsi="Times New Roman" w:cs="Times New Roman"/>
          <w:highlight w:val="none"/>
        </w:rPr>
      </w:pPr>
    </w:p>
    <w:p w14:paraId="148F148F">
      <w:pPr>
        <w:pStyle w:val="7"/>
        <w:spacing w:before="120" w:beforeLines="50"/>
        <w:ind w:firstLine="1218" w:firstLineChars="580"/>
        <w:rPr>
          <w:rFonts w:hint="default" w:ascii="Times New Roman" w:hAnsi="Times New Roman" w:cs="Times New Roman"/>
          <w:highlight w:val="none"/>
        </w:rPr>
      </w:pPr>
    </w:p>
    <w:p w14:paraId="444A4797">
      <w:pPr>
        <w:pStyle w:val="7"/>
        <w:spacing w:before="120" w:beforeLines="50"/>
        <w:ind w:firstLine="1218" w:firstLineChars="580"/>
        <w:rPr>
          <w:rFonts w:hint="default" w:ascii="Times New Roman" w:hAnsi="Times New Roman" w:cs="Times New Roman"/>
          <w:highlight w:val="none"/>
        </w:rPr>
      </w:pPr>
    </w:p>
    <w:p w14:paraId="636E5057">
      <w:pPr>
        <w:autoSpaceDE w:val="0"/>
        <w:autoSpaceDN w:val="0"/>
        <w:adjustRightInd w:val="0"/>
        <w:spacing w:line="480" w:lineRule="auto"/>
        <w:jc w:val="center"/>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lang w:val="zh-CN"/>
        </w:rPr>
        <w:br w:type="page"/>
      </w:r>
      <w:r>
        <w:rPr>
          <w:rFonts w:hint="default" w:ascii="Times New Roman" w:hAnsi="Times New Roman" w:cs="Times New Roman"/>
          <w:b/>
          <w:bCs/>
          <w:sz w:val="32"/>
          <w:szCs w:val="32"/>
          <w:highlight w:val="none"/>
          <w:lang w:val="zh-CN"/>
        </w:rPr>
        <w:t>一、磋商响应函</w:t>
      </w:r>
    </w:p>
    <w:p w14:paraId="59D1F5BE">
      <w:pPr>
        <w:spacing w:line="360" w:lineRule="auto"/>
        <w:rPr>
          <w:rFonts w:hint="default" w:ascii="Times New Roman" w:hAnsi="Times New Roman" w:cs="Times New Roman"/>
          <w:spacing w:val="4"/>
          <w:sz w:val="24"/>
          <w:szCs w:val="24"/>
          <w:highlight w:val="none"/>
          <w:u w:val="single"/>
        </w:rPr>
      </w:pPr>
      <w:r>
        <w:rPr>
          <w:rFonts w:hint="default" w:ascii="Times New Roman" w:hAnsi="Times New Roman" w:cs="Times New Roman"/>
          <w:spacing w:val="4"/>
          <w:sz w:val="24"/>
          <w:szCs w:val="24"/>
          <w:highlight w:val="none"/>
          <w:u w:val="single"/>
        </w:rPr>
        <w:t xml:space="preserve">     （采购人名称）    ：</w:t>
      </w:r>
    </w:p>
    <w:p w14:paraId="05CC9360">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我单位收到关于</w:t>
      </w:r>
      <w:r>
        <w:rPr>
          <w:rFonts w:hint="default" w:ascii="Times New Roman" w:hAnsi="Times New Roman" w:cs="Times New Roman"/>
          <w:sz w:val="24"/>
          <w:szCs w:val="24"/>
          <w:highlight w:val="none"/>
          <w:u w:val="single"/>
        </w:rPr>
        <w:t xml:space="preserve">                        （项目编号：           ）</w:t>
      </w:r>
      <w:r>
        <w:rPr>
          <w:rFonts w:hint="default" w:ascii="Times New Roman" w:hAnsi="Times New Roman" w:cs="Times New Roman"/>
          <w:sz w:val="24"/>
          <w:szCs w:val="24"/>
          <w:highlight w:val="none"/>
        </w:rPr>
        <w:t>的磋商文件，经详细研究，</w:t>
      </w:r>
      <w:r>
        <w:rPr>
          <w:rFonts w:hint="default" w:ascii="Times New Roman" w:hAnsi="Times New Roman" w:cs="Times New Roman"/>
          <w:sz w:val="24"/>
          <w:szCs w:val="24"/>
          <w:highlight w:val="none"/>
          <w:lang w:val="en-US" w:eastAsia="zh-CN"/>
        </w:rPr>
        <w:t>知悉参加磋商的风险，</w:t>
      </w:r>
      <w:r>
        <w:rPr>
          <w:rFonts w:hint="default" w:ascii="Times New Roman" w:hAnsi="Times New Roman" w:cs="Times New Roman"/>
          <w:sz w:val="24"/>
          <w:szCs w:val="24"/>
          <w:highlight w:val="none"/>
        </w:rPr>
        <w:t>我</w:t>
      </w:r>
      <w:r>
        <w:rPr>
          <w:rFonts w:hint="default" w:ascii="Times New Roman" w:hAnsi="Times New Roman" w:cs="Times New Roman"/>
          <w:sz w:val="24"/>
          <w:szCs w:val="24"/>
          <w:highlight w:val="none"/>
          <w:lang w:val="en-US" w:eastAsia="zh-CN"/>
        </w:rPr>
        <w:t>方</w:t>
      </w:r>
      <w:r>
        <w:rPr>
          <w:rFonts w:hint="default" w:ascii="Times New Roman" w:hAnsi="Times New Roman" w:cs="Times New Roman"/>
          <w:sz w:val="24"/>
          <w:szCs w:val="24"/>
          <w:highlight w:val="none"/>
        </w:rPr>
        <w:t>决定参加本次项目采购活动并磋商。为此，我方郑重声明以下诸点，并负法律责任。</w:t>
      </w:r>
    </w:p>
    <w:p w14:paraId="1B062BAA">
      <w:pPr>
        <w:autoSpaceDE w:val="0"/>
        <w:autoSpaceDN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一、愿意</w:t>
      </w:r>
      <w:r>
        <w:rPr>
          <w:rFonts w:hint="default" w:ascii="Times New Roman" w:hAnsi="Times New Roman" w:cs="Times New Roman"/>
          <w:sz w:val="24"/>
          <w:szCs w:val="24"/>
          <w:highlight w:val="none"/>
          <w:lang w:val="en-US" w:eastAsia="zh-CN"/>
        </w:rPr>
        <w:t>接受</w:t>
      </w:r>
      <w:r>
        <w:rPr>
          <w:rFonts w:hint="default" w:ascii="Times New Roman" w:hAnsi="Times New Roman" w:cs="Times New Roman"/>
          <w:sz w:val="24"/>
          <w:szCs w:val="24"/>
          <w:highlight w:val="none"/>
        </w:rPr>
        <w:t>磋商文件中的</w:t>
      </w:r>
      <w:r>
        <w:rPr>
          <w:rFonts w:hint="default" w:ascii="Times New Roman" w:hAnsi="Times New Roman" w:cs="Times New Roman"/>
          <w:sz w:val="24"/>
          <w:szCs w:val="24"/>
          <w:highlight w:val="none"/>
          <w:lang w:val="en-US" w:eastAsia="zh-CN"/>
        </w:rPr>
        <w:t>全部条款且无任何异议</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并保证磋商响应文件提供的数据和材料真实、准确</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否则，愿意承担《中华人民共和国政府采购法》第七十七条规定的法律责任。</w:t>
      </w:r>
    </w:p>
    <w:p w14:paraId="5BC73F0E">
      <w:pPr>
        <w:spacing w:line="360" w:lineRule="auto"/>
        <w:ind w:left="479" w:leftChars="228"/>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二、按磋商文件的规定，我公司的首次磋商总报价为：</w:t>
      </w:r>
    </w:p>
    <w:p w14:paraId="25F56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人民币（大写）：</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元），并对其后的磋商报价负法律责任。</w:t>
      </w:r>
    </w:p>
    <w:p w14:paraId="61269AE6">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三、我方提交的磋商响应文件正本一份、副本二份、电子版一份，并保证磋商响应文件提供的数据和材料真实、准确。否则，愿承担相关的法律责任。</w:t>
      </w:r>
    </w:p>
    <w:p w14:paraId="6F2265EC">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四、我方已详细阅读了磋商文件，完全理解并放弃提出含糊不清或易形成歧义的表述和资料。</w:t>
      </w:r>
    </w:p>
    <w:p w14:paraId="035B3768">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五、我方愿意向贵方提供任何与本次磋商有关的数据、样品（若有）和技术资料，若贵方需要，我方愿意提供我方作出的一切承诺的证明材料。</w:t>
      </w:r>
    </w:p>
    <w:p w14:paraId="62FDD75E">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六、我方的磋商响应文件在磋商后有效期为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个日历天，磋商后在规定的磋商有效期内撤回磋商，我们愿接受政府采购的有关处罚决定。</w:t>
      </w:r>
    </w:p>
    <w:p w14:paraId="4AD1C8C7">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七、我方承诺遵守《中华人民共和国政府采购法》及其实施条例的有关规定，保证在获得成交资格后：</w:t>
      </w:r>
    </w:p>
    <w:p w14:paraId="2B7AD2A2">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（1）按照磋商文件确定的事项签订合同，履行双方所签订的合同，并承担合同规定的责任和义务；</w:t>
      </w:r>
    </w:p>
    <w:p w14:paraId="2DC45560">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（2）我方保证按规定和标准缴纳成交服务费；</w:t>
      </w:r>
    </w:p>
    <w:p w14:paraId="0CAF7A23">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（3）磋商响应文件有效期延长至合同履行完毕。</w:t>
      </w:r>
    </w:p>
    <w:p w14:paraId="2AE2E152">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八、我方完全理解最低报价不是成交的唯一条件，并尊重磋商小组的评评审结论和成交结果。</w:t>
      </w:r>
    </w:p>
    <w:p w14:paraId="18E75807">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九、一旦我方成交,我方同意与使用单位签订保密协议。</w:t>
      </w:r>
    </w:p>
    <w:p w14:paraId="1EC43504">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十、有关于本磋商响应文件的函电，请按下列地址联系：</w:t>
      </w:r>
    </w:p>
    <w:p w14:paraId="006D9A94">
      <w:pPr>
        <w:autoSpaceDE w:val="0"/>
        <w:autoSpaceDN w:val="0"/>
        <w:spacing w:line="360" w:lineRule="auto"/>
        <w:ind w:firstLine="480" w:firstLineChars="200"/>
        <w:rPr>
          <w:rFonts w:hint="default" w:ascii="Times New Roman" w:hAnsi="Times New Roman" w:cs="Times New Roman"/>
          <w:sz w:val="24"/>
          <w:szCs w:val="24"/>
          <w:highlight w:val="none"/>
        </w:rPr>
      </w:pPr>
    </w:p>
    <w:p w14:paraId="6C2EB61E">
      <w:pPr>
        <w:autoSpaceDE w:val="0"/>
        <w:autoSpaceDN w:val="0"/>
        <w:spacing w:line="360" w:lineRule="auto"/>
        <w:ind w:firstLine="480" w:firstLineChars="200"/>
        <w:rPr>
          <w:rFonts w:hint="default" w:ascii="Times New Roman" w:hAnsi="Times New Roman" w:cs="Times New Roman"/>
          <w:b/>
          <w:sz w:val="24"/>
          <w:szCs w:val="24"/>
          <w:highlight w:val="none"/>
          <w:u w:val="single"/>
        </w:rPr>
      </w:pPr>
      <w:r>
        <w:rPr>
          <w:rFonts w:hint="default" w:ascii="Times New Roman" w:hAnsi="Times New Roman" w:cs="Times New Roman"/>
          <w:sz w:val="24"/>
          <w:szCs w:val="24"/>
          <w:highlight w:val="none"/>
        </w:rPr>
        <w:t>供应商全称：</w:t>
      </w:r>
      <w:r>
        <w:rPr>
          <w:rFonts w:hint="default" w:ascii="Times New Roman" w:hAnsi="Times New Roman" w:cs="Times New Roman"/>
          <w:b/>
          <w:sz w:val="24"/>
          <w:szCs w:val="24"/>
          <w:highlight w:val="none"/>
          <w:u w:val="single"/>
        </w:rPr>
        <w:t xml:space="preserve">             </w:t>
      </w:r>
      <w:r>
        <w:rPr>
          <w:rFonts w:hint="default" w:ascii="Times New Roman" w:hAnsi="Times New Roman" w:cs="Times New Roman"/>
          <w:sz w:val="24"/>
          <w:szCs w:val="24"/>
          <w:highlight w:val="none"/>
        </w:rPr>
        <w:t>（印章）</w:t>
      </w:r>
    </w:p>
    <w:p w14:paraId="1C630AD4">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46CD327B">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    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6A83EB5E">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7C98B131">
      <w:pPr>
        <w:autoSpaceDE w:val="0"/>
        <w:autoSpaceDN w:val="0"/>
        <w:spacing w:line="360" w:lineRule="auto"/>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sz w:val="24"/>
          <w:szCs w:val="24"/>
          <w:highlight w:val="none"/>
        </w:rPr>
        <w:t>账    号：</w:t>
      </w:r>
      <w:r>
        <w:rPr>
          <w:rFonts w:hint="default" w:ascii="Times New Roman" w:hAnsi="Times New Roman" w:cs="Times New Roman"/>
          <w:b/>
          <w:sz w:val="24"/>
          <w:szCs w:val="24"/>
          <w:highlight w:val="none"/>
          <w:u w:val="singl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22A5FF00">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    话：</w:t>
      </w:r>
      <w:r>
        <w:rPr>
          <w:rFonts w:hint="default" w:ascii="Times New Roman" w:hAnsi="Times New Roman" w:cs="Times New Roman"/>
          <w:b/>
          <w:sz w:val="24"/>
          <w:szCs w:val="24"/>
          <w:highlight w:val="none"/>
          <w:u w:val="singl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6DF0D975">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传    真：</w:t>
      </w:r>
      <w:r>
        <w:rPr>
          <w:rFonts w:hint="default" w:ascii="Times New Roman" w:hAnsi="Times New Roman" w:cs="Times New Roman"/>
          <w:b/>
          <w:sz w:val="24"/>
          <w:szCs w:val="24"/>
          <w:highlight w:val="none"/>
          <w:u w:val="singl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549E0BDD">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邮    编：</w:t>
      </w:r>
      <w:r>
        <w:rPr>
          <w:rFonts w:hint="default" w:ascii="Times New Roman" w:hAnsi="Times New Roman" w:cs="Times New Roman"/>
          <w:b/>
          <w:sz w:val="24"/>
          <w:szCs w:val="24"/>
          <w:highlight w:val="none"/>
          <w:u w:val="singl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bCs/>
          <w:sz w:val="24"/>
          <w:szCs w:val="24"/>
          <w:highlight w:val="none"/>
        </w:rPr>
        <w:t>；</w:t>
      </w:r>
    </w:p>
    <w:p w14:paraId="2C08D9B0">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1855A993">
      <w:pPr>
        <w:spacing w:line="480" w:lineRule="auto"/>
        <w:jc w:val="center"/>
        <w:rPr>
          <w:rStyle w:val="36"/>
          <w:rFonts w:hint="default" w:ascii="Times New Roman" w:hAnsi="Times New Roman" w:cs="Times New Roman"/>
          <w:szCs w:val="36"/>
          <w:highlight w:val="none"/>
        </w:rPr>
      </w:pPr>
      <w:r>
        <w:rPr>
          <w:rFonts w:hint="default" w:ascii="Times New Roman" w:hAnsi="Times New Roman" w:cs="Times New Roman"/>
          <w:b/>
          <w:sz w:val="32"/>
          <w:szCs w:val="32"/>
          <w:highlight w:val="none"/>
        </w:rPr>
        <w:br w:type="page"/>
      </w:r>
      <w:r>
        <w:rPr>
          <w:rFonts w:hint="default" w:ascii="Times New Roman" w:hAnsi="Times New Roman" w:cs="Times New Roman"/>
          <w:b/>
          <w:bCs/>
          <w:sz w:val="32"/>
          <w:szCs w:val="32"/>
          <w:highlight w:val="none"/>
          <w:lang w:val="zh-CN"/>
        </w:rPr>
        <w:t>二、首次磋商报价表</w:t>
      </w:r>
    </w:p>
    <w:tbl>
      <w:tblPr>
        <w:tblStyle w:val="19"/>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6469"/>
      </w:tblGrid>
      <w:tr w14:paraId="14EB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165" w:type="dxa"/>
            <w:vAlign w:val="center"/>
          </w:tcPr>
          <w:p w14:paraId="01360A19">
            <w:pPr>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p>
        </w:tc>
        <w:tc>
          <w:tcPr>
            <w:tcW w:w="6469" w:type="dxa"/>
            <w:vAlign w:val="center"/>
          </w:tcPr>
          <w:p w14:paraId="0E4ADB54">
            <w:pPr>
              <w:widowControl/>
              <w:jc w:val="center"/>
              <w:rPr>
                <w:rFonts w:hint="default" w:ascii="Times New Roman" w:hAnsi="Times New Roman" w:cs="Times New Roman"/>
                <w:sz w:val="24"/>
                <w:szCs w:val="24"/>
                <w:highlight w:val="none"/>
              </w:rPr>
            </w:pPr>
          </w:p>
        </w:tc>
      </w:tr>
      <w:tr w14:paraId="57F4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165" w:type="dxa"/>
            <w:vAlign w:val="center"/>
          </w:tcPr>
          <w:p w14:paraId="7F2EA69B">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项目编号</w:t>
            </w:r>
          </w:p>
        </w:tc>
        <w:tc>
          <w:tcPr>
            <w:tcW w:w="6469" w:type="dxa"/>
            <w:vAlign w:val="center"/>
          </w:tcPr>
          <w:p w14:paraId="63AFFE7F">
            <w:pPr>
              <w:jc w:val="center"/>
              <w:rPr>
                <w:rFonts w:hint="default" w:ascii="Times New Roman" w:hAnsi="Times New Roman" w:cs="Times New Roman"/>
                <w:sz w:val="24"/>
                <w:szCs w:val="24"/>
                <w:highlight w:val="none"/>
              </w:rPr>
            </w:pPr>
          </w:p>
        </w:tc>
      </w:tr>
      <w:tr w14:paraId="42EE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165" w:type="dxa"/>
            <w:vAlign w:val="center"/>
          </w:tcPr>
          <w:p w14:paraId="6597CD97">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磋商总报价</w:t>
            </w:r>
          </w:p>
          <w:p w14:paraId="4BE1CCDA">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（元）</w:t>
            </w:r>
          </w:p>
        </w:tc>
        <w:tc>
          <w:tcPr>
            <w:tcW w:w="6469" w:type="dxa"/>
            <w:vAlign w:val="center"/>
          </w:tcPr>
          <w:p w14:paraId="06C9C96A">
            <w:pP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大写</w:t>
            </w:r>
            <w:r>
              <w:rPr>
                <w:rFonts w:hint="default" w:ascii="Times New Roman" w:hAnsi="Times New Roman" w:cs="Times New Roman"/>
                <w:sz w:val="24"/>
                <w:szCs w:val="24"/>
                <w:highlight w:val="none"/>
                <w:lang w:eastAsia="zh-CN"/>
              </w:rPr>
              <w:t>：</w:t>
            </w:r>
          </w:p>
          <w:p w14:paraId="2EBFEEC5">
            <w:pPr>
              <w:rPr>
                <w:rFonts w:hint="default" w:ascii="Times New Roman" w:hAnsi="Times New Roman" w:cs="Times New Roman"/>
                <w:sz w:val="24"/>
                <w:szCs w:val="24"/>
                <w:highlight w:val="none"/>
              </w:rPr>
            </w:pPr>
          </w:p>
          <w:p w14:paraId="1B5AE082">
            <w:pP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小写</w:t>
            </w:r>
            <w:r>
              <w:rPr>
                <w:rFonts w:hint="default" w:ascii="Times New Roman" w:hAnsi="Times New Roman" w:cs="Times New Roman"/>
                <w:sz w:val="24"/>
                <w:szCs w:val="24"/>
                <w:highlight w:val="none"/>
                <w:lang w:eastAsia="zh-CN"/>
              </w:rPr>
              <w:t>：</w:t>
            </w:r>
          </w:p>
        </w:tc>
      </w:tr>
      <w:tr w14:paraId="6752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165" w:type="dxa"/>
            <w:vAlign w:val="center"/>
          </w:tcPr>
          <w:p w14:paraId="6ECFC3E9">
            <w:pPr>
              <w:widowControl/>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kern w:val="0"/>
                <w:sz w:val="24"/>
                <w:szCs w:val="24"/>
                <w:highlight w:val="none"/>
                <w:lang w:val="en-US" w:eastAsia="zh-CN"/>
              </w:rPr>
              <w:t>供货周期</w:t>
            </w:r>
          </w:p>
        </w:tc>
        <w:tc>
          <w:tcPr>
            <w:tcW w:w="6469" w:type="dxa"/>
            <w:vAlign w:val="center"/>
          </w:tcPr>
          <w:p w14:paraId="0F2BEC81">
            <w:pPr>
              <w:widowControl/>
              <w:jc w:val="left"/>
              <w:rPr>
                <w:rFonts w:hint="default" w:ascii="Times New Roman" w:hAnsi="Times New Roman" w:cs="Times New Roman"/>
                <w:kern w:val="0"/>
                <w:sz w:val="24"/>
                <w:szCs w:val="24"/>
                <w:highlight w:val="none"/>
              </w:rPr>
            </w:pPr>
          </w:p>
        </w:tc>
      </w:tr>
      <w:tr w14:paraId="66B1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165" w:type="dxa"/>
            <w:vAlign w:val="center"/>
          </w:tcPr>
          <w:p w14:paraId="2155B69A">
            <w:pPr>
              <w:widowControl/>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kern w:val="0"/>
                <w:sz w:val="24"/>
                <w:szCs w:val="24"/>
                <w:highlight w:val="none"/>
                <w:lang w:val="en-US" w:eastAsia="zh-CN"/>
              </w:rPr>
              <w:t>质保期</w:t>
            </w:r>
          </w:p>
        </w:tc>
        <w:tc>
          <w:tcPr>
            <w:tcW w:w="6469" w:type="dxa"/>
            <w:vAlign w:val="center"/>
          </w:tcPr>
          <w:p w14:paraId="7670CD49">
            <w:pPr>
              <w:widowControl/>
              <w:jc w:val="left"/>
              <w:rPr>
                <w:rFonts w:hint="default" w:ascii="Times New Roman" w:hAnsi="Times New Roman" w:cs="Times New Roman"/>
                <w:kern w:val="0"/>
                <w:sz w:val="24"/>
                <w:szCs w:val="24"/>
                <w:highlight w:val="none"/>
              </w:rPr>
            </w:pPr>
          </w:p>
        </w:tc>
      </w:tr>
      <w:tr w14:paraId="378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165" w:type="dxa"/>
            <w:vAlign w:val="center"/>
          </w:tcPr>
          <w:p w14:paraId="7479011F">
            <w:pPr>
              <w:widowControl/>
              <w:jc w:val="center"/>
              <w:rPr>
                <w:rFonts w:hint="default" w:ascii="Times New Roman" w:hAnsi="Times New Roman" w:eastAsia="宋体"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备注</w:t>
            </w:r>
          </w:p>
        </w:tc>
        <w:tc>
          <w:tcPr>
            <w:tcW w:w="6469" w:type="dxa"/>
            <w:vAlign w:val="center"/>
          </w:tcPr>
          <w:p w14:paraId="2A08C421">
            <w:pPr>
              <w:widowControl/>
              <w:jc w:val="left"/>
              <w:rPr>
                <w:rFonts w:hint="default" w:ascii="Times New Roman" w:hAnsi="Times New Roman" w:cs="Times New Roman"/>
                <w:kern w:val="0"/>
                <w:sz w:val="24"/>
                <w:szCs w:val="24"/>
                <w:highlight w:val="none"/>
              </w:rPr>
            </w:pPr>
          </w:p>
        </w:tc>
      </w:tr>
      <w:tr w14:paraId="128A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634" w:type="dxa"/>
            <w:gridSpan w:val="2"/>
            <w:vAlign w:val="center"/>
          </w:tcPr>
          <w:p w14:paraId="45758CF8">
            <w:pPr>
              <w:widowControl/>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说明：磋商报价以元为单位，大小写不一致时，以大写为准。该报价包含完成该项目</w:t>
            </w:r>
            <w:r>
              <w:rPr>
                <w:rFonts w:hint="default" w:ascii="Times New Roman" w:hAnsi="Times New Roman" w:cs="Times New Roman"/>
                <w:sz w:val="24"/>
                <w:highlight w:val="none"/>
              </w:rPr>
              <w:t>全部工作内容的费用。</w:t>
            </w:r>
          </w:p>
        </w:tc>
      </w:tr>
    </w:tbl>
    <w:p w14:paraId="7D4603AE">
      <w:pPr>
        <w:spacing w:line="440" w:lineRule="exact"/>
        <w:rPr>
          <w:rFonts w:hint="default" w:ascii="Times New Roman" w:hAnsi="Times New Roman" w:cs="Times New Roman"/>
          <w:sz w:val="24"/>
          <w:highlight w:val="none"/>
        </w:rPr>
      </w:pPr>
      <w:r>
        <w:rPr>
          <w:rFonts w:hint="default" w:ascii="Times New Roman" w:hAnsi="Times New Roman" w:cs="Times New Roman"/>
          <w:b/>
          <w:bCs/>
          <w:sz w:val="24"/>
          <w:highlight w:val="none"/>
        </w:rPr>
        <w:t xml:space="preserve">  </w:t>
      </w:r>
      <w:r>
        <w:rPr>
          <w:rFonts w:hint="default" w:ascii="Times New Roman" w:hAnsi="Times New Roman" w:cs="Times New Roman"/>
          <w:sz w:val="24"/>
          <w:highlight w:val="none"/>
        </w:rPr>
        <w:t xml:space="preserve">                   </w:t>
      </w:r>
    </w:p>
    <w:p w14:paraId="66896BD3">
      <w:pPr>
        <w:spacing w:line="440" w:lineRule="exact"/>
        <w:rPr>
          <w:rFonts w:hint="default" w:ascii="Times New Roman" w:hAnsi="Times New Roman" w:cs="Times New Roman"/>
          <w:highlight w:val="none"/>
        </w:rPr>
      </w:pPr>
      <w:r>
        <w:rPr>
          <w:rFonts w:hint="default" w:ascii="Times New Roman" w:hAnsi="Times New Roman" w:cs="Times New Roman"/>
          <w:sz w:val="24"/>
          <w:highlight w:val="none"/>
        </w:rPr>
        <w:t xml:space="preserve">      </w:t>
      </w:r>
    </w:p>
    <w:p w14:paraId="55E82F70">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01D5D193">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0AE9EBEE">
      <w:pPr>
        <w:spacing w:line="480" w:lineRule="auto"/>
        <w:ind w:firstLine="4320" w:firstLineChars="18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0BCCBEF1">
      <w:pPr>
        <w:spacing w:line="360" w:lineRule="auto"/>
        <w:jc w:val="center"/>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zh-CN"/>
        </w:rPr>
        <w:br w:type="page"/>
      </w:r>
      <w:r>
        <w:rPr>
          <w:rFonts w:hint="default" w:ascii="Times New Roman" w:hAnsi="Times New Roman" w:cs="Times New Roman"/>
          <w:b/>
          <w:bCs/>
          <w:sz w:val="32"/>
          <w:szCs w:val="32"/>
          <w:highlight w:val="none"/>
          <w:lang w:val="en-US" w:eastAsia="zh-CN"/>
        </w:rPr>
        <w:t>分项报价表</w:t>
      </w:r>
    </w:p>
    <w:p w14:paraId="061ACB15">
      <w:pPr>
        <w:pStyle w:val="4"/>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（格式自拟）</w:t>
      </w:r>
    </w:p>
    <w:p w14:paraId="6C76D7BF">
      <w:pPr>
        <w:pStyle w:val="4"/>
        <w:rPr>
          <w:rFonts w:hint="default" w:ascii="Times New Roman" w:hAnsi="Times New Roman" w:cs="Times New Roman"/>
          <w:b w:val="0"/>
          <w:bCs w:val="0"/>
          <w:sz w:val="24"/>
          <w:szCs w:val="24"/>
          <w:highlight w:val="none"/>
          <w:lang w:val="en-US" w:eastAsia="zh-CN"/>
        </w:rPr>
      </w:pPr>
    </w:p>
    <w:p w14:paraId="67239895">
      <w:pPr>
        <w:rPr>
          <w:rFonts w:hint="default" w:ascii="Times New Roman" w:hAnsi="Times New Roman" w:cs="Times New Roman"/>
          <w:b w:val="0"/>
          <w:bCs w:val="0"/>
          <w:sz w:val="24"/>
          <w:szCs w:val="24"/>
          <w:highlight w:val="none"/>
          <w:lang w:val="en-US" w:eastAsia="zh-CN"/>
        </w:rPr>
      </w:pPr>
    </w:p>
    <w:p w14:paraId="5552AD92">
      <w:pPr>
        <w:pStyle w:val="4"/>
        <w:rPr>
          <w:rFonts w:hint="default" w:ascii="Times New Roman" w:hAnsi="Times New Roman" w:cs="Times New Roman"/>
          <w:b w:val="0"/>
          <w:bCs w:val="0"/>
          <w:sz w:val="24"/>
          <w:szCs w:val="24"/>
          <w:highlight w:val="none"/>
          <w:lang w:val="en-US" w:eastAsia="zh-CN"/>
        </w:rPr>
      </w:pPr>
    </w:p>
    <w:p w14:paraId="464127CF">
      <w:pPr>
        <w:rPr>
          <w:rFonts w:hint="default" w:ascii="Times New Roman" w:hAnsi="Times New Roman" w:cs="Times New Roman"/>
          <w:b w:val="0"/>
          <w:bCs w:val="0"/>
          <w:sz w:val="24"/>
          <w:szCs w:val="24"/>
          <w:highlight w:val="none"/>
          <w:lang w:val="en-US" w:eastAsia="zh-CN"/>
        </w:rPr>
      </w:pPr>
    </w:p>
    <w:p w14:paraId="72DB158F">
      <w:pPr>
        <w:pStyle w:val="4"/>
        <w:rPr>
          <w:rFonts w:hint="default" w:ascii="Times New Roman" w:hAnsi="Times New Roman" w:cs="Times New Roman"/>
          <w:b w:val="0"/>
          <w:bCs w:val="0"/>
          <w:sz w:val="24"/>
          <w:szCs w:val="24"/>
          <w:highlight w:val="none"/>
          <w:lang w:val="en-US" w:eastAsia="zh-CN"/>
        </w:rPr>
      </w:pPr>
    </w:p>
    <w:p w14:paraId="5DDCE753">
      <w:pPr>
        <w:rPr>
          <w:rFonts w:hint="default" w:ascii="Times New Roman" w:hAnsi="Times New Roman" w:cs="Times New Roman"/>
          <w:b w:val="0"/>
          <w:bCs w:val="0"/>
          <w:sz w:val="24"/>
          <w:szCs w:val="24"/>
          <w:highlight w:val="none"/>
          <w:lang w:val="en-US" w:eastAsia="zh-CN"/>
        </w:rPr>
      </w:pPr>
    </w:p>
    <w:p w14:paraId="4736700B">
      <w:pPr>
        <w:pStyle w:val="4"/>
        <w:rPr>
          <w:rFonts w:hint="default" w:ascii="Times New Roman" w:hAnsi="Times New Roman" w:cs="Times New Roman"/>
          <w:b w:val="0"/>
          <w:bCs w:val="0"/>
          <w:sz w:val="24"/>
          <w:szCs w:val="24"/>
          <w:highlight w:val="none"/>
          <w:lang w:val="en-US" w:eastAsia="zh-CN"/>
        </w:rPr>
      </w:pPr>
    </w:p>
    <w:p w14:paraId="3AB62CDF">
      <w:pPr>
        <w:rPr>
          <w:rFonts w:hint="default" w:ascii="Times New Roman" w:hAnsi="Times New Roman" w:cs="Times New Roman"/>
          <w:b w:val="0"/>
          <w:bCs w:val="0"/>
          <w:sz w:val="24"/>
          <w:szCs w:val="24"/>
          <w:highlight w:val="none"/>
          <w:lang w:val="en-US" w:eastAsia="zh-CN"/>
        </w:rPr>
      </w:pPr>
    </w:p>
    <w:p w14:paraId="16D0E3B2">
      <w:pPr>
        <w:pStyle w:val="4"/>
        <w:rPr>
          <w:rFonts w:hint="default" w:ascii="Times New Roman" w:hAnsi="Times New Roman" w:cs="Times New Roman"/>
          <w:b w:val="0"/>
          <w:bCs w:val="0"/>
          <w:sz w:val="24"/>
          <w:szCs w:val="24"/>
          <w:highlight w:val="none"/>
          <w:lang w:val="en-US" w:eastAsia="zh-CN"/>
        </w:rPr>
      </w:pPr>
    </w:p>
    <w:p w14:paraId="1881FBF6">
      <w:pPr>
        <w:rPr>
          <w:rFonts w:hint="default" w:ascii="Times New Roman" w:hAnsi="Times New Roman" w:cs="Times New Roman"/>
          <w:b w:val="0"/>
          <w:bCs w:val="0"/>
          <w:sz w:val="24"/>
          <w:szCs w:val="24"/>
          <w:highlight w:val="none"/>
          <w:lang w:val="en-US" w:eastAsia="zh-CN"/>
        </w:rPr>
      </w:pPr>
    </w:p>
    <w:p w14:paraId="6B3B72EB">
      <w:pPr>
        <w:pStyle w:val="4"/>
        <w:rPr>
          <w:rFonts w:hint="default" w:ascii="Times New Roman" w:hAnsi="Times New Roman" w:cs="Times New Roman"/>
          <w:b w:val="0"/>
          <w:bCs w:val="0"/>
          <w:sz w:val="24"/>
          <w:szCs w:val="24"/>
          <w:highlight w:val="none"/>
          <w:lang w:val="en-US" w:eastAsia="zh-CN"/>
        </w:rPr>
      </w:pPr>
    </w:p>
    <w:p w14:paraId="295AA41A">
      <w:pPr>
        <w:spacing w:line="360" w:lineRule="auto"/>
        <w:ind w:firstLine="4320" w:firstLineChars="1800"/>
        <w:rPr>
          <w:rFonts w:hint="default" w:ascii="Times New Roman" w:hAnsi="Times New Roman" w:cs="Times New Roman"/>
          <w:sz w:val="24"/>
          <w:szCs w:val="24"/>
          <w:highlight w:val="none"/>
        </w:rPr>
      </w:pPr>
    </w:p>
    <w:p w14:paraId="19EDA9FF">
      <w:pPr>
        <w:spacing w:line="360" w:lineRule="auto"/>
        <w:ind w:firstLine="4320" w:firstLineChars="1800"/>
        <w:rPr>
          <w:rFonts w:hint="default" w:ascii="Times New Roman" w:hAnsi="Times New Roman" w:cs="Times New Roman"/>
          <w:sz w:val="24"/>
          <w:szCs w:val="24"/>
          <w:highlight w:val="none"/>
        </w:rPr>
      </w:pPr>
    </w:p>
    <w:p w14:paraId="33E826D4">
      <w:pPr>
        <w:spacing w:line="360" w:lineRule="auto"/>
        <w:ind w:firstLine="4320" w:firstLineChars="1800"/>
        <w:rPr>
          <w:rFonts w:hint="default" w:ascii="Times New Roman" w:hAnsi="Times New Roman" w:cs="Times New Roman"/>
          <w:sz w:val="24"/>
          <w:szCs w:val="24"/>
          <w:highlight w:val="none"/>
        </w:rPr>
      </w:pPr>
    </w:p>
    <w:p w14:paraId="34600239">
      <w:pPr>
        <w:spacing w:line="360" w:lineRule="auto"/>
        <w:ind w:firstLine="4320" w:firstLineChars="1800"/>
        <w:rPr>
          <w:rFonts w:hint="default" w:ascii="Times New Roman" w:hAnsi="Times New Roman" w:cs="Times New Roman"/>
          <w:sz w:val="24"/>
          <w:szCs w:val="24"/>
          <w:highlight w:val="none"/>
        </w:rPr>
      </w:pPr>
    </w:p>
    <w:p w14:paraId="6E263099">
      <w:pPr>
        <w:spacing w:line="360" w:lineRule="auto"/>
        <w:ind w:firstLine="4320" w:firstLineChars="1800"/>
        <w:rPr>
          <w:rFonts w:hint="default" w:ascii="Times New Roman" w:hAnsi="Times New Roman" w:cs="Times New Roman"/>
          <w:sz w:val="24"/>
          <w:szCs w:val="24"/>
          <w:highlight w:val="none"/>
        </w:rPr>
      </w:pPr>
    </w:p>
    <w:p w14:paraId="0AE54F43">
      <w:pPr>
        <w:spacing w:line="360" w:lineRule="auto"/>
        <w:ind w:firstLine="4320" w:firstLineChars="1800"/>
        <w:rPr>
          <w:rFonts w:hint="default" w:ascii="Times New Roman" w:hAnsi="Times New Roman" w:cs="Times New Roman"/>
          <w:sz w:val="24"/>
          <w:szCs w:val="24"/>
          <w:highlight w:val="none"/>
        </w:rPr>
      </w:pPr>
    </w:p>
    <w:p w14:paraId="76029015">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4B79B286">
      <w:pPr>
        <w:spacing w:line="360" w:lineRule="auto"/>
        <w:ind w:firstLine="4320" w:firstLineChars="1800"/>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70C388AB">
      <w:pPr>
        <w:jc w:val="right"/>
        <w:rPr>
          <w:rFonts w:hint="default" w:ascii="Times New Roman" w:hAnsi="Times New Roman" w:cs="Times New Roman"/>
          <w:highlight w:val="none"/>
          <w:lang w:val="en-US" w:eastAsia="zh-CN"/>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2271FAA8">
      <w:pPr>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lang w:val="zh-CN"/>
        </w:rPr>
        <w:br w:type="page"/>
      </w:r>
    </w:p>
    <w:p w14:paraId="338C7034">
      <w:pPr>
        <w:rPr>
          <w:rFonts w:hint="default" w:ascii="Times New Roman" w:hAnsi="Times New Roman" w:cs="Times New Roman"/>
          <w:highlight w:val="none"/>
          <w:lang w:val="zh-CN"/>
        </w:rPr>
      </w:pPr>
    </w:p>
    <w:p w14:paraId="758AFC0A">
      <w:pPr>
        <w:spacing w:line="480" w:lineRule="auto"/>
        <w:jc w:val="center"/>
        <w:outlineLvl w:val="1"/>
        <w:rPr>
          <w:rFonts w:hint="default" w:ascii="Times New Roman" w:hAnsi="Times New Roman" w:cs="Times New Roman"/>
          <w:b/>
          <w:sz w:val="32"/>
          <w:szCs w:val="32"/>
          <w:highlight w:val="none"/>
        </w:rPr>
      </w:pPr>
      <w:bookmarkStart w:id="157" w:name="_Toc13380"/>
      <w:r>
        <w:rPr>
          <w:rFonts w:hint="default" w:ascii="Times New Roman" w:hAnsi="Times New Roman" w:cs="Times New Roman"/>
          <w:b/>
          <w:sz w:val="32"/>
          <w:szCs w:val="32"/>
          <w:highlight w:val="none"/>
          <w:lang w:val="en-US" w:eastAsia="zh-CN"/>
        </w:rPr>
        <w:t>三</w:t>
      </w:r>
      <w:r>
        <w:rPr>
          <w:rFonts w:hint="default" w:ascii="Times New Roman" w:hAnsi="Times New Roman" w:cs="Times New Roman"/>
          <w:b/>
          <w:sz w:val="32"/>
          <w:szCs w:val="32"/>
          <w:highlight w:val="none"/>
        </w:rPr>
        <w:t>、商务条款偏离表</w:t>
      </w:r>
      <w:bookmarkEnd w:id="157"/>
    </w:p>
    <w:p w14:paraId="43D6B235">
      <w:pPr>
        <w:spacing w:line="560" w:lineRule="exact"/>
        <w:rPr>
          <w:rFonts w:hint="default" w:ascii="Times New Roman" w:hAnsi="Times New Roman" w:cs="Times New Roman"/>
          <w:b/>
          <w:bCs/>
          <w:color w:val="000000"/>
          <w:sz w:val="36"/>
          <w:szCs w:val="36"/>
          <w:highlight w:val="none"/>
        </w:rPr>
      </w:pPr>
      <w:r>
        <w:rPr>
          <w:rFonts w:hint="default" w:ascii="Times New Roman" w:hAnsi="Times New Roman" w:cs="Times New Roman"/>
          <w:szCs w:val="21"/>
          <w:highlight w:val="none"/>
          <w:lang w:val="en-US" w:eastAsia="zh-CN"/>
        </w:rPr>
        <w:t>项目</w:t>
      </w:r>
      <w:r>
        <w:rPr>
          <w:rFonts w:hint="default" w:ascii="Times New Roman" w:hAnsi="Times New Roman" w:cs="Times New Roman"/>
          <w:szCs w:val="21"/>
          <w:highlight w:val="none"/>
        </w:rPr>
        <w:t>名称：                         项目编号：</w:t>
      </w:r>
    </w:p>
    <w:tbl>
      <w:tblPr>
        <w:tblStyle w:val="19"/>
        <w:tblW w:w="92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10"/>
        <w:gridCol w:w="2625"/>
        <w:gridCol w:w="1590"/>
        <w:gridCol w:w="1245"/>
      </w:tblGrid>
      <w:tr w14:paraId="4A16F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0" w:type="dxa"/>
            <w:tcBorders>
              <w:top w:val="single" w:color="auto" w:sz="12" w:space="0"/>
            </w:tcBorders>
            <w:vAlign w:val="center"/>
          </w:tcPr>
          <w:p w14:paraId="4FD4F558">
            <w:pPr>
              <w:spacing w:line="320" w:lineRule="exact"/>
              <w:ind w:left="-97" w:leftChars="-46"/>
              <w:jc w:val="center"/>
              <w:rPr>
                <w:rFonts w:hint="default" w:ascii="Times New Roman" w:hAnsi="Times New Roman" w:cs="Times New Roman"/>
                <w:b/>
                <w:bCs/>
                <w:position w:val="4"/>
                <w:szCs w:val="21"/>
                <w:highlight w:val="none"/>
              </w:rPr>
            </w:pPr>
            <w:r>
              <w:rPr>
                <w:rFonts w:hint="default" w:ascii="Times New Roman" w:hAnsi="Times New Roman" w:cs="Times New Roman"/>
                <w:b/>
                <w:szCs w:val="21"/>
                <w:highlight w:val="none"/>
              </w:rPr>
              <w:t>序号</w:t>
            </w:r>
          </w:p>
        </w:tc>
        <w:tc>
          <w:tcPr>
            <w:tcW w:w="2910" w:type="dxa"/>
            <w:tcBorders>
              <w:top w:val="single" w:color="auto" w:sz="12" w:space="0"/>
            </w:tcBorders>
            <w:vAlign w:val="center"/>
          </w:tcPr>
          <w:p w14:paraId="457DB10D">
            <w:pPr>
              <w:spacing w:line="320" w:lineRule="exact"/>
              <w:jc w:val="center"/>
              <w:rPr>
                <w:rFonts w:hint="default" w:ascii="Times New Roman" w:hAnsi="Times New Roman" w:cs="Times New Roman"/>
                <w:b/>
                <w:bCs/>
                <w:position w:val="4"/>
                <w:szCs w:val="21"/>
                <w:highlight w:val="none"/>
              </w:rPr>
            </w:pPr>
            <w:r>
              <w:rPr>
                <w:rFonts w:hint="default" w:ascii="Times New Roman" w:hAnsi="Times New Roman" w:cs="Times New Roman"/>
                <w:b/>
                <w:szCs w:val="21"/>
                <w:highlight w:val="none"/>
              </w:rPr>
              <w:t>磋商文件商务要求</w:t>
            </w:r>
          </w:p>
        </w:tc>
        <w:tc>
          <w:tcPr>
            <w:tcW w:w="2625" w:type="dxa"/>
            <w:tcBorders>
              <w:top w:val="single" w:color="auto" w:sz="12" w:space="0"/>
            </w:tcBorders>
            <w:vAlign w:val="center"/>
          </w:tcPr>
          <w:p w14:paraId="2E75B10A">
            <w:pPr>
              <w:spacing w:line="320" w:lineRule="exact"/>
              <w:jc w:val="center"/>
              <w:rPr>
                <w:rFonts w:hint="default" w:ascii="Times New Roman" w:hAnsi="Times New Roman" w:cs="Times New Roman"/>
                <w:b/>
                <w:bCs/>
                <w:position w:val="4"/>
                <w:szCs w:val="21"/>
                <w:highlight w:val="none"/>
              </w:rPr>
            </w:pPr>
            <w:r>
              <w:rPr>
                <w:rFonts w:hint="default" w:ascii="Times New Roman" w:hAnsi="Times New Roman" w:cs="Times New Roman"/>
                <w:b/>
                <w:szCs w:val="21"/>
                <w:highlight w:val="none"/>
              </w:rPr>
              <w:t>响应文件商务响应</w:t>
            </w:r>
          </w:p>
        </w:tc>
        <w:tc>
          <w:tcPr>
            <w:tcW w:w="1590" w:type="dxa"/>
            <w:tcBorders>
              <w:top w:val="single" w:color="auto" w:sz="12" w:space="0"/>
            </w:tcBorders>
            <w:vAlign w:val="center"/>
          </w:tcPr>
          <w:p w14:paraId="4EDE19CF">
            <w:pPr>
              <w:spacing w:line="320" w:lineRule="exact"/>
              <w:jc w:val="center"/>
              <w:rPr>
                <w:rFonts w:hint="default" w:ascii="Times New Roman" w:hAnsi="Times New Roman" w:cs="Times New Roman"/>
                <w:b/>
                <w:bCs/>
                <w:position w:val="4"/>
                <w:szCs w:val="21"/>
                <w:highlight w:val="none"/>
              </w:rPr>
            </w:pPr>
            <w:r>
              <w:rPr>
                <w:rFonts w:hint="default" w:ascii="Times New Roman" w:hAnsi="Times New Roman" w:cs="Times New Roman"/>
                <w:b/>
                <w:szCs w:val="21"/>
                <w:highlight w:val="none"/>
              </w:rPr>
              <w:t>偏离情况</w:t>
            </w:r>
          </w:p>
        </w:tc>
        <w:tc>
          <w:tcPr>
            <w:tcW w:w="1245" w:type="dxa"/>
            <w:tcBorders>
              <w:top w:val="single" w:color="auto" w:sz="12" w:space="0"/>
            </w:tcBorders>
            <w:vAlign w:val="center"/>
          </w:tcPr>
          <w:p w14:paraId="09B3E668">
            <w:pPr>
              <w:spacing w:line="320" w:lineRule="exact"/>
              <w:jc w:val="center"/>
              <w:rPr>
                <w:rFonts w:hint="default" w:ascii="Times New Roman" w:hAnsi="Times New Roman" w:cs="Times New Roman"/>
                <w:b/>
                <w:bCs/>
                <w:position w:val="4"/>
                <w:szCs w:val="21"/>
                <w:highlight w:val="none"/>
              </w:rPr>
            </w:pPr>
            <w:r>
              <w:rPr>
                <w:rFonts w:hint="default" w:ascii="Times New Roman" w:hAnsi="Times New Roman" w:cs="Times New Roman"/>
                <w:b/>
                <w:szCs w:val="21"/>
                <w:highlight w:val="none"/>
              </w:rPr>
              <w:t>说明</w:t>
            </w:r>
          </w:p>
        </w:tc>
      </w:tr>
      <w:tr w14:paraId="49CA0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D2CE0D0">
            <w:pPr>
              <w:spacing w:line="560" w:lineRule="exact"/>
              <w:rPr>
                <w:rFonts w:hint="default" w:ascii="Times New Roman" w:hAnsi="Times New Roman" w:cs="Times New Roman"/>
                <w:b/>
                <w:bCs/>
                <w:position w:val="4"/>
                <w:sz w:val="32"/>
                <w:szCs w:val="32"/>
                <w:highlight w:val="none"/>
              </w:rPr>
            </w:pPr>
          </w:p>
        </w:tc>
        <w:tc>
          <w:tcPr>
            <w:tcW w:w="2910" w:type="dxa"/>
          </w:tcPr>
          <w:p w14:paraId="5990905E">
            <w:pPr>
              <w:spacing w:line="560" w:lineRule="exact"/>
              <w:rPr>
                <w:rFonts w:hint="default" w:ascii="Times New Roman" w:hAnsi="Times New Roman" w:cs="Times New Roman"/>
                <w:b/>
                <w:bCs/>
                <w:position w:val="4"/>
                <w:sz w:val="32"/>
                <w:szCs w:val="32"/>
                <w:highlight w:val="none"/>
              </w:rPr>
            </w:pPr>
          </w:p>
        </w:tc>
        <w:tc>
          <w:tcPr>
            <w:tcW w:w="2625" w:type="dxa"/>
          </w:tcPr>
          <w:p w14:paraId="79451B44">
            <w:pPr>
              <w:spacing w:line="560" w:lineRule="exact"/>
              <w:rPr>
                <w:rFonts w:hint="default" w:ascii="Times New Roman" w:hAnsi="Times New Roman" w:cs="Times New Roman"/>
                <w:b/>
                <w:bCs/>
                <w:position w:val="4"/>
                <w:sz w:val="32"/>
                <w:szCs w:val="32"/>
                <w:highlight w:val="none"/>
              </w:rPr>
            </w:pPr>
          </w:p>
        </w:tc>
        <w:tc>
          <w:tcPr>
            <w:tcW w:w="1590" w:type="dxa"/>
          </w:tcPr>
          <w:p w14:paraId="27D5DF4B">
            <w:pPr>
              <w:spacing w:line="560" w:lineRule="exact"/>
              <w:rPr>
                <w:rFonts w:hint="default" w:ascii="Times New Roman" w:hAnsi="Times New Roman" w:cs="Times New Roman"/>
                <w:b/>
                <w:bCs/>
                <w:position w:val="4"/>
                <w:sz w:val="32"/>
                <w:szCs w:val="32"/>
                <w:highlight w:val="none"/>
              </w:rPr>
            </w:pPr>
          </w:p>
        </w:tc>
        <w:tc>
          <w:tcPr>
            <w:tcW w:w="1245" w:type="dxa"/>
          </w:tcPr>
          <w:p w14:paraId="54A8BFB9">
            <w:pPr>
              <w:spacing w:line="560" w:lineRule="exact"/>
              <w:rPr>
                <w:rFonts w:hint="default" w:ascii="Times New Roman" w:hAnsi="Times New Roman" w:cs="Times New Roman"/>
                <w:b/>
                <w:bCs/>
                <w:position w:val="4"/>
                <w:sz w:val="32"/>
                <w:szCs w:val="32"/>
                <w:highlight w:val="none"/>
              </w:rPr>
            </w:pPr>
          </w:p>
        </w:tc>
      </w:tr>
      <w:tr w14:paraId="57216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B030BB">
            <w:pPr>
              <w:spacing w:line="560" w:lineRule="exact"/>
              <w:rPr>
                <w:rFonts w:hint="default" w:ascii="Times New Roman" w:hAnsi="Times New Roman" w:cs="Times New Roman"/>
                <w:b/>
                <w:bCs/>
                <w:position w:val="4"/>
                <w:sz w:val="32"/>
                <w:szCs w:val="32"/>
                <w:highlight w:val="none"/>
              </w:rPr>
            </w:pPr>
          </w:p>
        </w:tc>
        <w:tc>
          <w:tcPr>
            <w:tcW w:w="2910" w:type="dxa"/>
          </w:tcPr>
          <w:p w14:paraId="527B0CF9">
            <w:pPr>
              <w:spacing w:line="560" w:lineRule="exact"/>
              <w:rPr>
                <w:rFonts w:hint="default" w:ascii="Times New Roman" w:hAnsi="Times New Roman" w:cs="Times New Roman"/>
                <w:b/>
                <w:bCs/>
                <w:position w:val="4"/>
                <w:sz w:val="32"/>
                <w:szCs w:val="32"/>
                <w:highlight w:val="none"/>
              </w:rPr>
            </w:pPr>
          </w:p>
        </w:tc>
        <w:tc>
          <w:tcPr>
            <w:tcW w:w="2625" w:type="dxa"/>
          </w:tcPr>
          <w:p w14:paraId="68B4F204">
            <w:pPr>
              <w:spacing w:line="560" w:lineRule="exact"/>
              <w:rPr>
                <w:rFonts w:hint="default" w:ascii="Times New Roman" w:hAnsi="Times New Roman" w:cs="Times New Roman"/>
                <w:b/>
                <w:bCs/>
                <w:position w:val="4"/>
                <w:sz w:val="32"/>
                <w:szCs w:val="32"/>
                <w:highlight w:val="none"/>
              </w:rPr>
            </w:pPr>
          </w:p>
        </w:tc>
        <w:tc>
          <w:tcPr>
            <w:tcW w:w="1590" w:type="dxa"/>
          </w:tcPr>
          <w:p w14:paraId="4206D9B8">
            <w:pPr>
              <w:spacing w:line="560" w:lineRule="exact"/>
              <w:rPr>
                <w:rFonts w:hint="default" w:ascii="Times New Roman" w:hAnsi="Times New Roman" w:cs="Times New Roman"/>
                <w:b/>
                <w:bCs/>
                <w:position w:val="4"/>
                <w:sz w:val="32"/>
                <w:szCs w:val="32"/>
                <w:highlight w:val="none"/>
              </w:rPr>
            </w:pPr>
          </w:p>
        </w:tc>
        <w:tc>
          <w:tcPr>
            <w:tcW w:w="1245" w:type="dxa"/>
          </w:tcPr>
          <w:p w14:paraId="04B81719">
            <w:pPr>
              <w:spacing w:line="560" w:lineRule="exact"/>
              <w:rPr>
                <w:rFonts w:hint="default" w:ascii="Times New Roman" w:hAnsi="Times New Roman" w:cs="Times New Roman"/>
                <w:b/>
                <w:bCs/>
                <w:position w:val="4"/>
                <w:sz w:val="32"/>
                <w:szCs w:val="32"/>
                <w:highlight w:val="none"/>
              </w:rPr>
            </w:pPr>
          </w:p>
        </w:tc>
      </w:tr>
      <w:tr w14:paraId="2915A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6511C9">
            <w:pPr>
              <w:spacing w:line="560" w:lineRule="exact"/>
              <w:rPr>
                <w:rFonts w:hint="default" w:ascii="Times New Roman" w:hAnsi="Times New Roman" w:cs="Times New Roman"/>
                <w:b/>
                <w:bCs/>
                <w:position w:val="4"/>
                <w:sz w:val="32"/>
                <w:szCs w:val="32"/>
                <w:highlight w:val="none"/>
              </w:rPr>
            </w:pPr>
          </w:p>
        </w:tc>
        <w:tc>
          <w:tcPr>
            <w:tcW w:w="2910" w:type="dxa"/>
          </w:tcPr>
          <w:p w14:paraId="7141CAC9">
            <w:pPr>
              <w:spacing w:line="560" w:lineRule="exact"/>
              <w:rPr>
                <w:rFonts w:hint="default" w:ascii="Times New Roman" w:hAnsi="Times New Roman" w:cs="Times New Roman"/>
                <w:b/>
                <w:bCs/>
                <w:position w:val="4"/>
                <w:sz w:val="32"/>
                <w:szCs w:val="32"/>
                <w:highlight w:val="none"/>
              </w:rPr>
            </w:pPr>
          </w:p>
        </w:tc>
        <w:tc>
          <w:tcPr>
            <w:tcW w:w="2625" w:type="dxa"/>
          </w:tcPr>
          <w:p w14:paraId="660C5C3F">
            <w:pPr>
              <w:spacing w:line="560" w:lineRule="exact"/>
              <w:rPr>
                <w:rFonts w:hint="default" w:ascii="Times New Roman" w:hAnsi="Times New Roman" w:cs="Times New Roman"/>
                <w:b/>
                <w:bCs/>
                <w:position w:val="4"/>
                <w:sz w:val="32"/>
                <w:szCs w:val="32"/>
                <w:highlight w:val="none"/>
              </w:rPr>
            </w:pPr>
          </w:p>
        </w:tc>
        <w:tc>
          <w:tcPr>
            <w:tcW w:w="1590" w:type="dxa"/>
          </w:tcPr>
          <w:p w14:paraId="67324870">
            <w:pPr>
              <w:spacing w:line="560" w:lineRule="exact"/>
              <w:rPr>
                <w:rFonts w:hint="default" w:ascii="Times New Roman" w:hAnsi="Times New Roman" w:cs="Times New Roman"/>
                <w:b/>
                <w:bCs/>
                <w:position w:val="4"/>
                <w:sz w:val="32"/>
                <w:szCs w:val="32"/>
                <w:highlight w:val="none"/>
              </w:rPr>
            </w:pPr>
          </w:p>
        </w:tc>
        <w:tc>
          <w:tcPr>
            <w:tcW w:w="1245" w:type="dxa"/>
          </w:tcPr>
          <w:p w14:paraId="6A19B533">
            <w:pPr>
              <w:spacing w:line="560" w:lineRule="exact"/>
              <w:rPr>
                <w:rFonts w:hint="default" w:ascii="Times New Roman" w:hAnsi="Times New Roman" w:cs="Times New Roman"/>
                <w:b/>
                <w:bCs/>
                <w:position w:val="4"/>
                <w:sz w:val="32"/>
                <w:szCs w:val="32"/>
                <w:highlight w:val="none"/>
              </w:rPr>
            </w:pPr>
          </w:p>
        </w:tc>
      </w:tr>
      <w:tr w14:paraId="1912C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8FAA30F">
            <w:pPr>
              <w:spacing w:line="560" w:lineRule="exact"/>
              <w:rPr>
                <w:rFonts w:hint="default" w:ascii="Times New Roman" w:hAnsi="Times New Roman" w:cs="Times New Roman"/>
                <w:b/>
                <w:bCs/>
                <w:position w:val="4"/>
                <w:sz w:val="32"/>
                <w:szCs w:val="32"/>
                <w:highlight w:val="none"/>
              </w:rPr>
            </w:pPr>
          </w:p>
        </w:tc>
        <w:tc>
          <w:tcPr>
            <w:tcW w:w="2910" w:type="dxa"/>
          </w:tcPr>
          <w:p w14:paraId="7FAC3014">
            <w:pPr>
              <w:spacing w:line="560" w:lineRule="exact"/>
              <w:rPr>
                <w:rFonts w:hint="default" w:ascii="Times New Roman" w:hAnsi="Times New Roman" w:cs="Times New Roman"/>
                <w:b/>
                <w:bCs/>
                <w:position w:val="4"/>
                <w:sz w:val="32"/>
                <w:szCs w:val="32"/>
                <w:highlight w:val="none"/>
              </w:rPr>
            </w:pPr>
          </w:p>
        </w:tc>
        <w:tc>
          <w:tcPr>
            <w:tcW w:w="2625" w:type="dxa"/>
          </w:tcPr>
          <w:p w14:paraId="659137E3">
            <w:pPr>
              <w:spacing w:line="560" w:lineRule="exact"/>
              <w:rPr>
                <w:rFonts w:hint="default" w:ascii="Times New Roman" w:hAnsi="Times New Roman" w:cs="Times New Roman"/>
                <w:b/>
                <w:bCs/>
                <w:position w:val="4"/>
                <w:sz w:val="32"/>
                <w:szCs w:val="32"/>
                <w:highlight w:val="none"/>
              </w:rPr>
            </w:pPr>
          </w:p>
        </w:tc>
        <w:tc>
          <w:tcPr>
            <w:tcW w:w="1590" w:type="dxa"/>
          </w:tcPr>
          <w:p w14:paraId="3F458F45">
            <w:pPr>
              <w:spacing w:line="560" w:lineRule="exact"/>
              <w:rPr>
                <w:rFonts w:hint="default" w:ascii="Times New Roman" w:hAnsi="Times New Roman" w:cs="Times New Roman"/>
                <w:b/>
                <w:bCs/>
                <w:position w:val="4"/>
                <w:sz w:val="32"/>
                <w:szCs w:val="32"/>
                <w:highlight w:val="none"/>
              </w:rPr>
            </w:pPr>
          </w:p>
        </w:tc>
        <w:tc>
          <w:tcPr>
            <w:tcW w:w="1245" w:type="dxa"/>
          </w:tcPr>
          <w:p w14:paraId="69C1D0D9">
            <w:pPr>
              <w:spacing w:line="560" w:lineRule="exact"/>
              <w:rPr>
                <w:rFonts w:hint="default" w:ascii="Times New Roman" w:hAnsi="Times New Roman" w:cs="Times New Roman"/>
                <w:b/>
                <w:bCs/>
                <w:position w:val="4"/>
                <w:sz w:val="32"/>
                <w:szCs w:val="32"/>
                <w:highlight w:val="none"/>
              </w:rPr>
            </w:pPr>
          </w:p>
        </w:tc>
      </w:tr>
      <w:tr w14:paraId="1297D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141274">
            <w:pPr>
              <w:spacing w:line="560" w:lineRule="exact"/>
              <w:rPr>
                <w:rFonts w:hint="default" w:ascii="Times New Roman" w:hAnsi="Times New Roman" w:cs="Times New Roman"/>
                <w:b/>
                <w:bCs/>
                <w:position w:val="4"/>
                <w:sz w:val="32"/>
                <w:szCs w:val="32"/>
                <w:highlight w:val="none"/>
              </w:rPr>
            </w:pPr>
          </w:p>
        </w:tc>
        <w:tc>
          <w:tcPr>
            <w:tcW w:w="2910" w:type="dxa"/>
          </w:tcPr>
          <w:p w14:paraId="66A8140E">
            <w:pPr>
              <w:spacing w:line="560" w:lineRule="exact"/>
              <w:rPr>
                <w:rFonts w:hint="default" w:ascii="Times New Roman" w:hAnsi="Times New Roman" w:cs="Times New Roman"/>
                <w:b/>
                <w:bCs/>
                <w:position w:val="4"/>
                <w:sz w:val="32"/>
                <w:szCs w:val="32"/>
                <w:highlight w:val="none"/>
              </w:rPr>
            </w:pPr>
          </w:p>
        </w:tc>
        <w:tc>
          <w:tcPr>
            <w:tcW w:w="2625" w:type="dxa"/>
          </w:tcPr>
          <w:p w14:paraId="139C2FF5">
            <w:pPr>
              <w:spacing w:line="560" w:lineRule="exact"/>
              <w:rPr>
                <w:rFonts w:hint="default" w:ascii="Times New Roman" w:hAnsi="Times New Roman" w:cs="Times New Roman"/>
                <w:b/>
                <w:bCs/>
                <w:position w:val="4"/>
                <w:sz w:val="32"/>
                <w:szCs w:val="32"/>
                <w:highlight w:val="none"/>
              </w:rPr>
            </w:pPr>
          </w:p>
        </w:tc>
        <w:tc>
          <w:tcPr>
            <w:tcW w:w="1590" w:type="dxa"/>
          </w:tcPr>
          <w:p w14:paraId="372D8AB7">
            <w:pPr>
              <w:spacing w:line="560" w:lineRule="exact"/>
              <w:rPr>
                <w:rFonts w:hint="default" w:ascii="Times New Roman" w:hAnsi="Times New Roman" w:cs="Times New Roman"/>
                <w:b/>
                <w:bCs/>
                <w:position w:val="4"/>
                <w:sz w:val="32"/>
                <w:szCs w:val="32"/>
                <w:highlight w:val="none"/>
              </w:rPr>
            </w:pPr>
          </w:p>
        </w:tc>
        <w:tc>
          <w:tcPr>
            <w:tcW w:w="1245" w:type="dxa"/>
          </w:tcPr>
          <w:p w14:paraId="7A9FB073">
            <w:pPr>
              <w:spacing w:line="560" w:lineRule="exact"/>
              <w:rPr>
                <w:rFonts w:hint="default" w:ascii="Times New Roman" w:hAnsi="Times New Roman" w:cs="Times New Roman"/>
                <w:b/>
                <w:bCs/>
                <w:position w:val="4"/>
                <w:sz w:val="32"/>
                <w:szCs w:val="32"/>
                <w:highlight w:val="none"/>
              </w:rPr>
            </w:pPr>
          </w:p>
        </w:tc>
      </w:tr>
      <w:tr w14:paraId="2E622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bottom w:val="single" w:color="auto" w:sz="12" w:space="0"/>
            </w:tcBorders>
          </w:tcPr>
          <w:p w14:paraId="1405EC8F">
            <w:pPr>
              <w:spacing w:line="560" w:lineRule="exact"/>
              <w:rPr>
                <w:rFonts w:hint="default" w:ascii="Times New Roman" w:hAnsi="Times New Roman" w:cs="Times New Roman"/>
                <w:b/>
                <w:bCs/>
                <w:position w:val="4"/>
                <w:sz w:val="32"/>
                <w:szCs w:val="32"/>
                <w:highlight w:val="none"/>
              </w:rPr>
            </w:pPr>
          </w:p>
        </w:tc>
        <w:tc>
          <w:tcPr>
            <w:tcW w:w="2910" w:type="dxa"/>
            <w:tcBorders>
              <w:bottom w:val="single" w:color="auto" w:sz="12" w:space="0"/>
            </w:tcBorders>
          </w:tcPr>
          <w:p w14:paraId="2354BB45">
            <w:pPr>
              <w:spacing w:line="560" w:lineRule="exact"/>
              <w:rPr>
                <w:rFonts w:hint="default" w:ascii="Times New Roman" w:hAnsi="Times New Roman" w:cs="Times New Roman"/>
                <w:b/>
                <w:bCs/>
                <w:position w:val="4"/>
                <w:sz w:val="32"/>
                <w:szCs w:val="32"/>
                <w:highlight w:val="none"/>
              </w:rPr>
            </w:pPr>
          </w:p>
        </w:tc>
        <w:tc>
          <w:tcPr>
            <w:tcW w:w="2625" w:type="dxa"/>
            <w:tcBorders>
              <w:bottom w:val="single" w:color="auto" w:sz="12" w:space="0"/>
            </w:tcBorders>
          </w:tcPr>
          <w:p w14:paraId="396532E8">
            <w:pPr>
              <w:spacing w:line="560" w:lineRule="exact"/>
              <w:rPr>
                <w:rFonts w:hint="default" w:ascii="Times New Roman" w:hAnsi="Times New Roman" w:cs="Times New Roman"/>
                <w:b/>
                <w:bCs/>
                <w:position w:val="4"/>
                <w:sz w:val="32"/>
                <w:szCs w:val="32"/>
                <w:highlight w:val="none"/>
              </w:rPr>
            </w:pPr>
          </w:p>
        </w:tc>
        <w:tc>
          <w:tcPr>
            <w:tcW w:w="1590" w:type="dxa"/>
            <w:tcBorders>
              <w:bottom w:val="single" w:color="auto" w:sz="12" w:space="0"/>
            </w:tcBorders>
          </w:tcPr>
          <w:p w14:paraId="626C9AD8">
            <w:pPr>
              <w:spacing w:line="560" w:lineRule="exact"/>
              <w:rPr>
                <w:rFonts w:hint="default" w:ascii="Times New Roman" w:hAnsi="Times New Roman" w:cs="Times New Roman"/>
                <w:b/>
                <w:bCs/>
                <w:position w:val="4"/>
                <w:sz w:val="32"/>
                <w:szCs w:val="32"/>
                <w:highlight w:val="none"/>
              </w:rPr>
            </w:pPr>
          </w:p>
        </w:tc>
        <w:tc>
          <w:tcPr>
            <w:tcW w:w="1245" w:type="dxa"/>
            <w:tcBorders>
              <w:bottom w:val="single" w:color="auto" w:sz="12" w:space="0"/>
            </w:tcBorders>
          </w:tcPr>
          <w:p w14:paraId="3BC2AA35">
            <w:pPr>
              <w:spacing w:line="560" w:lineRule="exact"/>
              <w:rPr>
                <w:rFonts w:hint="default" w:ascii="Times New Roman" w:hAnsi="Times New Roman" w:cs="Times New Roman"/>
                <w:b/>
                <w:bCs/>
                <w:position w:val="4"/>
                <w:sz w:val="32"/>
                <w:szCs w:val="32"/>
                <w:highlight w:val="none"/>
              </w:rPr>
            </w:pPr>
          </w:p>
        </w:tc>
      </w:tr>
    </w:tbl>
    <w:p w14:paraId="405F7606">
      <w:pPr>
        <w:adjustRightInd w:val="0"/>
        <w:snapToGrid w:val="0"/>
        <w:spacing w:line="360" w:lineRule="auto"/>
        <w:rPr>
          <w:rFonts w:hint="default" w:ascii="Times New Roman" w:hAnsi="Times New Roman" w:cs="Times New Roman"/>
          <w:szCs w:val="21"/>
          <w:highlight w:val="none"/>
        </w:rPr>
      </w:pPr>
    </w:p>
    <w:p w14:paraId="74AFB646">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注：1.本表只填写</w:t>
      </w:r>
      <w:r>
        <w:rPr>
          <w:rFonts w:hint="default" w:ascii="Times New Roman" w:hAnsi="Times New Roman" w:cs="Times New Roman"/>
          <w:szCs w:val="21"/>
          <w:highlight w:val="none"/>
          <w:lang w:val="en-US" w:eastAsia="zh-CN"/>
        </w:rPr>
        <w:t>磋商</w:t>
      </w:r>
      <w:r>
        <w:rPr>
          <w:rFonts w:hint="default" w:ascii="Times New Roman" w:hAnsi="Times New Roman" w:eastAsia="宋体" w:cs="Times New Roman"/>
          <w:szCs w:val="21"/>
          <w:highlight w:val="none"/>
        </w:rPr>
        <w:t>响应文件中与</w:t>
      </w:r>
      <w:r>
        <w:rPr>
          <w:rFonts w:hint="default" w:ascii="Times New Roman" w:hAnsi="Times New Roman" w:cs="Times New Roman"/>
          <w:szCs w:val="21"/>
          <w:highlight w:val="none"/>
          <w:lang w:val="en-US" w:eastAsia="zh-CN"/>
        </w:rPr>
        <w:t>竞争性磋商</w:t>
      </w:r>
      <w:r>
        <w:rPr>
          <w:rFonts w:hint="default" w:ascii="Times New Roman" w:hAnsi="Times New Roman" w:eastAsia="宋体" w:cs="Times New Roman"/>
          <w:szCs w:val="21"/>
          <w:highlight w:val="none"/>
        </w:rPr>
        <w:t>文件有偏离（包括正偏离和负偏离）的内容，</w:t>
      </w:r>
      <w:r>
        <w:rPr>
          <w:rFonts w:hint="default" w:ascii="Times New Roman" w:hAnsi="Times New Roman" w:cs="Times New Roman"/>
          <w:szCs w:val="21"/>
          <w:highlight w:val="none"/>
          <w:lang w:val="en-US" w:eastAsia="zh-CN"/>
        </w:rPr>
        <w:t>磋商</w:t>
      </w:r>
      <w:r>
        <w:rPr>
          <w:rFonts w:hint="default" w:ascii="Times New Roman" w:hAnsi="Times New Roman" w:eastAsia="宋体" w:cs="Times New Roman"/>
          <w:szCs w:val="21"/>
          <w:highlight w:val="none"/>
        </w:rPr>
        <w:t>响应文件中商务响应与</w:t>
      </w:r>
      <w:r>
        <w:rPr>
          <w:rFonts w:hint="default" w:ascii="Times New Roman" w:hAnsi="Times New Roman" w:cs="Times New Roman"/>
          <w:szCs w:val="21"/>
          <w:highlight w:val="none"/>
          <w:lang w:val="en-US" w:eastAsia="zh-CN"/>
        </w:rPr>
        <w:t>竞争性磋商</w:t>
      </w:r>
      <w:r>
        <w:rPr>
          <w:rFonts w:hint="default" w:ascii="Times New Roman" w:hAnsi="Times New Roman" w:eastAsia="宋体" w:cs="Times New Roman"/>
          <w:szCs w:val="21"/>
          <w:highlight w:val="none"/>
        </w:rPr>
        <w:t>文件要求完全一致的，不用在此表中列出，但必须提交空白表。</w:t>
      </w:r>
    </w:p>
    <w:p w14:paraId="18D4C4F9">
      <w:pPr>
        <w:adjustRightInd w:val="0"/>
        <w:snapToGrid w:val="0"/>
        <w:spacing w:line="360" w:lineRule="auto"/>
        <w:rPr>
          <w:rFonts w:hint="default" w:ascii="Times New Roman" w:hAnsi="Times New Roman" w:cs="Times New Roman"/>
          <w:szCs w:val="21"/>
          <w:highlight w:val="none"/>
        </w:rPr>
      </w:pPr>
      <w:r>
        <w:rPr>
          <w:rFonts w:hint="default" w:ascii="Times New Roman" w:hAnsi="Times New Roman" w:eastAsia="宋体" w:cs="Times New Roman"/>
          <w:szCs w:val="21"/>
          <w:highlight w:val="none"/>
        </w:rPr>
        <w:t>2.供应商必须据实填写，不得虚假响应，否则将取消其投标或中标资格，并按有关规定进处罚。</w:t>
      </w:r>
    </w:p>
    <w:p w14:paraId="01E8179C">
      <w:pPr>
        <w:spacing w:line="480" w:lineRule="auto"/>
        <w:rPr>
          <w:rFonts w:hint="default" w:ascii="Times New Roman" w:hAnsi="Times New Roman" w:cs="Times New Roman"/>
          <w:szCs w:val="21"/>
          <w:highlight w:val="none"/>
        </w:rPr>
      </w:pPr>
    </w:p>
    <w:p w14:paraId="2B3F7119">
      <w:pPr>
        <w:spacing w:line="440" w:lineRule="exact"/>
        <w:rPr>
          <w:rFonts w:hint="default" w:ascii="Times New Roman" w:hAnsi="Times New Roman" w:cs="Times New Roman"/>
          <w:szCs w:val="21"/>
          <w:highlight w:val="none"/>
        </w:rPr>
      </w:pPr>
    </w:p>
    <w:p w14:paraId="5C728E55">
      <w:pPr>
        <w:spacing w:line="440" w:lineRule="exact"/>
        <w:rPr>
          <w:rFonts w:hint="default" w:ascii="Times New Roman" w:hAnsi="Times New Roman" w:cs="Times New Roman"/>
          <w:szCs w:val="21"/>
          <w:highlight w:val="none"/>
        </w:rPr>
      </w:pPr>
    </w:p>
    <w:p w14:paraId="1FA836A4">
      <w:pPr>
        <w:spacing w:line="440" w:lineRule="exact"/>
        <w:rPr>
          <w:rFonts w:hint="default" w:ascii="Times New Roman" w:hAnsi="Times New Roman" w:cs="Times New Roman"/>
          <w:szCs w:val="21"/>
          <w:highlight w:val="none"/>
        </w:rPr>
      </w:pPr>
    </w:p>
    <w:p w14:paraId="04698008">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1DFCFCD7">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093E263F">
      <w:pPr>
        <w:spacing w:line="480" w:lineRule="auto"/>
        <w:ind w:firstLine="4320" w:firstLineChars="18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06BCB9F3">
      <w:pPr>
        <w:ind w:right="360"/>
        <w:jc w:val="right"/>
        <w:rPr>
          <w:rFonts w:hint="default" w:ascii="Times New Roman" w:hAnsi="Times New Roman" w:cs="Times New Roman"/>
          <w:sz w:val="24"/>
          <w:highlight w:val="none"/>
          <w:u w:val="single"/>
        </w:rPr>
      </w:pPr>
    </w:p>
    <w:p w14:paraId="25FE8D3C">
      <w:pPr>
        <w:ind w:right="360"/>
        <w:jc w:val="right"/>
        <w:rPr>
          <w:rFonts w:hint="default" w:ascii="Times New Roman" w:hAnsi="Times New Roman" w:cs="Times New Roman"/>
          <w:sz w:val="24"/>
          <w:highlight w:val="none"/>
          <w:u w:val="single"/>
        </w:rPr>
      </w:pPr>
    </w:p>
    <w:p w14:paraId="2CE7F481">
      <w:pPr>
        <w:ind w:right="360"/>
        <w:jc w:val="right"/>
        <w:rPr>
          <w:rFonts w:hint="default" w:ascii="Times New Roman" w:hAnsi="Times New Roman" w:cs="Times New Roman"/>
          <w:sz w:val="24"/>
          <w:highlight w:val="none"/>
          <w:u w:val="single"/>
        </w:rPr>
      </w:pPr>
    </w:p>
    <w:p w14:paraId="62B881C7">
      <w:pPr>
        <w:ind w:right="360"/>
        <w:jc w:val="right"/>
        <w:rPr>
          <w:rFonts w:hint="default" w:ascii="Times New Roman" w:hAnsi="Times New Roman" w:cs="Times New Roman"/>
          <w:sz w:val="24"/>
          <w:highlight w:val="none"/>
          <w:u w:val="single"/>
        </w:rPr>
      </w:pPr>
    </w:p>
    <w:p w14:paraId="2C55AE78">
      <w:pPr>
        <w:rPr>
          <w:rFonts w:hint="default" w:ascii="Times New Roman" w:hAnsi="Times New Roman" w:cs="Times New Roman"/>
          <w:highlight w:val="none"/>
        </w:rPr>
      </w:pPr>
    </w:p>
    <w:p w14:paraId="10D88C21">
      <w:pPr>
        <w:rPr>
          <w:rFonts w:hint="default" w:ascii="Times New Roman" w:hAnsi="Times New Roman" w:cs="Times New Roman"/>
          <w:highlight w:val="none"/>
        </w:rPr>
      </w:pPr>
    </w:p>
    <w:p w14:paraId="1320C7A1">
      <w:pPr>
        <w:rPr>
          <w:rFonts w:hint="default" w:ascii="Times New Roman" w:hAnsi="Times New Roman" w:cs="Times New Roman"/>
          <w:b/>
          <w:sz w:val="32"/>
          <w:szCs w:val="32"/>
          <w:highlight w:val="none"/>
          <w:lang w:val="en-US" w:eastAsia="zh-CN"/>
        </w:rPr>
      </w:pPr>
      <w:bookmarkStart w:id="158" w:name="_Toc523762893"/>
      <w:bookmarkStart w:id="159" w:name="_Toc523762823"/>
      <w:bookmarkStart w:id="160" w:name="_Toc523840888"/>
      <w:bookmarkStart w:id="161" w:name="_Toc523762969"/>
      <w:bookmarkStart w:id="162" w:name="_Toc12224"/>
      <w:bookmarkStart w:id="163" w:name="_Toc24540"/>
      <w:r>
        <w:rPr>
          <w:rFonts w:hint="default" w:ascii="Times New Roman" w:hAnsi="Times New Roman" w:cs="Times New Roman"/>
          <w:b/>
          <w:sz w:val="32"/>
          <w:szCs w:val="32"/>
          <w:highlight w:val="none"/>
          <w:lang w:val="en-US" w:eastAsia="zh-CN"/>
        </w:rPr>
        <w:br w:type="page"/>
      </w:r>
    </w:p>
    <w:p w14:paraId="551D87F8">
      <w:pPr>
        <w:spacing w:line="480" w:lineRule="auto"/>
        <w:jc w:val="center"/>
        <w:outlineLvl w:val="1"/>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lang w:val="en-US" w:eastAsia="zh-CN"/>
        </w:rPr>
        <w:t>四</w:t>
      </w:r>
      <w:r>
        <w:rPr>
          <w:rFonts w:hint="default" w:ascii="Times New Roman" w:hAnsi="Times New Roman" w:cs="Times New Roman"/>
          <w:b/>
          <w:sz w:val="32"/>
          <w:szCs w:val="32"/>
          <w:highlight w:val="none"/>
        </w:rPr>
        <w:t>、技术参数偏离表</w:t>
      </w:r>
      <w:bookmarkEnd w:id="158"/>
      <w:bookmarkEnd w:id="159"/>
      <w:bookmarkEnd w:id="160"/>
      <w:bookmarkEnd w:id="161"/>
      <w:bookmarkEnd w:id="162"/>
      <w:bookmarkEnd w:id="163"/>
    </w:p>
    <w:p w14:paraId="624E3870">
      <w:pPr>
        <w:spacing w:line="560" w:lineRule="exact"/>
        <w:rPr>
          <w:rFonts w:hint="default" w:ascii="Times New Roman" w:hAnsi="Times New Roman" w:cs="Times New Roman"/>
          <w:szCs w:val="21"/>
          <w:highlight w:val="none"/>
          <w:u w:val="single"/>
        </w:rPr>
      </w:pPr>
      <w:r>
        <w:rPr>
          <w:rFonts w:hint="default" w:ascii="Times New Roman" w:hAnsi="Times New Roman" w:cs="Times New Roman"/>
          <w:szCs w:val="21"/>
          <w:highlight w:val="none"/>
          <w:lang w:val="en-US" w:eastAsia="zh-CN"/>
        </w:rPr>
        <w:t>项目</w:t>
      </w:r>
      <w:r>
        <w:rPr>
          <w:rFonts w:hint="default" w:ascii="Times New Roman" w:hAnsi="Times New Roman" w:cs="Times New Roman"/>
          <w:szCs w:val="21"/>
          <w:highlight w:val="none"/>
        </w:rPr>
        <w:t xml:space="preserve">名称：                  </w:t>
      </w:r>
      <w:r>
        <w:rPr>
          <w:rFonts w:hint="default"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 xml:space="preserve">         项目编号：</w:t>
      </w:r>
    </w:p>
    <w:tbl>
      <w:tblPr>
        <w:tblStyle w:val="19"/>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19"/>
        <w:gridCol w:w="1825"/>
        <w:gridCol w:w="3500"/>
        <w:gridCol w:w="956"/>
        <w:gridCol w:w="743"/>
      </w:tblGrid>
      <w:tr w14:paraId="5EF1C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79" w:type="dxa"/>
            <w:tcBorders>
              <w:top w:val="single" w:color="auto" w:sz="12" w:space="0"/>
            </w:tcBorders>
            <w:vAlign w:val="center"/>
          </w:tcPr>
          <w:p w14:paraId="03CE7564">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序号</w:t>
            </w:r>
          </w:p>
        </w:tc>
        <w:tc>
          <w:tcPr>
            <w:tcW w:w="919" w:type="dxa"/>
            <w:tcBorders>
              <w:top w:val="single" w:color="auto" w:sz="12" w:space="0"/>
            </w:tcBorders>
            <w:vAlign w:val="center"/>
          </w:tcPr>
          <w:p w14:paraId="2D52A5C6">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产品名称</w:t>
            </w:r>
          </w:p>
        </w:tc>
        <w:tc>
          <w:tcPr>
            <w:tcW w:w="1825" w:type="dxa"/>
            <w:tcBorders>
              <w:top w:val="single" w:color="auto" w:sz="12" w:space="0"/>
            </w:tcBorders>
            <w:vAlign w:val="center"/>
          </w:tcPr>
          <w:p w14:paraId="4600AA94">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磋商文件要求</w:t>
            </w:r>
          </w:p>
        </w:tc>
        <w:tc>
          <w:tcPr>
            <w:tcW w:w="3500" w:type="dxa"/>
            <w:tcBorders>
              <w:top w:val="single" w:color="auto" w:sz="12" w:space="0"/>
            </w:tcBorders>
            <w:vAlign w:val="center"/>
          </w:tcPr>
          <w:p w14:paraId="3CFD25BB">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技术参数</w:t>
            </w:r>
          </w:p>
        </w:tc>
        <w:tc>
          <w:tcPr>
            <w:tcW w:w="956" w:type="dxa"/>
            <w:tcBorders>
              <w:top w:val="single" w:color="auto" w:sz="12" w:space="0"/>
            </w:tcBorders>
            <w:vAlign w:val="center"/>
          </w:tcPr>
          <w:p w14:paraId="5CCB4D0F">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偏离情况</w:t>
            </w:r>
          </w:p>
        </w:tc>
        <w:tc>
          <w:tcPr>
            <w:tcW w:w="743" w:type="dxa"/>
            <w:tcBorders>
              <w:top w:val="single" w:color="auto" w:sz="12" w:space="0"/>
            </w:tcBorders>
            <w:vAlign w:val="center"/>
          </w:tcPr>
          <w:p w14:paraId="1F80B12A">
            <w:pPr>
              <w:spacing w:line="280" w:lineRule="exact"/>
              <w:jc w:val="center"/>
              <w:rPr>
                <w:rFonts w:hint="default" w:ascii="Times New Roman" w:hAnsi="Times New Roman" w:cs="Times New Roman"/>
                <w:b/>
                <w:bCs/>
                <w:kern w:val="0"/>
                <w:position w:val="4"/>
                <w:sz w:val="20"/>
                <w:szCs w:val="21"/>
                <w:highlight w:val="none"/>
              </w:rPr>
            </w:pPr>
            <w:r>
              <w:rPr>
                <w:rFonts w:hint="default" w:ascii="Times New Roman" w:hAnsi="Times New Roman" w:cs="Times New Roman"/>
                <w:b/>
                <w:kern w:val="0"/>
                <w:sz w:val="20"/>
                <w:szCs w:val="21"/>
                <w:highlight w:val="none"/>
              </w:rPr>
              <w:t>说明</w:t>
            </w:r>
          </w:p>
        </w:tc>
      </w:tr>
      <w:tr w14:paraId="68C32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Pr>
          <w:p w14:paraId="643741DF">
            <w:pPr>
              <w:spacing w:line="560" w:lineRule="exact"/>
              <w:rPr>
                <w:rFonts w:hint="default" w:ascii="Times New Roman" w:hAnsi="Times New Roman" w:cs="Times New Roman"/>
                <w:b/>
                <w:bCs/>
                <w:kern w:val="0"/>
                <w:position w:val="4"/>
                <w:sz w:val="32"/>
                <w:szCs w:val="32"/>
                <w:highlight w:val="none"/>
              </w:rPr>
            </w:pPr>
          </w:p>
        </w:tc>
        <w:tc>
          <w:tcPr>
            <w:tcW w:w="919" w:type="dxa"/>
          </w:tcPr>
          <w:p w14:paraId="28E8BD5D">
            <w:pPr>
              <w:spacing w:line="560" w:lineRule="exact"/>
              <w:rPr>
                <w:rFonts w:hint="default" w:ascii="Times New Roman" w:hAnsi="Times New Roman" w:cs="Times New Roman"/>
                <w:b/>
                <w:bCs/>
                <w:kern w:val="0"/>
                <w:position w:val="4"/>
                <w:sz w:val="32"/>
                <w:szCs w:val="32"/>
                <w:highlight w:val="none"/>
              </w:rPr>
            </w:pPr>
          </w:p>
        </w:tc>
        <w:tc>
          <w:tcPr>
            <w:tcW w:w="1825" w:type="dxa"/>
          </w:tcPr>
          <w:p w14:paraId="05511378">
            <w:pPr>
              <w:spacing w:line="560" w:lineRule="exact"/>
              <w:rPr>
                <w:rFonts w:hint="default" w:ascii="Times New Roman" w:hAnsi="Times New Roman" w:cs="Times New Roman"/>
                <w:b/>
                <w:bCs/>
                <w:kern w:val="0"/>
                <w:position w:val="4"/>
                <w:sz w:val="32"/>
                <w:szCs w:val="32"/>
                <w:highlight w:val="none"/>
              </w:rPr>
            </w:pPr>
          </w:p>
        </w:tc>
        <w:tc>
          <w:tcPr>
            <w:tcW w:w="3500" w:type="dxa"/>
          </w:tcPr>
          <w:p w14:paraId="315CB518">
            <w:pPr>
              <w:spacing w:line="560" w:lineRule="exact"/>
              <w:rPr>
                <w:rFonts w:hint="default" w:ascii="Times New Roman" w:hAnsi="Times New Roman" w:cs="Times New Roman"/>
                <w:b/>
                <w:bCs/>
                <w:kern w:val="0"/>
                <w:position w:val="4"/>
                <w:sz w:val="32"/>
                <w:szCs w:val="32"/>
                <w:highlight w:val="none"/>
              </w:rPr>
            </w:pPr>
          </w:p>
        </w:tc>
        <w:tc>
          <w:tcPr>
            <w:tcW w:w="956" w:type="dxa"/>
          </w:tcPr>
          <w:p w14:paraId="734455E4">
            <w:pPr>
              <w:spacing w:line="560" w:lineRule="exact"/>
              <w:rPr>
                <w:rFonts w:hint="default" w:ascii="Times New Roman" w:hAnsi="Times New Roman" w:cs="Times New Roman"/>
                <w:b/>
                <w:bCs/>
                <w:kern w:val="0"/>
                <w:position w:val="4"/>
                <w:sz w:val="32"/>
                <w:szCs w:val="32"/>
                <w:highlight w:val="none"/>
              </w:rPr>
            </w:pPr>
          </w:p>
        </w:tc>
        <w:tc>
          <w:tcPr>
            <w:tcW w:w="743" w:type="dxa"/>
          </w:tcPr>
          <w:p w14:paraId="6AC66E66">
            <w:pPr>
              <w:spacing w:line="560" w:lineRule="exact"/>
              <w:rPr>
                <w:rFonts w:hint="default" w:ascii="Times New Roman" w:hAnsi="Times New Roman" w:cs="Times New Roman"/>
                <w:b/>
                <w:bCs/>
                <w:kern w:val="0"/>
                <w:position w:val="4"/>
                <w:sz w:val="32"/>
                <w:szCs w:val="32"/>
                <w:highlight w:val="none"/>
              </w:rPr>
            </w:pPr>
          </w:p>
        </w:tc>
      </w:tr>
      <w:tr w14:paraId="3D257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Pr>
          <w:p w14:paraId="42B1F54D">
            <w:pPr>
              <w:spacing w:line="560" w:lineRule="exact"/>
              <w:rPr>
                <w:rFonts w:hint="default" w:ascii="Times New Roman" w:hAnsi="Times New Roman" w:cs="Times New Roman"/>
                <w:b/>
                <w:bCs/>
                <w:kern w:val="0"/>
                <w:position w:val="4"/>
                <w:sz w:val="32"/>
                <w:szCs w:val="32"/>
                <w:highlight w:val="none"/>
              </w:rPr>
            </w:pPr>
          </w:p>
        </w:tc>
        <w:tc>
          <w:tcPr>
            <w:tcW w:w="919" w:type="dxa"/>
          </w:tcPr>
          <w:p w14:paraId="2B6324DD">
            <w:pPr>
              <w:spacing w:line="560" w:lineRule="exact"/>
              <w:rPr>
                <w:rFonts w:hint="default" w:ascii="Times New Roman" w:hAnsi="Times New Roman" w:cs="Times New Roman"/>
                <w:b/>
                <w:bCs/>
                <w:kern w:val="0"/>
                <w:position w:val="4"/>
                <w:sz w:val="32"/>
                <w:szCs w:val="32"/>
                <w:highlight w:val="none"/>
              </w:rPr>
            </w:pPr>
          </w:p>
        </w:tc>
        <w:tc>
          <w:tcPr>
            <w:tcW w:w="1825" w:type="dxa"/>
          </w:tcPr>
          <w:p w14:paraId="76BC053B">
            <w:pPr>
              <w:spacing w:line="560" w:lineRule="exact"/>
              <w:rPr>
                <w:rFonts w:hint="default" w:ascii="Times New Roman" w:hAnsi="Times New Roman" w:cs="Times New Roman"/>
                <w:b/>
                <w:bCs/>
                <w:kern w:val="0"/>
                <w:position w:val="4"/>
                <w:sz w:val="32"/>
                <w:szCs w:val="32"/>
                <w:highlight w:val="none"/>
              </w:rPr>
            </w:pPr>
          </w:p>
        </w:tc>
        <w:tc>
          <w:tcPr>
            <w:tcW w:w="3500" w:type="dxa"/>
          </w:tcPr>
          <w:p w14:paraId="006034D5">
            <w:pPr>
              <w:spacing w:line="560" w:lineRule="exact"/>
              <w:rPr>
                <w:rFonts w:hint="default" w:ascii="Times New Roman" w:hAnsi="Times New Roman" w:cs="Times New Roman"/>
                <w:b/>
                <w:bCs/>
                <w:kern w:val="0"/>
                <w:position w:val="4"/>
                <w:sz w:val="32"/>
                <w:szCs w:val="32"/>
                <w:highlight w:val="none"/>
              </w:rPr>
            </w:pPr>
          </w:p>
        </w:tc>
        <w:tc>
          <w:tcPr>
            <w:tcW w:w="956" w:type="dxa"/>
          </w:tcPr>
          <w:p w14:paraId="29A55888">
            <w:pPr>
              <w:spacing w:line="560" w:lineRule="exact"/>
              <w:rPr>
                <w:rFonts w:hint="default" w:ascii="Times New Roman" w:hAnsi="Times New Roman" w:cs="Times New Roman"/>
                <w:b/>
                <w:bCs/>
                <w:kern w:val="0"/>
                <w:position w:val="4"/>
                <w:sz w:val="32"/>
                <w:szCs w:val="32"/>
                <w:highlight w:val="none"/>
              </w:rPr>
            </w:pPr>
          </w:p>
        </w:tc>
        <w:tc>
          <w:tcPr>
            <w:tcW w:w="743" w:type="dxa"/>
          </w:tcPr>
          <w:p w14:paraId="0C509E96">
            <w:pPr>
              <w:spacing w:line="560" w:lineRule="exact"/>
              <w:rPr>
                <w:rFonts w:hint="default" w:ascii="Times New Roman" w:hAnsi="Times New Roman" w:cs="Times New Roman"/>
                <w:b/>
                <w:bCs/>
                <w:kern w:val="0"/>
                <w:position w:val="4"/>
                <w:sz w:val="32"/>
                <w:szCs w:val="32"/>
                <w:highlight w:val="none"/>
              </w:rPr>
            </w:pPr>
          </w:p>
        </w:tc>
      </w:tr>
      <w:tr w14:paraId="6A260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Pr>
          <w:p w14:paraId="18599E9B">
            <w:pPr>
              <w:spacing w:line="560" w:lineRule="exact"/>
              <w:rPr>
                <w:rFonts w:hint="default" w:ascii="Times New Roman" w:hAnsi="Times New Roman" w:cs="Times New Roman"/>
                <w:b/>
                <w:bCs/>
                <w:kern w:val="0"/>
                <w:position w:val="4"/>
                <w:sz w:val="32"/>
                <w:szCs w:val="32"/>
                <w:highlight w:val="none"/>
              </w:rPr>
            </w:pPr>
          </w:p>
        </w:tc>
        <w:tc>
          <w:tcPr>
            <w:tcW w:w="919" w:type="dxa"/>
          </w:tcPr>
          <w:p w14:paraId="0C1A387B">
            <w:pPr>
              <w:spacing w:line="560" w:lineRule="exact"/>
              <w:rPr>
                <w:rFonts w:hint="default" w:ascii="Times New Roman" w:hAnsi="Times New Roman" w:cs="Times New Roman"/>
                <w:b/>
                <w:bCs/>
                <w:kern w:val="0"/>
                <w:position w:val="4"/>
                <w:sz w:val="32"/>
                <w:szCs w:val="32"/>
                <w:highlight w:val="none"/>
              </w:rPr>
            </w:pPr>
          </w:p>
        </w:tc>
        <w:tc>
          <w:tcPr>
            <w:tcW w:w="1825" w:type="dxa"/>
          </w:tcPr>
          <w:p w14:paraId="22B69622">
            <w:pPr>
              <w:spacing w:line="560" w:lineRule="exact"/>
              <w:rPr>
                <w:rFonts w:hint="default" w:ascii="Times New Roman" w:hAnsi="Times New Roman" w:cs="Times New Roman"/>
                <w:b/>
                <w:bCs/>
                <w:kern w:val="0"/>
                <w:position w:val="4"/>
                <w:sz w:val="32"/>
                <w:szCs w:val="32"/>
                <w:highlight w:val="none"/>
              </w:rPr>
            </w:pPr>
          </w:p>
        </w:tc>
        <w:tc>
          <w:tcPr>
            <w:tcW w:w="3500" w:type="dxa"/>
          </w:tcPr>
          <w:p w14:paraId="131B1113">
            <w:pPr>
              <w:spacing w:line="560" w:lineRule="exact"/>
              <w:rPr>
                <w:rFonts w:hint="default" w:ascii="Times New Roman" w:hAnsi="Times New Roman" w:cs="Times New Roman"/>
                <w:b/>
                <w:bCs/>
                <w:kern w:val="0"/>
                <w:position w:val="4"/>
                <w:sz w:val="32"/>
                <w:szCs w:val="32"/>
                <w:highlight w:val="none"/>
              </w:rPr>
            </w:pPr>
          </w:p>
        </w:tc>
        <w:tc>
          <w:tcPr>
            <w:tcW w:w="956" w:type="dxa"/>
          </w:tcPr>
          <w:p w14:paraId="4C7771A5">
            <w:pPr>
              <w:spacing w:line="560" w:lineRule="exact"/>
              <w:rPr>
                <w:rFonts w:hint="default" w:ascii="Times New Roman" w:hAnsi="Times New Roman" w:cs="Times New Roman"/>
                <w:b/>
                <w:bCs/>
                <w:kern w:val="0"/>
                <w:position w:val="4"/>
                <w:sz w:val="32"/>
                <w:szCs w:val="32"/>
                <w:highlight w:val="none"/>
              </w:rPr>
            </w:pPr>
          </w:p>
        </w:tc>
        <w:tc>
          <w:tcPr>
            <w:tcW w:w="743" w:type="dxa"/>
          </w:tcPr>
          <w:p w14:paraId="67DA8FCB">
            <w:pPr>
              <w:spacing w:line="560" w:lineRule="exact"/>
              <w:rPr>
                <w:rFonts w:hint="default" w:ascii="Times New Roman" w:hAnsi="Times New Roman" w:cs="Times New Roman"/>
                <w:b/>
                <w:bCs/>
                <w:kern w:val="0"/>
                <w:position w:val="4"/>
                <w:sz w:val="32"/>
                <w:szCs w:val="32"/>
                <w:highlight w:val="none"/>
              </w:rPr>
            </w:pPr>
          </w:p>
        </w:tc>
      </w:tr>
      <w:tr w14:paraId="71437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Pr>
          <w:p w14:paraId="173F3AC6">
            <w:pPr>
              <w:spacing w:line="560" w:lineRule="exact"/>
              <w:rPr>
                <w:rFonts w:hint="default" w:ascii="Times New Roman" w:hAnsi="Times New Roman" w:cs="Times New Roman"/>
                <w:b/>
                <w:bCs/>
                <w:kern w:val="0"/>
                <w:position w:val="4"/>
                <w:sz w:val="32"/>
                <w:szCs w:val="32"/>
                <w:highlight w:val="none"/>
              </w:rPr>
            </w:pPr>
          </w:p>
        </w:tc>
        <w:tc>
          <w:tcPr>
            <w:tcW w:w="919" w:type="dxa"/>
          </w:tcPr>
          <w:p w14:paraId="2AEDD23F">
            <w:pPr>
              <w:spacing w:line="560" w:lineRule="exact"/>
              <w:rPr>
                <w:rFonts w:hint="default" w:ascii="Times New Roman" w:hAnsi="Times New Roman" w:cs="Times New Roman"/>
                <w:b/>
                <w:bCs/>
                <w:kern w:val="0"/>
                <w:position w:val="4"/>
                <w:sz w:val="32"/>
                <w:szCs w:val="32"/>
                <w:highlight w:val="none"/>
              </w:rPr>
            </w:pPr>
          </w:p>
        </w:tc>
        <w:tc>
          <w:tcPr>
            <w:tcW w:w="1825" w:type="dxa"/>
          </w:tcPr>
          <w:p w14:paraId="6E2E326A">
            <w:pPr>
              <w:spacing w:line="560" w:lineRule="exact"/>
              <w:rPr>
                <w:rFonts w:hint="default" w:ascii="Times New Roman" w:hAnsi="Times New Roman" w:cs="Times New Roman"/>
                <w:b/>
                <w:bCs/>
                <w:kern w:val="0"/>
                <w:position w:val="4"/>
                <w:sz w:val="32"/>
                <w:szCs w:val="32"/>
                <w:highlight w:val="none"/>
              </w:rPr>
            </w:pPr>
          </w:p>
        </w:tc>
        <w:tc>
          <w:tcPr>
            <w:tcW w:w="3500" w:type="dxa"/>
          </w:tcPr>
          <w:p w14:paraId="00339A1E">
            <w:pPr>
              <w:spacing w:line="560" w:lineRule="exact"/>
              <w:rPr>
                <w:rFonts w:hint="default" w:ascii="Times New Roman" w:hAnsi="Times New Roman" w:cs="Times New Roman"/>
                <w:b/>
                <w:bCs/>
                <w:kern w:val="0"/>
                <w:position w:val="4"/>
                <w:sz w:val="32"/>
                <w:szCs w:val="32"/>
                <w:highlight w:val="none"/>
              </w:rPr>
            </w:pPr>
          </w:p>
        </w:tc>
        <w:tc>
          <w:tcPr>
            <w:tcW w:w="956" w:type="dxa"/>
          </w:tcPr>
          <w:p w14:paraId="16D43D1C">
            <w:pPr>
              <w:spacing w:line="560" w:lineRule="exact"/>
              <w:rPr>
                <w:rFonts w:hint="default" w:ascii="Times New Roman" w:hAnsi="Times New Roman" w:cs="Times New Roman"/>
                <w:b/>
                <w:bCs/>
                <w:kern w:val="0"/>
                <w:position w:val="4"/>
                <w:sz w:val="32"/>
                <w:szCs w:val="32"/>
                <w:highlight w:val="none"/>
              </w:rPr>
            </w:pPr>
          </w:p>
        </w:tc>
        <w:tc>
          <w:tcPr>
            <w:tcW w:w="743" w:type="dxa"/>
          </w:tcPr>
          <w:p w14:paraId="2D708095">
            <w:pPr>
              <w:spacing w:line="560" w:lineRule="exact"/>
              <w:rPr>
                <w:rFonts w:hint="default" w:ascii="Times New Roman" w:hAnsi="Times New Roman" w:cs="Times New Roman"/>
                <w:b/>
                <w:bCs/>
                <w:kern w:val="0"/>
                <w:position w:val="4"/>
                <w:sz w:val="32"/>
                <w:szCs w:val="32"/>
                <w:highlight w:val="none"/>
              </w:rPr>
            </w:pPr>
          </w:p>
        </w:tc>
      </w:tr>
      <w:tr w14:paraId="3FCD7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Pr>
          <w:p w14:paraId="3CCE0F85">
            <w:pPr>
              <w:spacing w:line="560" w:lineRule="exact"/>
              <w:rPr>
                <w:rFonts w:hint="default" w:ascii="Times New Roman" w:hAnsi="Times New Roman" w:cs="Times New Roman"/>
                <w:b/>
                <w:bCs/>
                <w:kern w:val="0"/>
                <w:position w:val="4"/>
                <w:sz w:val="32"/>
                <w:szCs w:val="32"/>
                <w:highlight w:val="none"/>
              </w:rPr>
            </w:pPr>
          </w:p>
        </w:tc>
        <w:tc>
          <w:tcPr>
            <w:tcW w:w="919" w:type="dxa"/>
          </w:tcPr>
          <w:p w14:paraId="6320BAFC">
            <w:pPr>
              <w:spacing w:line="560" w:lineRule="exact"/>
              <w:rPr>
                <w:rFonts w:hint="default" w:ascii="Times New Roman" w:hAnsi="Times New Roman" w:cs="Times New Roman"/>
                <w:b/>
                <w:bCs/>
                <w:kern w:val="0"/>
                <w:position w:val="4"/>
                <w:sz w:val="32"/>
                <w:szCs w:val="32"/>
                <w:highlight w:val="none"/>
              </w:rPr>
            </w:pPr>
          </w:p>
        </w:tc>
        <w:tc>
          <w:tcPr>
            <w:tcW w:w="1825" w:type="dxa"/>
          </w:tcPr>
          <w:p w14:paraId="72E4703D">
            <w:pPr>
              <w:spacing w:line="560" w:lineRule="exact"/>
              <w:rPr>
                <w:rFonts w:hint="default" w:ascii="Times New Roman" w:hAnsi="Times New Roman" w:cs="Times New Roman"/>
                <w:b/>
                <w:bCs/>
                <w:kern w:val="0"/>
                <w:position w:val="4"/>
                <w:sz w:val="32"/>
                <w:szCs w:val="32"/>
                <w:highlight w:val="none"/>
              </w:rPr>
            </w:pPr>
          </w:p>
        </w:tc>
        <w:tc>
          <w:tcPr>
            <w:tcW w:w="3500" w:type="dxa"/>
          </w:tcPr>
          <w:p w14:paraId="0DEE16C4">
            <w:pPr>
              <w:spacing w:line="560" w:lineRule="exact"/>
              <w:rPr>
                <w:rFonts w:hint="default" w:ascii="Times New Roman" w:hAnsi="Times New Roman" w:cs="Times New Roman"/>
                <w:b/>
                <w:bCs/>
                <w:kern w:val="0"/>
                <w:position w:val="4"/>
                <w:sz w:val="32"/>
                <w:szCs w:val="32"/>
                <w:highlight w:val="none"/>
              </w:rPr>
            </w:pPr>
          </w:p>
        </w:tc>
        <w:tc>
          <w:tcPr>
            <w:tcW w:w="956" w:type="dxa"/>
          </w:tcPr>
          <w:p w14:paraId="57D1E1B4">
            <w:pPr>
              <w:spacing w:line="560" w:lineRule="exact"/>
              <w:rPr>
                <w:rFonts w:hint="default" w:ascii="Times New Roman" w:hAnsi="Times New Roman" w:cs="Times New Roman"/>
                <w:b/>
                <w:bCs/>
                <w:kern w:val="0"/>
                <w:position w:val="4"/>
                <w:sz w:val="32"/>
                <w:szCs w:val="32"/>
                <w:highlight w:val="none"/>
              </w:rPr>
            </w:pPr>
          </w:p>
        </w:tc>
        <w:tc>
          <w:tcPr>
            <w:tcW w:w="743" w:type="dxa"/>
          </w:tcPr>
          <w:p w14:paraId="777F39A3">
            <w:pPr>
              <w:spacing w:line="560" w:lineRule="exact"/>
              <w:rPr>
                <w:rFonts w:hint="default" w:ascii="Times New Roman" w:hAnsi="Times New Roman" w:cs="Times New Roman"/>
                <w:b/>
                <w:bCs/>
                <w:kern w:val="0"/>
                <w:position w:val="4"/>
                <w:sz w:val="32"/>
                <w:szCs w:val="32"/>
                <w:highlight w:val="none"/>
              </w:rPr>
            </w:pPr>
          </w:p>
        </w:tc>
      </w:tr>
      <w:tr w14:paraId="269BF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bottom w:val="single" w:color="auto" w:sz="12" w:space="0"/>
            </w:tcBorders>
          </w:tcPr>
          <w:p w14:paraId="186EDE2D">
            <w:pPr>
              <w:spacing w:line="560" w:lineRule="exact"/>
              <w:rPr>
                <w:rFonts w:hint="default" w:ascii="Times New Roman" w:hAnsi="Times New Roman" w:cs="Times New Roman"/>
                <w:b/>
                <w:bCs/>
                <w:kern w:val="0"/>
                <w:position w:val="4"/>
                <w:sz w:val="32"/>
                <w:szCs w:val="32"/>
                <w:highlight w:val="none"/>
              </w:rPr>
            </w:pPr>
          </w:p>
        </w:tc>
        <w:tc>
          <w:tcPr>
            <w:tcW w:w="919" w:type="dxa"/>
            <w:tcBorders>
              <w:bottom w:val="single" w:color="auto" w:sz="12" w:space="0"/>
            </w:tcBorders>
          </w:tcPr>
          <w:p w14:paraId="1DB86CCB">
            <w:pPr>
              <w:spacing w:line="560" w:lineRule="exact"/>
              <w:rPr>
                <w:rFonts w:hint="default" w:ascii="Times New Roman" w:hAnsi="Times New Roman" w:cs="Times New Roman"/>
                <w:b/>
                <w:bCs/>
                <w:kern w:val="0"/>
                <w:position w:val="4"/>
                <w:sz w:val="32"/>
                <w:szCs w:val="32"/>
                <w:highlight w:val="none"/>
              </w:rPr>
            </w:pPr>
          </w:p>
        </w:tc>
        <w:tc>
          <w:tcPr>
            <w:tcW w:w="1825" w:type="dxa"/>
            <w:tcBorders>
              <w:bottom w:val="single" w:color="auto" w:sz="12" w:space="0"/>
            </w:tcBorders>
          </w:tcPr>
          <w:p w14:paraId="448523E6">
            <w:pPr>
              <w:spacing w:line="560" w:lineRule="exact"/>
              <w:rPr>
                <w:rFonts w:hint="default" w:ascii="Times New Roman" w:hAnsi="Times New Roman" w:cs="Times New Roman"/>
                <w:b/>
                <w:bCs/>
                <w:kern w:val="0"/>
                <w:position w:val="4"/>
                <w:sz w:val="32"/>
                <w:szCs w:val="32"/>
                <w:highlight w:val="none"/>
              </w:rPr>
            </w:pPr>
          </w:p>
        </w:tc>
        <w:tc>
          <w:tcPr>
            <w:tcW w:w="3500" w:type="dxa"/>
            <w:tcBorders>
              <w:bottom w:val="single" w:color="auto" w:sz="12" w:space="0"/>
            </w:tcBorders>
          </w:tcPr>
          <w:p w14:paraId="48470056">
            <w:pPr>
              <w:spacing w:line="560" w:lineRule="exact"/>
              <w:rPr>
                <w:rFonts w:hint="default" w:ascii="Times New Roman" w:hAnsi="Times New Roman" w:cs="Times New Roman"/>
                <w:b/>
                <w:bCs/>
                <w:kern w:val="0"/>
                <w:position w:val="4"/>
                <w:sz w:val="32"/>
                <w:szCs w:val="32"/>
                <w:highlight w:val="none"/>
              </w:rPr>
            </w:pPr>
          </w:p>
        </w:tc>
        <w:tc>
          <w:tcPr>
            <w:tcW w:w="956" w:type="dxa"/>
            <w:tcBorders>
              <w:bottom w:val="single" w:color="auto" w:sz="12" w:space="0"/>
            </w:tcBorders>
          </w:tcPr>
          <w:p w14:paraId="51411F42">
            <w:pPr>
              <w:spacing w:line="560" w:lineRule="exact"/>
              <w:rPr>
                <w:rFonts w:hint="default" w:ascii="Times New Roman" w:hAnsi="Times New Roman" w:cs="Times New Roman"/>
                <w:b/>
                <w:bCs/>
                <w:kern w:val="0"/>
                <w:position w:val="4"/>
                <w:sz w:val="32"/>
                <w:szCs w:val="32"/>
                <w:highlight w:val="none"/>
              </w:rPr>
            </w:pPr>
          </w:p>
        </w:tc>
        <w:tc>
          <w:tcPr>
            <w:tcW w:w="743" w:type="dxa"/>
            <w:tcBorders>
              <w:bottom w:val="single" w:color="auto" w:sz="12" w:space="0"/>
            </w:tcBorders>
          </w:tcPr>
          <w:p w14:paraId="26CF5E01">
            <w:pPr>
              <w:spacing w:line="560" w:lineRule="exact"/>
              <w:rPr>
                <w:rFonts w:hint="default" w:ascii="Times New Roman" w:hAnsi="Times New Roman" w:cs="Times New Roman"/>
                <w:b/>
                <w:bCs/>
                <w:kern w:val="0"/>
                <w:position w:val="4"/>
                <w:sz w:val="32"/>
                <w:szCs w:val="32"/>
                <w:highlight w:val="none"/>
              </w:rPr>
            </w:pPr>
          </w:p>
        </w:tc>
      </w:tr>
    </w:tbl>
    <w:p w14:paraId="2AB1F35A">
      <w:pPr>
        <w:spacing w:line="560" w:lineRule="exact"/>
        <w:rPr>
          <w:rFonts w:hint="default" w:ascii="Times New Roman" w:hAnsi="Times New Roman" w:cs="Times New Roman"/>
          <w:b/>
          <w:bCs/>
          <w:color w:val="000000"/>
          <w:sz w:val="36"/>
          <w:szCs w:val="36"/>
          <w:highlight w:val="none"/>
        </w:rPr>
      </w:pPr>
    </w:p>
    <w:p w14:paraId="2C1AFCFA">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注：1.本表只填写</w:t>
      </w:r>
      <w:r>
        <w:rPr>
          <w:rFonts w:hint="default" w:ascii="Times New Roman" w:hAnsi="Times New Roman" w:cs="Times New Roman"/>
          <w:szCs w:val="21"/>
          <w:highlight w:val="none"/>
          <w:lang w:val="en-US" w:eastAsia="zh-CN"/>
        </w:rPr>
        <w:t>磋商</w:t>
      </w:r>
      <w:r>
        <w:rPr>
          <w:rFonts w:hint="default" w:ascii="Times New Roman" w:hAnsi="Times New Roman" w:eastAsia="宋体" w:cs="Times New Roman"/>
          <w:szCs w:val="21"/>
          <w:highlight w:val="none"/>
        </w:rPr>
        <w:t>响应文件中与</w:t>
      </w:r>
      <w:r>
        <w:rPr>
          <w:rFonts w:hint="default" w:ascii="Times New Roman" w:hAnsi="Times New Roman" w:cs="Times New Roman"/>
          <w:szCs w:val="21"/>
          <w:highlight w:val="none"/>
          <w:lang w:val="en-US" w:eastAsia="zh-CN"/>
        </w:rPr>
        <w:t>竞争性磋商</w:t>
      </w:r>
      <w:r>
        <w:rPr>
          <w:rFonts w:hint="default" w:ascii="Times New Roman" w:hAnsi="Times New Roman" w:eastAsia="宋体" w:cs="Times New Roman"/>
          <w:szCs w:val="21"/>
          <w:highlight w:val="none"/>
        </w:rPr>
        <w:t>文件有偏离（包括正偏离和负偏离）的内容，</w:t>
      </w:r>
      <w:r>
        <w:rPr>
          <w:rFonts w:hint="default" w:ascii="Times New Roman" w:hAnsi="Times New Roman" w:cs="Times New Roman"/>
          <w:szCs w:val="21"/>
          <w:highlight w:val="none"/>
          <w:lang w:val="en-US" w:eastAsia="zh-CN"/>
        </w:rPr>
        <w:t>磋商</w:t>
      </w:r>
      <w:r>
        <w:rPr>
          <w:rFonts w:hint="default" w:ascii="Times New Roman" w:hAnsi="Times New Roman" w:eastAsia="宋体" w:cs="Times New Roman"/>
          <w:szCs w:val="21"/>
          <w:highlight w:val="none"/>
        </w:rPr>
        <w:t>响应文件中</w:t>
      </w:r>
      <w:r>
        <w:rPr>
          <w:rFonts w:hint="default" w:ascii="Times New Roman" w:hAnsi="Times New Roman" w:cs="Times New Roman"/>
          <w:szCs w:val="21"/>
          <w:highlight w:val="none"/>
          <w:lang w:val="en-US" w:eastAsia="zh-CN"/>
        </w:rPr>
        <w:t>技术</w:t>
      </w:r>
      <w:r>
        <w:rPr>
          <w:rFonts w:hint="default" w:ascii="Times New Roman" w:hAnsi="Times New Roman" w:eastAsia="宋体" w:cs="Times New Roman"/>
          <w:szCs w:val="21"/>
          <w:highlight w:val="none"/>
        </w:rPr>
        <w:t>响应与</w:t>
      </w:r>
      <w:r>
        <w:rPr>
          <w:rFonts w:hint="default" w:ascii="Times New Roman" w:hAnsi="Times New Roman" w:cs="Times New Roman"/>
          <w:szCs w:val="21"/>
          <w:highlight w:val="none"/>
          <w:lang w:val="en-US" w:eastAsia="zh-CN"/>
        </w:rPr>
        <w:t>竞争性磋商</w:t>
      </w:r>
      <w:r>
        <w:rPr>
          <w:rFonts w:hint="default" w:ascii="Times New Roman" w:hAnsi="Times New Roman" w:eastAsia="宋体" w:cs="Times New Roman"/>
          <w:szCs w:val="21"/>
          <w:highlight w:val="none"/>
        </w:rPr>
        <w:t>文件要求完全一致的，不用在此表中列出</w:t>
      </w:r>
      <w:r>
        <w:rPr>
          <w:rFonts w:hint="default" w:ascii="Times New Roman" w:hAnsi="Times New Roman" w:cs="Times New Roman"/>
          <w:szCs w:val="21"/>
          <w:highlight w:val="none"/>
          <w:lang w:eastAsia="zh-CN"/>
        </w:rPr>
        <w:t>，</w:t>
      </w:r>
      <w:r>
        <w:rPr>
          <w:rFonts w:hint="default" w:ascii="Times New Roman" w:hAnsi="Times New Roman" w:eastAsia="宋体" w:cs="Times New Roman"/>
          <w:szCs w:val="21"/>
          <w:highlight w:val="none"/>
        </w:rPr>
        <w:t>但必须提交空白表。</w:t>
      </w:r>
    </w:p>
    <w:p w14:paraId="3BDED217">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2.供应商必须据实填写，不得虚假响应，否则将取消其投标或</w:t>
      </w:r>
      <w:r>
        <w:rPr>
          <w:rFonts w:hint="default" w:ascii="Times New Roman" w:hAnsi="Times New Roman" w:cs="Times New Roman"/>
          <w:szCs w:val="21"/>
          <w:highlight w:val="none"/>
          <w:lang w:val="en-US" w:eastAsia="zh-CN"/>
        </w:rPr>
        <w:t>成交</w:t>
      </w:r>
      <w:r>
        <w:rPr>
          <w:rFonts w:hint="default" w:ascii="Times New Roman" w:hAnsi="Times New Roman" w:eastAsia="宋体" w:cs="Times New Roman"/>
          <w:szCs w:val="21"/>
          <w:highlight w:val="none"/>
        </w:rPr>
        <w:t>资格，并按有关规定进处罚。</w:t>
      </w:r>
    </w:p>
    <w:p w14:paraId="52E7CE04">
      <w:pPr>
        <w:spacing w:line="480" w:lineRule="auto"/>
        <w:rPr>
          <w:rFonts w:hint="default" w:ascii="Times New Roman" w:hAnsi="Times New Roman" w:cs="Times New Roman"/>
          <w:szCs w:val="21"/>
          <w:highlight w:val="none"/>
        </w:rPr>
      </w:pPr>
    </w:p>
    <w:p w14:paraId="0280BEDA">
      <w:pPr>
        <w:spacing w:line="440" w:lineRule="exact"/>
        <w:rPr>
          <w:rFonts w:hint="default" w:ascii="Times New Roman" w:hAnsi="Times New Roman" w:cs="Times New Roman"/>
          <w:szCs w:val="21"/>
          <w:highlight w:val="none"/>
        </w:rPr>
      </w:pPr>
    </w:p>
    <w:p w14:paraId="435F5921">
      <w:pPr>
        <w:spacing w:line="440" w:lineRule="exact"/>
        <w:rPr>
          <w:rFonts w:hint="default" w:ascii="Times New Roman" w:hAnsi="Times New Roman" w:cs="Times New Roman"/>
          <w:szCs w:val="21"/>
          <w:highlight w:val="none"/>
        </w:rPr>
      </w:pPr>
    </w:p>
    <w:p w14:paraId="32D3C7EC">
      <w:pPr>
        <w:spacing w:line="440" w:lineRule="exact"/>
        <w:rPr>
          <w:rFonts w:hint="default" w:ascii="Times New Roman" w:hAnsi="Times New Roman" w:cs="Times New Roman"/>
          <w:szCs w:val="21"/>
          <w:highlight w:val="none"/>
        </w:rPr>
      </w:pPr>
    </w:p>
    <w:p w14:paraId="1F3D20A1">
      <w:pPr>
        <w:spacing w:line="440" w:lineRule="exact"/>
        <w:rPr>
          <w:rFonts w:hint="default" w:ascii="Times New Roman" w:hAnsi="Times New Roman" w:cs="Times New Roman"/>
          <w:szCs w:val="21"/>
          <w:highlight w:val="none"/>
        </w:rPr>
      </w:pPr>
    </w:p>
    <w:p w14:paraId="1A812ADD">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614B8CE5">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6AD2A844">
      <w:pPr>
        <w:spacing w:line="480" w:lineRule="auto"/>
        <w:ind w:firstLine="4320" w:firstLineChars="18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4E81CB1B">
      <w:pPr>
        <w:rPr>
          <w:rFonts w:hint="default" w:ascii="Times New Roman" w:hAnsi="Times New Roman" w:cs="Times New Roman"/>
          <w:highlight w:val="none"/>
        </w:rPr>
      </w:pPr>
    </w:p>
    <w:p w14:paraId="5189BABC">
      <w:pPr>
        <w:spacing w:line="480" w:lineRule="auto"/>
        <w:jc w:val="center"/>
        <w:rPr>
          <w:rFonts w:hint="default" w:ascii="Times New Roman" w:hAnsi="Times New Roman" w:cs="Times New Roman"/>
          <w:b/>
          <w:bCs/>
          <w:sz w:val="32"/>
          <w:szCs w:val="32"/>
          <w:highlight w:val="none"/>
          <w:lang w:val="zh-CN"/>
        </w:rPr>
      </w:pPr>
    </w:p>
    <w:p w14:paraId="77092135">
      <w:pPr>
        <w:spacing w:line="480" w:lineRule="auto"/>
        <w:jc w:val="center"/>
        <w:rPr>
          <w:rFonts w:hint="default" w:ascii="Times New Roman" w:hAnsi="Times New Roman" w:cs="Times New Roman"/>
          <w:b/>
          <w:bCs/>
          <w:sz w:val="32"/>
          <w:szCs w:val="32"/>
          <w:highlight w:val="none"/>
          <w:lang w:val="zh-CN"/>
        </w:rPr>
      </w:pPr>
    </w:p>
    <w:p w14:paraId="4430E925">
      <w:pPr>
        <w:spacing w:line="360" w:lineRule="auto"/>
        <w:jc w:val="center"/>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五、</w:t>
      </w:r>
      <w:r>
        <w:rPr>
          <w:rFonts w:hint="default" w:ascii="Times New Roman" w:hAnsi="Times New Roman" w:cs="Times New Roman"/>
          <w:b/>
          <w:sz w:val="32"/>
          <w:szCs w:val="32"/>
          <w:highlight w:val="none"/>
        </w:rPr>
        <w:t>磋商服务响应方案说明</w:t>
      </w:r>
    </w:p>
    <w:p w14:paraId="08244E72">
      <w:pPr>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一、供应商企业简介。</w:t>
      </w:r>
    </w:p>
    <w:p w14:paraId="3128E294">
      <w:pPr>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二、商务响应说明（付款方式、</w:t>
      </w:r>
      <w:r>
        <w:rPr>
          <w:rFonts w:hint="default" w:ascii="Times New Roman" w:hAnsi="Times New Roman" w:cs="Times New Roman"/>
          <w:sz w:val="24"/>
          <w:highlight w:val="none"/>
          <w:lang w:eastAsia="zh-CN"/>
        </w:rPr>
        <w:t>供货期</w:t>
      </w:r>
      <w:r>
        <w:rPr>
          <w:rFonts w:hint="default" w:ascii="Times New Roman" w:hAnsi="Times New Roman" w:cs="Times New Roman"/>
          <w:sz w:val="24"/>
          <w:highlight w:val="none"/>
        </w:rPr>
        <w:t>限）。</w:t>
      </w:r>
    </w:p>
    <w:p w14:paraId="4B282231">
      <w:pPr>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三、供应商完成项目的组织机构、实施计划。</w:t>
      </w:r>
    </w:p>
    <w:p w14:paraId="0C5F5B92">
      <w:pPr>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四、供应商完成项目保障能力。</w:t>
      </w:r>
    </w:p>
    <w:p w14:paraId="66288828">
      <w:pPr>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五、磋商技术方案（供应商按照评分标准自行编制，格式不限）</w:t>
      </w:r>
    </w:p>
    <w:p w14:paraId="7C9C6FB6">
      <w:pPr>
        <w:kinsoku w:val="0"/>
        <w:adjustRightInd w:val="0"/>
        <w:snapToGrid w:val="0"/>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六、供应商认为有必要说明的问题。</w:t>
      </w:r>
    </w:p>
    <w:p w14:paraId="35F6B371">
      <w:pPr>
        <w:shd w:val="clear" w:color="auto" w:fill="FFFFFF"/>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注：以上内容为磋商建议方案，磋商供应商可参照磋商文件第四部分《磋商与评审办法》各条款的要求，结合第三部分《采购内容及技术要求》自行组织完善响应方案内容，格式自定。</w:t>
      </w:r>
    </w:p>
    <w:p w14:paraId="2C4E7A3A">
      <w:pPr>
        <w:rPr>
          <w:rFonts w:hint="default" w:ascii="Times New Roman" w:hAnsi="Times New Roman" w:cs="Times New Roman"/>
          <w:b/>
          <w:bCs/>
          <w:sz w:val="24"/>
          <w:highlight w:val="none"/>
        </w:rPr>
      </w:pPr>
      <w:r>
        <w:rPr>
          <w:rFonts w:hint="default" w:ascii="Times New Roman" w:hAnsi="Times New Roman" w:cs="Times New Roman"/>
          <w:b/>
          <w:bCs/>
          <w:sz w:val="24"/>
          <w:highlight w:val="none"/>
        </w:rPr>
        <w:br w:type="page"/>
      </w:r>
    </w:p>
    <w:p w14:paraId="1F284BAE">
      <w:pPr>
        <w:spacing w:line="360" w:lineRule="auto"/>
        <w:jc w:val="center"/>
        <w:rPr>
          <w:rFonts w:hint="default" w:ascii="Times New Roman" w:hAnsi="Times New Roman" w:eastAsia="宋体" w:cs="Times New Roman"/>
          <w:b/>
          <w:bCs/>
          <w:sz w:val="32"/>
          <w:szCs w:val="32"/>
          <w:highlight w:val="none"/>
          <w:lang w:val="zh-CN" w:eastAsia="zh-CN"/>
        </w:rPr>
      </w:pPr>
      <w:r>
        <w:rPr>
          <w:rFonts w:hint="default" w:ascii="Times New Roman" w:hAnsi="Times New Roman" w:eastAsia="宋体" w:cs="Times New Roman"/>
          <w:b/>
          <w:bCs/>
          <w:sz w:val="32"/>
          <w:szCs w:val="32"/>
          <w:highlight w:val="none"/>
          <w:lang w:val="en-US" w:eastAsia="zh-CN"/>
        </w:rPr>
        <w:t>六</w:t>
      </w:r>
      <w:r>
        <w:rPr>
          <w:rFonts w:hint="default" w:ascii="Times New Roman" w:hAnsi="Times New Roman" w:eastAsia="宋体" w:cs="Times New Roman"/>
          <w:b/>
          <w:bCs/>
          <w:sz w:val="32"/>
          <w:szCs w:val="32"/>
          <w:highlight w:val="none"/>
          <w:lang w:val="zh-CN" w:eastAsia="zh-CN"/>
        </w:rPr>
        <w:t>、供应商资格证明文件</w:t>
      </w:r>
    </w:p>
    <w:p w14:paraId="0426C347">
      <w:pPr>
        <w:pStyle w:val="7"/>
        <w:spacing w:line="360" w:lineRule="auto"/>
        <w:ind w:firstLine="48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（一）基本资格条件：</w:t>
      </w:r>
    </w:p>
    <w:p w14:paraId="03B810F3">
      <w:pPr>
        <w:pStyle w:val="7"/>
        <w:spacing w:line="360" w:lineRule="auto"/>
        <w:ind w:firstLine="48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rPr>
        <w:t>供应商应符合《中华人民共和国政府采购法》第二十二条规定的资格条件，</w:t>
      </w:r>
      <w:r>
        <w:rPr>
          <w:rFonts w:hint="default" w:ascii="Times New Roman" w:hAnsi="Times New Roman" w:cs="Times New Roman"/>
          <w:sz w:val="24"/>
          <w:szCs w:val="24"/>
          <w:highlight w:val="none"/>
          <w:lang w:val="zh-CN"/>
        </w:rPr>
        <w:t>并按照《政府采购法实施条例》第十七条规定提供下列材料：</w:t>
      </w:r>
    </w:p>
    <w:p w14:paraId="280D47D8">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r>
        <w:rPr>
          <w:rFonts w:hint="default" w:ascii="Times New Roman" w:hAnsi="Times New Roman" w:cs="Times New Roman"/>
          <w:sz w:val="24"/>
          <w:szCs w:val="24"/>
          <w:highlight w:val="none"/>
        </w:rPr>
        <w:t>；</w:t>
      </w:r>
    </w:p>
    <w:p w14:paraId="3459595D">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（2）提供</w:t>
      </w:r>
      <w:r>
        <w:rPr>
          <w:rFonts w:hint="default" w:ascii="Times New Roman" w:hAnsi="Times New Roman" w:cs="Times New Roman"/>
          <w:sz w:val="24"/>
          <w:szCs w:val="24"/>
          <w:highlight w:val="none"/>
          <w:lang w:val="en-US" w:eastAsia="zh-CN"/>
        </w:rPr>
        <w:t>2024年度</w:t>
      </w:r>
      <w:r>
        <w:rPr>
          <w:rFonts w:hint="default" w:ascii="Times New Roman" w:hAnsi="Times New Roman" w:cs="Times New Roman"/>
          <w:sz w:val="24"/>
          <w:szCs w:val="24"/>
          <w:highlight w:val="none"/>
        </w:rPr>
        <w:t>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5933DAAB">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提供投标截止时间前一年内的至少一个月的纳税证明或完税证明（任意税种），依法免税的单位应提供相关证明材料；</w:t>
      </w:r>
    </w:p>
    <w:p w14:paraId="4F4F6E05">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提供投标截止时间前一年内至少一个月的社会保障资金缴存凭证或社保机构开具的社会保险参保缴费情况证明，依法不需要缴纳社会保障资金的单位应提供相关证明材料；</w:t>
      </w:r>
    </w:p>
    <w:p w14:paraId="7CA64050">
      <w:pPr>
        <w:pStyle w:val="7"/>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参加采购活动近三年内经营活动中无重大违法记录声明；</w:t>
      </w:r>
    </w:p>
    <w:p w14:paraId="4298FF7D">
      <w:pPr>
        <w:pStyle w:val="7"/>
        <w:spacing w:line="360" w:lineRule="auto"/>
        <w:ind w:firstLine="48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提供具有履行合同所必须的设备和专业技术能力的承诺书</w:t>
      </w:r>
      <w:r>
        <w:rPr>
          <w:rFonts w:hint="default" w:ascii="Times New Roman" w:hAnsi="Times New Roman" w:cs="Times New Roman"/>
          <w:sz w:val="24"/>
          <w:szCs w:val="24"/>
          <w:highlight w:val="none"/>
          <w:lang w:eastAsia="zh-CN"/>
        </w:rPr>
        <w:t>。</w:t>
      </w:r>
    </w:p>
    <w:p w14:paraId="21DEAF76">
      <w:pPr>
        <w:pStyle w:val="7"/>
        <w:spacing w:line="360" w:lineRule="auto"/>
        <w:ind w:firstLine="48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lang w:val="en-US" w:eastAsia="zh-CN"/>
        </w:rPr>
        <w:t>二</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rPr>
        <w:t>本项目的特定资格要求：</w:t>
      </w:r>
    </w:p>
    <w:p w14:paraId="7AAB870C">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法定代表人授权书（附法定代表人身份证复印件）及被授权人身份证（法定代表人直接参加磋商只须提供法定代表人身份证）；</w:t>
      </w:r>
    </w:p>
    <w:p w14:paraId="513C4A33">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供应商不得为“信用中国”网站（www.creditchina.gov.cn）中列入失信被执行人和重大税收违法失信主体，不得为中国政府采购网（www.ccgp.gov.cn）政府采购严重违法失信行为记录名单中被财政部门禁止参加政府采购活动供应商</w:t>
      </w:r>
      <w:r>
        <w:rPr>
          <w:rFonts w:hint="default" w:ascii="Times New Roman" w:hAnsi="Times New Roman" w:eastAsia="宋体" w:cs="Times New Roman"/>
          <w:sz w:val="24"/>
          <w:szCs w:val="24"/>
          <w:highlight w:val="none"/>
          <w:lang w:eastAsia="zh-CN"/>
        </w:rPr>
        <w:t>；</w:t>
      </w:r>
    </w:p>
    <w:p w14:paraId="49A86A08">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本项目不接受联合体投标说明</w:t>
      </w:r>
      <w:r>
        <w:rPr>
          <w:rFonts w:hint="default" w:ascii="Times New Roman" w:hAnsi="Times New Roman" w:eastAsia="宋体" w:cs="Times New Roman"/>
          <w:sz w:val="24"/>
          <w:szCs w:val="24"/>
          <w:highlight w:val="none"/>
          <w:lang w:eastAsia="zh-CN"/>
        </w:rPr>
        <w:t>：</w:t>
      </w:r>
    </w:p>
    <w:p w14:paraId="6E988F55">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①单位负责人为同一人或者存在控股、管理关系的不同供应商，不得同时参加本项目采购活动。</w:t>
      </w:r>
    </w:p>
    <w:p w14:paraId="2454676E">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②为本项目提供过整体设计、规范编制或者项目管理、监理、检测等服务的供应商，不得再参加本项目采购活动。</w:t>
      </w:r>
    </w:p>
    <w:p w14:paraId="514A1212">
      <w:pPr>
        <w:adjustRightInd w:val="0"/>
        <w:snapToGrid w:val="0"/>
        <w:spacing w:line="360" w:lineRule="auto"/>
        <w:rPr>
          <w:rFonts w:hint="default" w:ascii="Times New Roman" w:hAnsi="Times New Roman" w:eastAsia="仿宋_GB2312" w:cs="Times New Roman"/>
          <w:b/>
          <w:sz w:val="32"/>
          <w:szCs w:val="32"/>
          <w:highlight w:val="none"/>
        </w:rPr>
      </w:pPr>
      <w:r>
        <w:rPr>
          <w:rFonts w:hint="default" w:ascii="Times New Roman" w:hAnsi="Times New Roman" w:cs="Times New Roman"/>
          <w:b/>
          <w:bCs/>
          <w:sz w:val="24"/>
          <w:szCs w:val="24"/>
          <w:highlight w:val="none"/>
        </w:rPr>
        <w:br w:type="page"/>
      </w:r>
      <w:r>
        <w:rPr>
          <w:rFonts w:hint="default" w:ascii="Times New Roman" w:hAnsi="Times New Roman" w:cs="Times New Roman"/>
          <w:b/>
          <w:sz w:val="24"/>
          <w:szCs w:val="24"/>
          <w:highlight w:val="none"/>
        </w:rPr>
        <w:t>附件1：</w:t>
      </w:r>
    </w:p>
    <w:p w14:paraId="58E46DF4">
      <w:pPr>
        <w:adjustRightInd w:val="0"/>
        <w:snapToGrid w:val="0"/>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履行合同所必需的设备和专业技术能力的书面声明</w:t>
      </w:r>
    </w:p>
    <w:p w14:paraId="368CDA69">
      <w:pPr>
        <w:pStyle w:val="10"/>
        <w:adjustRightInd w:val="0"/>
        <w:snapToGrid w:val="0"/>
        <w:spacing w:line="360" w:lineRule="auto"/>
        <w:jc w:val="center"/>
        <w:rPr>
          <w:rFonts w:hint="default" w:ascii="Times New Roman" w:hAnsi="Times New Roman" w:cs="Times New Roman"/>
          <w:b/>
          <w:sz w:val="44"/>
          <w:szCs w:val="44"/>
          <w:highlight w:val="none"/>
        </w:rPr>
      </w:pPr>
    </w:p>
    <w:p w14:paraId="431B419C">
      <w:pPr>
        <w:spacing w:line="360" w:lineRule="auto"/>
        <w:rPr>
          <w:rFonts w:hint="default" w:ascii="Times New Roman" w:hAnsi="Times New Roman" w:cs="Times New Roman"/>
          <w:spacing w:val="4"/>
          <w:sz w:val="24"/>
          <w:szCs w:val="24"/>
          <w:highlight w:val="none"/>
          <w:u w:val="single"/>
        </w:rPr>
      </w:pPr>
      <w:r>
        <w:rPr>
          <w:rFonts w:hint="default" w:ascii="Times New Roman" w:hAnsi="Times New Roman" w:cs="Times New Roman"/>
          <w:spacing w:val="4"/>
          <w:sz w:val="24"/>
          <w:szCs w:val="24"/>
          <w:highlight w:val="none"/>
          <w:u w:val="single"/>
        </w:rPr>
        <w:t xml:space="preserve">     （采购人名称）    ：</w:t>
      </w:r>
    </w:p>
    <w:p w14:paraId="79316DBD">
      <w:pPr>
        <w:pStyle w:val="10"/>
        <w:adjustRightInd w:val="0"/>
        <w:snapToGrid w:val="0"/>
        <w:spacing w:line="360" w:lineRule="auto"/>
        <w:rPr>
          <w:rFonts w:hint="default" w:ascii="Times New Roman" w:hAnsi="Times New Roman" w:cs="Times New Roman"/>
          <w:spacing w:val="4"/>
          <w:sz w:val="24"/>
          <w:szCs w:val="24"/>
          <w:highlight w:val="none"/>
        </w:rPr>
      </w:pPr>
      <w:r>
        <w:rPr>
          <w:rFonts w:hint="default" w:ascii="Times New Roman" w:hAnsi="Times New Roman" w:cs="Times New Roman"/>
          <w:spacing w:val="4"/>
          <w:sz w:val="24"/>
          <w:szCs w:val="24"/>
          <w:highlight w:val="none"/>
        </w:rPr>
        <w:t xml:space="preserve">   </w:t>
      </w:r>
    </w:p>
    <w:p w14:paraId="11A51AF8">
      <w:pPr>
        <w:pStyle w:val="10"/>
        <w:spacing w:line="360" w:lineRule="auto"/>
        <w:ind w:firstLine="496" w:firstLineChars="200"/>
        <w:rPr>
          <w:rFonts w:hint="default" w:ascii="Times New Roman" w:hAnsi="Times New Roman" w:cs="Times New Roman"/>
          <w:spacing w:val="4"/>
          <w:sz w:val="24"/>
          <w:szCs w:val="24"/>
          <w:highlight w:val="none"/>
        </w:rPr>
      </w:pPr>
      <w:r>
        <w:rPr>
          <w:rFonts w:hint="default" w:ascii="Times New Roman" w:hAnsi="Times New Roman" w:cs="Times New Roman"/>
          <w:spacing w:val="4"/>
          <w:sz w:val="24"/>
          <w:szCs w:val="24"/>
          <w:highlight w:val="none"/>
          <w:u w:val="single"/>
        </w:rPr>
        <w:t xml:space="preserve">      （供应商名称）         </w:t>
      </w:r>
      <w:r>
        <w:rPr>
          <w:rFonts w:hint="default" w:ascii="Times New Roman" w:hAnsi="Times New Roman" w:cs="Times New Roman"/>
          <w:spacing w:val="4"/>
          <w:sz w:val="24"/>
          <w:szCs w:val="24"/>
          <w:highlight w:val="none"/>
        </w:rPr>
        <w:t xml:space="preserve"> 于</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年</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月</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日在中华人民共和国境内</w:t>
      </w:r>
      <w:r>
        <w:rPr>
          <w:rFonts w:hint="default" w:ascii="Times New Roman" w:hAnsi="Times New Roman" w:cs="Times New Roman"/>
          <w:spacing w:val="4"/>
          <w:sz w:val="24"/>
          <w:szCs w:val="24"/>
          <w:highlight w:val="none"/>
          <w:u w:val="single"/>
        </w:rPr>
        <w:t xml:space="preserve">  （详细注册地址）     </w:t>
      </w:r>
      <w:r>
        <w:rPr>
          <w:rFonts w:hint="default" w:ascii="Times New Roman" w:hAnsi="Times New Roman" w:cs="Times New Roman"/>
          <w:spacing w:val="4"/>
          <w:sz w:val="24"/>
          <w:szCs w:val="24"/>
          <w:highlight w:val="none"/>
        </w:rPr>
        <w:t>合法注册并经营，公司主营业务为</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，营业（生产经营）面积为</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 xml:space="preserve"> ，现有员工数量为</w:t>
      </w:r>
      <w:r>
        <w:rPr>
          <w:rFonts w:hint="default" w:ascii="Times New Roman" w:hAnsi="Times New Roman" w:cs="Times New Roman"/>
          <w:spacing w:val="4"/>
          <w:sz w:val="24"/>
          <w:szCs w:val="24"/>
          <w:highlight w:val="none"/>
          <w:u w:val="single"/>
        </w:rPr>
        <w:t xml:space="preserve">     </w:t>
      </w:r>
      <w:r>
        <w:rPr>
          <w:rFonts w:hint="default" w:ascii="Times New Roman" w:hAnsi="Times New Roman" w:cs="Times New Roman"/>
          <w:spacing w:val="4"/>
          <w:sz w:val="24"/>
          <w:szCs w:val="24"/>
          <w:highlight w:val="none"/>
        </w:rPr>
        <w:t>，本公司郑重声明，具有履行本合同所必需的设备和专业技术能力，</w:t>
      </w:r>
      <w:r>
        <w:rPr>
          <w:rFonts w:hint="default" w:ascii="Times New Roman" w:hAnsi="Times New Roman" w:cs="Times New Roman"/>
          <w:sz w:val="24"/>
          <w:szCs w:val="24"/>
          <w:highlight w:val="none"/>
        </w:rPr>
        <w:t>如有不实，我方将无条件地退出本项目的采购活动，并遵照《政府采购法》有关"提供虚假材料的规定"接受处罚</w:t>
      </w:r>
      <w:r>
        <w:rPr>
          <w:rFonts w:hint="default" w:ascii="Times New Roman" w:hAnsi="Times New Roman" w:cs="Times New Roman"/>
          <w:spacing w:val="4"/>
          <w:sz w:val="24"/>
          <w:szCs w:val="24"/>
          <w:highlight w:val="none"/>
        </w:rPr>
        <w:t>。</w:t>
      </w:r>
    </w:p>
    <w:p w14:paraId="2579D8CB">
      <w:pPr>
        <w:pStyle w:val="10"/>
        <w:adjustRightInd w:val="0"/>
        <w:snapToGrid w:val="0"/>
        <w:spacing w:line="360" w:lineRule="auto"/>
        <w:rPr>
          <w:rFonts w:hint="default" w:ascii="Times New Roman" w:hAnsi="Times New Roman" w:eastAsia="仿宋_GB2312" w:cs="Times New Roman"/>
          <w:spacing w:val="4"/>
          <w:sz w:val="32"/>
          <w:szCs w:val="32"/>
          <w:highlight w:val="none"/>
        </w:rPr>
      </w:pPr>
    </w:p>
    <w:p w14:paraId="533AC867">
      <w:pPr>
        <w:pStyle w:val="10"/>
        <w:adjustRightInd w:val="0"/>
        <w:snapToGrid w:val="0"/>
        <w:spacing w:line="360" w:lineRule="auto"/>
        <w:rPr>
          <w:rFonts w:hint="default" w:ascii="Times New Roman" w:hAnsi="Times New Roman" w:eastAsia="仿宋_GB2312" w:cs="Times New Roman"/>
          <w:spacing w:val="4"/>
          <w:sz w:val="32"/>
          <w:szCs w:val="32"/>
          <w:highlight w:val="none"/>
        </w:rPr>
      </w:pPr>
    </w:p>
    <w:p w14:paraId="07015539">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48955091">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4ECED3C5">
      <w:pPr>
        <w:pStyle w:val="37"/>
        <w:ind w:left="0" w:leftChars="0" w:firstLine="2520" w:firstLineChars="1050"/>
        <w:rPr>
          <w:rFonts w:hint="default" w:ascii="Times New Roman" w:hAnsi="Times New Roman" w:eastAsia="仿宋_GB2312" w:cs="Times New Roman"/>
          <w:sz w:val="32"/>
          <w:highlight w:val="none"/>
          <w:u w:val="single"/>
        </w:rPr>
      </w:pPr>
      <w:r>
        <w:rPr>
          <w:rFonts w:hint="default" w:ascii="Times New Roman" w:hAnsi="Times New Roman" w:cs="Times New Roman"/>
          <w:highlight w:val="none"/>
        </w:rPr>
        <w:t>日    期：</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14:paraId="03BB3ECF">
      <w:pPr>
        <w:autoSpaceDE w:val="0"/>
        <w:autoSpaceDN w:val="0"/>
        <w:adjustRightInd w:val="0"/>
        <w:spacing w:line="360" w:lineRule="auto"/>
        <w:rPr>
          <w:rFonts w:hint="default" w:ascii="Times New Roman" w:hAnsi="Times New Roman" w:eastAsia="宋体" w:cs="Times New Roman"/>
          <w:b/>
          <w:spacing w:val="-6"/>
          <w:sz w:val="36"/>
          <w:szCs w:val="36"/>
          <w:highlight w:val="none"/>
          <w:lang w:eastAsia="zh-CN"/>
        </w:rPr>
      </w:pPr>
      <w:r>
        <w:rPr>
          <w:rFonts w:hint="default" w:ascii="Times New Roman" w:hAnsi="Times New Roman" w:cs="Times New Roman"/>
          <w:b/>
          <w:bCs/>
          <w:sz w:val="24"/>
          <w:szCs w:val="24"/>
          <w:highlight w:val="none"/>
        </w:rPr>
        <w:br w:type="page"/>
      </w:r>
      <w:r>
        <w:rPr>
          <w:rFonts w:hint="default" w:ascii="Times New Roman" w:hAnsi="Times New Roman" w:cs="Times New Roman"/>
          <w:b/>
          <w:sz w:val="24"/>
          <w:szCs w:val="24"/>
          <w:highlight w:val="none"/>
        </w:rPr>
        <w:t>附件2</w:t>
      </w:r>
      <w:r>
        <w:rPr>
          <w:rFonts w:hint="default" w:ascii="Times New Roman" w:hAnsi="Times New Roman" w:cs="Times New Roman"/>
          <w:b/>
          <w:sz w:val="24"/>
          <w:szCs w:val="24"/>
          <w:highlight w:val="none"/>
          <w:lang w:eastAsia="zh-CN"/>
        </w:rPr>
        <w:t>：</w:t>
      </w:r>
    </w:p>
    <w:p w14:paraId="2A608DB5">
      <w:pPr>
        <w:autoSpaceDE w:val="0"/>
        <w:autoSpaceDN w:val="0"/>
        <w:adjustRightInd w:val="0"/>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pacing w:val="-6"/>
          <w:sz w:val="24"/>
          <w:szCs w:val="24"/>
          <w:highlight w:val="none"/>
        </w:rPr>
        <w:t>参加政府采购活动前三年内无重大违法记录的书面声明</w:t>
      </w:r>
    </w:p>
    <w:p w14:paraId="746427B5">
      <w:pPr>
        <w:snapToGrid w:val="0"/>
        <w:spacing w:line="360" w:lineRule="auto"/>
        <w:ind w:firstLine="640" w:firstLineChars="200"/>
        <w:rPr>
          <w:rFonts w:hint="default" w:ascii="Times New Roman" w:hAnsi="Times New Roman" w:eastAsia="仿宋_GB2312" w:cs="Times New Roman"/>
          <w:sz w:val="32"/>
          <w:szCs w:val="32"/>
          <w:highlight w:val="none"/>
        </w:rPr>
      </w:pPr>
    </w:p>
    <w:p w14:paraId="12ADC4A5">
      <w:pPr>
        <w:spacing w:line="360" w:lineRule="auto"/>
        <w:rPr>
          <w:rFonts w:hint="default" w:ascii="Times New Roman" w:hAnsi="Times New Roman" w:cs="Times New Roman"/>
          <w:spacing w:val="4"/>
          <w:sz w:val="24"/>
          <w:szCs w:val="24"/>
          <w:highlight w:val="none"/>
          <w:u w:val="single"/>
        </w:rPr>
      </w:pPr>
      <w:r>
        <w:rPr>
          <w:rFonts w:hint="default" w:ascii="Times New Roman" w:hAnsi="Times New Roman" w:cs="Times New Roman"/>
          <w:spacing w:val="4"/>
          <w:sz w:val="24"/>
          <w:szCs w:val="24"/>
          <w:highlight w:val="none"/>
          <w:u w:val="single"/>
        </w:rPr>
        <w:t xml:space="preserve">     （采购人名称）    ：</w:t>
      </w:r>
    </w:p>
    <w:p w14:paraId="187C47AA">
      <w:pPr>
        <w:autoSpaceDE w:val="0"/>
        <w:autoSpaceDN w:val="0"/>
        <w:adjustRightInd w:val="0"/>
        <w:spacing w:line="360" w:lineRule="auto"/>
        <w:rPr>
          <w:rFonts w:hint="default" w:ascii="Times New Roman" w:hAnsi="Times New Roman" w:cs="Times New Roman"/>
          <w:sz w:val="24"/>
          <w:szCs w:val="24"/>
          <w:highlight w:val="none"/>
        </w:rPr>
      </w:pPr>
    </w:p>
    <w:p w14:paraId="2CC38181">
      <w:pPr>
        <w:autoSpaceDE w:val="0"/>
        <w:autoSpaceDN w:val="0"/>
        <w:adjustRightInd w:val="0"/>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417979B5">
      <w:pPr>
        <w:autoSpaceDE w:val="0"/>
        <w:autoSpaceDN w:val="0"/>
        <w:adjustRightInd w:val="0"/>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特此声明。</w:t>
      </w:r>
    </w:p>
    <w:p w14:paraId="4EA1B5E9">
      <w:pPr>
        <w:autoSpaceDE w:val="0"/>
        <w:autoSpaceDN w:val="0"/>
        <w:adjustRightInd w:val="0"/>
        <w:spacing w:line="360" w:lineRule="auto"/>
        <w:ind w:firstLine="640" w:firstLineChars="200"/>
        <w:rPr>
          <w:rFonts w:hint="default" w:ascii="Times New Roman" w:hAnsi="Times New Roman" w:eastAsia="仿宋_GB2312" w:cs="Times New Roman"/>
          <w:sz w:val="32"/>
          <w:szCs w:val="32"/>
          <w:highlight w:val="none"/>
        </w:rPr>
      </w:pPr>
    </w:p>
    <w:p w14:paraId="57708105">
      <w:pPr>
        <w:pStyle w:val="12"/>
        <w:rPr>
          <w:rFonts w:hint="default" w:ascii="Times New Roman" w:hAnsi="Times New Roman" w:eastAsia="仿宋_GB2312" w:cs="Times New Roman"/>
          <w:sz w:val="32"/>
          <w:szCs w:val="32"/>
          <w:highlight w:val="none"/>
        </w:rPr>
      </w:pPr>
    </w:p>
    <w:p w14:paraId="082760E9">
      <w:pPr>
        <w:pStyle w:val="8"/>
        <w:rPr>
          <w:rFonts w:hint="default" w:ascii="Times New Roman" w:hAnsi="Times New Roman" w:cs="Times New Roman"/>
          <w:highlight w:val="none"/>
        </w:rPr>
      </w:pPr>
    </w:p>
    <w:p w14:paraId="1CD3D685">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46C81AFE">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3EA3C650">
      <w:pPr>
        <w:pStyle w:val="37"/>
        <w:ind w:left="0" w:leftChars="0" w:firstLine="2520" w:firstLineChars="1050"/>
        <w:rPr>
          <w:rFonts w:hint="default" w:ascii="Times New Roman" w:hAnsi="Times New Roman" w:eastAsia="仿宋_GB2312" w:cs="Times New Roman"/>
          <w:sz w:val="32"/>
          <w:highlight w:val="none"/>
          <w:u w:val="single"/>
        </w:rPr>
      </w:pPr>
      <w:r>
        <w:rPr>
          <w:rFonts w:hint="default" w:ascii="Times New Roman" w:hAnsi="Times New Roman" w:cs="Times New Roman"/>
          <w:highlight w:val="none"/>
        </w:rPr>
        <w:t>日    期：</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14:paraId="2D26ADFA">
      <w:pPr>
        <w:numPr>
          <w:ins w:id="0" w:author="admin" w:date="2018-10-15T16:11:00Z"/>
        </w:numPr>
        <w:adjustRightInd w:val="0"/>
        <w:snapToGrid w:val="0"/>
        <w:spacing w:line="360" w:lineRule="auto"/>
        <w:rPr>
          <w:rFonts w:hint="default" w:ascii="Times New Roman" w:hAnsi="Times New Roman" w:eastAsia="宋体" w:cs="Times New Roman"/>
          <w:b/>
          <w:sz w:val="32"/>
          <w:szCs w:val="32"/>
          <w:highlight w:val="none"/>
          <w:lang w:eastAsia="zh-CN"/>
        </w:rPr>
      </w:pPr>
      <w:r>
        <w:rPr>
          <w:rFonts w:hint="default" w:ascii="Times New Roman" w:hAnsi="Times New Roman" w:cs="Times New Roman"/>
          <w:b/>
          <w:bCs/>
          <w:sz w:val="24"/>
          <w:szCs w:val="24"/>
          <w:highlight w:val="none"/>
        </w:rPr>
        <w:br w:type="page"/>
      </w:r>
      <w:r>
        <w:rPr>
          <w:rFonts w:hint="default" w:ascii="Times New Roman" w:hAnsi="Times New Roman" w:cs="Times New Roman"/>
          <w:b/>
          <w:sz w:val="24"/>
          <w:szCs w:val="24"/>
          <w:highlight w:val="none"/>
        </w:rPr>
        <w:t>附件3</w:t>
      </w:r>
      <w:r>
        <w:rPr>
          <w:rFonts w:hint="default" w:ascii="Times New Roman" w:hAnsi="Times New Roman" w:cs="Times New Roman"/>
          <w:b/>
          <w:sz w:val="24"/>
          <w:szCs w:val="24"/>
          <w:highlight w:val="none"/>
          <w:lang w:eastAsia="zh-CN"/>
        </w:rPr>
        <w:t>：</w:t>
      </w:r>
    </w:p>
    <w:p w14:paraId="525094F1">
      <w:pPr>
        <w:numPr>
          <w:ins w:id="1" w:author="admin" w:date="2018-10-15T16:11:00Z"/>
        </w:numPr>
        <w:adjustRightInd w:val="0"/>
        <w:snapToGrid w:val="0"/>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法定代表人身份证明/法定代表人授权书</w:t>
      </w:r>
    </w:p>
    <w:p w14:paraId="6B9E6E36">
      <w:pPr>
        <w:numPr>
          <w:ins w:id="2" w:author="admin" w:date="2018-10-15T16:11:00Z"/>
        </w:numPr>
        <w:adjustRightInd w:val="0"/>
        <w:snapToGrid w:val="0"/>
        <w:spacing w:line="360" w:lineRule="auto"/>
        <w:jc w:val="center"/>
        <w:rPr>
          <w:rFonts w:hint="default" w:ascii="Times New Roman" w:hAnsi="Times New Roman" w:cs="Times New Roman"/>
          <w:b/>
          <w:sz w:val="36"/>
          <w:szCs w:val="36"/>
          <w:highlight w:val="none"/>
        </w:rPr>
      </w:pPr>
      <w:r>
        <w:rPr>
          <w:rFonts w:hint="default" w:ascii="Times New Roman" w:hAnsi="Times New Roman" w:cs="Times New Roman"/>
          <w:b/>
          <w:sz w:val="24"/>
          <w:szCs w:val="24"/>
          <w:highlight w:val="none"/>
        </w:rPr>
        <w:t>（1）法定代表人身份证明</w:t>
      </w:r>
    </w:p>
    <w:p w14:paraId="79D0D014">
      <w:pPr>
        <w:numPr>
          <w:ins w:id="3"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kern w:val="0"/>
          <w:sz w:val="24"/>
          <w:szCs w:val="24"/>
          <w:highlight w:val="none"/>
        </w:rPr>
        <w:t>名称：</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w:t>
      </w:r>
    </w:p>
    <w:p w14:paraId="711BD1DC">
      <w:pPr>
        <w:numPr>
          <w:ins w:id="4"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统一社会信用代码：</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w:t>
      </w:r>
    </w:p>
    <w:p w14:paraId="0B8FFF9A">
      <w:pPr>
        <w:numPr>
          <w:ins w:id="5"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注册地址：</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w:t>
      </w:r>
    </w:p>
    <w:p w14:paraId="501FF5B4">
      <w:pPr>
        <w:numPr>
          <w:ins w:id="6"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成立时间：</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年 </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月</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日；</w:t>
      </w:r>
    </w:p>
    <w:p w14:paraId="7D445737">
      <w:pPr>
        <w:numPr>
          <w:ins w:id="7"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经营期限：</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w:t>
      </w:r>
    </w:p>
    <w:p w14:paraId="0E542203">
      <w:pPr>
        <w:numPr>
          <w:ins w:id="8"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eastAsia="宋体" w:cs="Times New Roman"/>
          <w:kern w:val="0"/>
          <w:sz w:val="24"/>
          <w:szCs w:val="24"/>
          <w:highlight w:val="none"/>
          <w:u w:val="single"/>
          <w:lang w:eastAsia="zh-CN"/>
        </w:rPr>
      </w:pPr>
      <w:r>
        <w:rPr>
          <w:rFonts w:hint="default" w:ascii="Times New Roman" w:hAnsi="Times New Roman" w:cs="Times New Roman"/>
          <w:kern w:val="0"/>
          <w:sz w:val="24"/>
          <w:szCs w:val="24"/>
          <w:highlight w:val="none"/>
        </w:rPr>
        <w:t>经营范围：</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u w:val="none"/>
          <w:lang w:eastAsia="zh-CN"/>
        </w:rPr>
        <w:t>；</w:t>
      </w:r>
    </w:p>
    <w:p w14:paraId="47EFB965">
      <w:pPr>
        <w:numPr>
          <w:ins w:id="9"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姓名：</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性别：</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年龄：</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 xml:space="preserve"> 系</w:t>
      </w:r>
      <w:r>
        <w:rPr>
          <w:rFonts w:hint="default" w:ascii="Times New Roman" w:hAnsi="Times New Roman" w:cs="Times New Roman"/>
          <w:kern w:val="0"/>
          <w:sz w:val="24"/>
          <w:szCs w:val="24"/>
          <w:highlight w:val="none"/>
          <w:u w:val="single"/>
        </w:rPr>
        <w:t xml:space="preserve">            </w:t>
      </w:r>
      <w:r>
        <w:rPr>
          <w:rFonts w:hint="default" w:ascii="Times New Roman" w:hAnsi="Times New Roman" w:cs="Times New Roman"/>
          <w:kern w:val="0"/>
          <w:sz w:val="24"/>
          <w:szCs w:val="24"/>
          <w:highlight w:val="none"/>
        </w:rPr>
        <w:t>（</w:t>
      </w:r>
      <w:r>
        <w:rPr>
          <w:rFonts w:hint="default" w:ascii="Times New Roman" w:hAnsi="Times New Roman" w:cs="Times New Roman"/>
          <w:sz w:val="24"/>
          <w:szCs w:val="24"/>
          <w:highlight w:val="none"/>
        </w:rPr>
        <w:t>供应商</w:t>
      </w:r>
      <w:r>
        <w:rPr>
          <w:rFonts w:hint="default" w:ascii="Times New Roman" w:hAnsi="Times New Roman" w:cs="Times New Roman"/>
          <w:kern w:val="0"/>
          <w:sz w:val="24"/>
          <w:szCs w:val="24"/>
          <w:highlight w:val="none"/>
        </w:rPr>
        <w:t>名称）的法定代表人。</w:t>
      </w:r>
    </w:p>
    <w:p w14:paraId="7A0995B2">
      <w:pPr>
        <w:numPr>
          <w:ins w:id="10"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特此证明。</w:t>
      </w:r>
    </w:p>
    <w:p w14:paraId="1CC82262">
      <w:pPr>
        <w:numPr>
          <w:ins w:id="11" w:author="admin" w:date="2018-10-15T16:11:00Z"/>
        </w:numPr>
        <w:autoSpaceDE w:val="0"/>
        <w:autoSpaceDN w:val="0"/>
        <w:adjustRightInd w:val="0"/>
        <w:snapToGrid w:val="0"/>
        <w:spacing w:before="120" w:beforeLines="50" w:line="36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附：法定代表人身份证复印件</w:t>
      </w:r>
    </w:p>
    <w:tbl>
      <w:tblPr>
        <w:tblStyle w:val="19"/>
        <w:tblW w:w="0" w:type="auto"/>
        <w:jc w:val="center"/>
        <w:tblLayout w:type="fixed"/>
        <w:tblCellMar>
          <w:top w:w="0" w:type="dxa"/>
          <w:left w:w="108" w:type="dxa"/>
          <w:bottom w:w="0" w:type="dxa"/>
          <w:right w:w="108" w:type="dxa"/>
        </w:tblCellMar>
      </w:tblPr>
      <w:tblGrid>
        <w:gridCol w:w="4549"/>
      </w:tblGrid>
      <w:tr w14:paraId="27FDAD0F">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vAlign w:val="center"/>
          </w:tcPr>
          <w:p w14:paraId="1271D871">
            <w:pPr>
              <w:numPr>
                <w:ins w:id="12" w:author="admin" w:date="2018-10-15T16:11:00Z"/>
              </w:numPr>
              <w:spacing w:line="360" w:lineRule="auto"/>
              <w:jc w:val="center"/>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法定代表人身份证复印件</w:t>
            </w:r>
          </w:p>
          <w:p w14:paraId="5F1138A3">
            <w:pPr>
              <w:numPr>
                <w:ins w:id="13" w:author="admin" w:date="2018-10-15T16:11:00Z"/>
              </w:numPr>
              <w:spacing w:line="360" w:lineRule="auto"/>
              <w:jc w:val="center"/>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lang w:val="zh-CN"/>
              </w:rPr>
              <w:t>正反两面</w:t>
            </w:r>
          </w:p>
        </w:tc>
      </w:tr>
    </w:tbl>
    <w:p w14:paraId="46F5971B">
      <w:pPr>
        <w:numPr>
          <w:ins w:id="14" w:author="admin" w:date="2018-10-15T16:11:00Z"/>
        </w:numPr>
        <w:spacing w:line="540" w:lineRule="exact"/>
        <w:ind w:right="-197" w:rightChars="-94"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说明：仅限法定代表人参加磋商时提供。</w:t>
      </w:r>
    </w:p>
    <w:p w14:paraId="0F97110A">
      <w:pPr>
        <w:numPr>
          <w:ins w:id="15" w:author="admin" w:date="2018-10-15T16:11:00Z"/>
        </w:numPr>
        <w:spacing w:line="360" w:lineRule="auto"/>
        <w:ind w:firstLine="1920" w:firstLineChars="800"/>
        <w:rPr>
          <w:rFonts w:hint="default" w:ascii="Times New Roman" w:hAnsi="Times New Roman" w:cs="Times New Roman"/>
          <w:sz w:val="24"/>
          <w:szCs w:val="24"/>
          <w:highlight w:val="none"/>
        </w:rPr>
      </w:pPr>
    </w:p>
    <w:p w14:paraId="0A4ECF97">
      <w:pPr>
        <w:numPr>
          <w:ins w:id="16" w:author="admin" w:date="2018-10-15T16:11:00Z"/>
        </w:numPr>
        <w:spacing w:line="360" w:lineRule="auto"/>
        <w:ind w:firstLine="1920" w:firstLineChars="800"/>
        <w:rPr>
          <w:rFonts w:hint="default" w:ascii="Times New Roman" w:hAnsi="Times New Roman" w:cs="Times New Roman"/>
          <w:sz w:val="24"/>
          <w:szCs w:val="24"/>
          <w:highlight w:val="none"/>
        </w:rPr>
      </w:pPr>
    </w:p>
    <w:p w14:paraId="4C4DF6C1">
      <w:pPr>
        <w:numPr>
          <w:ins w:id="17" w:author="admin" w:date="2018-10-15T16:11:00Z"/>
        </w:numPr>
        <w:spacing w:line="360" w:lineRule="auto"/>
        <w:ind w:firstLine="1920" w:firstLineChars="800"/>
        <w:rPr>
          <w:rFonts w:hint="default" w:ascii="Times New Roman" w:hAnsi="Times New Roman" w:cs="Times New Roman"/>
          <w:sz w:val="24"/>
          <w:szCs w:val="24"/>
          <w:highlight w:val="none"/>
        </w:rPr>
      </w:pPr>
    </w:p>
    <w:p w14:paraId="723AEEE2">
      <w:pPr>
        <w:numPr>
          <w:ins w:id="18" w:author="admin" w:date="2018-10-15T16:11:00Z"/>
        </w:numPr>
        <w:spacing w:line="360" w:lineRule="auto"/>
        <w:ind w:firstLine="1920" w:firstLineChars="800"/>
        <w:rPr>
          <w:rFonts w:hint="default" w:ascii="Times New Roman" w:hAnsi="Times New Roman" w:cs="Times New Roman"/>
          <w:sz w:val="24"/>
          <w:szCs w:val="24"/>
          <w:highlight w:val="none"/>
        </w:rPr>
      </w:pPr>
    </w:p>
    <w:p w14:paraId="62185146">
      <w:pPr>
        <w:numPr>
          <w:ins w:id="19" w:author="孙笑梅" w:date="2020-07-10T09:22:00Z"/>
        </w:num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5E3EF2D1">
      <w:pPr>
        <w:numPr>
          <w:ins w:id="20" w:author="孙笑梅" w:date="2020-07-10T09:22:00Z"/>
        </w:numPr>
        <w:adjustRightInd w:val="0"/>
        <w:snapToGrid w:val="0"/>
        <w:spacing w:line="360" w:lineRule="auto"/>
        <w:ind w:firstLine="4320" w:firstLineChars="1800"/>
        <w:rPr>
          <w:rFonts w:hint="default" w:ascii="Times New Roman" w:hAnsi="Times New Roman" w:eastAsia="仿宋_GB2312" w:cs="Times New Roman"/>
          <w:sz w:val="32"/>
          <w:highlight w:val="none"/>
          <w:u w:val="singl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56497281">
      <w:pPr>
        <w:numPr>
          <w:ins w:id="21" w:author="admin" w:date="2018-10-15T16:11:00Z"/>
        </w:numPr>
        <w:adjustRightInd w:val="0"/>
        <w:snapToGrid w:val="0"/>
        <w:spacing w:line="360" w:lineRule="auto"/>
        <w:jc w:val="center"/>
        <w:rPr>
          <w:rFonts w:hint="default" w:ascii="Times New Roman" w:hAnsi="Times New Roman" w:eastAsia="仿宋_GB2312" w:cs="Times New Roman"/>
          <w:sz w:val="32"/>
          <w:highlight w:val="none"/>
          <w:u w:val="single"/>
        </w:rPr>
      </w:pPr>
      <w:r>
        <w:rPr>
          <w:rFonts w:hint="default" w:ascii="Times New Roman" w:hAnsi="Times New Roman" w:cs="Times New Roman"/>
          <w:b/>
          <w:bCs/>
          <w:sz w:val="24"/>
          <w:szCs w:val="24"/>
          <w:highlight w:val="none"/>
        </w:rPr>
        <w:br w:type="page"/>
      </w:r>
      <w:r>
        <w:rPr>
          <w:rFonts w:hint="default" w:ascii="Times New Roman" w:hAnsi="Times New Roman" w:cs="Times New Roman"/>
          <w:b/>
          <w:sz w:val="24"/>
          <w:szCs w:val="24"/>
          <w:highlight w:val="none"/>
        </w:rPr>
        <w:t>（2）法定代表人授权书</w:t>
      </w:r>
    </w:p>
    <w:p w14:paraId="20096238">
      <w:pPr>
        <w:spacing w:line="360" w:lineRule="auto"/>
        <w:rPr>
          <w:rFonts w:hint="default" w:ascii="Times New Roman" w:hAnsi="Times New Roman" w:cs="Times New Roman"/>
          <w:spacing w:val="4"/>
          <w:sz w:val="24"/>
          <w:szCs w:val="24"/>
          <w:highlight w:val="none"/>
          <w:u w:val="single"/>
        </w:rPr>
      </w:pPr>
      <w:r>
        <w:rPr>
          <w:rFonts w:hint="default" w:ascii="Times New Roman" w:hAnsi="Times New Roman" w:cs="Times New Roman"/>
          <w:spacing w:val="4"/>
          <w:sz w:val="24"/>
          <w:szCs w:val="24"/>
          <w:highlight w:val="none"/>
          <w:u w:val="single"/>
        </w:rPr>
        <w:t>（采购人名称）    ：</w:t>
      </w:r>
    </w:p>
    <w:p w14:paraId="63164A32">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zh-CN"/>
        </w:rPr>
        <w:t>注册于</w:t>
      </w:r>
      <w:r>
        <w:rPr>
          <w:rFonts w:hint="default" w:ascii="Times New Roman" w:hAnsi="Times New Roman" w:cs="Times New Roman"/>
          <w:sz w:val="24"/>
          <w:szCs w:val="24"/>
          <w:highlight w:val="none"/>
          <w:u w:val="single"/>
          <w:lang w:val="zh-CN"/>
        </w:rPr>
        <w:t xml:space="preserve">      （工商行政管理局名称）</w:t>
      </w:r>
      <w:r>
        <w:rPr>
          <w:rFonts w:hint="default" w:ascii="Times New Roman" w:hAnsi="Times New Roman" w:cs="Times New Roman"/>
          <w:sz w:val="24"/>
          <w:szCs w:val="24"/>
          <w:highlight w:val="none"/>
          <w:lang w:val="zh-CN"/>
        </w:rPr>
        <w:t>之</w:t>
      </w:r>
      <w:r>
        <w:rPr>
          <w:rFonts w:hint="default" w:ascii="Times New Roman" w:hAnsi="Times New Roman" w:cs="Times New Roman"/>
          <w:sz w:val="24"/>
          <w:szCs w:val="24"/>
          <w:highlight w:val="none"/>
          <w:u w:val="single"/>
          <w:lang w:val="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zh-CN"/>
        </w:rPr>
        <w:t xml:space="preserve"> （供应商全称）</w:t>
      </w:r>
      <w:r>
        <w:rPr>
          <w:rFonts w:hint="default" w:ascii="Times New Roman" w:hAnsi="Times New Roman" w:cs="Times New Roman"/>
          <w:sz w:val="24"/>
          <w:szCs w:val="24"/>
          <w:highlight w:val="none"/>
          <w:lang w:val="zh-CN"/>
        </w:rPr>
        <w:t>的法定代表人</w:t>
      </w:r>
      <w:r>
        <w:rPr>
          <w:rFonts w:hint="default" w:ascii="Times New Roman" w:hAnsi="Times New Roman" w:cs="Times New Roman"/>
          <w:sz w:val="24"/>
          <w:szCs w:val="24"/>
          <w:highlight w:val="none"/>
          <w:u w:val="single"/>
          <w:lang w:val="zh-CN"/>
        </w:rPr>
        <w:t xml:space="preserve">      （姓名）</w:t>
      </w:r>
      <w:r>
        <w:rPr>
          <w:rFonts w:hint="default" w:ascii="Times New Roman" w:hAnsi="Times New Roman" w:cs="Times New Roman"/>
          <w:sz w:val="24"/>
          <w:szCs w:val="24"/>
          <w:highlight w:val="none"/>
          <w:lang w:val="zh-CN"/>
        </w:rPr>
        <w:t>授权</w:t>
      </w:r>
      <w:r>
        <w:rPr>
          <w:rFonts w:hint="default" w:ascii="Times New Roman" w:hAnsi="Times New Roman" w:cs="Times New Roman"/>
          <w:sz w:val="24"/>
          <w:szCs w:val="24"/>
          <w:highlight w:val="none"/>
          <w:u w:val="single"/>
          <w:lang w:val="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zh-CN"/>
        </w:rPr>
        <w:t>（授权代表姓名）</w:t>
      </w:r>
      <w:r>
        <w:rPr>
          <w:rFonts w:hint="default" w:ascii="Times New Roman" w:hAnsi="Times New Roman" w:cs="Times New Roman"/>
          <w:sz w:val="24"/>
          <w:szCs w:val="24"/>
          <w:highlight w:val="none"/>
        </w:rPr>
        <w:t>为我方合法授权代表。代理人根据授权，以我方名义签署、澄清、说明、递交、撤回、修改</w:t>
      </w:r>
      <w:r>
        <w:rPr>
          <w:rFonts w:hint="default" w:ascii="Times New Roman" w:hAnsi="Times New Roman" w:cs="Times New Roman"/>
          <w:sz w:val="24"/>
          <w:szCs w:val="24"/>
          <w:highlight w:val="none"/>
          <w:u w:val="single"/>
        </w:rPr>
        <w:t xml:space="preserve">          （项目名称、编号）           </w:t>
      </w:r>
      <w:r>
        <w:rPr>
          <w:rFonts w:hint="default" w:ascii="Times New Roman" w:hAnsi="Times New Roman" w:cs="Times New Roman"/>
          <w:sz w:val="24"/>
          <w:szCs w:val="24"/>
          <w:highlight w:val="none"/>
        </w:rPr>
        <w:t>磋商响应文件、签订合同和处理有关事宜，其法律后果由我方承担。</w:t>
      </w:r>
    </w:p>
    <w:p w14:paraId="668CBE7C">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代理人无转委托权。</w:t>
      </w:r>
    </w:p>
    <w:p w14:paraId="22208760">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本授权书有效期为自磋商之日起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个日历日。</w:t>
      </w:r>
    </w:p>
    <w:p w14:paraId="3F25104E">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zh-CN"/>
        </w:rPr>
        <w:t>说明：本授权有效期与响应文件有效期保持一致（自磋商截止之日起不少于90日历日），仅限授权代表参加磋商时提供。</w:t>
      </w:r>
    </w:p>
    <w:p w14:paraId="1B2E4696">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  应  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（盖单位公章）</w:t>
      </w:r>
    </w:p>
    <w:p w14:paraId="2EC9AF7D">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（签字或盖章）</w:t>
      </w:r>
    </w:p>
    <w:p w14:paraId="2B04E54A">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身份证号码：</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p>
    <w:p w14:paraId="64FA2B22">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授 权 代 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      字）</w:t>
      </w:r>
    </w:p>
    <w:p w14:paraId="49EF6A99">
      <w:pPr>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身份证号码：</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rPr>
        <w:t xml:space="preserve">                   </w:t>
      </w:r>
    </w:p>
    <w:p w14:paraId="589D32D4">
      <w:pPr>
        <w:spacing w:line="360" w:lineRule="auto"/>
        <w:ind w:firstLine="5760" w:firstLineChars="24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31DC575D">
      <w:pPr>
        <w:numPr>
          <w:ins w:id="22" w:author="admin" w:date="2018-10-15T16:11:00Z"/>
        </w:numPr>
        <w:spacing w:line="480" w:lineRule="auto"/>
        <w:ind w:firstLine="42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791200" cy="1774825"/>
                <wp:effectExtent l="4445" t="4445" r="14605" b="11430"/>
                <wp:wrapNone/>
                <wp:docPr id="3" name="文本框 3"/>
                <wp:cNvGraphicFramePr/>
                <a:graphic xmlns:a="http://schemas.openxmlformats.org/drawingml/2006/main">
                  <a:graphicData uri="http://schemas.microsoft.com/office/word/2010/wordprocessingShape">
                    <wps:wsp>
                      <wps:cNvSpPr txBox="1"/>
                      <wps:spPr>
                        <a:xfrm>
                          <a:off x="0" y="0"/>
                          <a:ext cx="5791200" cy="1774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BB6968">
                            <w:pPr>
                              <w:jc w:val="center"/>
                              <w:rPr>
                                <w:rFonts w:ascii="黑体" w:eastAsia="黑体"/>
                                <w:sz w:val="32"/>
                                <w:szCs w:val="32"/>
                              </w:rPr>
                            </w:pPr>
                          </w:p>
                          <w:p w14:paraId="713131A2">
                            <w:pPr>
                              <w:adjustRightInd w:val="0"/>
                              <w:snapToGrid w:val="0"/>
                              <w:spacing w:line="348" w:lineRule="auto"/>
                              <w:jc w:val="center"/>
                              <w:rPr>
                                <w:rFonts w:ascii="宋体" w:hAnsi="宋体" w:cs="宋体"/>
                                <w:sz w:val="24"/>
                                <w:szCs w:val="24"/>
                              </w:rPr>
                            </w:pPr>
                            <w:r>
                              <w:rPr>
                                <w:rFonts w:hint="eastAsia" w:ascii="宋体" w:hAnsi="宋体" w:cs="宋体"/>
                                <w:sz w:val="24"/>
                                <w:szCs w:val="24"/>
                              </w:rPr>
                              <w:t>法定代表人身份证复印件</w:t>
                            </w:r>
                          </w:p>
                          <w:p w14:paraId="2B6E7273">
                            <w:pPr>
                              <w:adjustRightInd w:val="0"/>
                              <w:snapToGrid w:val="0"/>
                              <w:spacing w:line="348" w:lineRule="auto"/>
                              <w:jc w:val="center"/>
                              <w:rPr>
                                <w:rFonts w:ascii="宋体" w:hAnsi="宋体" w:cs="宋体"/>
                                <w:sz w:val="24"/>
                                <w:szCs w:val="24"/>
                              </w:rPr>
                            </w:pPr>
                            <w:r>
                              <w:rPr>
                                <w:rFonts w:hint="eastAsia" w:ascii="宋体" w:hAnsi="宋体" w:cs="宋体"/>
                                <w:sz w:val="24"/>
                                <w:szCs w:val="24"/>
                              </w:rPr>
                              <w:t>（正反两面）</w:t>
                            </w:r>
                          </w:p>
                        </w:txbxContent>
                      </wps:txbx>
                      <wps:bodyPr upright="1"/>
                    </wps:wsp>
                  </a:graphicData>
                </a:graphic>
              </wp:anchor>
            </w:drawing>
          </mc:Choice>
          <mc:Fallback>
            <w:pict>
              <v:shape id="_x0000_s1026" o:spid="_x0000_s1026" o:spt="202" type="#_x0000_t202" style="position:absolute;left:0pt;margin-left:-9pt;margin-top:7.8pt;height:139.75pt;width:456pt;z-index:251661312;mso-width-relative:page;mso-height-relative:page;" fillcolor="#FFFFFF" filled="t" stroked="t" coordsize="21600,21600" o:gfxdata="UEsDBAoAAAAAAIdO4kAAAAAAAAAAAAAAAAAEAAAAZHJzL1BLAwQUAAAACACHTuJANKySFtkAAAAK&#10;AQAADwAAAGRycy9kb3ducmV2LnhtbE2PwU7DMBBE70j8g7VIXFDrpLRpEuL0gASCGxREr26yTSLs&#10;dbDdtPw9ywmOOzOafVNtztaICX0YHClI5wkIpMa1A3UK3t8eZjmIEDW12jhCBd8YYFNfXlS6bN2J&#10;XnHaxk5wCYVSK+hjHEspQ9Oj1WHuRiT2Ds5bHfn0nWy9PnG5NXKRJJm0eiD+0OsR73tsPrdHqyBf&#10;Pk278Hz78tFkB1PEm/X0+OWVur5KkzsQEc/xLwy/+IwONTPt3ZHaIIyCWZrzlsjGKgPBgbxYsrBX&#10;sChWKci6kv8n1D9QSwMEFAAAAAgAh07iQCG16/IMAgAANwQAAA4AAABkcnMvZTJvRG9jLnhtbK1T&#10;S44TMRDdI3EHy3vSSYaQmVY6I0EIGwRIAwdwbHe3Jf/kctKdC8ANWLFhz7lyjim7M5kPs8hieuEu&#10;l59fVb0qL657o8lOBlDOVnQyGlMiLXdC2aaiP76v31xSApFZwbSzsqJ7CfR6+frVovOlnLrWaSED&#10;QRILZecr2sboy6IA3krDYOS8tHhYu2BYxG1oChFYh+xGF9Px+F3RuSB8cFwCoHc1HNIjYziH0NW1&#10;4nLl+NZIGwfWIDWLWBK0ygNd5mzrWvL4ta5BRqIripXGvGIQtDdpLZYLVjaB+VbxYwrsnBSe1GSY&#10;shj0RLVikZFtUP9RGcWDA1fHEXemGArJimAVk/ETbW5a5mWuBaUGfxIdXo6Wf9l9C0SJil5QYpnB&#10;hh9+/zr8+Xf4+5NcJHk6DyWibjziYv/e9Tg0d35AZ6q6r4NJf6yH4DmKuz+JK/tIODpn86sJ9p8S&#10;jmeT+fzt5XSWeIr76z5A/CSdIcmoaMDuZVHZ7jPEAXoHSdHAaSXWSuu8Cc3mgw5kx7DT6/wd2R/B&#10;tCVdRa9mGJtwhuNb49igaTxKALbJ8R7dgIfE4/w9R5wSWzFohwQyQ4Kx0qgoQ7ZaycRHK0jce5TZ&#10;4uuiKRkjBSVa4mNMVkZGpvQ5SNROW5Qw9WjoRbJiv+mRJpkbJ/bYt60PqmlR0ty5DMd5ytofZz8N&#10;7MN9Jr1/78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ySFtkAAAAKAQAADwAAAAAAAAABACAA&#10;AAAiAAAAZHJzL2Rvd25yZXYueG1sUEsBAhQAFAAAAAgAh07iQCG16/IMAgAANwQAAA4AAAAAAAAA&#10;AQAgAAAAKAEAAGRycy9lMm9Eb2MueG1sUEsFBgAAAAAGAAYAWQEAAKYFAAAAAA==&#10;">
                <v:fill on="t" focussize="0,0"/>
                <v:stroke color="#000000" joinstyle="miter"/>
                <v:imagedata o:title=""/>
                <o:lock v:ext="edit" aspectratio="f"/>
                <v:textbox>
                  <w:txbxContent>
                    <w:p w14:paraId="06BB6968">
                      <w:pPr>
                        <w:jc w:val="center"/>
                        <w:rPr>
                          <w:rFonts w:ascii="黑体" w:eastAsia="黑体"/>
                          <w:sz w:val="32"/>
                          <w:szCs w:val="32"/>
                        </w:rPr>
                      </w:pPr>
                    </w:p>
                    <w:p w14:paraId="713131A2">
                      <w:pPr>
                        <w:adjustRightInd w:val="0"/>
                        <w:snapToGrid w:val="0"/>
                        <w:spacing w:line="348" w:lineRule="auto"/>
                        <w:jc w:val="center"/>
                        <w:rPr>
                          <w:rFonts w:ascii="宋体" w:hAnsi="宋体" w:cs="宋体"/>
                          <w:sz w:val="24"/>
                          <w:szCs w:val="24"/>
                        </w:rPr>
                      </w:pPr>
                      <w:r>
                        <w:rPr>
                          <w:rFonts w:hint="eastAsia" w:ascii="宋体" w:hAnsi="宋体" w:cs="宋体"/>
                          <w:sz w:val="24"/>
                          <w:szCs w:val="24"/>
                        </w:rPr>
                        <w:t>法定代表人身份证复印件</w:t>
                      </w:r>
                    </w:p>
                    <w:p w14:paraId="2B6E7273">
                      <w:pPr>
                        <w:adjustRightInd w:val="0"/>
                        <w:snapToGrid w:val="0"/>
                        <w:spacing w:line="348" w:lineRule="auto"/>
                        <w:jc w:val="center"/>
                        <w:rPr>
                          <w:rFonts w:ascii="宋体" w:hAnsi="宋体" w:cs="宋体"/>
                          <w:sz w:val="24"/>
                          <w:szCs w:val="24"/>
                        </w:rPr>
                      </w:pPr>
                      <w:r>
                        <w:rPr>
                          <w:rFonts w:hint="eastAsia" w:ascii="宋体" w:hAnsi="宋体" w:cs="宋体"/>
                          <w:sz w:val="24"/>
                          <w:szCs w:val="24"/>
                        </w:rPr>
                        <w:t>（正反两面）</w:t>
                      </w:r>
                    </w:p>
                  </w:txbxContent>
                </v:textbox>
              </v:shape>
            </w:pict>
          </mc:Fallback>
        </mc:AlternateContent>
      </w:r>
    </w:p>
    <w:p w14:paraId="21AAC552">
      <w:pPr>
        <w:numPr>
          <w:ins w:id="23" w:author="admin" w:date="2018-10-15T16:11:00Z"/>
        </w:numPr>
        <w:spacing w:line="480" w:lineRule="auto"/>
        <w:ind w:firstLine="420"/>
        <w:rPr>
          <w:rFonts w:hint="default" w:ascii="Times New Roman" w:hAnsi="Times New Roman" w:eastAsia="仿宋_GB2312" w:cs="Times New Roman"/>
          <w:bCs/>
          <w:sz w:val="32"/>
          <w:szCs w:val="32"/>
          <w:highlight w:val="none"/>
        </w:rPr>
      </w:pPr>
    </w:p>
    <w:p w14:paraId="202F988F">
      <w:pPr>
        <w:numPr>
          <w:ins w:id="24" w:author="admin" w:date="2018-10-15T16:11:00Z"/>
        </w:numPr>
        <w:ind w:firstLine="640" w:firstLineChars="200"/>
        <w:rPr>
          <w:rFonts w:hint="default" w:ascii="Times New Roman" w:hAnsi="Times New Roman" w:eastAsia="仿宋_GB2312" w:cs="Times New Roman"/>
          <w:bCs/>
          <w:sz w:val="32"/>
          <w:szCs w:val="32"/>
          <w:highlight w:val="none"/>
        </w:rPr>
      </w:pPr>
    </w:p>
    <w:p w14:paraId="70F4EF99">
      <w:pPr>
        <w:numPr>
          <w:ins w:id="25" w:author="admin" w:date="2018-10-15T16:11:00Z"/>
        </w:numPr>
        <w:ind w:firstLine="640" w:firstLineChars="200"/>
        <w:rPr>
          <w:rFonts w:hint="default" w:ascii="Times New Roman" w:hAnsi="Times New Roman" w:eastAsia="仿宋_GB2312" w:cs="Times New Roman"/>
          <w:bCs/>
          <w:sz w:val="32"/>
          <w:szCs w:val="32"/>
          <w:highlight w:val="none"/>
        </w:rPr>
      </w:pPr>
    </w:p>
    <w:p w14:paraId="46EA6693">
      <w:pPr>
        <w:spacing w:line="360" w:lineRule="auto"/>
        <w:ind w:firstLine="640" w:firstLineChars="200"/>
        <w:jc w:val="center"/>
        <w:rPr>
          <w:rFonts w:hint="default" w:ascii="Times New Roman" w:hAnsi="Times New Roman" w:cs="Times New Roman"/>
          <w:b/>
          <w:bCs/>
          <w:sz w:val="44"/>
          <w:szCs w:val="44"/>
          <w:highlight w:val="none"/>
          <w:lang w:val="zh-CN"/>
        </w:rPr>
      </w:pPr>
      <w:r>
        <w:rPr>
          <w:rFonts w:hint="default" w:ascii="Times New Roman" w:hAnsi="Times New Roman" w:eastAsia="仿宋_GB2312" w:cs="Times New Roman"/>
          <w:bCs/>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-94615</wp:posOffset>
                </wp:positionH>
                <wp:positionV relativeFrom="paragraph">
                  <wp:posOffset>508635</wp:posOffset>
                </wp:positionV>
                <wp:extent cx="5695315" cy="1727835"/>
                <wp:effectExtent l="4445" t="4445" r="15240" b="20320"/>
                <wp:wrapNone/>
                <wp:docPr id="4" name="文本框 4"/>
                <wp:cNvGraphicFramePr/>
                <a:graphic xmlns:a="http://schemas.openxmlformats.org/drawingml/2006/main">
                  <a:graphicData uri="http://schemas.microsoft.com/office/word/2010/wordprocessingShape">
                    <wps:wsp>
                      <wps:cNvSpPr txBox="1"/>
                      <wps:spPr>
                        <a:xfrm>
                          <a:off x="0" y="0"/>
                          <a:ext cx="5695315" cy="1727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BA67CD">
                            <w:pPr>
                              <w:jc w:val="center"/>
                              <w:rPr>
                                <w:rFonts w:ascii="黑体" w:eastAsia="黑体"/>
                                <w:sz w:val="32"/>
                                <w:szCs w:val="32"/>
                              </w:rPr>
                            </w:pPr>
                          </w:p>
                          <w:p w14:paraId="65C51B40">
                            <w:pPr>
                              <w:adjustRightInd w:val="0"/>
                              <w:snapToGrid w:val="0"/>
                              <w:spacing w:line="348" w:lineRule="auto"/>
                              <w:jc w:val="center"/>
                              <w:rPr>
                                <w:rFonts w:ascii="宋体" w:hAnsi="宋体" w:cs="宋体"/>
                                <w:sz w:val="24"/>
                                <w:szCs w:val="24"/>
                              </w:rPr>
                            </w:pPr>
                            <w:r>
                              <w:rPr>
                                <w:rFonts w:hint="eastAsia" w:ascii="宋体" w:hAnsi="宋体" w:cs="宋体"/>
                                <w:sz w:val="24"/>
                                <w:szCs w:val="24"/>
                              </w:rPr>
                              <w:t>授权代表身份证复印件</w:t>
                            </w:r>
                          </w:p>
                          <w:p w14:paraId="1843D0A4">
                            <w:pPr>
                              <w:adjustRightInd w:val="0"/>
                              <w:snapToGrid w:val="0"/>
                              <w:spacing w:line="348" w:lineRule="auto"/>
                              <w:jc w:val="center"/>
                              <w:rPr>
                                <w:rFonts w:ascii="宋体" w:hAnsi="宋体" w:cs="宋体"/>
                                <w:sz w:val="24"/>
                                <w:szCs w:val="24"/>
                              </w:rPr>
                            </w:pPr>
                            <w:r>
                              <w:rPr>
                                <w:rFonts w:hint="eastAsia" w:ascii="宋体" w:hAnsi="宋体" w:cs="宋体"/>
                                <w:sz w:val="24"/>
                                <w:szCs w:val="24"/>
                              </w:rPr>
                              <w:t>（正反两面）</w:t>
                            </w:r>
                          </w:p>
                        </w:txbxContent>
                      </wps:txbx>
                      <wps:bodyPr upright="1"/>
                    </wps:wsp>
                  </a:graphicData>
                </a:graphic>
              </wp:anchor>
            </w:drawing>
          </mc:Choice>
          <mc:Fallback>
            <w:pict>
              <v:shape id="_x0000_s1026" o:spid="_x0000_s1026" o:spt="202" type="#_x0000_t202" style="position:absolute;left:0pt;margin-left:-7.45pt;margin-top:40.05pt;height:136.05pt;width:448.45pt;z-index:251662336;mso-width-relative:page;mso-height-relative:page;" fillcolor="#FFFFFF" filled="t" stroked="t" coordsize="21600,21600" o:gfxdata="UEsDBAoAAAAAAIdO4kAAAAAAAAAAAAAAAAAEAAAAZHJzL1BLAwQUAAAACACHTuJAOiJzv9kAAAAK&#10;AQAADwAAAGRycy9kb3ducmV2LnhtbE2PwU7DMBBE70j8g7VIXFBrJy0lDXF6QALBDQqCqxtvk4h4&#10;HWw3LX/PcoLjap/ezFSbkxvEhCH2njRkcwUCqfG2p1bD2+v9rAARkyFrBk+o4RsjbOrzs8qU1h/p&#10;BadtagVLKJZGQ5fSWEoZmw6diXM/IvFv74Mzic/QShvMkeVukLlSK+lMT5zQmRHvOmw+twenoVg+&#10;Th/xafH83qz2wzpd3UwPX0Hry4tM3YJIeEp/MPzW5+pQc6edP5CNYtAwy5ZrRlmmMhAMFEXO43Ya&#10;Ftd5DrKu5P8J9Q9QSwMEFAAAAAgAh07iQA/itz0NAgAANwQAAA4AAABkcnMvZTJvRG9jLnhtbK1T&#10;S27bMBDdF+gdCO5r2U6cj2A5QOu6m6ItkPYANElJBPgDh7bkC7Q36Kqb7nsunyNDynE+zcKLaEEN&#10;h49vZt4M5ze90WQrAyhnKzoZjSmRljuhbFPRH99X764ogcisYNpZWdGdBHqzePtm3vlSTl3rtJCB&#10;IImFsvMVbWP0ZVEAb6VhMHJeWjysXTAs4jY0hQisQ3aji+l4fFF0LggfHJcA6F0Oh/TAGE4hdHWt&#10;uFw6vjHSxoE1SM0ilgSt8kAXOdu6ljx+rWuQkeiKYqUxrxgE7XVai8WclU1gvlX8kAI7JYVnNRmm&#10;LAY9Ui1ZZGQT1H9URvHgwNVxxJ0phkKyIljFZPxMm9uWeZlrQanBH0WH16PlX7bfAlGioueUWGaw&#10;4fvfv/Z//u3//iTnSZ7OQ4moW4+42L93PQ7NvR/Qmaru62DSH+sheI7i7o7iyj4Sjs7ZxfXsbDKj&#10;hOPZ5HJ6eXU2SzzFw3UfIH6SzpBkVDRg97KobPsZ4gC9h6Ro4LQSK6V13oRm/UEHsmXY6VX+DuxP&#10;YNqSrqLXs2lKhOH41jg2aBqPEoBtcrwnN+Ax8Th/LxGnxJYM2iGBzJBgrDQqypCtVjLx0QoSdx5l&#10;tvi6aErGSEGJlvgYk5WRkSl9ChK10xYlTD0aepGs2K97pEnm2okd9m3jg2palDR3LsNxnrL2h9lP&#10;A/t4n0kf3vvi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ic7/ZAAAACgEAAA8AAAAAAAAAAQAg&#10;AAAAIgAAAGRycy9kb3ducmV2LnhtbFBLAQIUABQAAAAIAIdO4kAP4rc9DQIAADcEAAAOAAAAAAAA&#10;AAEAIAAAACgBAABkcnMvZTJvRG9jLnhtbFBLBQYAAAAABgAGAFkBAACnBQAAAAA=&#10;">
                <v:fill on="t" focussize="0,0"/>
                <v:stroke color="#000000" joinstyle="miter"/>
                <v:imagedata o:title=""/>
                <o:lock v:ext="edit" aspectratio="f"/>
                <v:textbox>
                  <w:txbxContent>
                    <w:p w14:paraId="65BA67CD">
                      <w:pPr>
                        <w:jc w:val="center"/>
                        <w:rPr>
                          <w:rFonts w:ascii="黑体" w:eastAsia="黑体"/>
                          <w:sz w:val="32"/>
                          <w:szCs w:val="32"/>
                        </w:rPr>
                      </w:pPr>
                    </w:p>
                    <w:p w14:paraId="65C51B40">
                      <w:pPr>
                        <w:adjustRightInd w:val="0"/>
                        <w:snapToGrid w:val="0"/>
                        <w:spacing w:line="348" w:lineRule="auto"/>
                        <w:jc w:val="center"/>
                        <w:rPr>
                          <w:rFonts w:ascii="宋体" w:hAnsi="宋体" w:cs="宋体"/>
                          <w:sz w:val="24"/>
                          <w:szCs w:val="24"/>
                        </w:rPr>
                      </w:pPr>
                      <w:r>
                        <w:rPr>
                          <w:rFonts w:hint="eastAsia" w:ascii="宋体" w:hAnsi="宋体" w:cs="宋体"/>
                          <w:sz w:val="24"/>
                          <w:szCs w:val="24"/>
                        </w:rPr>
                        <w:t>授权代表身份证复印件</w:t>
                      </w:r>
                    </w:p>
                    <w:p w14:paraId="1843D0A4">
                      <w:pPr>
                        <w:adjustRightInd w:val="0"/>
                        <w:snapToGrid w:val="0"/>
                        <w:spacing w:line="348" w:lineRule="auto"/>
                        <w:jc w:val="center"/>
                        <w:rPr>
                          <w:rFonts w:ascii="宋体" w:hAnsi="宋体" w:cs="宋体"/>
                          <w:sz w:val="24"/>
                          <w:szCs w:val="24"/>
                        </w:rPr>
                      </w:pPr>
                      <w:r>
                        <w:rPr>
                          <w:rFonts w:hint="eastAsia" w:ascii="宋体" w:hAnsi="宋体" w:cs="宋体"/>
                          <w:sz w:val="24"/>
                          <w:szCs w:val="24"/>
                        </w:rPr>
                        <w:t>（正反两面）</w:t>
                      </w:r>
                    </w:p>
                  </w:txbxContent>
                </v:textbox>
              </v:shape>
            </w:pict>
          </mc:Fallback>
        </mc:AlternateContent>
      </w:r>
      <w:r>
        <w:rPr>
          <w:rFonts w:hint="default" w:ascii="Times New Roman" w:hAnsi="Times New Roman" w:cs="Times New Roman"/>
          <w:b/>
          <w:bCs/>
          <w:sz w:val="44"/>
          <w:szCs w:val="44"/>
          <w:highlight w:val="none"/>
          <w:lang w:val="zh-CN"/>
        </w:rPr>
        <w:br w:type="page"/>
      </w:r>
    </w:p>
    <w:p w14:paraId="10270D66">
      <w:pPr>
        <w:spacing w:line="360" w:lineRule="auto"/>
        <w:rPr>
          <w:rFonts w:hint="default" w:ascii="Times New Roman" w:hAnsi="Times New Roman" w:eastAsia="宋体" w:cs="Times New Roman"/>
          <w:b/>
          <w:bCs/>
          <w:sz w:val="44"/>
          <w:szCs w:val="44"/>
          <w:highlight w:val="none"/>
          <w:lang w:val="zh-CN" w:eastAsia="zh-CN"/>
        </w:rPr>
      </w:pPr>
      <w:r>
        <w:rPr>
          <w:rFonts w:hint="default" w:ascii="Times New Roman" w:hAnsi="Times New Roman" w:cs="Times New Roman"/>
          <w:b/>
          <w:sz w:val="24"/>
          <w:szCs w:val="24"/>
          <w:highlight w:val="none"/>
        </w:rPr>
        <w:t>附件4</w:t>
      </w:r>
      <w:r>
        <w:rPr>
          <w:rFonts w:hint="default" w:ascii="Times New Roman" w:hAnsi="Times New Roman" w:cs="Times New Roman"/>
          <w:b/>
          <w:sz w:val="24"/>
          <w:szCs w:val="24"/>
          <w:highlight w:val="none"/>
          <w:lang w:eastAsia="zh-CN"/>
        </w:rPr>
        <w:t>：</w:t>
      </w:r>
    </w:p>
    <w:p w14:paraId="179EF92E">
      <w:pPr>
        <w:spacing w:line="360" w:lineRule="auto"/>
        <w:ind w:firstLine="482" w:firstLineChars="200"/>
        <w:jc w:val="center"/>
        <w:rPr>
          <w:rFonts w:hint="default" w:ascii="Times New Roman" w:hAnsi="Times New Roman" w:cs="Times New Roman"/>
          <w:b/>
          <w:bCs/>
          <w:sz w:val="24"/>
          <w:szCs w:val="24"/>
          <w:highlight w:val="none"/>
          <w:lang w:val="zh-CN"/>
        </w:rPr>
      </w:pPr>
      <w:r>
        <w:rPr>
          <w:rFonts w:hint="default" w:ascii="Times New Roman" w:hAnsi="Times New Roman" w:cs="Times New Roman"/>
          <w:b/>
          <w:bCs/>
          <w:sz w:val="24"/>
          <w:szCs w:val="24"/>
          <w:highlight w:val="none"/>
          <w:lang w:val="zh-CN"/>
        </w:rPr>
        <w:t>供应商企业关系关联承诺书</w:t>
      </w:r>
    </w:p>
    <w:p w14:paraId="0C46C62C">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一、供应商在本项目磋商中，不存在与其它供应商负责人为同一人，有控股、管理等关联关系承诺。</w:t>
      </w:r>
    </w:p>
    <w:p w14:paraId="17F34767">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（一）管理关系说明：</w:t>
      </w:r>
    </w:p>
    <w:p w14:paraId="17C10EAA">
      <w:pPr>
        <w:autoSpaceDE w:val="0"/>
        <w:autoSpaceDN w:val="0"/>
        <w:adjustRightInd w:val="0"/>
        <w:spacing w:line="360" w:lineRule="auto"/>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我单位管理的具有独立法人的下属单位：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没有填无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6C83CE67">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我单位的上级管理单位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没有填无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1B7064D9">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（二）股权关系说明：</w:t>
      </w:r>
    </w:p>
    <w:p w14:paraId="2D50F749">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我单位控股的单位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没有填无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325D9B17">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我单位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没有填无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被</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（控股单位全称）  </w:t>
      </w:r>
      <w:r>
        <w:rPr>
          <w:rFonts w:hint="default" w:ascii="Times New Roman" w:hAnsi="Times New Roman" w:cs="Times New Roman"/>
          <w:sz w:val="24"/>
          <w:szCs w:val="24"/>
          <w:highlight w:val="none"/>
        </w:rPr>
        <w:t>单位控股。</w:t>
      </w:r>
    </w:p>
    <w:p w14:paraId="5A0FAC80">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（三）单位负责人：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w:t>
      </w:r>
    </w:p>
    <w:p w14:paraId="15CAC029">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二、其他与本项目有关的利害关系说明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没有填无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23B14E0B">
      <w:pPr>
        <w:autoSpaceDE w:val="0"/>
        <w:autoSpaceDN w:val="0"/>
        <w:adjustRightIn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我单位承诺以上说明真实有效，无虚假内容或隐瞒。</w:t>
      </w:r>
    </w:p>
    <w:p w14:paraId="1ACB9A5E">
      <w:pPr>
        <w:spacing w:line="360" w:lineRule="auto"/>
        <w:ind w:firstLine="2560" w:firstLineChars="800"/>
        <w:rPr>
          <w:rFonts w:hint="default" w:ascii="Times New Roman" w:hAnsi="Times New Roman" w:eastAsia="仿宋_GB2312" w:cs="Times New Roman"/>
          <w:sz w:val="32"/>
          <w:highlight w:val="none"/>
        </w:rPr>
      </w:pPr>
    </w:p>
    <w:p w14:paraId="6AFB342C">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54A6662E">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0FBDDC36">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4D921EB3">
      <w:pPr>
        <w:rPr>
          <w:rFonts w:hint="default" w:ascii="Times New Roman" w:hAnsi="Times New Roman" w:cs="Times New Roman"/>
          <w:b/>
          <w:bCs/>
          <w:sz w:val="44"/>
          <w:szCs w:val="44"/>
          <w:highlight w:val="none"/>
          <w:lang w:val="zh-CN"/>
        </w:rPr>
      </w:pPr>
      <w:r>
        <w:rPr>
          <w:rFonts w:hint="default" w:ascii="Times New Roman" w:hAnsi="Times New Roman" w:cs="Times New Roman"/>
          <w:b/>
          <w:bCs/>
          <w:sz w:val="44"/>
          <w:szCs w:val="44"/>
          <w:highlight w:val="none"/>
          <w:lang w:val="zh-CN"/>
        </w:rPr>
        <w:br w:type="page"/>
      </w:r>
    </w:p>
    <w:p w14:paraId="167E36D3">
      <w:pPr>
        <w:spacing w:line="360" w:lineRule="auto"/>
        <w:rPr>
          <w:rFonts w:hint="default" w:ascii="Times New Roman" w:hAnsi="Times New Roman" w:eastAsia="宋体" w:cs="Times New Roman"/>
          <w:b/>
          <w:sz w:val="24"/>
          <w:szCs w:val="24"/>
          <w:highlight w:val="none"/>
          <w:lang w:eastAsia="zh-CN"/>
        </w:rPr>
      </w:pPr>
      <w:r>
        <w:rPr>
          <w:rFonts w:hint="default" w:ascii="Times New Roman" w:hAnsi="Times New Roman" w:cs="Times New Roman"/>
          <w:b/>
          <w:sz w:val="24"/>
          <w:szCs w:val="24"/>
          <w:highlight w:val="none"/>
        </w:rPr>
        <w:t>附件5</w:t>
      </w:r>
      <w:r>
        <w:rPr>
          <w:rFonts w:hint="default" w:ascii="Times New Roman" w:hAnsi="Times New Roman" w:cs="Times New Roman"/>
          <w:b/>
          <w:sz w:val="24"/>
          <w:szCs w:val="24"/>
          <w:highlight w:val="none"/>
          <w:lang w:eastAsia="zh-CN"/>
        </w:rPr>
        <w:t>：</w:t>
      </w:r>
    </w:p>
    <w:p w14:paraId="631816F0">
      <w:pPr>
        <w:pStyle w:val="12"/>
        <w:rPr>
          <w:rFonts w:hint="default" w:ascii="Times New Roman" w:hAnsi="Times New Roman" w:cs="Times New Roman"/>
          <w:highlight w:val="none"/>
          <w:lang w:val="zh-CN"/>
        </w:rPr>
      </w:pPr>
    </w:p>
    <w:p w14:paraId="5F4F73FB">
      <w:pPr>
        <w:spacing w:line="360" w:lineRule="auto"/>
        <w:jc w:val="center"/>
        <w:rPr>
          <w:rFonts w:hint="default" w:ascii="Times New Roman" w:hAnsi="Times New Roman" w:cs="Times New Roman"/>
          <w:b/>
          <w:bCs/>
          <w:sz w:val="24"/>
          <w:szCs w:val="24"/>
          <w:highlight w:val="none"/>
          <w:lang w:val="zh-CN"/>
        </w:rPr>
      </w:pPr>
      <w:r>
        <w:rPr>
          <w:rFonts w:hint="default" w:ascii="Times New Roman" w:hAnsi="Times New Roman" w:cs="Times New Roman"/>
          <w:b/>
          <w:bCs/>
          <w:sz w:val="24"/>
          <w:szCs w:val="24"/>
          <w:highlight w:val="none"/>
          <w:lang w:val="zh-CN"/>
        </w:rPr>
        <w:t>供应商是否属于为本项目提供整体设计、规范编制或者项目管理、监理、检测等服务的供应商声明</w:t>
      </w:r>
    </w:p>
    <w:p w14:paraId="211BD9F4">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致：</w:t>
      </w:r>
      <w:r>
        <w:rPr>
          <w:rFonts w:hint="default" w:ascii="Times New Roman" w:hAnsi="Times New Roman" w:cs="Times New Roman"/>
          <w:sz w:val="24"/>
          <w:highlight w:val="none"/>
          <w:lang w:eastAsia="zh-CN"/>
        </w:rPr>
        <w:t>鼎正众创建设集团有限公司</w:t>
      </w:r>
    </w:p>
    <w:p w14:paraId="02E4FB94">
      <w:pPr>
        <w:spacing w:line="360" w:lineRule="auto"/>
        <w:ind w:firstLine="426"/>
        <w:rPr>
          <w:rFonts w:hint="default" w:ascii="Times New Roman" w:hAnsi="Times New Roman" w:cs="Times New Roman"/>
          <w:sz w:val="24"/>
          <w:highlight w:val="none"/>
        </w:rPr>
      </w:pPr>
      <w:r>
        <w:rPr>
          <w:rFonts w:hint="default" w:ascii="Times New Roman" w:hAnsi="Times New Roman" w:cs="Times New Roman"/>
          <w:sz w:val="24"/>
          <w:highlight w:val="none"/>
        </w:rPr>
        <w:t>我方</w:t>
      </w:r>
      <w:r>
        <w:rPr>
          <w:rFonts w:hint="default"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u w:val="single"/>
        </w:rPr>
        <w:t xml:space="preserve"> </w:t>
      </w:r>
      <w:r>
        <w:rPr>
          <w:rFonts w:hint="default" w:ascii="Times New Roman" w:hAnsi="Times New Roman" w:cs="Times New Roman"/>
          <w:i/>
          <w:sz w:val="24"/>
          <w:highlight w:val="none"/>
        </w:rPr>
        <w:t>（属于/不属于）</w:t>
      </w:r>
      <w:r>
        <w:rPr>
          <w:rFonts w:hint="default" w:ascii="Times New Roman" w:hAnsi="Times New Roman" w:cs="Times New Roman"/>
          <w:sz w:val="24"/>
          <w:highlight w:val="none"/>
        </w:rPr>
        <w:t>为本项目提供整体设计、规范编制或者项目管理、监理、检测等服务的供应商。</w:t>
      </w:r>
    </w:p>
    <w:p w14:paraId="7B937A6D">
      <w:pPr>
        <w:spacing w:line="360" w:lineRule="auto"/>
        <w:ind w:firstLine="426"/>
        <w:rPr>
          <w:rFonts w:hint="default" w:ascii="Times New Roman" w:hAnsi="Times New Roman" w:cs="Times New Roman"/>
          <w:sz w:val="24"/>
          <w:highlight w:val="none"/>
        </w:rPr>
      </w:pPr>
    </w:p>
    <w:p w14:paraId="5217FE16">
      <w:pPr>
        <w:spacing w:line="360" w:lineRule="auto"/>
        <w:ind w:firstLine="426"/>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109B99F9">
      <w:pPr>
        <w:pStyle w:val="29"/>
        <w:rPr>
          <w:rFonts w:hint="default" w:ascii="Times New Roman" w:hAnsi="Times New Roman" w:cs="Times New Roman"/>
          <w:szCs w:val="21"/>
          <w:highlight w:val="none"/>
        </w:rPr>
      </w:pPr>
    </w:p>
    <w:p w14:paraId="73ED12FC">
      <w:pPr>
        <w:spacing w:line="360" w:lineRule="auto"/>
        <w:ind w:firstLine="3780" w:firstLineChars="1800"/>
        <w:rPr>
          <w:rFonts w:hint="default" w:ascii="Times New Roman" w:hAnsi="Times New Roman" w:cs="Times New Roman"/>
          <w:sz w:val="24"/>
          <w:szCs w:val="24"/>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47A0BE30">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5EE3B65D">
      <w:pPr>
        <w:spacing w:line="360" w:lineRule="auto"/>
        <w:ind w:firstLine="4320" w:firstLineChars="18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    期：</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14:paraId="40EDC1EE">
      <w:pPr>
        <w:rPr>
          <w:rFonts w:hint="default" w:ascii="Times New Roman" w:hAnsi="Times New Roman" w:cs="Times New Roman"/>
          <w:highlight w:val="none"/>
        </w:rPr>
      </w:pPr>
      <w:r>
        <w:rPr>
          <w:rFonts w:hint="default" w:ascii="Times New Roman" w:hAnsi="Times New Roman" w:cs="Times New Roman"/>
          <w:highlight w:val="none"/>
        </w:rPr>
        <w:br w:type="page"/>
      </w:r>
    </w:p>
    <w:p w14:paraId="5EFD4DB1">
      <w:pPr>
        <w:spacing w:line="360" w:lineRule="auto"/>
        <w:ind w:firstLine="643" w:firstLineChars="200"/>
        <w:jc w:val="center"/>
        <w:rPr>
          <w:rFonts w:hint="default" w:ascii="Times New Roman" w:hAnsi="Times New Roman" w:cs="Times New Roman"/>
          <w:b/>
          <w:sz w:val="36"/>
          <w:szCs w:val="36"/>
          <w:highlight w:val="none"/>
        </w:rPr>
      </w:pPr>
      <w:r>
        <w:rPr>
          <w:rFonts w:hint="default" w:ascii="Times New Roman" w:hAnsi="Times New Roman" w:cs="Times New Roman"/>
          <w:b/>
          <w:bCs/>
          <w:sz w:val="32"/>
          <w:szCs w:val="32"/>
          <w:highlight w:val="none"/>
          <w:lang w:val="en-US" w:eastAsia="zh-CN"/>
        </w:rPr>
        <w:t>七</w:t>
      </w:r>
      <w:r>
        <w:rPr>
          <w:rFonts w:hint="default" w:ascii="Times New Roman" w:hAnsi="Times New Roman" w:cs="Times New Roman"/>
          <w:b/>
          <w:bCs/>
          <w:sz w:val="32"/>
          <w:szCs w:val="32"/>
          <w:highlight w:val="none"/>
          <w:lang w:val="zh-CN"/>
        </w:rPr>
        <w:t>、近年业绩的有关证明材料</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1885"/>
        <w:gridCol w:w="2933"/>
        <w:gridCol w:w="1710"/>
        <w:gridCol w:w="1710"/>
      </w:tblGrid>
      <w:tr w14:paraId="7C129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1048" w:type="dxa"/>
            <w:vAlign w:val="center"/>
          </w:tcPr>
          <w:p w14:paraId="7C27B8CA">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序号</w:t>
            </w:r>
          </w:p>
        </w:tc>
        <w:tc>
          <w:tcPr>
            <w:tcW w:w="1885" w:type="dxa"/>
            <w:vAlign w:val="center"/>
          </w:tcPr>
          <w:p w14:paraId="356EECD9">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合同</w:t>
            </w:r>
          </w:p>
          <w:p w14:paraId="57B4C841">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签订时间</w:t>
            </w:r>
          </w:p>
        </w:tc>
        <w:tc>
          <w:tcPr>
            <w:tcW w:w="2933" w:type="dxa"/>
            <w:vAlign w:val="center"/>
          </w:tcPr>
          <w:p w14:paraId="330CEB80">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用户名称</w:t>
            </w:r>
          </w:p>
        </w:tc>
        <w:tc>
          <w:tcPr>
            <w:tcW w:w="1710" w:type="dxa"/>
            <w:vAlign w:val="center"/>
          </w:tcPr>
          <w:p w14:paraId="2F36917B">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项目名称</w:t>
            </w:r>
          </w:p>
        </w:tc>
        <w:tc>
          <w:tcPr>
            <w:tcW w:w="1710" w:type="dxa"/>
            <w:vAlign w:val="center"/>
          </w:tcPr>
          <w:p w14:paraId="3908600B">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合同</w:t>
            </w:r>
          </w:p>
          <w:p w14:paraId="5FF171FC">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金额</w:t>
            </w:r>
          </w:p>
        </w:tc>
      </w:tr>
      <w:tr w14:paraId="7371CB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11F07E44">
            <w:pPr>
              <w:rPr>
                <w:rFonts w:hint="default" w:ascii="Times New Roman" w:hAnsi="Times New Roman" w:cs="Times New Roman"/>
                <w:sz w:val="24"/>
                <w:szCs w:val="24"/>
                <w:highlight w:val="none"/>
              </w:rPr>
            </w:pPr>
          </w:p>
        </w:tc>
        <w:tc>
          <w:tcPr>
            <w:tcW w:w="1885" w:type="dxa"/>
          </w:tcPr>
          <w:p w14:paraId="67E4BEF3">
            <w:pPr>
              <w:rPr>
                <w:rFonts w:hint="default" w:ascii="Times New Roman" w:hAnsi="Times New Roman" w:cs="Times New Roman"/>
                <w:sz w:val="24"/>
                <w:szCs w:val="24"/>
                <w:highlight w:val="none"/>
              </w:rPr>
            </w:pPr>
          </w:p>
        </w:tc>
        <w:tc>
          <w:tcPr>
            <w:tcW w:w="2933" w:type="dxa"/>
          </w:tcPr>
          <w:p w14:paraId="5204198D">
            <w:pPr>
              <w:rPr>
                <w:rFonts w:hint="default" w:ascii="Times New Roman" w:hAnsi="Times New Roman" w:cs="Times New Roman"/>
                <w:sz w:val="24"/>
                <w:szCs w:val="24"/>
                <w:highlight w:val="none"/>
              </w:rPr>
            </w:pPr>
          </w:p>
        </w:tc>
        <w:tc>
          <w:tcPr>
            <w:tcW w:w="1710" w:type="dxa"/>
          </w:tcPr>
          <w:p w14:paraId="2D318F1A">
            <w:pPr>
              <w:rPr>
                <w:rFonts w:hint="default" w:ascii="Times New Roman" w:hAnsi="Times New Roman" w:cs="Times New Roman"/>
                <w:sz w:val="24"/>
                <w:szCs w:val="24"/>
                <w:highlight w:val="none"/>
              </w:rPr>
            </w:pPr>
          </w:p>
        </w:tc>
        <w:tc>
          <w:tcPr>
            <w:tcW w:w="1710" w:type="dxa"/>
          </w:tcPr>
          <w:p w14:paraId="1A2DF4AA">
            <w:pPr>
              <w:rPr>
                <w:rFonts w:hint="default" w:ascii="Times New Roman" w:hAnsi="Times New Roman" w:cs="Times New Roman"/>
                <w:sz w:val="24"/>
                <w:szCs w:val="24"/>
                <w:highlight w:val="none"/>
              </w:rPr>
            </w:pPr>
          </w:p>
        </w:tc>
      </w:tr>
      <w:tr w14:paraId="7C4EC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472D4628">
            <w:pPr>
              <w:rPr>
                <w:rFonts w:hint="default" w:ascii="Times New Roman" w:hAnsi="Times New Roman" w:cs="Times New Roman"/>
                <w:sz w:val="24"/>
                <w:szCs w:val="24"/>
                <w:highlight w:val="none"/>
              </w:rPr>
            </w:pPr>
          </w:p>
        </w:tc>
        <w:tc>
          <w:tcPr>
            <w:tcW w:w="1885" w:type="dxa"/>
          </w:tcPr>
          <w:p w14:paraId="626A3915">
            <w:pPr>
              <w:rPr>
                <w:rFonts w:hint="default" w:ascii="Times New Roman" w:hAnsi="Times New Roman" w:cs="Times New Roman"/>
                <w:sz w:val="24"/>
                <w:szCs w:val="24"/>
                <w:highlight w:val="none"/>
              </w:rPr>
            </w:pPr>
          </w:p>
        </w:tc>
        <w:tc>
          <w:tcPr>
            <w:tcW w:w="2933" w:type="dxa"/>
          </w:tcPr>
          <w:p w14:paraId="34A3AF2D">
            <w:pPr>
              <w:rPr>
                <w:rFonts w:hint="default" w:ascii="Times New Roman" w:hAnsi="Times New Roman" w:cs="Times New Roman"/>
                <w:sz w:val="24"/>
                <w:szCs w:val="24"/>
                <w:highlight w:val="none"/>
              </w:rPr>
            </w:pPr>
          </w:p>
        </w:tc>
        <w:tc>
          <w:tcPr>
            <w:tcW w:w="1710" w:type="dxa"/>
          </w:tcPr>
          <w:p w14:paraId="453CCF8F">
            <w:pPr>
              <w:rPr>
                <w:rFonts w:hint="default" w:ascii="Times New Roman" w:hAnsi="Times New Roman" w:cs="Times New Roman"/>
                <w:sz w:val="24"/>
                <w:szCs w:val="24"/>
                <w:highlight w:val="none"/>
              </w:rPr>
            </w:pPr>
          </w:p>
        </w:tc>
        <w:tc>
          <w:tcPr>
            <w:tcW w:w="1710" w:type="dxa"/>
          </w:tcPr>
          <w:p w14:paraId="5CE8D86D">
            <w:pPr>
              <w:rPr>
                <w:rFonts w:hint="default" w:ascii="Times New Roman" w:hAnsi="Times New Roman" w:cs="Times New Roman"/>
                <w:sz w:val="24"/>
                <w:szCs w:val="24"/>
                <w:highlight w:val="none"/>
              </w:rPr>
            </w:pPr>
          </w:p>
        </w:tc>
      </w:tr>
      <w:tr w14:paraId="0108D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6A6EE01F">
            <w:pPr>
              <w:rPr>
                <w:rFonts w:hint="default" w:ascii="Times New Roman" w:hAnsi="Times New Roman" w:cs="Times New Roman"/>
                <w:sz w:val="24"/>
                <w:szCs w:val="24"/>
                <w:highlight w:val="none"/>
              </w:rPr>
            </w:pPr>
          </w:p>
        </w:tc>
        <w:tc>
          <w:tcPr>
            <w:tcW w:w="1885" w:type="dxa"/>
          </w:tcPr>
          <w:p w14:paraId="390616C7">
            <w:pPr>
              <w:rPr>
                <w:rFonts w:hint="default" w:ascii="Times New Roman" w:hAnsi="Times New Roman" w:cs="Times New Roman"/>
                <w:sz w:val="24"/>
                <w:szCs w:val="24"/>
                <w:highlight w:val="none"/>
              </w:rPr>
            </w:pPr>
          </w:p>
        </w:tc>
        <w:tc>
          <w:tcPr>
            <w:tcW w:w="2933" w:type="dxa"/>
          </w:tcPr>
          <w:p w14:paraId="3B8FB445">
            <w:pPr>
              <w:rPr>
                <w:rFonts w:hint="default" w:ascii="Times New Roman" w:hAnsi="Times New Roman" w:cs="Times New Roman"/>
                <w:sz w:val="24"/>
                <w:szCs w:val="24"/>
                <w:highlight w:val="none"/>
              </w:rPr>
            </w:pPr>
          </w:p>
        </w:tc>
        <w:tc>
          <w:tcPr>
            <w:tcW w:w="1710" w:type="dxa"/>
          </w:tcPr>
          <w:p w14:paraId="04EFE117">
            <w:pPr>
              <w:rPr>
                <w:rFonts w:hint="default" w:ascii="Times New Roman" w:hAnsi="Times New Roman" w:cs="Times New Roman"/>
                <w:sz w:val="24"/>
                <w:szCs w:val="24"/>
                <w:highlight w:val="none"/>
              </w:rPr>
            </w:pPr>
          </w:p>
        </w:tc>
        <w:tc>
          <w:tcPr>
            <w:tcW w:w="1710" w:type="dxa"/>
          </w:tcPr>
          <w:p w14:paraId="74A012D1">
            <w:pPr>
              <w:rPr>
                <w:rFonts w:hint="default" w:ascii="Times New Roman" w:hAnsi="Times New Roman" w:cs="Times New Roman"/>
                <w:sz w:val="24"/>
                <w:szCs w:val="24"/>
                <w:highlight w:val="none"/>
              </w:rPr>
            </w:pPr>
          </w:p>
        </w:tc>
      </w:tr>
      <w:tr w14:paraId="15E04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21BCE62A">
            <w:pPr>
              <w:rPr>
                <w:rFonts w:hint="default" w:ascii="Times New Roman" w:hAnsi="Times New Roman" w:cs="Times New Roman"/>
                <w:sz w:val="24"/>
                <w:szCs w:val="24"/>
                <w:highlight w:val="none"/>
              </w:rPr>
            </w:pPr>
          </w:p>
        </w:tc>
        <w:tc>
          <w:tcPr>
            <w:tcW w:w="1885" w:type="dxa"/>
          </w:tcPr>
          <w:p w14:paraId="77B0B894">
            <w:pPr>
              <w:rPr>
                <w:rFonts w:hint="default" w:ascii="Times New Roman" w:hAnsi="Times New Roman" w:cs="Times New Roman"/>
                <w:sz w:val="24"/>
                <w:szCs w:val="24"/>
                <w:highlight w:val="none"/>
              </w:rPr>
            </w:pPr>
          </w:p>
        </w:tc>
        <w:tc>
          <w:tcPr>
            <w:tcW w:w="2933" w:type="dxa"/>
          </w:tcPr>
          <w:p w14:paraId="4E79032C">
            <w:pPr>
              <w:rPr>
                <w:rFonts w:hint="default" w:ascii="Times New Roman" w:hAnsi="Times New Roman" w:cs="Times New Roman"/>
                <w:sz w:val="24"/>
                <w:szCs w:val="24"/>
                <w:highlight w:val="none"/>
              </w:rPr>
            </w:pPr>
          </w:p>
        </w:tc>
        <w:tc>
          <w:tcPr>
            <w:tcW w:w="1710" w:type="dxa"/>
          </w:tcPr>
          <w:p w14:paraId="5A43F6D3">
            <w:pPr>
              <w:rPr>
                <w:rFonts w:hint="default" w:ascii="Times New Roman" w:hAnsi="Times New Roman" w:cs="Times New Roman"/>
                <w:sz w:val="24"/>
                <w:szCs w:val="24"/>
                <w:highlight w:val="none"/>
              </w:rPr>
            </w:pPr>
          </w:p>
        </w:tc>
        <w:tc>
          <w:tcPr>
            <w:tcW w:w="1710" w:type="dxa"/>
          </w:tcPr>
          <w:p w14:paraId="707F83E0">
            <w:pPr>
              <w:rPr>
                <w:rFonts w:hint="default" w:ascii="Times New Roman" w:hAnsi="Times New Roman" w:cs="Times New Roman"/>
                <w:sz w:val="24"/>
                <w:szCs w:val="24"/>
                <w:highlight w:val="none"/>
              </w:rPr>
            </w:pPr>
          </w:p>
        </w:tc>
      </w:tr>
      <w:tr w14:paraId="18A82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290855B6">
            <w:pPr>
              <w:rPr>
                <w:rFonts w:hint="default" w:ascii="Times New Roman" w:hAnsi="Times New Roman" w:cs="Times New Roman"/>
                <w:sz w:val="24"/>
                <w:szCs w:val="24"/>
                <w:highlight w:val="none"/>
              </w:rPr>
            </w:pPr>
          </w:p>
        </w:tc>
        <w:tc>
          <w:tcPr>
            <w:tcW w:w="1885" w:type="dxa"/>
          </w:tcPr>
          <w:p w14:paraId="795B48E6">
            <w:pPr>
              <w:rPr>
                <w:rFonts w:hint="default" w:ascii="Times New Roman" w:hAnsi="Times New Roman" w:cs="Times New Roman"/>
                <w:sz w:val="24"/>
                <w:szCs w:val="24"/>
                <w:highlight w:val="none"/>
              </w:rPr>
            </w:pPr>
          </w:p>
        </w:tc>
        <w:tc>
          <w:tcPr>
            <w:tcW w:w="2933" w:type="dxa"/>
          </w:tcPr>
          <w:p w14:paraId="2D66D513">
            <w:pPr>
              <w:rPr>
                <w:rFonts w:hint="default" w:ascii="Times New Roman" w:hAnsi="Times New Roman" w:cs="Times New Roman"/>
                <w:sz w:val="24"/>
                <w:szCs w:val="24"/>
                <w:highlight w:val="none"/>
              </w:rPr>
            </w:pPr>
          </w:p>
        </w:tc>
        <w:tc>
          <w:tcPr>
            <w:tcW w:w="1710" w:type="dxa"/>
          </w:tcPr>
          <w:p w14:paraId="4F76DFB5">
            <w:pPr>
              <w:rPr>
                <w:rFonts w:hint="default" w:ascii="Times New Roman" w:hAnsi="Times New Roman" w:cs="Times New Roman"/>
                <w:sz w:val="24"/>
                <w:szCs w:val="24"/>
                <w:highlight w:val="none"/>
              </w:rPr>
            </w:pPr>
          </w:p>
        </w:tc>
        <w:tc>
          <w:tcPr>
            <w:tcW w:w="1710" w:type="dxa"/>
          </w:tcPr>
          <w:p w14:paraId="2EF8A512">
            <w:pPr>
              <w:rPr>
                <w:rFonts w:hint="default" w:ascii="Times New Roman" w:hAnsi="Times New Roman" w:cs="Times New Roman"/>
                <w:sz w:val="24"/>
                <w:szCs w:val="24"/>
                <w:highlight w:val="none"/>
              </w:rPr>
            </w:pPr>
          </w:p>
        </w:tc>
      </w:tr>
      <w:tr w14:paraId="74F5C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0AAF7609">
            <w:pPr>
              <w:rPr>
                <w:rFonts w:hint="default" w:ascii="Times New Roman" w:hAnsi="Times New Roman" w:cs="Times New Roman"/>
                <w:sz w:val="24"/>
                <w:szCs w:val="24"/>
                <w:highlight w:val="none"/>
              </w:rPr>
            </w:pPr>
          </w:p>
        </w:tc>
        <w:tc>
          <w:tcPr>
            <w:tcW w:w="1885" w:type="dxa"/>
          </w:tcPr>
          <w:p w14:paraId="2C73577B">
            <w:pPr>
              <w:rPr>
                <w:rFonts w:hint="default" w:ascii="Times New Roman" w:hAnsi="Times New Roman" w:cs="Times New Roman"/>
                <w:sz w:val="24"/>
                <w:szCs w:val="24"/>
                <w:highlight w:val="none"/>
              </w:rPr>
            </w:pPr>
          </w:p>
        </w:tc>
        <w:tc>
          <w:tcPr>
            <w:tcW w:w="2933" w:type="dxa"/>
          </w:tcPr>
          <w:p w14:paraId="5001951C">
            <w:pPr>
              <w:rPr>
                <w:rFonts w:hint="default" w:ascii="Times New Roman" w:hAnsi="Times New Roman" w:cs="Times New Roman"/>
                <w:sz w:val="24"/>
                <w:szCs w:val="24"/>
                <w:highlight w:val="none"/>
              </w:rPr>
            </w:pPr>
          </w:p>
        </w:tc>
        <w:tc>
          <w:tcPr>
            <w:tcW w:w="1710" w:type="dxa"/>
          </w:tcPr>
          <w:p w14:paraId="266021E7">
            <w:pPr>
              <w:rPr>
                <w:rFonts w:hint="default" w:ascii="Times New Roman" w:hAnsi="Times New Roman" w:cs="Times New Roman"/>
                <w:sz w:val="24"/>
                <w:szCs w:val="24"/>
                <w:highlight w:val="none"/>
              </w:rPr>
            </w:pPr>
          </w:p>
        </w:tc>
        <w:tc>
          <w:tcPr>
            <w:tcW w:w="1710" w:type="dxa"/>
          </w:tcPr>
          <w:p w14:paraId="0394CDA9">
            <w:pPr>
              <w:rPr>
                <w:rFonts w:hint="default" w:ascii="Times New Roman" w:hAnsi="Times New Roman" w:cs="Times New Roman"/>
                <w:sz w:val="24"/>
                <w:szCs w:val="24"/>
                <w:highlight w:val="none"/>
              </w:rPr>
            </w:pPr>
          </w:p>
        </w:tc>
      </w:tr>
      <w:tr w14:paraId="0C6F6A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66D3FE28">
            <w:pPr>
              <w:rPr>
                <w:rFonts w:hint="default" w:ascii="Times New Roman" w:hAnsi="Times New Roman" w:cs="Times New Roman"/>
                <w:sz w:val="24"/>
                <w:szCs w:val="24"/>
                <w:highlight w:val="none"/>
              </w:rPr>
            </w:pPr>
          </w:p>
        </w:tc>
        <w:tc>
          <w:tcPr>
            <w:tcW w:w="1885" w:type="dxa"/>
          </w:tcPr>
          <w:p w14:paraId="6906A872">
            <w:pPr>
              <w:rPr>
                <w:rFonts w:hint="default" w:ascii="Times New Roman" w:hAnsi="Times New Roman" w:cs="Times New Roman"/>
                <w:sz w:val="24"/>
                <w:szCs w:val="24"/>
                <w:highlight w:val="none"/>
              </w:rPr>
            </w:pPr>
          </w:p>
        </w:tc>
        <w:tc>
          <w:tcPr>
            <w:tcW w:w="2933" w:type="dxa"/>
          </w:tcPr>
          <w:p w14:paraId="1A609B78">
            <w:pPr>
              <w:rPr>
                <w:rFonts w:hint="default" w:ascii="Times New Roman" w:hAnsi="Times New Roman" w:cs="Times New Roman"/>
                <w:sz w:val="24"/>
                <w:szCs w:val="24"/>
                <w:highlight w:val="none"/>
              </w:rPr>
            </w:pPr>
          </w:p>
        </w:tc>
        <w:tc>
          <w:tcPr>
            <w:tcW w:w="1710" w:type="dxa"/>
          </w:tcPr>
          <w:p w14:paraId="104D38C5">
            <w:pPr>
              <w:rPr>
                <w:rFonts w:hint="default" w:ascii="Times New Roman" w:hAnsi="Times New Roman" w:cs="Times New Roman"/>
                <w:sz w:val="24"/>
                <w:szCs w:val="24"/>
                <w:highlight w:val="none"/>
              </w:rPr>
            </w:pPr>
          </w:p>
        </w:tc>
        <w:tc>
          <w:tcPr>
            <w:tcW w:w="1710" w:type="dxa"/>
          </w:tcPr>
          <w:p w14:paraId="6ACBCEED">
            <w:pPr>
              <w:rPr>
                <w:rFonts w:hint="default" w:ascii="Times New Roman" w:hAnsi="Times New Roman" w:cs="Times New Roman"/>
                <w:sz w:val="24"/>
                <w:szCs w:val="24"/>
                <w:highlight w:val="none"/>
              </w:rPr>
            </w:pPr>
          </w:p>
        </w:tc>
      </w:tr>
      <w:tr w14:paraId="4A3BF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048" w:type="dxa"/>
          </w:tcPr>
          <w:p w14:paraId="6FB757B9">
            <w:pPr>
              <w:rPr>
                <w:rFonts w:hint="default" w:ascii="Times New Roman" w:hAnsi="Times New Roman" w:cs="Times New Roman"/>
                <w:sz w:val="24"/>
                <w:szCs w:val="24"/>
                <w:highlight w:val="none"/>
              </w:rPr>
            </w:pPr>
          </w:p>
        </w:tc>
        <w:tc>
          <w:tcPr>
            <w:tcW w:w="1885" w:type="dxa"/>
          </w:tcPr>
          <w:p w14:paraId="5B641DFD">
            <w:pPr>
              <w:rPr>
                <w:rFonts w:hint="default" w:ascii="Times New Roman" w:hAnsi="Times New Roman" w:cs="Times New Roman"/>
                <w:sz w:val="24"/>
                <w:szCs w:val="24"/>
                <w:highlight w:val="none"/>
              </w:rPr>
            </w:pPr>
          </w:p>
        </w:tc>
        <w:tc>
          <w:tcPr>
            <w:tcW w:w="2933" w:type="dxa"/>
          </w:tcPr>
          <w:p w14:paraId="0F6BC6B6">
            <w:pPr>
              <w:rPr>
                <w:rFonts w:hint="default" w:ascii="Times New Roman" w:hAnsi="Times New Roman" w:cs="Times New Roman"/>
                <w:sz w:val="24"/>
                <w:szCs w:val="24"/>
                <w:highlight w:val="none"/>
              </w:rPr>
            </w:pPr>
          </w:p>
        </w:tc>
        <w:tc>
          <w:tcPr>
            <w:tcW w:w="1710" w:type="dxa"/>
          </w:tcPr>
          <w:p w14:paraId="11FF7E9B">
            <w:pPr>
              <w:rPr>
                <w:rFonts w:hint="default" w:ascii="Times New Roman" w:hAnsi="Times New Roman" w:cs="Times New Roman"/>
                <w:sz w:val="24"/>
                <w:szCs w:val="24"/>
                <w:highlight w:val="none"/>
              </w:rPr>
            </w:pPr>
          </w:p>
        </w:tc>
        <w:tc>
          <w:tcPr>
            <w:tcW w:w="1710" w:type="dxa"/>
          </w:tcPr>
          <w:p w14:paraId="4BF23B32">
            <w:pPr>
              <w:rPr>
                <w:rFonts w:hint="default" w:ascii="Times New Roman" w:hAnsi="Times New Roman" w:cs="Times New Roman"/>
                <w:sz w:val="24"/>
                <w:szCs w:val="24"/>
                <w:highlight w:val="none"/>
              </w:rPr>
            </w:pPr>
          </w:p>
        </w:tc>
      </w:tr>
    </w:tbl>
    <w:p w14:paraId="3CC828CE">
      <w:pPr>
        <w:pStyle w:val="11"/>
        <w:spacing w:after="0" w:line="360" w:lineRule="auto"/>
        <w:ind w:left="0" w:leftChars="0"/>
        <w:rPr>
          <w:rFonts w:hint="default" w:ascii="Times New Roman" w:hAnsi="Times New Roman" w:cs="Times New Roman"/>
          <w:sz w:val="24"/>
          <w:highlight w:val="none"/>
        </w:rPr>
      </w:pPr>
    </w:p>
    <w:p w14:paraId="45F6628D">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说明：</w:t>
      </w:r>
    </w:p>
    <w:p w14:paraId="3208EAD3">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1.本表后附</w:t>
      </w:r>
      <w:r>
        <w:rPr>
          <w:rFonts w:hint="default" w:ascii="Times New Roman" w:hAnsi="Times New Roman" w:cs="Times New Roman"/>
          <w:sz w:val="24"/>
          <w:szCs w:val="24"/>
          <w:highlight w:val="none"/>
          <w:lang w:val="en-US" w:eastAsia="zh-CN"/>
        </w:rPr>
        <w:t>业绩中标通知书或</w:t>
      </w:r>
      <w:r>
        <w:rPr>
          <w:rFonts w:hint="default" w:ascii="Times New Roman" w:hAnsi="Times New Roman" w:cs="Times New Roman"/>
          <w:sz w:val="24"/>
          <w:szCs w:val="24"/>
          <w:highlight w:val="none"/>
          <w:lang w:val="zh-CN"/>
        </w:rPr>
        <w:t>合同复印件加盖公章，</w:t>
      </w:r>
      <w:r>
        <w:rPr>
          <w:rFonts w:hint="default" w:ascii="Times New Roman" w:hAnsi="Times New Roman" w:cs="Times New Roman"/>
          <w:sz w:val="24"/>
          <w:szCs w:val="24"/>
          <w:highlight w:val="none"/>
          <w:lang w:val="en-US" w:eastAsia="zh-CN"/>
        </w:rPr>
        <w:t>业绩</w:t>
      </w:r>
      <w:r>
        <w:rPr>
          <w:rFonts w:hint="default" w:ascii="Times New Roman" w:hAnsi="Times New Roman" w:cs="Times New Roman"/>
          <w:sz w:val="24"/>
          <w:szCs w:val="24"/>
          <w:highlight w:val="none"/>
          <w:lang w:val="zh-CN"/>
        </w:rPr>
        <w:t>金额及签订时间以</w:t>
      </w:r>
      <w:r>
        <w:rPr>
          <w:rFonts w:hint="default" w:ascii="Times New Roman" w:hAnsi="Times New Roman" w:cs="Times New Roman"/>
          <w:sz w:val="24"/>
          <w:szCs w:val="24"/>
          <w:highlight w:val="none"/>
          <w:lang w:val="en-US" w:eastAsia="zh-CN"/>
        </w:rPr>
        <w:t>中标通知书或</w:t>
      </w:r>
      <w:r>
        <w:rPr>
          <w:rFonts w:hint="default" w:ascii="Times New Roman" w:hAnsi="Times New Roman" w:cs="Times New Roman"/>
          <w:sz w:val="24"/>
          <w:szCs w:val="24"/>
          <w:highlight w:val="none"/>
          <w:lang w:val="zh-CN"/>
        </w:rPr>
        <w:t>合同中体现的内容为准。</w:t>
      </w:r>
    </w:p>
    <w:p w14:paraId="1F38506B">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2.供应商应如实列出以上情况，如有隐瞒，一经查实将导致其磋商响应文件被拒绝。</w:t>
      </w:r>
    </w:p>
    <w:p w14:paraId="08210916">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3.未按上述要求提供、填写的，评审时不予以考虑。</w:t>
      </w:r>
    </w:p>
    <w:p w14:paraId="1B02944D">
      <w:pPr>
        <w:pStyle w:val="29"/>
        <w:ind w:firstLine="0" w:firstLineChars="0"/>
        <w:rPr>
          <w:rFonts w:hint="default" w:ascii="Times New Roman" w:hAnsi="Times New Roman" w:cs="Times New Roman"/>
          <w:highlight w:val="none"/>
        </w:rPr>
      </w:pPr>
    </w:p>
    <w:p w14:paraId="2F1E3624">
      <w:pPr>
        <w:pStyle w:val="29"/>
        <w:ind w:firstLine="0" w:firstLineChars="0"/>
        <w:rPr>
          <w:rFonts w:hint="default" w:ascii="Times New Roman" w:hAnsi="Times New Roman" w:cs="Times New Roman"/>
          <w:highlight w:val="none"/>
        </w:rPr>
      </w:pPr>
    </w:p>
    <w:p w14:paraId="660FD792">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71212C79">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3EB12107">
      <w:pPr>
        <w:pStyle w:val="37"/>
        <w:ind w:left="0" w:leftChars="0" w:firstLine="2520" w:firstLineChars="1050"/>
        <w:rPr>
          <w:rFonts w:hint="default" w:ascii="Times New Roman" w:hAnsi="Times New Roman" w:eastAsia="仿宋_GB2312" w:cs="Times New Roman"/>
          <w:sz w:val="32"/>
          <w:highlight w:val="none"/>
          <w:u w:val="single"/>
        </w:rPr>
      </w:pPr>
      <w:r>
        <w:rPr>
          <w:rFonts w:hint="default" w:ascii="Times New Roman" w:hAnsi="Times New Roman" w:cs="Times New Roman"/>
          <w:highlight w:val="none"/>
        </w:rPr>
        <w:t>日    期：</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14:paraId="14DBB5B4">
      <w:pPr>
        <w:spacing w:line="360" w:lineRule="auto"/>
        <w:jc w:val="center"/>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rPr>
        <w:br w:type="page"/>
      </w:r>
      <w:r>
        <w:rPr>
          <w:rFonts w:hint="default" w:ascii="Times New Roman" w:hAnsi="Times New Roman" w:cs="Times New Roman"/>
          <w:b/>
          <w:bCs/>
          <w:sz w:val="32"/>
          <w:szCs w:val="32"/>
          <w:highlight w:val="none"/>
          <w:lang w:val="en-US" w:eastAsia="zh-CN"/>
        </w:rPr>
        <w:t>八</w:t>
      </w:r>
      <w:r>
        <w:rPr>
          <w:rFonts w:hint="default" w:ascii="Times New Roman" w:hAnsi="Times New Roman" w:cs="Times New Roman"/>
          <w:b/>
          <w:bCs/>
          <w:sz w:val="32"/>
          <w:szCs w:val="32"/>
          <w:highlight w:val="none"/>
          <w:lang w:val="zh-CN"/>
        </w:rPr>
        <w:t>、供应商承诺书</w:t>
      </w:r>
    </w:p>
    <w:p w14:paraId="4764A159">
      <w:pPr>
        <w:adjustRightInd w:val="0"/>
        <w:snapToGrid w:val="0"/>
        <w:spacing w:line="360" w:lineRule="auto"/>
        <w:jc w:val="center"/>
        <w:rPr>
          <w:rFonts w:hint="default" w:ascii="Times New Roman" w:hAnsi="Times New Roman" w:cs="Times New Roman"/>
          <w:b/>
          <w:bCs/>
          <w:sz w:val="44"/>
          <w:szCs w:val="44"/>
          <w:highlight w:val="none"/>
        </w:rPr>
      </w:pPr>
      <w:r>
        <w:rPr>
          <w:rFonts w:hint="default" w:ascii="Times New Roman" w:hAnsi="Times New Roman" w:cs="Times New Roman"/>
          <w:b/>
          <w:bCs/>
          <w:sz w:val="30"/>
          <w:szCs w:val="30"/>
          <w:highlight w:val="none"/>
          <w:lang w:val="zh-CN"/>
        </w:rPr>
        <w:t>拒绝政府采购领域商业贿赂承诺书</w:t>
      </w:r>
    </w:p>
    <w:p w14:paraId="24DE9EEE">
      <w:pPr>
        <w:keepNext/>
        <w:spacing w:line="360" w:lineRule="auto"/>
        <w:ind w:firstLine="480" w:firstLineChars="200"/>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为响应党中央、国务院关于治理政府采购领域商业贿赂行为的号召，我公司在此庄严承诺：</w:t>
      </w:r>
    </w:p>
    <w:p w14:paraId="10CF183F">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一、在参与政府采购活动中遵纪守法、诚信经营、公平竞标。</w:t>
      </w:r>
    </w:p>
    <w:p w14:paraId="72F9D051">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二、不向政府采购人、采购代理机构和政府采购评审专家进行任何形式的商业贿赂以谋取交易机会。</w:t>
      </w:r>
    </w:p>
    <w:p w14:paraId="3656F69E">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三、不向政府采购代理机构和采购人提供虚假资质证明文件或采用虚假应标方式参与政府采购市场竞争并谋取中标、成交。</w:t>
      </w:r>
    </w:p>
    <w:p w14:paraId="60B66CFE">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四、不采取“围标、陪标”等商业欺诈手段获得政府采购订单。</w:t>
      </w:r>
    </w:p>
    <w:p w14:paraId="471AA34E">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五、不采取不正当手段诋毁、排挤其他供应商。</w:t>
      </w:r>
    </w:p>
    <w:p w14:paraId="0A7A5187">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六、不在提供货物和服务时“偷梁换柱、以次充好”损害采购人的合法权益。</w:t>
      </w:r>
    </w:p>
    <w:p w14:paraId="51C2EFB7">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七、不与采购人、采购代理机构、政府采购评审专家或其它供应商恶意串通，进行质疑和投诉，维护政府采购市场秩序。</w:t>
      </w:r>
    </w:p>
    <w:p w14:paraId="69BD1BC8">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八、尊重和接受政府采购监督管理部门的监督和政府采购代理机构招标采购要求，承担因违约行为给采购人造成的损失。</w:t>
      </w:r>
    </w:p>
    <w:p w14:paraId="01BB35FB">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zh-CN"/>
        </w:rPr>
      </w:pPr>
      <w:r>
        <w:rPr>
          <w:rFonts w:hint="default" w:ascii="Times New Roman" w:hAnsi="Times New Roman" w:cs="Times New Roman"/>
          <w:sz w:val="24"/>
          <w:szCs w:val="24"/>
          <w:highlight w:val="none"/>
          <w:lang w:val="zh-CN"/>
        </w:rPr>
        <w:t>九、不发生其他有悖于政府采购公开、公平、公正和诚信原则的行为。</w:t>
      </w:r>
    </w:p>
    <w:p w14:paraId="2AE7AE4A">
      <w:pPr>
        <w:keepNext/>
        <w:spacing w:line="360" w:lineRule="auto"/>
        <w:ind w:firstLine="480" w:firstLineChars="200"/>
        <w:rPr>
          <w:rFonts w:hint="default" w:ascii="Times New Roman" w:hAnsi="Times New Roman" w:cs="Times New Roman"/>
          <w:sz w:val="24"/>
          <w:szCs w:val="24"/>
          <w:highlight w:val="none"/>
          <w:lang w:val="zh-CN"/>
        </w:rPr>
      </w:pPr>
    </w:p>
    <w:p w14:paraId="64C6B098">
      <w:pPr>
        <w:keepNext/>
        <w:spacing w:line="360" w:lineRule="auto"/>
        <w:ind w:firstLine="480" w:firstLineChars="200"/>
        <w:rPr>
          <w:rFonts w:hint="default" w:ascii="Times New Roman" w:hAnsi="Times New Roman" w:cs="Times New Roman"/>
          <w:sz w:val="24"/>
          <w:szCs w:val="24"/>
          <w:highlight w:val="none"/>
          <w:lang w:val="zh-CN"/>
        </w:rPr>
      </w:pPr>
    </w:p>
    <w:p w14:paraId="76AE9095">
      <w:pPr>
        <w:keepNext/>
        <w:spacing w:line="360" w:lineRule="auto"/>
        <w:ind w:firstLine="480" w:firstLineChars="200"/>
        <w:rPr>
          <w:rFonts w:hint="default" w:ascii="Times New Roman" w:hAnsi="Times New Roman" w:cs="Times New Roman"/>
          <w:sz w:val="24"/>
          <w:szCs w:val="24"/>
          <w:highlight w:val="none"/>
          <w:lang w:val="zh-CN"/>
        </w:rPr>
      </w:pPr>
    </w:p>
    <w:p w14:paraId="1EB5ED08">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（公章）</w:t>
      </w:r>
    </w:p>
    <w:p w14:paraId="68DFEA90">
      <w:pPr>
        <w:spacing w:line="360" w:lineRule="auto"/>
        <w:ind w:left="0" w:leftChars="0" w:firstLine="2520" w:firstLineChars="10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法定代表人或授权代表：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（签字）</w:t>
      </w:r>
    </w:p>
    <w:p w14:paraId="2BF28186">
      <w:pPr>
        <w:pStyle w:val="37"/>
        <w:ind w:left="0" w:leftChars="0" w:firstLine="2520" w:firstLineChars="1050"/>
        <w:rPr>
          <w:rFonts w:hint="default" w:ascii="Times New Roman" w:hAnsi="Times New Roman" w:eastAsia="仿宋_GB2312" w:cs="Times New Roman"/>
          <w:sz w:val="32"/>
          <w:highlight w:val="none"/>
          <w:u w:val="single"/>
        </w:rPr>
      </w:pPr>
      <w:r>
        <w:rPr>
          <w:rFonts w:hint="default" w:ascii="Times New Roman" w:hAnsi="Times New Roman" w:cs="Times New Roman"/>
          <w:highlight w:val="none"/>
        </w:rPr>
        <w:t>日    期：</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14:paraId="536E9B99">
      <w:pPr>
        <w:keepNext/>
        <w:spacing w:line="360" w:lineRule="auto"/>
        <w:ind w:firstLine="480" w:firstLineChars="200"/>
        <w:rPr>
          <w:rFonts w:hint="default" w:ascii="Times New Roman" w:hAnsi="Times New Roman" w:cs="Times New Roman"/>
          <w:sz w:val="28"/>
          <w:szCs w:val="28"/>
          <w:highlight w:val="none"/>
          <w:lang w:val="zh-CN"/>
        </w:rPr>
      </w:pPr>
      <w:r>
        <w:rPr>
          <w:rFonts w:hint="default" w:ascii="Times New Roman" w:hAnsi="Times New Roman" w:cs="Times New Roman"/>
          <w:sz w:val="24"/>
          <w:szCs w:val="24"/>
          <w:highlight w:val="none"/>
          <w:lang w:val="zh-CN"/>
        </w:rPr>
        <w:t xml:space="preserve">                </w:t>
      </w:r>
      <w:r>
        <w:rPr>
          <w:rFonts w:hint="default" w:ascii="Times New Roman" w:hAnsi="Times New Roman" w:cs="Times New Roman"/>
          <w:sz w:val="28"/>
          <w:szCs w:val="28"/>
          <w:highlight w:val="none"/>
          <w:lang w:val="zh-CN"/>
        </w:rPr>
        <w:t xml:space="preserve">                 </w:t>
      </w:r>
    </w:p>
    <w:p w14:paraId="4C5D04FB">
      <w:pPr>
        <w:keepNext/>
        <w:spacing w:line="360" w:lineRule="auto"/>
        <w:jc w:val="center"/>
        <w:rPr>
          <w:rFonts w:hint="default" w:ascii="Times New Roman" w:hAnsi="Times New Roman" w:cs="Times New Roman"/>
          <w:b/>
          <w:bCs/>
          <w:sz w:val="32"/>
          <w:szCs w:val="32"/>
          <w:highlight w:val="none"/>
          <w:lang w:val="zh-CN"/>
        </w:rPr>
      </w:pPr>
      <w:r>
        <w:rPr>
          <w:rFonts w:hint="default" w:ascii="Times New Roman" w:hAnsi="Times New Roman" w:cs="Times New Roman"/>
          <w:sz w:val="24"/>
          <w:szCs w:val="24"/>
          <w:highlight w:val="none"/>
        </w:rPr>
        <w:br w:type="page"/>
      </w:r>
      <w:r>
        <w:rPr>
          <w:rFonts w:hint="default" w:ascii="Times New Roman" w:hAnsi="Times New Roman" w:cs="Times New Roman"/>
          <w:b/>
          <w:bCs/>
          <w:sz w:val="32"/>
          <w:szCs w:val="32"/>
          <w:highlight w:val="none"/>
          <w:lang w:val="en-US" w:eastAsia="zh-CN"/>
        </w:rPr>
        <w:t>九</w:t>
      </w:r>
      <w:r>
        <w:rPr>
          <w:rFonts w:hint="default" w:ascii="Times New Roman" w:hAnsi="Times New Roman" w:cs="Times New Roman"/>
          <w:b/>
          <w:bCs/>
          <w:sz w:val="32"/>
          <w:szCs w:val="32"/>
          <w:highlight w:val="none"/>
          <w:lang w:val="zh-CN"/>
        </w:rPr>
        <w:t>、落实政府采购政策需提供的相关材料及供应商认为有必要补充说明的事项</w:t>
      </w:r>
    </w:p>
    <w:p w14:paraId="70907BD2">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附件1：中小企业声明函（</w:t>
      </w:r>
      <w:r>
        <w:rPr>
          <w:rFonts w:hint="default" w:ascii="Times New Roman" w:hAnsi="Times New Roman" w:cs="Times New Roman"/>
          <w:szCs w:val="21"/>
          <w:highlight w:val="none"/>
          <w:lang w:val="en-US" w:eastAsia="zh-CN"/>
        </w:rPr>
        <w:t>货物</w:t>
      </w:r>
      <w:r>
        <w:rPr>
          <w:rFonts w:hint="default" w:ascii="Times New Roman" w:hAnsi="Times New Roman" w:cs="Times New Roman"/>
          <w:szCs w:val="21"/>
          <w:highlight w:val="none"/>
        </w:rPr>
        <w:t>）</w:t>
      </w:r>
    </w:p>
    <w:p w14:paraId="2526875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附件2：“节能产品”、“环境标志产品”证明材料</w:t>
      </w:r>
    </w:p>
    <w:p w14:paraId="0946CF3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附件3：残疾人福利性单位声明函</w:t>
      </w:r>
    </w:p>
    <w:p w14:paraId="758E4BD0">
      <w:pPr>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附件4：监狱企业证明</w:t>
      </w:r>
    </w:p>
    <w:p w14:paraId="30A28482">
      <w:pPr>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附件5：脱贫攻坚证明文件</w:t>
      </w:r>
    </w:p>
    <w:p w14:paraId="3D67DB75">
      <w:pPr>
        <w:spacing w:line="440" w:lineRule="exact"/>
        <w:rPr>
          <w:rFonts w:hint="default" w:ascii="Times New Roman" w:hAnsi="Times New Roman" w:cs="Times New Roman"/>
          <w:b/>
          <w:szCs w:val="21"/>
          <w:highlight w:val="none"/>
        </w:rPr>
      </w:pPr>
    </w:p>
    <w:p w14:paraId="2565DC26">
      <w:pPr>
        <w:spacing w:line="440" w:lineRule="exact"/>
        <w:rPr>
          <w:rFonts w:hint="default" w:ascii="Times New Roman" w:hAnsi="Times New Roman" w:cs="Times New Roman"/>
          <w:b/>
          <w:szCs w:val="21"/>
          <w:highlight w:val="none"/>
        </w:rPr>
      </w:pPr>
    </w:p>
    <w:p w14:paraId="0EF61064">
      <w:pPr>
        <w:spacing w:line="440" w:lineRule="exact"/>
        <w:rPr>
          <w:rFonts w:hint="default" w:ascii="Times New Roman" w:hAnsi="Times New Roman" w:cs="Times New Roman"/>
          <w:b/>
          <w:szCs w:val="21"/>
          <w:highlight w:val="none"/>
        </w:rPr>
      </w:pPr>
    </w:p>
    <w:p w14:paraId="765A224A">
      <w:pPr>
        <w:spacing w:line="440" w:lineRule="exact"/>
        <w:rPr>
          <w:rFonts w:hint="default" w:ascii="Times New Roman" w:hAnsi="Times New Roman" w:cs="Times New Roman"/>
          <w:b/>
          <w:szCs w:val="21"/>
          <w:highlight w:val="none"/>
        </w:rPr>
      </w:pPr>
    </w:p>
    <w:p w14:paraId="3975A337">
      <w:pPr>
        <w:spacing w:line="440" w:lineRule="exact"/>
        <w:rPr>
          <w:rFonts w:hint="default" w:ascii="Times New Roman" w:hAnsi="Times New Roman" w:cs="Times New Roman"/>
          <w:b/>
          <w:szCs w:val="21"/>
          <w:highlight w:val="none"/>
        </w:rPr>
      </w:pPr>
    </w:p>
    <w:p w14:paraId="69C0FBA9">
      <w:pPr>
        <w:spacing w:line="440" w:lineRule="exact"/>
        <w:rPr>
          <w:rFonts w:hint="default" w:ascii="Times New Roman" w:hAnsi="Times New Roman" w:cs="Times New Roman"/>
          <w:b/>
          <w:szCs w:val="21"/>
          <w:highlight w:val="none"/>
        </w:rPr>
      </w:pPr>
    </w:p>
    <w:p w14:paraId="3AA38342">
      <w:pPr>
        <w:spacing w:line="440" w:lineRule="exact"/>
        <w:rPr>
          <w:rFonts w:hint="default" w:ascii="Times New Roman" w:hAnsi="Times New Roman" w:cs="Times New Roman"/>
          <w:b/>
          <w:szCs w:val="21"/>
          <w:highlight w:val="none"/>
        </w:rPr>
      </w:pPr>
    </w:p>
    <w:p w14:paraId="75A10CD1">
      <w:pPr>
        <w:spacing w:line="440" w:lineRule="exact"/>
        <w:rPr>
          <w:rFonts w:hint="default" w:ascii="Times New Roman" w:hAnsi="Times New Roman" w:cs="Times New Roman"/>
          <w:b/>
          <w:szCs w:val="21"/>
          <w:highlight w:val="none"/>
        </w:rPr>
      </w:pPr>
    </w:p>
    <w:p w14:paraId="47B769CE">
      <w:pPr>
        <w:spacing w:line="440" w:lineRule="exact"/>
        <w:rPr>
          <w:rFonts w:hint="default" w:ascii="Times New Roman" w:hAnsi="Times New Roman" w:cs="Times New Roman"/>
          <w:b/>
          <w:szCs w:val="21"/>
          <w:highlight w:val="none"/>
        </w:rPr>
      </w:pPr>
    </w:p>
    <w:p w14:paraId="0E820B61">
      <w:pPr>
        <w:spacing w:line="440" w:lineRule="exact"/>
        <w:rPr>
          <w:rFonts w:hint="default" w:ascii="Times New Roman" w:hAnsi="Times New Roman" w:cs="Times New Roman"/>
          <w:b/>
          <w:szCs w:val="21"/>
          <w:highlight w:val="none"/>
        </w:rPr>
      </w:pPr>
    </w:p>
    <w:p w14:paraId="5D024ECD">
      <w:pPr>
        <w:spacing w:line="440" w:lineRule="exact"/>
        <w:rPr>
          <w:rFonts w:hint="default" w:ascii="Times New Roman" w:hAnsi="Times New Roman" w:cs="Times New Roman"/>
          <w:b/>
          <w:szCs w:val="21"/>
          <w:highlight w:val="none"/>
        </w:rPr>
      </w:pPr>
    </w:p>
    <w:p w14:paraId="23F81D43">
      <w:pPr>
        <w:spacing w:line="440" w:lineRule="exact"/>
        <w:rPr>
          <w:rFonts w:hint="default" w:ascii="Times New Roman" w:hAnsi="Times New Roman" w:cs="Times New Roman"/>
          <w:b/>
          <w:szCs w:val="21"/>
          <w:highlight w:val="none"/>
        </w:rPr>
      </w:pPr>
    </w:p>
    <w:p w14:paraId="7DBA3A36">
      <w:pPr>
        <w:spacing w:line="440" w:lineRule="exact"/>
        <w:rPr>
          <w:rFonts w:hint="default" w:ascii="Times New Roman" w:hAnsi="Times New Roman" w:cs="Times New Roman"/>
          <w:b/>
          <w:szCs w:val="21"/>
          <w:highlight w:val="none"/>
        </w:rPr>
      </w:pPr>
    </w:p>
    <w:p w14:paraId="799D2AAF">
      <w:pPr>
        <w:spacing w:line="440" w:lineRule="exact"/>
        <w:rPr>
          <w:rFonts w:hint="default" w:ascii="Times New Roman" w:hAnsi="Times New Roman" w:cs="Times New Roman"/>
          <w:b/>
          <w:szCs w:val="21"/>
          <w:highlight w:val="none"/>
        </w:rPr>
      </w:pPr>
    </w:p>
    <w:p w14:paraId="170830BC">
      <w:pPr>
        <w:spacing w:line="440" w:lineRule="exact"/>
        <w:rPr>
          <w:rFonts w:hint="default" w:ascii="Times New Roman" w:hAnsi="Times New Roman" w:cs="Times New Roman"/>
          <w:b/>
          <w:szCs w:val="21"/>
          <w:highlight w:val="none"/>
        </w:rPr>
      </w:pPr>
    </w:p>
    <w:p w14:paraId="3A7463EA">
      <w:pPr>
        <w:spacing w:line="440" w:lineRule="exact"/>
        <w:rPr>
          <w:rFonts w:hint="default" w:ascii="Times New Roman" w:hAnsi="Times New Roman" w:cs="Times New Roman"/>
          <w:b/>
          <w:szCs w:val="21"/>
          <w:highlight w:val="none"/>
        </w:rPr>
      </w:pPr>
    </w:p>
    <w:p w14:paraId="10B468BC">
      <w:pPr>
        <w:spacing w:line="440" w:lineRule="exact"/>
        <w:rPr>
          <w:rFonts w:hint="default" w:ascii="Times New Roman" w:hAnsi="Times New Roman" w:cs="Times New Roman"/>
          <w:b/>
          <w:szCs w:val="21"/>
          <w:highlight w:val="none"/>
        </w:rPr>
      </w:pPr>
    </w:p>
    <w:p w14:paraId="57BE1FEF">
      <w:pPr>
        <w:spacing w:line="440" w:lineRule="exact"/>
        <w:rPr>
          <w:rFonts w:hint="default" w:ascii="Times New Roman" w:hAnsi="Times New Roman" w:cs="Times New Roman"/>
          <w:b/>
          <w:szCs w:val="21"/>
          <w:highlight w:val="none"/>
        </w:rPr>
      </w:pPr>
    </w:p>
    <w:p w14:paraId="5598C4F7">
      <w:pPr>
        <w:spacing w:line="440" w:lineRule="exact"/>
        <w:rPr>
          <w:rFonts w:hint="default" w:ascii="Times New Roman" w:hAnsi="Times New Roman" w:cs="Times New Roman"/>
          <w:b/>
          <w:szCs w:val="21"/>
          <w:highlight w:val="none"/>
        </w:rPr>
      </w:pPr>
    </w:p>
    <w:p w14:paraId="120BD6F8">
      <w:pPr>
        <w:spacing w:line="440" w:lineRule="exact"/>
        <w:rPr>
          <w:rFonts w:hint="default" w:ascii="Times New Roman" w:hAnsi="Times New Roman" w:cs="Times New Roman"/>
          <w:b/>
          <w:szCs w:val="21"/>
          <w:highlight w:val="none"/>
        </w:rPr>
      </w:pPr>
    </w:p>
    <w:p w14:paraId="764CF85F">
      <w:pPr>
        <w:spacing w:line="440" w:lineRule="exact"/>
        <w:rPr>
          <w:rFonts w:hint="default" w:ascii="Times New Roman" w:hAnsi="Times New Roman" w:cs="Times New Roman"/>
          <w:b/>
          <w:szCs w:val="21"/>
          <w:highlight w:val="none"/>
        </w:rPr>
      </w:pPr>
    </w:p>
    <w:p w14:paraId="79B66678">
      <w:pPr>
        <w:spacing w:line="440" w:lineRule="exact"/>
        <w:rPr>
          <w:rFonts w:hint="default" w:ascii="Times New Roman" w:hAnsi="Times New Roman" w:cs="Times New Roman"/>
          <w:b/>
          <w:szCs w:val="21"/>
          <w:highlight w:val="none"/>
        </w:rPr>
      </w:pPr>
    </w:p>
    <w:p w14:paraId="5AB18B9F">
      <w:pPr>
        <w:spacing w:line="440" w:lineRule="exact"/>
        <w:rPr>
          <w:rFonts w:hint="default" w:ascii="Times New Roman" w:hAnsi="Times New Roman" w:cs="Times New Roman"/>
          <w:b/>
          <w:szCs w:val="21"/>
          <w:highlight w:val="none"/>
        </w:rPr>
      </w:pPr>
    </w:p>
    <w:p w14:paraId="1D6B07E0">
      <w:pPr>
        <w:pStyle w:val="38"/>
        <w:spacing w:line="480" w:lineRule="auto"/>
        <w:rPr>
          <w:rFonts w:hint="default" w:ascii="Times New Roman" w:hAnsi="Times New Roman" w:eastAsia="宋体" w:cs="Times New Roman"/>
          <w:sz w:val="21"/>
          <w:szCs w:val="21"/>
          <w:highlight w:val="none"/>
        </w:rPr>
      </w:pPr>
    </w:p>
    <w:p w14:paraId="4E6A758A">
      <w:pPr>
        <w:pStyle w:val="38"/>
        <w:spacing w:line="48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br w:type="page"/>
      </w:r>
      <w:r>
        <w:rPr>
          <w:rFonts w:hint="default" w:ascii="Times New Roman" w:hAnsi="Times New Roman" w:eastAsia="宋体" w:cs="Times New Roman"/>
          <w:sz w:val="21"/>
          <w:szCs w:val="21"/>
          <w:highlight w:val="none"/>
        </w:rPr>
        <w:t>附件1：</w:t>
      </w:r>
    </w:p>
    <w:p w14:paraId="50FB78E0">
      <w:pPr>
        <w:spacing w:before="162"/>
        <w:ind w:left="2269" w:right="2504" w:firstLine="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中小企业声明函（货物）</w:t>
      </w:r>
    </w:p>
    <w:p w14:paraId="747C8A5D">
      <w:pPr>
        <w:pStyle w:val="8"/>
        <w:ind w:left="0"/>
        <w:rPr>
          <w:rFonts w:hint="default" w:ascii="Times New Roman" w:hAnsi="Times New Roman" w:eastAsia="宋体" w:cs="Times New Roman"/>
          <w:b/>
          <w:sz w:val="21"/>
          <w:szCs w:val="21"/>
          <w:highlight w:val="none"/>
        </w:rPr>
      </w:pPr>
    </w:p>
    <w:p w14:paraId="5ACF0CCD">
      <w:pPr>
        <w:pStyle w:val="8"/>
        <w:spacing w:before="2"/>
        <w:ind w:left="0"/>
        <w:rPr>
          <w:rFonts w:hint="default" w:ascii="Times New Roman" w:hAnsi="Times New Roman" w:eastAsia="宋体" w:cs="Times New Roman"/>
          <w:b/>
          <w:sz w:val="21"/>
          <w:szCs w:val="21"/>
          <w:highlight w:val="none"/>
        </w:rPr>
      </w:pPr>
    </w:p>
    <w:p w14:paraId="638CF7D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1"/>
          <w:szCs w:val="21"/>
          <w:highlight w:val="none"/>
        </w:rPr>
      </w:pPr>
      <w:r>
        <w:rPr>
          <w:rFonts w:hint="default" w:ascii="Times New Roman" w:hAnsi="Times New Roman" w:eastAsia="宋体" w:cs="Times New Roman"/>
          <w:spacing w:val="0"/>
          <w:kern w:val="21"/>
          <w:position w:val="0"/>
          <w:sz w:val="21"/>
          <w:szCs w:val="21"/>
          <w:highlight w:val="none"/>
        </w:rPr>
        <w:t>本公司（联合体）郑重声明，根据《政府采购促进中小企业发展管理办法》（财库﹝2020﹞46 号）的规定，本公司（联合体）参加</w:t>
      </w:r>
      <w:r>
        <w:rPr>
          <w:rFonts w:hint="default" w:ascii="Times New Roman" w:hAnsi="Times New Roman" w:eastAsia="宋体" w:cs="Times New Roman"/>
          <w:i/>
          <w:spacing w:val="0"/>
          <w:kern w:val="21"/>
          <w:position w:val="0"/>
          <w:sz w:val="21"/>
          <w:szCs w:val="21"/>
          <w:highlight w:val="none"/>
          <w:u w:val="single"/>
        </w:rPr>
        <w:t>（单位名称）</w:t>
      </w:r>
      <w:r>
        <w:rPr>
          <w:rFonts w:hint="default" w:ascii="Times New Roman" w:hAnsi="Times New Roman" w:eastAsia="宋体" w:cs="Times New Roman"/>
          <w:spacing w:val="0"/>
          <w:kern w:val="21"/>
          <w:position w:val="0"/>
          <w:sz w:val="21"/>
          <w:szCs w:val="21"/>
          <w:highlight w:val="none"/>
        </w:rPr>
        <w:t>的</w:t>
      </w:r>
      <w:r>
        <w:rPr>
          <w:rFonts w:hint="default" w:ascii="Times New Roman" w:hAnsi="Times New Roman" w:eastAsia="宋体" w:cs="Times New Roman"/>
          <w:i/>
          <w:spacing w:val="0"/>
          <w:kern w:val="21"/>
          <w:position w:val="0"/>
          <w:sz w:val="21"/>
          <w:szCs w:val="21"/>
          <w:highlight w:val="none"/>
          <w:u w:val="single"/>
        </w:rPr>
        <w:t>（项目名称）</w:t>
      </w:r>
      <w:r>
        <w:rPr>
          <w:rFonts w:hint="default" w:ascii="Times New Roman" w:hAnsi="Times New Roman" w:eastAsia="宋体" w:cs="Times New Roman"/>
          <w:spacing w:val="0"/>
          <w:kern w:val="21"/>
          <w:position w:val="0"/>
          <w:sz w:val="21"/>
          <w:szCs w:val="21"/>
          <w:highlight w:val="none"/>
        </w:rPr>
        <w:t>采购活动，提供的货物全部由符合政策要求的中小企业制造。相关企业（含联合体中的中小企业、签订分包意向协议的中小企业） 的具体情况如下：</w:t>
      </w:r>
    </w:p>
    <w:p w14:paraId="1D96AE05">
      <w:pPr>
        <w:pStyle w:val="58"/>
        <w:keepNext w:val="0"/>
        <w:keepLines w:val="0"/>
        <w:pageBreakBefore w:val="0"/>
        <w:widowControl w:val="0"/>
        <w:numPr>
          <w:ilvl w:val="0"/>
          <w:numId w:val="0"/>
        </w:numPr>
        <w:tabs>
          <w:tab w:val="left" w:pos="1083"/>
          <w:tab w:val="left" w:pos="1384"/>
          <w:tab w:val="left" w:pos="4562"/>
          <w:tab w:val="left" w:pos="6803"/>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en-US" w:eastAsia="zh-CN" w:bidi="zh-CN"/>
        </w:rPr>
        <w:t>1、</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 </w:t>
      </w:r>
      <w:r>
        <w:rPr>
          <w:rFonts w:hint="default" w:ascii="Times New Roman" w:hAnsi="Times New Roman" w:eastAsia="宋体" w:cs="Times New Roman"/>
          <w:i/>
          <w:iCs/>
          <w:spacing w:val="0"/>
          <w:kern w:val="21"/>
          <w:position w:val="0"/>
          <w:sz w:val="21"/>
          <w:szCs w:val="21"/>
          <w:highlight w:val="none"/>
          <w:u w:val="single"/>
          <w:lang w:val="zh-CN" w:eastAsia="zh-CN" w:bidi="zh-CN"/>
        </w:rPr>
        <w:t>标的名称</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w:t>
      </w:r>
      <w:r>
        <w:rPr>
          <w:rFonts w:hint="default" w:ascii="Times New Roman" w:hAnsi="Times New Roman" w:eastAsia="宋体" w:cs="Times New Roman"/>
          <w:spacing w:val="0"/>
          <w:kern w:val="21"/>
          <w:position w:val="0"/>
          <w:sz w:val="21"/>
          <w:szCs w:val="21"/>
          <w:highlight w:val="none"/>
          <w:u w:val="none"/>
          <w:lang w:val="zh-CN" w:eastAsia="zh-CN" w:bidi="zh-CN"/>
        </w:rPr>
        <w:t>，属于（</w:t>
      </w:r>
      <w:r>
        <w:rPr>
          <w:rFonts w:hint="default" w:ascii="Times New Roman" w:hAnsi="Times New Roman" w:eastAsia="宋体" w:cs="Times New Roman"/>
          <w:i/>
          <w:iCs/>
          <w:spacing w:val="0"/>
          <w:kern w:val="21"/>
          <w:position w:val="0"/>
          <w:sz w:val="21"/>
          <w:szCs w:val="21"/>
          <w:highlight w:val="none"/>
          <w:u w:val="single"/>
          <w:lang w:val="zh-CN" w:eastAsia="zh-CN" w:bidi="zh-CN"/>
        </w:rPr>
        <w:t xml:space="preserve"> 采购文件中明确的所属行业 </w:t>
      </w:r>
      <w:r>
        <w:rPr>
          <w:rFonts w:hint="default" w:ascii="Times New Roman" w:hAnsi="Times New Roman" w:eastAsia="宋体" w:cs="Times New Roman"/>
          <w:spacing w:val="0"/>
          <w:kern w:val="21"/>
          <w:position w:val="0"/>
          <w:sz w:val="21"/>
          <w:szCs w:val="21"/>
          <w:highlight w:val="none"/>
          <w:u w:val="none"/>
          <w:lang w:val="zh-CN" w:eastAsia="zh-CN" w:bidi="zh-CN"/>
        </w:rPr>
        <w:t>）行业；制造商为（</w:t>
      </w:r>
      <w:r>
        <w:rPr>
          <w:rFonts w:hint="default" w:ascii="Times New Roman" w:hAnsi="Times New Roman" w:eastAsia="宋体" w:cs="Times New Roman"/>
          <w:i/>
          <w:iCs/>
          <w:spacing w:val="0"/>
          <w:kern w:val="21"/>
          <w:position w:val="0"/>
          <w:sz w:val="21"/>
          <w:szCs w:val="21"/>
          <w:highlight w:val="none"/>
          <w:u w:val="single"/>
          <w:lang w:val="zh-CN" w:eastAsia="zh-CN" w:bidi="zh-CN"/>
        </w:rPr>
        <w:t>企业名称</w:t>
      </w:r>
      <w:r>
        <w:rPr>
          <w:rFonts w:hint="default" w:ascii="Times New Roman" w:hAnsi="Times New Roman" w:eastAsia="宋体" w:cs="Times New Roman"/>
          <w:spacing w:val="0"/>
          <w:kern w:val="21"/>
          <w:position w:val="0"/>
          <w:sz w:val="21"/>
          <w:szCs w:val="21"/>
          <w:highlight w:val="none"/>
          <w:u w:val="none"/>
          <w:lang w:val="zh-CN" w:eastAsia="zh-CN" w:bidi="zh-CN"/>
        </w:rPr>
        <w:t>），从业人员</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w:t>
      </w:r>
      <w:r>
        <w:rPr>
          <w:rFonts w:hint="default" w:ascii="Times New Roman" w:hAnsi="Times New Roman" w:eastAsia="宋体" w:cs="Times New Roman"/>
          <w:spacing w:val="0"/>
          <w:kern w:val="21"/>
          <w:position w:val="0"/>
          <w:sz w:val="21"/>
          <w:szCs w:val="21"/>
          <w:highlight w:val="none"/>
          <w:u w:val="single"/>
          <w:lang w:val="en-US" w:eastAsia="zh-CN" w:bidi="zh-CN"/>
        </w:rPr>
        <w:t xml:space="preserve">      </w:t>
      </w:r>
      <w:r>
        <w:rPr>
          <w:rFonts w:hint="default" w:ascii="Times New Roman" w:hAnsi="Times New Roman" w:eastAsia="宋体" w:cs="Times New Roman"/>
          <w:spacing w:val="0"/>
          <w:kern w:val="21"/>
          <w:position w:val="0"/>
          <w:sz w:val="21"/>
          <w:szCs w:val="21"/>
          <w:highlight w:val="none"/>
          <w:u w:val="none"/>
          <w:lang w:val="zh-CN" w:eastAsia="zh-CN" w:bidi="zh-CN"/>
        </w:rPr>
        <w:t xml:space="preserve">人，营业收入为 </w:t>
      </w:r>
      <w:r>
        <w:rPr>
          <w:rFonts w:hint="default" w:ascii="Times New Roman" w:hAnsi="Times New Roman" w:eastAsia="宋体" w:cs="Times New Roman"/>
          <w:spacing w:val="0"/>
          <w:kern w:val="21"/>
          <w:position w:val="0"/>
          <w:sz w:val="21"/>
          <w:szCs w:val="21"/>
          <w:highlight w:val="none"/>
          <w:u w:val="single"/>
          <w:lang w:val="zh-CN" w:eastAsia="zh-CN" w:bidi="zh-CN"/>
        </w:rPr>
        <w:tab/>
      </w:r>
      <w:r>
        <w:rPr>
          <w:rFonts w:hint="default" w:ascii="Times New Roman" w:hAnsi="Times New Roman" w:eastAsia="宋体" w:cs="Times New Roman"/>
          <w:spacing w:val="0"/>
          <w:kern w:val="21"/>
          <w:position w:val="0"/>
          <w:sz w:val="21"/>
          <w:szCs w:val="21"/>
          <w:highlight w:val="none"/>
          <w:u w:val="none"/>
          <w:lang w:val="zh-CN" w:eastAsia="zh-CN" w:bidi="zh-CN"/>
        </w:rPr>
        <w:t xml:space="preserve">万元，资产总额为 </w:t>
      </w:r>
      <w:r>
        <w:rPr>
          <w:rFonts w:hint="default" w:ascii="Times New Roman" w:hAnsi="Times New Roman" w:eastAsia="宋体" w:cs="Times New Roman"/>
          <w:spacing w:val="0"/>
          <w:kern w:val="21"/>
          <w:position w:val="0"/>
          <w:sz w:val="21"/>
          <w:szCs w:val="21"/>
          <w:highlight w:val="none"/>
          <w:u w:val="single"/>
          <w:lang w:val="zh-CN" w:eastAsia="zh-CN" w:bidi="zh-CN"/>
        </w:rPr>
        <w:tab/>
      </w:r>
      <w:r>
        <w:rPr>
          <w:rFonts w:hint="default" w:ascii="Times New Roman" w:hAnsi="Times New Roman" w:eastAsia="宋体" w:cs="Times New Roman"/>
          <w:spacing w:val="0"/>
          <w:kern w:val="21"/>
          <w:position w:val="0"/>
          <w:sz w:val="21"/>
          <w:szCs w:val="21"/>
          <w:highlight w:val="none"/>
          <w:u w:val="none"/>
          <w:lang w:val="zh-CN" w:eastAsia="zh-CN" w:bidi="zh-CN"/>
        </w:rPr>
        <w:t>万元</w: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begin"/>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instrText xml:space="preserve"> HYPERLINK \l "_bookmark0" </w:instrTex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separate"/>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t>1</w: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end"/>
      </w:r>
      <w:r>
        <w:rPr>
          <w:rFonts w:hint="default" w:ascii="Times New Roman" w:hAnsi="Times New Roman" w:eastAsia="宋体" w:cs="Times New Roman"/>
          <w:spacing w:val="0"/>
          <w:kern w:val="21"/>
          <w:position w:val="0"/>
          <w:sz w:val="21"/>
          <w:szCs w:val="21"/>
          <w:highlight w:val="none"/>
          <w:u w:val="none"/>
          <w:lang w:val="zh-CN" w:eastAsia="zh-CN" w:bidi="zh-CN"/>
        </w:rPr>
        <w:t>，属于（</w:t>
      </w:r>
      <w:r>
        <w:rPr>
          <w:rFonts w:hint="default" w:ascii="Times New Roman" w:hAnsi="Times New Roman" w:eastAsia="宋体" w:cs="Times New Roman"/>
          <w:i/>
          <w:iCs/>
          <w:spacing w:val="0"/>
          <w:kern w:val="21"/>
          <w:position w:val="0"/>
          <w:sz w:val="21"/>
          <w:szCs w:val="21"/>
          <w:highlight w:val="none"/>
          <w:u w:val="single"/>
          <w:lang w:val="zh-CN" w:eastAsia="zh-CN" w:bidi="zh-CN"/>
        </w:rPr>
        <w:t>中型企业、小型企业、微型企业</w:t>
      </w:r>
      <w:r>
        <w:rPr>
          <w:rFonts w:hint="default" w:ascii="Times New Roman" w:hAnsi="Times New Roman" w:eastAsia="宋体" w:cs="Times New Roman"/>
          <w:spacing w:val="0"/>
          <w:kern w:val="21"/>
          <w:position w:val="0"/>
          <w:sz w:val="21"/>
          <w:szCs w:val="21"/>
          <w:highlight w:val="none"/>
          <w:u w:val="none"/>
          <w:lang w:val="zh-CN" w:eastAsia="zh-CN" w:bidi="zh-CN"/>
        </w:rPr>
        <w:t>）；</w:t>
      </w:r>
    </w:p>
    <w:p w14:paraId="29176B5E">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en-US" w:eastAsia="zh-CN" w:bidi="zh-CN"/>
        </w:rPr>
        <w:t>2、</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 </w:t>
      </w:r>
      <w:r>
        <w:rPr>
          <w:rFonts w:hint="default" w:ascii="Times New Roman" w:hAnsi="Times New Roman" w:eastAsia="宋体" w:cs="Times New Roman"/>
          <w:i/>
          <w:iCs/>
          <w:spacing w:val="0"/>
          <w:kern w:val="21"/>
          <w:position w:val="0"/>
          <w:sz w:val="21"/>
          <w:szCs w:val="21"/>
          <w:highlight w:val="none"/>
          <w:u w:val="single"/>
          <w:lang w:val="zh-CN" w:eastAsia="zh-CN" w:bidi="zh-CN"/>
        </w:rPr>
        <w:t>标的名称</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w:t>
      </w:r>
      <w:r>
        <w:rPr>
          <w:rFonts w:hint="default" w:ascii="Times New Roman" w:hAnsi="Times New Roman" w:eastAsia="宋体" w:cs="Times New Roman"/>
          <w:spacing w:val="0"/>
          <w:kern w:val="21"/>
          <w:position w:val="0"/>
          <w:sz w:val="21"/>
          <w:szCs w:val="21"/>
          <w:highlight w:val="none"/>
          <w:u w:val="none"/>
          <w:lang w:val="zh-CN" w:eastAsia="zh-CN" w:bidi="zh-CN"/>
        </w:rPr>
        <w:t>，属于（</w:t>
      </w:r>
      <w:r>
        <w:rPr>
          <w:rFonts w:hint="default" w:ascii="Times New Roman" w:hAnsi="Times New Roman" w:eastAsia="宋体" w:cs="Times New Roman"/>
          <w:i/>
          <w:iCs/>
          <w:spacing w:val="0"/>
          <w:kern w:val="21"/>
          <w:position w:val="0"/>
          <w:sz w:val="21"/>
          <w:szCs w:val="21"/>
          <w:highlight w:val="none"/>
          <w:u w:val="single"/>
          <w:lang w:val="zh-CN" w:eastAsia="zh-CN" w:bidi="zh-CN"/>
        </w:rPr>
        <w:t xml:space="preserve"> 采购文件中明确的所属行业 </w:t>
      </w:r>
      <w:r>
        <w:rPr>
          <w:rFonts w:hint="default" w:ascii="Times New Roman" w:hAnsi="Times New Roman" w:eastAsia="宋体" w:cs="Times New Roman"/>
          <w:spacing w:val="0"/>
          <w:kern w:val="21"/>
          <w:position w:val="0"/>
          <w:sz w:val="21"/>
          <w:szCs w:val="21"/>
          <w:highlight w:val="none"/>
          <w:u w:val="none"/>
          <w:lang w:val="zh-CN" w:eastAsia="zh-CN" w:bidi="zh-CN"/>
        </w:rPr>
        <w:t>）行业；制造商为（</w:t>
      </w:r>
      <w:r>
        <w:rPr>
          <w:rFonts w:hint="default" w:ascii="Times New Roman" w:hAnsi="Times New Roman" w:eastAsia="宋体" w:cs="Times New Roman"/>
          <w:i/>
          <w:iCs/>
          <w:spacing w:val="0"/>
          <w:kern w:val="21"/>
          <w:position w:val="0"/>
          <w:sz w:val="21"/>
          <w:szCs w:val="21"/>
          <w:highlight w:val="none"/>
          <w:u w:val="single"/>
          <w:lang w:val="zh-CN" w:eastAsia="zh-CN" w:bidi="zh-CN"/>
        </w:rPr>
        <w:t>企业名称</w:t>
      </w:r>
      <w:r>
        <w:rPr>
          <w:rFonts w:hint="default" w:ascii="Times New Roman" w:hAnsi="Times New Roman" w:eastAsia="宋体" w:cs="Times New Roman"/>
          <w:spacing w:val="0"/>
          <w:kern w:val="21"/>
          <w:position w:val="0"/>
          <w:sz w:val="21"/>
          <w:szCs w:val="21"/>
          <w:highlight w:val="none"/>
          <w:u w:val="none"/>
          <w:lang w:val="zh-CN" w:eastAsia="zh-CN" w:bidi="zh-CN"/>
        </w:rPr>
        <w:t>），从业人员</w:t>
      </w:r>
      <w:r>
        <w:rPr>
          <w:rFonts w:hint="default" w:ascii="Times New Roman" w:hAnsi="Times New Roman" w:eastAsia="宋体" w:cs="Times New Roman"/>
          <w:spacing w:val="0"/>
          <w:kern w:val="21"/>
          <w:position w:val="0"/>
          <w:sz w:val="21"/>
          <w:szCs w:val="21"/>
          <w:highlight w:val="none"/>
          <w:u w:val="single"/>
          <w:lang w:val="zh-CN" w:eastAsia="zh-CN" w:bidi="zh-CN"/>
        </w:rPr>
        <w:t xml:space="preserve"> </w:t>
      </w:r>
      <w:r>
        <w:rPr>
          <w:rFonts w:hint="default" w:ascii="Times New Roman" w:hAnsi="Times New Roman" w:eastAsia="宋体" w:cs="Times New Roman"/>
          <w:spacing w:val="0"/>
          <w:kern w:val="21"/>
          <w:position w:val="0"/>
          <w:sz w:val="21"/>
          <w:szCs w:val="21"/>
          <w:highlight w:val="none"/>
          <w:u w:val="single"/>
          <w:lang w:val="en-US" w:eastAsia="zh-CN" w:bidi="zh-CN"/>
        </w:rPr>
        <w:t xml:space="preserve">      </w:t>
      </w:r>
      <w:r>
        <w:rPr>
          <w:rFonts w:hint="default" w:ascii="Times New Roman" w:hAnsi="Times New Roman" w:eastAsia="宋体" w:cs="Times New Roman"/>
          <w:spacing w:val="0"/>
          <w:kern w:val="21"/>
          <w:position w:val="0"/>
          <w:sz w:val="21"/>
          <w:szCs w:val="21"/>
          <w:highlight w:val="none"/>
          <w:u w:val="none"/>
          <w:lang w:val="zh-CN" w:eastAsia="zh-CN" w:bidi="zh-CN"/>
        </w:rPr>
        <w:t xml:space="preserve">人，营业收入为 </w:t>
      </w:r>
      <w:r>
        <w:rPr>
          <w:rFonts w:hint="default" w:ascii="Times New Roman" w:hAnsi="Times New Roman" w:eastAsia="宋体" w:cs="Times New Roman"/>
          <w:spacing w:val="0"/>
          <w:kern w:val="21"/>
          <w:position w:val="0"/>
          <w:sz w:val="21"/>
          <w:szCs w:val="21"/>
          <w:highlight w:val="none"/>
          <w:u w:val="single"/>
          <w:lang w:val="zh-CN" w:eastAsia="zh-CN" w:bidi="zh-CN"/>
        </w:rPr>
        <w:tab/>
      </w:r>
      <w:r>
        <w:rPr>
          <w:rFonts w:hint="default" w:ascii="Times New Roman" w:hAnsi="Times New Roman" w:eastAsia="宋体" w:cs="Times New Roman"/>
          <w:spacing w:val="0"/>
          <w:kern w:val="21"/>
          <w:position w:val="0"/>
          <w:sz w:val="21"/>
          <w:szCs w:val="21"/>
          <w:highlight w:val="none"/>
          <w:u w:val="none"/>
          <w:lang w:val="zh-CN" w:eastAsia="zh-CN" w:bidi="zh-CN"/>
        </w:rPr>
        <w:t xml:space="preserve">万元，资产总额为 </w:t>
      </w:r>
      <w:r>
        <w:rPr>
          <w:rFonts w:hint="default" w:ascii="Times New Roman" w:hAnsi="Times New Roman" w:eastAsia="宋体" w:cs="Times New Roman"/>
          <w:spacing w:val="0"/>
          <w:kern w:val="21"/>
          <w:position w:val="0"/>
          <w:sz w:val="21"/>
          <w:szCs w:val="21"/>
          <w:highlight w:val="none"/>
          <w:u w:val="single"/>
          <w:lang w:val="zh-CN" w:eastAsia="zh-CN" w:bidi="zh-CN"/>
        </w:rPr>
        <w:tab/>
      </w:r>
      <w:r>
        <w:rPr>
          <w:rFonts w:hint="default" w:ascii="Times New Roman" w:hAnsi="Times New Roman" w:eastAsia="宋体" w:cs="Times New Roman"/>
          <w:spacing w:val="0"/>
          <w:kern w:val="21"/>
          <w:position w:val="0"/>
          <w:sz w:val="21"/>
          <w:szCs w:val="21"/>
          <w:highlight w:val="none"/>
          <w:u w:val="none"/>
          <w:lang w:val="zh-CN" w:eastAsia="zh-CN" w:bidi="zh-CN"/>
        </w:rPr>
        <w:t>万元</w: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begin"/>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instrText xml:space="preserve"> HYPERLINK \l "_bookmark0" </w:instrTex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separate"/>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t>1</w:t>
      </w:r>
      <w:r>
        <w:rPr>
          <w:rFonts w:hint="default" w:ascii="Times New Roman" w:hAnsi="Times New Roman" w:eastAsia="宋体" w:cs="Times New Roman"/>
          <w:spacing w:val="0"/>
          <w:kern w:val="21"/>
          <w:position w:val="0"/>
          <w:sz w:val="21"/>
          <w:szCs w:val="21"/>
          <w:highlight w:val="none"/>
          <w:u w:val="none"/>
          <w:vertAlign w:val="superscript"/>
          <w:lang w:val="zh-CN" w:eastAsia="zh-CN" w:bidi="zh-CN"/>
        </w:rPr>
        <w:fldChar w:fldCharType="end"/>
      </w:r>
      <w:r>
        <w:rPr>
          <w:rFonts w:hint="default" w:ascii="Times New Roman" w:hAnsi="Times New Roman" w:eastAsia="宋体" w:cs="Times New Roman"/>
          <w:spacing w:val="0"/>
          <w:kern w:val="21"/>
          <w:position w:val="0"/>
          <w:sz w:val="21"/>
          <w:szCs w:val="21"/>
          <w:highlight w:val="none"/>
          <w:u w:val="none"/>
          <w:lang w:val="zh-CN" w:eastAsia="zh-CN" w:bidi="zh-CN"/>
        </w:rPr>
        <w:t>，属于（</w:t>
      </w:r>
      <w:r>
        <w:rPr>
          <w:rFonts w:hint="default" w:ascii="Times New Roman" w:hAnsi="Times New Roman" w:eastAsia="宋体" w:cs="Times New Roman"/>
          <w:i/>
          <w:iCs/>
          <w:spacing w:val="0"/>
          <w:kern w:val="21"/>
          <w:position w:val="0"/>
          <w:sz w:val="21"/>
          <w:szCs w:val="21"/>
          <w:highlight w:val="none"/>
          <w:u w:val="single"/>
          <w:lang w:val="zh-CN" w:eastAsia="zh-CN" w:bidi="zh-CN"/>
        </w:rPr>
        <w:t>中型企业、小型企业、微型企业</w:t>
      </w:r>
      <w:r>
        <w:rPr>
          <w:rFonts w:hint="default" w:ascii="Times New Roman" w:hAnsi="Times New Roman" w:eastAsia="宋体" w:cs="Times New Roman"/>
          <w:spacing w:val="0"/>
          <w:kern w:val="21"/>
          <w:position w:val="0"/>
          <w:sz w:val="21"/>
          <w:szCs w:val="21"/>
          <w:highlight w:val="none"/>
          <w:u w:val="none"/>
          <w:lang w:val="zh-CN" w:eastAsia="zh-CN" w:bidi="zh-CN"/>
        </w:rPr>
        <w:t>）；</w:t>
      </w:r>
    </w:p>
    <w:p w14:paraId="74A438E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zh-CN" w:eastAsia="zh-CN" w:bidi="zh-CN"/>
        </w:rPr>
        <w:t>……</w:t>
      </w:r>
    </w:p>
    <w:p w14:paraId="3BEB787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zh-CN" w:eastAsia="zh-CN" w:bidi="zh-CN"/>
        </w:rPr>
        <w:t>以上企业，不属于大企业的分支机构，不存在控股股东为大企业的情形，也不存在与大企业的负责人为同一人的情形。</w:t>
      </w:r>
    </w:p>
    <w:p w14:paraId="7DA544E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zh-CN" w:eastAsia="zh-CN" w:bidi="zh-CN"/>
        </w:rPr>
        <w:t>本企业对上述声明内容的真实性负责。如有虚假，将依法承担相应责任。</w:t>
      </w:r>
    </w:p>
    <w:p w14:paraId="7480F16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040" w:firstLineChars="24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p>
    <w:p w14:paraId="5F746FA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040" w:firstLineChars="24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zh-CN" w:eastAsia="zh-CN" w:bidi="zh-CN"/>
        </w:rPr>
        <w:t>企业名称（盖章）：</w:t>
      </w:r>
    </w:p>
    <w:p w14:paraId="331C8C0E">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040" w:firstLineChars="2400"/>
        <w:jc w:val="left"/>
        <w:textAlignment w:val="auto"/>
        <w:rPr>
          <w:rFonts w:hint="default" w:ascii="Times New Roman" w:hAnsi="Times New Roman" w:eastAsia="宋体" w:cs="Times New Roman"/>
          <w:spacing w:val="0"/>
          <w:kern w:val="21"/>
          <w:position w:val="0"/>
          <w:sz w:val="21"/>
          <w:szCs w:val="21"/>
          <w:highlight w:val="none"/>
          <w:u w:val="none"/>
          <w:lang w:val="zh-CN" w:eastAsia="zh-CN" w:bidi="zh-CN"/>
        </w:rPr>
      </w:pPr>
      <w:r>
        <w:rPr>
          <w:rFonts w:hint="default" w:ascii="Times New Roman" w:hAnsi="Times New Roman" w:eastAsia="宋体" w:cs="Times New Roman"/>
          <w:spacing w:val="0"/>
          <w:kern w:val="21"/>
          <w:position w:val="0"/>
          <w:sz w:val="21"/>
          <w:szCs w:val="21"/>
          <w:highlight w:val="none"/>
          <w:u w:val="none"/>
          <w:lang w:val="zh-CN" w:eastAsia="zh-CN" w:bidi="zh-CN"/>
        </w:rPr>
        <w:t>日期：</w:t>
      </w:r>
    </w:p>
    <w:p w14:paraId="62254BB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default" w:ascii="Times New Roman" w:hAnsi="Times New Roman" w:eastAsia="宋体" w:cs="Times New Roman"/>
          <w:spacing w:val="0"/>
          <w:kern w:val="21"/>
          <w:position w:val="0"/>
          <w:sz w:val="22"/>
          <w:highlight w:val="none"/>
        </w:rPr>
      </w:pPr>
      <w:r>
        <w:rPr>
          <w:rFonts w:hint="default" w:ascii="Times New Roman" w:hAnsi="Times New Roman" w:eastAsia="宋体" w:cs="Times New Roman"/>
          <w:spacing w:val="0"/>
          <w:kern w:val="21"/>
          <w:position w:val="0"/>
          <w:highlight w:val="none"/>
        </w:rPr>
        <mc:AlternateContent>
          <mc:Choice Requires="wps">
            <w:drawing>
              <wp:anchor distT="0" distB="0" distL="114300" distR="114300" simplePos="0" relativeHeight="251663360" behindDoc="1" locked="0" layoutInCell="1" allowOverlap="1">
                <wp:simplePos x="0" y="0"/>
                <wp:positionH relativeFrom="page">
                  <wp:posOffset>1143000</wp:posOffset>
                </wp:positionH>
                <wp:positionV relativeFrom="paragraph">
                  <wp:posOffset>208280</wp:posOffset>
                </wp:positionV>
                <wp:extent cx="1828800" cy="0"/>
                <wp:effectExtent l="0" t="4445" r="0" b="5080"/>
                <wp:wrapTopAndBottom/>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16.4pt;height:0pt;width:144pt;mso-position-horizontal-relative:page;mso-wrap-distance-bottom:0pt;mso-wrap-distance-top:0pt;z-index:-251653120;mso-width-relative:page;mso-height-relative:page;" filled="f" stroked="t" coordsize="21600,21600" o:gfxdata="UEsDBAoAAAAAAIdO4kAAAAAAAAAAAAAAAAAEAAAAZHJzL1BLAwQUAAAACACHTuJAT6yg6NYAAAAJ&#10;AQAADwAAAGRycy9kb3ducmV2LnhtbE2PS0/DMBCE70j8B2uRuFE7LYqiEKeHIi6AhJoiwXEbb5O0&#10;fkSx++Dfs4gDHGd2NDtftbw4K040xSF4DdlMgSDfBjP4TsP75umuABETeoM2eNLwRRGW9fVVhaUJ&#10;Z7+mU5M6wSU+lqihT2kspYxtTw7jLIzk+bYLk8PEcuqkmfDM5c7KuVK5dDh4/tDjSKue2kNzdBrU&#10;20v+KV9X+/3H8+Na4aKxKmu0vr3J1AOIRJf0F4af+Twdat60DUdvorCsC8UsScNizggcuM8LNra/&#10;hqwr+Z+g/gZQSwMEFAAAAAgAh07iQAuisIfwAQAA4QMAAA4AAABkcnMvZTJvRG9jLnhtbK1TvY4T&#10;MRDukXgHyz3ZJNKhaJXNFReOBkEk4AEmtnfXkv/kcbLJS/ACSHRQUdLzNhyPcWNvLgdHk4ItvGPP&#10;+Jv5vhkvrw/WsL2KqL1r+Gwy5Uw54aV2XcM/frh9seAMEzgJxjvV8KNCfr16/mw5hFrNfe+NVJER&#10;iMN6CA3vUwp1VaHolQWc+KAcOVsfLSTaxq6SEQZCt6aaT6cvq8FHGaIXCpFO16OTnxDjJYC+bbVQ&#10;ay92Vrk0okZlIBEl7HVAvirVtq0S6V3bokrMNJyYprJSErK3ea1WS6i7CKHX4lQCXFLCE04WtKOk&#10;Z6g1JGC7qP+BslpEj75NE+FtNRIpihCL2fSJNu97CKpwIakxnEXH/wcr3u43kWnZ8CvOHFhq+N3n&#10;H78+ff398wutd9+/sass0hCwptgbt4mnHYZNzIwPbbT5T1zYoQh7PAurDokJOpwt5ovFlDQXD77q&#10;8WKImF4rb1k2Gm60y5yhhv0bTJSMQh9C8rFxbChpBND0tdR1grWBGKDrykX0RstbbUwOx9htb0xk&#10;e8gTUL7Mh0D/CssZ1oD9GFdc42z0CuQrJ1k6BtLG0ZPgOb9VkjOj6AVliwChTqDNJZGU2jiqIEs6&#10;ipitrZdH6sQuRN31JMOsVJk91PlS72lK82j9uS9Ijy9zd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rKDo1gAAAAkBAAAPAAAAAAAAAAEAIAAAACIAAABkcnMvZG93bnJldi54bWxQSwECFAAUAAAA&#10;CACHTuJAC6Kwh/ABAADhAwAADgAAAAAAAAABACAAAAAlAQAAZHJzL2Uyb0RvYy54bWxQSwUGAAAA&#10;AAYABgBZAQAAhwUAAAAA&#10;">
                <v:fill on="f" focussize="0,0"/>
                <v:stroke weight="0pt" color="#000000" joinstyle="round"/>
                <v:imagedata o:title=""/>
                <o:lock v:ext="edit" aspectratio="f"/>
                <w10:wrap type="topAndBottom"/>
              </v:line>
            </w:pict>
          </mc:Fallback>
        </mc:AlternateContent>
      </w:r>
    </w:p>
    <w:p w14:paraId="6C56628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220" w:firstLineChars="200"/>
        <w:jc w:val="left"/>
        <w:textAlignment w:val="auto"/>
        <w:rPr>
          <w:rFonts w:hint="default" w:ascii="Times New Roman" w:hAnsi="Times New Roman" w:eastAsia="宋体" w:cs="Times New Roman"/>
          <w:spacing w:val="0"/>
          <w:kern w:val="21"/>
          <w:position w:val="0"/>
          <w:sz w:val="18"/>
          <w:highlight w:val="none"/>
        </w:rPr>
      </w:pPr>
      <w:r>
        <w:rPr>
          <w:rFonts w:hint="default" w:ascii="Times New Roman" w:hAnsi="Times New Roman" w:eastAsia="宋体" w:cs="Times New Roman"/>
          <w:spacing w:val="0"/>
          <w:kern w:val="21"/>
          <w:position w:val="0"/>
          <w:sz w:val="11"/>
          <w:highlight w:val="none"/>
        </w:rPr>
        <w:t>1</w:t>
      </w:r>
      <w:r>
        <w:rPr>
          <w:rFonts w:hint="default" w:ascii="Times New Roman" w:hAnsi="Times New Roman" w:eastAsia="宋体" w:cs="Times New Roman"/>
          <w:spacing w:val="0"/>
          <w:kern w:val="21"/>
          <w:position w:val="0"/>
          <w:sz w:val="18"/>
          <w:highlight w:val="none"/>
        </w:rPr>
        <w:t>从业人员、营业收入、资产总额填报上一年度数据，无上一年度数据的新成立企业可不填报。</w:t>
      </w:r>
    </w:p>
    <w:p w14:paraId="4E464B6D">
      <w:pPr>
        <w:spacing w:before="9"/>
        <w:ind w:left="0" w:right="239" w:firstLine="0"/>
        <w:jc w:val="center"/>
        <w:rPr>
          <w:rFonts w:hint="default" w:ascii="Times New Roman" w:hAnsi="Times New Roman" w:eastAsia="宋体" w:cs="Times New Roman"/>
          <w:spacing w:val="0"/>
          <w:kern w:val="21"/>
          <w:position w:val="0"/>
          <w:sz w:val="18"/>
          <w:highlight w:val="none"/>
        </w:rPr>
      </w:pPr>
      <w:r>
        <w:rPr>
          <w:rFonts w:hint="default" w:ascii="Times New Roman" w:hAnsi="Times New Roman" w:eastAsia="宋体" w:cs="Times New Roman"/>
          <w:spacing w:val="0"/>
          <w:kern w:val="21"/>
          <w:position w:val="0"/>
          <w:sz w:val="18"/>
          <w:highlight w:val="none"/>
        </w:rPr>
        <w:t>9</w:t>
      </w:r>
    </w:p>
    <w:p w14:paraId="6BF557D2">
      <w:pPr>
        <w:spacing w:line="480" w:lineRule="auto"/>
        <w:ind w:firstLine="5040" w:firstLineChars="2400"/>
        <w:rPr>
          <w:rFonts w:hint="default" w:ascii="Times New Roman" w:hAnsi="Times New Roman" w:cs="Times New Roman"/>
          <w:highlight w:val="none"/>
        </w:rPr>
      </w:pPr>
    </w:p>
    <w:p w14:paraId="1869AB94">
      <w:pPr>
        <w:spacing w:line="480" w:lineRule="auto"/>
        <w:ind w:firstLine="5040" w:firstLineChars="2400"/>
        <w:rPr>
          <w:rFonts w:hint="default" w:ascii="Times New Roman" w:hAnsi="Times New Roman" w:cs="Times New Roman"/>
          <w:highlight w:val="none"/>
        </w:rPr>
      </w:pPr>
    </w:p>
    <w:p w14:paraId="2E71D984">
      <w:pPr>
        <w:spacing w:line="480" w:lineRule="auto"/>
        <w:ind w:firstLine="5040" w:firstLineChars="2400"/>
        <w:rPr>
          <w:rFonts w:hint="default" w:ascii="Times New Roman" w:hAnsi="Times New Roman" w:cs="Times New Roman"/>
          <w:highlight w:val="none"/>
        </w:rPr>
      </w:pPr>
    </w:p>
    <w:p w14:paraId="4CD154CB">
      <w:pPr>
        <w:spacing w:line="480" w:lineRule="auto"/>
        <w:ind w:firstLine="5040" w:firstLineChars="2400"/>
        <w:rPr>
          <w:rFonts w:hint="default" w:ascii="Times New Roman" w:hAnsi="Times New Roman" w:cs="Times New Roman"/>
          <w:highlight w:val="none"/>
        </w:rPr>
      </w:pPr>
    </w:p>
    <w:p w14:paraId="56B7FCA4">
      <w:pPr>
        <w:spacing w:line="480" w:lineRule="auto"/>
        <w:ind w:firstLine="5040" w:firstLineChars="2400"/>
        <w:rPr>
          <w:rFonts w:hint="default" w:ascii="Times New Roman" w:hAnsi="Times New Roman" w:cs="Times New Roman"/>
          <w:highlight w:val="none"/>
        </w:rPr>
      </w:pPr>
    </w:p>
    <w:p w14:paraId="40A55484">
      <w:pPr>
        <w:spacing w:line="480" w:lineRule="auto"/>
        <w:ind w:firstLine="5040" w:firstLineChars="2400"/>
        <w:rPr>
          <w:rFonts w:hint="default" w:ascii="Times New Roman" w:hAnsi="Times New Roman" w:cs="Times New Roman"/>
          <w:highlight w:val="none"/>
        </w:rPr>
      </w:pPr>
    </w:p>
    <w:p w14:paraId="42A38F29">
      <w:pPr>
        <w:spacing w:line="480" w:lineRule="auto"/>
        <w:ind w:firstLine="5040" w:firstLineChars="2400"/>
        <w:rPr>
          <w:rFonts w:hint="default" w:ascii="Times New Roman" w:hAnsi="Times New Roman" w:cs="Times New Roman"/>
          <w:highlight w:val="none"/>
        </w:rPr>
      </w:pPr>
    </w:p>
    <w:p w14:paraId="73A33617">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br w:type="page"/>
      </w:r>
    </w:p>
    <w:p w14:paraId="7829A127">
      <w:pPr>
        <w:pStyle w:val="38"/>
        <w:spacing w:line="50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附件2：</w:t>
      </w:r>
    </w:p>
    <w:p w14:paraId="16CF105F">
      <w:pPr>
        <w:adjustRightInd w:val="0"/>
        <w:snapToGrid w:val="0"/>
        <w:spacing w:line="500" w:lineRule="exact"/>
        <w:jc w:val="center"/>
        <w:rPr>
          <w:rFonts w:hint="default" w:ascii="Times New Roman" w:hAnsi="Times New Roman" w:cs="Times New Roman"/>
          <w:b/>
          <w:bCs/>
          <w:szCs w:val="21"/>
          <w:highlight w:val="none"/>
        </w:rPr>
      </w:pPr>
      <w:r>
        <w:rPr>
          <w:rFonts w:hint="default" w:ascii="Times New Roman" w:hAnsi="Times New Roman" w:cs="Times New Roman"/>
          <w:b/>
          <w:szCs w:val="21"/>
          <w:highlight w:val="none"/>
        </w:rPr>
        <w:t>“节能</w:t>
      </w:r>
      <w:r>
        <w:rPr>
          <w:rFonts w:hint="default" w:ascii="Times New Roman" w:hAnsi="Times New Roman" w:cs="Times New Roman"/>
          <w:b/>
          <w:bCs/>
          <w:szCs w:val="21"/>
          <w:highlight w:val="none"/>
        </w:rPr>
        <w:t>产品</w:t>
      </w:r>
      <w:r>
        <w:rPr>
          <w:rFonts w:hint="default" w:ascii="Times New Roman" w:hAnsi="Times New Roman" w:cs="Times New Roman"/>
          <w:b/>
          <w:szCs w:val="21"/>
          <w:highlight w:val="none"/>
        </w:rPr>
        <w:t>”、“环境标志</w:t>
      </w:r>
      <w:r>
        <w:rPr>
          <w:rFonts w:hint="default" w:ascii="Times New Roman" w:hAnsi="Times New Roman" w:cs="Times New Roman"/>
          <w:b/>
          <w:bCs/>
          <w:szCs w:val="21"/>
          <w:highlight w:val="none"/>
        </w:rPr>
        <w:t>产品</w:t>
      </w:r>
      <w:r>
        <w:rPr>
          <w:rFonts w:hint="default" w:ascii="Times New Roman" w:hAnsi="Times New Roman" w:cs="Times New Roman"/>
          <w:b/>
          <w:szCs w:val="21"/>
          <w:highlight w:val="none"/>
        </w:rPr>
        <w:t>”证明材料</w:t>
      </w:r>
    </w:p>
    <w:p w14:paraId="157F3A42">
      <w:pPr>
        <w:spacing w:line="500" w:lineRule="exact"/>
        <w:rPr>
          <w:rFonts w:hint="default" w:ascii="Times New Roman" w:hAnsi="Times New Roman" w:cs="Times New Roman"/>
          <w:szCs w:val="21"/>
          <w:highlight w:val="none"/>
        </w:rPr>
      </w:pPr>
    </w:p>
    <w:p w14:paraId="4DD8C01E">
      <w:pPr>
        <w:adjustRightInd w:val="0"/>
        <w:snapToGrid w:val="0"/>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说明：</w:t>
      </w:r>
      <w:r>
        <w:rPr>
          <w:rFonts w:hint="default" w:ascii="Times New Roman" w:hAnsi="Times New Roman" w:cs="Times New Roman"/>
          <w:bCs/>
          <w:szCs w:val="21"/>
          <w:highlight w:val="none"/>
        </w:rPr>
        <w:t>1、</w:t>
      </w:r>
      <w:r>
        <w:rPr>
          <w:rFonts w:hint="default" w:ascii="Times New Roman" w:hAnsi="Times New Roman" w:cs="Times New Roman"/>
          <w:szCs w:val="21"/>
          <w:highlight w:val="none"/>
        </w:rPr>
        <w:t>供应商提供的产品</w:t>
      </w:r>
      <w:r>
        <w:rPr>
          <w:rFonts w:hint="default" w:ascii="Times New Roman" w:hAnsi="Times New Roman" w:cs="Times New Roman"/>
          <w:bCs/>
          <w:szCs w:val="21"/>
          <w:highlight w:val="none"/>
        </w:rPr>
        <w:t>属于</w:t>
      </w:r>
      <w:r>
        <w:rPr>
          <w:rFonts w:hint="default" w:ascii="Times New Roman" w:hAnsi="Times New Roman" w:cs="Times New Roman"/>
          <w:szCs w:val="21"/>
          <w:highlight w:val="none"/>
        </w:rPr>
        <w:t>下列情形，应按规定提供相关证明材料(</w:t>
      </w:r>
      <w:r>
        <w:rPr>
          <w:rFonts w:hint="default" w:ascii="Times New Roman" w:hAnsi="Times New Roman" w:cs="Times New Roman"/>
          <w:bCs/>
          <w:szCs w:val="21"/>
          <w:highlight w:val="none"/>
        </w:rPr>
        <w:t>清单或目录所在页复印件</w:t>
      </w:r>
      <w:r>
        <w:rPr>
          <w:rFonts w:hint="default" w:ascii="Times New Roman" w:hAnsi="Times New Roman" w:cs="Times New Roman"/>
          <w:szCs w:val="21"/>
          <w:highlight w:val="none"/>
        </w:rPr>
        <w:t>)，并在《货物分项报价表》中提供相应数据。</w:t>
      </w:r>
    </w:p>
    <w:p w14:paraId="0910B007">
      <w:pPr>
        <w:adjustRightInd w:val="0"/>
        <w:snapToGrid w:val="0"/>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 xml:space="preserve">    （1）符合</w:t>
      </w:r>
      <w:r>
        <w:rPr>
          <w:rFonts w:hint="default" w:ascii="Times New Roman" w:hAnsi="Times New Roman" w:cs="Times New Roman"/>
          <w:szCs w:val="21"/>
          <w:highlight w:val="none"/>
        </w:rPr>
        <w:t>政府采购强制采购政策的(《节能产品政府采购清单》中标记★符号节能产品及其他强制采购产品)；</w:t>
      </w:r>
    </w:p>
    <w:p w14:paraId="703DE14E">
      <w:pPr>
        <w:adjustRightInd w:val="0"/>
        <w:snapToGrid w:val="0"/>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 xml:space="preserve">    （2）符合</w:t>
      </w:r>
      <w:r>
        <w:rPr>
          <w:rFonts w:hint="default" w:ascii="Times New Roman" w:hAnsi="Times New Roman" w:cs="Times New Roman"/>
          <w:szCs w:val="21"/>
          <w:highlight w:val="none"/>
        </w:rPr>
        <w:t>政府采购优先采购政策的(《节能产品政府采购清单》中非标记★符号节能产品，《环境标志产品政府采购清单》中环境标志</w:t>
      </w:r>
      <w:r>
        <w:rPr>
          <w:rFonts w:hint="default" w:ascii="Times New Roman" w:hAnsi="Times New Roman" w:cs="Times New Roman"/>
          <w:bCs/>
          <w:szCs w:val="21"/>
          <w:highlight w:val="none"/>
        </w:rPr>
        <w:t>产品</w:t>
      </w:r>
      <w:r>
        <w:rPr>
          <w:rFonts w:hint="default" w:ascii="Times New Roman" w:hAnsi="Times New Roman" w:cs="Times New Roman"/>
          <w:szCs w:val="21"/>
          <w:highlight w:val="none"/>
        </w:rPr>
        <w:t>。</w:t>
      </w:r>
    </w:p>
    <w:p w14:paraId="1914AF45">
      <w:pPr>
        <w:spacing w:line="360" w:lineRule="auto"/>
        <w:rPr>
          <w:rFonts w:hint="default" w:ascii="Times New Roman" w:hAnsi="Times New Roman" w:cs="Times New Roman"/>
          <w:szCs w:val="21"/>
          <w:highlight w:val="none"/>
        </w:rPr>
      </w:pPr>
      <w:r>
        <w:rPr>
          <w:rFonts w:hint="default" w:ascii="Times New Roman" w:hAnsi="Times New Roman" w:cs="Times New Roman"/>
          <w:bCs/>
          <w:szCs w:val="21"/>
          <w:highlight w:val="none"/>
        </w:rPr>
        <w:t xml:space="preserve">    2、未按上述要求提供、</w:t>
      </w:r>
      <w:r>
        <w:rPr>
          <w:rFonts w:hint="default" w:ascii="Times New Roman" w:hAnsi="Times New Roman" w:cs="Times New Roman"/>
          <w:szCs w:val="21"/>
          <w:highlight w:val="none"/>
        </w:rPr>
        <w:t>填写</w:t>
      </w:r>
      <w:r>
        <w:rPr>
          <w:rFonts w:hint="default" w:ascii="Times New Roman" w:hAnsi="Times New Roman" w:cs="Times New Roman"/>
          <w:bCs/>
          <w:szCs w:val="21"/>
          <w:highlight w:val="none"/>
        </w:rPr>
        <w:t>的，评审时不予以考虑。</w:t>
      </w:r>
    </w:p>
    <w:p w14:paraId="4FFCCD77">
      <w:pPr>
        <w:spacing w:line="440" w:lineRule="exact"/>
        <w:rPr>
          <w:rFonts w:hint="default" w:ascii="Times New Roman" w:hAnsi="Times New Roman" w:cs="Times New Roman"/>
          <w:szCs w:val="21"/>
          <w:highlight w:val="none"/>
        </w:rPr>
      </w:pPr>
    </w:p>
    <w:p w14:paraId="516AD970">
      <w:pPr>
        <w:spacing w:line="440" w:lineRule="exact"/>
        <w:rPr>
          <w:rFonts w:hint="default" w:ascii="Times New Roman" w:hAnsi="Times New Roman" w:cs="Times New Roman"/>
          <w:b/>
          <w:szCs w:val="21"/>
          <w:highlight w:val="none"/>
        </w:rPr>
      </w:pPr>
    </w:p>
    <w:p w14:paraId="46942A7B">
      <w:pPr>
        <w:pStyle w:val="8"/>
        <w:rPr>
          <w:rFonts w:hint="default" w:ascii="Times New Roman" w:hAnsi="Times New Roman" w:cs="Times New Roman"/>
          <w:highlight w:val="none"/>
        </w:rPr>
      </w:pPr>
    </w:p>
    <w:p w14:paraId="04CD7454">
      <w:pPr>
        <w:rPr>
          <w:rFonts w:hint="default" w:ascii="Times New Roman" w:hAnsi="Times New Roman" w:cs="Times New Roman"/>
          <w:highlight w:val="none"/>
        </w:rPr>
      </w:pPr>
    </w:p>
    <w:p w14:paraId="0A79C94D">
      <w:pPr>
        <w:pStyle w:val="8"/>
        <w:rPr>
          <w:rFonts w:hint="default" w:ascii="Times New Roman" w:hAnsi="Times New Roman" w:cs="Times New Roman"/>
          <w:highlight w:val="none"/>
        </w:rPr>
      </w:pPr>
    </w:p>
    <w:p w14:paraId="3579867E">
      <w:pPr>
        <w:rPr>
          <w:rFonts w:hint="default" w:ascii="Times New Roman" w:hAnsi="Times New Roman" w:cs="Times New Roman"/>
          <w:highlight w:val="none"/>
        </w:rPr>
      </w:pPr>
    </w:p>
    <w:p w14:paraId="6DC59B07">
      <w:pPr>
        <w:pStyle w:val="8"/>
        <w:rPr>
          <w:rFonts w:hint="default" w:ascii="Times New Roman" w:hAnsi="Times New Roman" w:cs="Times New Roman"/>
          <w:highlight w:val="none"/>
        </w:rPr>
      </w:pPr>
    </w:p>
    <w:p w14:paraId="2B5245BC">
      <w:pPr>
        <w:rPr>
          <w:rFonts w:hint="default" w:ascii="Times New Roman" w:hAnsi="Times New Roman" w:cs="Times New Roman"/>
          <w:highlight w:val="none"/>
        </w:rPr>
      </w:pPr>
    </w:p>
    <w:p w14:paraId="5519248A">
      <w:pPr>
        <w:pStyle w:val="8"/>
        <w:rPr>
          <w:rFonts w:hint="default" w:ascii="Times New Roman" w:hAnsi="Times New Roman" w:cs="Times New Roman"/>
          <w:highlight w:val="none"/>
        </w:rPr>
      </w:pPr>
    </w:p>
    <w:p w14:paraId="79ED29E6">
      <w:pPr>
        <w:rPr>
          <w:rFonts w:hint="default" w:ascii="Times New Roman" w:hAnsi="Times New Roman" w:cs="Times New Roman"/>
          <w:highlight w:val="none"/>
        </w:rPr>
      </w:pPr>
    </w:p>
    <w:p w14:paraId="3A951CD6">
      <w:pPr>
        <w:pStyle w:val="8"/>
        <w:rPr>
          <w:rFonts w:hint="default" w:ascii="Times New Roman" w:hAnsi="Times New Roman" w:cs="Times New Roman"/>
          <w:highlight w:val="none"/>
        </w:rPr>
      </w:pPr>
    </w:p>
    <w:p w14:paraId="2F7514CB">
      <w:pPr>
        <w:rPr>
          <w:rFonts w:hint="default" w:ascii="Times New Roman" w:hAnsi="Times New Roman" w:cs="Times New Roman"/>
          <w:highlight w:val="none"/>
        </w:rPr>
      </w:pPr>
    </w:p>
    <w:p w14:paraId="1EF77139">
      <w:pPr>
        <w:pStyle w:val="8"/>
        <w:rPr>
          <w:rFonts w:hint="default" w:ascii="Times New Roman" w:hAnsi="Times New Roman" w:cs="Times New Roman"/>
          <w:highlight w:val="none"/>
        </w:rPr>
      </w:pPr>
    </w:p>
    <w:p w14:paraId="1EE06A51">
      <w:pPr>
        <w:rPr>
          <w:rFonts w:hint="default" w:ascii="Times New Roman" w:hAnsi="Times New Roman" w:cs="Times New Roman"/>
          <w:highlight w:val="none"/>
        </w:rPr>
      </w:pPr>
    </w:p>
    <w:p w14:paraId="0E618440">
      <w:pPr>
        <w:pStyle w:val="8"/>
        <w:rPr>
          <w:rFonts w:hint="default" w:ascii="Times New Roman" w:hAnsi="Times New Roman" w:cs="Times New Roman"/>
          <w:highlight w:val="none"/>
        </w:rPr>
      </w:pPr>
    </w:p>
    <w:p w14:paraId="4CDF3501">
      <w:pPr>
        <w:rPr>
          <w:rFonts w:hint="default" w:ascii="Times New Roman" w:hAnsi="Times New Roman" w:cs="Times New Roman"/>
          <w:highlight w:val="none"/>
        </w:rPr>
      </w:pPr>
    </w:p>
    <w:p w14:paraId="4327FD14">
      <w:pPr>
        <w:pStyle w:val="8"/>
        <w:rPr>
          <w:rFonts w:hint="default" w:ascii="Times New Roman" w:hAnsi="Times New Roman" w:cs="Times New Roman"/>
          <w:highlight w:val="none"/>
        </w:rPr>
      </w:pPr>
    </w:p>
    <w:p w14:paraId="543BEC33">
      <w:pPr>
        <w:rPr>
          <w:rFonts w:hint="default" w:ascii="Times New Roman" w:hAnsi="Times New Roman" w:cs="Times New Roman"/>
          <w:highlight w:val="none"/>
        </w:rPr>
      </w:pPr>
    </w:p>
    <w:p w14:paraId="37C2B8B4">
      <w:pPr>
        <w:pStyle w:val="8"/>
        <w:rPr>
          <w:rFonts w:hint="default" w:ascii="Times New Roman" w:hAnsi="Times New Roman" w:cs="Times New Roman"/>
          <w:highlight w:val="none"/>
        </w:rPr>
      </w:pPr>
    </w:p>
    <w:p w14:paraId="3F3F5207">
      <w:pPr>
        <w:rPr>
          <w:rFonts w:hint="default" w:ascii="Times New Roman" w:hAnsi="Times New Roman" w:cs="Times New Roman"/>
          <w:highlight w:val="none"/>
        </w:rPr>
      </w:pPr>
    </w:p>
    <w:p w14:paraId="4223A193">
      <w:pPr>
        <w:pStyle w:val="8"/>
        <w:rPr>
          <w:rFonts w:hint="default" w:ascii="Times New Roman" w:hAnsi="Times New Roman" w:cs="Times New Roman"/>
          <w:highlight w:val="none"/>
        </w:rPr>
      </w:pPr>
    </w:p>
    <w:p w14:paraId="37BC9F9C">
      <w:pPr>
        <w:rPr>
          <w:rFonts w:hint="default" w:ascii="Times New Roman" w:hAnsi="Times New Roman" w:cs="Times New Roman"/>
          <w:highlight w:val="none"/>
        </w:rPr>
      </w:pPr>
    </w:p>
    <w:p w14:paraId="02CC5BF8">
      <w:pPr>
        <w:pStyle w:val="8"/>
        <w:rPr>
          <w:rFonts w:hint="default" w:ascii="Times New Roman" w:hAnsi="Times New Roman" w:cs="Times New Roman"/>
          <w:highlight w:val="none"/>
        </w:rPr>
      </w:pPr>
    </w:p>
    <w:p w14:paraId="4640C563">
      <w:pPr>
        <w:rPr>
          <w:rFonts w:hint="default" w:ascii="Times New Roman" w:hAnsi="Times New Roman" w:cs="Times New Roman"/>
          <w:highlight w:val="none"/>
        </w:rPr>
      </w:pPr>
    </w:p>
    <w:p w14:paraId="5D4EAC98">
      <w:pPr>
        <w:pStyle w:val="8"/>
        <w:rPr>
          <w:rFonts w:hint="default" w:ascii="Times New Roman" w:hAnsi="Times New Roman" w:cs="Times New Roman"/>
          <w:highlight w:val="none"/>
        </w:rPr>
      </w:pPr>
    </w:p>
    <w:p w14:paraId="1F0784C5">
      <w:pPr>
        <w:rPr>
          <w:rFonts w:hint="default" w:ascii="Times New Roman" w:hAnsi="Times New Roman" w:cs="Times New Roman"/>
          <w:highlight w:val="none"/>
        </w:rPr>
      </w:pPr>
    </w:p>
    <w:p w14:paraId="47F4CED8">
      <w:pPr>
        <w:spacing w:line="44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附件3：</w:t>
      </w:r>
    </w:p>
    <w:p w14:paraId="38E4DCAA">
      <w:pPr>
        <w:spacing w:line="588" w:lineRule="exact"/>
        <w:jc w:val="center"/>
        <w:rPr>
          <w:rFonts w:hint="default" w:ascii="Times New Roman" w:hAnsi="Times New Roman" w:cs="Times New Roman"/>
          <w:b/>
          <w:spacing w:val="6"/>
          <w:szCs w:val="21"/>
          <w:highlight w:val="none"/>
        </w:rPr>
      </w:pPr>
      <w:r>
        <w:rPr>
          <w:rFonts w:hint="default" w:ascii="Times New Roman" w:hAnsi="Times New Roman" w:cs="Times New Roman"/>
          <w:b/>
          <w:spacing w:val="6"/>
          <w:szCs w:val="21"/>
          <w:highlight w:val="none"/>
        </w:rPr>
        <w:t>残疾人福利性单位声明函</w:t>
      </w:r>
    </w:p>
    <w:p w14:paraId="2D8BBAF9">
      <w:pPr>
        <w:spacing w:line="588" w:lineRule="exact"/>
        <w:rPr>
          <w:rFonts w:hint="default" w:ascii="Times New Roman" w:hAnsi="Times New Roman" w:cs="Times New Roman"/>
          <w:b/>
          <w:spacing w:val="6"/>
          <w:szCs w:val="21"/>
          <w:highlight w:val="none"/>
        </w:rPr>
      </w:pPr>
    </w:p>
    <w:p w14:paraId="271D8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Times New Roman" w:hAnsi="Times New Roman" w:cs="Times New Roman"/>
          <w:spacing w:val="0"/>
          <w:sz w:val="21"/>
          <w:szCs w:val="21"/>
          <w:highlight w:val="none"/>
          <w:u w:val="single"/>
        </w:rPr>
        <w:t xml:space="preserve">      </w:t>
      </w:r>
      <w:r>
        <w:rPr>
          <w:rFonts w:hint="default" w:ascii="Times New Roman" w:hAnsi="Times New Roman" w:cs="Times New Roman"/>
          <w:spacing w:val="0"/>
          <w:sz w:val="21"/>
          <w:szCs w:val="21"/>
          <w:highlight w:val="none"/>
        </w:rPr>
        <w:t>单位的</w:t>
      </w:r>
      <w:r>
        <w:rPr>
          <w:rFonts w:hint="default" w:ascii="Times New Roman" w:hAnsi="Times New Roman" w:cs="Times New Roman"/>
          <w:spacing w:val="0"/>
          <w:sz w:val="21"/>
          <w:szCs w:val="21"/>
          <w:highlight w:val="none"/>
          <w:u w:val="single"/>
        </w:rPr>
        <w:t xml:space="preserve">      </w:t>
      </w:r>
      <w:r>
        <w:rPr>
          <w:rFonts w:hint="default" w:ascii="Times New Roman" w:hAnsi="Times New Roman" w:cs="Times New Roman"/>
          <w:spacing w:val="0"/>
          <w:sz w:val="21"/>
          <w:szCs w:val="21"/>
          <w:highlight w:val="none"/>
        </w:rPr>
        <w:t>项目采购活动提供本单位制造的货物（由本单位承担工程/提供服务），或者提供其他残疾人福利性单位制造的货物（不包括使用非残疾人福利性单位注册商标的货物）。</w:t>
      </w:r>
    </w:p>
    <w:p w14:paraId="75507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pacing w:val="0"/>
          <w:sz w:val="21"/>
          <w:szCs w:val="21"/>
          <w:highlight w:val="none"/>
        </w:rPr>
      </w:pPr>
      <w:r>
        <w:rPr>
          <w:rFonts w:hint="default" w:ascii="Times New Roman" w:hAnsi="Times New Roman" w:cs="Times New Roman"/>
          <w:spacing w:val="0"/>
          <w:sz w:val="21"/>
          <w:szCs w:val="21"/>
          <w:highlight w:val="none"/>
        </w:rPr>
        <w:t>本单位对上述声明的真实性负责。如有虚假，将依法承担相应责任。</w:t>
      </w:r>
    </w:p>
    <w:p w14:paraId="3CAD087C">
      <w:pPr>
        <w:spacing w:line="588" w:lineRule="exact"/>
        <w:ind w:firstLine="420" w:firstLineChars="200"/>
        <w:rPr>
          <w:rFonts w:hint="default" w:ascii="Times New Roman" w:hAnsi="Times New Roman" w:cs="Times New Roman"/>
          <w:spacing w:val="0"/>
          <w:sz w:val="21"/>
          <w:szCs w:val="21"/>
          <w:highlight w:val="none"/>
        </w:rPr>
      </w:pPr>
    </w:p>
    <w:p w14:paraId="28DE6D85">
      <w:pPr>
        <w:tabs>
          <w:tab w:val="left" w:pos="4860"/>
        </w:tabs>
        <w:spacing w:line="588" w:lineRule="exact"/>
        <w:ind w:right="1560" w:firstLine="444" w:firstLineChars="200"/>
        <w:jc w:val="center"/>
        <w:rPr>
          <w:rFonts w:hint="default" w:ascii="Times New Roman" w:hAnsi="Times New Roman" w:cs="Times New Roman"/>
          <w:spacing w:val="6"/>
          <w:szCs w:val="21"/>
          <w:highlight w:val="none"/>
          <w:u w:val="single"/>
        </w:rPr>
      </w:pPr>
      <w:r>
        <w:rPr>
          <w:rFonts w:hint="default" w:ascii="Times New Roman" w:hAnsi="Times New Roman" w:cs="Times New Roman"/>
          <w:spacing w:val="6"/>
          <w:szCs w:val="21"/>
          <w:highlight w:val="none"/>
        </w:rPr>
        <w:t xml:space="preserve">                单位名称（盖章）：</w:t>
      </w:r>
      <w:r>
        <w:rPr>
          <w:rFonts w:hint="default" w:ascii="Times New Roman" w:hAnsi="Times New Roman" w:cs="Times New Roman"/>
          <w:spacing w:val="6"/>
          <w:szCs w:val="21"/>
          <w:highlight w:val="none"/>
          <w:u w:val="single"/>
        </w:rPr>
        <w:t xml:space="preserve">                       </w:t>
      </w:r>
    </w:p>
    <w:p w14:paraId="45962FE0">
      <w:pPr>
        <w:spacing w:line="440" w:lineRule="exact"/>
        <w:rPr>
          <w:rFonts w:hint="default" w:ascii="Times New Roman" w:hAnsi="Times New Roman" w:cs="Times New Roman"/>
          <w:spacing w:val="6"/>
          <w:szCs w:val="21"/>
          <w:highlight w:val="none"/>
          <w:u w:val="single"/>
        </w:rPr>
      </w:pPr>
      <w:r>
        <w:rPr>
          <w:rFonts w:hint="default" w:ascii="Times New Roman" w:hAnsi="Times New Roman" w:cs="Times New Roman"/>
          <w:spacing w:val="6"/>
          <w:szCs w:val="21"/>
          <w:highlight w:val="none"/>
        </w:rPr>
        <w:t xml:space="preserve">                              日           期：</w:t>
      </w:r>
      <w:r>
        <w:rPr>
          <w:rFonts w:hint="default" w:ascii="Times New Roman" w:hAnsi="Times New Roman" w:cs="Times New Roman"/>
          <w:spacing w:val="6"/>
          <w:szCs w:val="21"/>
          <w:highlight w:val="none"/>
          <w:u w:val="single"/>
        </w:rPr>
        <w:t xml:space="preserve">           </w:t>
      </w:r>
    </w:p>
    <w:p w14:paraId="7DA6747F">
      <w:pPr>
        <w:pStyle w:val="8"/>
        <w:rPr>
          <w:rFonts w:hint="default" w:ascii="Times New Roman" w:hAnsi="Times New Roman" w:cs="Times New Roman"/>
          <w:highlight w:val="none"/>
        </w:rPr>
      </w:pPr>
    </w:p>
    <w:p w14:paraId="27DA9024">
      <w:pPr>
        <w:rPr>
          <w:rFonts w:hint="default" w:ascii="Times New Roman" w:hAnsi="Times New Roman" w:cs="Times New Roman"/>
          <w:highlight w:val="none"/>
        </w:rPr>
      </w:pPr>
    </w:p>
    <w:p w14:paraId="4B39FD11">
      <w:pPr>
        <w:pStyle w:val="8"/>
        <w:rPr>
          <w:rFonts w:hint="default" w:ascii="Times New Roman" w:hAnsi="Times New Roman" w:cs="Times New Roman"/>
          <w:highlight w:val="none"/>
        </w:rPr>
      </w:pPr>
    </w:p>
    <w:p w14:paraId="02D06A2E">
      <w:pPr>
        <w:jc w:val="center"/>
        <w:outlineLvl w:val="2"/>
        <w:rPr>
          <w:rFonts w:hint="default" w:ascii="Times New Roman" w:hAnsi="Times New Roman" w:cs="Times New Roman"/>
          <w:b/>
          <w:color w:val="FF0000"/>
          <w:szCs w:val="21"/>
          <w:highlight w:val="none"/>
        </w:rPr>
      </w:pPr>
    </w:p>
    <w:p w14:paraId="159EBAED">
      <w:pPr>
        <w:jc w:val="center"/>
        <w:outlineLvl w:val="2"/>
        <w:rPr>
          <w:rFonts w:hint="default" w:ascii="Times New Roman" w:hAnsi="Times New Roman" w:cs="Times New Roman"/>
          <w:b/>
          <w:color w:val="FF0000"/>
          <w:szCs w:val="21"/>
          <w:highlight w:val="none"/>
        </w:rPr>
      </w:pPr>
    </w:p>
    <w:p w14:paraId="0E960394">
      <w:pPr>
        <w:jc w:val="center"/>
        <w:outlineLvl w:val="2"/>
        <w:rPr>
          <w:rFonts w:hint="default" w:ascii="Times New Roman" w:hAnsi="Times New Roman" w:cs="Times New Roman"/>
          <w:b/>
          <w:color w:val="FF0000"/>
          <w:szCs w:val="21"/>
          <w:highlight w:val="none"/>
        </w:rPr>
      </w:pPr>
    </w:p>
    <w:p w14:paraId="01A429B1">
      <w:pPr>
        <w:jc w:val="center"/>
        <w:outlineLvl w:val="2"/>
        <w:rPr>
          <w:rFonts w:hint="default" w:ascii="Times New Roman" w:hAnsi="Times New Roman" w:cs="Times New Roman"/>
          <w:b/>
          <w:color w:val="FF0000"/>
          <w:szCs w:val="21"/>
          <w:highlight w:val="none"/>
        </w:rPr>
      </w:pPr>
    </w:p>
    <w:p w14:paraId="4CFF166B">
      <w:pPr>
        <w:jc w:val="center"/>
        <w:outlineLvl w:val="2"/>
        <w:rPr>
          <w:rFonts w:hint="default" w:ascii="Times New Roman" w:hAnsi="Times New Roman" w:cs="Times New Roman"/>
          <w:b/>
          <w:color w:val="FF0000"/>
          <w:szCs w:val="21"/>
          <w:highlight w:val="none"/>
        </w:rPr>
      </w:pPr>
    </w:p>
    <w:p w14:paraId="187EB8A5">
      <w:pPr>
        <w:jc w:val="center"/>
        <w:outlineLvl w:val="2"/>
        <w:rPr>
          <w:rFonts w:hint="default" w:ascii="Times New Roman" w:hAnsi="Times New Roman" w:cs="Times New Roman"/>
          <w:b/>
          <w:color w:val="FF0000"/>
          <w:szCs w:val="21"/>
          <w:highlight w:val="none"/>
        </w:rPr>
      </w:pPr>
    </w:p>
    <w:p w14:paraId="1B7BF3C4">
      <w:pPr>
        <w:jc w:val="center"/>
        <w:outlineLvl w:val="2"/>
        <w:rPr>
          <w:rFonts w:hint="default" w:ascii="Times New Roman" w:hAnsi="Times New Roman" w:cs="Times New Roman"/>
          <w:b/>
          <w:color w:val="FF0000"/>
          <w:szCs w:val="21"/>
          <w:highlight w:val="none"/>
        </w:rPr>
      </w:pPr>
    </w:p>
    <w:p w14:paraId="5113DD59">
      <w:pPr>
        <w:jc w:val="center"/>
        <w:outlineLvl w:val="2"/>
        <w:rPr>
          <w:rFonts w:hint="default" w:ascii="Times New Roman" w:hAnsi="Times New Roman" w:cs="Times New Roman"/>
          <w:b/>
          <w:color w:val="FF0000"/>
          <w:szCs w:val="21"/>
          <w:highlight w:val="none"/>
        </w:rPr>
      </w:pPr>
    </w:p>
    <w:p w14:paraId="37C867AA">
      <w:pPr>
        <w:jc w:val="center"/>
        <w:outlineLvl w:val="2"/>
        <w:rPr>
          <w:rFonts w:hint="default" w:ascii="Times New Roman" w:hAnsi="Times New Roman" w:cs="Times New Roman"/>
          <w:b/>
          <w:color w:val="FF0000"/>
          <w:szCs w:val="21"/>
          <w:highlight w:val="none"/>
        </w:rPr>
      </w:pPr>
    </w:p>
    <w:p w14:paraId="0E83A875">
      <w:pPr>
        <w:jc w:val="center"/>
        <w:outlineLvl w:val="2"/>
        <w:rPr>
          <w:rFonts w:hint="default" w:ascii="Times New Roman" w:hAnsi="Times New Roman" w:cs="Times New Roman"/>
          <w:b/>
          <w:color w:val="FF0000"/>
          <w:szCs w:val="21"/>
          <w:highlight w:val="none"/>
        </w:rPr>
      </w:pPr>
    </w:p>
    <w:p w14:paraId="2AD885CB">
      <w:pPr>
        <w:jc w:val="center"/>
        <w:outlineLvl w:val="2"/>
        <w:rPr>
          <w:rFonts w:hint="default" w:ascii="Times New Roman" w:hAnsi="Times New Roman" w:cs="Times New Roman"/>
          <w:b/>
          <w:color w:val="FF0000"/>
          <w:szCs w:val="21"/>
          <w:highlight w:val="none"/>
        </w:rPr>
      </w:pPr>
    </w:p>
    <w:p w14:paraId="4DDD63F7">
      <w:pPr>
        <w:jc w:val="center"/>
        <w:outlineLvl w:val="2"/>
        <w:rPr>
          <w:rFonts w:hint="default" w:ascii="Times New Roman" w:hAnsi="Times New Roman" w:cs="Times New Roman"/>
          <w:b/>
          <w:color w:val="FF0000"/>
          <w:szCs w:val="21"/>
          <w:highlight w:val="none"/>
        </w:rPr>
      </w:pPr>
    </w:p>
    <w:p w14:paraId="597C691A">
      <w:pPr>
        <w:jc w:val="center"/>
        <w:outlineLvl w:val="2"/>
        <w:rPr>
          <w:rFonts w:hint="default" w:ascii="Times New Roman" w:hAnsi="Times New Roman" w:cs="Times New Roman"/>
          <w:b/>
          <w:color w:val="FF0000"/>
          <w:szCs w:val="21"/>
          <w:highlight w:val="none"/>
        </w:rPr>
      </w:pPr>
    </w:p>
    <w:p w14:paraId="4BC91071">
      <w:pPr>
        <w:jc w:val="center"/>
        <w:outlineLvl w:val="2"/>
        <w:rPr>
          <w:rFonts w:hint="default" w:ascii="Times New Roman" w:hAnsi="Times New Roman" w:cs="Times New Roman"/>
          <w:b/>
          <w:color w:val="FF0000"/>
          <w:szCs w:val="21"/>
          <w:highlight w:val="none"/>
        </w:rPr>
      </w:pPr>
    </w:p>
    <w:p w14:paraId="2AD97724">
      <w:pPr>
        <w:jc w:val="center"/>
        <w:outlineLvl w:val="2"/>
        <w:rPr>
          <w:rFonts w:hint="default" w:ascii="Times New Roman" w:hAnsi="Times New Roman" w:cs="Times New Roman"/>
          <w:b/>
          <w:color w:val="FF0000"/>
          <w:szCs w:val="21"/>
          <w:highlight w:val="none"/>
        </w:rPr>
      </w:pPr>
    </w:p>
    <w:p w14:paraId="4EEC04D5">
      <w:pPr>
        <w:jc w:val="center"/>
        <w:outlineLvl w:val="2"/>
        <w:rPr>
          <w:rFonts w:hint="default" w:ascii="Times New Roman" w:hAnsi="Times New Roman" w:cs="Times New Roman"/>
          <w:b/>
          <w:color w:val="FF0000"/>
          <w:szCs w:val="21"/>
          <w:highlight w:val="none"/>
        </w:rPr>
      </w:pPr>
    </w:p>
    <w:p w14:paraId="06936853">
      <w:pPr>
        <w:jc w:val="center"/>
        <w:outlineLvl w:val="2"/>
        <w:rPr>
          <w:rFonts w:hint="default" w:ascii="Times New Roman" w:hAnsi="Times New Roman" w:cs="Times New Roman"/>
          <w:b/>
          <w:color w:val="FF0000"/>
          <w:szCs w:val="21"/>
          <w:highlight w:val="none"/>
        </w:rPr>
      </w:pPr>
    </w:p>
    <w:p w14:paraId="7B8C1BF3">
      <w:pPr>
        <w:jc w:val="center"/>
        <w:outlineLvl w:val="2"/>
        <w:rPr>
          <w:rFonts w:hint="default" w:ascii="Times New Roman" w:hAnsi="Times New Roman" w:cs="Times New Roman"/>
          <w:b/>
          <w:color w:val="FF0000"/>
          <w:szCs w:val="21"/>
          <w:highlight w:val="none"/>
        </w:rPr>
      </w:pPr>
    </w:p>
    <w:p w14:paraId="36DC2725">
      <w:pPr>
        <w:jc w:val="center"/>
        <w:outlineLvl w:val="2"/>
        <w:rPr>
          <w:rFonts w:hint="default" w:ascii="Times New Roman" w:hAnsi="Times New Roman" w:cs="Times New Roman"/>
          <w:b/>
          <w:color w:val="FF0000"/>
          <w:szCs w:val="21"/>
          <w:highlight w:val="none"/>
        </w:rPr>
      </w:pPr>
    </w:p>
    <w:p w14:paraId="192BAAE8">
      <w:pPr>
        <w:jc w:val="center"/>
        <w:outlineLvl w:val="2"/>
        <w:rPr>
          <w:rFonts w:hint="default" w:ascii="Times New Roman" w:hAnsi="Times New Roman" w:cs="Times New Roman"/>
          <w:b/>
          <w:color w:val="FF0000"/>
          <w:szCs w:val="21"/>
          <w:highlight w:val="none"/>
        </w:rPr>
      </w:pPr>
    </w:p>
    <w:p w14:paraId="4295A48D">
      <w:pPr>
        <w:jc w:val="center"/>
        <w:outlineLvl w:val="2"/>
        <w:rPr>
          <w:rFonts w:hint="default" w:ascii="Times New Roman" w:hAnsi="Times New Roman" w:cs="Times New Roman"/>
          <w:b/>
          <w:color w:val="FF0000"/>
          <w:szCs w:val="21"/>
          <w:highlight w:val="none"/>
        </w:rPr>
      </w:pPr>
    </w:p>
    <w:p w14:paraId="00338330">
      <w:pPr>
        <w:jc w:val="center"/>
        <w:outlineLvl w:val="2"/>
        <w:rPr>
          <w:rFonts w:hint="default" w:ascii="Times New Roman" w:hAnsi="Times New Roman" w:cs="Times New Roman"/>
          <w:b/>
          <w:color w:val="FF0000"/>
          <w:szCs w:val="21"/>
          <w:highlight w:val="none"/>
        </w:rPr>
      </w:pPr>
    </w:p>
    <w:p w14:paraId="45D0E3DB">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附件4：</w:t>
      </w:r>
    </w:p>
    <w:p w14:paraId="4A382BF3">
      <w:pPr>
        <w:spacing w:line="360" w:lineRule="auto"/>
        <w:jc w:val="center"/>
        <w:outlineLvl w:val="2"/>
        <w:rPr>
          <w:rFonts w:hint="default" w:ascii="Times New Roman" w:hAnsi="Times New Roman" w:cs="Times New Roman"/>
          <w:b/>
          <w:szCs w:val="21"/>
          <w:highlight w:val="none"/>
        </w:rPr>
      </w:pPr>
      <w:r>
        <w:rPr>
          <w:rFonts w:hint="default" w:ascii="Times New Roman" w:hAnsi="Times New Roman" w:cs="Times New Roman"/>
          <w:b/>
          <w:szCs w:val="21"/>
          <w:highlight w:val="none"/>
        </w:rPr>
        <w:t>监狱企业证明</w:t>
      </w:r>
    </w:p>
    <w:p w14:paraId="00D1F459">
      <w:pPr>
        <w:snapToGrid w:val="0"/>
        <w:spacing w:before="120" w:beforeLines="50" w:line="360" w:lineRule="auto"/>
        <w:rPr>
          <w:rFonts w:hint="default" w:ascii="Times New Roman" w:hAnsi="Times New Roman" w:cs="Times New Roman"/>
          <w:szCs w:val="21"/>
          <w:highlight w:val="none"/>
        </w:rPr>
      </w:pPr>
    </w:p>
    <w:p w14:paraId="3925780A">
      <w:pPr>
        <w:snapToGrid w:val="0"/>
        <w:spacing w:before="120" w:beforeLines="50"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省级以上监狱管理局、戒毒管理局（含新疆生产建设兵团）出具的属于监狱企业的证明文件。</w:t>
      </w:r>
    </w:p>
    <w:p w14:paraId="05DF80DC">
      <w:pPr>
        <w:spacing w:line="360" w:lineRule="auto"/>
        <w:rPr>
          <w:rFonts w:hint="default" w:ascii="Times New Roman" w:hAnsi="Times New Roman" w:cs="Times New Roman"/>
          <w:color w:val="FF0000"/>
          <w:sz w:val="32"/>
          <w:szCs w:val="32"/>
          <w:highlight w:val="none"/>
        </w:rPr>
      </w:pPr>
    </w:p>
    <w:p w14:paraId="0AB8C238">
      <w:pPr>
        <w:spacing w:line="360" w:lineRule="auto"/>
        <w:rPr>
          <w:rFonts w:hint="default" w:ascii="Times New Roman" w:hAnsi="Times New Roman" w:cs="Times New Roman"/>
          <w:color w:val="FF0000"/>
          <w:sz w:val="32"/>
          <w:szCs w:val="32"/>
          <w:highlight w:val="none"/>
        </w:rPr>
      </w:pPr>
    </w:p>
    <w:p w14:paraId="3B4C7556">
      <w:pPr>
        <w:spacing w:line="360" w:lineRule="auto"/>
        <w:rPr>
          <w:rFonts w:hint="default" w:ascii="Times New Roman" w:hAnsi="Times New Roman" w:cs="Times New Roman"/>
          <w:color w:val="FF0000"/>
          <w:sz w:val="32"/>
          <w:szCs w:val="32"/>
          <w:highlight w:val="none"/>
        </w:rPr>
      </w:pPr>
    </w:p>
    <w:p w14:paraId="528390B4">
      <w:pPr>
        <w:spacing w:line="360" w:lineRule="auto"/>
        <w:rPr>
          <w:rFonts w:hint="default" w:ascii="Times New Roman" w:hAnsi="Times New Roman" w:cs="Times New Roman"/>
          <w:color w:val="FF0000"/>
          <w:sz w:val="32"/>
          <w:szCs w:val="32"/>
          <w:highlight w:val="none"/>
        </w:rPr>
      </w:pPr>
    </w:p>
    <w:p w14:paraId="653BC785">
      <w:pPr>
        <w:spacing w:line="360" w:lineRule="auto"/>
        <w:rPr>
          <w:rFonts w:hint="default" w:ascii="Times New Roman" w:hAnsi="Times New Roman" w:cs="Times New Roman"/>
          <w:color w:val="FF0000"/>
          <w:sz w:val="32"/>
          <w:szCs w:val="32"/>
          <w:highlight w:val="none"/>
        </w:rPr>
      </w:pPr>
    </w:p>
    <w:p w14:paraId="2CB4AB90">
      <w:pPr>
        <w:spacing w:line="360" w:lineRule="auto"/>
        <w:rPr>
          <w:rFonts w:hint="default" w:ascii="Times New Roman" w:hAnsi="Times New Roman" w:cs="Times New Roman"/>
          <w:color w:val="FF0000"/>
          <w:sz w:val="32"/>
          <w:szCs w:val="32"/>
          <w:highlight w:val="none"/>
        </w:rPr>
      </w:pPr>
    </w:p>
    <w:p w14:paraId="385C87BE">
      <w:pPr>
        <w:spacing w:line="360" w:lineRule="auto"/>
        <w:rPr>
          <w:rFonts w:hint="default" w:ascii="Times New Roman" w:hAnsi="Times New Roman" w:cs="Times New Roman"/>
          <w:color w:val="FF0000"/>
          <w:sz w:val="32"/>
          <w:szCs w:val="32"/>
          <w:highlight w:val="none"/>
        </w:rPr>
      </w:pPr>
    </w:p>
    <w:p w14:paraId="243A0E85">
      <w:pPr>
        <w:spacing w:line="360" w:lineRule="auto"/>
        <w:rPr>
          <w:rFonts w:hint="default" w:ascii="Times New Roman" w:hAnsi="Times New Roman" w:cs="Times New Roman"/>
          <w:color w:val="FF0000"/>
          <w:sz w:val="32"/>
          <w:szCs w:val="32"/>
          <w:highlight w:val="none"/>
        </w:rPr>
      </w:pPr>
    </w:p>
    <w:p w14:paraId="20C80DC7">
      <w:pPr>
        <w:spacing w:line="360" w:lineRule="auto"/>
        <w:rPr>
          <w:rFonts w:hint="default" w:ascii="Times New Roman" w:hAnsi="Times New Roman" w:cs="Times New Roman"/>
          <w:color w:val="FF0000"/>
          <w:sz w:val="32"/>
          <w:szCs w:val="32"/>
          <w:highlight w:val="none"/>
        </w:rPr>
      </w:pPr>
    </w:p>
    <w:p w14:paraId="3EA472C6">
      <w:pPr>
        <w:spacing w:line="360" w:lineRule="auto"/>
        <w:rPr>
          <w:rFonts w:hint="default" w:ascii="Times New Roman" w:hAnsi="Times New Roman" w:cs="Times New Roman"/>
          <w:color w:val="FF0000"/>
          <w:sz w:val="32"/>
          <w:szCs w:val="32"/>
          <w:highlight w:val="none"/>
        </w:rPr>
      </w:pPr>
    </w:p>
    <w:p w14:paraId="51283A92">
      <w:pPr>
        <w:spacing w:line="360" w:lineRule="auto"/>
        <w:rPr>
          <w:rFonts w:hint="default" w:ascii="Times New Roman" w:hAnsi="Times New Roman" w:cs="Times New Roman"/>
          <w:color w:val="FF0000"/>
          <w:sz w:val="32"/>
          <w:szCs w:val="32"/>
          <w:highlight w:val="none"/>
        </w:rPr>
      </w:pPr>
    </w:p>
    <w:p w14:paraId="7BC4CE47">
      <w:pPr>
        <w:spacing w:line="360" w:lineRule="auto"/>
        <w:rPr>
          <w:rFonts w:hint="default" w:ascii="Times New Roman" w:hAnsi="Times New Roman" w:cs="Times New Roman"/>
          <w:color w:val="FF0000"/>
          <w:sz w:val="32"/>
          <w:szCs w:val="32"/>
          <w:highlight w:val="none"/>
        </w:rPr>
      </w:pPr>
    </w:p>
    <w:p w14:paraId="3AD20F12">
      <w:pPr>
        <w:spacing w:line="360" w:lineRule="auto"/>
        <w:rPr>
          <w:rFonts w:hint="default" w:ascii="Times New Roman" w:hAnsi="Times New Roman" w:cs="Times New Roman"/>
          <w:color w:val="FF0000"/>
          <w:sz w:val="32"/>
          <w:szCs w:val="32"/>
          <w:highlight w:val="none"/>
        </w:rPr>
      </w:pPr>
    </w:p>
    <w:p w14:paraId="3C7D2FB0">
      <w:pPr>
        <w:spacing w:line="360" w:lineRule="auto"/>
        <w:rPr>
          <w:rFonts w:hint="default" w:ascii="Times New Roman" w:hAnsi="Times New Roman" w:cs="Times New Roman"/>
          <w:color w:val="FF0000"/>
          <w:sz w:val="32"/>
          <w:szCs w:val="32"/>
          <w:highlight w:val="none"/>
        </w:rPr>
      </w:pPr>
    </w:p>
    <w:p w14:paraId="3125BD38">
      <w:pPr>
        <w:spacing w:line="360" w:lineRule="auto"/>
        <w:rPr>
          <w:rFonts w:hint="default" w:ascii="Times New Roman" w:hAnsi="Times New Roman" w:cs="Times New Roman"/>
          <w:color w:val="FF0000"/>
          <w:sz w:val="32"/>
          <w:szCs w:val="32"/>
          <w:highlight w:val="none"/>
        </w:rPr>
      </w:pPr>
    </w:p>
    <w:p w14:paraId="3299F9B5">
      <w:pPr>
        <w:spacing w:line="360" w:lineRule="auto"/>
        <w:rPr>
          <w:rFonts w:hint="default" w:ascii="Times New Roman" w:hAnsi="Times New Roman" w:cs="Times New Roman"/>
          <w:color w:val="FF0000"/>
          <w:sz w:val="32"/>
          <w:szCs w:val="32"/>
          <w:highlight w:val="none"/>
        </w:rPr>
      </w:pPr>
    </w:p>
    <w:p w14:paraId="7EA2D974">
      <w:pPr>
        <w:spacing w:line="360" w:lineRule="auto"/>
        <w:rPr>
          <w:rFonts w:hint="default" w:ascii="Times New Roman" w:hAnsi="Times New Roman" w:cs="Times New Roman"/>
          <w:color w:val="FF0000"/>
          <w:sz w:val="32"/>
          <w:szCs w:val="32"/>
          <w:highlight w:val="none"/>
        </w:rPr>
      </w:pPr>
    </w:p>
    <w:p w14:paraId="5E83880C">
      <w:pPr>
        <w:spacing w:line="360" w:lineRule="auto"/>
        <w:rPr>
          <w:rFonts w:hint="default" w:ascii="Times New Roman" w:hAnsi="Times New Roman" w:cs="Times New Roman"/>
          <w:color w:val="FF0000"/>
          <w:sz w:val="32"/>
          <w:szCs w:val="32"/>
          <w:highlight w:val="none"/>
        </w:rPr>
      </w:pPr>
    </w:p>
    <w:p w14:paraId="388A6A69">
      <w:pPr>
        <w:spacing w:line="360" w:lineRule="auto"/>
        <w:rPr>
          <w:rFonts w:hint="default" w:ascii="Times New Roman" w:hAnsi="Times New Roman" w:cs="Times New Roman"/>
          <w:color w:val="FF0000"/>
          <w:sz w:val="32"/>
          <w:szCs w:val="32"/>
          <w:highlight w:val="none"/>
        </w:rPr>
      </w:pPr>
    </w:p>
    <w:p w14:paraId="79E3EAB1">
      <w:pPr>
        <w:spacing w:line="60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附件5：</w:t>
      </w:r>
    </w:p>
    <w:p w14:paraId="6F2583C1">
      <w:pPr>
        <w:spacing w:line="600" w:lineRule="auto"/>
        <w:jc w:val="center"/>
        <w:outlineLvl w:val="2"/>
        <w:rPr>
          <w:rFonts w:hint="default" w:ascii="Times New Roman" w:hAnsi="Times New Roman" w:cs="Times New Roman"/>
          <w:b/>
          <w:szCs w:val="21"/>
          <w:highlight w:val="none"/>
        </w:rPr>
      </w:pPr>
      <w:r>
        <w:rPr>
          <w:rFonts w:hint="default" w:ascii="Times New Roman" w:hAnsi="Times New Roman" w:cs="Times New Roman"/>
          <w:b/>
          <w:szCs w:val="21"/>
          <w:highlight w:val="none"/>
        </w:rPr>
        <w:t>脱贫攻坚证明文件</w:t>
      </w:r>
    </w:p>
    <w:p w14:paraId="744A6C2F">
      <w:pPr>
        <w:spacing w:line="360" w:lineRule="auto"/>
        <w:ind w:firstLine="436" w:firstLineChars="200"/>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磋商产品为贫困地区农副产品的，应提供隶属于832个国家级贫困县域内注册的企业、农民专业合作社、家庭农场等出产的农副产品的证明文件。</w:t>
      </w:r>
    </w:p>
    <w:p w14:paraId="2651AF9E">
      <w:pPr>
        <w:spacing w:line="360" w:lineRule="auto"/>
        <w:ind w:firstLine="436" w:firstLineChars="200"/>
        <w:rPr>
          <w:rFonts w:hint="default" w:ascii="Times New Roman" w:hAnsi="Times New Roman" w:cs="Times New Roman"/>
          <w:highlight w:val="none"/>
        </w:rPr>
      </w:pPr>
      <w:r>
        <w:rPr>
          <w:rFonts w:hint="default" w:ascii="Times New Roman" w:hAnsi="Times New Roman" w:cs="Times New Roman"/>
          <w:spacing w:val="4"/>
          <w:szCs w:val="21"/>
          <w:highlight w:val="none"/>
        </w:rPr>
        <w:t>供应商为物业公司提供物业服务的，应提供注册地在832个国家级贫困县域内，且聘用建档立卡贫困人员物业公司提供的物业服务证明文件。</w:t>
      </w:r>
    </w:p>
    <w:p w14:paraId="405E2B60">
      <w:pPr>
        <w:rPr>
          <w:rFonts w:hint="default" w:ascii="Times New Roman" w:hAnsi="Times New Roman" w:cs="Times New Roman"/>
          <w:highlight w:val="none"/>
        </w:rPr>
      </w:pPr>
    </w:p>
    <w:p w14:paraId="66088449">
      <w:pPr>
        <w:spacing w:before="240" w:beforeLines="100" w:after="240" w:afterLines="100" w:line="360" w:lineRule="auto"/>
        <w:jc w:val="center"/>
        <w:outlineLvl w:val="2"/>
        <w:rPr>
          <w:rFonts w:hint="default" w:ascii="Times New Roman" w:hAnsi="Times New Roman" w:cs="Times New Roman"/>
          <w:highlight w:val="none"/>
        </w:rPr>
      </w:pPr>
    </w:p>
    <w:bookmarkEnd w:id="156"/>
    <w:p w14:paraId="284A08B5">
      <w:pPr>
        <w:rPr>
          <w:rFonts w:hint="default" w:ascii="Times New Roman" w:hAnsi="Times New Roman" w:cs="Times New Roman"/>
          <w:highlight w:val="none"/>
        </w:rPr>
      </w:pPr>
    </w:p>
    <w:sectPr>
      <w:footerReference r:id="rId8" w:type="default"/>
      <w:pgSz w:w="11907" w:h="16840"/>
      <w:pgMar w:top="1440" w:right="1800" w:bottom="1440" w:left="180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A122">
    <w:pPr>
      <w:pStyle w:val="1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56C6">
    <w:pPr>
      <w:pStyle w:val="12"/>
      <w:framePr w:wrap="around" w:vAnchor="text" w:hAnchor="margin" w:xAlign="right" w:y="1"/>
      <w:rPr>
        <w:rStyle w:val="23"/>
      </w:rPr>
    </w:pPr>
    <w:r>
      <w:fldChar w:fldCharType="begin"/>
    </w:r>
    <w:r>
      <w:rPr>
        <w:rStyle w:val="23"/>
      </w:rPr>
      <w:instrText xml:space="preserve">PAGE  </w:instrText>
    </w:r>
    <w:r>
      <w:fldChar w:fldCharType="end"/>
    </w:r>
  </w:p>
  <w:p w14:paraId="63686D2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B806">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5E8E">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B420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0B420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DC91">
    <w:pPr>
      <w:pStyle w:val="13"/>
      <w:pBdr>
        <w:bottom w:val="none" w:color="auto" w:sz="0" w:space="0"/>
      </w:pBdr>
      <w:jc w:val="both"/>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CC74">
    <w:pPr>
      <w:pStyle w:val="13"/>
      <w:pBdr>
        <w:bottom w:val="single" w:color="auto" w:sz="6" w:space="0"/>
      </w:pBdr>
      <w:rPr>
        <w:szCs w:val="18"/>
      </w:rPr>
    </w:pPr>
    <w:r>
      <w:rPr>
        <w:rFonts w:hint="eastAsia"/>
        <w:szCs w:val="18"/>
      </w:rPr>
      <w:t>西安高新第五幼儿园幼儿区域玩教具及器材采购邀请磋商文件</w:t>
    </w:r>
  </w:p>
  <w:p w14:paraId="346D589B">
    <w:pPr>
      <w:pStyle w:val="8"/>
      <w:tabs>
        <w:tab w:val="left" w:pos="1890"/>
        <w:tab w:val="left" w:pos="2100"/>
        <w:tab w:val="left" w:pos="7560"/>
      </w:tabs>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AAB23"/>
    <w:multiLevelType w:val="singleLevel"/>
    <w:tmpl w:val="6A9AAB23"/>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孙笑梅">
    <w15:presenceInfo w15:providerId="WPS Office" w15:userId="262145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mY1YzJiYTBjMGRhNzIwOGMxMGU3MTkyNjc2MTgifQ=="/>
  </w:docVars>
  <w:rsids>
    <w:rsidRoot w:val="00F90F9B"/>
    <w:rsid w:val="004310E9"/>
    <w:rsid w:val="00470ABA"/>
    <w:rsid w:val="00857C25"/>
    <w:rsid w:val="00BB186F"/>
    <w:rsid w:val="00D6643C"/>
    <w:rsid w:val="00F90F9B"/>
    <w:rsid w:val="028823CB"/>
    <w:rsid w:val="028E4F97"/>
    <w:rsid w:val="02C51952"/>
    <w:rsid w:val="041D4A1D"/>
    <w:rsid w:val="04A42800"/>
    <w:rsid w:val="04C11604"/>
    <w:rsid w:val="05E97064"/>
    <w:rsid w:val="078721A2"/>
    <w:rsid w:val="087D0EA6"/>
    <w:rsid w:val="088802CB"/>
    <w:rsid w:val="0910390D"/>
    <w:rsid w:val="09A31A35"/>
    <w:rsid w:val="0AE711F7"/>
    <w:rsid w:val="0C7E427E"/>
    <w:rsid w:val="0CA37A0A"/>
    <w:rsid w:val="0D7F02AE"/>
    <w:rsid w:val="0D815C49"/>
    <w:rsid w:val="0E9F580C"/>
    <w:rsid w:val="0FB52D72"/>
    <w:rsid w:val="10962D24"/>
    <w:rsid w:val="10A6737B"/>
    <w:rsid w:val="119B5392"/>
    <w:rsid w:val="12076E26"/>
    <w:rsid w:val="14C03686"/>
    <w:rsid w:val="14CC571D"/>
    <w:rsid w:val="15733288"/>
    <w:rsid w:val="17B04C3D"/>
    <w:rsid w:val="18372C94"/>
    <w:rsid w:val="190E6715"/>
    <w:rsid w:val="1963182C"/>
    <w:rsid w:val="19E576EB"/>
    <w:rsid w:val="1A1D50D7"/>
    <w:rsid w:val="1AAF10E6"/>
    <w:rsid w:val="1BB154CD"/>
    <w:rsid w:val="1CE516E8"/>
    <w:rsid w:val="1CF42133"/>
    <w:rsid w:val="1D4F075C"/>
    <w:rsid w:val="1E174FCB"/>
    <w:rsid w:val="1F751511"/>
    <w:rsid w:val="1FB21573"/>
    <w:rsid w:val="1FE52989"/>
    <w:rsid w:val="20451F77"/>
    <w:rsid w:val="21D6064C"/>
    <w:rsid w:val="21F20FAD"/>
    <w:rsid w:val="236B0E2C"/>
    <w:rsid w:val="237A5348"/>
    <w:rsid w:val="248E7C32"/>
    <w:rsid w:val="252627DE"/>
    <w:rsid w:val="25674E52"/>
    <w:rsid w:val="2622700F"/>
    <w:rsid w:val="269C23B3"/>
    <w:rsid w:val="274009FD"/>
    <w:rsid w:val="282062D5"/>
    <w:rsid w:val="294A3803"/>
    <w:rsid w:val="2E7E1AA5"/>
    <w:rsid w:val="2EF37389"/>
    <w:rsid w:val="2FD2517E"/>
    <w:rsid w:val="2FDF6CCE"/>
    <w:rsid w:val="314932B3"/>
    <w:rsid w:val="324230C1"/>
    <w:rsid w:val="329B6547"/>
    <w:rsid w:val="33033A2C"/>
    <w:rsid w:val="348956EC"/>
    <w:rsid w:val="34F7435C"/>
    <w:rsid w:val="3569660D"/>
    <w:rsid w:val="363475D8"/>
    <w:rsid w:val="387550D3"/>
    <w:rsid w:val="3CF14FF2"/>
    <w:rsid w:val="3F514D57"/>
    <w:rsid w:val="3F87308C"/>
    <w:rsid w:val="430D515B"/>
    <w:rsid w:val="43BD0C0D"/>
    <w:rsid w:val="44C85ABB"/>
    <w:rsid w:val="457B0D80"/>
    <w:rsid w:val="45C2134A"/>
    <w:rsid w:val="469A0E11"/>
    <w:rsid w:val="46D91EF5"/>
    <w:rsid w:val="47240FA3"/>
    <w:rsid w:val="49244EE6"/>
    <w:rsid w:val="4B052E99"/>
    <w:rsid w:val="4B18582C"/>
    <w:rsid w:val="4BC724F1"/>
    <w:rsid w:val="4DA0458F"/>
    <w:rsid w:val="4DC03615"/>
    <w:rsid w:val="4E157897"/>
    <w:rsid w:val="4EB476BE"/>
    <w:rsid w:val="502450F8"/>
    <w:rsid w:val="55C107F3"/>
    <w:rsid w:val="561E65AA"/>
    <w:rsid w:val="573005BD"/>
    <w:rsid w:val="575E2511"/>
    <w:rsid w:val="58D151B9"/>
    <w:rsid w:val="5990455D"/>
    <w:rsid w:val="5C690E30"/>
    <w:rsid w:val="602E7AF0"/>
    <w:rsid w:val="618468BE"/>
    <w:rsid w:val="637013A0"/>
    <w:rsid w:val="641135DA"/>
    <w:rsid w:val="655F791E"/>
    <w:rsid w:val="658D43D8"/>
    <w:rsid w:val="666B0372"/>
    <w:rsid w:val="668B16C9"/>
    <w:rsid w:val="68BB6FF8"/>
    <w:rsid w:val="69795BCD"/>
    <w:rsid w:val="6A087C20"/>
    <w:rsid w:val="6A765200"/>
    <w:rsid w:val="6B272696"/>
    <w:rsid w:val="6E783C84"/>
    <w:rsid w:val="6E7C3AA2"/>
    <w:rsid w:val="6EB56801"/>
    <w:rsid w:val="6ED10099"/>
    <w:rsid w:val="6FFC0ED2"/>
    <w:rsid w:val="73957293"/>
    <w:rsid w:val="73E0162F"/>
    <w:rsid w:val="74E5073F"/>
    <w:rsid w:val="762F7D45"/>
    <w:rsid w:val="77FE2FC7"/>
    <w:rsid w:val="78556A50"/>
    <w:rsid w:val="785D5F3F"/>
    <w:rsid w:val="78886D34"/>
    <w:rsid w:val="7A061493"/>
    <w:rsid w:val="7A904AC6"/>
    <w:rsid w:val="7E40312D"/>
    <w:rsid w:val="7E78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jc w:val="center"/>
      <w:outlineLvl w:val="0"/>
    </w:pPr>
    <w:rPr>
      <w:rFonts w:ascii="宋体" w:hAnsi="宋体"/>
      <w:b/>
      <w:sz w:val="36"/>
    </w:rPr>
  </w:style>
  <w:style w:type="paragraph" w:styleId="4">
    <w:name w:val="heading 2"/>
    <w:basedOn w:val="1"/>
    <w:next w:val="1"/>
    <w:link w:val="36"/>
    <w:qFormat/>
    <w:uiPriority w:val="0"/>
    <w:pPr>
      <w:spacing w:line="360" w:lineRule="auto"/>
      <w:jc w:val="center"/>
      <w:outlineLvl w:val="1"/>
    </w:pPr>
    <w:rPr>
      <w:rFonts w:ascii="宋体" w:hAnsi="宋体"/>
      <w:b/>
      <w:sz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2">
    <w:name w:val="heading 4"/>
    <w:basedOn w:val="1"/>
    <w:next w:val="1"/>
    <w:qFormat/>
    <w:uiPriority w:val="0"/>
    <w:pPr>
      <w:keepNext/>
      <w:outlineLvl w:val="3"/>
    </w:pPr>
    <w:rPr>
      <w:color w:val="FF0000"/>
      <w:sz w:val="28"/>
      <w:u w:val="single"/>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1"/>
    <w:qFormat/>
    <w:uiPriority w:val="0"/>
    <w:pPr>
      <w:jc w:val="center"/>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widowControl/>
      <w:jc w:val="left"/>
    </w:pPr>
    <w:rPr>
      <w:kern w:val="0"/>
      <w:sz w:val="20"/>
    </w:rPr>
  </w:style>
  <w:style w:type="paragraph" w:styleId="15">
    <w:name w:val="Body Text Indent 3"/>
    <w:basedOn w:val="1"/>
    <w:qFormat/>
    <w:uiPriority w:val="0"/>
    <w:pPr>
      <w:spacing w:after="120"/>
      <w:ind w:left="420" w:leftChars="200"/>
    </w:pPr>
    <w:rPr>
      <w:sz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8"/>
    <w:unhideWhenUsed/>
    <w:qFormat/>
    <w:uiPriority w:val="99"/>
    <w:pPr>
      <w:spacing w:after="120"/>
      <w:ind w:firstLine="420" w:firstLineChars="100"/>
      <w:jc w:val="both"/>
    </w:pPr>
    <w:rPr>
      <w:rFonts w:ascii="Calibri" w:hAnsi="Calibri"/>
    </w:rPr>
  </w:style>
  <w:style w:type="paragraph" w:styleId="18">
    <w:name w:val="Body Text First Indent 2"/>
    <w:basedOn w:val="9"/>
    <w:qFormat/>
    <w:uiPriority w:val="99"/>
    <w:pPr>
      <w:tabs>
        <w:tab w:val="left" w:pos="4900"/>
      </w:tabs>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771CAA"/>
      <w:u w:val="none"/>
    </w:rPr>
  </w:style>
  <w:style w:type="character" w:styleId="25">
    <w:name w:val="Emphasis"/>
    <w:basedOn w:val="21"/>
    <w:qFormat/>
    <w:uiPriority w:val="0"/>
    <w:rPr>
      <w:color w:val="F73131"/>
    </w:rPr>
  </w:style>
  <w:style w:type="character" w:styleId="26">
    <w:name w:val="Hyperlink"/>
    <w:qFormat/>
    <w:uiPriority w:val="99"/>
    <w:rPr>
      <w:rFonts w:ascii="微软雅黑" w:hAnsi="微软雅黑" w:eastAsia="微软雅黑" w:cs="微软雅黑"/>
      <w:color w:val="000000"/>
      <w:sz w:val="18"/>
      <w:szCs w:val="18"/>
      <w:u w:val="none"/>
    </w:rPr>
  </w:style>
  <w:style w:type="character" w:styleId="27">
    <w:name w:val="HTML Cite"/>
    <w:basedOn w:val="21"/>
    <w:qFormat/>
    <w:uiPriority w:val="0"/>
    <w:rPr>
      <w:vanish/>
      <w:color w:val="008000"/>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缩进1"/>
    <w:basedOn w:val="1"/>
    <w:qFormat/>
    <w:uiPriority w:val="0"/>
    <w:pPr>
      <w:ind w:firstLine="42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font01"/>
    <w:qFormat/>
    <w:uiPriority w:val="0"/>
    <w:rPr>
      <w:rFonts w:ascii="Arial" w:hAnsi="Arial" w:cs="Arial"/>
      <w:color w:val="000000"/>
      <w:sz w:val="20"/>
      <w:szCs w:val="20"/>
      <w:u w:val="none"/>
    </w:rPr>
  </w:style>
  <w:style w:type="paragraph" w:customStyle="1" w:styleId="33">
    <w:name w:val="样式 首行缩进:  2 字符"/>
    <w:basedOn w:val="1"/>
    <w:qFormat/>
    <w:uiPriority w:val="0"/>
    <w:pPr>
      <w:spacing w:line="400" w:lineRule="exact"/>
      <w:ind w:firstLine="200" w:firstLineChars="200"/>
    </w:pPr>
    <w:rPr>
      <w:rFonts w:ascii="Calibri" w:hAnsi="Calibri" w:cs="宋体"/>
      <w:sz w:val="24"/>
      <w:szCs w:val="22"/>
    </w:rPr>
  </w:style>
  <w:style w:type="paragraph" w:customStyle="1" w:styleId="34">
    <w:name w:val="正文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character" w:customStyle="1" w:styleId="35">
    <w:name w:val="标题 1 Char"/>
    <w:link w:val="3"/>
    <w:qFormat/>
    <w:uiPriority w:val="0"/>
    <w:rPr>
      <w:rFonts w:ascii="宋体" w:hAnsi="宋体"/>
      <w:b/>
      <w:sz w:val="36"/>
    </w:rPr>
  </w:style>
  <w:style w:type="character" w:customStyle="1" w:styleId="36">
    <w:name w:val="标题 2 Char"/>
    <w:link w:val="4"/>
    <w:qFormat/>
    <w:uiPriority w:val="0"/>
    <w:rPr>
      <w:rFonts w:ascii="宋体" w:hAnsi="宋体"/>
      <w:b/>
      <w:sz w:val="32"/>
    </w:rPr>
  </w:style>
  <w:style w:type="paragraph" w:customStyle="1" w:styleId="37">
    <w:name w:val="正文自定"/>
    <w:basedOn w:val="1"/>
    <w:qFormat/>
    <w:uiPriority w:val="0"/>
    <w:pPr>
      <w:tabs>
        <w:tab w:val="left" w:pos="7665"/>
      </w:tabs>
      <w:spacing w:line="360" w:lineRule="auto"/>
      <w:ind w:firstLine="200" w:firstLineChars="200"/>
    </w:pPr>
    <w:rPr>
      <w:rFonts w:ascii="宋体"/>
      <w:sz w:val="24"/>
      <w:szCs w:val="24"/>
    </w:rPr>
  </w:style>
  <w:style w:type="paragraph" w:customStyle="1" w:styleId="38">
    <w:name w:val="Char1"/>
    <w:basedOn w:val="1"/>
    <w:qFormat/>
    <w:uiPriority w:val="0"/>
    <w:pPr>
      <w:spacing w:line="360" w:lineRule="auto"/>
    </w:pPr>
    <w:rPr>
      <w:rFonts w:ascii="仿宋_GB2312" w:eastAsia="仿宋_GB2312"/>
      <w:b/>
      <w:sz w:val="32"/>
    </w:rPr>
  </w:style>
  <w:style w:type="character" w:customStyle="1" w:styleId="39">
    <w:name w:val="font31"/>
    <w:basedOn w:val="21"/>
    <w:qFormat/>
    <w:uiPriority w:val="0"/>
    <w:rPr>
      <w:rFonts w:hint="eastAsia" w:ascii="宋体" w:hAnsi="宋体" w:eastAsia="宋体" w:cs="宋体"/>
      <w:color w:val="000000"/>
      <w:sz w:val="22"/>
      <w:szCs w:val="22"/>
      <w:u w:val="none"/>
    </w:rPr>
  </w:style>
  <w:style w:type="character" w:customStyle="1" w:styleId="40">
    <w:name w:val="font91"/>
    <w:basedOn w:val="21"/>
    <w:qFormat/>
    <w:uiPriority w:val="0"/>
    <w:rPr>
      <w:rFonts w:hint="eastAsia" w:ascii="宋体" w:hAnsi="宋体" w:eastAsia="宋体" w:cs="宋体"/>
      <w:color w:val="FF0000"/>
      <w:sz w:val="18"/>
      <w:szCs w:val="18"/>
      <w:u w:val="none"/>
    </w:rPr>
  </w:style>
  <w:style w:type="character" w:customStyle="1" w:styleId="41">
    <w:name w:val="font11"/>
    <w:basedOn w:val="21"/>
    <w:qFormat/>
    <w:uiPriority w:val="0"/>
    <w:rPr>
      <w:rFonts w:hint="eastAsia" w:ascii="宋体" w:hAnsi="宋体" w:eastAsia="宋体" w:cs="宋体"/>
      <w:color w:val="000000"/>
      <w:sz w:val="18"/>
      <w:szCs w:val="18"/>
      <w:u w:val="none"/>
    </w:rPr>
  </w:style>
  <w:style w:type="character" w:customStyle="1" w:styleId="42">
    <w:name w:val="font101"/>
    <w:basedOn w:val="21"/>
    <w:qFormat/>
    <w:uiPriority w:val="0"/>
    <w:rPr>
      <w:rFonts w:hint="eastAsia" w:ascii="宋体" w:hAnsi="宋体" w:eastAsia="宋体" w:cs="宋体"/>
      <w:color w:val="FF0000"/>
      <w:sz w:val="22"/>
      <w:szCs w:val="22"/>
      <w:u w:val="none"/>
    </w:rPr>
  </w:style>
  <w:style w:type="character" w:customStyle="1" w:styleId="43">
    <w:name w:val="font41"/>
    <w:basedOn w:val="21"/>
    <w:qFormat/>
    <w:uiPriority w:val="0"/>
    <w:rPr>
      <w:rFonts w:hint="eastAsia" w:ascii="宋体" w:hAnsi="宋体" w:eastAsia="宋体" w:cs="宋体"/>
      <w:color w:val="000000"/>
      <w:sz w:val="22"/>
      <w:szCs w:val="22"/>
      <w:u w:val="none"/>
    </w:rPr>
  </w:style>
  <w:style w:type="character" w:customStyle="1" w:styleId="44">
    <w:name w:val="10"/>
    <w:basedOn w:val="21"/>
    <w:qFormat/>
    <w:uiPriority w:val="0"/>
    <w:rPr>
      <w:rFonts w:hint="default" w:ascii="Times New Roman" w:hAnsi="Times New Roman" w:eastAsia="宋体" w:cs="Times New Roman"/>
    </w:rPr>
  </w:style>
  <w:style w:type="character" w:customStyle="1" w:styleId="45">
    <w:name w:val="15"/>
    <w:basedOn w:val="21"/>
    <w:qFormat/>
    <w:uiPriority w:val="0"/>
    <w:rPr>
      <w:rFonts w:hint="default" w:ascii="Times New Roman" w:hAnsi="Times New Roman" w:eastAsia="宋体" w:cs="Times New Roman"/>
    </w:rPr>
  </w:style>
  <w:style w:type="character" w:customStyle="1" w:styleId="46">
    <w:name w:val="font61"/>
    <w:basedOn w:val="21"/>
    <w:qFormat/>
    <w:uiPriority w:val="0"/>
    <w:rPr>
      <w:rFonts w:hint="eastAsia" w:ascii="宋体" w:hAnsi="宋体" w:eastAsia="宋体" w:cs="宋体"/>
      <w:color w:val="000000"/>
      <w:sz w:val="20"/>
      <w:szCs w:val="20"/>
      <w:u w:val="none"/>
    </w:rPr>
  </w:style>
  <w:style w:type="character" w:customStyle="1" w:styleId="47">
    <w:name w:val="c-icon30"/>
    <w:basedOn w:val="21"/>
    <w:qFormat/>
    <w:uiPriority w:val="0"/>
  </w:style>
  <w:style w:type="character" w:customStyle="1" w:styleId="48">
    <w:name w:val="hover26"/>
    <w:basedOn w:val="21"/>
    <w:qFormat/>
    <w:uiPriority w:val="0"/>
  </w:style>
  <w:style w:type="character" w:customStyle="1" w:styleId="49">
    <w:name w:val="hover27"/>
    <w:basedOn w:val="21"/>
    <w:qFormat/>
    <w:uiPriority w:val="0"/>
    <w:rPr>
      <w:color w:val="315EFB"/>
    </w:rPr>
  </w:style>
  <w:style w:type="character" w:customStyle="1" w:styleId="50">
    <w:name w:val="hover28"/>
    <w:basedOn w:val="21"/>
    <w:qFormat/>
    <w:uiPriority w:val="0"/>
    <w:rPr>
      <w:color w:val="315EFB"/>
    </w:rPr>
  </w:style>
  <w:style w:type="character" w:customStyle="1" w:styleId="51">
    <w:name w:val="c-icon"/>
    <w:basedOn w:val="21"/>
    <w:qFormat/>
    <w:uiPriority w:val="0"/>
  </w:style>
  <w:style w:type="character" w:customStyle="1" w:styleId="52">
    <w:name w:val="hover"/>
    <w:basedOn w:val="21"/>
    <w:qFormat/>
    <w:uiPriority w:val="0"/>
  </w:style>
  <w:style w:type="character" w:customStyle="1" w:styleId="53">
    <w:name w:val="hover1"/>
    <w:basedOn w:val="21"/>
    <w:qFormat/>
    <w:uiPriority w:val="0"/>
    <w:rPr>
      <w:color w:val="315EFB"/>
    </w:rPr>
  </w:style>
  <w:style w:type="character" w:customStyle="1" w:styleId="54">
    <w:name w:val="hover2"/>
    <w:basedOn w:val="21"/>
    <w:qFormat/>
    <w:uiPriority w:val="0"/>
    <w:rPr>
      <w:color w:val="315EFB"/>
    </w:rPr>
  </w:style>
  <w:style w:type="character" w:customStyle="1" w:styleId="55">
    <w:name w:val="content-right_8zs401"/>
    <w:basedOn w:val="21"/>
    <w:qFormat/>
    <w:uiPriority w:val="0"/>
  </w:style>
  <w:style w:type="character" w:customStyle="1" w:styleId="56">
    <w:name w:val="hover29"/>
    <w:basedOn w:val="21"/>
    <w:qFormat/>
    <w:uiPriority w:val="0"/>
    <w:rPr>
      <w:color w:val="315EFB"/>
    </w:rPr>
  </w:style>
  <w:style w:type="paragraph" w:customStyle="1" w:styleId="57">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styleId="58">
    <w:name w:val="List Paragraph"/>
    <w:basedOn w:val="1"/>
    <w:qFormat/>
    <w:uiPriority w:val="1"/>
    <w:pPr>
      <w:ind w:left="105" w:right="109" w:firstLine="655"/>
    </w:pPr>
    <w:rPr>
      <w:rFonts w:ascii="仿宋" w:hAnsi="仿宋" w:eastAsia="仿宋" w:cs="仿宋"/>
      <w:u w:val="single" w:color="000000"/>
      <w:lang w:val="zh-CN" w:eastAsia="zh-CN" w:bidi="zh-CN"/>
    </w:rPr>
  </w:style>
  <w:style w:type="paragraph" w:customStyle="1" w:styleId="59">
    <w:name w:val="Table Paragraph"/>
    <w:basedOn w:val="1"/>
    <w:unhideWhenUsed/>
    <w:qFormat/>
    <w:uiPriority w:val="1"/>
    <w:pPr>
      <w:spacing w:beforeLines="0" w:afterLines="0"/>
      <w:ind w:left="103"/>
    </w:pPr>
    <w:rPr>
      <w:rFonts w:hint="eastAsia"/>
      <w:sz w:val="24"/>
      <w:szCs w:val="24"/>
    </w:rPr>
  </w:style>
  <w:style w:type="character" w:customStyle="1" w:styleId="60">
    <w:name w:val="font51"/>
    <w:basedOn w:val="21"/>
    <w:qFormat/>
    <w:uiPriority w:val="0"/>
    <w:rPr>
      <w:rFonts w:hint="eastAsia" w:ascii="宋体" w:hAnsi="宋体" w:eastAsia="宋体" w:cs="宋体"/>
      <w:color w:val="000000"/>
      <w:sz w:val="18"/>
      <w:szCs w:val="18"/>
      <w:u w:val="none"/>
    </w:rPr>
  </w:style>
  <w:style w:type="paragraph" w:customStyle="1" w:styleId="61">
    <w:name w:val="Table Text"/>
    <w:basedOn w:val="1"/>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3427</Words>
  <Characters>3794</Characters>
  <Lines>312</Lines>
  <Paragraphs>87</Paragraphs>
  <TotalTime>4</TotalTime>
  <ScaleCrop>false</ScaleCrop>
  <LinksUpToDate>false</LinksUpToDate>
  <CharactersWithSpaces>3839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2022-06-20T07:38:00Z</dcterms:created>
  <dc:creator>Administrator</dc:creator>
  <cp:lastModifiedBy>孙笑梅</cp:lastModifiedBy>
  <dcterms:modified xsi:type="dcterms:W3CDTF">2025-09-02T03:35:46Z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581F8F1C2CB145938750EBCF4D66D932</vt:lpwstr>
  </property>
  <property fmtid="{D5CDD505-2E9C-101B-9397-08002B2CF9AE}" pid="4" name="KSOTemplateDocerSaveRecord">
    <vt:lpwstr>eyJoZGlkIjoiOGY5YmY1YzJiYTBjMGRhNzIwOGMxMGU3MTkyNjc2MTgiLCJ1c2VySWQiOiI1NTQxMjM5NjIifQ==</vt:lpwstr>
  </property>
</Properties>
</file>