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20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55"/>
        <w:gridCol w:w="2864"/>
        <w:gridCol w:w="1227"/>
        <w:gridCol w:w="1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主要内容及要求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检察院检察OA系统开发服务</w:t>
            </w: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提供定制化功能服务，包含但不限于以下内容：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提供门户管理、公文管理、信息管理、事务审批、日程管理、会议等管理功能：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1.门户管理：支持通过配置和开发方式实现其他访问链接和页面数据集成；支持管理员自定义界面；提供登录界面的LOGO、网页标题、登录框等设置；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公文管理：支持发文、收文、签报等多种文件流转方式；支持起草拟文、红头文件、打印空白表单；支持转发文、转收文、转签报文件关联；支持文号按需预留、跨年补录公文、文号作废或释放；支持来文、收文、签报、转发文办理及分发等相关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3.信息管理：支持设置管理权限、维护权限和浏览权限、音视频文件的播放、信息在各分类栏目之间的批量移动与批量复制、信息的发布、保存草稿功能等。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4.日程管理：支持活动安排、待办事项提醒、查看下属工作动态等；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5.个人中心：支持头像、个性签名等基础设置；支持重置密码；支持查看单位内部联系人通讯录信息等；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6.会议管理：支持会议全过程跟踪，包含会议预定、议题征集、会议发起、会议统计等。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实现办公自动化系统文件办结自动预归档，并与电子档案管理系统数据对接。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档案管理子系统支持对档案门类、年度、项目、分类表等目录树进行自定义创建；提供档案类型树切换、档案条目的新增、修改、批量修改、删除、电子全文维护、档号编制、档案浏览；支持自动归档、半自动归档和手动归档模式；档案分类、编码规则、显示方式可自定义设置；针对不同的用户群体设置不同的流程，包括：归档、借阅、移交和销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数据库</w:t>
            </w: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1.为国产数据库，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拥有自主知识产权，完全自主可控，达到《信息技术产品自主原创测评要求》（试行）要求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提供计算机软件著作权证书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，核心功能模块的核心源码自主代码比例不低于95%，需提供具备CMA或CNAS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认可的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检测机构出具的核心源代码开源率证明及自主原创性测评证书。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具备数据存储、访问控制、身份鉴别、安全审计和数据备份恢复等功能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支持通过图形化管理工具管理系统或命令行工具，支持对数据对象（表、视图、索引等）的配置管理；支持标准化数据库访问接口，开发基于数据库的应用系统和软件产品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支持通过中国信息安全测评中心测评的CPU架构服务器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主流国产操作系统平台（2024年1号、2号测评结果公告），符合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数据库政府采购需求标准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（2023年版）；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针对关键业务（数据中心，行业关键应用）负载而构建的高可靠、易管理Linux服务器操作系统；要求系统稳定、安全、高性能、可靠等，提供全生命周期的系统管理，保证系统安全。与检察工作网云平台操作系统兼容。具备文件管理、设备管理、日志营理、服务管理、进程和监控管理,网络管理、资源管理、软件包管理、硬盘管理等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具有与其他平台的兼容适配性， 提供与其兼容的开发和运行接口。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提供类似 Windows 的经典和创新用户体验,满足不同的视觉和交互需求;基于插件模式将系统主题、桌面、任务栏、开始菜单等桌面组件并行加载，优化桌面图形加载速度;基于组件的桌面环境管理方式，组件之间采用高可靠进程间通信，有效提高系统稳定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优化支持 KVM、Docker、LXC 等虚拟化,以及 Ceph、GlusterFs、OpenStack、k8s 等原生技术生态,实现对容器、虚拟化、云平台、大数据等云原生应用的良好支持;提供新业务容器化运行和高性能可伸缩的容器应用管理平台。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通过XFS文件系统、备份恢复、网卡绑定、硬件冗余等技术和配套的磁盘心跳级麒麟高可用集群软件，实现主机系统和业务应用的高可用保护，对外提供可持续服务。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提供图形化管理工具和统一的管理平台，实现对物理服务器集群运行状态的监控及预警、对虚拟化集群的配置及管控、对高可用集群的策略定制和资源调配等功能。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GPU </w:t>
            </w: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1、数量：1台。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2、内存：容量≥24GB，LPDDR4X 及以上标准 ，总带宽≥200GB/s ，满足 AI 推理、视频编解码等场景数据传输需求 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3、AI算力：支持 INT8 精度下≥140TOPS 运算能力 ，FP16 精度下≥70TFLOPS 运算能力 ，具备高效 AI 模型推理、训练加速能力 ，适配常见深度学习框架等。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4、编解码能力：需支持 H.264、H.265 视频编解码标准（支持 4K 及以上分辨率视频实时编解码优先），具备 JPEG 图片编解码功能 ，可高效处理视频流、图像数据输入输出 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5、CPU算力：核心数≥8 核*1.9GHz ，支持多线程并行运算 ，满足设备系统调度、数据预处理等 CPU 侧算力需求 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6、PCle：PCle x16 Gen4.0；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7、形态：半高半长PCle卡；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8、工作环境温度：工作环境温度支持 0℃~55℃ ，具备一定环境适应性 ，在常规机房、工业现场等环境可稳定运行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服务器附件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单套数量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服务器机箱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服务器机箱需支持至少 12 块 3.5 英寸硬盘扩展，具备标准 EXP 机箱结构，兼容主流服务器硬件架构，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散热、防尘设计，满足 7×24 小时稳定运行需求 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支持≥2 颗处理器，单颗处理器核心数≥64 核，基础主频≥2.6GHz 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≥3个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扩展接口，支持内存、硬盘、网卡等组件高效适配，符合信创技术体系兼容性要求 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内存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内存类型为 DDR4 及以上标准，单条容量≥32GB ，具备良好的兼容性和稳定性，与主板、处理器协同工作无兼容性问题 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Riser卡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Riser 卡需提供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 xml:space="preserve"> 3 个 PCIe 16X 标准插槽，支持 PCIe 3.0 及以上协议，保障扩展卡高速数据传输，具备稳固的物理结构，适配服务器机箱内部空间布局 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SATA SSD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企业级 SATA SSD 硬盘，容量≥480GB ，2.5 </w:t>
            </w:r>
            <w:r>
              <w:rPr>
                <w:rStyle w:val="4"/>
                <w:highlight w:val="none"/>
                <w:lang w:val="en-US" w:eastAsia="zh-CN" w:bidi="ar"/>
              </w:rPr>
              <w:t>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，顺序读取速度≥500 MB/s，具备掉电保护、磨损均衡等企业级特性，平均无故障时间（MTBF）≥150 万小时 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SATA HDD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容量≥6TB ，接口速率≥6Gb/s ，转速≥7200RPM ，3.5 英寸规格，具备低功耗、高可靠性设计，支持 RAID 阵列组建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RAID标卡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RAID 控制卡，支持 RAID 0、1、5、10 等常用阵列模式，具备硬件加速功能，缓存容量≥1GB ，适配服务器硬盘接口类型（SATA/SAS 等），支持在线扩容、阵列迁移等管理功能，保障数据存储安全与读写效率 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RAID卡线缆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RAID 卡专用高速数据线缆，接口类型为 Mini SAS HD ，长度适配服务器内部布线需求，传输速率满足 RAID 卡与硬盘背板数据交互要求，具备抗干扰、低衰减特性 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超级电容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为 RAID 卡配套的超级电容模块，具备断电保护功能，支持在意外断电时将 RAID 卡缓存数据安全写入硬盘，保障数据完整性，容量与放电时间满足 RAID 卡缓存保护需求，兼容所选 RAID 控制卡 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交流输入电源模块，额定功率需满足服务器整机功耗需求，提供过压、过流、欠压保护功能 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服务器配套交流电源线，分别提供长度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 xml:space="preserve"> 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3m  规格，符合国标/国际通用插头、线缆标准，线径满足电源模块功率传输要求，具备良好的绝缘、耐温性能 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服务器配套交流电源线，分别提供长度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约1.5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m规格，符合国标/国际通用插头、线缆标准，线径满足电源模块功率传输要求，具备良好的绝缘、耐温性能 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服务器网卡，提供至少 2 个 10Gb 网络接口，接口类型为 SFP+ ，适配 PCIe 3.0 x8 及以上插槽，支持万兆网络数据传输，兼容主流网络交换机，具备网络唤醒、流量控制等功能，支持无模块或适配通用 SFP+ 光模块。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光模块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SFP+ 光模块，传输速率 10G ，多模光纤适配，工作波长 850nm ，传输距离≥0.3km ，接口类型 LC ，与所选网卡、交换机兼容，满足服务器万兆网络光信号传输需求 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滑轨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服务器滑轨套件，适配 2U 服务器机箱，为静态滑轨设计，具备顺滑安装、固定功能，承重能力满足服务器整机重量，兼容标准服务器机柜安装尺寸。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标签包装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提供完整的服务器及附件标签标识，包含设备型号、序列号、资产编码等信息，便于资产管理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常规固件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 xml:space="preserve">常规固件需为官方发布的稳定版本，支持后续固件升级服务，保障设备功能优化与安全补丁更新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相关服务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 xml:space="preserve">服务器及硬盘维保服务，服务期限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年 。需提供原厂或具备对应资质第三方服务商的维保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，涵盖服务器硬件故障维修、备件更换（硬盘、电源、主板等关键部件 ）、年度硬件检测等。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硬盘介质保留服务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2年，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需保障故障硬盘数据安全存储、销毁，遵循数据安全法规，提供服务报告与数据处理记录 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整机安装服务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9BF96"/>
    <w:multiLevelType w:val="singleLevel"/>
    <w:tmpl w:val="A249B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ZTUyN2RhZjc0Y2I2ZWZkNjBmZjZmNGNhNDhlNzMifQ=="/>
  </w:docVars>
  <w:rsids>
    <w:rsidRoot w:val="00000000"/>
    <w:rsid w:val="15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2025-09-05T09:53:25Z</dcterms:created>
  <dc:creator>Administrator</dc:creator>
  <cp:lastModifiedBy>左左</cp:lastModifiedBy>
  <dcterms:modified xsi:type="dcterms:W3CDTF">2025-09-05T09:53:30Z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FD723CD086FC45B7AD04486EFE3C65F1_12</vt:lpwstr>
  </property>
</Properties>
</file>