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674C3">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YZZB-20250134</w:t>
      </w: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32ECB6AC">
      <w:pPr>
        <w:jc w:val="center"/>
        <w:rPr>
          <w:rFonts w:hint="eastAsia" w:hAnsi="宋体" w:cs="宋体"/>
          <w:b/>
          <w:color w:val="auto"/>
          <w:sz w:val="72"/>
          <w:szCs w:val="72"/>
          <w:highlight w:val="none"/>
        </w:rPr>
      </w:pPr>
    </w:p>
    <w:p w14:paraId="72ACAE46">
      <w:pPr>
        <w:jc w:val="center"/>
        <w:rPr>
          <w:rFonts w:hint="eastAsia" w:hAnsi="宋体" w:eastAsia="宋体" w:cs="宋体"/>
          <w:b/>
          <w:color w:val="auto"/>
          <w:sz w:val="60"/>
          <w:szCs w:val="60"/>
          <w:highlight w:val="none"/>
          <w:lang w:eastAsia="zh-CN"/>
        </w:rPr>
      </w:pPr>
      <w:r>
        <w:rPr>
          <w:rFonts w:hint="eastAsia" w:hAnsi="宋体" w:cs="宋体"/>
          <w:b/>
          <w:color w:val="auto"/>
          <w:sz w:val="60"/>
          <w:szCs w:val="60"/>
          <w:highlight w:val="none"/>
          <w:lang w:eastAsia="zh-CN"/>
        </w:rPr>
        <w:t>柞水县金米村绿化提升工程</w:t>
      </w:r>
    </w:p>
    <w:p w14:paraId="4363D4D3">
      <w:pPr>
        <w:spacing w:line="780" w:lineRule="auto"/>
        <w:jc w:val="center"/>
        <w:rPr>
          <w:rFonts w:hAnsi="宋体" w:cs="宋体"/>
          <w:b/>
          <w:color w:val="auto"/>
          <w:sz w:val="72"/>
          <w:szCs w:val="72"/>
          <w:highlight w:val="none"/>
        </w:rPr>
      </w:pPr>
    </w:p>
    <w:p w14:paraId="1BB9E4BB">
      <w:pPr>
        <w:spacing w:line="780" w:lineRule="auto"/>
        <w:jc w:val="center"/>
        <w:rPr>
          <w:rFonts w:hint="eastAsia" w:hAnsi="宋体" w:cs="宋体"/>
          <w:b/>
          <w:color w:val="auto"/>
          <w:sz w:val="72"/>
          <w:szCs w:val="72"/>
          <w:highlight w:val="none"/>
        </w:rPr>
      </w:pPr>
    </w:p>
    <w:p w14:paraId="704BC132">
      <w:pPr>
        <w:spacing w:line="780" w:lineRule="auto"/>
        <w:jc w:val="center"/>
        <w:rPr>
          <w:rFonts w:hint="eastAsia" w:hAnsi="宋体" w:cs="宋体"/>
          <w:b/>
          <w:color w:val="auto"/>
          <w:sz w:val="72"/>
          <w:szCs w:val="72"/>
          <w:highlight w:val="none"/>
        </w:rPr>
      </w:pPr>
    </w:p>
    <w:p w14:paraId="2C2EC859">
      <w:pPr>
        <w:spacing w:line="780" w:lineRule="auto"/>
        <w:jc w:val="center"/>
        <w:rPr>
          <w:rFonts w:hint="eastAsia"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30D2364E">
      <w:pPr>
        <w:pStyle w:val="9"/>
        <w:jc w:val="both"/>
        <w:rPr>
          <w:rFonts w:hAnsi="宋体" w:cs="宋体"/>
          <w:b/>
          <w:color w:val="auto"/>
          <w:sz w:val="32"/>
          <w:szCs w:val="32"/>
          <w:highlight w:val="none"/>
        </w:rPr>
      </w:pPr>
    </w:p>
    <w:p w14:paraId="5093031D">
      <w:pPr>
        <w:ind w:firstLine="1285" w:firstLineChars="4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柞水县林业局</w:t>
      </w:r>
    </w:p>
    <w:p w14:paraId="74ED0637">
      <w:pPr>
        <w:ind w:firstLine="1285" w:firstLineChars="4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代理机构：</w:t>
      </w:r>
      <w:r>
        <w:rPr>
          <w:rFonts w:hint="eastAsia" w:hAnsi="宋体" w:cs="宋体"/>
          <w:b/>
          <w:bCs/>
          <w:color w:val="auto"/>
          <w:sz w:val="32"/>
          <w:szCs w:val="32"/>
          <w:highlight w:val="none"/>
          <w:lang w:eastAsia="zh-CN"/>
        </w:rPr>
        <w:t>陕西银正项目管理有限公司</w:t>
      </w:r>
    </w:p>
    <w:p w14:paraId="760A58E9">
      <w:pPr>
        <w:pStyle w:val="9"/>
        <w:spacing w:after="0"/>
        <w:ind w:firstLine="1285" w:firstLineChars="400"/>
        <w:jc w:val="both"/>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九</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4AB1238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8"/>
        <w:tabs>
          <w:tab w:val="right" w:leader="dot" w:pos="8787"/>
        </w:tabs>
        <w:rPr>
          <w:color w:val="auto"/>
          <w:sz w:val="28"/>
          <w:szCs w:val="28"/>
          <w:highlight w:val="none"/>
        </w:rPr>
      </w:pPr>
      <w:bookmarkStart w:id="1" w:name="_Toc16218"/>
      <w:bookmarkStart w:id="2" w:name="_Toc20652"/>
      <w:bookmarkStart w:id="3" w:name="_Toc5293"/>
      <w:bookmarkStart w:id="4" w:name="_Toc20858"/>
      <w:bookmarkStart w:id="5" w:name="_Toc21518"/>
      <w:bookmarkStart w:id="6" w:name="_Toc389582033"/>
      <w:bookmarkStart w:id="7" w:name="_Toc19886"/>
      <w:bookmarkStart w:id="8" w:name="_Toc27420"/>
      <w:bookmarkStart w:id="9" w:name="_Toc363474016"/>
      <w:bookmarkStart w:id="10" w:name="_Toc403077638"/>
      <w:bookmarkStart w:id="11" w:name="_Toc363473971"/>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24</w:t>
      </w:r>
      <w:r>
        <w:rPr>
          <w:color w:val="auto"/>
          <w:sz w:val="28"/>
          <w:szCs w:val="28"/>
          <w:highlight w:val="none"/>
        </w:rPr>
        <w:fldChar w:fldCharType="end"/>
      </w:r>
      <w:r>
        <w:rPr>
          <w:color w:val="auto"/>
          <w:sz w:val="28"/>
          <w:szCs w:val="28"/>
          <w:highlight w:val="none"/>
        </w:rPr>
        <w:fldChar w:fldCharType="end"/>
      </w:r>
    </w:p>
    <w:p w14:paraId="136DDB75">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4526783A">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2CCAFEE2">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6567641">
      <w:pPr>
        <w:pStyle w:val="18"/>
        <w:tabs>
          <w:tab w:val="right" w:leader="dot" w:pos="8787"/>
        </w:tabs>
        <w:rPr>
          <w:rFonts w:hint="eastAsia" w:eastAsia="宋体"/>
          <w:color w:val="auto"/>
          <w:sz w:val="28"/>
          <w:szCs w:val="28"/>
          <w:highlight w:val="none"/>
          <w:lang w:val="en-US" w:eastAsia="zh-CN"/>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rFonts w:hint="eastAsia"/>
          <w:color w:val="auto"/>
          <w:sz w:val="28"/>
          <w:szCs w:val="28"/>
          <w:highlight w:val="none"/>
          <w:lang w:val="en-US" w:eastAsia="zh-CN"/>
        </w:rPr>
        <w:t>6</w:t>
      </w:r>
      <w:r>
        <w:rPr>
          <w:color w:val="auto"/>
          <w:sz w:val="28"/>
          <w:szCs w:val="28"/>
          <w:highlight w:val="none"/>
        </w:rPr>
        <w:fldChar w:fldCharType="end"/>
      </w:r>
      <w:r>
        <w:rPr>
          <w:rFonts w:hint="eastAsia"/>
          <w:color w:val="auto"/>
          <w:sz w:val="28"/>
          <w:szCs w:val="28"/>
          <w:highlight w:val="none"/>
          <w:lang w:val="en-US" w:eastAsia="zh-CN"/>
        </w:rPr>
        <w:t>9</w:t>
      </w:r>
    </w:p>
    <w:p w14:paraId="35C1115D">
      <w:pPr>
        <w:pStyle w:val="18"/>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3B3B81C9">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15104"/>
      <w:bookmarkStart w:id="13" w:name="_Toc423973071"/>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19AA2315">
      <w:pPr>
        <w:pStyle w:val="50"/>
        <w:spacing w:line="360" w:lineRule="auto"/>
        <w:outlineLvl w:val="5"/>
        <w:rPr>
          <w:rFonts w:hint="eastAsia" w:ascii="宋体" w:hAnsi="宋体" w:eastAsia="宋体" w:cs="宋体"/>
          <w:sz w:val="24"/>
          <w:szCs w:val="24"/>
        </w:rPr>
      </w:pPr>
      <w:bookmarkStart w:id="14" w:name="_Toc389582035"/>
      <w:bookmarkStart w:id="15" w:name="_Toc2929"/>
      <w:bookmarkStart w:id="16" w:name="_Toc29249"/>
      <w:bookmarkStart w:id="17" w:name="_Toc423973072"/>
      <w:r>
        <w:rPr>
          <w:rFonts w:hint="eastAsia" w:ascii="宋体" w:hAnsi="宋体" w:eastAsia="宋体" w:cs="宋体"/>
          <w:b/>
          <w:sz w:val="24"/>
          <w:szCs w:val="24"/>
        </w:rPr>
        <w:t>项目概况</w:t>
      </w:r>
    </w:p>
    <w:p w14:paraId="6FBBD1DA">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柞水县金米村绿化提升工程采购项目的潜在供应商应在邮箱获取采购文件，并于 2025年09月09日 14时00分 （北京时间）前提交响应文件。</w:t>
      </w:r>
    </w:p>
    <w:p w14:paraId="341F4339">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5618379D">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项目编号：YZZB-20250134</w:t>
      </w:r>
    </w:p>
    <w:p w14:paraId="5975B283">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项目名称：柞水县金米村绿化提升工程</w:t>
      </w:r>
    </w:p>
    <w:p w14:paraId="45D58215">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采购方式：竞争性磋商</w:t>
      </w:r>
    </w:p>
    <w:p w14:paraId="38448984">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预算金额：1,598,571.47元</w:t>
      </w:r>
    </w:p>
    <w:p w14:paraId="2AC769E3">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采购需求：</w:t>
      </w:r>
    </w:p>
    <w:p w14:paraId="412C9458">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合同包1(柞水县金米村绿化提升工程):</w:t>
      </w:r>
    </w:p>
    <w:p w14:paraId="7F061935">
      <w:pPr>
        <w:pStyle w:val="50"/>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合同包预算金额：1,598,571.47元</w:t>
      </w:r>
    </w:p>
    <w:p w14:paraId="787DE073">
      <w:pPr>
        <w:pStyle w:val="50"/>
        <w:spacing w:line="360" w:lineRule="auto"/>
        <w:ind w:firstLine="630"/>
        <w:rPr>
          <w:rFonts w:hint="eastAsia" w:ascii="宋体" w:hAnsi="宋体" w:eastAsia="宋体" w:cs="宋体"/>
          <w:sz w:val="24"/>
          <w:szCs w:val="24"/>
        </w:rPr>
      </w:pPr>
      <w:bookmarkStart w:id="651" w:name="_GoBack"/>
      <w:bookmarkEnd w:id="651"/>
      <w:r>
        <w:rPr>
          <w:rFonts w:hint="eastAsia" w:ascii="宋体" w:hAnsi="宋体" w:eastAsia="宋体" w:cs="宋体"/>
          <w:sz w:val="24"/>
          <w:szCs w:val="24"/>
        </w:rPr>
        <w:t>合同包最高限价：1,598,571.47元</w:t>
      </w:r>
    </w:p>
    <w:tbl>
      <w:tblPr>
        <w:tblStyle w:val="2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65"/>
        <w:gridCol w:w="1465"/>
        <w:gridCol w:w="1465"/>
        <w:gridCol w:w="1465"/>
        <w:gridCol w:w="1465"/>
        <w:gridCol w:w="1753"/>
      </w:tblGrid>
      <w:tr w14:paraId="193B5A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4" w:hRule="atLeast"/>
          <w:jc w:val="center"/>
        </w:trPr>
        <w:tc>
          <w:tcPr>
            <w:tcW w:w="1465" w:type="dxa"/>
            <w:vAlign w:val="center"/>
          </w:tcPr>
          <w:p w14:paraId="40C94E1A">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品目号</w:t>
            </w:r>
          </w:p>
        </w:tc>
        <w:tc>
          <w:tcPr>
            <w:tcW w:w="1465" w:type="dxa"/>
            <w:vAlign w:val="center"/>
          </w:tcPr>
          <w:p w14:paraId="23FCC4A5">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品目名称</w:t>
            </w:r>
          </w:p>
        </w:tc>
        <w:tc>
          <w:tcPr>
            <w:tcW w:w="1465" w:type="dxa"/>
            <w:vAlign w:val="center"/>
          </w:tcPr>
          <w:p w14:paraId="50E38481">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采购标的</w:t>
            </w:r>
          </w:p>
        </w:tc>
        <w:tc>
          <w:tcPr>
            <w:tcW w:w="1465" w:type="dxa"/>
            <w:vAlign w:val="center"/>
          </w:tcPr>
          <w:p w14:paraId="617BCCB1">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数量（单位）</w:t>
            </w:r>
          </w:p>
        </w:tc>
        <w:tc>
          <w:tcPr>
            <w:tcW w:w="1465" w:type="dxa"/>
            <w:vAlign w:val="center"/>
          </w:tcPr>
          <w:p w14:paraId="66ECA302">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753" w:type="dxa"/>
            <w:vAlign w:val="center"/>
          </w:tcPr>
          <w:p w14:paraId="5981BE39">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品目预算(元)</w:t>
            </w:r>
          </w:p>
        </w:tc>
      </w:tr>
      <w:tr w14:paraId="36CA57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9" w:hRule="atLeast"/>
          <w:jc w:val="center"/>
        </w:trPr>
        <w:tc>
          <w:tcPr>
            <w:tcW w:w="1465" w:type="dxa"/>
            <w:vAlign w:val="center"/>
          </w:tcPr>
          <w:p w14:paraId="20397325">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465" w:type="dxa"/>
            <w:vAlign w:val="center"/>
          </w:tcPr>
          <w:p w14:paraId="0CC1B801">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园林绿化工程施工</w:t>
            </w:r>
          </w:p>
        </w:tc>
        <w:tc>
          <w:tcPr>
            <w:tcW w:w="1465" w:type="dxa"/>
            <w:vAlign w:val="center"/>
          </w:tcPr>
          <w:p w14:paraId="38D34DFF">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柞水县金米村绿化提升工程</w:t>
            </w:r>
          </w:p>
        </w:tc>
        <w:tc>
          <w:tcPr>
            <w:tcW w:w="1465" w:type="dxa"/>
            <w:vAlign w:val="center"/>
          </w:tcPr>
          <w:p w14:paraId="68E0764D">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1(项)</w:t>
            </w:r>
          </w:p>
        </w:tc>
        <w:tc>
          <w:tcPr>
            <w:tcW w:w="1465" w:type="dxa"/>
            <w:vAlign w:val="center"/>
          </w:tcPr>
          <w:p w14:paraId="1A3627D3">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详见采购文件</w:t>
            </w:r>
          </w:p>
        </w:tc>
        <w:tc>
          <w:tcPr>
            <w:tcW w:w="1753" w:type="dxa"/>
            <w:vAlign w:val="center"/>
          </w:tcPr>
          <w:p w14:paraId="71447357">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1,598,571.47</w:t>
            </w:r>
          </w:p>
        </w:tc>
      </w:tr>
    </w:tbl>
    <w:p w14:paraId="06FE8B12">
      <w:pPr>
        <w:pStyle w:val="50"/>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19B87084">
      <w:pPr>
        <w:pStyle w:val="50"/>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合同履行期限：详见采购文件</w:t>
      </w:r>
    </w:p>
    <w:p w14:paraId="4F025585">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4934B53F">
      <w:pPr>
        <w:pStyle w:val="50"/>
        <w:spacing w:line="360" w:lineRule="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0F37103A">
      <w:pPr>
        <w:pStyle w:val="50"/>
        <w:spacing w:line="360" w:lineRule="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0A0348BF">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合同包1(柞水县金米村绿化提升工程)落实政府采购政策需满足的资格要求如下:</w:t>
      </w:r>
    </w:p>
    <w:p w14:paraId="1C6C683F">
      <w:pPr>
        <w:pStyle w:val="50"/>
        <w:spacing w:line="360" w:lineRule="auto"/>
        <w:ind w:left="480"/>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（7）财政部发展改革委生态环境部市场监管总局关于调整优化节能产品、环境标志产品政府采购执行机制的通知（财库〔2019〕9号）；</w:t>
      </w:r>
      <w:r>
        <w:rPr>
          <w:rFonts w:hint="eastAsia" w:ascii="宋体" w:hAnsi="宋体" w:eastAsia="宋体" w:cs="宋体"/>
          <w:sz w:val="24"/>
          <w:szCs w:val="24"/>
        </w:rPr>
        <w:br w:type="textWrapping"/>
      </w:r>
      <w:r>
        <w:rPr>
          <w:rFonts w:hint="eastAsia" w:ascii="宋体" w:hAnsi="宋体" w:eastAsia="宋体" w:cs="宋体"/>
          <w:sz w:val="24"/>
          <w:szCs w:val="24"/>
        </w:rPr>
        <w:t>（8）《关于印发环境标志产品政府采购品目清单的通知》--（财库〔2019〕18号）；</w:t>
      </w:r>
      <w:r>
        <w:rPr>
          <w:rFonts w:hint="eastAsia" w:ascii="宋体" w:hAnsi="宋体" w:eastAsia="宋体" w:cs="宋体"/>
          <w:sz w:val="24"/>
          <w:szCs w:val="24"/>
        </w:rPr>
        <w:br w:type="textWrapping"/>
      </w:r>
      <w:r>
        <w:rPr>
          <w:rFonts w:hint="eastAsia" w:ascii="宋体" w:hAnsi="宋体" w:eastAsia="宋体" w:cs="宋体"/>
          <w:sz w:val="24"/>
          <w:szCs w:val="24"/>
        </w:rPr>
        <w:t>（9）《关于印发节能产品政府采购品目清单的通知》--（财库〔2019〕19号）；</w:t>
      </w:r>
      <w:r>
        <w:rPr>
          <w:rFonts w:hint="eastAsia" w:ascii="宋体" w:hAnsi="宋体" w:eastAsia="宋体" w:cs="宋体"/>
          <w:sz w:val="24"/>
          <w:szCs w:val="24"/>
        </w:rPr>
        <w:br w:type="textWrapping"/>
      </w:r>
      <w:r>
        <w:rPr>
          <w:rFonts w:hint="eastAsia" w:ascii="宋体" w:hAnsi="宋体" w:eastAsia="宋体" w:cs="宋体"/>
          <w:sz w:val="24"/>
          <w:szCs w:val="24"/>
        </w:rPr>
        <w:t>（10）《关于发布参与实施政府采购节能产品、环境标志产品认证机构名录的公告》—2019年第16号；</w:t>
      </w:r>
      <w:r>
        <w:rPr>
          <w:rFonts w:hint="eastAsia" w:ascii="宋体" w:hAnsi="宋体" w:eastAsia="宋体" w:cs="宋体"/>
          <w:sz w:val="24"/>
          <w:szCs w:val="24"/>
        </w:rPr>
        <w:br w:type="textWrapping"/>
      </w:r>
      <w:r>
        <w:rPr>
          <w:rFonts w:hint="eastAsia" w:ascii="宋体" w:hAnsi="宋体" w:eastAsia="宋体" w:cs="宋体"/>
          <w:sz w:val="24"/>
          <w:szCs w:val="24"/>
        </w:rPr>
        <w:t>（11）《关于运用政府采购政策支持乡村产业振兴的通知》（财库〔2021〕19号）；</w:t>
      </w:r>
      <w:r>
        <w:rPr>
          <w:rFonts w:hint="eastAsia" w:ascii="宋体" w:hAnsi="宋体" w:eastAsia="宋体" w:cs="宋体"/>
          <w:sz w:val="24"/>
          <w:szCs w:val="24"/>
        </w:rPr>
        <w:br w:type="textWrapping"/>
      </w:r>
      <w:r>
        <w:rPr>
          <w:rFonts w:hint="eastAsia" w:ascii="宋体" w:hAnsi="宋体" w:eastAsia="宋体" w:cs="宋体"/>
          <w:sz w:val="24"/>
          <w:szCs w:val="24"/>
        </w:rPr>
        <w:t>（12）陕西省财政厅关于印发《陕西省中小企业政府采购信用融资办法》（陕财办采〔2018〕23号），相关政策、业务流程、办理平台（详见http://www.ccgp-shaanxi.gov.cn/zcdservice/zcd/shanxi/）；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（13）《陕西省财政厅关于加快推进我省中小企业政府采购信用融资工作的通知》（陕财办采〔2020〕15号）；</w:t>
      </w:r>
      <w:r>
        <w:rPr>
          <w:rFonts w:hint="eastAsia" w:ascii="宋体" w:hAnsi="宋体" w:eastAsia="宋体" w:cs="宋体"/>
          <w:sz w:val="24"/>
          <w:szCs w:val="24"/>
        </w:rPr>
        <w:br w:type="textWrapping"/>
      </w:r>
      <w:r>
        <w:rPr>
          <w:rFonts w:hint="eastAsia" w:ascii="宋体" w:hAnsi="宋体" w:eastAsia="宋体" w:cs="宋体"/>
          <w:sz w:val="24"/>
          <w:szCs w:val="24"/>
        </w:rPr>
        <w:t>（14）《关于进一步加强政府绿色采购有关问题的通知》（陕财办采〔2021〕29号）；</w:t>
      </w:r>
      <w:r>
        <w:rPr>
          <w:rFonts w:hint="eastAsia" w:ascii="宋体" w:hAnsi="宋体" w:eastAsia="宋体" w:cs="宋体"/>
          <w:sz w:val="24"/>
          <w:szCs w:val="24"/>
        </w:rPr>
        <w:br w:type="textWrapping"/>
      </w:r>
      <w:r>
        <w:rPr>
          <w:rFonts w:hint="eastAsia" w:ascii="宋体" w:hAnsi="宋体" w:eastAsia="宋体" w:cs="宋体"/>
          <w:sz w:val="24"/>
          <w:szCs w:val="24"/>
        </w:rPr>
        <w:t>（15）《陕西省财政厅陕西省工业和信息化厅关于运用政府采购政策支持首台（套）及创新产品有关事项的通知》（陕财办采〔2021〕17号）；</w:t>
      </w:r>
      <w:r>
        <w:rPr>
          <w:rFonts w:hint="eastAsia" w:ascii="宋体" w:hAnsi="宋体" w:eastAsia="宋体" w:cs="宋体"/>
          <w:sz w:val="24"/>
          <w:szCs w:val="24"/>
        </w:rPr>
        <w:br w:type="textWrapping"/>
      </w:r>
      <w:r>
        <w:rPr>
          <w:rFonts w:hint="eastAsia" w:ascii="宋体" w:hAnsi="宋体" w:eastAsia="宋体" w:cs="宋体"/>
          <w:sz w:val="24"/>
          <w:szCs w:val="24"/>
        </w:rPr>
        <w:t>（16）《关于进一步加大政府采购支持中小企业力度的通知》（财库〔2022〕19号）、《关于落实政府采购支持中小企业政策有关事项的通知》（陕财办采函〔2022〕10号）；</w:t>
      </w:r>
      <w:r>
        <w:rPr>
          <w:rFonts w:hint="eastAsia" w:ascii="宋体" w:hAnsi="宋体" w:eastAsia="宋体" w:cs="宋体"/>
          <w:sz w:val="24"/>
          <w:szCs w:val="24"/>
        </w:rPr>
        <w:br w:type="textWrapping"/>
      </w:r>
      <w:r>
        <w:rPr>
          <w:rFonts w:hint="eastAsia" w:ascii="宋体" w:hAnsi="宋体" w:eastAsia="宋体" w:cs="宋体"/>
          <w:sz w:val="24"/>
          <w:szCs w:val="24"/>
        </w:rPr>
        <w:t>（17）其他需要落实的政府采购政策。</w:t>
      </w:r>
    </w:p>
    <w:p w14:paraId="245F8325">
      <w:pPr>
        <w:pStyle w:val="50"/>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15C6308B">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合同包1(柞水县金米村绿化提升工程)特定资格要求如下:</w:t>
      </w:r>
    </w:p>
    <w:p w14:paraId="52ECD215">
      <w:pPr>
        <w:pStyle w:val="50"/>
        <w:spacing w:line="360" w:lineRule="auto"/>
        <w:ind w:left="480"/>
        <w:rPr>
          <w:rFonts w:hint="eastAsia" w:ascii="宋体" w:hAnsi="宋体" w:eastAsia="宋体" w:cs="宋体"/>
          <w:sz w:val="24"/>
          <w:szCs w:val="24"/>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7、供应商应通过“信用中国”网站(www.creditchina.gov.cn)、中国政府采购网(www.ccgp.gov.cn)查询相关主体信用记录；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9、供应商提供中小企业声明函；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10、本项目不接受联合体磋商。</w:t>
      </w:r>
    </w:p>
    <w:p w14:paraId="613DA06D">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6CCF3500">
      <w:pPr>
        <w:pStyle w:val="50"/>
        <w:spacing w:line="360" w:lineRule="auto"/>
        <w:rPr>
          <w:rFonts w:hint="eastAsia" w:ascii="宋体" w:hAnsi="宋体" w:eastAsia="宋体" w:cs="宋体"/>
          <w:sz w:val="24"/>
          <w:szCs w:val="24"/>
        </w:rPr>
      </w:pPr>
      <w:r>
        <w:rPr>
          <w:rFonts w:hint="eastAsia" w:ascii="宋体" w:hAnsi="宋体" w:eastAsia="宋体" w:cs="宋体"/>
          <w:sz w:val="24"/>
          <w:szCs w:val="24"/>
        </w:rPr>
        <w:t>时间： 2025年08月29日 至 2025年09月04日 ，每天上午 09:00:00 至 12:00:00 ，下午 14:00:00 至 17:00:00 （北京时间）</w:t>
      </w:r>
    </w:p>
    <w:p w14:paraId="52C9377D">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途径：邮箱</w:t>
      </w:r>
    </w:p>
    <w:p w14:paraId="069794ED">
      <w:pPr>
        <w:pStyle w:val="50"/>
        <w:spacing w:line="360" w:lineRule="auto"/>
        <w:rPr>
          <w:rFonts w:hint="eastAsia" w:ascii="宋体" w:hAnsi="宋体" w:eastAsia="宋体" w:cs="宋体"/>
          <w:sz w:val="24"/>
          <w:szCs w:val="24"/>
        </w:rPr>
      </w:pPr>
      <w:r>
        <w:rPr>
          <w:rFonts w:hint="eastAsia" w:ascii="宋体" w:hAnsi="宋体" w:eastAsia="宋体" w:cs="宋体"/>
          <w:sz w:val="24"/>
          <w:szCs w:val="24"/>
        </w:rPr>
        <w:t>方式：在线获取</w:t>
      </w:r>
    </w:p>
    <w:p w14:paraId="6E75534A">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售价： 0元</w:t>
      </w:r>
    </w:p>
    <w:p w14:paraId="33492A81">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0686C84B">
      <w:pPr>
        <w:pStyle w:val="50"/>
        <w:spacing w:line="360" w:lineRule="auto"/>
        <w:rPr>
          <w:rFonts w:hint="eastAsia" w:ascii="宋体" w:hAnsi="宋体" w:eastAsia="宋体" w:cs="宋体"/>
          <w:sz w:val="24"/>
          <w:szCs w:val="24"/>
        </w:rPr>
      </w:pPr>
      <w:r>
        <w:rPr>
          <w:rFonts w:hint="eastAsia" w:ascii="宋体" w:hAnsi="宋体" w:eastAsia="宋体" w:cs="宋体"/>
          <w:sz w:val="24"/>
          <w:szCs w:val="24"/>
        </w:rPr>
        <w:t>截止时间： 2025年09月09日 14时00分00秒 （北京时间）</w:t>
      </w:r>
    </w:p>
    <w:p w14:paraId="21164758">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地点：陕西省西安市未央区未央路银池广场21楼04室</w:t>
      </w:r>
    </w:p>
    <w:p w14:paraId="17B29B30">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五、开启</w:t>
      </w:r>
    </w:p>
    <w:p w14:paraId="1057E7D5">
      <w:pPr>
        <w:pStyle w:val="50"/>
        <w:spacing w:line="360" w:lineRule="auto"/>
        <w:rPr>
          <w:rFonts w:hint="eastAsia" w:ascii="宋体" w:hAnsi="宋体" w:eastAsia="宋体" w:cs="宋体"/>
          <w:sz w:val="24"/>
          <w:szCs w:val="24"/>
        </w:rPr>
      </w:pPr>
      <w:r>
        <w:rPr>
          <w:rFonts w:hint="eastAsia" w:ascii="宋体" w:hAnsi="宋体" w:eastAsia="宋体" w:cs="宋体"/>
          <w:sz w:val="24"/>
          <w:szCs w:val="24"/>
        </w:rPr>
        <w:t>时间： 2025年09月09日 14时00分00秒 （北京时间）</w:t>
      </w:r>
    </w:p>
    <w:p w14:paraId="0987FDDC">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地点：陕西省西安市未央区未央路银池广场21楼04室</w:t>
      </w:r>
    </w:p>
    <w:p w14:paraId="2D356001">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2ED61C73">
      <w:pPr>
        <w:pStyle w:val="50"/>
        <w:spacing w:line="360" w:lineRule="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477FFD7E">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14B5807E">
      <w:pPr>
        <w:pStyle w:val="50"/>
        <w:spacing w:line="360" w:lineRule="auto"/>
        <w:rPr>
          <w:rFonts w:hint="eastAsia" w:ascii="宋体" w:hAnsi="宋体" w:eastAsia="宋体" w:cs="宋体"/>
          <w:sz w:val="24"/>
          <w:szCs w:val="24"/>
        </w:rPr>
      </w:pPr>
      <w:r>
        <w:rPr>
          <w:rFonts w:hint="eastAsia" w:ascii="宋体" w:hAnsi="宋体" w:eastAsia="宋体" w:cs="宋体"/>
          <w:sz w:val="24"/>
          <w:szCs w:val="24"/>
        </w:rPr>
        <w:t>（1）供应商领取标书方式：请将单位介绍信及经办人身份证复印件加盖公章的电子扫描件在文件发售期内发送至项目负责人邮箱（sxyinzheng@163.com），并及时告知采购代理机构确认，待审核确认无误后通过邮箱向供应商发送报名登记表。</w:t>
      </w:r>
    </w:p>
    <w:p w14:paraId="58C56927">
      <w:pPr>
        <w:pStyle w:val="50"/>
        <w:spacing w:line="360" w:lineRule="auto"/>
        <w:rPr>
          <w:rFonts w:hint="eastAsia" w:ascii="宋体" w:hAnsi="宋体" w:eastAsia="宋体" w:cs="宋体"/>
          <w:sz w:val="24"/>
          <w:szCs w:val="24"/>
        </w:rPr>
      </w:pPr>
      <w:r>
        <w:rPr>
          <w:rFonts w:hint="eastAsia" w:ascii="宋体" w:hAnsi="宋体" w:eastAsia="宋体" w:cs="宋体"/>
          <w:sz w:val="24"/>
          <w:szCs w:val="24"/>
        </w:rPr>
        <w:t>（2）请供应商按照《陕西省财政厅关于政府采购供应商注册登记有关事项的通知》中的要求，通过陕西省政府采购网（http://www.ccgp-shaanxi.gov.cn/）注册登记加入陕西省政府采购供应商库；</w:t>
      </w:r>
    </w:p>
    <w:p w14:paraId="0277A2E1">
      <w:pPr>
        <w:pStyle w:val="50"/>
        <w:spacing w:line="360" w:lineRule="auto"/>
        <w:jc w:val="both"/>
        <w:rPr>
          <w:rFonts w:hint="eastAsia" w:ascii="宋体" w:hAnsi="宋体" w:eastAsia="宋体" w:cs="宋体"/>
          <w:sz w:val="24"/>
          <w:szCs w:val="24"/>
        </w:rPr>
      </w:pPr>
      <w:r>
        <w:rPr>
          <w:rFonts w:hint="eastAsia" w:ascii="宋体" w:hAnsi="宋体" w:eastAsia="宋体" w:cs="宋体"/>
          <w:sz w:val="24"/>
          <w:szCs w:val="24"/>
        </w:rPr>
        <w:t>（3）本项目专门面向中小企业采购。</w:t>
      </w:r>
    </w:p>
    <w:p w14:paraId="38214A35">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16E218B3">
      <w:pPr>
        <w:pStyle w:val="50"/>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7D4D85A1">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名称：柞水县林业局</w:t>
      </w:r>
    </w:p>
    <w:p w14:paraId="1C6F5070">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地址：柞水县乾佑街道办中街151号</w:t>
      </w:r>
    </w:p>
    <w:p w14:paraId="4B097DE9">
      <w:pPr>
        <w:pStyle w:val="50"/>
        <w:spacing w:line="360" w:lineRule="auto"/>
        <w:rPr>
          <w:rFonts w:hint="eastAsia" w:ascii="宋体" w:hAnsi="宋体" w:eastAsia="宋体" w:cs="宋体"/>
          <w:sz w:val="24"/>
          <w:szCs w:val="24"/>
        </w:rPr>
      </w:pPr>
      <w:r>
        <w:rPr>
          <w:rFonts w:hint="eastAsia" w:ascii="宋体" w:hAnsi="宋体" w:eastAsia="宋体" w:cs="宋体"/>
          <w:sz w:val="24"/>
          <w:szCs w:val="24"/>
        </w:rPr>
        <w:t>联系方式：0914-4321591</w:t>
      </w:r>
    </w:p>
    <w:p w14:paraId="391F3AD8">
      <w:pPr>
        <w:pStyle w:val="50"/>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1C282FCA">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名称：陕西银正项目管理有限公司</w:t>
      </w:r>
    </w:p>
    <w:p w14:paraId="6293EDA2">
      <w:pPr>
        <w:pStyle w:val="50"/>
        <w:spacing w:line="360" w:lineRule="auto"/>
        <w:rPr>
          <w:rFonts w:hint="eastAsia" w:ascii="宋体" w:hAnsi="宋体" w:eastAsia="宋体" w:cs="宋体"/>
          <w:sz w:val="24"/>
          <w:szCs w:val="24"/>
        </w:rPr>
      </w:pPr>
      <w:r>
        <w:rPr>
          <w:rFonts w:hint="eastAsia" w:ascii="宋体" w:hAnsi="宋体" w:eastAsia="宋体" w:cs="宋体"/>
          <w:sz w:val="24"/>
          <w:szCs w:val="24"/>
        </w:rPr>
        <w:t>地址：陕西省西安市经济技术开发区凤城二路海荣翡翠国际城1幢12306号</w:t>
      </w:r>
    </w:p>
    <w:p w14:paraId="49B37C34">
      <w:pPr>
        <w:pStyle w:val="50"/>
        <w:spacing w:line="360" w:lineRule="auto"/>
        <w:rPr>
          <w:rFonts w:hint="eastAsia" w:ascii="宋体" w:hAnsi="宋体" w:eastAsia="宋体" w:cs="宋体"/>
          <w:sz w:val="24"/>
          <w:szCs w:val="24"/>
        </w:rPr>
      </w:pPr>
      <w:r>
        <w:rPr>
          <w:rFonts w:hint="eastAsia" w:ascii="宋体" w:hAnsi="宋体" w:eastAsia="宋体" w:cs="宋体"/>
          <w:sz w:val="24"/>
          <w:szCs w:val="24"/>
        </w:rPr>
        <w:t>联系方式：18202922130</w:t>
      </w:r>
    </w:p>
    <w:p w14:paraId="49B57066">
      <w:pPr>
        <w:pStyle w:val="50"/>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3956ED36">
      <w:pPr>
        <w:pStyle w:val="50"/>
        <w:spacing w:line="360" w:lineRule="auto"/>
        <w:rPr>
          <w:rFonts w:hint="eastAsia" w:ascii="宋体" w:hAnsi="宋体" w:eastAsia="宋体" w:cs="宋体"/>
          <w:sz w:val="24"/>
          <w:szCs w:val="24"/>
        </w:rPr>
      </w:pPr>
      <w:r>
        <w:rPr>
          <w:rFonts w:hint="eastAsia" w:ascii="宋体" w:hAnsi="宋体" w:eastAsia="宋体" w:cs="宋体"/>
          <w:sz w:val="24"/>
          <w:szCs w:val="24"/>
        </w:rPr>
        <w:t>项目联系人：孙工</w:t>
      </w:r>
    </w:p>
    <w:p w14:paraId="6BF6616E">
      <w:pPr>
        <w:pStyle w:val="50"/>
        <w:spacing w:line="360" w:lineRule="auto"/>
        <w:rPr>
          <w:rFonts w:hint="eastAsia" w:ascii="宋体" w:hAnsi="宋体" w:eastAsia="宋体" w:cs="宋体"/>
          <w:sz w:val="24"/>
          <w:szCs w:val="24"/>
        </w:rPr>
      </w:pPr>
      <w:r>
        <w:rPr>
          <w:rFonts w:hint="eastAsia" w:ascii="宋体" w:hAnsi="宋体" w:eastAsia="宋体" w:cs="宋体"/>
          <w:sz w:val="24"/>
          <w:szCs w:val="24"/>
        </w:rPr>
        <w:t>电话：18202922130</w:t>
      </w:r>
    </w:p>
    <w:p w14:paraId="6DA627EC">
      <w:pPr>
        <w:pStyle w:val="50"/>
        <w:spacing w:line="360" w:lineRule="auto"/>
        <w:jc w:val="right"/>
        <w:rPr>
          <w:rFonts w:hint="eastAsia" w:ascii="宋体" w:hAnsi="宋体" w:eastAsia="宋体" w:cs="宋体"/>
          <w:sz w:val="24"/>
          <w:szCs w:val="24"/>
          <w:lang w:eastAsia="zh-CN"/>
        </w:rPr>
      </w:pPr>
    </w:p>
    <w:p w14:paraId="55C172F2">
      <w:pPr>
        <w:pStyle w:val="50"/>
        <w:spacing w:line="360" w:lineRule="auto"/>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陕西银正项目管理有限公司</w:t>
      </w:r>
    </w:p>
    <w:p w14:paraId="315A8D15">
      <w:pPr>
        <w:keepNext w:val="0"/>
        <w:keepLines w:val="0"/>
        <w:pageBreakBefore w:val="0"/>
        <w:kinsoku/>
        <w:overflowPunct/>
        <w:topLinePunct w:val="0"/>
        <w:autoSpaceDE/>
        <w:autoSpaceDN/>
        <w:bidi w:val="0"/>
        <w:adjustRightInd/>
        <w:snapToGrid/>
        <w:spacing w:line="360" w:lineRule="auto"/>
        <w:ind w:left="0" w:firstLine="480" w:firstLineChars="200"/>
        <w:jc w:val="right"/>
        <w:textAlignment w:val="auto"/>
        <w:outlineLvl w:val="9"/>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sz w:val="24"/>
          <w:szCs w:val="24"/>
        </w:rPr>
        <w:t>2025年0</w:t>
      </w:r>
      <w:r>
        <w:rPr>
          <w:rFonts w:hint="eastAsia" w:hAnsi="宋体" w:cs="宋体"/>
          <w:sz w:val="24"/>
          <w:szCs w:val="24"/>
          <w:lang w:val="en-US" w:eastAsia="zh-CN"/>
        </w:rPr>
        <w:t>8</w:t>
      </w:r>
      <w:r>
        <w:rPr>
          <w:rFonts w:hint="eastAsia" w:ascii="宋体" w:hAnsi="宋体" w:eastAsia="宋体" w:cs="宋体"/>
          <w:sz w:val="24"/>
          <w:szCs w:val="24"/>
        </w:rPr>
        <w:t>月</w:t>
      </w:r>
      <w:r>
        <w:rPr>
          <w:rFonts w:hint="eastAsia" w:hAnsi="宋体" w:cs="宋体"/>
          <w:sz w:val="24"/>
          <w:szCs w:val="24"/>
          <w:lang w:val="en-US" w:eastAsia="zh-CN"/>
        </w:rPr>
        <w:t>2</w:t>
      </w:r>
      <w:r>
        <w:rPr>
          <w:rFonts w:hint="eastAsia" w:ascii="宋体" w:hAnsi="宋体" w:eastAsia="宋体" w:cs="宋体"/>
          <w:sz w:val="24"/>
          <w:szCs w:val="24"/>
        </w:rPr>
        <w:t>8日</w:t>
      </w:r>
    </w:p>
    <w:p w14:paraId="63BBA73B">
      <w:pPr>
        <w:rPr>
          <w:rFonts w:hint="eastAsia" w:hAnsi="宋体" w:cs="宋体"/>
          <w:b/>
          <w:bCs/>
          <w:color w:val="auto"/>
          <w:kern w:val="2"/>
          <w:sz w:val="32"/>
          <w:szCs w:val="32"/>
          <w:highlight w:val="none"/>
        </w:rPr>
      </w:pPr>
      <w:bookmarkStart w:id="18" w:name="_Toc20398"/>
      <w:r>
        <w:rPr>
          <w:rFonts w:hint="eastAsia" w:hAnsi="宋体" w:cs="宋体"/>
          <w:b/>
          <w:bCs/>
          <w:color w:val="auto"/>
          <w:kern w:val="2"/>
          <w:sz w:val="32"/>
          <w:szCs w:val="32"/>
          <w:highlight w:val="none"/>
        </w:rPr>
        <w:br w:type="page"/>
      </w:r>
    </w:p>
    <w:p w14:paraId="6FEE90F8">
      <w:pPr>
        <w:jc w:val="center"/>
        <w:rPr>
          <w:rFonts w:hAnsi="宋体" w:cs="宋体"/>
          <w:bCs/>
          <w:color w:val="auto"/>
          <w:sz w:val="32"/>
          <w:szCs w:val="32"/>
          <w:highlight w:val="none"/>
        </w:rPr>
      </w:pPr>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9364"/>
      <w:bookmarkStart w:id="21" w:name="OLE_LINK2"/>
      <w:bookmarkStart w:id="22" w:name="_Toc423973073"/>
      <w:bookmarkStart w:id="23" w:name="_Toc15286"/>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13"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柞水县林业局</w:t>
            </w:r>
          </w:p>
          <w:p w14:paraId="02F9DC89">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采购代理机构：</w:t>
            </w:r>
            <w:r>
              <w:rPr>
                <w:rFonts w:hint="eastAsia" w:hAnsi="宋体" w:cs="宋体"/>
                <w:color w:val="auto"/>
                <w:szCs w:val="24"/>
                <w:highlight w:val="none"/>
                <w:lang w:eastAsia="zh-CN"/>
              </w:rPr>
              <w:t>陕西银正项目管理有限公司</w:t>
            </w:r>
          </w:p>
          <w:p w14:paraId="27C655CF">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地        址：</w:t>
            </w:r>
            <w:r>
              <w:rPr>
                <w:rFonts w:hint="eastAsia" w:hAnsi="宋体" w:cs="宋体"/>
                <w:color w:val="auto"/>
                <w:szCs w:val="24"/>
                <w:highlight w:val="none"/>
                <w:lang w:eastAsia="zh-CN"/>
              </w:rPr>
              <w:t>陕西省西安市经济技术开发区凤城二路海荣翡翠国际城1幢12306号</w:t>
            </w:r>
          </w:p>
          <w:p w14:paraId="02707F5A">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邮        编：</w:t>
            </w:r>
            <w:r>
              <w:rPr>
                <w:rFonts w:hint="eastAsia" w:hAnsi="宋体" w:cs="宋体"/>
                <w:color w:val="auto"/>
                <w:szCs w:val="24"/>
                <w:highlight w:val="none"/>
                <w:lang w:eastAsia="zh-CN"/>
              </w:rPr>
              <w:t>710018</w:t>
            </w:r>
          </w:p>
          <w:p w14:paraId="774D597E">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电        话：</w:t>
            </w:r>
            <w:r>
              <w:rPr>
                <w:rFonts w:hint="eastAsia" w:hAnsi="宋体" w:cs="宋体"/>
                <w:color w:val="auto"/>
                <w:szCs w:val="24"/>
                <w:highlight w:val="none"/>
                <w:lang w:eastAsia="zh-CN"/>
              </w:rPr>
              <w:t>18202922130</w:t>
            </w:r>
          </w:p>
          <w:p w14:paraId="4A8A516E">
            <w:pPr>
              <w:spacing w:line="360" w:lineRule="auto"/>
              <w:rPr>
                <w:rFonts w:hint="eastAsia" w:hAnsi="宋体" w:eastAsia="宋体" w:cs="宋体"/>
                <w:color w:val="auto"/>
                <w:szCs w:val="24"/>
                <w:highlight w:val="none"/>
                <w:lang w:eastAsia="zh-CN"/>
              </w:rPr>
            </w:pPr>
            <w:r>
              <w:rPr>
                <w:rFonts w:hint="eastAsia"/>
                <w:color w:val="auto"/>
                <w:szCs w:val="24"/>
                <w:highlight w:val="none"/>
              </w:rPr>
              <w:t>邮        箱：</w:t>
            </w:r>
            <w:r>
              <w:rPr>
                <w:rFonts w:hint="eastAsia"/>
                <w:color w:val="auto"/>
                <w:szCs w:val="24"/>
                <w:highlight w:val="none"/>
                <w:lang w:val="en-US" w:eastAsia="zh-CN"/>
              </w:rPr>
              <w:t>/</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w:t>
            </w:r>
            <w:r>
              <w:rPr>
                <w:rFonts w:hint="eastAsia" w:hAnsi="宋体" w:cs="宋体"/>
                <w:color w:val="auto"/>
                <w:szCs w:val="24"/>
                <w:highlight w:val="none"/>
                <w:lang w:val="en-US" w:eastAsia="zh-CN"/>
              </w:rPr>
              <w:t>项目</w:t>
            </w:r>
            <w:r>
              <w:rPr>
                <w:rFonts w:hint="eastAsia" w:hAnsi="宋体" w:cs="宋体"/>
                <w:color w:val="auto"/>
                <w:szCs w:val="24"/>
                <w:highlight w:val="none"/>
              </w:rPr>
              <w:t>”，供应商可根据自身的资质情况和经营范围对本次项目进行磋商，不得将其子目再行分解或只对本次项目中的品目进行不完全磋商，任何不完全的响应将会被拒绝。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color w:val="auto"/>
                <w:szCs w:val="24"/>
                <w:highlight w:val="none"/>
              </w:rPr>
            </w:pPr>
            <w:r>
              <w:rPr>
                <w:rFonts w:hint="eastAsia" w:hAnsi="宋体" w:cs="宋体"/>
                <w:color w:val="auto"/>
                <w:szCs w:val="24"/>
                <w:highlight w:val="none"/>
              </w:rPr>
              <w:t>特定资格证明文件：</w:t>
            </w:r>
          </w:p>
          <w:p w14:paraId="695BC748">
            <w:pPr>
              <w:spacing w:line="360" w:lineRule="auto"/>
              <w:rPr>
                <w:rFonts w:hint="eastAsia" w:hAnsi="宋体" w:cs="宋体"/>
                <w:color w:val="auto"/>
                <w:szCs w:val="24"/>
                <w:highlight w:val="none"/>
                <w:lang w:val="en-US" w:eastAsia="zh-CN"/>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7、供应商应通过“信用中国”网站(www.creditchina.gov.cn)、中国政府采购网(www.ccgp.gov.cn)查询相关主体信用记录；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9、供应商提供中小企业声明函；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10、本项目不接受联合体磋商。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w:t>
            </w:r>
            <w:r>
              <w:rPr>
                <w:rFonts w:hint="eastAsia" w:hAnsi="宋体" w:cs="宋体"/>
                <w:b/>
                <w:bCs/>
                <w:color w:val="auto"/>
                <w:szCs w:val="24"/>
                <w:highlight w:val="none"/>
                <w:lang w:val="en-US" w:eastAsia="zh-CN"/>
              </w:rPr>
              <w:t>0</w:t>
            </w:r>
            <w:r>
              <w:rPr>
                <w:rFonts w:hint="eastAsia" w:hAnsi="宋体" w:cs="宋体"/>
                <w:b/>
                <w:bCs/>
                <w:color w:val="auto"/>
                <w:szCs w:val="24"/>
                <w:highlight w:val="none"/>
              </w:rPr>
              <w:t>）为必备资质，缺一项或某项达不到要求，按无效磋商处理。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磋商保证金：无</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w:t>
            </w:r>
            <w:r>
              <w:rPr>
                <w:rFonts w:hint="eastAsia" w:hAnsi="宋体" w:cs="宋体"/>
                <w:color w:val="auto"/>
                <w:szCs w:val="24"/>
                <w:highlight w:val="none"/>
                <w:lang w:eastAsia="zh-CN"/>
              </w:rPr>
              <w:t>陕西银正项目管理有限公司</w:t>
            </w:r>
            <w:r>
              <w:rPr>
                <w:rFonts w:hint="eastAsia" w:hAnsi="宋体" w:cs="宋体"/>
                <w:color w:val="auto"/>
                <w:szCs w:val="24"/>
                <w:highlight w:val="none"/>
              </w:rPr>
              <w:t>财务部联系确认到账后（联系电话</w:t>
            </w:r>
            <w:r>
              <w:rPr>
                <w:rFonts w:hint="eastAsia" w:hAnsi="宋体" w:cs="宋体"/>
                <w:color w:val="auto"/>
                <w:szCs w:val="24"/>
                <w:highlight w:val="none"/>
                <w:lang w:eastAsia="zh-CN"/>
              </w:rPr>
              <w:t>18202922130</w:t>
            </w:r>
            <w:r>
              <w:rPr>
                <w:rFonts w:hint="eastAsia" w:hAnsi="宋体" w:cs="宋体"/>
                <w:color w:val="auto"/>
                <w:szCs w:val="24"/>
                <w:highlight w:val="none"/>
              </w:rPr>
              <w:t>），将磋商保证金缴纳凭证复印件粘贴于磋商响应文件规定处。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eastAsia" w:hAnsi="宋体" w:eastAsia="宋体" w:cs="宋体"/>
                <w:color w:val="auto"/>
                <w:szCs w:val="24"/>
                <w:highlight w:val="yellow"/>
                <w:lang w:eastAsia="zh-CN"/>
              </w:rPr>
            </w:pPr>
            <w:r>
              <w:rPr>
                <w:rFonts w:hint="eastAsia" w:hAnsi="宋体" w:cs="宋体"/>
                <w:color w:val="auto"/>
                <w:szCs w:val="24"/>
                <w:highlight w:val="none"/>
              </w:rPr>
              <w:t>磋商响应文件递交地址：</w:t>
            </w:r>
            <w:r>
              <w:rPr>
                <w:rFonts w:hint="eastAsia" w:ascii="宋体" w:hAnsi="宋体" w:eastAsia="宋体" w:cs="宋体"/>
                <w:sz w:val="24"/>
                <w:szCs w:val="24"/>
              </w:rPr>
              <w:t>陕西省西安市未央区未央路银池广场21楼04室</w:t>
            </w:r>
          </w:p>
          <w:p w14:paraId="1220691B">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磋商响应文件接收人：</w:t>
            </w:r>
            <w:r>
              <w:rPr>
                <w:rFonts w:hint="eastAsia" w:hAnsi="宋体" w:cs="宋体"/>
                <w:color w:val="auto"/>
                <w:szCs w:val="24"/>
                <w:highlight w:val="none"/>
                <w:lang w:eastAsia="zh-CN"/>
              </w:rPr>
              <w:t>陕西银正项目管理有限公司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int="eastAsia" w:hAnsi="宋体" w:eastAsia="宋体" w:cs="宋体"/>
                <w:color w:val="auto"/>
                <w:szCs w:val="24"/>
                <w:highlight w:val="none"/>
                <w:lang w:eastAsia="zh-CN"/>
              </w:rPr>
            </w:pPr>
            <w:r>
              <w:rPr>
                <w:rFonts w:hint="eastAsia" w:hAnsi="宋体" w:cs="宋体"/>
                <w:color w:val="auto"/>
                <w:szCs w:val="24"/>
                <w:highlight w:val="none"/>
              </w:rPr>
              <w:t>磋商地点：</w:t>
            </w:r>
            <w:r>
              <w:rPr>
                <w:rFonts w:hint="eastAsia" w:ascii="宋体" w:hAnsi="宋体" w:eastAsia="宋体" w:cs="宋体"/>
                <w:sz w:val="24"/>
                <w:szCs w:val="24"/>
              </w:rPr>
              <w:t>陕西省西安市未央区未央路银池广场21楼04室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D20AA14">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29.1</w:t>
            </w:r>
            <w:bookmarkStart w:id="24" w:name="OLE_LINK9"/>
            <w:bookmarkStart w:id="25" w:name="OLE_LINK10"/>
            <w:r>
              <w:rPr>
                <w:rFonts w:hint="eastAsia" w:hAnsi="宋体" w:cs="宋体"/>
                <w:color w:val="auto"/>
                <w:szCs w:val="24"/>
                <w:highlight w:val="none"/>
              </w:rPr>
              <w:t xml:space="preserve"> 招标代理服务费的计算方法：以中标金额为基数，依据国家计委颁布《招标代理服务收费管理暂行办法》（计价格[2002]1980号）文件的有关规定执行。</w:t>
            </w:r>
            <w:bookmarkEnd w:id="24"/>
            <w:bookmarkEnd w:id="25"/>
          </w:p>
          <w:p w14:paraId="4FC3E653">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29.2 成交单位在领取成交通知书前，须向采购代理机构一次性支付代理服务费。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4855A4CA">
            <w:pPr>
              <w:numPr>
                <w:ilvl w:val="0"/>
                <w:numId w:val="0"/>
              </w:numPr>
              <w:spacing w:line="520" w:lineRule="exact"/>
              <w:rPr>
                <w:rFonts w:hint="eastAsia" w:ascii="宋体" w:hAnsi="宋体" w:eastAsia="宋体" w:cs="宋体"/>
                <w:b/>
                <w:bCs/>
                <w:szCs w:val="24"/>
                <w:highlight w:val="none"/>
              </w:rPr>
            </w:pPr>
            <w:r>
              <w:rPr>
                <w:rFonts w:hint="eastAsia" w:hAnsi="宋体" w:cs="宋体"/>
                <w:b/>
                <w:bCs/>
                <w:color w:val="auto"/>
                <w:szCs w:val="24"/>
                <w:highlight w:val="none"/>
                <w:lang w:val="en-US" w:eastAsia="zh-CN"/>
              </w:rPr>
              <w:t>1</w:t>
            </w:r>
            <w:r>
              <w:rPr>
                <w:rFonts w:hint="eastAsia" w:hAnsi="宋体" w:cs="宋体"/>
                <w:b/>
                <w:bCs/>
                <w:szCs w:val="24"/>
                <w:highlight w:val="none"/>
                <w:lang w:val="en-US" w:eastAsia="zh-CN"/>
              </w:rPr>
              <w:t>、</w:t>
            </w:r>
            <w:r>
              <w:rPr>
                <w:rFonts w:hint="eastAsia" w:hAnsi="宋体" w:cs="宋体"/>
                <w:b/>
                <w:bCs/>
                <w:szCs w:val="24"/>
                <w:highlight w:val="none"/>
                <w:lang w:eastAsia="zh-CN"/>
              </w:rPr>
              <w:t>保证金及</w:t>
            </w:r>
            <w:r>
              <w:rPr>
                <w:rFonts w:hint="eastAsia" w:ascii="宋体" w:hAnsi="宋体" w:eastAsia="宋体" w:cs="宋体"/>
                <w:b/>
                <w:bCs/>
                <w:szCs w:val="24"/>
                <w:highlight w:val="none"/>
              </w:rPr>
              <w:t>代理服务费账户：</w:t>
            </w:r>
          </w:p>
          <w:p w14:paraId="268AEDBB">
            <w:pPr>
              <w:spacing w:line="360" w:lineRule="auto"/>
              <w:ind w:firstLine="482" w:firstLineChars="200"/>
              <w:rPr>
                <w:rFonts w:hint="eastAsia" w:ascii="宋体" w:hAnsi="宋体" w:eastAsia="宋体" w:cs="宋体"/>
                <w:b/>
                <w:bCs/>
                <w:szCs w:val="24"/>
                <w:highlight w:val="none"/>
                <w:lang w:eastAsia="zh-CN"/>
              </w:rPr>
            </w:pPr>
            <w:r>
              <w:rPr>
                <w:rFonts w:hint="eastAsia" w:hAnsi="宋体" w:cs="宋体"/>
                <w:b/>
                <w:bCs/>
                <w:szCs w:val="24"/>
                <w:highlight w:val="none"/>
                <w:lang w:eastAsia="zh-CN"/>
              </w:rPr>
              <w:t>①</w:t>
            </w:r>
            <w:r>
              <w:rPr>
                <w:rFonts w:hint="eastAsia" w:ascii="宋体" w:hAnsi="宋体" w:eastAsia="宋体" w:cs="宋体"/>
                <w:b/>
                <w:bCs/>
                <w:szCs w:val="24"/>
                <w:highlight w:val="none"/>
              </w:rPr>
              <w:t xml:space="preserve">采购代理机构开户名称: </w:t>
            </w:r>
            <w:r>
              <w:rPr>
                <w:rFonts w:hint="eastAsia" w:hAnsi="宋体" w:cs="宋体"/>
                <w:b/>
                <w:bCs/>
                <w:szCs w:val="24"/>
                <w:highlight w:val="none"/>
                <w:lang w:eastAsia="zh-CN"/>
              </w:rPr>
              <w:t>陕西银正项目管理有限公司</w:t>
            </w:r>
          </w:p>
          <w:p w14:paraId="4065235D">
            <w:pPr>
              <w:spacing w:line="360" w:lineRule="auto"/>
              <w:ind w:firstLine="482" w:firstLineChars="200"/>
              <w:rPr>
                <w:rFonts w:hint="eastAsia" w:ascii="宋体" w:hAnsi="宋体" w:eastAsia="宋体" w:cs="宋体"/>
                <w:b/>
                <w:bCs/>
                <w:szCs w:val="24"/>
                <w:highlight w:val="none"/>
                <w:lang w:eastAsia="zh-CN"/>
              </w:rPr>
            </w:pPr>
            <w:r>
              <w:rPr>
                <w:rFonts w:hint="eastAsia" w:hAnsi="宋体" w:cs="宋体"/>
                <w:b/>
                <w:bCs/>
                <w:szCs w:val="24"/>
                <w:highlight w:val="none"/>
                <w:lang w:eastAsia="zh-CN"/>
              </w:rPr>
              <w:t>②</w:t>
            </w:r>
            <w:r>
              <w:rPr>
                <w:rFonts w:hint="eastAsia" w:ascii="宋体" w:hAnsi="宋体" w:eastAsia="宋体" w:cs="宋体"/>
                <w:b/>
                <w:bCs/>
                <w:szCs w:val="24"/>
                <w:highlight w:val="none"/>
              </w:rPr>
              <w:t>开户行名称：</w:t>
            </w:r>
            <w:r>
              <w:rPr>
                <w:rFonts w:hint="eastAsia" w:hAnsi="宋体" w:cs="宋体"/>
                <w:b/>
                <w:bCs/>
                <w:szCs w:val="24"/>
                <w:highlight w:val="none"/>
                <w:lang w:eastAsia="zh-CN"/>
              </w:rPr>
              <w:t>中国工商银行股份有限公司西安凤城七路支行</w:t>
            </w:r>
          </w:p>
          <w:p w14:paraId="72D726F7">
            <w:pPr>
              <w:pStyle w:val="9"/>
              <w:rPr>
                <w:rFonts w:hAnsi="宋体" w:cs="宋体"/>
                <w:color w:val="auto"/>
                <w:szCs w:val="24"/>
                <w:highlight w:val="none"/>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账号：</w:t>
            </w:r>
            <w:r>
              <w:rPr>
                <w:rFonts w:hint="eastAsia" w:ascii="宋体" w:hAnsi="宋体" w:cs="宋体"/>
                <w:b/>
                <w:bCs/>
                <w:sz w:val="24"/>
                <w:szCs w:val="24"/>
                <w:highlight w:val="none"/>
                <w:lang w:val="en-US" w:eastAsia="zh-CN"/>
              </w:rPr>
              <w:t>3700085109100068236</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color w:val="auto"/>
                <w:szCs w:val="24"/>
                <w:highlight w:val="none"/>
              </w:rPr>
            </w:pPr>
            <w:r>
              <w:rPr>
                <w:rFonts w:hint="eastAsia" w:hAnsi="宋体" w:cs="宋体"/>
                <w:color w:val="auto"/>
                <w:szCs w:val="24"/>
                <w:highlight w:val="none"/>
              </w:rPr>
              <w:t>18</w:t>
            </w:r>
          </w:p>
        </w:tc>
        <w:tc>
          <w:tcPr>
            <w:tcW w:w="951" w:type="dxa"/>
            <w:vAlign w:val="center"/>
          </w:tcPr>
          <w:p w14:paraId="1BC9B2B8">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最高</w:t>
            </w:r>
          </w:p>
          <w:p w14:paraId="5A55CB56">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限价</w:t>
            </w:r>
          </w:p>
        </w:tc>
        <w:tc>
          <w:tcPr>
            <w:tcW w:w="7354" w:type="dxa"/>
            <w:vAlign w:val="center"/>
          </w:tcPr>
          <w:p w14:paraId="7911A37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default" w:eastAsia="宋体"/>
                <w:color w:val="auto"/>
                <w:szCs w:val="22"/>
                <w:highlight w:val="none"/>
                <w:lang w:val="en-US" w:eastAsia="zh-CN"/>
              </w:rPr>
            </w:pPr>
            <w:r>
              <w:rPr>
                <w:rFonts w:hint="eastAsia" w:ascii="宋体" w:hAnsi="宋体" w:eastAsia="宋体" w:cs="宋体"/>
                <w:sz w:val="24"/>
                <w:szCs w:val="24"/>
              </w:rPr>
              <w:t>1598571.47</w:t>
            </w:r>
            <w:r>
              <w:rPr>
                <w:rFonts w:hint="eastAsia" w:cs="宋体"/>
                <w:i w:val="0"/>
                <w:iCs w:val="0"/>
                <w:caps w:val="0"/>
                <w:color w:val="333333"/>
                <w:spacing w:val="0"/>
                <w:sz w:val="24"/>
                <w:szCs w:val="24"/>
                <w:shd w:val="clear" w:fill="FFFFFF"/>
                <w:lang w:eastAsia="zh-CN"/>
              </w:rPr>
              <w:t>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color w:val="auto"/>
                <w:szCs w:val="24"/>
                <w:highlight w:val="none"/>
              </w:rPr>
            </w:pPr>
            <w:r>
              <w:rPr>
                <w:rFonts w:hint="eastAsia" w:hAnsi="宋体" w:cs="宋体"/>
                <w:color w:val="auto"/>
                <w:szCs w:val="24"/>
                <w:highlight w:val="none"/>
              </w:rPr>
              <w:t>19</w:t>
            </w:r>
          </w:p>
        </w:tc>
        <w:tc>
          <w:tcPr>
            <w:tcW w:w="951" w:type="dxa"/>
            <w:vAlign w:val="center"/>
          </w:tcPr>
          <w:p w14:paraId="100DF02F">
            <w:pPr>
              <w:widowControl/>
              <w:spacing w:line="360" w:lineRule="auto"/>
              <w:jc w:val="center"/>
              <w:rPr>
                <w:rFonts w:hAnsi="宋体"/>
                <w:color w:val="auto"/>
                <w:szCs w:val="24"/>
                <w:highlight w:val="none"/>
              </w:rPr>
            </w:pPr>
            <w:r>
              <w:rPr>
                <w:rFonts w:hint="eastAsia" w:hAnsi="宋体"/>
                <w:color w:val="auto"/>
                <w:szCs w:val="24"/>
                <w:highlight w:val="none"/>
              </w:rPr>
              <w:t>项目</w:t>
            </w:r>
          </w:p>
          <w:p w14:paraId="3C0FE26A">
            <w:pPr>
              <w:widowControl/>
              <w:spacing w:line="360" w:lineRule="auto"/>
              <w:jc w:val="center"/>
              <w:rPr>
                <w:rFonts w:hAnsi="宋体" w:cs="宋体"/>
                <w:color w:val="auto"/>
                <w:kern w:val="2"/>
                <w:szCs w:val="24"/>
                <w:highlight w:val="none"/>
              </w:rPr>
            </w:pPr>
            <w:r>
              <w:rPr>
                <w:rFonts w:hint="eastAsia" w:hAnsi="宋体"/>
                <w:color w:val="auto"/>
                <w:szCs w:val="24"/>
                <w:highlight w:val="none"/>
              </w:rPr>
              <w:t>性质</w:t>
            </w:r>
          </w:p>
        </w:tc>
        <w:tc>
          <w:tcPr>
            <w:tcW w:w="7354" w:type="dxa"/>
            <w:vAlign w:val="center"/>
          </w:tcPr>
          <w:p w14:paraId="5F400297">
            <w:pPr>
              <w:widowControl/>
              <w:spacing w:line="360" w:lineRule="auto"/>
              <w:rPr>
                <w:color w:val="auto"/>
                <w:szCs w:val="22"/>
                <w:highlight w:val="none"/>
              </w:rPr>
            </w:pPr>
            <w:r>
              <w:rPr>
                <w:rFonts w:hint="eastAsia" w:hAnsi="宋体"/>
                <w:color w:val="auto"/>
                <w:szCs w:val="24"/>
                <w:highlight w:val="none"/>
              </w:rPr>
              <w:t>本项目专门面向中小企业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color w:val="auto"/>
                <w:szCs w:val="24"/>
                <w:highlight w:val="none"/>
              </w:rPr>
            </w:pPr>
            <w:bookmarkStart w:id="26" w:name="_Toc363473972"/>
            <w:bookmarkStart w:id="27" w:name="_Toc363474017"/>
            <w:bookmarkStart w:id="28" w:name="_Toc403077639"/>
            <w:r>
              <w:rPr>
                <w:rFonts w:hint="eastAsia" w:hAnsi="宋体" w:cs="宋体"/>
                <w:color w:val="auto"/>
                <w:szCs w:val="24"/>
                <w:highlight w:val="none"/>
              </w:rPr>
              <w:t>20</w:t>
            </w:r>
          </w:p>
        </w:tc>
        <w:tc>
          <w:tcPr>
            <w:tcW w:w="951" w:type="dxa"/>
            <w:vAlign w:val="center"/>
          </w:tcPr>
          <w:p w14:paraId="08AD3CDC">
            <w:pPr>
              <w:widowControl/>
              <w:spacing w:line="360" w:lineRule="auto"/>
              <w:jc w:val="center"/>
              <w:rPr>
                <w:rFonts w:hAnsi="宋体" w:cs="宋体"/>
                <w:color w:val="auto"/>
                <w:kern w:val="2"/>
                <w:szCs w:val="24"/>
                <w:highlight w:val="none"/>
              </w:rPr>
            </w:pPr>
            <w:r>
              <w:rPr>
                <w:rFonts w:hint="eastAsia" w:hAnsi="宋体"/>
                <w:color w:val="auto"/>
                <w:szCs w:val="24"/>
                <w:highlight w:val="none"/>
                <w:lang w:val="en-US" w:eastAsia="zh-CN"/>
              </w:rPr>
              <w:t>项目</w:t>
            </w:r>
            <w:r>
              <w:rPr>
                <w:rFonts w:hint="eastAsia" w:hAnsi="宋体"/>
                <w:color w:val="auto"/>
                <w:szCs w:val="24"/>
                <w:highlight w:val="none"/>
              </w:rPr>
              <w:t>所属行业</w:t>
            </w:r>
          </w:p>
        </w:tc>
        <w:tc>
          <w:tcPr>
            <w:tcW w:w="7354" w:type="dxa"/>
            <w:vAlign w:val="center"/>
          </w:tcPr>
          <w:p w14:paraId="5E97FBD8">
            <w:pPr>
              <w:widowControl/>
              <w:spacing w:line="360" w:lineRule="auto"/>
              <w:rPr>
                <w:color w:val="auto"/>
                <w:szCs w:val="22"/>
                <w:highlight w:val="none"/>
              </w:rPr>
            </w:pPr>
            <w:r>
              <w:rPr>
                <w:rFonts w:hint="eastAsia"/>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6"/>
      <w:bookmarkEnd w:id="27"/>
      <w:bookmarkEnd w:id="28"/>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向上争取和自筹</w:t>
      </w:r>
      <w:r>
        <w:rPr>
          <w:rFonts w:hint="eastAsia" w:hAnsi="宋体" w:cs="宋体"/>
          <w:color w:val="auto"/>
          <w:szCs w:val="24"/>
          <w:highlight w:val="none"/>
        </w:rPr>
        <w:t>资金支付，资金已落实到位。</w:t>
      </w:r>
    </w:p>
    <w:p w14:paraId="45369EEE">
      <w:pPr>
        <w:numPr>
          <w:ilvl w:val="0"/>
          <w:numId w:val="1"/>
        </w:numPr>
        <w:spacing w:line="500" w:lineRule="exact"/>
        <w:rPr>
          <w:rFonts w:hAnsi="宋体" w:cs="宋体"/>
          <w:b/>
          <w:color w:val="auto"/>
          <w:szCs w:val="24"/>
          <w:highlight w:val="none"/>
        </w:rPr>
      </w:pPr>
      <w:bookmarkStart w:id="29" w:name="_Toc363473973"/>
      <w:bookmarkStart w:id="30" w:name="_Toc363474018"/>
      <w:bookmarkStart w:id="31" w:name="_Toc403077640"/>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柞水县林业局</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int="eastAsia" w:hAnsi="宋体" w:eastAsia="宋体" w:cs="宋体"/>
          <w:color w:val="auto"/>
          <w:highlight w:val="none"/>
          <w:lang w:eastAsia="zh-CN"/>
        </w:rPr>
      </w:pPr>
      <w:r>
        <w:rPr>
          <w:rFonts w:hint="eastAsia" w:hAnsi="宋体" w:cs="宋体"/>
          <w:color w:val="auto"/>
          <w:szCs w:val="22"/>
          <w:highlight w:val="none"/>
        </w:rPr>
        <w:t>2.3采购代理机构：</w:t>
      </w:r>
      <w:r>
        <w:rPr>
          <w:rFonts w:hint="eastAsia" w:hAnsi="宋体" w:cs="宋体"/>
          <w:color w:val="auto"/>
          <w:szCs w:val="22"/>
          <w:highlight w:val="none"/>
          <w:lang w:eastAsia="zh-CN"/>
        </w:rPr>
        <w:t>陕西银正项目管理有限公司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w:t>
      </w:r>
      <w:r>
        <w:rPr>
          <w:rFonts w:hint="eastAsia" w:hAnsi="宋体" w:cs="宋体"/>
          <w:color w:val="auto"/>
          <w:szCs w:val="24"/>
          <w:highlight w:val="none"/>
          <w:lang w:eastAsia="zh-CN"/>
        </w:rPr>
        <w:t>陕西银正项目管理有限公司</w:t>
      </w:r>
      <w:r>
        <w:rPr>
          <w:rFonts w:hint="eastAsia" w:hAnsi="宋体" w:cs="宋体"/>
          <w:color w:val="auto"/>
          <w:szCs w:val="24"/>
          <w:highlight w:val="none"/>
        </w:rPr>
        <w:t>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9"/>
      <w:bookmarkEnd w:id="30"/>
      <w:bookmarkEnd w:id="31"/>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w:t>
      </w:r>
      <w:r>
        <w:rPr>
          <w:rFonts w:hint="eastAsia" w:hAnsi="宋体" w:cs="宋体"/>
          <w:color w:val="auto"/>
          <w:szCs w:val="24"/>
          <w:highlight w:val="none"/>
          <w:lang w:eastAsia="zh-CN"/>
        </w:rPr>
        <w:t>陕西银正项目管理有限公司</w:t>
      </w:r>
      <w:r>
        <w:rPr>
          <w:rFonts w:hint="eastAsia" w:hAnsi="宋体" w:cs="宋体"/>
          <w:color w:val="auto"/>
          <w:szCs w:val="24"/>
          <w:highlight w:val="none"/>
        </w:rPr>
        <w:t>，如发现竞争性磋商响应文件内容与现行法律法规不相符的情况，以现行法律法规为准。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2" w:name="_Toc403077641"/>
      <w:bookmarkStart w:id="33" w:name="_Toc363474019"/>
      <w:bookmarkStart w:id="34" w:name="_Toc363473974"/>
      <w:r>
        <w:rPr>
          <w:rFonts w:hint="eastAsia" w:hAnsi="宋体" w:cs="宋体"/>
          <w:b/>
          <w:color w:val="auto"/>
          <w:sz w:val="32"/>
          <w:szCs w:val="32"/>
          <w:highlight w:val="none"/>
        </w:rPr>
        <w:t>三.磋商响应文件的编制</w:t>
      </w:r>
      <w:bookmarkEnd w:id="32"/>
      <w:bookmarkEnd w:id="33"/>
      <w:bookmarkEnd w:id="34"/>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w:t>
      </w:r>
      <w:r>
        <w:rPr>
          <w:rFonts w:hint="eastAsia" w:hAnsi="宋体" w:cs="宋体"/>
          <w:color w:val="auto"/>
          <w:szCs w:val="24"/>
          <w:highlight w:val="none"/>
          <w:lang w:eastAsia="zh-CN"/>
        </w:rPr>
        <w:t>陕西银正项目管理有限公司</w:t>
      </w:r>
      <w:r>
        <w:rPr>
          <w:rFonts w:hint="eastAsia" w:hAnsi="宋体" w:cs="宋体"/>
          <w:color w:val="auto"/>
          <w:szCs w:val="24"/>
          <w:highlight w:val="none"/>
        </w:rPr>
        <w:t>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w:t>
      </w:r>
      <w:r>
        <w:rPr>
          <w:rFonts w:hint="eastAsia" w:hAnsi="宋体" w:cs="宋体"/>
          <w:color w:val="auto"/>
          <w:szCs w:val="24"/>
          <w:highlight w:val="none"/>
          <w:lang w:eastAsia="zh-CN"/>
        </w:rPr>
        <w:t>陕西银正项目管理有限公司</w:t>
      </w:r>
      <w:r>
        <w:rPr>
          <w:rFonts w:hint="eastAsia" w:hAnsi="宋体" w:cs="宋体"/>
          <w:color w:val="auto"/>
          <w:szCs w:val="24"/>
          <w:highlight w:val="none"/>
        </w:rPr>
        <w:t>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5"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5"/>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6" w:name="_Toc363473976"/>
      <w:bookmarkStart w:id="37" w:name="_Toc403077643"/>
      <w:bookmarkStart w:id="38" w:name="_Toc363474021"/>
      <w:r>
        <w:rPr>
          <w:rFonts w:hint="eastAsia" w:hAnsi="宋体" w:cs="宋体"/>
          <w:b/>
          <w:color w:val="auto"/>
          <w:sz w:val="32"/>
          <w:szCs w:val="32"/>
          <w:highlight w:val="none"/>
        </w:rPr>
        <w:t>五.磋商与评标</w:t>
      </w:r>
      <w:bookmarkEnd w:id="36"/>
      <w:bookmarkEnd w:id="37"/>
      <w:bookmarkEnd w:id="38"/>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spacing w:line="360" w:lineRule="auto"/>
        <w:rPr>
          <w:rFonts w:hint="eastAsia"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3FD56BD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29.1招标代理服务费：以中标金额为基数，依据国家计委颁布《招标代理服务收费管理暂行办法》（计价格[2002]1980号）文件的有关规定执行。</w:t>
      </w:r>
    </w:p>
    <w:p w14:paraId="68348EB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29.2成交单位在领取成交通知书前，须向采购代理机构一次性支付代理服务费。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F254F4D">
      <w:pPr>
        <w:spacing w:line="360" w:lineRule="auto"/>
        <w:ind w:firstLine="48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 xml:space="preserve">1、采购代理机构开户名称: </w:t>
      </w:r>
      <w:r>
        <w:rPr>
          <w:rFonts w:hint="eastAsia" w:hAnsi="宋体" w:cs="宋体"/>
          <w:b/>
          <w:bCs/>
          <w:szCs w:val="24"/>
          <w:highlight w:val="none"/>
          <w:lang w:eastAsia="zh-CN"/>
        </w:rPr>
        <w:t>陕西银正项目管理有限公司</w:t>
      </w:r>
    </w:p>
    <w:p w14:paraId="278FD531">
      <w:pPr>
        <w:spacing w:line="360" w:lineRule="auto"/>
        <w:ind w:firstLine="48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2、开户行名称：</w:t>
      </w:r>
      <w:r>
        <w:rPr>
          <w:rFonts w:hint="eastAsia" w:hAnsi="宋体" w:cs="宋体"/>
          <w:b/>
          <w:bCs/>
          <w:szCs w:val="24"/>
          <w:highlight w:val="none"/>
          <w:lang w:eastAsia="zh-CN"/>
        </w:rPr>
        <w:t>中国工商银行股份有限公司西安凤城七路支行</w:t>
      </w:r>
    </w:p>
    <w:p w14:paraId="3613CBF7">
      <w:pPr>
        <w:pStyle w:val="9"/>
        <w:ind w:firstLine="482" w:firstLineChars="200"/>
        <w:rPr>
          <w:rFonts w:ascii="宋体" w:hAnsi="宋体" w:cs="宋体"/>
          <w:color w:val="auto"/>
          <w:sz w:val="24"/>
          <w:szCs w:val="24"/>
          <w:highlight w:val="none"/>
        </w:rPr>
      </w:pPr>
      <w:r>
        <w:rPr>
          <w:rFonts w:hint="eastAsia" w:ascii="宋体" w:hAnsi="宋体" w:eastAsia="宋体" w:cs="宋体"/>
          <w:b/>
          <w:bCs/>
          <w:sz w:val="24"/>
          <w:szCs w:val="24"/>
          <w:highlight w:val="none"/>
        </w:rPr>
        <w:t>3、账号：</w:t>
      </w:r>
      <w:r>
        <w:rPr>
          <w:rFonts w:hint="eastAsia" w:ascii="宋体" w:hAnsi="宋体" w:cs="宋体"/>
          <w:b/>
          <w:bCs/>
          <w:sz w:val="24"/>
          <w:szCs w:val="24"/>
          <w:highlight w:val="none"/>
          <w:lang w:eastAsia="zh-CN"/>
        </w:rPr>
        <w:t>3700085109100068236</w:t>
      </w:r>
    </w:p>
    <w:p w14:paraId="34838309">
      <w:pPr>
        <w:numPr>
          <w:ilvl w:val="0"/>
          <w:numId w:val="2"/>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9" w:name="_Toc423973074"/>
      <w:bookmarkStart w:id="40" w:name="_Toc403077645"/>
      <w:bookmarkStart w:id="41" w:name="_Toc25783"/>
      <w:bookmarkStart w:id="42" w:name="_Toc363474023"/>
      <w:r>
        <w:rPr>
          <w:rFonts w:hint="eastAsia" w:ascii="宋体" w:eastAsia="宋体" w:cs="宋体"/>
          <w:bCs/>
          <w:color w:val="auto"/>
          <w:sz w:val="36"/>
          <w:szCs w:val="36"/>
          <w:highlight w:val="none"/>
        </w:rPr>
        <w:br w:type="page"/>
      </w:r>
      <w:bookmarkStart w:id="43"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3"/>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3"/>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2F42C04">
      <w:pPr>
        <w:spacing w:line="500" w:lineRule="exact"/>
        <w:jc w:val="left"/>
        <w:outlineLvl w:val="1"/>
        <w:rPr>
          <w:rFonts w:hAnsi="宋体" w:cs="宋体"/>
          <w:b/>
          <w:color w:val="auto"/>
          <w:szCs w:val="24"/>
          <w:highlight w:val="none"/>
        </w:rPr>
      </w:pPr>
      <w:bookmarkStart w:id="44" w:name="_Toc24776"/>
      <w:bookmarkStart w:id="45" w:name="_Toc30804"/>
      <w:bookmarkStart w:id="46" w:name="_Toc7905"/>
      <w:bookmarkStart w:id="47" w:name="_Toc17111"/>
      <w:bookmarkStart w:id="48" w:name="_Toc4428"/>
      <w:bookmarkStart w:id="49" w:name="_Toc19221"/>
      <w:r>
        <w:rPr>
          <w:rFonts w:hint="eastAsia" w:hAnsi="宋体" w:cs="宋体"/>
          <w:b/>
          <w:color w:val="auto"/>
          <w:szCs w:val="24"/>
          <w:highlight w:val="none"/>
        </w:rPr>
        <w:t>三、政策性扣减</w:t>
      </w:r>
      <w:bookmarkEnd w:id="44"/>
      <w:bookmarkEnd w:id="45"/>
      <w:bookmarkEnd w:id="46"/>
      <w:bookmarkEnd w:id="47"/>
      <w:bookmarkEnd w:id="48"/>
      <w:bookmarkEnd w:id="49"/>
    </w:p>
    <w:p w14:paraId="2622355B">
      <w:pPr>
        <w:spacing w:line="500" w:lineRule="exact"/>
        <w:ind w:firstLine="482" w:firstLineChars="200"/>
        <w:jc w:val="left"/>
        <w:rPr>
          <w:rFonts w:hAnsi="宋体" w:cs="宋体"/>
          <w:b/>
          <w:bCs/>
          <w:color w:val="auto"/>
          <w:szCs w:val="24"/>
          <w:highlight w:val="none"/>
        </w:rPr>
      </w:pPr>
      <w:r>
        <w:rPr>
          <w:rFonts w:hint="eastAsia" w:hAnsi="宋体" w:cs="宋体"/>
          <w:b/>
          <w:bCs/>
          <w:color w:val="auto"/>
          <w:szCs w:val="24"/>
          <w:highlight w:val="none"/>
        </w:rPr>
        <w:t>1政策性扣减范围</w:t>
      </w:r>
    </w:p>
    <w:p w14:paraId="4D880E78">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1.1供应商符合小型、微型企业或监狱企业、残疾人福利性单位条件的，其磋商报价价格评审时将按相应比例进行扣减。</w:t>
      </w:r>
    </w:p>
    <w:p w14:paraId="75A4F3A8">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1.2依照《政府采购促进中小企业发展管理办法》（财库〔2020〕46号）的规定，小型、微型企业应当同时符合以下条件：</w:t>
      </w:r>
    </w:p>
    <w:p w14:paraId="2D8904BC">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1.2.1符合中小企业划分标准（中小企业划分标准是指国务院有关部门根据企业从业人员、营业收入、资产总额等指标制定的中小企业划型标准（工信部联企业〔2011〕300号））。</w:t>
      </w:r>
    </w:p>
    <w:p w14:paraId="5D162CA8">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1.2.2提供本企业制造的货物、承担的工程或者服务，或者提供其他中小企业制造的货物，不包括提供或使用大型企业注册商标的货物。</w:t>
      </w:r>
    </w:p>
    <w:p w14:paraId="76E40DDD">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1.2.3小型、微型企业提供中型企业制造的货物的，视同为中型企业；小型、微型、中型企业提供大型企业制造的货物的，视同为大型企业。</w:t>
      </w:r>
    </w:p>
    <w:p w14:paraId="0503367E">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1.3采购人拟采购产品属于优先采购节能环境标志产品范围的，应当优先采购节能环境标志产品，节能产品以财政部国家发展改革委关于调整公布第十七期节能产品政府采购清单所列产品为准。环保产品以财政部环境保护部关于调整公布第十五期环境标志产品政府采购清单所列产品为准。</w:t>
      </w:r>
    </w:p>
    <w:p w14:paraId="6E33268C">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1.3.1“节能产品政府采购清单”：符合政府采购优先采购政策的，所投产品属于“节能产品政府采购清单”中品目的产品，需提供最新一期“节能产品政府采购清单”中磋商产品所在清单页并加盖供应商公章。该清单可在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hAnsi="宋体" w:cs="宋体"/>
          <w:color w:val="auto"/>
          <w:szCs w:val="24"/>
          <w:highlight w:val="none"/>
        </w:rPr>
        <w:t>http://www.ccgp.gov.cn/</w:t>
      </w:r>
      <w:r>
        <w:rPr>
          <w:rFonts w:hint="eastAsia" w:hAnsi="宋体" w:cs="宋体"/>
          <w:color w:val="auto"/>
          <w:szCs w:val="24"/>
          <w:highlight w:val="none"/>
        </w:rPr>
        <w:fldChar w:fldCharType="end"/>
      </w:r>
      <w:r>
        <w:rPr>
          <w:rFonts w:hint="eastAsia" w:hAnsi="宋体" w:cs="宋体"/>
          <w:color w:val="auto"/>
          <w:szCs w:val="24"/>
          <w:highlight w:val="none"/>
        </w:rPr>
        <w:t>）上查找。</w:t>
      </w:r>
    </w:p>
    <w:p w14:paraId="625D8D50">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1.3.2 “环境标志产品政府采购清单”：所投产品属于“环境标志产品政府采购清单”中品目的产品，需提供最新一期“环境标志产品政府采购清单”中磋商产品所在清单页并加盖供应商公章。该清单可在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hAnsi="宋体" w:cs="宋体"/>
          <w:color w:val="auto"/>
          <w:szCs w:val="24"/>
          <w:highlight w:val="none"/>
        </w:rPr>
        <w:t>http://www.ccgp.gov.cn/</w:t>
      </w:r>
      <w:r>
        <w:rPr>
          <w:rFonts w:hint="eastAsia" w:hAnsi="宋体" w:cs="宋体"/>
          <w:color w:val="auto"/>
          <w:szCs w:val="24"/>
          <w:highlight w:val="none"/>
        </w:rPr>
        <w:fldChar w:fldCharType="end"/>
      </w:r>
      <w:r>
        <w:rPr>
          <w:rFonts w:hint="eastAsia" w:hAnsi="宋体" w:cs="宋体"/>
          <w:color w:val="auto"/>
          <w:szCs w:val="24"/>
          <w:highlight w:val="none"/>
        </w:rPr>
        <w:t>）上查找。</w:t>
      </w:r>
    </w:p>
    <w:p w14:paraId="2A3F1981">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1.4监狱企业参加政府采购活动时，应当提供由省级以上监狱管理局、戒毒管理局(含新疆生产建设兵团)出具的属于监狱企业的证明文件。监狱企业参加政府采购活动时，视同小型、微型企业。</w:t>
      </w:r>
    </w:p>
    <w:p w14:paraId="518AC175">
      <w:pPr>
        <w:spacing w:line="500" w:lineRule="exact"/>
        <w:ind w:firstLine="600" w:firstLineChars="250"/>
        <w:rPr>
          <w:rFonts w:hAnsi="宋体" w:cs="宋体"/>
          <w:color w:val="auto"/>
          <w:szCs w:val="24"/>
          <w:highlight w:val="none"/>
        </w:rPr>
      </w:pPr>
      <w:r>
        <w:rPr>
          <w:rFonts w:hint="eastAsia" w:hAnsi="宋体" w:cs="宋体"/>
          <w:color w:val="auto"/>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249881B4">
      <w:pPr>
        <w:spacing w:line="500" w:lineRule="exact"/>
        <w:ind w:firstLine="482" w:firstLineChars="200"/>
        <w:jc w:val="left"/>
        <w:rPr>
          <w:rFonts w:hAnsi="宋体" w:cs="宋体"/>
          <w:b/>
          <w:bCs/>
          <w:color w:val="auto"/>
          <w:szCs w:val="24"/>
          <w:highlight w:val="none"/>
        </w:rPr>
      </w:pPr>
      <w:r>
        <w:rPr>
          <w:rFonts w:hint="eastAsia" w:hAnsi="宋体" w:cs="宋体"/>
          <w:b/>
          <w:bCs/>
          <w:color w:val="auto"/>
          <w:szCs w:val="24"/>
          <w:highlight w:val="none"/>
        </w:rPr>
        <w:t>2、政策性扣减方式：</w:t>
      </w:r>
    </w:p>
    <w:p w14:paraId="37DE5FE3">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2.1供应商为非联合体参与磋商的情况：</w:t>
      </w:r>
    </w:p>
    <w:p w14:paraId="244AA55E">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2.1.1在磋商最终报价的基础上，小型企业或达到小型企业划分标准的监狱企业（或残疾人福利性单位），按“磋商最终报价×10%”进行扣减；</w:t>
      </w:r>
    </w:p>
    <w:p w14:paraId="14796978">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2.2供应商为联合体参与磋商且联合协议中约定小型或微型企业的协议合同金额占到联合体协议合同总金额30％以上的情况：</w:t>
      </w:r>
    </w:p>
    <w:p w14:paraId="1AE8C4EB">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2.2.1在磋商最终报价的基础上，与小型企业或达到小型企业划分标准的监狱企业（或残疾人福利性单位）联合的，按“磋商最终报价×2%”进行扣减；</w:t>
      </w:r>
    </w:p>
    <w:p w14:paraId="3C4810A1">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2.2.2在磋商最终报价的基础上，与微型企业或达到微型企业划分标准的监狱企业（或残疾人福利性单位）联合的，按“磋商最终报价×3%”进行扣减。</w:t>
      </w:r>
    </w:p>
    <w:p w14:paraId="05522DB7">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2.2.3在磋商最终报价的基础上，同时与小型、微型企业或达到小型、微型企业划分标准的监狱企业（或残疾人福利性单位）组成两家以上的联合体的，仅按照“磋商最终报价×3%”进行扣减。不累计扣减。</w:t>
      </w:r>
    </w:p>
    <w:p w14:paraId="673AEA19">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2.3供应商享受支持中小型企业发展政策优惠的，可以同时享受节能、环境标志产品优先采购政策。</w:t>
      </w:r>
    </w:p>
    <w:p w14:paraId="725B1A15">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2.3.1单个合同项为单一产品的，所投产品为节能、环境标志产品的在磋商最终报价的基础上，按“磋商最终报价×6%”进行扣减；</w:t>
      </w:r>
    </w:p>
    <w:p w14:paraId="7636F423">
      <w:pPr>
        <w:spacing w:line="500" w:lineRule="exact"/>
        <w:ind w:firstLine="480" w:firstLineChars="200"/>
        <w:jc w:val="left"/>
        <w:rPr>
          <w:rFonts w:hAnsi="宋体" w:cs="宋体"/>
          <w:color w:val="auto"/>
          <w:szCs w:val="24"/>
          <w:highlight w:val="none"/>
        </w:rPr>
      </w:pPr>
      <w:r>
        <w:rPr>
          <w:rFonts w:hint="eastAsia" w:hAnsi="宋体" w:cs="宋体"/>
          <w:color w:val="auto"/>
          <w:szCs w:val="24"/>
          <w:highlight w:val="none"/>
        </w:rPr>
        <w:t>2.3.2单个合同项为多种产品的，所投产品为节能、环境标志产品报价占到总报价30％以上的，在磋商最终报价的基础上，按“磋商最终报价×3%”进行扣减；在磋商最终报价时须对此类产品单独分项报价，计算出小计及占总价的百分比，未提供节能、环境标志产品报价明细表及1.3.1和1.3.2条规定的证明材料，在评审时不享受政府采购优惠政策。</w:t>
      </w:r>
    </w:p>
    <w:p w14:paraId="68F01C6C">
      <w:pPr>
        <w:spacing w:line="360" w:lineRule="auto"/>
        <w:ind w:firstLine="480" w:firstLineChars="200"/>
        <w:jc w:val="both"/>
        <w:rPr>
          <w:rFonts w:hAnsi="宋体" w:cs="宋体"/>
          <w:b/>
          <w:color w:val="auto"/>
          <w:szCs w:val="24"/>
          <w:highlight w:val="none"/>
        </w:rPr>
      </w:pPr>
      <w:r>
        <w:rPr>
          <w:rFonts w:hint="eastAsia" w:ascii="宋体" w:hAnsi="宋体" w:eastAsia="宋体" w:cs="宋体"/>
          <w:color w:val="auto"/>
          <w:sz w:val="24"/>
          <w:szCs w:val="24"/>
          <w:highlight w:val="none"/>
          <w:lang w:val="en-US" w:eastAsia="zh-CN" w:bidi="ar-SA"/>
        </w:rPr>
        <w:t>成交价格=成交供应商的有效磋商报价。</w:t>
      </w: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570"/>
        <w:gridCol w:w="6699"/>
        <w:gridCol w:w="760"/>
        <w:gridCol w:w="571"/>
      </w:tblGrid>
      <w:tr w14:paraId="641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471" w:type="dxa"/>
            <w:vAlign w:val="center"/>
          </w:tcPr>
          <w:p w14:paraId="0FB185EB">
            <w:pPr>
              <w:pStyle w:val="13"/>
              <w:ind w:left="5250"/>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类别</w:t>
            </w:r>
          </w:p>
        </w:tc>
        <w:tc>
          <w:tcPr>
            <w:tcW w:w="570" w:type="dxa"/>
            <w:vAlign w:val="center"/>
          </w:tcPr>
          <w:p w14:paraId="075C8A19">
            <w:pPr>
              <w:jc w:val="center"/>
              <w:rPr>
                <w:rFonts w:hAnsi="宋体" w:cs="宋体"/>
                <w:b/>
                <w:bCs/>
                <w:color w:val="auto"/>
                <w:szCs w:val="24"/>
                <w:highlight w:val="none"/>
              </w:rPr>
            </w:pPr>
            <w:r>
              <w:rPr>
                <w:rFonts w:hint="eastAsia" w:hAnsi="宋体" w:cs="宋体"/>
                <w:b/>
                <w:bCs/>
                <w:color w:val="auto"/>
                <w:szCs w:val="24"/>
                <w:highlight w:val="none"/>
              </w:rPr>
              <w:t>总分</w:t>
            </w:r>
          </w:p>
        </w:tc>
        <w:tc>
          <w:tcPr>
            <w:tcW w:w="6699" w:type="dxa"/>
            <w:vAlign w:val="center"/>
          </w:tcPr>
          <w:p w14:paraId="04289259">
            <w:pPr>
              <w:jc w:val="center"/>
              <w:rPr>
                <w:rFonts w:hAnsi="宋体" w:cs="宋体"/>
                <w:b/>
                <w:bCs/>
                <w:color w:val="auto"/>
                <w:szCs w:val="24"/>
                <w:highlight w:val="none"/>
              </w:rPr>
            </w:pPr>
            <w:r>
              <w:rPr>
                <w:rFonts w:hint="eastAsia" w:hAnsi="宋体" w:cs="宋体"/>
                <w:b/>
                <w:bCs/>
                <w:color w:val="auto"/>
                <w:szCs w:val="24"/>
                <w:highlight w:val="none"/>
              </w:rPr>
              <w:t>评审因素</w:t>
            </w:r>
          </w:p>
        </w:tc>
        <w:tc>
          <w:tcPr>
            <w:tcW w:w="760" w:type="dxa"/>
            <w:vAlign w:val="center"/>
          </w:tcPr>
          <w:p w14:paraId="2DAF1AF0">
            <w:pPr>
              <w:jc w:val="center"/>
              <w:rPr>
                <w:rFonts w:hAnsi="宋体" w:cs="宋体"/>
                <w:b/>
                <w:bCs/>
                <w:color w:val="auto"/>
                <w:szCs w:val="24"/>
                <w:highlight w:val="none"/>
              </w:rPr>
            </w:pPr>
            <w:r>
              <w:rPr>
                <w:rFonts w:hint="eastAsia" w:hAnsi="宋体" w:cs="宋体"/>
                <w:b/>
                <w:bCs/>
                <w:color w:val="auto"/>
                <w:szCs w:val="24"/>
                <w:highlight w:val="none"/>
              </w:rPr>
              <w:t>最高</w:t>
            </w:r>
          </w:p>
          <w:p w14:paraId="78D933F2">
            <w:pPr>
              <w:jc w:val="center"/>
              <w:rPr>
                <w:rFonts w:hAnsi="宋体" w:cs="宋体"/>
                <w:b/>
                <w:bCs/>
                <w:color w:val="auto"/>
                <w:szCs w:val="24"/>
                <w:highlight w:val="none"/>
              </w:rPr>
            </w:pPr>
            <w:r>
              <w:rPr>
                <w:rFonts w:hint="eastAsia" w:hAnsi="宋体" w:cs="宋体"/>
                <w:b/>
                <w:bCs/>
                <w:color w:val="auto"/>
                <w:szCs w:val="24"/>
                <w:highlight w:val="none"/>
              </w:rPr>
              <w:t>得分</w:t>
            </w:r>
          </w:p>
        </w:tc>
        <w:tc>
          <w:tcPr>
            <w:tcW w:w="571" w:type="dxa"/>
            <w:vAlign w:val="center"/>
          </w:tcPr>
          <w:p w14:paraId="61E9B731">
            <w:pPr>
              <w:jc w:val="center"/>
              <w:rPr>
                <w:rFonts w:hAnsi="宋体" w:cs="宋体"/>
                <w:b/>
                <w:bCs/>
                <w:color w:val="auto"/>
                <w:szCs w:val="24"/>
                <w:highlight w:val="none"/>
              </w:rPr>
            </w:pPr>
            <w:r>
              <w:rPr>
                <w:rFonts w:hint="eastAsia" w:hAnsi="宋体" w:cs="宋体"/>
                <w:b/>
                <w:bCs/>
                <w:color w:val="auto"/>
                <w:szCs w:val="24"/>
                <w:highlight w:val="none"/>
              </w:rPr>
              <w:t>备注</w:t>
            </w:r>
          </w:p>
        </w:tc>
      </w:tr>
      <w:tr w14:paraId="3F95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471" w:type="dxa"/>
            <w:vAlign w:val="center"/>
          </w:tcPr>
          <w:p w14:paraId="0631C8E4">
            <w:pPr>
              <w:spacing w:line="360" w:lineRule="auto"/>
              <w:jc w:val="center"/>
              <w:rPr>
                <w:rFonts w:hAnsi="宋体" w:cs="宋体"/>
                <w:b/>
                <w:bCs/>
                <w:color w:val="auto"/>
                <w:szCs w:val="24"/>
                <w:highlight w:val="none"/>
              </w:rPr>
            </w:pPr>
            <w:r>
              <w:rPr>
                <w:rFonts w:hint="eastAsia" w:hAnsi="宋体" w:cs="宋体"/>
                <w:b/>
                <w:bCs/>
                <w:color w:val="auto"/>
                <w:szCs w:val="24"/>
                <w:highlight w:val="none"/>
              </w:rPr>
              <w:t>价格</w:t>
            </w:r>
          </w:p>
        </w:tc>
        <w:tc>
          <w:tcPr>
            <w:tcW w:w="570" w:type="dxa"/>
            <w:vAlign w:val="center"/>
          </w:tcPr>
          <w:p w14:paraId="2F9CB396">
            <w:pPr>
              <w:spacing w:line="360" w:lineRule="auto"/>
              <w:rPr>
                <w:rFonts w:hAnsi="宋体" w:cs="宋体"/>
                <w:b/>
                <w:bCs/>
                <w:color w:val="auto"/>
                <w:szCs w:val="24"/>
                <w:highlight w:val="none"/>
              </w:rPr>
            </w:pPr>
            <w:r>
              <w:rPr>
                <w:rFonts w:hint="eastAsia" w:hAnsi="宋体" w:cs="宋体"/>
                <w:b/>
                <w:bCs/>
                <w:color w:val="auto"/>
                <w:szCs w:val="24"/>
                <w:highlight w:val="none"/>
              </w:rPr>
              <w:t>30分</w:t>
            </w:r>
          </w:p>
        </w:tc>
        <w:tc>
          <w:tcPr>
            <w:tcW w:w="6699" w:type="dxa"/>
            <w:vAlign w:val="center"/>
          </w:tcPr>
          <w:p w14:paraId="45C27FBC">
            <w:pPr>
              <w:rPr>
                <w:rFonts w:hAnsi="宋体" w:cs="宋体"/>
                <w:color w:val="auto"/>
                <w:szCs w:val="24"/>
                <w:highlight w:val="none"/>
              </w:rPr>
            </w:pPr>
            <w:r>
              <w:rPr>
                <w:rFonts w:hint="eastAsia" w:hAnsi="宋体" w:cs="宋体"/>
                <w:color w:val="auto"/>
                <w:szCs w:val="24"/>
                <w:highlight w:val="none"/>
              </w:rPr>
              <w:t>满足磋商文件要求且最后报价最低的供应商的价格为磋商基准价</w:t>
            </w:r>
          </w:p>
          <w:p w14:paraId="16AE6B16">
            <w:pPr>
              <w:rPr>
                <w:rFonts w:hAnsi="宋体" w:cs="宋体"/>
                <w:color w:val="auto"/>
                <w:szCs w:val="24"/>
                <w:highlight w:val="none"/>
              </w:rPr>
            </w:pPr>
            <w:r>
              <w:rPr>
                <w:rFonts w:hint="eastAsia" w:hAnsi="宋体" w:cs="宋体"/>
                <w:color w:val="auto"/>
                <w:szCs w:val="24"/>
                <w:highlight w:val="none"/>
              </w:rPr>
              <w:t>得30分，其他各供应商的最后磋商报价得分按下列公式计算：</w:t>
            </w:r>
          </w:p>
          <w:p w14:paraId="0BC4DB77">
            <w:pPr>
              <w:spacing w:line="360" w:lineRule="auto"/>
              <w:rPr>
                <w:rFonts w:hAnsi="宋体" w:cs="宋体"/>
                <w:color w:val="auto"/>
                <w:szCs w:val="24"/>
                <w:highlight w:val="none"/>
              </w:rPr>
            </w:pPr>
            <w:r>
              <w:rPr>
                <w:rFonts w:hint="eastAsia" w:hAnsi="宋体" w:cs="宋体"/>
                <w:color w:val="auto"/>
                <w:szCs w:val="24"/>
                <w:highlight w:val="none"/>
              </w:rPr>
              <w:t>（磋商基准价/最后磋商报价）×30%×100。</w:t>
            </w:r>
          </w:p>
        </w:tc>
        <w:tc>
          <w:tcPr>
            <w:tcW w:w="760" w:type="dxa"/>
            <w:vAlign w:val="center"/>
          </w:tcPr>
          <w:p w14:paraId="1893731D">
            <w:pPr>
              <w:spacing w:line="360" w:lineRule="auto"/>
              <w:rPr>
                <w:rFonts w:hAnsi="宋体" w:cs="宋体"/>
                <w:color w:val="auto"/>
                <w:szCs w:val="24"/>
                <w:highlight w:val="none"/>
              </w:rPr>
            </w:pPr>
            <w:r>
              <w:rPr>
                <w:rFonts w:hint="eastAsia" w:hAnsi="宋体" w:cs="宋体"/>
                <w:color w:val="auto"/>
                <w:szCs w:val="24"/>
                <w:highlight w:val="none"/>
              </w:rPr>
              <w:t>30分</w:t>
            </w:r>
          </w:p>
        </w:tc>
        <w:tc>
          <w:tcPr>
            <w:tcW w:w="571" w:type="dxa"/>
            <w:vMerge w:val="restart"/>
            <w:vAlign w:val="center"/>
          </w:tcPr>
          <w:p w14:paraId="175E4549">
            <w:pPr>
              <w:spacing w:line="360" w:lineRule="auto"/>
              <w:jc w:val="center"/>
              <w:rPr>
                <w:rFonts w:hAnsi="宋体" w:cs="宋体"/>
                <w:color w:val="auto"/>
                <w:szCs w:val="24"/>
                <w:highlight w:val="none"/>
              </w:rPr>
            </w:pPr>
            <w:r>
              <w:rPr>
                <w:rFonts w:hint="eastAsia" w:hAnsi="宋体" w:cs="宋体"/>
                <w:color w:val="auto"/>
                <w:szCs w:val="24"/>
                <w:highlight w:val="none"/>
              </w:rPr>
              <w:t>根</w:t>
            </w:r>
          </w:p>
          <w:p w14:paraId="7F858762">
            <w:pPr>
              <w:spacing w:line="360" w:lineRule="auto"/>
              <w:jc w:val="center"/>
              <w:rPr>
                <w:rFonts w:hAnsi="宋体" w:cs="宋体"/>
                <w:color w:val="auto"/>
                <w:szCs w:val="24"/>
                <w:highlight w:val="none"/>
              </w:rPr>
            </w:pPr>
            <w:r>
              <w:rPr>
                <w:rFonts w:hint="eastAsia" w:hAnsi="宋体" w:cs="宋体"/>
                <w:color w:val="auto"/>
                <w:szCs w:val="24"/>
                <w:highlight w:val="none"/>
              </w:rPr>
              <w:t>据</w:t>
            </w:r>
          </w:p>
          <w:p w14:paraId="228D09B2">
            <w:pPr>
              <w:spacing w:line="360" w:lineRule="auto"/>
              <w:jc w:val="center"/>
              <w:rPr>
                <w:rFonts w:hAnsi="宋体" w:cs="宋体"/>
                <w:color w:val="auto"/>
                <w:szCs w:val="24"/>
                <w:highlight w:val="none"/>
              </w:rPr>
            </w:pPr>
            <w:r>
              <w:rPr>
                <w:rFonts w:hint="eastAsia" w:hAnsi="宋体" w:cs="宋体"/>
                <w:color w:val="auto"/>
                <w:szCs w:val="24"/>
                <w:highlight w:val="none"/>
              </w:rPr>
              <w:t>磋商响应文</w:t>
            </w:r>
          </w:p>
          <w:p w14:paraId="5F2325BD">
            <w:pPr>
              <w:spacing w:line="360" w:lineRule="auto"/>
              <w:jc w:val="center"/>
              <w:rPr>
                <w:rFonts w:hAnsi="宋体" w:cs="宋体"/>
                <w:color w:val="auto"/>
                <w:szCs w:val="24"/>
                <w:highlight w:val="none"/>
              </w:rPr>
            </w:pPr>
            <w:r>
              <w:rPr>
                <w:rFonts w:hint="eastAsia" w:hAnsi="宋体" w:cs="宋体"/>
                <w:color w:val="auto"/>
                <w:szCs w:val="24"/>
                <w:highlight w:val="none"/>
              </w:rPr>
              <w:t>件</w:t>
            </w:r>
          </w:p>
          <w:p w14:paraId="2D6A7B3A">
            <w:pPr>
              <w:spacing w:line="360" w:lineRule="auto"/>
              <w:jc w:val="center"/>
              <w:rPr>
                <w:rFonts w:hAnsi="宋体" w:cs="宋体"/>
                <w:color w:val="auto"/>
                <w:szCs w:val="24"/>
                <w:highlight w:val="none"/>
              </w:rPr>
            </w:pPr>
            <w:r>
              <w:rPr>
                <w:rFonts w:hint="eastAsia" w:hAnsi="宋体" w:cs="宋体"/>
                <w:color w:val="auto"/>
                <w:szCs w:val="24"/>
                <w:highlight w:val="none"/>
              </w:rPr>
              <w:t>的</w:t>
            </w:r>
          </w:p>
          <w:p w14:paraId="49E13E7D">
            <w:pPr>
              <w:spacing w:line="360" w:lineRule="auto"/>
              <w:jc w:val="center"/>
              <w:rPr>
                <w:rFonts w:hAnsi="宋体" w:cs="宋体"/>
                <w:color w:val="auto"/>
                <w:szCs w:val="24"/>
                <w:highlight w:val="none"/>
              </w:rPr>
            </w:pPr>
            <w:r>
              <w:rPr>
                <w:rFonts w:hint="eastAsia" w:hAnsi="宋体" w:cs="宋体"/>
                <w:color w:val="auto"/>
                <w:szCs w:val="24"/>
                <w:highlight w:val="none"/>
              </w:rPr>
              <w:t>响</w:t>
            </w:r>
          </w:p>
          <w:p w14:paraId="53F54848">
            <w:pPr>
              <w:spacing w:line="360" w:lineRule="auto"/>
              <w:jc w:val="center"/>
              <w:rPr>
                <w:rFonts w:hAnsi="宋体" w:cs="宋体"/>
                <w:color w:val="auto"/>
                <w:szCs w:val="24"/>
                <w:highlight w:val="none"/>
              </w:rPr>
            </w:pPr>
            <w:r>
              <w:rPr>
                <w:rFonts w:hint="eastAsia" w:hAnsi="宋体" w:cs="宋体"/>
                <w:color w:val="auto"/>
                <w:szCs w:val="24"/>
                <w:highlight w:val="none"/>
              </w:rPr>
              <w:t>应</w:t>
            </w:r>
          </w:p>
          <w:p w14:paraId="3FC261EF">
            <w:pPr>
              <w:spacing w:line="360" w:lineRule="auto"/>
              <w:jc w:val="center"/>
              <w:rPr>
                <w:rFonts w:hAnsi="宋体" w:cs="宋体"/>
                <w:color w:val="auto"/>
                <w:szCs w:val="24"/>
                <w:highlight w:val="none"/>
              </w:rPr>
            </w:pPr>
            <w:r>
              <w:rPr>
                <w:rFonts w:hint="eastAsia" w:hAnsi="宋体" w:cs="宋体"/>
                <w:color w:val="auto"/>
                <w:szCs w:val="24"/>
                <w:highlight w:val="none"/>
              </w:rPr>
              <w:t>程</w:t>
            </w:r>
          </w:p>
          <w:p w14:paraId="3BF44485">
            <w:pPr>
              <w:spacing w:line="360" w:lineRule="auto"/>
              <w:jc w:val="center"/>
              <w:rPr>
                <w:rFonts w:hAnsi="宋体" w:cs="宋体"/>
                <w:color w:val="auto"/>
                <w:szCs w:val="24"/>
                <w:highlight w:val="none"/>
              </w:rPr>
            </w:pPr>
            <w:r>
              <w:rPr>
                <w:rFonts w:hint="eastAsia" w:hAnsi="宋体" w:cs="宋体"/>
                <w:color w:val="auto"/>
                <w:szCs w:val="24"/>
                <w:highlight w:val="none"/>
              </w:rPr>
              <w:t>度</w:t>
            </w:r>
          </w:p>
          <w:p w14:paraId="75999262">
            <w:pPr>
              <w:spacing w:line="360" w:lineRule="auto"/>
              <w:jc w:val="center"/>
              <w:rPr>
                <w:rFonts w:hAnsi="宋体" w:cs="宋体"/>
                <w:color w:val="auto"/>
                <w:szCs w:val="24"/>
                <w:highlight w:val="none"/>
              </w:rPr>
            </w:pPr>
            <w:r>
              <w:rPr>
                <w:rFonts w:hint="eastAsia" w:hAnsi="宋体" w:cs="宋体"/>
                <w:color w:val="auto"/>
                <w:szCs w:val="24"/>
                <w:highlight w:val="none"/>
              </w:rPr>
              <w:t>，</w:t>
            </w:r>
          </w:p>
          <w:p w14:paraId="133611CC">
            <w:pPr>
              <w:spacing w:line="360" w:lineRule="auto"/>
              <w:jc w:val="center"/>
              <w:rPr>
                <w:rFonts w:hAnsi="宋体" w:cs="宋体"/>
                <w:color w:val="auto"/>
                <w:szCs w:val="24"/>
                <w:highlight w:val="none"/>
              </w:rPr>
            </w:pPr>
            <w:r>
              <w:rPr>
                <w:rFonts w:hint="eastAsia" w:hAnsi="宋体" w:cs="宋体"/>
                <w:color w:val="auto"/>
                <w:szCs w:val="24"/>
                <w:highlight w:val="none"/>
              </w:rPr>
              <w:t>按</w:t>
            </w:r>
          </w:p>
          <w:p w14:paraId="38599CAF">
            <w:pPr>
              <w:spacing w:line="360" w:lineRule="auto"/>
              <w:jc w:val="center"/>
              <w:rPr>
                <w:rFonts w:hAnsi="宋体" w:cs="宋体"/>
                <w:color w:val="auto"/>
                <w:szCs w:val="24"/>
                <w:highlight w:val="none"/>
              </w:rPr>
            </w:pPr>
            <w:r>
              <w:rPr>
                <w:rFonts w:hint="eastAsia" w:hAnsi="宋体" w:cs="宋体"/>
                <w:color w:val="auto"/>
                <w:szCs w:val="24"/>
                <w:highlight w:val="none"/>
              </w:rPr>
              <w:t>差</w:t>
            </w:r>
          </w:p>
          <w:p w14:paraId="77E49D9E">
            <w:pPr>
              <w:spacing w:line="360" w:lineRule="auto"/>
              <w:jc w:val="center"/>
              <w:rPr>
                <w:rFonts w:hAnsi="宋体" w:cs="宋体"/>
                <w:color w:val="auto"/>
                <w:szCs w:val="24"/>
                <w:highlight w:val="none"/>
              </w:rPr>
            </w:pPr>
            <w:r>
              <w:rPr>
                <w:rFonts w:hint="eastAsia" w:hAnsi="宋体" w:cs="宋体"/>
                <w:color w:val="auto"/>
                <w:szCs w:val="24"/>
                <w:highlight w:val="none"/>
              </w:rPr>
              <w:t>别</w:t>
            </w:r>
          </w:p>
          <w:p w14:paraId="170F4254">
            <w:pPr>
              <w:spacing w:line="360" w:lineRule="auto"/>
              <w:jc w:val="center"/>
              <w:rPr>
                <w:rFonts w:hAnsi="宋体" w:cs="宋体"/>
                <w:color w:val="auto"/>
                <w:szCs w:val="24"/>
                <w:highlight w:val="none"/>
              </w:rPr>
            </w:pPr>
            <w:r>
              <w:rPr>
                <w:rFonts w:hint="eastAsia" w:hAnsi="宋体" w:cs="宋体"/>
                <w:color w:val="auto"/>
                <w:szCs w:val="24"/>
                <w:highlight w:val="none"/>
              </w:rPr>
              <w:t>计</w:t>
            </w:r>
          </w:p>
          <w:p w14:paraId="6349D537">
            <w:pPr>
              <w:spacing w:line="360" w:lineRule="auto"/>
              <w:jc w:val="center"/>
              <w:rPr>
                <w:rFonts w:hAnsi="宋体" w:cs="宋体"/>
                <w:color w:val="auto"/>
                <w:szCs w:val="24"/>
                <w:highlight w:val="none"/>
              </w:rPr>
            </w:pPr>
            <w:r>
              <w:rPr>
                <w:rFonts w:hint="eastAsia" w:hAnsi="宋体" w:cs="宋体"/>
                <w:color w:val="auto"/>
                <w:szCs w:val="24"/>
                <w:highlight w:val="none"/>
              </w:rPr>
              <w:t>分</w:t>
            </w:r>
          </w:p>
          <w:p w14:paraId="35817C8F">
            <w:pPr>
              <w:spacing w:line="360" w:lineRule="auto"/>
              <w:jc w:val="center"/>
              <w:rPr>
                <w:rFonts w:hAnsi="宋体" w:cs="宋体"/>
                <w:color w:val="auto"/>
                <w:szCs w:val="24"/>
                <w:highlight w:val="none"/>
              </w:rPr>
            </w:pPr>
            <w:r>
              <w:rPr>
                <w:rFonts w:hint="eastAsia" w:hAnsi="宋体" w:cs="宋体"/>
                <w:color w:val="auto"/>
                <w:szCs w:val="24"/>
                <w:highlight w:val="none"/>
              </w:rPr>
              <w:t>。</w:t>
            </w:r>
          </w:p>
        </w:tc>
      </w:tr>
      <w:tr w14:paraId="567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1" w:type="dxa"/>
            <w:vMerge w:val="restart"/>
            <w:vAlign w:val="center"/>
          </w:tcPr>
          <w:p w14:paraId="37D76E2E">
            <w:pPr>
              <w:spacing w:line="360" w:lineRule="auto"/>
              <w:rPr>
                <w:rFonts w:hint="eastAsia" w:hAnsi="宋体" w:eastAsia="宋体" w:cs="宋体"/>
                <w:b/>
                <w:bCs/>
                <w:color w:val="auto"/>
                <w:szCs w:val="24"/>
                <w:highlight w:val="none"/>
                <w:lang w:val="en-US" w:eastAsia="zh-CN"/>
              </w:rPr>
            </w:pPr>
            <w:r>
              <w:rPr>
                <w:rFonts w:hint="eastAsia" w:hAnsi="宋体" w:cs="宋体"/>
                <w:b/>
                <w:bCs/>
                <w:color w:val="auto"/>
                <w:szCs w:val="24"/>
                <w:highlight w:val="none"/>
              </w:rPr>
              <w:t>施工组织</w:t>
            </w:r>
            <w:r>
              <w:rPr>
                <w:rFonts w:hint="eastAsia" w:hAnsi="宋体" w:cs="宋体"/>
                <w:b/>
                <w:bCs/>
                <w:color w:val="auto"/>
                <w:szCs w:val="24"/>
                <w:highlight w:val="none"/>
                <w:lang w:val="en-US" w:eastAsia="zh-CN"/>
              </w:rPr>
              <w:t>设计</w:t>
            </w:r>
          </w:p>
        </w:tc>
        <w:tc>
          <w:tcPr>
            <w:tcW w:w="570" w:type="dxa"/>
            <w:vMerge w:val="restart"/>
            <w:vAlign w:val="center"/>
          </w:tcPr>
          <w:p w14:paraId="51CE0F9D">
            <w:pPr>
              <w:spacing w:line="360" w:lineRule="auto"/>
              <w:jc w:val="center"/>
              <w:rPr>
                <w:rFonts w:hAnsi="宋体" w:cs="宋体"/>
                <w:b/>
                <w:bCs/>
                <w:color w:val="auto"/>
                <w:szCs w:val="24"/>
                <w:highlight w:val="none"/>
              </w:rPr>
            </w:pPr>
            <w:r>
              <w:rPr>
                <w:rFonts w:hint="eastAsia" w:hAnsi="宋体" w:cs="宋体"/>
                <w:b/>
                <w:bCs/>
                <w:color w:val="auto"/>
                <w:szCs w:val="24"/>
                <w:highlight w:val="none"/>
              </w:rPr>
              <w:t>60分</w:t>
            </w:r>
          </w:p>
        </w:tc>
        <w:tc>
          <w:tcPr>
            <w:tcW w:w="6699" w:type="dxa"/>
            <w:vAlign w:val="center"/>
          </w:tcPr>
          <w:p w14:paraId="6F98843A">
            <w:pPr>
              <w:spacing w:line="360" w:lineRule="auto"/>
              <w:rPr>
                <w:rFonts w:hAnsi="宋体"/>
                <w:bCs/>
                <w:color w:val="auto"/>
                <w:highlight w:val="none"/>
              </w:rPr>
            </w:pPr>
            <w:r>
              <w:rPr>
                <w:rFonts w:hint="eastAsia" w:hAnsi="宋体"/>
                <w:color w:val="auto"/>
                <w:szCs w:val="24"/>
                <w:highlight w:val="none"/>
              </w:rPr>
              <w:t>根据供应商项目管理架构及项目经理部组成人员组成情况进行综合赋分（1～10分）</w:t>
            </w:r>
          </w:p>
        </w:tc>
        <w:tc>
          <w:tcPr>
            <w:tcW w:w="760" w:type="dxa"/>
            <w:vAlign w:val="center"/>
          </w:tcPr>
          <w:p w14:paraId="0EDAB59A">
            <w:pPr>
              <w:spacing w:line="360" w:lineRule="auto"/>
              <w:rPr>
                <w:rFonts w:hAnsi="宋体" w:cs="宋体"/>
                <w:color w:val="auto"/>
                <w:szCs w:val="24"/>
                <w:highlight w:val="none"/>
              </w:rPr>
            </w:pPr>
            <w:r>
              <w:rPr>
                <w:rFonts w:hint="eastAsia" w:hAnsi="宋体"/>
                <w:color w:val="auto"/>
                <w:szCs w:val="24"/>
                <w:highlight w:val="none"/>
              </w:rPr>
              <w:t>10分</w:t>
            </w:r>
          </w:p>
        </w:tc>
        <w:tc>
          <w:tcPr>
            <w:tcW w:w="571" w:type="dxa"/>
            <w:vMerge w:val="continue"/>
            <w:vAlign w:val="center"/>
          </w:tcPr>
          <w:p w14:paraId="513B14CF">
            <w:pPr>
              <w:spacing w:line="360" w:lineRule="auto"/>
              <w:ind w:left="-108" w:leftChars="-45" w:firstLine="120" w:firstLineChars="50"/>
              <w:rPr>
                <w:rFonts w:hAnsi="宋体" w:cs="宋体"/>
                <w:color w:val="auto"/>
                <w:szCs w:val="24"/>
                <w:highlight w:val="none"/>
              </w:rPr>
            </w:pPr>
          </w:p>
        </w:tc>
      </w:tr>
      <w:tr w14:paraId="1211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71" w:type="dxa"/>
            <w:vMerge w:val="continue"/>
            <w:vAlign w:val="center"/>
          </w:tcPr>
          <w:p w14:paraId="72C86713">
            <w:pPr>
              <w:spacing w:line="360" w:lineRule="auto"/>
              <w:rPr>
                <w:rFonts w:hAnsi="宋体" w:cs="宋体"/>
                <w:color w:val="auto"/>
                <w:szCs w:val="24"/>
                <w:highlight w:val="none"/>
              </w:rPr>
            </w:pPr>
          </w:p>
        </w:tc>
        <w:tc>
          <w:tcPr>
            <w:tcW w:w="570" w:type="dxa"/>
            <w:vMerge w:val="continue"/>
            <w:vAlign w:val="center"/>
          </w:tcPr>
          <w:p w14:paraId="7A1EA582">
            <w:pPr>
              <w:spacing w:line="360" w:lineRule="auto"/>
              <w:jc w:val="center"/>
              <w:rPr>
                <w:rFonts w:hAnsi="宋体" w:cs="宋体"/>
                <w:b/>
                <w:bCs/>
                <w:color w:val="auto"/>
                <w:szCs w:val="24"/>
                <w:highlight w:val="none"/>
              </w:rPr>
            </w:pPr>
          </w:p>
        </w:tc>
        <w:tc>
          <w:tcPr>
            <w:tcW w:w="6699" w:type="dxa"/>
            <w:vAlign w:val="center"/>
          </w:tcPr>
          <w:p w14:paraId="7A553DAE">
            <w:pPr>
              <w:spacing w:line="360" w:lineRule="auto"/>
              <w:rPr>
                <w:rFonts w:hAnsi="宋体"/>
                <w:color w:val="auto"/>
                <w:szCs w:val="24"/>
                <w:highlight w:val="none"/>
              </w:rPr>
            </w:pPr>
            <w:r>
              <w:rPr>
                <w:rFonts w:hint="eastAsia" w:hAnsi="宋体"/>
                <w:color w:val="auto"/>
                <w:szCs w:val="24"/>
                <w:highlight w:val="none"/>
              </w:rPr>
              <w:t>针对本项目制定施工方案，方案全面具体、合理可行，符合相关技术标准要求，依据响应程度进行综合赋分（0-15分）</w:t>
            </w:r>
          </w:p>
        </w:tc>
        <w:tc>
          <w:tcPr>
            <w:tcW w:w="760" w:type="dxa"/>
            <w:vAlign w:val="center"/>
          </w:tcPr>
          <w:p w14:paraId="737A4BA7">
            <w:pPr>
              <w:spacing w:line="360" w:lineRule="auto"/>
              <w:rPr>
                <w:rFonts w:hAnsi="宋体"/>
                <w:color w:val="auto"/>
                <w:szCs w:val="24"/>
                <w:highlight w:val="none"/>
              </w:rPr>
            </w:pPr>
            <w:r>
              <w:rPr>
                <w:rFonts w:hint="eastAsia" w:hAnsi="宋体"/>
                <w:color w:val="auto"/>
                <w:szCs w:val="24"/>
                <w:highlight w:val="none"/>
              </w:rPr>
              <w:t>15分</w:t>
            </w:r>
          </w:p>
        </w:tc>
        <w:tc>
          <w:tcPr>
            <w:tcW w:w="571" w:type="dxa"/>
            <w:vMerge w:val="continue"/>
            <w:vAlign w:val="center"/>
          </w:tcPr>
          <w:p w14:paraId="2D899FED">
            <w:pPr>
              <w:spacing w:line="360" w:lineRule="auto"/>
              <w:ind w:left="-108" w:leftChars="-45" w:firstLine="120" w:firstLineChars="50"/>
              <w:rPr>
                <w:rFonts w:hAnsi="宋体" w:cs="宋体"/>
                <w:color w:val="auto"/>
                <w:szCs w:val="24"/>
                <w:highlight w:val="none"/>
              </w:rPr>
            </w:pPr>
          </w:p>
        </w:tc>
      </w:tr>
      <w:tr w14:paraId="7FE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546525C8">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3FBB207">
            <w:pPr>
              <w:spacing w:line="360" w:lineRule="auto"/>
              <w:ind w:left="-108" w:leftChars="-45" w:firstLine="120" w:firstLineChars="50"/>
              <w:rPr>
                <w:rFonts w:hAnsi="宋体" w:cs="宋体"/>
                <w:color w:val="auto"/>
                <w:szCs w:val="24"/>
                <w:highlight w:val="none"/>
              </w:rPr>
            </w:pPr>
          </w:p>
        </w:tc>
        <w:tc>
          <w:tcPr>
            <w:tcW w:w="6699" w:type="dxa"/>
            <w:vAlign w:val="center"/>
          </w:tcPr>
          <w:p w14:paraId="485C031B">
            <w:pPr>
              <w:spacing w:line="360" w:lineRule="auto"/>
              <w:rPr>
                <w:rFonts w:hAnsi="宋体"/>
                <w:bCs/>
                <w:color w:val="auto"/>
                <w:highlight w:val="none"/>
              </w:rPr>
            </w:pPr>
            <w:r>
              <w:rPr>
                <w:rFonts w:hint="eastAsia" w:hAnsi="宋体"/>
                <w:color w:val="auto"/>
                <w:szCs w:val="24"/>
                <w:highlight w:val="none"/>
              </w:rPr>
              <w:t>根据供应商提供的施工进度计划、主材供应计划进行综合赋分（0～5分）</w:t>
            </w:r>
          </w:p>
        </w:tc>
        <w:tc>
          <w:tcPr>
            <w:tcW w:w="760" w:type="dxa"/>
            <w:vAlign w:val="center"/>
          </w:tcPr>
          <w:p w14:paraId="6DB33231">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3EB84549">
            <w:pPr>
              <w:spacing w:line="360" w:lineRule="auto"/>
              <w:ind w:left="-108" w:leftChars="-45" w:firstLine="120" w:firstLineChars="50"/>
              <w:rPr>
                <w:rFonts w:hAnsi="宋体" w:cs="宋体"/>
                <w:color w:val="auto"/>
                <w:szCs w:val="24"/>
                <w:highlight w:val="none"/>
              </w:rPr>
            </w:pPr>
          </w:p>
        </w:tc>
      </w:tr>
      <w:tr w14:paraId="20D6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2E6FF1D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0A51EB09">
            <w:pPr>
              <w:spacing w:line="360" w:lineRule="auto"/>
              <w:ind w:left="-108" w:leftChars="-45" w:firstLine="120" w:firstLineChars="50"/>
              <w:rPr>
                <w:rFonts w:hAnsi="宋体" w:cs="宋体"/>
                <w:color w:val="auto"/>
                <w:szCs w:val="24"/>
                <w:highlight w:val="none"/>
              </w:rPr>
            </w:pPr>
          </w:p>
        </w:tc>
        <w:tc>
          <w:tcPr>
            <w:tcW w:w="6699" w:type="dxa"/>
            <w:vAlign w:val="center"/>
          </w:tcPr>
          <w:p w14:paraId="2CF2C375">
            <w:pPr>
              <w:spacing w:line="360" w:lineRule="auto"/>
              <w:rPr>
                <w:rFonts w:hAnsi="宋体"/>
                <w:bCs/>
                <w:color w:val="auto"/>
                <w:highlight w:val="none"/>
              </w:rPr>
            </w:pPr>
            <w:r>
              <w:rPr>
                <w:rFonts w:hint="eastAsia" w:hAnsi="宋体"/>
                <w:color w:val="auto"/>
                <w:szCs w:val="24"/>
                <w:highlight w:val="none"/>
              </w:rPr>
              <w:t>根据供应商提供的必备仪器、机械设备配备情况进行赋分（0～5分）</w:t>
            </w:r>
          </w:p>
        </w:tc>
        <w:tc>
          <w:tcPr>
            <w:tcW w:w="760" w:type="dxa"/>
            <w:vAlign w:val="center"/>
          </w:tcPr>
          <w:p w14:paraId="4227315E">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1B1AD0BC">
            <w:pPr>
              <w:spacing w:line="360" w:lineRule="auto"/>
              <w:ind w:left="-108" w:leftChars="-45" w:firstLine="120" w:firstLineChars="50"/>
              <w:rPr>
                <w:rFonts w:hAnsi="宋体" w:cs="宋体"/>
                <w:color w:val="auto"/>
                <w:szCs w:val="24"/>
                <w:highlight w:val="none"/>
              </w:rPr>
            </w:pPr>
          </w:p>
        </w:tc>
      </w:tr>
      <w:tr w14:paraId="684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71" w:type="dxa"/>
            <w:vMerge w:val="continue"/>
            <w:vAlign w:val="center"/>
          </w:tcPr>
          <w:p w14:paraId="7DED53C1">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695DCFF0">
            <w:pPr>
              <w:spacing w:line="360" w:lineRule="auto"/>
              <w:ind w:left="-108" w:leftChars="-45" w:firstLine="120" w:firstLineChars="50"/>
              <w:rPr>
                <w:rFonts w:hAnsi="宋体" w:cs="宋体"/>
                <w:color w:val="auto"/>
                <w:szCs w:val="24"/>
                <w:highlight w:val="none"/>
              </w:rPr>
            </w:pPr>
          </w:p>
        </w:tc>
        <w:tc>
          <w:tcPr>
            <w:tcW w:w="6699" w:type="dxa"/>
            <w:vAlign w:val="center"/>
          </w:tcPr>
          <w:p w14:paraId="4BB2E919">
            <w:pPr>
              <w:spacing w:line="360" w:lineRule="auto"/>
              <w:rPr>
                <w:rFonts w:hAnsi="宋体"/>
                <w:bCs/>
                <w:color w:val="auto"/>
                <w:highlight w:val="none"/>
              </w:rPr>
            </w:pPr>
            <w:r>
              <w:rPr>
                <w:rFonts w:hint="eastAsia" w:hAnsi="宋体"/>
                <w:color w:val="auto"/>
                <w:szCs w:val="24"/>
                <w:highlight w:val="none"/>
              </w:rPr>
              <w:t>根据供应商提供的</w:t>
            </w:r>
            <w:r>
              <w:rPr>
                <w:rFonts w:hint="eastAsia" w:hAnsi="宋体"/>
                <w:bCs/>
                <w:color w:val="auto"/>
                <w:highlight w:val="none"/>
              </w:rPr>
              <w:t>确保工程质量的技术组织措施</w:t>
            </w:r>
            <w:r>
              <w:rPr>
                <w:rFonts w:hint="eastAsia" w:hAnsi="宋体"/>
                <w:color w:val="auto"/>
                <w:szCs w:val="24"/>
                <w:highlight w:val="none"/>
              </w:rPr>
              <w:t>进行综合赋分（0～5分）</w:t>
            </w:r>
          </w:p>
        </w:tc>
        <w:tc>
          <w:tcPr>
            <w:tcW w:w="760" w:type="dxa"/>
            <w:vAlign w:val="center"/>
          </w:tcPr>
          <w:p w14:paraId="7E6D6CD9">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43C43CD5">
            <w:pPr>
              <w:spacing w:line="360" w:lineRule="auto"/>
              <w:ind w:left="-108" w:leftChars="-45" w:firstLine="120" w:firstLineChars="50"/>
              <w:rPr>
                <w:rFonts w:hAnsi="宋体" w:cs="宋体"/>
                <w:color w:val="auto"/>
                <w:szCs w:val="24"/>
                <w:highlight w:val="none"/>
              </w:rPr>
            </w:pPr>
          </w:p>
        </w:tc>
      </w:tr>
      <w:tr w14:paraId="5BD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71" w:type="dxa"/>
            <w:vMerge w:val="continue"/>
            <w:vAlign w:val="center"/>
          </w:tcPr>
          <w:p w14:paraId="19D51E6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47058D99">
            <w:pPr>
              <w:spacing w:line="360" w:lineRule="auto"/>
              <w:ind w:left="-108" w:leftChars="-45" w:firstLine="120" w:firstLineChars="50"/>
              <w:rPr>
                <w:rFonts w:hAnsi="宋体" w:cs="宋体"/>
                <w:color w:val="auto"/>
                <w:szCs w:val="24"/>
                <w:highlight w:val="none"/>
              </w:rPr>
            </w:pPr>
          </w:p>
        </w:tc>
        <w:tc>
          <w:tcPr>
            <w:tcW w:w="6699" w:type="dxa"/>
            <w:vAlign w:val="center"/>
          </w:tcPr>
          <w:p w14:paraId="35297FC0">
            <w:pPr>
              <w:spacing w:line="360" w:lineRule="auto"/>
              <w:rPr>
                <w:rFonts w:hAnsi="宋体"/>
                <w:color w:val="auto"/>
                <w:szCs w:val="24"/>
                <w:highlight w:val="none"/>
              </w:rPr>
            </w:pPr>
            <w:r>
              <w:rPr>
                <w:rFonts w:hint="eastAsia" w:hAnsi="宋体"/>
                <w:color w:val="auto"/>
                <w:szCs w:val="24"/>
                <w:highlight w:val="none"/>
              </w:rPr>
              <w:t>根据供应商提供的</w:t>
            </w:r>
            <w:r>
              <w:rPr>
                <w:rFonts w:hint="eastAsia" w:hAnsi="宋体"/>
                <w:bCs/>
                <w:color w:val="auto"/>
                <w:highlight w:val="none"/>
              </w:rPr>
              <w:t>确保工程工期的技术组织措施</w:t>
            </w:r>
            <w:r>
              <w:rPr>
                <w:rFonts w:hint="eastAsia" w:hAnsi="宋体"/>
                <w:color w:val="auto"/>
                <w:szCs w:val="24"/>
                <w:highlight w:val="none"/>
              </w:rPr>
              <w:t>进行综合赋分（0～5分）</w:t>
            </w:r>
          </w:p>
        </w:tc>
        <w:tc>
          <w:tcPr>
            <w:tcW w:w="760" w:type="dxa"/>
            <w:vAlign w:val="center"/>
          </w:tcPr>
          <w:p w14:paraId="1D356BEB">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53A7F7F0">
            <w:pPr>
              <w:spacing w:line="360" w:lineRule="auto"/>
              <w:ind w:left="-108" w:leftChars="-45" w:firstLine="120" w:firstLineChars="50"/>
              <w:rPr>
                <w:rFonts w:hAnsi="宋体" w:cs="宋体"/>
                <w:color w:val="auto"/>
                <w:szCs w:val="24"/>
                <w:highlight w:val="none"/>
              </w:rPr>
            </w:pPr>
          </w:p>
        </w:tc>
      </w:tr>
      <w:tr w14:paraId="0F6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1" w:type="dxa"/>
            <w:vMerge w:val="continue"/>
            <w:vAlign w:val="center"/>
          </w:tcPr>
          <w:p w14:paraId="0D91530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1561414C">
            <w:pPr>
              <w:spacing w:line="360" w:lineRule="auto"/>
              <w:ind w:left="-108" w:leftChars="-45" w:firstLine="120" w:firstLineChars="50"/>
              <w:rPr>
                <w:rFonts w:hAnsi="宋体" w:cs="宋体"/>
                <w:color w:val="auto"/>
                <w:szCs w:val="24"/>
                <w:highlight w:val="none"/>
              </w:rPr>
            </w:pPr>
          </w:p>
        </w:tc>
        <w:tc>
          <w:tcPr>
            <w:tcW w:w="6699" w:type="dxa"/>
            <w:vAlign w:val="center"/>
          </w:tcPr>
          <w:p w14:paraId="406B9A69">
            <w:pPr>
              <w:spacing w:line="360" w:lineRule="auto"/>
              <w:rPr>
                <w:rFonts w:hAnsi="宋体"/>
                <w:color w:val="auto"/>
                <w:szCs w:val="24"/>
                <w:highlight w:val="none"/>
              </w:rPr>
            </w:pPr>
            <w:r>
              <w:rPr>
                <w:rFonts w:hint="eastAsia" w:hAnsi="宋体"/>
                <w:color w:val="auto"/>
                <w:szCs w:val="24"/>
                <w:highlight w:val="none"/>
              </w:rPr>
              <w:t>根据供应商提供的施工过程中安全施工措施进行综合赋分（0～5分）</w:t>
            </w:r>
          </w:p>
        </w:tc>
        <w:tc>
          <w:tcPr>
            <w:tcW w:w="760" w:type="dxa"/>
            <w:vAlign w:val="center"/>
          </w:tcPr>
          <w:p w14:paraId="102106F1">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6B4F54C3">
            <w:pPr>
              <w:spacing w:line="360" w:lineRule="auto"/>
              <w:ind w:left="-108" w:leftChars="-45" w:firstLine="120" w:firstLineChars="50"/>
              <w:rPr>
                <w:rFonts w:hAnsi="宋体" w:cs="宋体"/>
                <w:color w:val="auto"/>
                <w:szCs w:val="24"/>
                <w:highlight w:val="none"/>
              </w:rPr>
            </w:pPr>
          </w:p>
        </w:tc>
      </w:tr>
      <w:tr w14:paraId="19FF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71" w:type="dxa"/>
            <w:vMerge w:val="continue"/>
            <w:vAlign w:val="center"/>
          </w:tcPr>
          <w:p w14:paraId="7DFEAD0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4975E3F">
            <w:pPr>
              <w:spacing w:line="360" w:lineRule="auto"/>
              <w:ind w:left="-108" w:leftChars="-45" w:firstLine="120" w:firstLineChars="50"/>
              <w:rPr>
                <w:rFonts w:hAnsi="宋体" w:cs="宋体"/>
                <w:color w:val="auto"/>
                <w:szCs w:val="24"/>
                <w:highlight w:val="none"/>
              </w:rPr>
            </w:pPr>
          </w:p>
        </w:tc>
        <w:tc>
          <w:tcPr>
            <w:tcW w:w="6699" w:type="dxa"/>
            <w:vAlign w:val="center"/>
          </w:tcPr>
          <w:p w14:paraId="607BE062">
            <w:pPr>
              <w:spacing w:line="360" w:lineRule="auto"/>
              <w:rPr>
                <w:rFonts w:hAnsi="宋体"/>
                <w:bCs/>
                <w:color w:val="auto"/>
                <w:highlight w:val="none"/>
              </w:rPr>
            </w:pPr>
            <w:r>
              <w:rPr>
                <w:rFonts w:hint="eastAsia" w:hAnsi="宋体"/>
                <w:color w:val="auto"/>
                <w:szCs w:val="24"/>
                <w:highlight w:val="none"/>
              </w:rPr>
              <w:t>根据供应商提供的施工过程中文明、环境施工措施进行综合赋分（0～5分）</w:t>
            </w:r>
          </w:p>
        </w:tc>
        <w:tc>
          <w:tcPr>
            <w:tcW w:w="760" w:type="dxa"/>
            <w:vAlign w:val="center"/>
          </w:tcPr>
          <w:p w14:paraId="2E293E10">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2FCE6F4B">
            <w:pPr>
              <w:spacing w:line="360" w:lineRule="auto"/>
              <w:ind w:left="-108" w:leftChars="-45" w:firstLine="120" w:firstLineChars="50"/>
              <w:rPr>
                <w:rFonts w:hAnsi="宋体" w:cs="宋体"/>
                <w:color w:val="auto"/>
                <w:szCs w:val="24"/>
                <w:highlight w:val="none"/>
              </w:rPr>
            </w:pPr>
          </w:p>
        </w:tc>
      </w:tr>
      <w:tr w14:paraId="7EE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471" w:type="dxa"/>
            <w:vMerge w:val="continue"/>
            <w:vAlign w:val="center"/>
          </w:tcPr>
          <w:p w14:paraId="31A16B9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32923347">
            <w:pPr>
              <w:spacing w:line="360" w:lineRule="auto"/>
              <w:ind w:left="-108" w:leftChars="-45" w:firstLine="120" w:firstLineChars="50"/>
              <w:rPr>
                <w:rFonts w:hAnsi="宋体" w:cs="宋体"/>
                <w:color w:val="auto"/>
                <w:szCs w:val="24"/>
                <w:highlight w:val="none"/>
              </w:rPr>
            </w:pPr>
          </w:p>
        </w:tc>
        <w:tc>
          <w:tcPr>
            <w:tcW w:w="6699" w:type="dxa"/>
            <w:vAlign w:val="center"/>
          </w:tcPr>
          <w:p w14:paraId="0CEE4CB9">
            <w:pPr>
              <w:spacing w:line="360" w:lineRule="auto"/>
              <w:rPr>
                <w:rFonts w:hAnsi="宋体"/>
                <w:color w:val="auto"/>
                <w:szCs w:val="24"/>
                <w:highlight w:val="none"/>
              </w:rPr>
            </w:pPr>
            <w:r>
              <w:rPr>
                <w:rFonts w:hint="eastAsia" w:hAnsi="宋体"/>
                <w:color w:val="auto"/>
                <w:szCs w:val="24"/>
                <w:highlight w:val="none"/>
              </w:rPr>
              <w:t>根据供应商提供的施工过程中突发状况下的应急预案进行综合赋分（0～5分）</w:t>
            </w:r>
          </w:p>
        </w:tc>
        <w:tc>
          <w:tcPr>
            <w:tcW w:w="760" w:type="dxa"/>
            <w:vAlign w:val="center"/>
          </w:tcPr>
          <w:p w14:paraId="4E2EE45F">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5B533E2E">
            <w:pPr>
              <w:spacing w:line="360" w:lineRule="auto"/>
              <w:ind w:left="-108" w:leftChars="-45" w:firstLine="120" w:firstLineChars="50"/>
              <w:rPr>
                <w:rFonts w:hAnsi="宋体" w:cs="宋体"/>
                <w:color w:val="auto"/>
                <w:szCs w:val="24"/>
                <w:highlight w:val="none"/>
              </w:rPr>
            </w:pPr>
          </w:p>
        </w:tc>
      </w:tr>
      <w:tr w14:paraId="08FF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vAlign w:val="center"/>
          </w:tcPr>
          <w:p w14:paraId="6A5143C9">
            <w:pPr>
              <w:spacing w:line="360" w:lineRule="auto"/>
              <w:jc w:val="center"/>
              <w:rPr>
                <w:rFonts w:hAnsi="宋体" w:cs="宋体"/>
                <w:b/>
                <w:bCs/>
                <w:color w:val="auto"/>
                <w:szCs w:val="24"/>
                <w:highlight w:val="none"/>
              </w:rPr>
            </w:pPr>
            <w:r>
              <w:rPr>
                <w:rFonts w:hint="eastAsia" w:hAnsi="宋体" w:cs="宋体"/>
                <w:b/>
                <w:bCs/>
                <w:color w:val="auto"/>
                <w:szCs w:val="24"/>
                <w:highlight w:val="none"/>
              </w:rPr>
              <w:t>履约能力</w:t>
            </w:r>
          </w:p>
        </w:tc>
        <w:tc>
          <w:tcPr>
            <w:tcW w:w="570" w:type="dxa"/>
            <w:vAlign w:val="center"/>
          </w:tcPr>
          <w:p w14:paraId="79FCC31E">
            <w:pPr>
              <w:spacing w:line="360" w:lineRule="auto"/>
              <w:jc w:val="center"/>
              <w:rPr>
                <w:rFonts w:hAnsi="宋体" w:cs="宋体"/>
                <w:b/>
                <w:bCs/>
                <w:color w:val="auto"/>
                <w:szCs w:val="24"/>
                <w:highlight w:val="none"/>
              </w:rPr>
            </w:pPr>
            <w:r>
              <w:rPr>
                <w:rFonts w:hint="eastAsia" w:hAnsi="宋体" w:cs="宋体"/>
                <w:b/>
                <w:bCs/>
                <w:color w:val="auto"/>
                <w:szCs w:val="24"/>
                <w:highlight w:val="none"/>
              </w:rPr>
              <w:t>10分</w:t>
            </w:r>
          </w:p>
        </w:tc>
        <w:tc>
          <w:tcPr>
            <w:tcW w:w="6699" w:type="dxa"/>
            <w:vAlign w:val="center"/>
          </w:tcPr>
          <w:p w14:paraId="5FEFD1BA">
            <w:pPr>
              <w:spacing w:line="560" w:lineRule="exact"/>
              <w:rPr>
                <w:rFonts w:hAnsi="宋体" w:cs="宋体"/>
                <w:color w:val="auto"/>
                <w:szCs w:val="24"/>
                <w:highlight w:val="none"/>
              </w:rPr>
            </w:pPr>
            <w:r>
              <w:rPr>
                <w:rFonts w:hint="eastAsia" w:hAnsi="宋体" w:cs="宋体"/>
                <w:color w:val="auto"/>
                <w:szCs w:val="24"/>
                <w:highlight w:val="none"/>
              </w:rPr>
              <w:t>供应商提供近三年（202</w:t>
            </w:r>
            <w:r>
              <w:rPr>
                <w:rFonts w:hint="eastAsia" w:hAnsi="宋体" w:cs="宋体"/>
                <w:color w:val="auto"/>
                <w:szCs w:val="24"/>
                <w:highlight w:val="none"/>
                <w:lang w:val="en-US" w:eastAsia="zh-CN"/>
              </w:rPr>
              <w:t>2</w:t>
            </w:r>
            <w:r>
              <w:rPr>
                <w:rFonts w:hint="eastAsia" w:hAnsi="宋体" w:cs="宋体"/>
                <w:color w:val="auto"/>
                <w:szCs w:val="24"/>
                <w:highlight w:val="none"/>
              </w:rPr>
              <w:t>年1月1日至今）的类似项目业绩，每提供一份得2分,满分10分。</w:t>
            </w:r>
          </w:p>
          <w:p w14:paraId="334403D5">
            <w:pPr>
              <w:spacing w:line="560" w:lineRule="exact"/>
              <w:ind w:left="-109"/>
              <w:rPr>
                <w:rFonts w:hAnsi="宋体" w:cs="宋体"/>
                <w:color w:val="auto"/>
                <w:szCs w:val="24"/>
                <w:highlight w:val="none"/>
              </w:rPr>
            </w:pPr>
            <w:r>
              <w:rPr>
                <w:rFonts w:hint="eastAsia" w:hAnsi="宋体" w:cs="宋体"/>
                <w:color w:val="auto"/>
                <w:szCs w:val="24"/>
                <w:highlight w:val="none"/>
              </w:rPr>
              <w:t>业绩证明（须在磋商响应文件中附合同的扫描件或中标通知书扫描件并加盖单位公章），弄虚作假者，取消其成交资格。</w:t>
            </w:r>
          </w:p>
        </w:tc>
        <w:tc>
          <w:tcPr>
            <w:tcW w:w="760" w:type="dxa"/>
            <w:vAlign w:val="center"/>
          </w:tcPr>
          <w:p w14:paraId="5DA17792">
            <w:pPr>
              <w:spacing w:line="360" w:lineRule="auto"/>
              <w:ind w:left="-108" w:leftChars="-45" w:firstLine="120" w:firstLineChars="50"/>
              <w:rPr>
                <w:rFonts w:hAnsi="宋体" w:cs="宋体"/>
                <w:color w:val="auto"/>
                <w:szCs w:val="24"/>
                <w:highlight w:val="none"/>
              </w:rPr>
            </w:pPr>
            <w:r>
              <w:rPr>
                <w:rFonts w:hint="eastAsia" w:hAnsi="宋体" w:cs="宋体"/>
                <w:color w:val="auto"/>
                <w:szCs w:val="24"/>
                <w:highlight w:val="none"/>
              </w:rPr>
              <w:t>10分</w:t>
            </w:r>
          </w:p>
        </w:tc>
        <w:tc>
          <w:tcPr>
            <w:tcW w:w="571" w:type="dxa"/>
            <w:vAlign w:val="center"/>
          </w:tcPr>
          <w:p w14:paraId="0D396CE7">
            <w:pPr>
              <w:spacing w:line="360" w:lineRule="auto"/>
              <w:ind w:left="-108" w:leftChars="-45" w:firstLine="120" w:firstLineChars="50"/>
              <w:rPr>
                <w:rFonts w:hAnsi="宋体" w:cs="宋体"/>
                <w:color w:val="auto"/>
                <w:szCs w:val="24"/>
                <w:highlight w:val="none"/>
              </w:rPr>
            </w:pP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9"/>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50" w:name="_Toc24962"/>
      <w:r>
        <w:rPr>
          <w:rFonts w:hint="eastAsia" w:ascii="宋体" w:eastAsia="宋体" w:cs="宋体"/>
          <w:bCs/>
          <w:color w:val="auto"/>
          <w:szCs w:val="36"/>
          <w:highlight w:val="none"/>
        </w:rPr>
        <w:t>第四章  合同条款及格式</w:t>
      </w:r>
      <w:bookmarkEnd w:id="39"/>
      <w:bookmarkEnd w:id="40"/>
      <w:bookmarkEnd w:id="41"/>
      <w:bookmarkEnd w:id="50"/>
      <w:bookmarkStart w:id="51" w:name="_Toc4679"/>
      <w:bookmarkStart w:id="52" w:name="_Toc19246"/>
      <w:bookmarkStart w:id="53" w:name="_Toc389582037"/>
      <w:bookmarkStart w:id="54" w:name="_Toc8333"/>
      <w:bookmarkStart w:id="55" w:name="_Toc423973075"/>
      <w:bookmarkStart w:id="56" w:name="_Toc19199"/>
      <w:bookmarkStart w:id="57" w:name="_Toc31520"/>
      <w:bookmarkStart w:id="58" w:name="_Toc26595"/>
      <w:bookmarkStart w:id="59" w:name="_Toc29888"/>
    </w:p>
    <w:p w14:paraId="69412191">
      <w:pPr>
        <w:pStyle w:val="3"/>
        <w:jc w:val="center"/>
        <w:rPr>
          <w:rFonts w:ascii="宋体" w:hAnsi="宋体"/>
          <w:color w:val="auto"/>
          <w:highlight w:val="none"/>
        </w:rPr>
      </w:pPr>
      <w:bookmarkStart w:id="60" w:name="_Toc6935"/>
      <w:bookmarkStart w:id="61" w:name="_Toc30923"/>
      <w:bookmarkStart w:id="62" w:name="_Toc30560"/>
      <w:r>
        <w:rPr>
          <w:rFonts w:hint="eastAsia" w:ascii="宋体" w:hAnsi="宋体"/>
          <w:color w:val="auto"/>
          <w:highlight w:val="none"/>
        </w:rPr>
        <w:t>合同条款及格式前附表</w:t>
      </w:r>
      <w:bookmarkEnd w:id="60"/>
      <w:bookmarkEnd w:id="61"/>
      <w:bookmarkEnd w:id="62"/>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采购人：</w:t>
            </w:r>
            <w:r>
              <w:rPr>
                <w:rFonts w:hint="eastAsia" w:hAnsi="宋体" w:cs="宋体"/>
                <w:color w:val="auto"/>
                <w:szCs w:val="21"/>
                <w:highlight w:val="none"/>
                <w:lang w:eastAsia="zh-CN"/>
              </w:rPr>
              <w:t>柞水县林业局</w:t>
            </w:r>
          </w:p>
          <w:p w14:paraId="5FE42A23">
            <w:pPr>
              <w:spacing w:line="360" w:lineRule="auto"/>
              <w:rPr>
                <w:rFonts w:hAnsi="宋体" w:cs="宋体"/>
                <w:color w:val="auto"/>
                <w:szCs w:val="21"/>
                <w:highlight w:val="none"/>
              </w:rPr>
            </w:pPr>
            <w:r>
              <w:rPr>
                <w:rFonts w:hint="eastAsia" w:hAnsi="宋体" w:cs="宋体"/>
                <w:color w:val="auto"/>
                <w:szCs w:val="21"/>
                <w:highlight w:val="none"/>
              </w:rPr>
              <w:t>地址：柞水县乾佑街道办中街151号</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柞水县金米村绿化提升工程</w:t>
            </w:r>
          </w:p>
          <w:p w14:paraId="5F4AC650">
            <w:pPr>
              <w:spacing w:line="360" w:lineRule="auto"/>
              <w:rPr>
                <w:rFonts w:hint="default" w:hAnsi="宋体" w:eastAsia="宋体" w:cs="宋体"/>
                <w:color w:val="auto"/>
                <w:szCs w:val="21"/>
                <w:highlight w:val="none"/>
                <w:lang w:val="en-US"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建设单位自筹或向上争取</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yellow"/>
              </w:rPr>
            </w:pPr>
            <w:r>
              <w:rPr>
                <w:rFonts w:hint="eastAsia" w:hAnsi="宋体" w:cs="宋体"/>
                <w:color w:val="auto"/>
                <w:szCs w:val="21"/>
                <w:highlight w:val="none"/>
              </w:rPr>
              <w:t>3</w:t>
            </w:r>
          </w:p>
        </w:tc>
        <w:tc>
          <w:tcPr>
            <w:tcW w:w="4450" w:type="pct"/>
            <w:vAlign w:val="center"/>
          </w:tcPr>
          <w:p w14:paraId="03BD5751">
            <w:pPr>
              <w:spacing w:line="360" w:lineRule="auto"/>
              <w:rPr>
                <w:rFonts w:hint="default" w:hAnsi="宋体" w:eastAsia="宋体" w:cs="宋体"/>
                <w:color w:val="auto"/>
                <w:szCs w:val="21"/>
                <w:highlight w:val="yellow"/>
                <w:lang w:val="en-US" w:eastAsia="zh-CN"/>
              </w:rPr>
            </w:pPr>
            <w:r>
              <w:rPr>
                <w:rFonts w:hint="eastAsia" w:hAnsi="宋体" w:cs="宋体"/>
                <w:color w:val="auto"/>
                <w:szCs w:val="21"/>
                <w:highlight w:val="none"/>
              </w:rPr>
              <w:t>工期：</w:t>
            </w:r>
            <w:r>
              <w:rPr>
                <w:rFonts w:hint="eastAsia" w:hAnsi="宋体" w:cs="宋体"/>
                <w:color w:val="auto"/>
                <w:szCs w:val="21"/>
                <w:highlight w:val="none"/>
                <w:lang w:val="en-US" w:eastAsia="zh-CN"/>
              </w:rPr>
              <w:t>自合同签订之日起60日历日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rPr>
                <w:rFonts w:ascii="宋体" w:hAnsi="宋体" w:cs="宋体"/>
                <w:color w:val="auto"/>
                <w:kern w:val="0"/>
                <w:sz w:val="24"/>
                <w:szCs w:val="21"/>
                <w:highlight w:val="none"/>
              </w:rPr>
            </w:pPr>
            <w:r>
              <w:rPr>
                <w:rFonts w:hint="eastAsia" w:ascii="宋体" w:hAnsi="宋体" w:cs="宋体"/>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（2）付款方式：</w:t>
            </w:r>
          </w:p>
          <w:p w14:paraId="3FAB5BE0">
            <w:pPr>
              <w:spacing w:line="360" w:lineRule="auto"/>
              <w:ind w:firstLine="480" w:firstLineChars="200"/>
              <w:rPr>
                <w:color w:val="auto"/>
                <w:szCs w:val="22"/>
                <w:highlight w:val="none"/>
              </w:rPr>
            </w:pPr>
            <w:r>
              <w:rPr>
                <w:rFonts w:hint="eastAsia"/>
                <w:color w:val="auto"/>
                <w:szCs w:val="22"/>
                <w:highlight w:val="none"/>
              </w:rPr>
              <w:t>签订合同后支付预付款为合同价的</w:t>
            </w:r>
            <w:r>
              <w:rPr>
                <w:rFonts w:hint="eastAsia"/>
                <w:color w:val="auto"/>
                <w:szCs w:val="22"/>
                <w:highlight w:val="none"/>
                <w:lang w:val="en-US" w:eastAsia="zh-CN"/>
              </w:rPr>
              <w:t>4</w:t>
            </w:r>
            <w:r>
              <w:rPr>
                <w:rFonts w:hint="eastAsia"/>
                <w:color w:val="auto"/>
                <w:szCs w:val="22"/>
                <w:highlight w:val="none"/>
              </w:rPr>
              <w:t>0%，</w:t>
            </w:r>
            <w:r>
              <w:rPr>
                <w:rFonts w:hint="eastAsia"/>
                <w:color w:val="auto"/>
                <w:szCs w:val="22"/>
                <w:highlight w:val="none"/>
                <w:lang w:val="en-US" w:eastAsia="zh-CN"/>
              </w:rPr>
              <w:t>工程验收合格后支付合同总价款</w:t>
            </w:r>
            <w:r>
              <w:rPr>
                <w:rFonts w:hint="eastAsia"/>
                <w:color w:val="auto"/>
                <w:szCs w:val="22"/>
                <w:highlight w:val="none"/>
              </w:rPr>
              <w:t>的</w:t>
            </w:r>
            <w:r>
              <w:rPr>
                <w:rFonts w:hint="eastAsia"/>
                <w:color w:val="auto"/>
                <w:szCs w:val="22"/>
                <w:highlight w:val="none"/>
                <w:lang w:val="en-US" w:eastAsia="zh-CN"/>
              </w:rPr>
              <w:t>40</w:t>
            </w:r>
            <w:r>
              <w:rPr>
                <w:rFonts w:hint="eastAsia"/>
                <w:color w:val="auto"/>
                <w:szCs w:val="22"/>
                <w:highlight w:val="none"/>
              </w:rPr>
              <w:t>%，</w:t>
            </w:r>
            <w:r>
              <w:rPr>
                <w:rFonts w:hint="eastAsia"/>
                <w:color w:val="auto"/>
                <w:szCs w:val="22"/>
                <w:highlight w:val="none"/>
                <w:lang w:val="en-US" w:eastAsia="zh-CN"/>
              </w:rPr>
              <w:t>经一个生长季节苗木成活率达标后支付合同价剩余的20</w:t>
            </w:r>
            <w:r>
              <w:rPr>
                <w:rFonts w:hint="eastAsia"/>
                <w:color w:val="auto"/>
                <w:szCs w:val="22"/>
                <w:highlight w:val="none"/>
              </w:rPr>
              <w:t>%。（具体以合同签订为准）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jc w:val="left"/>
              <w:rPr>
                <w:rFonts w:hAnsi="宋体" w:cs="宋体"/>
                <w:color w:val="auto"/>
                <w:szCs w:val="21"/>
                <w:highlight w:val="none"/>
              </w:rPr>
            </w:pPr>
            <w:r>
              <w:rPr>
                <w:rFonts w:hint="eastAsia" w:hAnsi="宋体" w:cs="宋体"/>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2"/>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1"/>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2"/>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63" w:name="_Toc209339595"/>
      <w:bookmarkEnd w:id="63"/>
      <w:bookmarkStart w:id="64" w:name="_Toc205891759"/>
      <w:bookmarkEnd w:id="64"/>
      <w:bookmarkStart w:id="65" w:name="_Toc107194479"/>
      <w:bookmarkEnd w:id="65"/>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66" w:name="_Toc296890982"/>
      <w:bookmarkStart w:id="67" w:name="_Toc296503025"/>
      <w:bookmarkStart w:id="68" w:name="_Toc351203480"/>
      <w:r>
        <w:rPr>
          <w:rFonts w:hint="eastAsia" w:ascii="宋体" w:hAnsi="宋体" w:cs="宋体"/>
          <w:bCs/>
          <w:sz w:val="32"/>
          <w:szCs w:val="32"/>
          <w:highlight w:val="none"/>
        </w:rPr>
        <w:t>第一部分 合同协议书</w:t>
      </w:r>
      <w:bookmarkEnd w:id="66"/>
      <w:bookmarkEnd w:id="67"/>
      <w:bookmarkEnd w:id="68"/>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val="en-US" w:eastAsia="zh-CN"/>
        </w:rPr>
        <w:t>柞水县林业局</w:t>
      </w:r>
      <w:r>
        <w:rPr>
          <w:rFonts w:hint="eastAsia" w:ascii="宋体" w:hAnsi="宋体" w:cs="宋体"/>
          <w:bCs/>
          <w:sz w:val="24"/>
          <w:highlight w:val="none"/>
          <w:u w:val="single"/>
        </w:rPr>
        <w:t xml:space="preserve">               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柞水县金米村绿化提升工程</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9"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9"/>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柞水县金米村绿化提升工程</w:t>
      </w:r>
      <w:r>
        <w:rPr>
          <w:rFonts w:hint="eastAsia" w:ascii="宋体" w:hAnsi="宋体"/>
          <w:color w:val="000000"/>
          <w:sz w:val="24"/>
          <w:highlight w:val="none"/>
          <w:u w:val="single"/>
        </w:rPr>
        <w:t xml:space="preserve">  </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70"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70"/>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83"/>
      <w:r>
        <w:rPr>
          <w:rFonts w:hint="eastAsia" w:ascii="宋体" w:hAnsi="宋体" w:cs="宋体"/>
          <w:bCs/>
          <w:sz w:val="24"/>
          <w:highlight w:val="none"/>
        </w:rPr>
        <w:t>三、质量标准</w:t>
      </w:r>
      <w:bookmarkEnd w:id="71"/>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84"/>
      <w:r>
        <w:rPr>
          <w:rFonts w:hint="eastAsia" w:ascii="宋体" w:hAnsi="宋体" w:cs="宋体"/>
          <w:bCs/>
          <w:sz w:val="24"/>
          <w:highlight w:val="none"/>
        </w:rPr>
        <w:t>四、签约合同价与合同价格形式</w:t>
      </w:r>
      <w:bookmarkEnd w:id="72"/>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85"/>
      <w:r>
        <w:rPr>
          <w:rFonts w:hint="eastAsia" w:ascii="宋体" w:hAnsi="宋体" w:cs="宋体"/>
          <w:bCs/>
          <w:sz w:val="24"/>
          <w:highlight w:val="none"/>
        </w:rPr>
        <w:t>五、</w:t>
      </w:r>
      <w:bookmarkEnd w:id="73"/>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74" w:name="_Toc351203486"/>
      <w:r>
        <w:rPr>
          <w:rFonts w:hint="eastAsia" w:ascii="宋体" w:hAnsi="宋体" w:cs="宋体"/>
          <w:bCs/>
          <w:sz w:val="24"/>
          <w:highlight w:val="none"/>
        </w:rPr>
        <w:t>六、合同文件构成</w:t>
      </w:r>
      <w:bookmarkEnd w:id="74"/>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75" w:name="_Toc351203487"/>
      <w:r>
        <w:rPr>
          <w:rFonts w:hint="eastAsia" w:ascii="宋体" w:hAnsi="宋体" w:cs="宋体"/>
          <w:bCs/>
          <w:sz w:val="24"/>
          <w:highlight w:val="none"/>
        </w:rPr>
        <w:t>七、承诺</w:t>
      </w:r>
      <w:bookmarkEnd w:id="75"/>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76" w:name="_Toc351203488"/>
      <w:r>
        <w:rPr>
          <w:rFonts w:hint="eastAsia" w:ascii="宋体" w:hAnsi="宋体" w:cs="宋体"/>
          <w:bCs/>
          <w:sz w:val="24"/>
          <w:highlight w:val="none"/>
        </w:rPr>
        <w:t xml:space="preserve">    八、词语含义</w:t>
      </w:r>
      <w:bookmarkEnd w:id="76"/>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7" w:name="_Toc351203489"/>
      <w:r>
        <w:rPr>
          <w:rFonts w:hint="eastAsia" w:ascii="宋体" w:hAnsi="宋体" w:cs="宋体"/>
          <w:bCs/>
          <w:sz w:val="24"/>
          <w:highlight w:val="none"/>
        </w:rPr>
        <w:t>九、签订时间</w:t>
      </w:r>
      <w:bookmarkEnd w:id="77"/>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8" w:name="_Toc351203490"/>
      <w:r>
        <w:rPr>
          <w:rFonts w:hint="eastAsia" w:ascii="宋体" w:hAnsi="宋体" w:cs="宋体"/>
          <w:bCs/>
          <w:sz w:val="24"/>
          <w:highlight w:val="none"/>
        </w:rPr>
        <w:t>十、签订地点</w:t>
      </w:r>
      <w:bookmarkEnd w:id="78"/>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9" w:name="_Toc351203491"/>
      <w:r>
        <w:rPr>
          <w:rFonts w:hint="eastAsia" w:ascii="宋体" w:hAnsi="宋体" w:cs="宋体"/>
          <w:bCs/>
          <w:sz w:val="24"/>
          <w:highlight w:val="none"/>
        </w:rPr>
        <w:t>十一、补充协议</w:t>
      </w:r>
      <w:bookmarkEnd w:id="79"/>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80" w:name="_Toc351203492"/>
      <w:r>
        <w:rPr>
          <w:rFonts w:hint="eastAsia" w:ascii="宋体" w:hAnsi="宋体" w:cs="宋体"/>
          <w:bCs/>
          <w:sz w:val="24"/>
          <w:highlight w:val="none"/>
        </w:rPr>
        <w:t>十二、合同生效</w:t>
      </w:r>
      <w:bookmarkEnd w:id="80"/>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81" w:name="_Toc351203493"/>
      <w:r>
        <w:rPr>
          <w:rFonts w:hint="eastAsia" w:ascii="宋体" w:hAnsi="宋体" w:cs="宋体"/>
          <w:bCs/>
          <w:sz w:val="24"/>
          <w:highlight w:val="none"/>
        </w:rPr>
        <w:t>十三、合同份数</w:t>
      </w:r>
      <w:bookmarkEnd w:id="81"/>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82"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82"/>
      <w:bookmarkStart w:id="83"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2B7FDE7A">
      <w:pPr>
        <w:jc w:val="center"/>
        <w:rPr>
          <w:rFonts w:hint="eastAsia" w:ascii="宋体" w:hAnsi="宋体" w:eastAsia="宋体" w:cs="宋体"/>
          <w:b/>
          <w:bCs w:val="0"/>
          <w:sz w:val="24"/>
          <w:szCs w:val="24"/>
          <w:highlight w:val="none"/>
          <w:lang w:eastAsia="zh-CN"/>
        </w:rPr>
      </w:pPr>
      <w:r>
        <w:rPr>
          <w:rFonts w:hint="eastAsia" w:hAnsi="宋体" w:cs="宋体"/>
          <w:b/>
          <w:bCs w:val="0"/>
          <w:sz w:val="24"/>
          <w:szCs w:val="24"/>
          <w:highlight w:val="none"/>
          <w:lang w:val="en-US" w:eastAsia="zh-CN"/>
        </w:rPr>
        <w:t>（详</w:t>
      </w:r>
      <w:r>
        <w:rPr>
          <w:rFonts w:hint="eastAsia" w:ascii="宋体" w:hAnsi="宋体" w:cs="宋体"/>
          <w:b/>
          <w:bCs w:val="0"/>
          <w:sz w:val="24"/>
          <w:szCs w:val="24"/>
          <w:highlight w:val="none"/>
        </w:rPr>
        <w:t>见《建设工程施工合同》（示范文本）（GF-201</w:t>
      </w:r>
      <w:r>
        <w:rPr>
          <w:rFonts w:ascii="宋体" w:hAnsi="宋体" w:cs="宋体"/>
          <w:b/>
          <w:bCs w:val="0"/>
          <w:sz w:val="24"/>
          <w:szCs w:val="24"/>
          <w:highlight w:val="none"/>
        </w:rPr>
        <w:t>7</w:t>
      </w:r>
      <w:r>
        <w:rPr>
          <w:rFonts w:hint="eastAsia" w:ascii="宋体" w:hAnsi="宋体" w:cs="宋体"/>
          <w:b/>
          <w:bCs w:val="0"/>
          <w:sz w:val="24"/>
          <w:szCs w:val="24"/>
          <w:highlight w:val="none"/>
        </w:rPr>
        <w:t>-0201）</w:t>
      </w:r>
      <w:r>
        <w:rPr>
          <w:rFonts w:hint="eastAsia" w:hAnsi="宋体" w:cs="宋体"/>
          <w:b/>
          <w:bCs w:val="0"/>
          <w:sz w:val="24"/>
          <w:szCs w:val="24"/>
          <w:highlight w:val="none"/>
          <w:lang w:eastAsia="zh-CN"/>
        </w:rPr>
        <w:t>）</w:t>
      </w:r>
    </w:p>
    <w:p w14:paraId="5E23A802">
      <w:pPr>
        <w:rPr>
          <w:rFonts w:hint="eastAsia" w:ascii="宋体" w:hAnsi="宋体" w:cs="宋体"/>
          <w:bCs/>
          <w:sz w:val="24"/>
          <w:highlight w:val="none"/>
        </w:rPr>
      </w:pPr>
    </w:p>
    <w:p w14:paraId="2DF8A6FD">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83"/>
    <w:p w14:paraId="60B42135">
      <w:pPr>
        <w:rPr>
          <w:rFonts w:hint="eastAsia" w:ascii="宋体" w:hAnsi="宋体" w:cs="宋体"/>
          <w:bCs/>
          <w:sz w:val="32"/>
          <w:szCs w:val="32"/>
          <w:highlight w:val="none"/>
        </w:rPr>
      </w:pPr>
      <w:bookmarkStart w:id="84"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84"/>
    </w:p>
    <w:p w14:paraId="2FB52F0D">
      <w:pPr>
        <w:spacing w:before="120" w:after="120" w:line="360" w:lineRule="auto"/>
        <w:jc w:val="left"/>
        <w:rPr>
          <w:rFonts w:hint="eastAsia" w:ascii="宋体" w:hAnsi="宋体" w:cs="宋体"/>
          <w:bCs/>
          <w:sz w:val="24"/>
          <w:highlight w:val="none"/>
        </w:rPr>
      </w:pPr>
      <w:bookmarkStart w:id="85" w:name="_Toc351203633"/>
      <w:r>
        <w:rPr>
          <w:rFonts w:hint="eastAsia" w:ascii="宋体" w:hAnsi="宋体" w:cs="宋体"/>
          <w:bCs/>
          <w:sz w:val="24"/>
          <w:highlight w:val="none"/>
        </w:rPr>
        <w:t>1</w:t>
      </w:r>
      <w:bookmarkStart w:id="86" w:name="_Toc296503156"/>
      <w:bookmarkStart w:id="87" w:name="_Toc296944495"/>
      <w:bookmarkStart w:id="88" w:name="_Toc297120456"/>
      <w:bookmarkStart w:id="89" w:name="_Toc296891196"/>
      <w:bookmarkStart w:id="90" w:name="_Toc292559866"/>
      <w:bookmarkStart w:id="91" w:name="_Toc296347155"/>
      <w:bookmarkStart w:id="92" w:name="_Toc296890984"/>
      <w:bookmarkStart w:id="93" w:name="_Toc296346657"/>
      <w:bookmarkStart w:id="94" w:name="_Toc292559361"/>
      <w:bookmarkStart w:id="95" w:name="_Toc297048342"/>
      <w:r>
        <w:rPr>
          <w:rFonts w:hint="eastAsia" w:ascii="宋体" w:hAnsi="宋体" w:cs="宋体"/>
          <w:bCs/>
          <w:sz w:val="24"/>
          <w:highlight w:val="none"/>
        </w:rPr>
        <w:t>. 一般约定</w:t>
      </w:r>
      <w:bookmarkEnd w:id="85"/>
    </w:p>
    <w:bookmarkEnd w:id="86"/>
    <w:bookmarkEnd w:id="87"/>
    <w:bookmarkEnd w:id="88"/>
    <w:bookmarkEnd w:id="89"/>
    <w:bookmarkEnd w:id="90"/>
    <w:bookmarkEnd w:id="91"/>
    <w:bookmarkEnd w:id="92"/>
    <w:bookmarkEnd w:id="93"/>
    <w:bookmarkEnd w:id="94"/>
    <w:bookmarkEnd w:id="95"/>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96" w:name="_Toc318581155"/>
      <w:bookmarkStart w:id="97" w:name="_Toc312677986"/>
      <w:bookmarkStart w:id="98" w:name="_Toc303539100"/>
      <w:bookmarkStart w:id="99" w:name="_Toc304295521"/>
      <w:bookmarkStart w:id="100" w:name="_Toc300934943"/>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96"/>
    <w:bookmarkEnd w:id="97"/>
    <w:bookmarkEnd w:id="98"/>
    <w:bookmarkEnd w:id="99"/>
    <w:bookmarkEnd w:id="100"/>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101" w:name="_Toc300934944"/>
      <w:bookmarkStart w:id="102" w:name="_Toc312677987"/>
      <w:bookmarkStart w:id="103" w:name="_Toc303539101"/>
      <w:bookmarkStart w:id="104" w:name="_Toc304295522"/>
      <w:bookmarkStart w:id="105" w:name="_Toc318581156"/>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101"/>
      <w:bookmarkEnd w:id="102"/>
      <w:bookmarkEnd w:id="103"/>
      <w:bookmarkEnd w:id="104"/>
      <w:bookmarkEnd w:id="105"/>
      <w:r>
        <w:rPr>
          <w:rFonts w:hint="eastAsia" w:ascii="宋体" w:hAnsi="宋体" w:cs="宋体"/>
          <w:bCs/>
          <w:sz w:val="24"/>
          <w:highlight w:val="none"/>
        </w:rPr>
        <w:t xml:space="preserve">  </w:t>
      </w:r>
      <w:bookmarkStart w:id="106"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106"/>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107" w:name="_Toc351203634"/>
      <w:r>
        <w:rPr>
          <w:rFonts w:hint="eastAsia" w:ascii="宋体" w:hAnsi="宋体" w:cs="宋体"/>
          <w:bCs/>
          <w:sz w:val="24"/>
          <w:highlight w:val="none"/>
        </w:rPr>
        <w:t>2</w:t>
      </w:r>
      <w:bookmarkStart w:id="108" w:name="_Toc296890985"/>
      <w:bookmarkStart w:id="109" w:name="_Toc296346658"/>
      <w:bookmarkStart w:id="110" w:name="_Toc296944496"/>
      <w:bookmarkStart w:id="111" w:name="_Toc297120457"/>
      <w:bookmarkStart w:id="112" w:name="_Toc296891197"/>
      <w:bookmarkStart w:id="113" w:name="_Toc297048343"/>
      <w:bookmarkStart w:id="114" w:name="_Toc296503157"/>
      <w:bookmarkStart w:id="115" w:name="_Toc296347156"/>
      <w:bookmarkStart w:id="116" w:name="_Toc292559867"/>
      <w:bookmarkStart w:id="117" w:name="_Toc292559362"/>
      <w:r>
        <w:rPr>
          <w:rFonts w:hint="eastAsia" w:ascii="宋体" w:hAnsi="宋体" w:cs="宋体"/>
          <w:bCs/>
          <w:sz w:val="24"/>
          <w:highlight w:val="none"/>
        </w:rPr>
        <w:t>. 发包人</w:t>
      </w:r>
      <w:bookmarkEnd w:id="107"/>
    </w:p>
    <w:bookmarkEnd w:id="108"/>
    <w:bookmarkEnd w:id="109"/>
    <w:bookmarkEnd w:id="110"/>
    <w:bookmarkEnd w:id="111"/>
    <w:bookmarkEnd w:id="112"/>
    <w:bookmarkEnd w:id="113"/>
    <w:bookmarkEnd w:id="114"/>
    <w:bookmarkEnd w:id="115"/>
    <w:bookmarkEnd w:id="116"/>
    <w:bookmarkEnd w:id="117"/>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8" w:name="_Toc351203635"/>
      <w:r>
        <w:rPr>
          <w:rFonts w:hint="eastAsia" w:ascii="宋体" w:hAnsi="宋体" w:cs="宋体"/>
          <w:bCs/>
          <w:sz w:val="24"/>
          <w:highlight w:val="none"/>
        </w:rPr>
        <w:t>3</w:t>
      </w:r>
      <w:bookmarkStart w:id="119" w:name="_Toc292559868"/>
      <w:bookmarkStart w:id="120" w:name="_Toc297048344"/>
      <w:bookmarkStart w:id="121" w:name="_Toc296346659"/>
      <w:bookmarkStart w:id="122" w:name="_Toc296503158"/>
      <w:bookmarkStart w:id="123" w:name="_Toc292559363"/>
      <w:bookmarkStart w:id="124" w:name="_Toc296891198"/>
      <w:bookmarkStart w:id="125" w:name="_Toc296890986"/>
      <w:bookmarkStart w:id="126" w:name="_Toc296347157"/>
      <w:bookmarkStart w:id="127" w:name="_Toc296944497"/>
      <w:bookmarkStart w:id="128" w:name="_Toc297120458"/>
      <w:r>
        <w:rPr>
          <w:rFonts w:hint="eastAsia" w:ascii="宋体" w:hAnsi="宋体" w:cs="宋体"/>
          <w:bCs/>
          <w:sz w:val="24"/>
          <w:highlight w:val="none"/>
        </w:rPr>
        <w:t>. 承包人</w:t>
      </w:r>
      <w:bookmarkEnd w:id="118"/>
    </w:p>
    <w:bookmarkEnd w:id="119"/>
    <w:bookmarkEnd w:id="120"/>
    <w:bookmarkEnd w:id="121"/>
    <w:bookmarkEnd w:id="122"/>
    <w:bookmarkEnd w:id="123"/>
    <w:bookmarkEnd w:id="124"/>
    <w:bookmarkEnd w:id="125"/>
    <w:bookmarkEnd w:id="126"/>
    <w:bookmarkEnd w:id="127"/>
    <w:bookmarkEnd w:id="128"/>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1"/>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1"/>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9" w:name="_Toc296503159"/>
      <w:bookmarkStart w:id="130" w:name="_Toc297216151"/>
      <w:bookmarkStart w:id="131" w:name="_Toc296944498"/>
      <w:bookmarkStart w:id="132" w:name="_Toc292559364"/>
      <w:bookmarkStart w:id="133" w:name="_Toc297120459"/>
      <w:bookmarkStart w:id="134" w:name="_Toc296346660"/>
      <w:bookmarkStart w:id="135" w:name="_Toc303539102"/>
      <w:bookmarkStart w:id="136" w:name="_Toc296891199"/>
      <w:bookmarkStart w:id="137" w:name="_Toc300934945"/>
      <w:bookmarkStart w:id="138" w:name="_Toc292559869"/>
      <w:bookmarkStart w:id="139" w:name="_Toc297123492"/>
      <w:bookmarkStart w:id="140" w:name="_Toc312677988"/>
      <w:bookmarkStart w:id="141" w:name="_Toc296347158"/>
      <w:bookmarkStart w:id="142" w:name="_Toc304295523"/>
      <w:bookmarkStart w:id="143" w:name="_Toc296890987"/>
      <w:bookmarkStart w:id="144" w:name="_Toc297048345"/>
      <w:r>
        <w:rPr>
          <w:rFonts w:hint="eastAsia" w:ascii="宋体" w:hAnsi="宋体" w:cs="宋体"/>
          <w:bCs/>
          <w:sz w:val="24"/>
          <w:highlight w:val="none"/>
        </w:rPr>
        <w:t>.5 分包</w:t>
      </w:r>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45" w:name="_Toc296346661"/>
      <w:bookmarkStart w:id="146" w:name="_Toc296503160"/>
      <w:bookmarkStart w:id="147" w:name="_Toc297216152"/>
      <w:bookmarkStart w:id="148" w:name="_Toc297048346"/>
      <w:bookmarkStart w:id="149" w:name="_Toc303539103"/>
      <w:bookmarkStart w:id="150" w:name="_Toc304295524"/>
      <w:bookmarkStart w:id="151" w:name="_Toc296890988"/>
      <w:bookmarkStart w:id="152" w:name="_Toc300934946"/>
      <w:bookmarkStart w:id="153" w:name="_Toc292559365"/>
      <w:bookmarkStart w:id="154" w:name="_Toc296944499"/>
      <w:bookmarkStart w:id="155" w:name="_Toc297123493"/>
      <w:bookmarkStart w:id="156" w:name="_Toc297120460"/>
      <w:bookmarkStart w:id="157" w:name="_Toc296347159"/>
      <w:bookmarkStart w:id="158" w:name="_Toc292559870"/>
      <w:bookmarkStart w:id="159" w:name="_Toc296891200"/>
      <w:bookmarkStart w:id="160" w:name="_Toc312677989"/>
      <w:bookmarkStart w:id="161" w:name="_Toc318581158"/>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Start w:id="162" w:name="_Toc296890989"/>
      <w:bookmarkStart w:id="163" w:name="_Toc300934947"/>
      <w:bookmarkStart w:id="164" w:name="_Toc304295525"/>
      <w:bookmarkStart w:id="165" w:name="_Toc296503161"/>
      <w:bookmarkStart w:id="166" w:name="_Toc297048347"/>
      <w:bookmarkStart w:id="167" w:name="_Toc303539104"/>
      <w:bookmarkStart w:id="168" w:name="_Toc297123494"/>
      <w:bookmarkStart w:id="169" w:name="_Toc297120461"/>
      <w:bookmarkStart w:id="170" w:name="_Toc297216153"/>
      <w:bookmarkStart w:id="171" w:name="_Toc296347160"/>
      <w:bookmarkStart w:id="172" w:name="_Toc296891201"/>
      <w:bookmarkStart w:id="173" w:name="_Toc296346662"/>
      <w:bookmarkStart w:id="174" w:name="_Toc296944500"/>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75" w:name="_Toc312677990"/>
      <w:bookmarkStart w:id="176"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75"/>
    <w:bookmarkEnd w:id="176"/>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77" w:name="_Toc351203636"/>
      <w:r>
        <w:rPr>
          <w:rFonts w:hint="eastAsia" w:ascii="宋体" w:hAnsi="宋体" w:cs="宋体"/>
          <w:bCs/>
          <w:sz w:val="24"/>
          <w:highlight w:val="none"/>
        </w:rPr>
        <w:t>4</w:t>
      </w:r>
      <w:bookmarkStart w:id="178" w:name="_Toc296890990"/>
      <w:bookmarkStart w:id="179" w:name="_Toc292559871"/>
      <w:bookmarkStart w:id="180" w:name="_Toc296503162"/>
      <w:bookmarkStart w:id="181" w:name="_Toc296891202"/>
      <w:bookmarkStart w:id="182" w:name="_Toc292559366"/>
      <w:bookmarkStart w:id="183" w:name="_Toc297048348"/>
      <w:bookmarkStart w:id="184" w:name="_Toc296347161"/>
      <w:bookmarkStart w:id="185" w:name="_Toc296944501"/>
      <w:bookmarkStart w:id="186" w:name="_Toc267251413"/>
      <w:bookmarkStart w:id="187" w:name="_Toc297120462"/>
      <w:bookmarkStart w:id="188" w:name="_Toc296346663"/>
      <w:r>
        <w:rPr>
          <w:rFonts w:hint="eastAsia" w:ascii="宋体" w:hAnsi="宋体" w:cs="宋体"/>
          <w:bCs/>
          <w:sz w:val="24"/>
          <w:highlight w:val="none"/>
        </w:rPr>
        <w:t>. 监</w:t>
      </w:r>
      <w:bookmarkEnd w:id="178"/>
      <w:bookmarkEnd w:id="179"/>
      <w:bookmarkEnd w:id="180"/>
      <w:bookmarkEnd w:id="181"/>
      <w:bookmarkEnd w:id="182"/>
      <w:bookmarkEnd w:id="183"/>
      <w:bookmarkEnd w:id="184"/>
      <w:bookmarkEnd w:id="185"/>
      <w:bookmarkEnd w:id="186"/>
      <w:bookmarkEnd w:id="187"/>
      <w:bookmarkEnd w:id="188"/>
      <w:r>
        <w:rPr>
          <w:rFonts w:hint="eastAsia" w:ascii="宋体" w:hAnsi="宋体" w:cs="宋体"/>
          <w:bCs/>
          <w:sz w:val="24"/>
          <w:highlight w:val="none"/>
        </w:rPr>
        <w:t>理人</w:t>
      </w:r>
      <w:bookmarkEnd w:id="177"/>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9"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90" w:name="_Toc351203637"/>
      <w:r>
        <w:rPr>
          <w:rFonts w:hint="eastAsia" w:ascii="宋体" w:hAnsi="宋体" w:cs="宋体"/>
          <w:bCs/>
          <w:sz w:val="24"/>
          <w:highlight w:val="none"/>
        </w:rPr>
        <w:t>5</w:t>
      </w:r>
      <w:bookmarkEnd w:id="189"/>
      <w:bookmarkStart w:id="191" w:name="_Toc296891203"/>
      <w:bookmarkStart w:id="192" w:name="_Toc296503163"/>
      <w:bookmarkStart w:id="193" w:name="_Toc296890991"/>
      <w:bookmarkStart w:id="194" w:name="_Toc292559367"/>
      <w:bookmarkStart w:id="195" w:name="_Toc296347162"/>
      <w:bookmarkStart w:id="196" w:name="_Toc292559872"/>
      <w:bookmarkStart w:id="197" w:name="_Toc297048349"/>
      <w:bookmarkStart w:id="198" w:name="_Toc297120463"/>
      <w:bookmarkStart w:id="199" w:name="_Toc296346664"/>
      <w:bookmarkStart w:id="200" w:name="_Toc296944502"/>
      <w:r>
        <w:rPr>
          <w:rFonts w:hint="eastAsia" w:ascii="宋体" w:hAnsi="宋体" w:cs="宋体"/>
          <w:bCs/>
          <w:sz w:val="24"/>
          <w:highlight w:val="none"/>
        </w:rPr>
        <w:t>. 工程质量</w:t>
      </w:r>
      <w:bookmarkEnd w:id="190"/>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201" w:name="_Toc297216155"/>
      <w:bookmarkStart w:id="202" w:name="_Toc300934949"/>
      <w:bookmarkStart w:id="203" w:name="_Toc303539106"/>
      <w:bookmarkStart w:id="204" w:name="_Toc312677997"/>
      <w:bookmarkStart w:id="205" w:name="_Toc304295527"/>
      <w:bookmarkStart w:id="206" w:name="_Toc297123496"/>
      <w:bookmarkStart w:id="207" w:name="_Toc318581164"/>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8" w:name="_Toc351203638"/>
      <w:r>
        <w:rPr>
          <w:rFonts w:hint="eastAsia" w:ascii="宋体" w:hAnsi="宋体" w:cs="宋体"/>
          <w:bCs/>
          <w:sz w:val="24"/>
          <w:highlight w:val="none"/>
        </w:rPr>
        <w:t>6. 安全文明施工与环境保护</w:t>
      </w:r>
      <w:bookmarkEnd w:id="208"/>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201"/>
    <w:bookmarkEnd w:id="202"/>
    <w:bookmarkEnd w:id="203"/>
    <w:bookmarkEnd w:id="204"/>
    <w:bookmarkEnd w:id="205"/>
    <w:bookmarkEnd w:id="206"/>
    <w:bookmarkEnd w:id="207"/>
    <w:p w14:paraId="2879DE2F">
      <w:pPr>
        <w:spacing w:before="120" w:after="120" w:line="360" w:lineRule="auto"/>
        <w:ind w:firstLine="480" w:firstLineChars="200"/>
        <w:jc w:val="left"/>
        <w:rPr>
          <w:rFonts w:hint="eastAsia" w:ascii="宋体" w:hAnsi="宋体" w:cs="宋体"/>
          <w:bCs/>
          <w:sz w:val="24"/>
          <w:highlight w:val="none"/>
        </w:rPr>
      </w:pPr>
      <w:bookmarkStart w:id="209" w:name="_Toc351203639"/>
      <w:r>
        <w:rPr>
          <w:rFonts w:hint="eastAsia" w:ascii="宋体" w:hAnsi="宋体" w:cs="宋体"/>
          <w:bCs/>
          <w:sz w:val="24"/>
          <w:highlight w:val="none"/>
        </w:rPr>
        <w:t>7. 工期和进度</w:t>
      </w:r>
      <w:bookmarkEnd w:id="209"/>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0" w:name="_Toc303539123"/>
      <w:bookmarkStart w:id="211" w:name="_Toc297216173"/>
      <w:bookmarkStart w:id="212" w:name="_Toc304295541"/>
      <w:bookmarkStart w:id="213" w:name="_Toc297123514"/>
      <w:bookmarkStart w:id="214" w:name="_Toc312678005"/>
      <w:bookmarkStart w:id="215" w:name="_Toc300934966"/>
      <w:bookmarkStart w:id="216" w:name="_Toc312677479"/>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10"/>
    <w:bookmarkEnd w:id="211"/>
    <w:bookmarkEnd w:id="212"/>
    <w:bookmarkEnd w:id="213"/>
    <w:bookmarkEnd w:id="214"/>
    <w:bookmarkEnd w:id="215"/>
    <w:bookmarkEnd w:id="216"/>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7" w:name="_Toc312678010"/>
      <w:bookmarkStart w:id="218" w:name="_Toc297216175"/>
      <w:bookmarkStart w:id="219" w:name="_Toc304295546"/>
      <w:bookmarkStart w:id="220" w:name="_Toc312677484"/>
      <w:bookmarkStart w:id="221" w:name="_Toc303539125"/>
      <w:bookmarkStart w:id="222" w:name="_Toc300934968"/>
      <w:bookmarkStart w:id="223" w:name="_Toc297123516"/>
      <w:r>
        <w:rPr>
          <w:rFonts w:hint="eastAsia" w:ascii="宋体" w:hAnsi="宋体" w:cs="宋体"/>
          <w:bCs/>
          <w:sz w:val="24"/>
          <w:highlight w:val="none"/>
        </w:rPr>
        <w:t>.5 工期延误</w:t>
      </w:r>
    </w:p>
    <w:bookmarkEnd w:id="217"/>
    <w:bookmarkEnd w:id="218"/>
    <w:bookmarkEnd w:id="219"/>
    <w:bookmarkEnd w:id="220"/>
    <w:bookmarkEnd w:id="221"/>
    <w:bookmarkEnd w:id="222"/>
    <w:bookmarkEnd w:id="223"/>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24" w:name="_Toc312677486"/>
      <w:bookmarkStart w:id="225" w:name="_Toc318581169"/>
      <w:bookmarkStart w:id="226" w:name="_Toc312678012"/>
      <w:bookmarkStart w:id="227" w:name="_Toc304295548"/>
      <w:bookmarkStart w:id="228" w:name="_Toc300934970"/>
      <w:bookmarkStart w:id="229" w:name="_Toc303539127"/>
      <w:bookmarkStart w:id="230" w:name="_Toc297123518"/>
      <w:bookmarkStart w:id="231" w:name="_Toc297216177"/>
      <w:r>
        <w:rPr>
          <w:rFonts w:hint="eastAsia" w:ascii="宋体" w:hAnsi="宋体" w:cs="宋体"/>
          <w:bCs/>
          <w:sz w:val="24"/>
          <w:highlight w:val="none"/>
        </w:rPr>
        <w:t>.5.2 因承包人原因导致工期延误</w:t>
      </w:r>
    </w:p>
    <w:bookmarkEnd w:id="224"/>
    <w:bookmarkEnd w:id="225"/>
    <w:bookmarkEnd w:id="226"/>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32" w:name="_Toc312677487"/>
      <w:bookmarkStart w:id="233" w:name="_Toc312678013"/>
      <w:bookmarkStart w:id="234"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27"/>
      <w:bookmarkEnd w:id="228"/>
      <w:bookmarkEnd w:id="229"/>
      <w:bookmarkEnd w:id="230"/>
      <w:bookmarkEnd w:id="231"/>
      <w:bookmarkEnd w:id="232"/>
      <w:bookmarkEnd w:id="233"/>
    </w:p>
    <w:bookmarkEnd w:id="234"/>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35" w:name="_Toc318581171"/>
      <w:bookmarkStart w:id="236"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35"/>
    <w:bookmarkEnd w:id="236"/>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7" w:name="_Toc304295549"/>
      <w:bookmarkStart w:id="238" w:name="_Toc303539128"/>
      <w:bookmarkStart w:id="239" w:name="_Toc297123519"/>
      <w:bookmarkStart w:id="240" w:name="_Toc297216178"/>
      <w:bookmarkStart w:id="241" w:name="_Toc312678015"/>
      <w:bookmarkStart w:id="242" w:name="_Toc300934971"/>
      <w:r>
        <w:rPr>
          <w:rFonts w:hint="eastAsia" w:ascii="宋体" w:hAnsi="宋体" w:cs="宋体"/>
          <w:bCs/>
          <w:sz w:val="24"/>
          <w:highlight w:val="none"/>
        </w:rPr>
        <w:t>.6 不</w:t>
      </w:r>
      <w:bookmarkEnd w:id="237"/>
      <w:bookmarkEnd w:id="238"/>
      <w:bookmarkEnd w:id="239"/>
      <w:bookmarkEnd w:id="240"/>
      <w:bookmarkEnd w:id="241"/>
      <w:bookmarkEnd w:id="242"/>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43" w:name="_Toc303539129"/>
      <w:bookmarkStart w:id="244" w:name="_Toc304295550"/>
      <w:bookmarkStart w:id="245" w:name="_Toc312678016"/>
      <w:bookmarkStart w:id="246" w:name="_Toc300934972"/>
      <w:bookmarkStart w:id="247" w:name="_Toc318581172"/>
      <w:bookmarkStart w:id="248" w:name="_Toc297216179"/>
      <w:bookmarkStart w:id="249" w:name="_Toc297123520"/>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43"/>
    <w:bookmarkEnd w:id="244"/>
    <w:bookmarkEnd w:id="245"/>
    <w:bookmarkEnd w:id="246"/>
    <w:bookmarkEnd w:id="247"/>
    <w:bookmarkEnd w:id="248"/>
    <w:bookmarkEnd w:id="249"/>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50" w:name="_Toc297216180"/>
      <w:bookmarkStart w:id="251" w:name="_Toc297123521"/>
      <w:bookmarkStart w:id="252" w:name="_Toc303539130"/>
      <w:bookmarkStart w:id="253" w:name="_Toc304295551"/>
      <w:bookmarkStart w:id="254" w:name="_Toc312678017"/>
      <w:bookmarkStart w:id="255" w:name="_Toc300934973"/>
      <w:r>
        <w:rPr>
          <w:rFonts w:hint="eastAsia" w:ascii="宋体" w:hAnsi="宋体" w:cs="宋体"/>
          <w:bCs/>
          <w:sz w:val="24"/>
          <w:highlight w:val="none"/>
        </w:rPr>
        <w:t>.7异常恶劣的气候条件</w:t>
      </w:r>
    </w:p>
    <w:bookmarkEnd w:id="250"/>
    <w:bookmarkEnd w:id="251"/>
    <w:bookmarkEnd w:id="252"/>
    <w:bookmarkEnd w:id="253"/>
    <w:bookmarkEnd w:id="254"/>
    <w:bookmarkEnd w:id="255"/>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56" w:name="_Toc351203640"/>
      <w:r>
        <w:rPr>
          <w:rFonts w:hint="eastAsia" w:ascii="宋体" w:hAnsi="宋体" w:cs="宋体"/>
          <w:bCs/>
          <w:sz w:val="24"/>
          <w:highlight w:val="none"/>
        </w:rPr>
        <w:t>8. 材料与设备</w:t>
      </w:r>
      <w:bookmarkEnd w:id="256"/>
    </w:p>
    <w:bookmarkEnd w:id="191"/>
    <w:bookmarkEnd w:id="192"/>
    <w:bookmarkEnd w:id="193"/>
    <w:bookmarkEnd w:id="194"/>
    <w:bookmarkEnd w:id="195"/>
    <w:bookmarkEnd w:id="196"/>
    <w:bookmarkEnd w:id="197"/>
    <w:bookmarkEnd w:id="198"/>
    <w:bookmarkEnd w:id="199"/>
    <w:bookmarkEnd w:id="200"/>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57" w:name="_Toc312678019"/>
      <w:bookmarkStart w:id="258" w:name="_Toc312677493"/>
      <w:bookmarkStart w:id="259" w:name="_Toc297048353"/>
      <w:bookmarkStart w:id="260" w:name="_Toc280868654"/>
      <w:bookmarkStart w:id="261" w:name="_Toc296346668"/>
      <w:bookmarkStart w:id="262" w:name="_Toc296503167"/>
      <w:bookmarkStart w:id="263" w:name="_Toc292559877"/>
      <w:bookmarkStart w:id="264" w:name="_Toc297120467"/>
      <w:bookmarkStart w:id="265" w:name="_Toc300934979"/>
      <w:bookmarkStart w:id="266" w:name="_Toc296944506"/>
      <w:bookmarkStart w:id="267" w:name="_Toc292559372"/>
      <w:bookmarkStart w:id="268" w:name="_Toc303539136"/>
      <w:bookmarkStart w:id="269" w:name="_Toc297216186"/>
      <w:bookmarkStart w:id="270" w:name="_Toc296890995"/>
      <w:bookmarkStart w:id="271" w:name="_Toc297123527"/>
      <w:bookmarkStart w:id="272" w:name="_Toc296347166"/>
      <w:bookmarkStart w:id="273" w:name="_Toc296891207"/>
      <w:bookmarkStart w:id="274" w:name="_Toc304295556"/>
      <w:bookmarkStart w:id="275" w:name="_Toc280868655"/>
      <w:bookmarkStart w:id="276" w:name="_Toc280868656"/>
      <w:bookmarkStart w:id="277" w:name="_Toc267251424"/>
      <w:r>
        <w:rPr>
          <w:rFonts w:hint="eastAsia" w:ascii="宋体" w:hAnsi="宋体" w:cs="宋体"/>
          <w:bCs/>
          <w:sz w:val="24"/>
          <w:highlight w:val="none"/>
        </w:rPr>
        <w:t>.4材料与工程设备的保管与使用</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8" w:name="_Toc292559373"/>
      <w:bookmarkStart w:id="279" w:name="_Toc292559878"/>
      <w:bookmarkStart w:id="280" w:name="_Toc296890996"/>
      <w:bookmarkStart w:id="281" w:name="_Toc296347167"/>
      <w:bookmarkStart w:id="282" w:name="_Toc296944507"/>
      <w:bookmarkStart w:id="283" w:name="_Toc300934980"/>
      <w:bookmarkStart w:id="284" w:name="_Toc304295557"/>
      <w:bookmarkStart w:id="285" w:name="_Toc296346669"/>
      <w:bookmarkStart w:id="286" w:name="_Toc303539137"/>
      <w:bookmarkStart w:id="287" w:name="_Toc312677494"/>
      <w:bookmarkStart w:id="288" w:name="_Toc312678020"/>
      <w:bookmarkStart w:id="289" w:name="_Toc297120468"/>
      <w:bookmarkStart w:id="290" w:name="_Toc296503168"/>
      <w:bookmarkStart w:id="291" w:name="_Toc297123528"/>
      <w:bookmarkStart w:id="292" w:name="_Toc318581173"/>
      <w:bookmarkStart w:id="293" w:name="_Toc296891208"/>
      <w:bookmarkStart w:id="294" w:name="_Toc297048354"/>
      <w:bookmarkStart w:id="295" w:name="_Toc297216187"/>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8"/>
      <w:bookmarkEnd w:id="279"/>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14:paraId="767DD7F3">
      <w:pPr>
        <w:spacing w:before="120" w:after="120" w:line="360" w:lineRule="auto"/>
        <w:jc w:val="left"/>
        <w:rPr>
          <w:rFonts w:hint="eastAsia" w:ascii="宋体" w:hAnsi="宋体" w:cs="宋体"/>
          <w:bCs/>
          <w:sz w:val="24"/>
          <w:highlight w:val="none"/>
        </w:rPr>
      </w:pPr>
      <w:bookmarkStart w:id="296" w:name="_Toc351203641"/>
      <w:r>
        <w:rPr>
          <w:rFonts w:hint="eastAsia" w:ascii="宋体" w:hAnsi="宋体" w:cs="宋体"/>
          <w:bCs/>
          <w:sz w:val="24"/>
          <w:highlight w:val="none"/>
        </w:rPr>
        <w:t>9</w:t>
      </w:r>
      <w:bookmarkEnd w:id="275"/>
      <w:bookmarkEnd w:id="276"/>
      <w:bookmarkEnd w:id="277"/>
      <w:bookmarkStart w:id="297" w:name="_Toc304295559"/>
      <w:bookmarkStart w:id="298" w:name="_Toc300934982"/>
      <w:bookmarkStart w:id="299" w:name="_Toc303539139"/>
      <w:bookmarkStart w:id="300" w:name="_Toc312677495"/>
      <w:bookmarkStart w:id="301" w:name="_Toc297123533"/>
      <w:bookmarkStart w:id="302" w:name="_Toc312678021"/>
      <w:bookmarkStart w:id="303" w:name="_Toc297216192"/>
      <w:bookmarkStart w:id="304" w:name="_Toc296944512"/>
      <w:bookmarkStart w:id="305" w:name="_Toc296503173"/>
      <w:bookmarkStart w:id="306" w:name="_Toc297048359"/>
      <w:bookmarkStart w:id="307" w:name="_Toc292559883"/>
      <w:bookmarkStart w:id="308" w:name="_Toc267251427"/>
      <w:bookmarkStart w:id="309" w:name="_Toc296891213"/>
      <w:bookmarkStart w:id="310" w:name="_Toc267251428"/>
      <w:bookmarkStart w:id="311" w:name="_Toc296891001"/>
      <w:bookmarkStart w:id="312" w:name="_Toc297120473"/>
      <w:bookmarkStart w:id="313" w:name="_Toc296346674"/>
      <w:bookmarkStart w:id="314" w:name="_Toc292559378"/>
      <w:bookmarkStart w:id="315" w:name="_Toc296347172"/>
      <w:r>
        <w:rPr>
          <w:rFonts w:hint="eastAsia" w:ascii="宋体" w:hAnsi="宋体" w:cs="宋体"/>
          <w:bCs/>
          <w:sz w:val="24"/>
          <w:highlight w:val="none"/>
        </w:rPr>
        <w:t>. 试验与检验</w:t>
      </w:r>
      <w:bookmarkEnd w:id="296"/>
    </w:p>
    <w:bookmarkEnd w:id="297"/>
    <w:bookmarkEnd w:id="298"/>
    <w:bookmarkEnd w:id="299"/>
    <w:bookmarkEnd w:id="300"/>
    <w:bookmarkEnd w:id="301"/>
    <w:bookmarkEnd w:id="302"/>
    <w:bookmarkEnd w:id="303"/>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16" w:name="_Toc304295560"/>
      <w:bookmarkStart w:id="317" w:name="_Toc300934983"/>
      <w:bookmarkStart w:id="318" w:name="_Toc297216193"/>
      <w:bookmarkStart w:id="319" w:name="_Toc303539140"/>
      <w:bookmarkStart w:id="320" w:name="_Toc312678022"/>
      <w:bookmarkStart w:id="321" w:name="_Toc312677496"/>
      <w:bookmarkStart w:id="322" w:name="_Toc297123534"/>
      <w:r>
        <w:rPr>
          <w:rFonts w:hint="eastAsia" w:ascii="宋体" w:hAnsi="宋体" w:cs="宋体"/>
          <w:bCs/>
          <w:sz w:val="24"/>
          <w:highlight w:val="none"/>
        </w:rPr>
        <w:t>.1试验设备与试验人员</w:t>
      </w:r>
    </w:p>
    <w:bookmarkEnd w:id="316"/>
    <w:bookmarkEnd w:id="317"/>
    <w:bookmarkEnd w:id="318"/>
    <w:bookmarkEnd w:id="319"/>
    <w:bookmarkEnd w:id="320"/>
    <w:bookmarkEnd w:id="321"/>
    <w:bookmarkEnd w:id="322"/>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23" w:name="_Toc297123535"/>
      <w:bookmarkStart w:id="324" w:name="_Toc297216194"/>
      <w:bookmarkStart w:id="325" w:name="_Toc303539141"/>
      <w:bookmarkStart w:id="326" w:name="_Toc304295561"/>
      <w:bookmarkStart w:id="327" w:name="_Toc312678023"/>
      <w:bookmarkStart w:id="328" w:name="_Toc300934984"/>
      <w:bookmarkStart w:id="329" w:name="_Toc312677497"/>
      <w:bookmarkStart w:id="330"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23"/>
      <w:bookmarkEnd w:id="324"/>
      <w:bookmarkEnd w:id="325"/>
      <w:bookmarkEnd w:id="326"/>
      <w:bookmarkEnd w:id="327"/>
      <w:bookmarkEnd w:id="328"/>
      <w:bookmarkEnd w:id="329"/>
      <w:bookmarkStart w:id="331" w:name="_Toc300934985"/>
      <w:bookmarkStart w:id="332" w:name="_Toc304295562"/>
      <w:bookmarkStart w:id="333" w:name="_Toc297123536"/>
      <w:bookmarkStart w:id="334" w:name="_Toc312677498"/>
      <w:bookmarkStart w:id="335" w:name="_Toc303539142"/>
      <w:bookmarkStart w:id="336" w:name="_Toc297216195"/>
      <w:bookmarkStart w:id="337" w:name="_Toc312678024"/>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30"/>
    <w:bookmarkEnd w:id="331"/>
    <w:bookmarkEnd w:id="332"/>
    <w:bookmarkEnd w:id="333"/>
    <w:bookmarkEnd w:id="334"/>
    <w:bookmarkEnd w:id="335"/>
    <w:bookmarkEnd w:id="336"/>
    <w:bookmarkEnd w:id="337"/>
    <w:p w14:paraId="221F72CD">
      <w:pPr>
        <w:spacing w:before="120" w:after="120" w:line="360" w:lineRule="auto"/>
        <w:jc w:val="left"/>
        <w:rPr>
          <w:rFonts w:hint="eastAsia" w:ascii="宋体" w:hAnsi="宋体" w:cs="宋体"/>
          <w:bCs/>
          <w:sz w:val="24"/>
          <w:highlight w:val="none"/>
        </w:rPr>
      </w:pPr>
      <w:bookmarkStart w:id="338" w:name="_Toc351203642"/>
      <w:r>
        <w:rPr>
          <w:rFonts w:hint="eastAsia" w:ascii="宋体" w:hAnsi="宋体" w:cs="宋体"/>
          <w:bCs/>
          <w:sz w:val="24"/>
          <w:highlight w:val="none"/>
        </w:rPr>
        <w:t>1</w:t>
      </w:r>
      <w:bookmarkEnd w:id="304"/>
      <w:bookmarkEnd w:id="305"/>
      <w:bookmarkEnd w:id="306"/>
      <w:bookmarkEnd w:id="307"/>
      <w:bookmarkEnd w:id="308"/>
      <w:bookmarkEnd w:id="309"/>
      <w:bookmarkEnd w:id="310"/>
      <w:bookmarkEnd w:id="311"/>
      <w:bookmarkEnd w:id="312"/>
      <w:bookmarkEnd w:id="313"/>
      <w:bookmarkEnd w:id="314"/>
      <w:bookmarkEnd w:id="315"/>
      <w:bookmarkStart w:id="339" w:name="_Toc297048379"/>
      <w:bookmarkStart w:id="340" w:name="_Toc296503193"/>
      <w:bookmarkStart w:id="341" w:name="_Toc296346694"/>
      <w:bookmarkStart w:id="342" w:name="_Toc296891233"/>
      <w:bookmarkStart w:id="343" w:name="_Toc296891021"/>
      <w:bookmarkStart w:id="344" w:name="_Toc297120493"/>
      <w:bookmarkStart w:id="345" w:name="_Toc296347192"/>
      <w:bookmarkStart w:id="346" w:name="_Toc297123540"/>
      <w:bookmarkStart w:id="347" w:name="_Toc304295566"/>
      <w:bookmarkStart w:id="348" w:name="_Toc292559398"/>
      <w:bookmarkStart w:id="349" w:name="_Toc296944532"/>
      <w:bookmarkStart w:id="350" w:name="_Toc297216199"/>
      <w:bookmarkStart w:id="351" w:name="_Toc300934989"/>
      <w:bookmarkStart w:id="352" w:name="_Toc303539146"/>
      <w:bookmarkStart w:id="353" w:name="_Toc292559903"/>
      <w:bookmarkStart w:id="354" w:name="_Toc312678025"/>
      <w:bookmarkStart w:id="355" w:name="_Toc312677499"/>
      <w:bookmarkStart w:id="356" w:name="_Toc267251440"/>
      <w:bookmarkStart w:id="357" w:name="_Toc267251441"/>
      <w:bookmarkStart w:id="358" w:name="_Toc267251433"/>
      <w:bookmarkStart w:id="359" w:name="_Toc267251437"/>
      <w:bookmarkStart w:id="360" w:name="_Toc267251439"/>
      <w:bookmarkStart w:id="361" w:name="_Toc267251435"/>
      <w:bookmarkStart w:id="362" w:name="_Toc267251442"/>
      <w:r>
        <w:rPr>
          <w:rFonts w:hint="eastAsia" w:ascii="宋体" w:hAnsi="宋体" w:cs="宋体"/>
          <w:bCs/>
          <w:sz w:val="24"/>
          <w:highlight w:val="none"/>
        </w:rPr>
        <w:t>0. 变更</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bookmarkEnd w:id="354"/>
    <w:bookmarkEnd w:id="355"/>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63" w:name="_Toc297123541"/>
      <w:bookmarkStart w:id="364" w:name="_Toc304295567"/>
      <w:bookmarkStart w:id="365" w:name="_Toc292559904"/>
      <w:bookmarkStart w:id="366" w:name="_Toc292559399"/>
      <w:bookmarkStart w:id="367" w:name="_Toc296346695"/>
      <w:bookmarkStart w:id="368" w:name="_Toc303539147"/>
      <w:bookmarkStart w:id="369" w:name="_Toc312678026"/>
      <w:bookmarkStart w:id="370" w:name="_Toc300934990"/>
      <w:bookmarkStart w:id="371" w:name="_Toc296944533"/>
      <w:bookmarkStart w:id="372" w:name="_Toc312677500"/>
      <w:bookmarkStart w:id="373" w:name="_Toc297048380"/>
      <w:bookmarkStart w:id="374" w:name="_Toc296891022"/>
      <w:bookmarkStart w:id="375" w:name="_Toc297120494"/>
      <w:bookmarkStart w:id="376" w:name="_Toc297216200"/>
      <w:bookmarkStart w:id="377" w:name="_Toc296347193"/>
      <w:bookmarkStart w:id="378" w:name="_Toc296891234"/>
      <w:bookmarkStart w:id="379" w:name="_Toc296503194"/>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Start w:id="380" w:name="_Toc297120497"/>
      <w:bookmarkStart w:id="381" w:name="_Toc296944536"/>
      <w:bookmarkStart w:id="382" w:name="_Toc292559402"/>
      <w:bookmarkStart w:id="383" w:name="_Toc303539150"/>
      <w:bookmarkStart w:id="384" w:name="_Toc297123544"/>
      <w:bookmarkStart w:id="385" w:name="_Toc297048383"/>
      <w:bookmarkStart w:id="386" w:name="_Toc300934993"/>
      <w:bookmarkStart w:id="387" w:name="_Toc296503197"/>
      <w:bookmarkStart w:id="388" w:name="_Toc292559907"/>
      <w:bookmarkStart w:id="389" w:name="_Toc297216203"/>
      <w:bookmarkStart w:id="390" w:name="_Toc296347196"/>
      <w:bookmarkStart w:id="391" w:name="_Toc296346698"/>
      <w:bookmarkStart w:id="392" w:name="_Toc296891025"/>
      <w:bookmarkStart w:id="393" w:name="_Toc296891237"/>
      <w:bookmarkStart w:id="394" w:name="_Toc312678029"/>
      <w:bookmarkStart w:id="395" w:name="_Toc312677503"/>
      <w:bookmarkStart w:id="396" w:name="_Toc304295570"/>
      <w:r>
        <w:rPr>
          <w:rFonts w:hint="eastAsia" w:ascii="宋体" w:hAnsi="宋体" w:cs="宋体"/>
          <w:bCs/>
          <w:sz w:val="24"/>
          <w:highlight w:val="none"/>
        </w:rPr>
        <w:t>0.5承</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Start w:id="397" w:name="_Toc292559913"/>
      <w:bookmarkStart w:id="398" w:name="_Toc296503203"/>
      <w:bookmarkStart w:id="399" w:name="_Toc296347202"/>
      <w:bookmarkStart w:id="400" w:name="_Toc292559408"/>
      <w:bookmarkStart w:id="401" w:name="_Toc296891243"/>
      <w:bookmarkStart w:id="402" w:name="_Toc300934994"/>
      <w:bookmarkStart w:id="403" w:name="_Toc296944542"/>
      <w:bookmarkStart w:id="404" w:name="_Toc296346704"/>
      <w:bookmarkStart w:id="405" w:name="_Toc303539151"/>
      <w:bookmarkStart w:id="406" w:name="_Toc297120503"/>
      <w:bookmarkStart w:id="407" w:name="_Toc297123545"/>
      <w:bookmarkStart w:id="408" w:name="_Toc296891031"/>
      <w:bookmarkStart w:id="409" w:name="_Toc297216204"/>
      <w:bookmarkStart w:id="410" w:name="_Toc297048389"/>
      <w:r>
        <w:rPr>
          <w:rFonts w:hint="eastAsia" w:ascii="宋体" w:hAnsi="宋体" w:cs="宋体"/>
          <w:bCs/>
          <w:sz w:val="24"/>
          <w:highlight w:val="none"/>
        </w:rPr>
        <w:t>包人的合理化建议</w:t>
      </w:r>
    </w:p>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11" w:name="_Toc296891244"/>
      <w:bookmarkStart w:id="412" w:name="_Toc304295571"/>
      <w:bookmarkStart w:id="413" w:name="_Toc296346705"/>
      <w:bookmarkStart w:id="414" w:name="_Toc312677504"/>
      <w:bookmarkStart w:id="415" w:name="_Toc318581175"/>
      <w:bookmarkStart w:id="416" w:name="_Toc297123546"/>
      <w:bookmarkStart w:id="417" w:name="_Toc292559914"/>
      <w:bookmarkStart w:id="418" w:name="_Toc296347203"/>
      <w:bookmarkStart w:id="419" w:name="_Toc297216205"/>
      <w:bookmarkStart w:id="420" w:name="_Toc303539152"/>
      <w:bookmarkStart w:id="421" w:name="_Toc297120504"/>
      <w:bookmarkStart w:id="422" w:name="_Toc296503204"/>
      <w:bookmarkStart w:id="423" w:name="_Toc296944543"/>
      <w:bookmarkStart w:id="424" w:name="_Toc296891032"/>
      <w:bookmarkStart w:id="425" w:name="_Toc312678030"/>
      <w:bookmarkStart w:id="426" w:name="_Toc297048390"/>
      <w:bookmarkStart w:id="427" w:name="_Toc292559409"/>
      <w:bookmarkStart w:id="428" w:name="_Toc300934995"/>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9" w:name="_Toc312678033"/>
      <w:bookmarkStart w:id="430" w:name="_Toc292559909"/>
      <w:bookmarkStart w:id="431" w:name="_Toc296347198"/>
      <w:bookmarkStart w:id="432" w:name="_Toc297048385"/>
      <w:bookmarkStart w:id="433" w:name="_Toc297123548"/>
      <w:bookmarkStart w:id="434" w:name="_Toc296891027"/>
      <w:bookmarkStart w:id="435" w:name="_Toc304295574"/>
      <w:bookmarkStart w:id="436" w:name="_Toc297120499"/>
      <w:bookmarkStart w:id="437" w:name="_Toc296944538"/>
      <w:bookmarkStart w:id="438" w:name="_Toc303539154"/>
      <w:bookmarkStart w:id="439" w:name="_Toc296503199"/>
      <w:bookmarkStart w:id="440" w:name="_Toc300934997"/>
      <w:bookmarkStart w:id="441" w:name="_Toc297216207"/>
      <w:bookmarkStart w:id="442" w:name="_Toc296891239"/>
      <w:bookmarkStart w:id="443" w:name="_Toc296346700"/>
      <w:bookmarkStart w:id="444" w:name="_Toc292559404"/>
      <w:bookmarkStart w:id="445" w:name="_Toc312677507"/>
      <w:r>
        <w:rPr>
          <w:rFonts w:hint="eastAsia" w:ascii="宋体" w:hAnsi="宋体" w:cs="宋体"/>
          <w:bCs/>
          <w:sz w:val="24"/>
          <w:highlight w:val="none"/>
        </w:rPr>
        <w:t>0.7 暂估价</w:t>
      </w:r>
    </w:p>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46" w:name="_Toc318581176"/>
      <w:bookmarkStart w:id="447" w:name="_Toc312678034"/>
      <w:bookmarkStart w:id="448" w:name="_Toc312677508"/>
      <w:r>
        <w:rPr>
          <w:rFonts w:hint="eastAsia" w:ascii="宋体" w:hAnsi="宋体" w:cs="宋体"/>
          <w:bCs/>
          <w:sz w:val="24"/>
          <w:highlight w:val="none"/>
        </w:rPr>
        <w:t>估价材料和工程设备的明细详见附件6：《暂估价一览表》。</w:t>
      </w:r>
    </w:p>
    <w:bookmarkEnd w:id="446"/>
    <w:bookmarkEnd w:id="447"/>
    <w:bookmarkEnd w:id="448"/>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9" w:name="_Toc312677509"/>
      <w:bookmarkStart w:id="450" w:name="_Toc318581177"/>
      <w:bookmarkStart w:id="451" w:name="_Toc312678035"/>
      <w:r>
        <w:rPr>
          <w:rFonts w:hint="eastAsia" w:ascii="宋体" w:hAnsi="宋体" w:cs="宋体"/>
          <w:bCs/>
          <w:sz w:val="24"/>
          <w:highlight w:val="none"/>
        </w:rPr>
        <w:t>0.7.1 依法必须招标的暂估价项目</w:t>
      </w:r>
    </w:p>
    <w:bookmarkEnd w:id="449"/>
    <w:bookmarkEnd w:id="450"/>
    <w:bookmarkEnd w:id="451"/>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52" w:name="_Toc351203643"/>
      <w:r>
        <w:rPr>
          <w:rFonts w:hint="eastAsia" w:ascii="宋体" w:hAnsi="宋体" w:cs="宋体"/>
          <w:bCs/>
          <w:sz w:val="24"/>
          <w:highlight w:val="none"/>
        </w:rPr>
        <w:t>11. 价格调整</w:t>
      </w:r>
      <w:bookmarkEnd w:id="452"/>
    </w:p>
    <w:p w14:paraId="5BB2E714">
      <w:pPr>
        <w:spacing w:after="120" w:line="360" w:lineRule="auto"/>
        <w:ind w:firstLine="480" w:firstLineChars="200"/>
        <w:rPr>
          <w:rFonts w:hint="eastAsia" w:ascii="宋体" w:hAnsi="宋体" w:cs="宋体"/>
          <w:bCs/>
          <w:sz w:val="24"/>
          <w:highlight w:val="none"/>
        </w:rPr>
      </w:pPr>
      <w:bookmarkStart w:id="453" w:name="_Toc303539157"/>
      <w:bookmarkStart w:id="454" w:name="_Toc304295577"/>
      <w:bookmarkStart w:id="455" w:name="_Toc296346702"/>
      <w:bookmarkStart w:id="456" w:name="_Toc297048387"/>
      <w:bookmarkStart w:id="457" w:name="_Toc297123550"/>
      <w:bookmarkStart w:id="458" w:name="_Toc300935000"/>
      <w:bookmarkStart w:id="459" w:name="_Toc296503201"/>
      <w:bookmarkStart w:id="460" w:name="_Toc296891029"/>
      <w:bookmarkStart w:id="461" w:name="_Toc292559406"/>
      <w:bookmarkStart w:id="462" w:name="_Toc312678039"/>
      <w:bookmarkStart w:id="463" w:name="_Toc292559911"/>
      <w:bookmarkStart w:id="464" w:name="_Toc296891241"/>
      <w:bookmarkStart w:id="465" w:name="_Toc297120501"/>
      <w:bookmarkStart w:id="466" w:name="_Toc296347200"/>
      <w:bookmarkStart w:id="467" w:name="_Toc296944540"/>
      <w:bookmarkStart w:id="468" w:name="_Toc297216209"/>
      <w:r>
        <w:rPr>
          <w:rFonts w:hint="eastAsia" w:ascii="宋体" w:hAnsi="宋体" w:cs="宋体"/>
          <w:bCs/>
          <w:sz w:val="24"/>
          <w:highlight w:val="none"/>
        </w:rPr>
        <w:t>11.1 市场价格波动引起的调整</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6"/>
    <w:bookmarkEnd w:id="357"/>
    <w:bookmarkEnd w:id="358"/>
    <w:bookmarkEnd w:id="359"/>
    <w:bookmarkEnd w:id="360"/>
    <w:bookmarkEnd w:id="361"/>
    <w:p w14:paraId="06BC8C9E">
      <w:pPr>
        <w:spacing w:before="120" w:after="120" w:line="360" w:lineRule="auto"/>
        <w:jc w:val="left"/>
        <w:rPr>
          <w:rFonts w:hint="eastAsia" w:ascii="宋体" w:hAnsi="宋体" w:cs="宋体"/>
          <w:bCs/>
          <w:sz w:val="24"/>
          <w:highlight w:val="none"/>
        </w:rPr>
      </w:pPr>
      <w:bookmarkStart w:id="469" w:name="_Toc297120505"/>
      <w:bookmarkStart w:id="470" w:name="_Toc296944544"/>
      <w:bookmarkStart w:id="471" w:name="_Toc297048391"/>
      <w:bookmarkStart w:id="472" w:name="_Toc296346706"/>
      <w:bookmarkStart w:id="473" w:name="_Toc296891033"/>
      <w:bookmarkStart w:id="474" w:name="_Toc296503205"/>
      <w:bookmarkStart w:id="475" w:name="_Toc292559410"/>
      <w:bookmarkStart w:id="476" w:name="_Toc292559915"/>
      <w:bookmarkStart w:id="477" w:name="_Toc296347204"/>
      <w:bookmarkStart w:id="478" w:name="_Toc296891245"/>
      <w:bookmarkStart w:id="479" w:name="_Toc351203644"/>
      <w:bookmarkStart w:id="480" w:name="_Toc297216211"/>
      <w:bookmarkStart w:id="481" w:name="_Toc304295579"/>
      <w:bookmarkStart w:id="482" w:name="_Toc300935002"/>
      <w:bookmarkStart w:id="483" w:name="_Toc312678040"/>
      <w:bookmarkStart w:id="484" w:name="_Toc297123552"/>
      <w:bookmarkStart w:id="485" w:name="_Toc303539159"/>
      <w:r>
        <w:rPr>
          <w:rFonts w:hint="eastAsia" w:ascii="宋体" w:hAnsi="宋体" w:cs="宋体"/>
          <w:bCs/>
          <w:sz w:val="24"/>
          <w:highlight w:val="none"/>
        </w:rPr>
        <w:t xml:space="preserve">12. </w:t>
      </w:r>
      <w:bookmarkEnd w:id="469"/>
      <w:bookmarkEnd w:id="470"/>
      <w:bookmarkEnd w:id="471"/>
      <w:bookmarkEnd w:id="472"/>
      <w:bookmarkEnd w:id="473"/>
      <w:bookmarkEnd w:id="474"/>
      <w:bookmarkEnd w:id="475"/>
      <w:bookmarkEnd w:id="476"/>
      <w:bookmarkEnd w:id="477"/>
      <w:bookmarkEnd w:id="478"/>
      <w:r>
        <w:rPr>
          <w:rFonts w:hint="eastAsia" w:ascii="宋体" w:hAnsi="宋体" w:cs="宋体"/>
          <w:bCs/>
          <w:sz w:val="24"/>
          <w:highlight w:val="none"/>
        </w:rPr>
        <w:t>合同价格、计量与支付</w:t>
      </w:r>
      <w:bookmarkEnd w:id="479"/>
    </w:p>
    <w:bookmarkEnd w:id="480"/>
    <w:bookmarkEnd w:id="481"/>
    <w:bookmarkEnd w:id="482"/>
    <w:bookmarkEnd w:id="483"/>
    <w:bookmarkEnd w:id="484"/>
    <w:bookmarkEnd w:id="485"/>
    <w:p w14:paraId="2F4F67B1">
      <w:pPr>
        <w:spacing w:after="120" w:line="360" w:lineRule="auto"/>
        <w:ind w:firstLine="480" w:firstLineChars="200"/>
        <w:rPr>
          <w:rFonts w:hint="eastAsia" w:ascii="宋体" w:hAnsi="宋体" w:cs="宋体"/>
          <w:bCs/>
          <w:sz w:val="24"/>
          <w:highlight w:val="none"/>
        </w:rPr>
      </w:pPr>
      <w:bookmarkStart w:id="486" w:name="_Toc267251461"/>
      <w:bookmarkStart w:id="487" w:name="_Toc292559411"/>
      <w:bookmarkStart w:id="488" w:name="_Toc292559916"/>
      <w:bookmarkStart w:id="489" w:name="_Toc296346707"/>
      <w:bookmarkStart w:id="490" w:name="_Toc296503206"/>
      <w:bookmarkStart w:id="491" w:name="_Toc297120506"/>
      <w:bookmarkStart w:id="492" w:name="_Toc296944545"/>
      <w:bookmarkStart w:id="493" w:name="_Toc297048392"/>
      <w:bookmarkStart w:id="494" w:name="_Toc296891034"/>
      <w:bookmarkStart w:id="495" w:name="_Toc296347205"/>
      <w:bookmarkStart w:id="496" w:name="_Toc296891246"/>
      <w:bookmarkStart w:id="497" w:name="_Toc297123553"/>
      <w:bookmarkStart w:id="498" w:name="_Toc297216212"/>
      <w:bookmarkStart w:id="499" w:name="_Toc304295580"/>
      <w:bookmarkStart w:id="500" w:name="_Toc312678041"/>
      <w:bookmarkStart w:id="501" w:name="_Toc300935003"/>
      <w:bookmarkStart w:id="502" w:name="_Toc303539160"/>
      <w:r>
        <w:rPr>
          <w:rFonts w:hint="eastAsia" w:ascii="宋体" w:hAnsi="宋体" w:cs="宋体"/>
          <w:bCs/>
          <w:sz w:val="24"/>
          <w:highlight w:val="none"/>
        </w:rPr>
        <w:t>12.1 合</w:t>
      </w:r>
      <w:bookmarkEnd w:id="486"/>
      <w:bookmarkEnd w:id="487"/>
      <w:bookmarkEnd w:id="488"/>
      <w:r>
        <w:rPr>
          <w:rFonts w:hint="eastAsia" w:ascii="宋体" w:hAnsi="宋体" w:cs="宋体"/>
          <w:bCs/>
          <w:sz w:val="24"/>
          <w:highlight w:val="none"/>
        </w:rPr>
        <w:t>同价</w:t>
      </w:r>
      <w:bookmarkEnd w:id="489"/>
      <w:bookmarkEnd w:id="490"/>
      <w:bookmarkEnd w:id="491"/>
      <w:bookmarkEnd w:id="492"/>
      <w:bookmarkEnd w:id="493"/>
      <w:bookmarkEnd w:id="494"/>
      <w:bookmarkEnd w:id="495"/>
      <w:bookmarkEnd w:id="496"/>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97"/>
    <w:bookmarkEnd w:id="498"/>
    <w:bookmarkEnd w:id="499"/>
    <w:bookmarkEnd w:id="500"/>
    <w:bookmarkEnd w:id="501"/>
    <w:bookmarkEnd w:id="502"/>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503" w:name="_Toc297216213"/>
      <w:bookmarkStart w:id="504" w:name="_Toc300935004"/>
      <w:bookmarkStart w:id="505" w:name="_Toc312678042"/>
      <w:bookmarkStart w:id="506" w:name="_Toc297123554"/>
      <w:bookmarkStart w:id="507" w:name="_Toc304295581"/>
      <w:bookmarkStart w:id="508" w:name="_Toc303539161"/>
      <w:bookmarkStart w:id="509" w:name="_Toc296503207"/>
      <w:bookmarkStart w:id="510" w:name="_Toc292559917"/>
      <w:bookmarkStart w:id="511" w:name="_Toc296891035"/>
      <w:bookmarkStart w:id="512" w:name="_Toc292559412"/>
      <w:bookmarkStart w:id="513" w:name="_Toc296347206"/>
      <w:bookmarkStart w:id="514" w:name="_Toc296891247"/>
      <w:bookmarkStart w:id="515" w:name="_Toc297048393"/>
      <w:bookmarkStart w:id="516" w:name="_Toc296346708"/>
      <w:bookmarkStart w:id="517" w:name="_Toc296944546"/>
      <w:bookmarkStart w:id="518" w:name="_Toc297120507"/>
      <w:r>
        <w:rPr>
          <w:rFonts w:hint="eastAsia" w:ascii="宋体" w:hAnsi="宋体" w:cs="宋体"/>
          <w:bCs/>
          <w:sz w:val="24"/>
          <w:highlight w:val="none"/>
        </w:rPr>
        <w:t>12.2 预付款</w:t>
      </w:r>
    </w:p>
    <w:bookmarkEnd w:id="503"/>
    <w:bookmarkEnd w:id="504"/>
    <w:bookmarkEnd w:id="505"/>
    <w:bookmarkEnd w:id="506"/>
    <w:bookmarkEnd w:id="507"/>
    <w:bookmarkEnd w:id="508"/>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9"/>
    <w:bookmarkEnd w:id="510"/>
    <w:bookmarkEnd w:id="511"/>
    <w:bookmarkEnd w:id="512"/>
    <w:bookmarkEnd w:id="513"/>
    <w:bookmarkEnd w:id="514"/>
    <w:bookmarkEnd w:id="515"/>
    <w:bookmarkEnd w:id="516"/>
    <w:bookmarkEnd w:id="517"/>
    <w:bookmarkEnd w:id="518"/>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9" w:name="_Toc296503211"/>
      <w:bookmarkStart w:id="520" w:name="_Toc297120511"/>
      <w:bookmarkStart w:id="521" w:name="_Toc297123556"/>
      <w:bookmarkStart w:id="522" w:name="_Toc300935006"/>
      <w:bookmarkStart w:id="523" w:name="_Toc292559416"/>
      <w:bookmarkStart w:id="524" w:name="_Toc296346712"/>
      <w:bookmarkStart w:id="525" w:name="_Toc296347210"/>
      <w:bookmarkStart w:id="526" w:name="_Toc292559921"/>
      <w:bookmarkStart w:id="527" w:name="_Toc296891039"/>
      <w:bookmarkStart w:id="528" w:name="_Toc296891251"/>
      <w:bookmarkStart w:id="529" w:name="_Toc296944550"/>
      <w:bookmarkStart w:id="530" w:name="_Toc297048397"/>
      <w:bookmarkStart w:id="531" w:name="_Toc303539163"/>
      <w:bookmarkStart w:id="532" w:name="_Toc297216215"/>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62"/>
    <w:p w14:paraId="279136F7">
      <w:pPr>
        <w:spacing w:before="120" w:after="120" w:line="360" w:lineRule="auto"/>
        <w:jc w:val="left"/>
        <w:rPr>
          <w:rFonts w:hint="eastAsia" w:ascii="宋体" w:hAnsi="宋体" w:cs="宋体"/>
          <w:bCs/>
          <w:sz w:val="24"/>
          <w:highlight w:val="none"/>
        </w:rPr>
      </w:pPr>
      <w:bookmarkStart w:id="533" w:name="_Toc351203645"/>
      <w:bookmarkStart w:id="534" w:name="_Toc296346720"/>
      <w:bookmarkStart w:id="535" w:name="_Toc296891259"/>
      <w:bookmarkStart w:id="536" w:name="_Toc304295593"/>
      <w:bookmarkStart w:id="537" w:name="_Toc297123564"/>
      <w:bookmarkStart w:id="538" w:name="_Toc312678053"/>
      <w:bookmarkStart w:id="539" w:name="_Toc292559929"/>
      <w:bookmarkStart w:id="540" w:name="_Toc296891047"/>
      <w:bookmarkStart w:id="541" w:name="_Toc292559424"/>
      <w:bookmarkStart w:id="542" w:name="_Toc297120519"/>
      <w:bookmarkStart w:id="543" w:name="_Toc296347218"/>
      <w:bookmarkStart w:id="544" w:name="_Toc297048405"/>
      <w:bookmarkStart w:id="545" w:name="_Toc296944558"/>
      <w:bookmarkStart w:id="546" w:name="_Toc297216223"/>
      <w:bookmarkStart w:id="547" w:name="_Toc300935015"/>
      <w:bookmarkStart w:id="548" w:name="_Toc296503219"/>
      <w:bookmarkStart w:id="549" w:name="_Toc303539172"/>
      <w:r>
        <w:rPr>
          <w:rFonts w:hint="eastAsia" w:ascii="宋体" w:hAnsi="宋体" w:cs="宋体"/>
          <w:bCs/>
          <w:sz w:val="24"/>
          <w:highlight w:val="none"/>
        </w:rPr>
        <w:t>13. 验收和工程试车</w:t>
      </w:r>
      <w:bookmarkEnd w:id="533"/>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50" w:name="_Toc296891051"/>
      <w:bookmarkStart w:id="551" w:name="_Toc296944562"/>
      <w:bookmarkStart w:id="552" w:name="_Toc296503223"/>
      <w:bookmarkStart w:id="553" w:name="_Toc297123565"/>
      <w:bookmarkStart w:id="554" w:name="_Toc296347222"/>
      <w:bookmarkStart w:id="555" w:name="_Toc296891263"/>
      <w:bookmarkStart w:id="556" w:name="_Toc300935016"/>
      <w:bookmarkStart w:id="557" w:name="_Toc303539173"/>
      <w:bookmarkStart w:id="558" w:name="_Toc292559428"/>
      <w:bookmarkStart w:id="559" w:name="_Toc297120523"/>
      <w:bookmarkStart w:id="560" w:name="_Toc297216224"/>
      <w:bookmarkStart w:id="561" w:name="_Toc296346724"/>
      <w:bookmarkStart w:id="562" w:name="_Toc304295596"/>
      <w:bookmarkStart w:id="563" w:name="_Toc312678056"/>
      <w:bookmarkStart w:id="564" w:name="_Toc297048409"/>
      <w:bookmarkStart w:id="565" w:name="_Toc292559933"/>
      <w:bookmarkStart w:id="566" w:name="_Toc267251473"/>
      <w:bookmarkStart w:id="567" w:name="_Toc267251476"/>
      <w:bookmarkStart w:id="568" w:name="_Toc267251471"/>
      <w:bookmarkStart w:id="569" w:name="_Toc267251470"/>
      <w:bookmarkStart w:id="570" w:name="_Toc267251472"/>
      <w:bookmarkStart w:id="571" w:name="_Toc267251475"/>
      <w:bookmarkStart w:id="572" w:name="_Toc267251474"/>
      <w:r>
        <w:rPr>
          <w:rFonts w:hint="eastAsia" w:ascii="宋体" w:hAnsi="宋体" w:cs="宋体"/>
          <w:bCs/>
          <w:sz w:val="24"/>
          <w:highlight w:val="none"/>
        </w:rPr>
        <w:t>13.2 竣工验收</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14:paraId="06D440EA">
      <w:pPr>
        <w:spacing w:line="360" w:lineRule="auto"/>
        <w:ind w:firstLine="480" w:firstLineChars="200"/>
        <w:jc w:val="left"/>
        <w:rPr>
          <w:rFonts w:hint="eastAsia" w:ascii="宋体" w:hAnsi="宋体" w:cs="宋体"/>
          <w:bCs/>
          <w:sz w:val="24"/>
          <w:highlight w:val="none"/>
        </w:rPr>
      </w:pPr>
      <w:bookmarkStart w:id="573" w:name="_Toc280868704"/>
      <w:bookmarkStart w:id="574" w:name="_Toc280868705"/>
      <w:bookmarkStart w:id="575" w:name="_Toc280868706"/>
      <w:bookmarkStart w:id="576" w:name="_Toc280868707"/>
      <w:bookmarkStart w:id="577" w:name="_Toc280868708"/>
      <w:bookmarkStart w:id="578" w:name="_Toc280868709"/>
      <w:r>
        <w:rPr>
          <w:rFonts w:hint="eastAsia" w:ascii="宋体" w:hAnsi="宋体" w:cs="宋体"/>
          <w:bCs/>
          <w:sz w:val="24"/>
          <w:highlight w:val="none"/>
        </w:rPr>
        <w:t>13.2.2竣工验收程序</w:t>
      </w:r>
    </w:p>
    <w:bookmarkEnd w:id="573"/>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74"/>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75"/>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76"/>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77"/>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9" w:name="_Toc351203646"/>
      <w:r>
        <w:rPr>
          <w:rFonts w:hint="eastAsia" w:ascii="宋体" w:hAnsi="宋体" w:cs="宋体"/>
          <w:bCs/>
          <w:sz w:val="24"/>
          <w:highlight w:val="none"/>
        </w:rPr>
        <w:t>14. 竣工结算</w:t>
      </w:r>
      <w:bookmarkEnd w:id="579"/>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66"/>
    <w:bookmarkEnd w:id="567"/>
    <w:bookmarkEnd w:id="568"/>
    <w:bookmarkEnd w:id="569"/>
    <w:bookmarkEnd w:id="570"/>
    <w:bookmarkEnd w:id="571"/>
    <w:bookmarkEnd w:id="572"/>
    <w:bookmarkEnd w:id="578"/>
    <w:p w14:paraId="1487BFDB">
      <w:pPr>
        <w:spacing w:before="120" w:after="120" w:line="360" w:lineRule="auto"/>
        <w:jc w:val="left"/>
        <w:rPr>
          <w:rFonts w:hint="eastAsia" w:ascii="宋体" w:hAnsi="宋体" w:cs="宋体"/>
          <w:bCs/>
          <w:sz w:val="24"/>
          <w:highlight w:val="none"/>
        </w:rPr>
      </w:pPr>
      <w:bookmarkStart w:id="580" w:name="_Toc351203647"/>
      <w:bookmarkStart w:id="581" w:name="_Toc267251483"/>
      <w:bookmarkStart w:id="582" w:name="_Toc267251482"/>
      <w:bookmarkStart w:id="583" w:name="_Toc267251484"/>
      <w:bookmarkStart w:id="584" w:name="_Toc267251485"/>
      <w:bookmarkStart w:id="585" w:name="_Toc267251490"/>
      <w:bookmarkStart w:id="586" w:name="_Toc267251489"/>
      <w:bookmarkStart w:id="587" w:name="_Toc267251488"/>
      <w:bookmarkStart w:id="588" w:name="_Toc267251486"/>
      <w:bookmarkStart w:id="589" w:name="_Toc267251491"/>
      <w:bookmarkStart w:id="590" w:name="_Toc267251497"/>
      <w:bookmarkStart w:id="591" w:name="_Toc267251493"/>
      <w:bookmarkStart w:id="592" w:name="_Toc267251495"/>
      <w:bookmarkStart w:id="593" w:name="_Toc267251494"/>
      <w:bookmarkStart w:id="594" w:name="_Toc267251502"/>
      <w:bookmarkStart w:id="595" w:name="_Toc267251501"/>
      <w:bookmarkStart w:id="596" w:name="_Toc267251492"/>
      <w:bookmarkStart w:id="597" w:name="_Toc267251503"/>
      <w:bookmarkStart w:id="598" w:name="_Toc267251496"/>
      <w:bookmarkStart w:id="599" w:name="_Toc267251498"/>
      <w:bookmarkStart w:id="600" w:name="_Toc267251499"/>
      <w:bookmarkStart w:id="601" w:name="_Toc267251504"/>
      <w:bookmarkStart w:id="602" w:name="_Toc267251506"/>
      <w:bookmarkStart w:id="603" w:name="_Toc267251507"/>
      <w:bookmarkStart w:id="604" w:name="_Toc267251508"/>
      <w:bookmarkStart w:id="605" w:name="_Toc267251515"/>
      <w:bookmarkStart w:id="606" w:name="_Toc267251514"/>
      <w:bookmarkStart w:id="607" w:name="_Toc267251510"/>
      <w:bookmarkStart w:id="608" w:name="_Toc267251513"/>
      <w:bookmarkStart w:id="609" w:name="_Toc267251511"/>
      <w:bookmarkStart w:id="610" w:name="_Toc267251509"/>
      <w:r>
        <w:rPr>
          <w:rFonts w:hint="eastAsia" w:ascii="宋体" w:hAnsi="宋体" w:cs="宋体"/>
          <w:bCs/>
          <w:sz w:val="24"/>
          <w:highlight w:val="none"/>
        </w:rPr>
        <w:t>15. 缺陷责任期与保修</w:t>
      </w:r>
      <w:bookmarkEnd w:id="580"/>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81"/>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82"/>
    <w:bookmarkEnd w:id="583"/>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84"/>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85"/>
    <w:bookmarkEnd w:id="586"/>
    <w:bookmarkEnd w:id="587"/>
    <w:bookmarkEnd w:id="588"/>
    <w:p w14:paraId="353E3C91">
      <w:pPr>
        <w:spacing w:before="120" w:after="120" w:line="360" w:lineRule="auto"/>
        <w:jc w:val="left"/>
        <w:rPr>
          <w:rFonts w:hint="eastAsia" w:ascii="宋体" w:hAnsi="宋体" w:cs="宋体"/>
          <w:bCs/>
          <w:sz w:val="24"/>
          <w:highlight w:val="none"/>
        </w:rPr>
      </w:pPr>
      <w:bookmarkStart w:id="611" w:name="_Toc351203648"/>
      <w:bookmarkStart w:id="612" w:name="_Toc280868717"/>
      <w:bookmarkStart w:id="613" w:name="_Toc280868718"/>
      <w:r>
        <w:rPr>
          <w:rFonts w:hint="eastAsia" w:ascii="宋体" w:hAnsi="宋体" w:cs="宋体"/>
          <w:bCs/>
          <w:sz w:val="24"/>
          <w:highlight w:val="none"/>
        </w:rPr>
        <w:t>16. 违约</w:t>
      </w:r>
      <w:bookmarkEnd w:id="611"/>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14" w:name="_Toc351203649"/>
      <w:r>
        <w:rPr>
          <w:rFonts w:hint="eastAsia" w:ascii="宋体" w:hAnsi="宋体" w:cs="宋体"/>
          <w:bCs/>
          <w:sz w:val="24"/>
          <w:highlight w:val="none"/>
        </w:rPr>
        <w:t>17. 不可抗力</w:t>
      </w:r>
      <w:bookmarkEnd w:id="614"/>
      <w:r>
        <w:rPr>
          <w:rFonts w:hint="eastAsia" w:ascii="宋体" w:hAnsi="宋体" w:cs="宋体"/>
          <w:bCs/>
          <w:sz w:val="24"/>
          <w:highlight w:val="none"/>
        </w:rPr>
        <w:t xml:space="preserve"> </w:t>
      </w:r>
      <w:bookmarkEnd w:id="612"/>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15" w:name="_Toc351203650"/>
      <w:r>
        <w:rPr>
          <w:rFonts w:hint="eastAsia" w:ascii="宋体" w:hAnsi="宋体" w:cs="宋体"/>
          <w:bCs/>
          <w:sz w:val="24"/>
          <w:highlight w:val="none"/>
        </w:rPr>
        <w:t>18. 保险</w:t>
      </w:r>
      <w:bookmarkEnd w:id="615"/>
    </w:p>
    <w:bookmarkEnd w:id="613"/>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9"/>
    <w:bookmarkEnd w:id="590"/>
    <w:bookmarkEnd w:id="591"/>
    <w:bookmarkEnd w:id="592"/>
    <w:bookmarkEnd w:id="593"/>
    <w:bookmarkEnd w:id="594"/>
    <w:bookmarkEnd w:id="595"/>
    <w:bookmarkEnd w:id="596"/>
    <w:bookmarkEnd w:id="597"/>
    <w:bookmarkEnd w:id="598"/>
    <w:bookmarkEnd w:id="599"/>
    <w:bookmarkEnd w:id="600"/>
    <w:p w14:paraId="582F3F0C">
      <w:pPr>
        <w:widowControl/>
        <w:spacing w:line="460" w:lineRule="exact"/>
        <w:jc w:val="left"/>
        <w:rPr>
          <w:rFonts w:hint="eastAsia" w:ascii="宋体" w:hAnsi="宋体" w:cs="宋体"/>
          <w:bCs/>
          <w:sz w:val="24"/>
          <w:highlight w:val="none"/>
        </w:rPr>
      </w:pPr>
      <w:bookmarkStart w:id="616" w:name="_Toc351203651"/>
      <w:r>
        <w:rPr>
          <w:rFonts w:hint="eastAsia" w:ascii="宋体" w:hAnsi="宋体" w:cs="宋体"/>
          <w:bCs/>
          <w:sz w:val="24"/>
          <w:highlight w:val="none"/>
        </w:rPr>
        <w:t>20. 争议解决</w:t>
      </w:r>
      <w:bookmarkEnd w:id="616"/>
    </w:p>
    <w:bookmarkEnd w:id="601"/>
    <w:bookmarkEnd w:id="602"/>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603"/>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604"/>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605"/>
      <w:bookmarkEnd w:id="606"/>
      <w:bookmarkEnd w:id="607"/>
      <w:bookmarkEnd w:id="608"/>
      <w:bookmarkEnd w:id="609"/>
      <w:bookmarkEnd w:id="610"/>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029B59F9">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51"/>
    <w:bookmarkEnd w:id="52"/>
    <w:bookmarkEnd w:id="53"/>
    <w:bookmarkEnd w:id="54"/>
    <w:bookmarkEnd w:id="55"/>
    <w:bookmarkEnd w:id="56"/>
    <w:bookmarkEnd w:id="57"/>
    <w:bookmarkEnd w:id="58"/>
    <w:bookmarkEnd w:id="59"/>
    <w:p w14:paraId="5BFA6A6D">
      <w:pPr>
        <w:pStyle w:val="2"/>
        <w:jc w:val="center"/>
        <w:rPr>
          <w:rFonts w:ascii="宋体" w:eastAsia="宋体" w:cs="宋体"/>
          <w:bCs/>
          <w:color w:val="auto"/>
          <w:szCs w:val="36"/>
          <w:highlight w:val="none"/>
        </w:rPr>
      </w:pPr>
      <w:bookmarkStart w:id="617" w:name="_Toc27319"/>
      <w:r>
        <w:rPr>
          <w:rFonts w:hint="eastAsia" w:ascii="宋体" w:eastAsia="宋体" w:cs="宋体"/>
          <w:bCs/>
          <w:color w:val="auto"/>
          <w:szCs w:val="36"/>
          <w:highlight w:val="none"/>
        </w:rPr>
        <w:t>第五章  磋商内容及技术要求</w:t>
      </w:r>
      <w:bookmarkEnd w:id="617"/>
      <w:bookmarkStart w:id="618" w:name="_Toc11450"/>
      <w:bookmarkStart w:id="619" w:name="_Toc4053"/>
      <w:bookmarkStart w:id="620" w:name="_Toc2711"/>
      <w:bookmarkStart w:id="621" w:name="_Toc20481"/>
      <w:bookmarkStart w:id="622" w:name="_Toc23856"/>
      <w:bookmarkStart w:id="623" w:name="_Toc389582038"/>
      <w:bookmarkStart w:id="624" w:name="_Toc1025"/>
    </w:p>
    <w:bookmarkEnd w:id="42"/>
    <w:bookmarkEnd w:id="618"/>
    <w:bookmarkEnd w:id="619"/>
    <w:bookmarkEnd w:id="620"/>
    <w:bookmarkEnd w:id="621"/>
    <w:bookmarkEnd w:id="622"/>
    <w:bookmarkEnd w:id="623"/>
    <w:bookmarkEnd w:id="624"/>
    <w:p w14:paraId="73E6DD2C">
      <w:pPr>
        <w:spacing w:line="360" w:lineRule="auto"/>
        <w:rPr>
          <w:rFonts w:hint="eastAsia" w:ascii="宋体" w:hAnsi="宋体" w:cs="宋体"/>
          <w:sz w:val="24"/>
          <w:szCs w:val="24"/>
        </w:rPr>
      </w:pPr>
      <w:bookmarkStart w:id="625" w:name="_Toc5084"/>
      <w:bookmarkStart w:id="626" w:name="_Toc363474025"/>
      <w:bookmarkStart w:id="627" w:name="_Toc423973079"/>
      <w:bookmarkStart w:id="628" w:name="_Toc8141"/>
      <w:bookmarkStart w:id="629" w:name="_Toc403077646"/>
      <w:r>
        <w:rPr>
          <w:rFonts w:hint="eastAsia" w:ascii="宋体" w:hAnsi="宋体" w:cs="宋体"/>
          <w:sz w:val="24"/>
          <w:szCs w:val="24"/>
        </w:rPr>
        <w:t>一、</w:t>
      </w:r>
      <w:r>
        <w:rPr>
          <w:rFonts w:hint="eastAsia" w:ascii="宋体" w:hAnsi="宋体" w:cs="宋体"/>
          <w:sz w:val="24"/>
          <w:szCs w:val="24"/>
          <w:lang w:val="en-US" w:eastAsia="zh-CN"/>
        </w:rPr>
        <w:t>项目</w:t>
      </w:r>
      <w:r>
        <w:rPr>
          <w:rFonts w:hint="eastAsia" w:ascii="宋体" w:hAnsi="宋体" w:cs="宋体"/>
          <w:sz w:val="24"/>
          <w:szCs w:val="24"/>
        </w:rPr>
        <w:t>概况：</w:t>
      </w:r>
    </w:p>
    <w:p w14:paraId="754BF5FC">
      <w:pPr>
        <w:spacing w:line="360" w:lineRule="auto"/>
        <w:jc w:val="left"/>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柞水县金米村绿化提升工程</w:t>
      </w:r>
      <w:r>
        <w:rPr>
          <w:rFonts w:hint="eastAsia" w:ascii="宋体" w:hAnsi="宋体" w:cs="宋体"/>
          <w:sz w:val="24"/>
          <w:szCs w:val="24"/>
        </w:rPr>
        <w:t>地点位于陕西省商洛市柞水县</w:t>
      </w:r>
      <w:r>
        <w:rPr>
          <w:rFonts w:hint="eastAsia" w:ascii="宋体" w:hAnsi="宋体" w:cs="宋体"/>
          <w:sz w:val="24"/>
          <w:szCs w:val="24"/>
          <w:lang w:val="en-US" w:eastAsia="zh-CN"/>
        </w:rPr>
        <w:t>小岭镇金米村，施工内容主要包含挖除原枯死病虫害苗木草皮、土（石）方回填、整理绿化用地、铺种草皮、栽植乔木、灌木、竹子等绿化苗木及花卉和色带、点风景石、修理园路、安装健身器材、刷喷涂料、防腐木护栏、铺设石材路缘石、安装石材防撞墩等内容，</w:t>
      </w:r>
      <w:r>
        <w:rPr>
          <w:rFonts w:hint="eastAsia" w:ascii="宋体" w:hAnsi="宋体" w:cs="宋体"/>
          <w:sz w:val="24"/>
          <w:szCs w:val="24"/>
        </w:rPr>
        <w:t>根据建设单位提供资料编制。</w:t>
      </w:r>
    </w:p>
    <w:p w14:paraId="7BA181C7">
      <w:pPr>
        <w:spacing w:line="360" w:lineRule="auto"/>
        <w:jc w:val="left"/>
        <w:rPr>
          <w:rFonts w:hint="eastAsia" w:ascii="宋体" w:hAnsi="宋体" w:cs="宋体"/>
          <w:sz w:val="24"/>
          <w:szCs w:val="24"/>
        </w:rPr>
      </w:pPr>
      <w:r>
        <w:rPr>
          <w:rFonts w:hint="eastAsia" w:ascii="宋体" w:hAnsi="宋体" w:cs="宋体"/>
          <w:sz w:val="24"/>
          <w:szCs w:val="24"/>
        </w:rPr>
        <w:t>二、编制依据：</w:t>
      </w:r>
    </w:p>
    <w:p w14:paraId="3A15499B">
      <w:pPr>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陕西省建设工程费用规则</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val="en-US" w:eastAsia="zh-CN"/>
        </w:rPr>
        <w:t>陕西省房屋建筑与装饰工程基价表</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val="en-US" w:eastAsia="zh-CN"/>
        </w:rPr>
        <w:t>陕西省通用安装工程基价表</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val="en-US" w:eastAsia="zh-CN"/>
        </w:rPr>
        <w:t>陕西省房屋建筑与装饰工程消耗量定额</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val="en-US" w:eastAsia="zh-CN"/>
        </w:rPr>
        <w:t>陕西省通用安装工程消耗量定额</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陕西省园林绿化工程基价表》</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陕西省园林绿化工程消耗量定额》</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陕西省市政工程基价表》</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陕西省市政工程消耗量定额》</w:t>
      </w:r>
      <w:r>
        <w:rPr>
          <w:rFonts w:ascii="宋体" w:hAnsi="宋体" w:cs="宋体"/>
          <w:sz w:val="24"/>
          <w:szCs w:val="24"/>
        </w:rPr>
        <w:t>(20</w:t>
      </w:r>
      <w:r>
        <w:rPr>
          <w:rFonts w:hint="eastAsia" w:ascii="宋体" w:hAnsi="宋体" w:cs="宋体"/>
          <w:sz w:val="24"/>
          <w:szCs w:val="24"/>
          <w:lang w:val="en-US" w:eastAsia="zh-CN"/>
        </w:rPr>
        <w:t>25</w:t>
      </w:r>
      <w:r>
        <w:rPr>
          <w:rFonts w:ascii="宋体" w:hAnsi="宋体" w:cs="宋体"/>
          <w:sz w:val="24"/>
          <w:szCs w:val="24"/>
        </w:rPr>
        <w:t>)</w:t>
      </w:r>
      <w:r>
        <w:rPr>
          <w:rFonts w:hint="eastAsia" w:ascii="宋体" w:hAnsi="宋体" w:cs="宋体"/>
          <w:sz w:val="24"/>
          <w:szCs w:val="24"/>
        </w:rPr>
        <w:t>；</w:t>
      </w:r>
    </w:p>
    <w:p w14:paraId="5B7F1070">
      <w:pPr>
        <w:spacing w:line="360" w:lineRule="auto"/>
        <w:ind w:firstLine="480" w:firstLineChars="200"/>
        <w:rPr>
          <w:rFonts w:hint="eastAsia" w:ascii="宋体" w:hAnsi="宋体" w:cs="宋体"/>
          <w:sz w:val="24"/>
          <w:szCs w:val="24"/>
        </w:rPr>
      </w:pPr>
      <w:r>
        <w:rPr>
          <w:rFonts w:hint="eastAsia" w:ascii="宋体" w:hAnsi="宋体" w:cs="宋体"/>
          <w:sz w:val="24"/>
          <w:szCs w:val="24"/>
        </w:rPr>
        <w:t>2、综合人工单价、安全文明施工费（含扬尘污染治理费）执行陕建</w:t>
      </w:r>
      <w:r>
        <w:rPr>
          <w:rFonts w:hint="eastAsia" w:ascii="宋体" w:hAnsi="宋体" w:cs="宋体"/>
          <w:sz w:val="24"/>
          <w:szCs w:val="24"/>
          <w:lang w:val="en-US" w:eastAsia="zh-CN"/>
        </w:rPr>
        <w:t>管</w:t>
      </w:r>
      <w:r>
        <w:rPr>
          <w:rFonts w:hint="eastAsia" w:ascii="宋体" w:hAnsi="宋体" w:cs="宋体"/>
          <w:sz w:val="24"/>
          <w:szCs w:val="24"/>
        </w:rPr>
        <w:t>发【20</w:t>
      </w:r>
      <w:r>
        <w:rPr>
          <w:rFonts w:hint="eastAsia" w:ascii="宋体" w:hAnsi="宋体" w:cs="宋体"/>
          <w:sz w:val="24"/>
          <w:szCs w:val="24"/>
          <w:lang w:val="en-US" w:eastAsia="zh-CN"/>
        </w:rPr>
        <w:t>25</w:t>
      </w:r>
      <w:r>
        <w:rPr>
          <w:rFonts w:hint="eastAsia" w:ascii="宋体" w:hAnsi="宋体" w:cs="宋体"/>
          <w:sz w:val="24"/>
          <w:szCs w:val="24"/>
        </w:rPr>
        <w:t>】</w:t>
      </w:r>
      <w:r>
        <w:rPr>
          <w:rFonts w:hint="eastAsia" w:ascii="宋体" w:hAnsi="宋体" w:cs="宋体"/>
          <w:sz w:val="24"/>
          <w:szCs w:val="24"/>
          <w:lang w:val="en-US" w:eastAsia="zh-CN"/>
        </w:rPr>
        <w:t>10</w:t>
      </w:r>
      <w:r>
        <w:rPr>
          <w:rFonts w:hint="eastAsia" w:ascii="宋体" w:hAnsi="宋体" w:cs="宋体"/>
          <w:sz w:val="24"/>
          <w:szCs w:val="24"/>
        </w:rPr>
        <w:t>号文件；</w:t>
      </w:r>
    </w:p>
    <w:p w14:paraId="09C32B3B">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cs="宋体"/>
          <w:sz w:val="24"/>
          <w:szCs w:val="24"/>
        </w:rPr>
        <w:t>、材料价格执行商洛市信息价20</w:t>
      </w:r>
      <w:r>
        <w:rPr>
          <w:rFonts w:hint="eastAsia" w:ascii="宋体" w:hAnsi="宋体" w:cs="宋体"/>
          <w:sz w:val="24"/>
          <w:szCs w:val="24"/>
          <w:lang w:val="en-US" w:eastAsia="zh-CN"/>
        </w:rPr>
        <w:t>25</w:t>
      </w:r>
      <w:r>
        <w:rPr>
          <w:rFonts w:hint="eastAsia" w:ascii="宋体" w:hAnsi="宋体" w:cs="宋体"/>
          <w:sz w:val="24"/>
          <w:szCs w:val="24"/>
        </w:rPr>
        <w:t>年第</w:t>
      </w:r>
      <w:r>
        <w:rPr>
          <w:rFonts w:hint="eastAsia" w:ascii="宋体" w:hAnsi="宋体" w:cs="宋体"/>
          <w:sz w:val="24"/>
          <w:szCs w:val="24"/>
          <w:lang w:val="en-US" w:eastAsia="zh-CN"/>
        </w:rPr>
        <w:t>2</w:t>
      </w:r>
      <w:r>
        <w:rPr>
          <w:rFonts w:hint="eastAsia" w:ascii="宋体" w:hAnsi="宋体" w:cs="宋体"/>
          <w:sz w:val="24"/>
          <w:szCs w:val="24"/>
        </w:rPr>
        <w:t>期及当地市场价</w:t>
      </w:r>
      <w:r>
        <w:rPr>
          <w:rFonts w:hint="eastAsia" w:ascii="宋体" w:hAnsi="宋体" w:cs="宋体"/>
          <w:sz w:val="24"/>
          <w:szCs w:val="24"/>
          <w:lang w:val="en-US" w:eastAsia="zh-CN"/>
        </w:rPr>
        <w:t>；</w:t>
      </w:r>
    </w:p>
    <w:p w14:paraId="0505F6DE">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eastAsia="宋体" w:cs="宋体"/>
          <w:sz w:val="24"/>
          <w:szCs w:val="24"/>
          <w:lang w:val="en-US" w:eastAsia="zh-CN"/>
        </w:rPr>
        <w:t>本限价编制采用广联达计价软件</w:t>
      </w:r>
      <w:r>
        <w:rPr>
          <w:rFonts w:hint="eastAsia" w:ascii="宋体" w:hAnsi="宋体" w:cs="宋体"/>
          <w:sz w:val="24"/>
          <w:szCs w:val="24"/>
        </w:rPr>
        <w:t>GCCP</w:t>
      </w:r>
      <w:r>
        <w:rPr>
          <w:rFonts w:hint="eastAsia" w:ascii="宋体" w:hAnsi="宋体" w:cs="宋体"/>
          <w:sz w:val="24"/>
          <w:szCs w:val="24"/>
          <w:lang w:val="en-US" w:eastAsia="zh-CN"/>
        </w:rPr>
        <w:t xml:space="preserve"> 7.5000.23.1</w:t>
      </w:r>
      <w:r>
        <w:rPr>
          <w:rFonts w:hint="eastAsia" w:ascii="宋体" w:hAnsi="宋体" w:cs="宋体"/>
          <w:sz w:val="24"/>
          <w:szCs w:val="24"/>
          <w:lang w:eastAsia="zh-CN"/>
        </w:rPr>
        <w:t>。</w:t>
      </w:r>
    </w:p>
    <w:p w14:paraId="49513FB6">
      <w:pPr>
        <w:spacing w:line="360" w:lineRule="auto"/>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三、其他说明</w:t>
      </w:r>
    </w:p>
    <w:p w14:paraId="0A042457">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1、种植土主材价暂定48.55元/m3（除税价），施工过程由建设单位认质认价；</w:t>
      </w:r>
    </w:p>
    <w:p w14:paraId="53332BC5">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2、迎客松胸径30cm 高3m，暂定主材价13050元/株（除税价），施工过程由建设单位认质认价；</w:t>
      </w:r>
    </w:p>
    <w:p w14:paraId="1F84727C">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3、古桩女贞造型，胸径30cm 高3m，暂定主材价6960元/株（除税价），施工过程由建设单位认质认价；</w:t>
      </w:r>
    </w:p>
    <w:p w14:paraId="26BA7638">
      <w:pPr>
        <w:spacing w:line="360" w:lineRule="auto"/>
        <w:ind w:firstLine="480" w:firstLineChars="200"/>
        <w:jc w:val="left"/>
        <w:rPr>
          <w:rFonts w:hint="eastAsia" w:ascii="宋体" w:eastAsia="宋体" w:cs="宋体"/>
          <w:color w:val="auto"/>
          <w:kern w:val="0"/>
          <w:szCs w:val="32"/>
          <w:highlight w:val="none"/>
        </w:rPr>
      </w:pPr>
      <w:r>
        <w:rPr>
          <w:rFonts w:hint="eastAsia" w:ascii="宋体" w:hAnsi="宋体" w:cs="宋体"/>
          <w:sz w:val="24"/>
          <w:szCs w:val="24"/>
          <w:highlight w:val="none"/>
          <w:lang w:val="en-US" w:eastAsia="zh-CN"/>
        </w:rPr>
        <w:t>4、景观石（长2.2m，高1.4m，厚度1.0m）暂定主材价1740元/个（除税价），施工过程由建设单位认质认价。</w:t>
      </w:r>
      <w:r>
        <w:rPr>
          <w:rFonts w:hint="eastAsia" w:ascii="宋体" w:eastAsia="宋体" w:cs="宋体"/>
          <w:color w:val="auto"/>
          <w:kern w:val="0"/>
          <w:szCs w:val="32"/>
          <w:highlight w:val="none"/>
        </w:rPr>
        <w:br w:type="page"/>
      </w:r>
    </w:p>
    <w:p w14:paraId="0E6408AA">
      <w:pPr>
        <w:rPr>
          <w:rFonts w:hint="eastAsia" w:ascii="宋体" w:eastAsia="宋体" w:cs="宋体"/>
          <w:color w:val="auto"/>
          <w:kern w:val="0"/>
          <w:szCs w:val="32"/>
          <w:highlight w:val="none"/>
        </w:rPr>
      </w:pPr>
      <w:r>
        <w:rPr>
          <w:rFonts w:hint="eastAsia" w:ascii="宋体" w:eastAsia="宋体" w:cs="宋体"/>
          <w:color w:val="auto"/>
          <w:kern w:val="0"/>
          <w:szCs w:val="32"/>
          <w:highlight w:val="none"/>
        </w:rPr>
        <w:drawing>
          <wp:inline distT="0" distB="0" distL="114300" distR="114300">
            <wp:extent cx="5760085" cy="8152130"/>
            <wp:effectExtent l="0" t="0" r="12065" b="1270"/>
            <wp:docPr id="16" name="图片 16" descr="柞水县金米村绿化提升工程.PDF 清单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柞水县金米村绿化提升工程.PDF 清单_page-0002"/>
                    <pic:cNvPicPr>
                      <a:picLocks noChangeAspect="1"/>
                    </pic:cNvPicPr>
                  </pic:nvPicPr>
                  <pic:blipFill>
                    <a:blip r:embed="rId15"/>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5" name="图片 15" descr="柞水县金米村绿化提升工程.PDF 清单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柞水县金米村绿化提升工程.PDF 清单_page-0003"/>
                    <pic:cNvPicPr>
                      <a:picLocks noChangeAspect="1"/>
                    </pic:cNvPicPr>
                  </pic:nvPicPr>
                  <pic:blipFill>
                    <a:blip r:embed="rId16"/>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4" name="图片 14" descr="柞水县金米村绿化提升工程.PDF 清单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柞水县金米村绿化提升工程.PDF 清单_page-0004"/>
                    <pic:cNvPicPr>
                      <a:picLocks noChangeAspect="1"/>
                    </pic:cNvPicPr>
                  </pic:nvPicPr>
                  <pic:blipFill>
                    <a:blip r:embed="rId17"/>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3" name="图片 13" descr="柞水县金米村绿化提升工程.PDF 清单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柞水县金米村绿化提升工程.PDF 清单_page-0005"/>
                    <pic:cNvPicPr>
                      <a:picLocks noChangeAspect="1"/>
                    </pic:cNvPicPr>
                  </pic:nvPicPr>
                  <pic:blipFill>
                    <a:blip r:embed="rId18"/>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2" name="图片 12" descr="柞水县金米村绿化提升工程.PDF 清单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柞水县金米村绿化提升工程.PDF 清单_page-0006"/>
                    <pic:cNvPicPr>
                      <a:picLocks noChangeAspect="1"/>
                    </pic:cNvPicPr>
                  </pic:nvPicPr>
                  <pic:blipFill>
                    <a:blip r:embed="rId19"/>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1" name="图片 11" descr="柞水县金米村绿化提升工程.PDF 清单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柞水县金米村绿化提升工程.PDF 清单_page-0007"/>
                    <pic:cNvPicPr>
                      <a:picLocks noChangeAspect="1"/>
                    </pic:cNvPicPr>
                  </pic:nvPicPr>
                  <pic:blipFill>
                    <a:blip r:embed="rId20"/>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9" name="图片 9" descr="柞水县金米村绿化提升工程.PDF 清单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柞水县金米村绿化提升工程.PDF 清单_page-0008"/>
                    <pic:cNvPicPr>
                      <a:picLocks noChangeAspect="1"/>
                    </pic:cNvPicPr>
                  </pic:nvPicPr>
                  <pic:blipFill>
                    <a:blip r:embed="rId21"/>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4" name="图片 4" descr="柞水县金米村绿化提升工程.PDF 清单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柞水县金米村绿化提升工程.PDF 清单_page-0009"/>
                    <pic:cNvPicPr>
                      <a:picLocks noChangeAspect="1"/>
                    </pic:cNvPicPr>
                  </pic:nvPicPr>
                  <pic:blipFill>
                    <a:blip r:embed="rId22"/>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60085" cy="8152130"/>
            <wp:effectExtent l="0" t="0" r="12065" b="1270"/>
            <wp:docPr id="1" name="图片 1" descr="柞水县金米村绿化提升工程.PDF 清单_p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柞水县金米村绿化提升工程.PDF 清单_page-0010"/>
                    <pic:cNvPicPr>
                      <a:picLocks noChangeAspect="1"/>
                    </pic:cNvPicPr>
                  </pic:nvPicPr>
                  <pic:blipFill>
                    <a:blip r:embed="rId23"/>
                    <a:stretch>
                      <a:fillRect/>
                    </a:stretch>
                  </pic:blipFill>
                  <pic:spPr>
                    <a:xfrm>
                      <a:off x="0" y="0"/>
                      <a:ext cx="5760085" cy="8152130"/>
                    </a:xfrm>
                    <a:prstGeom prst="rect">
                      <a:avLst/>
                    </a:prstGeom>
                  </pic:spPr>
                </pic:pic>
              </a:graphicData>
            </a:graphic>
          </wp:inline>
        </w:drawing>
      </w:r>
      <w:r>
        <w:rPr>
          <w:rFonts w:hint="eastAsia" w:ascii="宋体" w:eastAsia="宋体" w:cs="宋体"/>
          <w:color w:val="auto"/>
          <w:kern w:val="0"/>
          <w:szCs w:val="32"/>
          <w:highlight w:val="none"/>
        </w:rPr>
        <w:br w:type="page"/>
      </w:r>
    </w:p>
    <w:p w14:paraId="1F29375C">
      <w:pPr>
        <w:pStyle w:val="2"/>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25"/>
      <w:bookmarkEnd w:id="626"/>
      <w:bookmarkEnd w:id="627"/>
      <w:bookmarkEnd w:id="628"/>
      <w:bookmarkEnd w:id="629"/>
    </w:p>
    <w:p w14:paraId="5B3D7EB9">
      <w:pPr>
        <w:rPr>
          <w:rFonts w:hAnsi="宋体" w:cs="宋体"/>
          <w:color w:val="auto"/>
          <w:highlight w:val="none"/>
        </w:rPr>
      </w:pPr>
    </w:p>
    <w:p w14:paraId="10828CEE">
      <w:pPr>
        <w:rPr>
          <w:rFonts w:hAnsi="宋体" w:cs="宋体"/>
          <w:color w:val="auto"/>
          <w:highlight w:val="none"/>
        </w:rPr>
      </w:pPr>
    </w:p>
    <w:p w14:paraId="094E9B58">
      <w:pPr>
        <w:framePr w:w="5311" w:hSpace="180" w:wrap="around" w:vAnchor="text" w:hAnchor="page" w:x="1473" w:y="19"/>
        <w:spacing w:line="360" w:lineRule="auto"/>
        <w:ind w:left="1606" w:hanging="1606" w:hangingChars="500"/>
        <w:rPr>
          <w:rFonts w:hint="eastAsia" w:ascii="宋体" w:hAnsi="宋体" w:eastAsia="宋体" w:cs="宋体"/>
          <w:b/>
          <w:bCs/>
          <w:sz w:val="28"/>
          <w:szCs w:val="28"/>
          <w:lang w:eastAsia="zh-CN"/>
        </w:rPr>
      </w:pPr>
      <w:r>
        <w:rPr>
          <w:rFonts w:hint="eastAsia" w:hAnsi="宋体" w:cs="宋体"/>
          <w:b/>
          <w:bCs/>
          <w:color w:val="auto"/>
          <w:sz w:val="32"/>
          <w:szCs w:val="32"/>
          <w:highlight w:val="none"/>
        </w:rPr>
        <w:t>项目编号：</w:t>
      </w:r>
      <w:r>
        <w:rPr>
          <w:rFonts w:hint="eastAsia" w:hAnsi="宋体" w:cs="宋体"/>
          <w:b/>
          <w:bCs/>
          <w:sz w:val="28"/>
          <w:szCs w:val="28"/>
          <w:lang w:eastAsia="zh-CN"/>
        </w:rPr>
        <w:t>YZZB-20250134</w:t>
      </w:r>
    </w:p>
    <w:p w14:paraId="0B311EA6">
      <w:pPr>
        <w:framePr w:w="5311" w:hSpace="180" w:wrap="around" w:vAnchor="text" w:hAnchor="page" w:x="1473" w:y="19"/>
        <w:rPr>
          <w:rFonts w:hint="eastAsia" w:hAnsi="宋体" w:eastAsia="宋体" w:cs="宋体"/>
          <w:b/>
          <w:bCs/>
          <w:color w:val="auto"/>
          <w:sz w:val="32"/>
          <w:szCs w:val="32"/>
          <w:highlight w:val="none"/>
          <w:lang w:eastAsia="zh-CN"/>
        </w:rPr>
      </w:pP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0897AED6">
      <w:pPr>
        <w:jc w:val="center"/>
        <w:rPr>
          <w:rFonts w:hint="eastAsia" w:hAnsi="宋体" w:cs="宋体"/>
          <w:b/>
          <w:color w:val="auto"/>
          <w:sz w:val="60"/>
          <w:szCs w:val="60"/>
          <w:highlight w:val="none"/>
          <w:lang w:eastAsia="zh-CN"/>
        </w:rPr>
      </w:pPr>
      <w:r>
        <w:rPr>
          <w:rFonts w:hint="eastAsia" w:hAnsi="宋体" w:cs="宋体"/>
          <w:b/>
          <w:color w:val="auto"/>
          <w:sz w:val="60"/>
          <w:szCs w:val="60"/>
          <w:highlight w:val="none"/>
          <w:lang w:eastAsia="zh-CN"/>
        </w:rPr>
        <w:t>柞水县金米村绿化提升工程</w:t>
      </w:r>
    </w:p>
    <w:p w14:paraId="56E474D8">
      <w:pPr>
        <w:pStyle w:val="9"/>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49B41171">
      <w:pPr>
        <w:tabs>
          <w:tab w:val="center" w:pos="5346"/>
        </w:tabs>
        <w:spacing w:line="480" w:lineRule="auto"/>
        <w:jc w:val="center"/>
        <w:rPr>
          <w:rFonts w:hint="eastAsia" w:hAnsi="宋体" w:cs="宋体"/>
          <w:b/>
          <w:color w:val="auto"/>
          <w:sz w:val="32"/>
          <w:szCs w:val="32"/>
          <w:highlight w:val="none"/>
        </w:rPr>
      </w:pPr>
      <w:r>
        <w:rPr>
          <w:rFonts w:hint="eastAsia" w:hAnsi="宋体" w:cs="宋体"/>
          <w:b/>
          <w:color w:val="auto"/>
          <w:sz w:val="32"/>
          <w:szCs w:val="32"/>
          <w:highlight w:val="none"/>
        </w:rPr>
        <w:t>供应商名称（公章）</w:t>
      </w:r>
    </w:p>
    <w:p w14:paraId="03BDD08F">
      <w:pPr>
        <w:tabs>
          <w:tab w:val="center" w:pos="5346"/>
        </w:tabs>
        <w:spacing w:line="480" w:lineRule="auto"/>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30"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30"/>
    <w:p w14:paraId="0781C66D">
      <w:pPr>
        <w:pStyle w:val="9"/>
        <w:rPr>
          <w:rFonts w:ascii="宋体" w:hAnsi="宋体" w:cs="宋体"/>
          <w:b/>
          <w:color w:val="auto"/>
          <w:sz w:val="32"/>
          <w:szCs w:val="32"/>
          <w:highlight w:val="none"/>
        </w:rPr>
      </w:pPr>
      <w:bookmarkStart w:id="631" w:name="_Toc363474027"/>
      <w:bookmarkStart w:id="632" w:name="_Toc403077648"/>
      <w:bookmarkStart w:id="633"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31"/>
      <w:bookmarkEnd w:id="632"/>
      <w:r>
        <w:rPr>
          <w:rFonts w:hint="eastAsia" w:hAnsi="宋体" w:cs="宋体"/>
          <w:b/>
          <w:color w:val="auto"/>
          <w:sz w:val="32"/>
          <w:szCs w:val="32"/>
          <w:highlight w:val="none"/>
        </w:rPr>
        <w:t>响应函</w:t>
      </w:r>
    </w:p>
    <w:p w14:paraId="0A577596">
      <w:pPr>
        <w:spacing w:line="360" w:lineRule="auto"/>
        <w:jc w:val="left"/>
        <w:rPr>
          <w:rFonts w:hint="eastAsia" w:hAnsi="宋体" w:eastAsia="宋体" w:cs="宋体"/>
          <w:color w:val="auto"/>
          <w:spacing w:val="4"/>
          <w:szCs w:val="24"/>
          <w:highlight w:val="none"/>
          <w:lang w:eastAsia="zh-CN"/>
        </w:rPr>
      </w:pPr>
      <w:r>
        <w:rPr>
          <w:rFonts w:hint="eastAsia" w:hAnsi="宋体" w:cs="宋体"/>
          <w:color w:val="auto"/>
          <w:spacing w:val="4"/>
          <w:szCs w:val="24"/>
          <w:highlight w:val="none"/>
        </w:rPr>
        <w:t>致：</w:t>
      </w:r>
      <w:r>
        <w:rPr>
          <w:rFonts w:hint="eastAsia" w:hAnsi="宋体" w:cs="宋体"/>
          <w:color w:val="auto"/>
          <w:spacing w:val="4"/>
          <w:szCs w:val="24"/>
          <w:highlight w:val="none"/>
          <w:u w:val="single"/>
          <w:lang w:eastAsia="zh-CN"/>
        </w:rPr>
        <w:t>陕西银正项目管理有限公司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5"/>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5"/>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w:t>
      </w:r>
      <w:r>
        <w:rPr>
          <w:rFonts w:hint="eastAsia" w:hAnsi="宋体" w:cs="宋体"/>
          <w:color w:val="auto"/>
          <w:spacing w:val="4"/>
          <w:szCs w:val="24"/>
          <w:highlight w:val="none"/>
          <w:lang w:eastAsia="zh-CN"/>
        </w:rPr>
        <w:t>陕西银正项目管理有限公司</w:t>
      </w:r>
      <w:r>
        <w:rPr>
          <w:rFonts w:hint="eastAsia" w:hAnsi="宋体" w:cs="宋体"/>
          <w:color w:val="auto"/>
          <w:spacing w:val="4"/>
          <w:szCs w:val="24"/>
          <w:highlight w:val="none"/>
        </w:rPr>
        <w:t>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34" w:name="_Toc403077651"/>
      <w:bookmarkStart w:id="635" w:name="_Toc363474030"/>
      <w:r>
        <w:rPr>
          <w:rFonts w:hint="eastAsia" w:ascii="宋体" w:hAnsi="宋体" w:cs="宋体"/>
          <w:color w:val="auto"/>
          <w:sz w:val="32"/>
          <w:szCs w:val="32"/>
          <w:highlight w:val="none"/>
        </w:rPr>
        <w:t>二、磋商报价表</w:t>
      </w:r>
      <w:bookmarkEnd w:id="634"/>
      <w:bookmarkEnd w:id="635"/>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CC6210B">
      <w:pPr>
        <w:jc w:val="left"/>
        <w:rPr>
          <w:color w:val="auto"/>
          <w:highlight w:val="none"/>
        </w:rPr>
      </w:pPr>
      <w:r>
        <w:rPr>
          <w:rFonts w:hint="eastAsia" w:hAnsi="宋体" w:cs="宋体"/>
          <w:color w:val="auto"/>
          <w:highlight w:val="none"/>
        </w:rPr>
        <w:t xml:space="preserve">项目编号：                                               </w:t>
      </w: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23B6B908">
      <w:pPr>
        <w:spacing w:line="280" w:lineRule="exact"/>
        <w:ind w:right="617" w:rightChars="257"/>
        <w:jc w:val="left"/>
        <w:rPr>
          <w:rFonts w:hint="eastAsia" w:hAnsi="宋体" w:cs="宋体"/>
          <w:color w:val="auto"/>
          <w:szCs w:val="24"/>
          <w:highlight w:val="none"/>
        </w:rPr>
      </w:pPr>
    </w:p>
    <w:p w14:paraId="519BA21F">
      <w:pPr>
        <w:spacing w:line="280" w:lineRule="exact"/>
        <w:ind w:right="617" w:rightChars="257"/>
        <w:jc w:val="left"/>
        <w:rPr>
          <w:rFonts w:hint="eastAsia" w:hAnsi="宋体" w:cs="宋体"/>
          <w:color w:val="auto"/>
          <w:szCs w:val="24"/>
          <w:highlight w:val="none"/>
        </w:rPr>
      </w:pPr>
    </w:p>
    <w:p w14:paraId="7B789C07">
      <w:pPr>
        <w:spacing w:line="280" w:lineRule="exact"/>
        <w:ind w:right="617" w:rightChars="257"/>
        <w:jc w:val="left"/>
        <w:rPr>
          <w:rFonts w:hint="eastAsia" w:hAnsi="宋体" w:cs="宋体"/>
          <w:color w:val="auto"/>
          <w:szCs w:val="24"/>
          <w:highlight w:val="none"/>
        </w:rPr>
      </w:pPr>
    </w:p>
    <w:p w14:paraId="0728D566">
      <w:pPr>
        <w:spacing w:line="280" w:lineRule="exact"/>
        <w:ind w:right="617" w:rightChars="257"/>
        <w:jc w:val="left"/>
        <w:rPr>
          <w:rFonts w:hint="eastAsia" w:hAnsi="宋体" w:cs="宋体"/>
          <w:color w:val="auto"/>
          <w:szCs w:val="24"/>
          <w:highlight w:val="none"/>
        </w:rPr>
      </w:pPr>
    </w:p>
    <w:p w14:paraId="17775423">
      <w:pPr>
        <w:spacing w:line="280" w:lineRule="exact"/>
        <w:ind w:right="617" w:rightChars="257"/>
        <w:jc w:val="left"/>
        <w:rPr>
          <w:rFonts w:hint="eastAsia"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33"/>
      <w:bookmarkStart w:id="636"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按照磋商文件第三章评审办法的要求编制的磋商方案说明书：</w:t>
      </w:r>
    </w:p>
    <w:p w14:paraId="38F06E31">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37" w:name="_Toc21284"/>
      <w:bookmarkStart w:id="638" w:name="_Toc23455"/>
      <w:bookmarkStart w:id="639" w:name="_Toc2621"/>
      <w:bookmarkStart w:id="640" w:name="_Toc1379"/>
      <w:bookmarkStart w:id="641" w:name="_Toc9218"/>
      <w:r>
        <w:rPr>
          <w:rFonts w:hint="eastAsia" w:hAnsi="宋体" w:cs="宋体"/>
          <w:b/>
          <w:bCs/>
          <w:color w:val="auto"/>
          <w:sz w:val="32"/>
          <w:szCs w:val="32"/>
          <w:highlight w:val="none"/>
        </w:rPr>
        <w:t>四、</w:t>
      </w:r>
      <w:bookmarkEnd w:id="637"/>
      <w:bookmarkEnd w:id="638"/>
      <w:bookmarkEnd w:id="639"/>
      <w:bookmarkEnd w:id="640"/>
      <w:bookmarkEnd w:id="641"/>
      <w:r>
        <w:rPr>
          <w:rFonts w:hint="eastAsia" w:hAnsi="宋体" w:cs="宋体"/>
          <w:b/>
          <w:bCs/>
          <w:color w:val="auto"/>
          <w:sz w:val="32"/>
          <w:szCs w:val="32"/>
          <w:highlight w:val="none"/>
        </w:rPr>
        <w:t>商务条款偏离表</w:t>
      </w:r>
    </w:p>
    <w:p w14:paraId="5EAD6D24">
      <w:pPr>
        <w:pStyle w:val="21"/>
        <w:widowControl w:val="0"/>
        <w:spacing w:before="0" w:beforeAutospacing="0" w:after="0" w:afterAutospacing="0"/>
        <w:jc w:val="both"/>
        <w:rPr>
          <w:rFonts w:cs="宋体"/>
          <w:color w:val="auto"/>
          <w:highlight w:val="none"/>
        </w:rPr>
      </w:pPr>
    </w:p>
    <w:p w14:paraId="13B66C49">
      <w:pPr>
        <w:pStyle w:val="21"/>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1"/>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1"/>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1"/>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1"/>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1"/>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1"/>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1"/>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1"/>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1"/>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1"/>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1"/>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1"/>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1"/>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1"/>
              <w:widowControl w:val="0"/>
              <w:spacing w:before="0" w:beforeAutospacing="0" w:after="0" w:afterAutospacing="0"/>
              <w:ind w:firstLine="480" w:firstLineChars="200"/>
              <w:jc w:val="center"/>
              <w:rPr>
                <w:rFonts w:cs="宋体"/>
                <w:color w:val="auto"/>
                <w:highlight w:val="none"/>
              </w:rPr>
            </w:pPr>
          </w:p>
        </w:tc>
      </w:tr>
    </w:tbl>
    <w:p w14:paraId="1619C529">
      <w:pPr>
        <w:pStyle w:val="21"/>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lang w:val="en-US" w:eastAsia="zh-CN"/>
        </w:rPr>
        <w:t>3</w:t>
      </w:r>
      <w:r>
        <w:rPr>
          <w:rFonts w:hint="eastAsia" w:cs="宋体"/>
          <w:color w:val="auto"/>
          <w:highlight w:val="none"/>
        </w:rPr>
        <w:t>.供应商必须据实填写，不得虚假响应，否则将取消其磋商或成交资格，并按有关规定进处罚。</w:t>
      </w:r>
    </w:p>
    <w:p w14:paraId="522B829D">
      <w:pPr>
        <w:pStyle w:val="21"/>
        <w:widowControl w:val="0"/>
        <w:spacing w:before="0" w:beforeAutospacing="0" w:after="0" w:afterAutospacing="0"/>
        <w:ind w:firstLine="480" w:firstLineChars="200"/>
        <w:jc w:val="center"/>
        <w:rPr>
          <w:rFonts w:cs="宋体"/>
          <w:color w:val="auto"/>
          <w:highlight w:val="none"/>
        </w:rPr>
      </w:pPr>
    </w:p>
    <w:p w14:paraId="2687CFFE">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1"/>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36"/>
    <w:p w14:paraId="5AB88864">
      <w:pPr>
        <w:spacing w:line="360" w:lineRule="auto"/>
        <w:jc w:val="center"/>
        <w:outlineLvl w:val="2"/>
        <w:rPr>
          <w:rFonts w:hAnsi="宋体" w:cs="宋体"/>
          <w:b/>
          <w:bCs/>
          <w:color w:val="auto"/>
          <w:sz w:val="30"/>
          <w:szCs w:val="30"/>
          <w:highlight w:val="none"/>
        </w:rPr>
      </w:pPr>
      <w:bookmarkStart w:id="642" w:name="_Toc403077656"/>
      <w:bookmarkStart w:id="643" w:name="_Toc363474033"/>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42"/>
      <w:bookmarkEnd w:id="643"/>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44" w:name="_Toc403077657"/>
      <w:bookmarkStart w:id="645" w:name="_Toc363474034"/>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44"/>
      <w:bookmarkEnd w:id="645"/>
    </w:p>
    <w:p w14:paraId="3A74C4B5">
      <w:pPr>
        <w:keepNext w:val="0"/>
        <w:keepLines w:val="0"/>
        <w:pageBreakBefore w:val="0"/>
        <w:widowControl w:val="0"/>
        <w:kinsoku/>
        <w:wordWrap/>
        <w:overflowPunct/>
        <w:topLinePunct w:val="0"/>
        <w:autoSpaceDE w:val="0"/>
        <w:autoSpaceDN w:val="0"/>
        <w:bidi w:val="0"/>
        <w:adjustRightInd w:val="0"/>
        <w:snapToGrid w:val="0"/>
        <w:spacing w:before="156" w:beforeLines="50" w:line="520" w:lineRule="exact"/>
        <w:jc w:val="left"/>
        <w:textAlignment w:val="auto"/>
        <w:rPr>
          <w:rFonts w:hint="eastAsia" w:hAnsi="宋体" w:cs="宋体"/>
          <w:color w:val="auto"/>
          <w:highlight w:val="none"/>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7、供应商应通过“信用中国”网站(www.creditchina.gov.cn)、中国政府采购网(www.ccgp.gov.cn)查询相关主体信用记录；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9、供应商提供中小企业声明函；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10、本项目不接受联合体磋商。</w:t>
      </w:r>
    </w:p>
    <w:p w14:paraId="53A1AE9F">
      <w:pPr>
        <w:autoSpaceDE w:val="0"/>
        <w:autoSpaceDN w:val="0"/>
        <w:adjustRightInd w:val="0"/>
        <w:snapToGrid w:val="0"/>
        <w:spacing w:before="156" w:beforeLines="50" w:line="360" w:lineRule="auto"/>
        <w:jc w:val="left"/>
        <w:rPr>
          <w:rFonts w:hint="eastAsia" w:hAnsi="宋体" w:cs="宋体"/>
          <w:b/>
          <w:bCs/>
          <w:color w:val="auto"/>
          <w:highlight w:val="none"/>
        </w:rPr>
      </w:pPr>
      <w:r>
        <w:rPr>
          <w:rFonts w:hint="eastAsia" w:hAnsi="宋体" w:cs="宋体"/>
          <w:b/>
          <w:bCs/>
          <w:color w:val="auto"/>
          <w:highlight w:val="none"/>
        </w:rPr>
        <w:t>后附相关格式：</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46" w:name="_Toc403077649"/>
      <w:bookmarkStart w:id="647" w:name="_Toc363474028"/>
      <w:r>
        <w:rPr>
          <w:rFonts w:hint="eastAsia" w:hAnsi="宋体" w:cs="宋体"/>
          <w:b/>
          <w:bCs/>
          <w:color w:val="auto"/>
          <w:sz w:val="32"/>
          <w:szCs w:val="32"/>
          <w:highlight w:val="none"/>
        </w:rPr>
        <w:t>法定代表人身份证明/法定代表人授权书</w:t>
      </w:r>
      <w:bookmarkEnd w:id="646"/>
      <w:bookmarkEnd w:id="647"/>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lang w:eastAsia="zh-CN"/>
        </w:rPr>
        <w:t>陕西银正项目管理有限公司</w:t>
      </w:r>
      <w:r>
        <w:rPr>
          <w:rFonts w:hint="eastAsia" w:hAnsi="宋体" w:cs="宋体"/>
          <w:color w:val="auto"/>
          <w:spacing w:val="4"/>
          <w:szCs w:val="24"/>
          <w:highlight w:val="none"/>
          <w:u w:val="single"/>
        </w:rPr>
        <w:t xml:space="preserve">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代表我公司全权办理针对本次</w:t>
      </w:r>
      <w:r>
        <w:rPr>
          <w:rFonts w:hint="eastAsia" w:hAnsi="宋体" w:cs="宋体"/>
          <w:color w:val="auto"/>
          <w:spacing w:val="4"/>
          <w:szCs w:val="24"/>
          <w:highlight w:val="none"/>
          <w:u w:val="single"/>
          <w:lang w:val="en-US" w:eastAsia="zh-CN"/>
        </w:rPr>
        <w:t xml:space="preserve">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1"/>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1"/>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 xml:space="preserve">如有不实，我方将无条件地退出本项目的采购活动，并遵照《政府采购法》有关“提供虚假材料的规定”接受处罚。 </w:t>
      </w:r>
    </w:p>
    <w:p w14:paraId="09A79C77">
      <w:pPr>
        <w:pStyle w:val="21"/>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1"/>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57E5601D">
      <w:pPr>
        <w:adjustRightInd w:val="0"/>
        <w:snapToGrid w:val="0"/>
        <w:spacing w:line="360" w:lineRule="auto"/>
        <w:jc w:val="center"/>
        <w:rPr>
          <w:rFonts w:hint="eastAsia"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2"/>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2"/>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2"/>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2"/>
        <w:adjustRightInd w:val="0"/>
        <w:snapToGrid w:val="0"/>
        <w:spacing w:line="720" w:lineRule="exact"/>
        <w:rPr>
          <w:rFonts w:hAnsi="宋体" w:cs="宋体"/>
          <w:color w:val="auto"/>
          <w:spacing w:val="4"/>
          <w:sz w:val="24"/>
          <w:szCs w:val="24"/>
          <w:highlight w:val="none"/>
        </w:rPr>
      </w:pPr>
    </w:p>
    <w:p w14:paraId="4EFF3582">
      <w:pPr>
        <w:pStyle w:val="12"/>
        <w:adjustRightInd w:val="0"/>
        <w:snapToGrid w:val="0"/>
        <w:spacing w:line="720" w:lineRule="exact"/>
        <w:rPr>
          <w:rFonts w:hAnsi="宋体" w:cs="宋体"/>
          <w:color w:val="auto"/>
          <w:spacing w:val="4"/>
          <w:sz w:val="24"/>
          <w:szCs w:val="24"/>
          <w:highlight w:val="none"/>
        </w:rPr>
      </w:pPr>
    </w:p>
    <w:p w14:paraId="1E2D7BB0">
      <w:pPr>
        <w:pStyle w:val="12"/>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7837F38F">
      <w:pPr>
        <w:spacing w:before="312" w:beforeLines="100" w:after="312" w:afterLines="100"/>
        <w:jc w:val="center"/>
        <w:rPr>
          <w:rFonts w:hint="eastAsia"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6A6774E0">
      <w:pPr>
        <w:spacing w:before="156" w:beforeLines="50" w:after="156" w:afterLines="50" w:line="360" w:lineRule="auto"/>
        <w:jc w:val="center"/>
        <w:rPr>
          <w:rFonts w:hAnsi="宋体" w:cs="宋体"/>
          <w:color w:val="auto"/>
          <w:szCs w:val="24"/>
          <w:highlight w:val="none"/>
        </w:rPr>
      </w:pPr>
      <w:bookmarkStart w:id="648" w:name="_Toc13836"/>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8"/>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9" w:name="OLE_LINK14"/>
      <w:bookmarkStart w:id="650" w:name="OLE_LINK13"/>
      <w:r>
        <w:rPr>
          <w:rFonts w:hint="eastAsia" w:hAnsi="宋体" w:cs="宋体"/>
          <w:b/>
          <w:color w:val="auto"/>
          <w:spacing w:val="6"/>
          <w:sz w:val="32"/>
          <w:szCs w:val="32"/>
          <w:highlight w:val="none"/>
        </w:rPr>
        <w:t>残疾人福利性单位声明函</w:t>
      </w:r>
    </w:p>
    <w:bookmarkEnd w:id="649"/>
    <w:bookmarkEnd w:id="650"/>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6"/>
    </w:pPr>
    <w:r>
      <w:rPr>
        <w:rFonts w:hint="eastAsia"/>
        <w:lang w:eastAsia="zh-CN"/>
      </w:rPr>
      <w:t>陕西银正项目管理有限公司</w:t>
    </w:r>
    <w:r>
      <w:rPr>
        <w:rFonts w:hint="eastAsia"/>
      </w:rPr>
      <w:t xml:space="preserve">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陕西银正项目管理有限公司</w:t>
    </w:r>
    <w:r>
      <w:rPr>
        <w:rFonts w:hint="eastAsia"/>
      </w:rPr>
      <w:t xml:space="preserve">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6"/>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6"/>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6"/>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6"/>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柞水县金米村绿化提升工程</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7"/>
      <w:pBdr>
        <w:bottom w:val="none" w:color="auto" w:sz="0" w:space="1"/>
      </w:pBdr>
      <w:jc w:val="both"/>
    </w:pPr>
  </w:p>
  <w:p w14:paraId="3CD0F681">
    <w:pPr>
      <w:pStyle w:val="17"/>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7"/>
      <w:jc w:val="left"/>
      <w:rPr>
        <w:rFonts w:cs="宋体"/>
        <w:bCs/>
        <w:shd w:val="clear" w:color="auto" w:fill="FFFFFF"/>
      </w:rPr>
    </w:pPr>
  </w:p>
  <w:p w14:paraId="70D86DBC">
    <w:pPr>
      <w:pStyle w:val="17"/>
      <w:jc w:val="left"/>
      <w:rPr>
        <w:rFonts w:ascii="宋体" w:hAnsi="宋体" w:cs="宋体"/>
        <w:bCs/>
      </w:rPr>
    </w:pPr>
    <w:r>
      <w:rPr>
        <w:rFonts w:hint="eastAsia" w:ascii="宋体" w:hAnsi="宋体" w:cs="宋体"/>
        <w:bCs/>
        <w:shd w:val="clear" w:color="auto" w:fill="FFFFFF"/>
        <w:lang w:eastAsia="zh-CN"/>
      </w:rPr>
      <w:t>柞水县金米村绿化提升工程</w:t>
    </w:r>
    <w:r>
      <w:rPr>
        <w:rFonts w:hint="eastAsia" w:ascii="宋体" w:hAnsi="宋体" w:cs="宋体"/>
        <w:bCs/>
        <w:shd w:val="clear" w:color="auto" w:fill="FFFFFF"/>
      </w:rPr>
      <w:t xml:space="preserve">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7"/>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345DCC0"/>
    <w:multiLevelType w:val="singleLevel"/>
    <w:tmpl w:val="3345DCC0"/>
    <w:lvl w:ilvl="0" w:tentative="0">
      <w:start w:val="1"/>
      <w:numFmt w:val="decimal"/>
      <w:suff w:val="nothing"/>
      <w:lvlText w:val="%1）"/>
      <w:lvlJc w:val="left"/>
    </w:lvl>
  </w:abstractNum>
  <w:abstractNum w:abstractNumId="2">
    <w:nsid w:val="590049E8"/>
    <w:multiLevelType w:val="singleLevel"/>
    <w:tmpl w:val="590049E8"/>
    <w:lvl w:ilvl="0" w:tentative="0">
      <w:start w:val="30"/>
      <w:numFmt w:val="decimal"/>
      <w:suff w:val="nothing"/>
      <w:lvlText w:val="%1."/>
      <w:lvlJc w:val="left"/>
    </w:lvl>
  </w:abstractNum>
  <w:abstractNum w:abstractNumId="3">
    <w:nsid w:val="59B2460E"/>
    <w:multiLevelType w:val="singleLevel"/>
    <w:tmpl w:val="59B2460E"/>
    <w:lvl w:ilvl="0" w:tentative="0">
      <w:start w:val="2"/>
      <w:numFmt w:val="decimal"/>
      <w:suff w:val="nothing"/>
      <w:lvlText w:val="%1."/>
      <w:lvlJc w:val="left"/>
    </w:lvl>
  </w:abstractNum>
  <w:abstractNum w:abstractNumId="4">
    <w:nsid w:val="59CF0981"/>
    <w:multiLevelType w:val="singleLevel"/>
    <w:tmpl w:val="59CF0981"/>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D743B5"/>
    <w:rsid w:val="00E20FEB"/>
    <w:rsid w:val="00F5367B"/>
    <w:rsid w:val="00F9066B"/>
    <w:rsid w:val="00FB0E6B"/>
    <w:rsid w:val="01555A9A"/>
    <w:rsid w:val="0183453D"/>
    <w:rsid w:val="0193039D"/>
    <w:rsid w:val="0270686F"/>
    <w:rsid w:val="030407EA"/>
    <w:rsid w:val="030A201D"/>
    <w:rsid w:val="03446B8F"/>
    <w:rsid w:val="03C33443"/>
    <w:rsid w:val="03D13C09"/>
    <w:rsid w:val="04441D61"/>
    <w:rsid w:val="044B49A4"/>
    <w:rsid w:val="045301F6"/>
    <w:rsid w:val="04564D84"/>
    <w:rsid w:val="04702B56"/>
    <w:rsid w:val="04F2372E"/>
    <w:rsid w:val="05946029"/>
    <w:rsid w:val="05D75CDB"/>
    <w:rsid w:val="05F17CC7"/>
    <w:rsid w:val="06CA6B1C"/>
    <w:rsid w:val="07906CD7"/>
    <w:rsid w:val="07F774FD"/>
    <w:rsid w:val="08123EB3"/>
    <w:rsid w:val="08A928D1"/>
    <w:rsid w:val="08D21FF8"/>
    <w:rsid w:val="09167A09"/>
    <w:rsid w:val="09930954"/>
    <w:rsid w:val="09DC2A3C"/>
    <w:rsid w:val="0B097EE8"/>
    <w:rsid w:val="0B353646"/>
    <w:rsid w:val="0B7B588D"/>
    <w:rsid w:val="0BBB613F"/>
    <w:rsid w:val="0C080095"/>
    <w:rsid w:val="0C646FEE"/>
    <w:rsid w:val="0C851169"/>
    <w:rsid w:val="0C8A2C23"/>
    <w:rsid w:val="0CC63772"/>
    <w:rsid w:val="0CCD033F"/>
    <w:rsid w:val="0CF14A50"/>
    <w:rsid w:val="0D1B1E9F"/>
    <w:rsid w:val="0EB54E8A"/>
    <w:rsid w:val="0EFF5BF9"/>
    <w:rsid w:val="0F0C5B71"/>
    <w:rsid w:val="0F4F1D25"/>
    <w:rsid w:val="0F997A1F"/>
    <w:rsid w:val="10043C73"/>
    <w:rsid w:val="1095499B"/>
    <w:rsid w:val="111E1B8C"/>
    <w:rsid w:val="11596073"/>
    <w:rsid w:val="11B043F1"/>
    <w:rsid w:val="11D44776"/>
    <w:rsid w:val="127952CC"/>
    <w:rsid w:val="12C617E6"/>
    <w:rsid w:val="13023513"/>
    <w:rsid w:val="130B35CF"/>
    <w:rsid w:val="137F34A0"/>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A66BF4"/>
    <w:rsid w:val="1EED73BF"/>
    <w:rsid w:val="1F1A166D"/>
    <w:rsid w:val="1F3708D8"/>
    <w:rsid w:val="1F374288"/>
    <w:rsid w:val="1F735D22"/>
    <w:rsid w:val="20E04C24"/>
    <w:rsid w:val="21090163"/>
    <w:rsid w:val="21B93AA7"/>
    <w:rsid w:val="221A3813"/>
    <w:rsid w:val="22E17783"/>
    <w:rsid w:val="238910E7"/>
    <w:rsid w:val="24AE6EB4"/>
    <w:rsid w:val="24DD1172"/>
    <w:rsid w:val="24E077C8"/>
    <w:rsid w:val="24F44C86"/>
    <w:rsid w:val="250C0090"/>
    <w:rsid w:val="254F2BF5"/>
    <w:rsid w:val="25D53DF3"/>
    <w:rsid w:val="25E22D30"/>
    <w:rsid w:val="26077449"/>
    <w:rsid w:val="260869F8"/>
    <w:rsid w:val="261A071C"/>
    <w:rsid w:val="26451C3D"/>
    <w:rsid w:val="26597F9E"/>
    <w:rsid w:val="26D7660D"/>
    <w:rsid w:val="27132728"/>
    <w:rsid w:val="272F464A"/>
    <w:rsid w:val="273A2320"/>
    <w:rsid w:val="2764572C"/>
    <w:rsid w:val="277D689B"/>
    <w:rsid w:val="27FA6F59"/>
    <w:rsid w:val="285679E7"/>
    <w:rsid w:val="28936D4C"/>
    <w:rsid w:val="28957F83"/>
    <w:rsid w:val="28EF66C3"/>
    <w:rsid w:val="29A0362E"/>
    <w:rsid w:val="29AA0009"/>
    <w:rsid w:val="29F924F7"/>
    <w:rsid w:val="2A0F2E6D"/>
    <w:rsid w:val="2A8B6E31"/>
    <w:rsid w:val="2B60299C"/>
    <w:rsid w:val="2BA1380F"/>
    <w:rsid w:val="2BB46F1D"/>
    <w:rsid w:val="2C363381"/>
    <w:rsid w:val="2CD75CAB"/>
    <w:rsid w:val="2D122B4E"/>
    <w:rsid w:val="2D194BD8"/>
    <w:rsid w:val="2D9044BD"/>
    <w:rsid w:val="2DD63386"/>
    <w:rsid w:val="2DD926FC"/>
    <w:rsid w:val="2E0028ED"/>
    <w:rsid w:val="2E265AE2"/>
    <w:rsid w:val="2E746297"/>
    <w:rsid w:val="2EBB3F8C"/>
    <w:rsid w:val="2EED1018"/>
    <w:rsid w:val="2F191CCF"/>
    <w:rsid w:val="2F2533C6"/>
    <w:rsid w:val="2F6D7B0F"/>
    <w:rsid w:val="30202DD3"/>
    <w:rsid w:val="305024AA"/>
    <w:rsid w:val="306A6183"/>
    <w:rsid w:val="30B96A80"/>
    <w:rsid w:val="31A27A28"/>
    <w:rsid w:val="31C66EC5"/>
    <w:rsid w:val="32271056"/>
    <w:rsid w:val="322E1761"/>
    <w:rsid w:val="32F55B7E"/>
    <w:rsid w:val="330469DC"/>
    <w:rsid w:val="33881EEB"/>
    <w:rsid w:val="33FA289F"/>
    <w:rsid w:val="34681F9A"/>
    <w:rsid w:val="35D00DF7"/>
    <w:rsid w:val="36C9283B"/>
    <w:rsid w:val="372704C2"/>
    <w:rsid w:val="379320DC"/>
    <w:rsid w:val="37C06C6F"/>
    <w:rsid w:val="3825367C"/>
    <w:rsid w:val="3840494C"/>
    <w:rsid w:val="384369FD"/>
    <w:rsid w:val="38972D7F"/>
    <w:rsid w:val="38C20ECB"/>
    <w:rsid w:val="39853A08"/>
    <w:rsid w:val="39DB5E8B"/>
    <w:rsid w:val="39FC21BB"/>
    <w:rsid w:val="3A2B3BD2"/>
    <w:rsid w:val="3A570783"/>
    <w:rsid w:val="3AB17101"/>
    <w:rsid w:val="3B1D3741"/>
    <w:rsid w:val="3B2319C9"/>
    <w:rsid w:val="3B9105EA"/>
    <w:rsid w:val="3B9B324E"/>
    <w:rsid w:val="3BFA15F2"/>
    <w:rsid w:val="3C4D31A2"/>
    <w:rsid w:val="3C756255"/>
    <w:rsid w:val="3CB46D7D"/>
    <w:rsid w:val="3CF03B2D"/>
    <w:rsid w:val="3D1617E6"/>
    <w:rsid w:val="3E98235C"/>
    <w:rsid w:val="3EE13F16"/>
    <w:rsid w:val="3EF679E5"/>
    <w:rsid w:val="3F76250C"/>
    <w:rsid w:val="3FBE7F13"/>
    <w:rsid w:val="3FD324F1"/>
    <w:rsid w:val="400D7F7B"/>
    <w:rsid w:val="40B91AE2"/>
    <w:rsid w:val="40CF23D7"/>
    <w:rsid w:val="40D047EA"/>
    <w:rsid w:val="40F72913"/>
    <w:rsid w:val="415B752C"/>
    <w:rsid w:val="41605D24"/>
    <w:rsid w:val="42350551"/>
    <w:rsid w:val="42454848"/>
    <w:rsid w:val="4250579A"/>
    <w:rsid w:val="426E2B33"/>
    <w:rsid w:val="429C29ED"/>
    <w:rsid w:val="42AC4237"/>
    <w:rsid w:val="42EA3D57"/>
    <w:rsid w:val="43A56600"/>
    <w:rsid w:val="43BD799C"/>
    <w:rsid w:val="43E80065"/>
    <w:rsid w:val="43FB79FF"/>
    <w:rsid w:val="43FF654F"/>
    <w:rsid w:val="4440544D"/>
    <w:rsid w:val="44414863"/>
    <w:rsid w:val="448432E2"/>
    <w:rsid w:val="44D4651B"/>
    <w:rsid w:val="44E150AC"/>
    <w:rsid w:val="44E84FB1"/>
    <w:rsid w:val="450E5A3D"/>
    <w:rsid w:val="45221A31"/>
    <w:rsid w:val="4591538C"/>
    <w:rsid w:val="45A060A7"/>
    <w:rsid w:val="45A25BB2"/>
    <w:rsid w:val="45E71F71"/>
    <w:rsid w:val="462705C0"/>
    <w:rsid w:val="46A23069"/>
    <w:rsid w:val="46B10F69"/>
    <w:rsid w:val="474C495D"/>
    <w:rsid w:val="486852FA"/>
    <w:rsid w:val="48AF5C8A"/>
    <w:rsid w:val="49045422"/>
    <w:rsid w:val="49255DFC"/>
    <w:rsid w:val="496A6B29"/>
    <w:rsid w:val="49F15A4F"/>
    <w:rsid w:val="4A17094B"/>
    <w:rsid w:val="4A3104EE"/>
    <w:rsid w:val="4A6312D1"/>
    <w:rsid w:val="4A67139B"/>
    <w:rsid w:val="4A9B2152"/>
    <w:rsid w:val="4B101917"/>
    <w:rsid w:val="4B8D0E2D"/>
    <w:rsid w:val="4BB46130"/>
    <w:rsid w:val="4C3D0B62"/>
    <w:rsid w:val="4CB7264B"/>
    <w:rsid w:val="4CDF39C3"/>
    <w:rsid w:val="4CEF5BAF"/>
    <w:rsid w:val="4D7D3A4A"/>
    <w:rsid w:val="4D850ADA"/>
    <w:rsid w:val="4D9C5FC5"/>
    <w:rsid w:val="4E930995"/>
    <w:rsid w:val="4EB70968"/>
    <w:rsid w:val="4F8F2829"/>
    <w:rsid w:val="4FB93093"/>
    <w:rsid w:val="51360454"/>
    <w:rsid w:val="51FD4E19"/>
    <w:rsid w:val="523D1183"/>
    <w:rsid w:val="53033E94"/>
    <w:rsid w:val="53351E16"/>
    <w:rsid w:val="535835B2"/>
    <w:rsid w:val="53987183"/>
    <w:rsid w:val="54160EF8"/>
    <w:rsid w:val="543D36A4"/>
    <w:rsid w:val="5448127D"/>
    <w:rsid w:val="548F1912"/>
    <w:rsid w:val="55303AEA"/>
    <w:rsid w:val="55657708"/>
    <w:rsid w:val="55B47996"/>
    <w:rsid w:val="55ED02DE"/>
    <w:rsid w:val="561D139E"/>
    <w:rsid w:val="570C6233"/>
    <w:rsid w:val="577D5862"/>
    <w:rsid w:val="57F42634"/>
    <w:rsid w:val="58620795"/>
    <w:rsid w:val="5864641D"/>
    <w:rsid w:val="595C281E"/>
    <w:rsid w:val="59A26483"/>
    <w:rsid w:val="5A5627B7"/>
    <w:rsid w:val="5A691DBF"/>
    <w:rsid w:val="5A752E0B"/>
    <w:rsid w:val="5B4D072D"/>
    <w:rsid w:val="5B547321"/>
    <w:rsid w:val="5B996BE0"/>
    <w:rsid w:val="5C8A33AB"/>
    <w:rsid w:val="5C8A7A34"/>
    <w:rsid w:val="5DA54D35"/>
    <w:rsid w:val="5E4D4776"/>
    <w:rsid w:val="5F555D46"/>
    <w:rsid w:val="5FA60862"/>
    <w:rsid w:val="6090130A"/>
    <w:rsid w:val="60B23606"/>
    <w:rsid w:val="60DA29A7"/>
    <w:rsid w:val="60F577E0"/>
    <w:rsid w:val="610B7306"/>
    <w:rsid w:val="614C44B8"/>
    <w:rsid w:val="64C74F27"/>
    <w:rsid w:val="65622F6B"/>
    <w:rsid w:val="657F4BA4"/>
    <w:rsid w:val="65AF73A0"/>
    <w:rsid w:val="65E507C2"/>
    <w:rsid w:val="66055487"/>
    <w:rsid w:val="66265A06"/>
    <w:rsid w:val="665969A9"/>
    <w:rsid w:val="6750787A"/>
    <w:rsid w:val="67553EFC"/>
    <w:rsid w:val="679033D0"/>
    <w:rsid w:val="67A92CBE"/>
    <w:rsid w:val="67F5319A"/>
    <w:rsid w:val="685F19E3"/>
    <w:rsid w:val="687156D7"/>
    <w:rsid w:val="68F04190"/>
    <w:rsid w:val="69016BAE"/>
    <w:rsid w:val="698C108B"/>
    <w:rsid w:val="69992CD3"/>
    <w:rsid w:val="6A0236F7"/>
    <w:rsid w:val="6A227E13"/>
    <w:rsid w:val="6A256AD2"/>
    <w:rsid w:val="6A49148C"/>
    <w:rsid w:val="6A7A1ED3"/>
    <w:rsid w:val="6A82638A"/>
    <w:rsid w:val="6ACD532A"/>
    <w:rsid w:val="6B695F2D"/>
    <w:rsid w:val="6BAC7F04"/>
    <w:rsid w:val="6BD91AAD"/>
    <w:rsid w:val="6CB56076"/>
    <w:rsid w:val="6D2C1D2E"/>
    <w:rsid w:val="6D741A8D"/>
    <w:rsid w:val="6D8124F7"/>
    <w:rsid w:val="6E606344"/>
    <w:rsid w:val="6F5000CE"/>
    <w:rsid w:val="6FDA32FF"/>
    <w:rsid w:val="6FF934E4"/>
    <w:rsid w:val="70E22485"/>
    <w:rsid w:val="713C6B66"/>
    <w:rsid w:val="71655048"/>
    <w:rsid w:val="71E62861"/>
    <w:rsid w:val="72007C89"/>
    <w:rsid w:val="72DB3D94"/>
    <w:rsid w:val="745F66AB"/>
    <w:rsid w:val="74AC5129"/>
    <w:rsid w:val="74C11DBF"/>
    <w:rsid w:val="75050630"/>
    <w:rsid w:val="75455AC7"/>
    <w:rsid w:val="75E35A02"/>
    <w:rsid w:val="764650CA"/>
    <w:rsid w:val="765A4A60"/>
    <w:rsid w:val="768865A9"/>
    <w:rsid w:val="76B949B4"/>
    <w:rsid w:val="76D96E05"/>
    <w:rsid w:val="77351123"/>
    <w:rsid w:val="773B116D"/>
    <w:rsid w:val="77D00208"/>
    <w:rsid w:val="784B390A"/>
    <w:rsid w:val="7880434D"/>
    <w:rsid w:val="7967434B"/>
    <w:rsid w:val="7973709D"/>
    <w:rsid w:val="7A392501"/>
    <w:rsid w:val="7A7D63D2"/>
    <w:rsid w:val="7AD16771"/>
    <w:rsid w:val="7B53073C"/>
    <w:rsid w:val="7B754FDD"/>
    <w:rsid w:val="7B9C030C"/>
    <w:rsid w:val="7BE544EC"/>
    <w:rsid w:val="7C0A2F7B"/>
    <w:rsid w:val="7CF2547A"/>
    <w:rsid w:val="7D4A23E3"/>
    <w:rsid w:val="7DAC3A9C"/>
    <w:rsid w:val="7E597CD7"/>
    <w:rsid w:val="7E805F67"/>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
    <w:autoRedefine/>
    <w:qFormat/>
    <w:uiPriority w:val="0"/>
    <w:pPr>
      <w:ind w:left="1083" w:leftChars="30" w:hanging="1020" w:hangingChars="425"/>
    </w:pPr>
    <w:rPr>
      <w:rFonts w:hAnsi="宋体"/>
    </w:rPr>
  </w:style>
  <w:style w:type="paragraph" w:styleId="11">
    <w:name w:val="index 4"/>
    <w:basedOn w:val="1"/>
    <w:next w:val="1"/>
    <w:autoRedefine/>
    <w:unhideWhenUsed/>
    <w:qFormat/>
    <w:uiPriority w:val="99"/>
    <w:pPr>
      <w:ind w:left="428" w:firstLine="140"/>
    </w:pPr>
  </w:style>
  <w:style w:type="paragraph" w:styleId="12">
    <w:name w:val="Plain Text"/>
    <w:basedOn w:val="1"/>
    <w:next w:val="13"/>
    <w:autoRedefine/>
    <w:qFormat/>
    <w:uiPriority w:val="0"/>
    <w:rPr>
      <w:rFonts w:hAnsi="Courier New"/>
      <w:kern w:val="2"/>
      <w:sz w:val="21"/>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5">
    <w:name w:val="Balloon Text"/>
    <w:basedOn w:val="1"/>
    <w:link w:val="46"/>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autoRedefine/>
    <w:unhideWhenUsed/>
    <w:qFormat/>
    <w:uiPriority w:val="0"/>
  </w:style>
  <w:style w:type="paragraph" w:styleId="19">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0">
    <w:name w:val="toc 2"/>
    <w:basedOn w:val="1"/>
    <w:next w:val="1"/>
    <w:autoRedefine/>
    <w:unhideWhenUsed/>
    <w:qFormat/>
    <w:uiPriority w:val="0"/>
    <w:pPr>
      <w:ind w:left="420" w:leftChars="200"/>
    </w:pPr>
  </w:style>
  <w:style w:type="paragraph" w:styleId="21">
    <w:name w:val="Normal (Web)"/>
    <w:basedOn w:val="1"/>
    <w:autoRedefine/>
    <w:qFormat/>
    <w:uiPriority w:val="0"/>
    <w:pPr>
      <w:widowControl/>
      <w:spacing w:before="100" w:beforeAutospacing="1" w:after="100" w:afterAutospacing="1"/>
      <w:jc w:val="left"/>
    </w:pPr>
    <w:rPr>
      <w:rFonts w:hAnsi="宋体"/>
      <w:szCs w:val="24"/>
    </w:rPr>
  </w:style>
  <w:style w:type="paragraph" w:styleId="22">
    <w:name w:val="annotation subject"/>
    <w:basedOn w:val="7"/>
    <w:next w:val="7"/>
    <w:link w:val="45"/>
    <w:qFormat/>
    <w:uiPriority w:val="0"/>
    <w:rPr>
      <w:b/>
      <w:bCs/>
    </w:rPr>
  </w:style>
  <w:style w:type="paragraph" w:styleId="23">
    <w:name w:val="Body Text First Indent"/>
    <w:basedOn w:val="1"/>
    <w:next w:val="1"/>
    <w:autoRedefine/>
    <w:qFormat/>
    <w:uiPriority w:val="0"/>
    <w:pPr>
      <w:adjustRightInd w:val="0"/>
      <w:ind w:firstLine="420"/>
      <w:jc w:val="left"/>
      <w:textAlignment w:val="baseline"/>
    </w:pPr>
    <w:rPr>
      <w:b/>
      <w:sz w:val="21"/>
    </w:rPr>
  </w:style>
  <w:style w:type="paragraph" w:styleId="24">
    <w:name w:val="Body Text First Indent 2"/>
    <w:basedOn w:val="10"/>
    <w:next w:val="1"/>
    <w:autoRedefine/>
    <w:qFormat/>
    <w:uiPriority w:val="0"/>
    <w:pPr>
      <w:spacing w:after="120"/>
      <w:ind w:left="420" w:leftChars="200" w:firstLine="420"/>
    </w:pPr>
    <w:rPr>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7"/>
    <w:qFormat/>
    <w:uiPriority w:val="0"/>
    <w:rPr>
      <w:rFonts w:ascii="宋体"/>
      <w:sz w:val="24"/>
    </w:rPr>
  </w:style>
  <w:style w:type="character" w:customStyle="1" w:styleId="45">
    <w:name w:val="批注主题 字符"/>
    <w:basedOn w:val="44"/>
    <w:link w:val="22"/>
    <w:qFormat/>
    <w:uiPriority w:val="0"/>
    <w:rPr>
      <w:rFonts w:ascii="宋体"/>
      <w:b/>
      <w:bCs/>
      <w:sz w:val="24"/>
    </w:rPr>
  </w:style>
  <w:style w:type="character" w:customStyle="1" w:styleId="46">
    <w:name w:val="批注框文本 字符"/>
    <w:basedOn w:val="27"/>
    <w:link w:val="15"/>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paragraph" w:customStyle="1" w:styleId="5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88</Pages>
  <Words>18525</Words>
  <Characters>20020</Characters>
  <Lines>350</Lines>
  <Paragraphs>98</Paragraphs>
  <TotalTime>143</TotalTime>
  <ScaleCrop>false</ScaleCrop>
  <LinksUpToDate>false</LinksUpToDate>
  <CharactersWithSpaces>20193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酒巷清风</cp:lastModifiedBy>
  <dcterms:modified xsi:type="dcterms:W3CDTF">2025-09-04T05:35:36Z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D6CB8FDC6D6748389589C5DBDA653855_13</vt:lpwstr>
  </property>
  <property fmtid="{D5CDD505-2E9C-101B-9397-08002B2CF9AE}" pid="4" name="KSOTemplateDocerSaveRecord">
    <vt:lpwstr>eyJoZGlkIjoiNjg1NDc3Njg5MzYyNTExMzdhNTFlMWMwNjg2OWZkZWQiLCJ1c2VySWQiOiIxMDI1ODc0ODg1In0=</vt:lpwstr>
  </property>
</Properties>
</file>