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6E8E7">
      <w:pPr>
        <w:rPr>
          <w:rFonts w:hAnsi="宋体" w:cs="宋体"/>
          <w:b/>
          <w:sz w:val="36"/>
          <w:highlight w:val="none"/>
        </w:rPr>
      </w:pPr>
      <w:r>
        <w:rPr>
          <w:rFonts w:hint="eastAsia" w:hAnsi="宋体" w:cs="宋体"/>
          <w:b/>
          <w:bCs/>
          <w:sz w:val="24"/>
          <w:szCs w:val="24"/>
          <w:highlight w:val="none"/>
        </w:rPr>
        <w:t>项目编号：</w:t>
      </w:r>
      <w:r>
        <w:rPr>
          <w:rFonts w:hint="eastAsia" w:hAnsi="宋体" w:cs="宋体"/>
          <w:b/>
          <w:sz w:val="24"/>
          <w:szCs w:val="24"/>
          <w:highlight w:val="none"/>
          <w:lang w:eastAsia="zh-CN"/>
        </w:rPr>
        <w:t>SXZCZB2025-ZCCS-0812</w:t>
      </w:r>
    </w:p>
    <w:p w14:paraId="64DF1CD3">
      <w:pPr>
        <w:jc w:val="both"/>
        <w:rPr>
          <w:rFonts w:hAnsi="宋体" w:cs="宋体"/>
          <w:b/>
          <w:sz w:val="56"/>
          <w:szCs w:val="56"/>
          <w:highlight w:val="none"/>
        </w:rPr>
      </w:pPr>
    </w:p>
    <w:p w14:paraId="3595C68D">
      <w:pPr>
        <w:jc w:val="center"/>
        <w:rPr>
          <w:rFonts w:hAnsi="宋体" w:cs="宋体"/>
          <w:b/>
          <w:sz w:val="56"/>
          <w:szCs w:val="56"/>
          <w:highlight w:val="none"/>
        </w:rPr>
      </w:pPr>
    </w:p>
    <w:p w14:paraId="56461938">
      <w:pPr>
        <w:spacing w:line="780" w:lineRule="auto"/>
        <w:jc w:val="center"/>
        <w:rPr>
          <w:rFonts w:hint="eastAsia" w:hAnsi="宋体" w:cs="宋体"/>
          <w:b/>
          <w:sz w:val="56"/>
          <w:szCs w:val="56"/>
          <w:highlight w:val="none"/>
        </w:rPr>
      </w:pPr>
      <w:r>
        <w:rPr>
          <w:rFonts w:hint="eastAsia" w:hAnsi="宋体" w:cs="宋体"/>
          <w:b/>
          <w:sz w:val="52"/>
          <w:szCs w:val="52"/>
          <w:highlight w:val="none"/>
          <w:lang w:eastAsia="zh-CN"/>
        </w:rPr>
        <w:t>军休干部住院慰问及重点慰问品采购</w:t>
      </w:r>
    </w:p>
    <w:p w14:paraId="1F83C4B3">
      <w:pPr>
        <w:pStyle w:val="21"/>
        <w:rPr>
          <w:rFonts w:hint="eastAsia" w:hAnsi="宋体" w:cs="宋体"/>
          <w:b/>
          <w:sz w:val="56"/>
          <w:szCs w:val="56"/>
          <w:highlight w:val="none"/>
        </w:rPr>
      </w:pPr>
    </w:p>
    <w:p w14:paraId="41EE3700">
      <w:pPr>
        <w:pStyle w:val="12"/>
        <w:rPr>
          <w:rFonts w:hint="eastAsia"/>
          <w:highlight w:val="none"/>
        </w:rPr>
      </w:pPr>
    </w:p>
    <w:p w14:paraId="566B1393">
      <w:pPr>
        <w:spacing w:line="780" w:lineRule="auto"/>
        <w:jc w:val="center"/>
        <w:rPr>
          <w:rFonts w:hAnsi="宋体" w:cs="宋体"/>
          <w:b/>
          <w:sz w:val="56"/>
          <w:szCs w:val="56"/>
          <w:highlight w:val="none"/>
        </w:rPr>
      </w:pPr>
      <w:r>
        <w:rPr>
          <w:rFonts w:hint="eastAsia" w:hAnsi="宋体" w:cs="宋体"/>
          <w:b/>
          <w:sz w:val="56"/>
          <w:szCs w:val="56"/>
          <w:highlight w:val="none"/>
        </w:rPr>
        <w:t>竞争性磋商文件</w:t>
      </w:r>
    </w:p>
    <w:p w14:paraId="1310086B">
      <w:pPr>
        <w:rPr>
          <w:rFonts w:hAnsi="宋体" w:cs="宋体"/>
          <w:highlight w:val="none"/>
        </w:rPr>
      </w:pPr>
      <w:bookmarkStart w:id="0" w:name="_Toc363463325"/>
    </w:p>
    <w:p w14:paraId="14CF8130">
      <w:pPr>
        <w:rPr>
          <w:rFonts w:hAnsi="宋体" w:cs="宋体"/>
          <w:highlight w:val="none"/>
        </w:rPr>
      </w:pPr>
    </w:p>
    <w:p w14:paraId="32711FE6">
      <w:pPr>
        <w:rPr>
          <w:rFonts w:hAnsi="宋体" w:cs="宋体"/>
          <w:highlight w:val="none"/>
        </w:rPr>
      </w:pPr>
    </w:p>
    <w:bookmarkEnd w:id="0"/>
    <w:p w14:paraId="1ED53F21">
      <w:pPr>
        <w:rPr>
          <w:rFonts w:hAnsi="宋体" w:cs="宋体"/>
          <w:sz w:val="18"/>
          <w:szCs w:val="18"/>
          <w:highlight w:val="none"/>
        </w:rPr>
      </w:pPr>
    </w:p>
    <w:p w14:paraId="0D45B636">
      <w:pPr>
        <w:jc w:val="center"/>
        <w:rPr>
          <w:rFonts w:hAnsi="宋体" w:cs="宋体"/>
          <w:b/>
          <w:bCs/>
          <w:sz w:val="32"/>
          <w:szCs w:val="32"/>
          <w:highlight w:val="none"/>
        </w:rPr>
      </w:pPr>
    </w:p>
    <w:p w14:paraId="4CF41C2C">
      <w:pPr>
        <w:jc w:val="center"/>
        <w:rPr>
          <w:rFonts w:hAnsi="宋体" w:cs="宋体"/>
          <w:b/>
          <w:bCs/>
          <w:sz w:val="32"/>
          <w:szCs w:val="32"/>
          <w:highlight w:val="none"/>
        </w:rPr>
      </w:pPr>
    </w:p>
    <w:p w14:paraId="66ADDF08">
      <w:pPr>
        <w:jc w:val="both"/>
        <w:rPr>
          <w:rFonts w:hAnsi="宋体" w:cs="宋体"/>
          <w:b/>
          <w:bCs/>
          <w:sz w:val="32"/>
          <w:szCs w:val="32"/>
          <w:highlight w:val="none"/>
        </w:rPr>
      </w:pPr>
    </w:p>
    <w:p w14:paraId="738B49B9">
      <w:pPr>
        <w:pStyle w:val="9"/>
        <w:rPr>
          <w:highlight w:val="none"/>
        </w:rPr>
      </w:pPr>
    </w:p>
    <w:p w14:paraId="01071A81">
      <w:pPr>
        <w:jc w:val="center"/>
        <w:rPr>
          <w:rFonts w:hAnsi="宋体" w:cs="宋体"/>
          <w:b/>
          <w:bCs/>
          <w:sz w:val="32"/>
          <w:szCs w:val="32"/>
          <w:highlight w:val="none"/>
        </w:rPr>
      </w:pPr>
      <w:r>
        <w:rPr>
          <w:rFonts w:hint="eastAsia" w:hAnsi="宋体" w:cs="宋体"/>
          <w:b/>
          <w:bCs/>
          <w:sz w:val="32"/>
          <w:szCs w:val="32"/>
          <w:highlight w:val="none"/>
        </w:rPr>
        <w:t>陕西至诚项目管理集团有限公司</w:t>
      </w:r>
    </w:p>
    <w:p w14:paraId="5263D4D0">
      <w:pPr>
        <w:pStyle w:val="10"/>
        <w:jc w:val="center"/>
        <w:rPr>
          <w:rFonts w:ascii="宋体" w:hAnsi="宋体" w:cs="宋体"/>
          <w:b/>
          <w:bCs/>
          <w:sz w:val="32"/>
          <w:szCs w:val="32"/>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docGrid w:type="lines" w:linePitch="312" w:charSpace="0"/>
        </w:sectPr>
      </w:pPr>
      <w:r>
        <w:rPr>
          <w:rFonts w:hint="eastAsia" w:ascii="宋体" w:hAnsi="宋体" w:cs="宋体"/>
          <w:b/>
          <w:bCs/>
          <w:sz w:val="32"/>
          <w:szCs w:val="32"/>
          <w:highlight w:val="none"/>
        </w:rPr>
        <w:t>二〇二</w:t>
      </w:r>
      <w:r>
        <w:rPr>
          <w:rFonts w:hint="eastAsia" w:ascii="宋体" w:hAnsi="宋体" w:cs="宋体"/>
          <w:b/>
          <w:bCs/>
          <w:sz w:val="32"/>
          <w:szCs w:val="32"/>
          <w:highlight w:val="none"/>
          <w:lang w:val="en-US" w:eastAsia="zh-CN"/>
        </w:rPr>
        <w:t>五</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八</w:t>
      </w:r>
      <w:r>
        <w:rPr>
          <w:rFonts w:hint="eastAsia" w:ascii="宋体" w:hAnsi="宋体" w:cs="宋体"/>
          <w:b/>
          <w:bCs/>
          <w:sz w:val="32"/>
          <w:szCs w:val="32"/>
          <w:highlight w:val="none"/>
        </w:rPr>
        <w:t>月</w:t>
      </w:r>
    </w:p>
    <w:p w14:paraId="1FE39212">
      <w:pPr>
        <w:rPr>
          <w:rFonts w:hAnsi="宋体" w:cs="宋体"/>
          <w:highlight w:val="none"/>
        </w:rPr>
      </w:pPr>
    </w:p>
    <w:p w14:paraId="02B1D3AB">
      <w:pPr>
        <w:jc w:val="center"/>
        <w:rPr>
          <w:rFonts w:hAnsi="宋体" w:cs="宋体"/>
          <w:b/>
          <w:sz w:val="44"/>
          <w:szCs w:val="44"/>
          <w:highlight w:val="none"/>
        </w:rPr>
      </w:pPr>
      <w:r>
        <w:rPr>
          <w:rFonts w:hint="eastAsia" w:hAnsi="宋体" w:cs="宋体"/>
          <w:b/>
          <w:sz w:val="44"/>
          <w:szCs w:val="44"/>
          <w:highlight w:val="none"/>
        </w:rPr>
        <w:t>目 录</w:t>
      </w:r>
    </w:p>
    <w:sdt>
      <w:sdtPr>
        <w:rPr>
          <w:rFonts w:hAnsi="宋体"/>
          <w:sz w:val="21"/>
          <w:highlight w:val="none"/>
        </w:rPr>
        <w:id w:val="147450925"/>
        <w15:color w:val="DBDBDB"/>
        <w:docPartObj>
          <w:docPartGallery w:val="Table of Contents"/>
          <w:docPartUnique/>
        </w:docPartObj>
      </w:sdtPr>
      <w:sdtEndPr>
        <w:rPr>
          <w:rFonts w:hint="eastAsia" w:hAnsi="宋体" w:cs="宋体"/>
          <w:bCs/>
          <w:sz w:val="24"/>
          <w:szCs w:val="36"/>
          <w:highlight w:val="none"/>
        </w:rPr>
      </w:sdtEndPr>
      <w:sdtContent>
        <w:p w14:paraId="01DE8F58">
          <w:pPr>
            <w:jc w:val="center"/>
            <w:rPr>
              <w:highlight w:val="none"/>
            </w:rPr>
          </w:pPr>
          <w:bookmarkStart w:id="1" w:name="_Toc16218"/>
          <w:bookmarkStart w:id="2" w:name="_Toc5293"/>
          <w:bookmarkStart w:id="3" w:name="_Toc389582033"/>
          <w:bookmarkStart w:id="4" w:name="_Toc19886"/>
          <w:bookmarkStart w:id="5" w:name="_Toc20858"/>
          <w:bookmarkStart w:id="6" w:name="_Toc20652"/>
          <w:bookmarkStart w:id="7" w:name="_Toc21518"/>
          <w:bookmarkStart w:id="8" w:name="_Toc27420"/>
          <w:bookmarkStart w:id="9" w:name="_Toc403077638"/>
          <w:bookmarkStart w:id="10" w:name="_Toc363474016"/>
          <w:bookmarkStart w:id="11" w:name="_Toc363473971"/>
        </w:p>
        <w:p w14:paraId="0D45EBA6">
          <w:pPr>
            <w:pStyle w:val="17"/>
            <w:tabs>
              <w:tab w:val="right" w:leader="dot" w:pos="8787"/>
            </w:tabs>
            <w:spacing w:line="360" w:lineRule="auto"/>
            <w:rPr>
              <w:sz w:val="28"/>
              <w:szCs w:val="21"/>
              <w:highlight w:val="none"/>
            </w:rPr>
          </w:pPr>
          <w:r>
            <w:rPr>
              <w:rFonts w:hint="eastAsia" w:hAnsi="宋体" w:cs="宋体"/>
              <w:bCs/>
              <w:sz w:val="40"/>
              <w:szCs w:val="40"/>
              <w:highlight w:val="none"/>
            </w:rPr>
            <w:fldChar w:fldCharType="begin"/>
          </w:r>
          <w:r>
            <w:rPr>
              <w:rFonts w:hint="eastAsia" w:hAnsi="宋体" w:cs="宋体"/>
              <w:bCs/>
              <w:sz w:val="40"/>
              <w:szCs w:val="40"/>
              <w:highlight w:val="none"/>
            </w:rPr>
            <w:instrText xml:space="preserve">TOC \o "1-3" \h \u </w:instrText>
          </w:r>
          <w:r>
            <w:rPr>
              <w:rFonts w:hint="eastAsia" w:hAnsi="宋体" w:cs="宋体"/>
              <w:bCs/>
              <w:sz w:val="40"/>
              <w:szCs w:val="40"/>
              <w:highlight w:val="none"/>
            </w:rPr>
            <w:fldChar w:fldCharType="separate"/>
          </w:r>
          <w:r>
            <w:rPr>
              <w:highlight w:val="none"/>
            </w:rPr>
            <w:fldChar w:fldCharType="begin"/>
          </w:r>
          <w:r>
            <w:rPr>
              <w:highlight w:val="none"/>
            </w:rPr>
            <w:instrText xml:space="preserve"> HYPERLINK \l "_Toc30717" </w:instrText>
          </w:r>
          <w:r>
            <w:rPr>
              <w:highlight w:val="none"/>
            </w:rPr>
            <w:fldChar w:fldCharType="separate"/>
          </w:r>
          <w:r>
            <w:rPr>
              <w:rFonts w:hint="eastAsia" w:hAnsi="宋体" w:cs="宋体"/>
              <w:bCs/>
              <w:sz w:val="28"/>
              <w:szCs w:val="40"/>
              <w:highlight w:val="none"/>
            </w:rPr>
            <w:t>第一章  竞争性磋商公告</w:t>
          </w:r>
          <w:r>
            <w:rPr>
              <w:sz w:val="28"/>
              <w:szCs w:val="21"/>
              <w:highlight w:val="none"/>
            </w:rPr>
            <w:tab/>
          </w:r>
          <w:r>
            <w:rPr>
              <w:sz w:val="28"/>
              <w:szCs w:val="21"/>
              <w:highlight w:val="none"/>
            </w:rPr>
            <w:fldChar w:fldCharType="begin"/>
          </w:r>
          <w:r>
            <w:rPr>
              <w:sz w:val="28"/>
              <w:szCs w:val="21"/>
              <w:highlight w:val="none"/>
            </w:rPr>
            <w:instrText xml:space="preserve"> PAGEREF _Toc30717 \h </w:instrText>
          </w:r>
          <w:r>
            <w:rPr>
              <w:sz w:val="28"/>
              <w:szCs w:val="21"/>
              <w:highlight w:val="none"/>
            </w:rPr>
            <w:fldChar w:fldCharType="separate"/>
          </w:r>
          <w:r>
            <w:rPr>
              <w:sz w:val="28"/>
              <w:szCs w:val="21"/>
              <w:highlight w:val="none"/>
            </w:rPr>
            <w:t>2</w:t>
          </w:r>
          <w:r>
            <w:rPr>
              <w:sz w:val="28"/>
              <w:szCs w:val="21"/>
              <w:highlight w:val="none"/>
            </w:rPr>
            <w:fldChar w:fldCharType="end"/>
          </w:r>
          <w:r>
            <w:rPr>
              <w:sz w:val="28"/>
              <w:szCs w:val="21"/>
              <w:highlight w:val="none"/>
            </w:rPr>
            <w:fldChar w:fldCharType="end"/>
          </w:r>
        </w:p>
        <w:p w14:paraId="52E80456">
          <w:pPr>
            <w:pStyle w:val="17"/>
            <w:tabs>
              <w:tab w:val="right" w:leader="dot" w:pos="8787"/>
            </w:tabs>
            <w:spacing w:line="360" w:lineRule="auto"/>
            <w:rPr>
              <w:sz w:val="28"/>
              <w:szCs w:val="21"/>
              <w:highlight w:val="none"/>
            </w:rPr>
          </w:pPr>
          <w:r>
            <w:rPr>
              <w:highlight w:val="none"/>
            </w:rPr>
            <w:fldChar w:fldCharType="begin"/>
          </w:r>
          <w:r>
            <w:rPr>
              <w:highlight w:val="none"/>
            </w:rPr>
            <w:instrText xml:space="preserve"> HYPERLINK \l "_Toc4831" </w:instrText>
          </w:r>
          <w:r>
            <w:rPr>
              <w:highlight w:val="none"/>
            </w:rPr>
            <w:fldChar w:fldCharType="separate"/>
          </w:r>
          <w:r>
            <w:rPr>
              <w:rFonts w:hint="eastAsia" w:hAnsi="宋体" w:cs="宋体"/>
              <w:bCs/>
              <w:kern w:val="2"/>
              <w:sz w:val="28"/>
              <w:szCs w:val="40"/>
              <w:highlight w:val="none"/>
            </w:rPr>
            <w:t>第二章  供应商须知</w:t>
          </w:r>
          <w:r>
            <w:rPr>
              <w:sz w:val="28"/>
              <w:szCs w:val="21"/>
              <w:highlight w:val="none"/>
            </w:rPr>
            <w:tab/>
          </w:r>
          <w:r>
            <w:rPr>
              <w:sz w:val="28"/>
              <w:szCs w:val="21"/>
              <w:highlight w:val="none"/>
            </w:rPr>
            <w:fldChar w:fldCharType="begin"/>
          </w:r>
          <w:r>
            <w:rPr>
              <w:sz w:val="28"/>
              <w:szCs w:val="21"/>
              <w:highlight w:val="none"/>
            </w:rPr>
            <w:instrText xml:space="preserve"> PAGEREF _Toc4831 \h </w:instrText>
          </w:r>
          <w:r>
            <w:rPr>
              <w:sz w:val="28"/>
              <w:szCs w:val="21"/>
              <w:highlight w:val="none"/>
            </w:rPr>
            <w:fldChar w:fldCharType="separate"/>
          </w:r>
          <w:r>
            <w:rPr>
              <w:sz w:val="28"/>
              <w:szCs w:val="21"/>
              <w:highlight w:val="none"/>
            </w:rPr>
            <w:t>2</w:t>
          </w:r>
          <w:r>
            <w:rPr>
              <w:sz w:val="28"/>
              <w:szCs w:val="21"/>
              <w:highlight w:val="none"/>
            </w:rPr>
            <w:fldChar w:fldCharType="end"/>
          </w:r>
          <w:r>
            <w:rPr>
              <w:sz w:val="28"/>
              <w:szCs w:val="21"/>
              <w:highlight w:val="none"/>
            </w:rPr>
            <w:fldChar w:fldCharType="end"/>
          </w:r>
        </w:p>
        <w:p w14:paraId="62FD9EC6">
          <w:pPr>
            <w:pStyle w:val="17"/>
            <w:tabs>
              <w:tab w:val="right" w:leader="dot" w:pos="8787"/>
            </w:tabs>
            <w:spacing w:line="360" w:lineRule="auto"/>
            <w:rPr>
              <w:sz w:val="28"/>
              <w:szCs w:val="21"/>
              <w:highlight w:val="none"/>
            </w:rPr>
          </w:pPr>
          <w:r>
            <w:rPr>
              <w:highlight w:val="none"/>
            </w:rPr>
            <w:fldChar w:fldCharType="begin"/>
          </w:r>
          <w:r>
            <w:rPr>
              <w:highlight w:val="none"/>
            </w:rPr>
            <w:instrText xml:space="preserve"> HYPERLINK \l "_Toc22398" </w:instrText>
          </w:r>
          <w:r>
            <w:rPr>
              <w:highlight w:val="none"/>
            </w:rPr>
            <w:fldChar w:fldCharType="separate"/>
          </w:r>
          <w:r>
            <w:rPr>
              <w:rFonts w:hint="eastAsia" w:hAnsi="宋体" w:cs="宋体"/>
              <w:sz w:val="28"/>
              <w:szCs w:val="21"/>
              <w:highlight w:val="none"/>
            </w:rPr>
            <w:t xml:space="preserve">第三章  </w:t>
          </w:r>
          <w:r>
            <w:rPr>
              <w:rFonts w:hint="eastAsia" w:hAnsi="宋体" w:cs="宋体"/>
              <w:bCs/>
              <w:sz w:val="28"/>
              <w:szCs w:val="40"/>
              <w:highlight w:val="none"/>
            </w:rPr>
            <w:t>评审方法</w:t>
          </w:r>
          <w:r>
            <w:rPr>
              <w:sz w:val="28"/>
              <w:szCs w:val="21"/>
              <w:highlight w:val="none"/>
            </w:rPr>
            <w:tab/>
          </w:r>
          <w:r>
            <w:rPr>
              <w:sz w:val="28"/>
              <w:szCs w:val="21"/>
              <w:highlight w:val="none"/>
            </w:rPr>
            <w:fldChar w:fldCharType="begin"/>
          </w:r>
          <w:r>
            <w:rPr>
              <w:sz w:val="28"/>
              <w:szCs w:val="21"/>
              <w:highlight w:val="none"/>
            </w:rPr>
            <w:instrText xml:space="preserve"> PAGEREF _Toc22398 \h </w:instrText>
          </w:r>
          <w:r>
            <w:rPr>
              <w:sz w:val="28"/>
              <w:szCs w:val="21"/>
              <w:highlight w:val="none"/>
            </w:rPr>
            <w:fldChar w:fldCharType="separate"/>
          </w:r>
          <w:r>
            <w:rPr>
              <w:sz w:val="28"/>
              <w:szCs w:val="21"/>
              <w:highlight w:val="none"/>
            </w:rPr>
            <w:t>25</w:t>
          </w:r>
          <w:r>
            <w:rPr>
              <w:sz w:val="28"/>
              <w:szCs w:val="21"/>
              <w:highlight w:val="none"/>
            </w:rPr>
            <w:fldChar w:fldCharType="end"/>
          </w:r>
          <w:r>
            <w:rPr>
              <w:sz w:val="28"/>
              <w:szCs w:val="21"/>
              <w:highlight w:val="none"/>
            </w:rPr>
            <w:fldChar w:fldCharType="end"/>
          </w:r>
        </w:p>
        <w:p w14:paraId="7FAA6FE1">
          <w:pPr>
            <w:pStyle w:val="17"/>
            <w:tabs>
              <w:tab w:val="right" w:leader="dot" w:pos="8787"/>
            </w:tabs>
            <w:spacing w:line="360" w:lineRule="auto"/>
            <w:rPr>
              <w:sz w:val="28"/>
              <w:szCs w:val="21"/>
              <w:highlight w:val="none"/>
            </w:rPr>
          </w:pPr>
          <w:r>
            <w:rPr>
              <w:highlight w:val="none"/>
            </w:rPr>
            <w:fldChar w:fldCharType="begin"/>
          </w:r>
          <w:r>
            <w:rPr>
              <w:highlight w:val="none"/>
            </w:rPr>
            <w:instrText xml:space="preserve"> HYPERLINK \l "_Toc11680" </w:instrText>
          </w:r>
          <w:r>
            <w:rPr>
              <w:highlight w:val="none"/>
            </w:rPr>
            <w:fldChar w:fldCharType="separate"/>
          </w:r>
          <w:r>
            <w:rPr>
              <w:rFonts w:hint="eastAsia" w:hAnsi="宋体" w:cs="宋体"/>
              <w:bCs/>
              <w:sz w:val="28"/>
              <w:szCs w:val="40"/>
              <w:highlight w:val="none"/>
            </w:rPr>
            <w:t>第四章  合同条款及格式</w:t>
          </w:r>
          <w:r>
            <w:rPr>
              <w:sz w:val="28"/>
              <w:szCs w:val="21"/>
              <w:highlight w:val="none"/>
            </w:rPr>
            <w:tab/>
          </w:r>
          <w:r>
            <w:rPr>
              <w:sz w:val="28"/>
              <w:szCs w:val="21"/>
              <w:highlight w:val="none"/>
            </w:rPr>
            <w:fldChar w:fldCharType="begin"/>
          </w:r>
          <w:r>
            <w:rPr>
              <w:sz w:val="28"/>
              <w:szCs w:val="21"/>
              <w:highlight w:val="none"/>
            </w:rPr>
            <w:instrText xml:space="preserve"> PAGEREF _Toc11680 \h </w:instrText>
          </w:r>
          <w:r>
            <w:rPr>
              <w:sz w:val="28"/>
              <w:szCs w:val="21"/>
              <w:highlight w:val="none"/>
            </w:rPr>
            <w:fldChar w:fldCharType="separate"/>
          </w:r>
          <w:r>
            <w:rPr>
              <w:sz w:val="28"/>
              <w:szCs w:val="21"/>
              <w:highlight w:val="none"/>
            </w:rPr>
            <w:t>33</w:t>
          </w:r>
          <w:r>
            <w:rPr>
              <w:sz w:val="28"/>
              <w:szCs w:val="21"/>
              <w:highlight w:val="none"/>
            </w:rPr>
            <w:fldChar w:fldCharType="end"/>
          </w:r>
          <w:r>
            <w:rPr>
              <w:sz w:val="28"/>
              <w:szCs w:val="21"/>
              <w:highlight w:val="none"/>
            </w:rPr>
            <w:fldChar w:fldCharType="end"/>
          </w:r>
        </w:p>
        <w:p w14:paraId="6101C1E2">
          <w:pPr>
            <w:pStyle w:val="17"/>
            <w:tabs>
              <w:tab w:val="right" w:leader="dot" w:pos="8787"/>
            </w:tabs>
            <w:spacing w:line="360" w:lineRule="auto"/>
            <w:rPr>
              <w:sz w:val="28"/>
              <w:szCs w:val="21"/>
              <w:highlight w:val="none"/>
            </w:rPr>
          </w:pPr>
          <w:r>
            <w:rPr>
              <w:highlight w:val="none"/>
            </w:rPr>
            <w:fldChar w:fldCharType="begin"/>
          </w:r>
          <w:r>
            <w:rPr>
              <w:highlight w:val="none"/>
            </w:rPr>
            <w:instrText xml:space="preserve"> HYPERLINK \l "_Toc24914" </w:instrText>
          </w:r>
          <w:r>
            <w:rPr>
              <w:highlight w:val="none"/>
            </w:rPr>
            <w:fldChar w:fldCharType="separate"/>
          </w:r>
          <w:r>
            <w:rPr>
              <w:rFonts w:hint="eastAsia" w:hAnsi="宋体" w:cs="宋体"/>
              <w:bCs/>
              <w:sz w:val="28"/>
              <w:szCs w:val="40"/>
              <w:highlight w:val="none"/>
            </w:rPr>
            <w:t>第五章  磋商内容及技术要求</w:t>
          </w:r>
          <w:r>
            <w:rPr>
              <w:sz w:val="28"/>
              <w:szCs w:val="21"/>
              <w:highlight w:val="none"/>
            </w:rPr>
            <w:tab/>
          </w:r>
          <w:r>
            <w:rPr>
              <w:sz w:val="28"/>
              <w:szCs w:val="21"/>
              <w:highlight w:val="none"/>
            </w:rPr>
            <w:fldChar w:fldCharType="begin"/>
          </w:r>
          <w:r>
            <w:rPr>
              <w:sz w:val="28"/>
              <w:szCs w:val="21"/>
              <w:highlight w:val="none"/>
            </w:rPr>
            <w:instrText xml:space="preserve"> PAGEREF _Toc24914 \h </w:instrText>
          </w:r>
          <w:r>
            <w:rPr>
              <w:sz w:val="28"/>
              <w:szCs w:val="21"/>
              <w:highlight w:val="none"/>
            </w:rPr>
            <w:fldChar w:fldCharType="separate"/>
          </w:r>
          <w:r>
            <w:rPr>
              <w:sz w:val="28"/>
              <w:szCs w:val="21"/>
              <w:highlight w:val="none"/>
            </w:rPr>
            <w:t>36</w:t>
          </w:r>
          <w:r>
            <w:rPr>
              <w:sz w:val="28"/>
              <w:szCs w:val="21"/>
              <w:highlight w:val="none"/>
            </w:rPr>
            <w:fldChar w:fldCharType="end"/>
          </w:r>
          <w:r>
            <w:rPr>
              <w:sz w:val="28"/>
              <w:szCs w:val="21"/>
              <w:highlight w:val="none"/>
            </w:rPr>
            <w:fldChar w:fldCharType="end"/>
          </w:r>
        </w:p>
        <w:p w14:paraId="1F44FD70">
          <w:pPr>
            <w:pStyle w:val="17"/>
            <w:tabs>
              <w:tab w:val="right" w:leader="dot" w:pos="8787"/>
            </w:tabs>
            <w:spacing w:line="360" w:lineRule="auto"/>
            <w:rPr>
              <w:sz w:val="28"/>
              <w:szCs w:val="21"/>
              <w:highlight w:val="none"/>
            </w:rPr>
          </w:pPr>
          <w:r>
            <w:rPr>
              <w:highlight w:val="none"/>
            </w:rPr>
            <w:fldChar w:fldCharType="begin"/>
          </w:r>
          <w:r>
            <w:rPr>
              <w:highlight w:val="none"/>
            </w:rPr>
            <w:instrText xml:space="preserve"> HYPERLINK \l "_Toc2750" </w:instrText>
          </w:r>
          <w:r>
            <w:rPr>
              <w:highlight w:val="none"/>
            </w:rPr>
            <w:fldChar w:fldCharType="separate"/>
          </w:r>
          <w:r>
            <w:rPr>
              <w:rFonts w:hint="eastAsia" w:hAnsi="宋体" w:cs="宋体"/>
              <w:sz w:val="28"/>
              <w:szCs w:val="22"/>
              <w:highlight w:val="none"/>
            </w:rPr>
            <w:t xml:space="preserve">第六章 </w:t>
          </w:r>
          <w:r>
            <w:rPr>
              <w:rFonts w:hint="eastAsia" w:cs="宋体"/>
              <w:sz w:val="28"/>
              <w:szCs w:val="22"/>
              <w:highlight w:val="none"/>
            </w:rPr>
            <w:t xml:space="preserve"> </w:t>
          </w:r>
          <w:r>
            <w:rPr>
              <w:rFonts w:hint="eastAsia" w:hAnsi="宋体" w:cs="宋体"/>
              <w:sz w:val="28"/>
              <w:szCs w:val="22"/>
              <w:highlight w:val="none"/>
            </w:rPr>
            <w:t>竞争性磋商响应文件格式</w:t>
          </w:r>
          <w:r>
            <w:rPr>
              <w:sz w:val="28"/>
              <w:szCs w:val="21"/>
              <w:highlight w:val="none"/>
            </w:rPr>
            <w:tab/>
          </w:r>
          <w:r>
            <w:rPr>
              <w:sz w:val="28"/>
              <w:szCs w:val="21"/>
              <w:highlight w:val="none"/>
            </w:rPr>
            <w:fldChar w:fldCharType="begin"/>
          </w:r>
          <w:r>
            <w:rPr>
              <w:sz w:val="28"/>
              <w:szCs w:val="21"/>
              <w:highlight w:val="none"/>
            </w:rPr>
            <w:instrText xml:space="preserve"> PAGEREF _Toc2750 \h </w:instrText>
          </w:r>
          <w:r>
            <w:rPr>
              <w:sz w:val="28"/>
              <w:szCs w:val="21"/>
              <w:highlight w:val="none"/>
            </w:rPr>
            <w:fldChar w:fldCharType="separate"/>
          </w:r>
          <w:r>
            <w:rPr>
              <w:sz w:val="28"/>
              <w:szCs w:val="21"/>
              <w:highlight w:val="none"/>
            </w:rPr>
            <w:t>39</w:t>
          </w:r>
          <w:r>
            <w:rPr>
              <w:sz w:val="28"/>
              <w:szCs w:val="21"/>
              <w:highlight w:val="none"/>
            </w:rPr>
            <w:fldChar w:fldCharType="end"/>
          </w:r>
          <w:r>
            <w:rPr>
              <w:sz w:val="28"/>
              <w:szCs w:val="21"/>
              <w:highlight w:val="none"/>
            </w:rPr>
            <w:fldChar w:fldCharType="end"/>
          </w:r>
        </w:p>
        <w:p w14:paraId="046C3339">
          <w:pPr>
            <w:pStyle w:val="17"/>
            <w:tabs>
              <w:tab w:val="right" w:leader="dot" w:pos="8302"/>
            </w:tabs>
            <w:spacing w:line="360" w:lineRule="auto"/>
            <w:rPr>
              <w:rFonts w:hAnsi="宋体" w:cs="宋体"/>
              <w:bCs/>
              <w:sz w:val="36"/>
              <w:szCs w:val="36"/>
              <w:highlight w:val="none"/>
            </w:rPr>
          </w:pPr>
          <w:r>
            <w:rPr>
              <w:rFonts w:hint="eastAsia" w:hAnsi="宋体" w:cs="宋体"/>
              <w:bCs/>
              <w:sz w:val="28"/>
              <w:szCs w:val="40"/>
              <w:highlight w:val="none"/>
            </w:rPr>
            <w:fldChar w:fldCharType="end"/>
          </w:r>
        </w:p>
      </w:sdtContent>
    </w:sdt>
    <w:p w14:paraId="432B961B">
      <w:pPr>
        <w:pStyle w:val="2"/>
        <w:spacing w:before="312" w:beforeLines="100"/>
        <w:jc w:val="center"/>
        <w:rPr>
          <w:rFonts w:ascii="宋体" w:eastAsia="宋体" w:cs="宋体"/>
          <w:bCs/>
          <w:sz w:val="36"/>
          <w:szCs w:val="36"/>
          <w:highlight w:val="none"/>
        </w:rPr>
        <w:sectPr>
          <w:footerReference r:id="rId9" w:type="first"/>
          <w:footerReference r:id="rId8" w:type="default"/>
          <w:pgSz w:w="11906" w:h="16838"/>
          <w:pgMar w:top="1418" w:right="1418" w:bottom="1418" w:left="1701" w:header="851" w:footer="992" w:gutter="0"/>
          <w:pgNumType w:start="1"/>
          <w:cols w:space="720" w:num="1"/>
          <w:titlePg/>
          <w:docGrid w:type="lines" w:linePitch="312" w:charSpace="0"/>
        </w:sectPr>
      </w:pPr>
    </w:p>
    <w:p w14:paraId="25567CDE">
      <w:pPr>
        <w:pStyle w:val="2"/>
        <w:keepNext w:val="0"/>
        <w:keepLines/>
        <w:pageBreakBefore/>
        <w:spacing w:before="156" w:beforeLines="50" w:after="156" w:afterLines="50" w:line="360" w:lineRule="auto"/>
        <w:jc w:val="center"/>
        <w:rPr>
          <w:rFonts w:ascii="宋体" w:eastAsia="宋体" w:cs="宋体"/>
          <w:bCs/>
          <w:sz w:val="36"/>
          <w:szCs w:val="36"/>
          <w:highlight w:val="none"/>
        </w:rPr>
      </w:pPr>
      <w:bookmarkStart w:id="12" w:name="_Toc25782"/>
      <w:bookmarkStart w:id="13" w:name="_Toc423973071"/>
      <w:bookmarkStart w:id="14" w:name="_Toc2705"/>
      <w:bookmarkStart w:id="15" w:name="_Toc30717"/>
      <w:r>
        <w:rPr>
          <w:rFonts w:hint="eastAsia" w:ascii="宋体" w:eastAsia="宋体" w:cs="宋体"/>
          <w:bCs/>
          <w:sz w:val="36"/>
          <w:szCs w:val="36"/>
          <w:highlight w:val="none"/>
        </w:rPr>
        <w:t xml:space="preserve">第一章  </w:t>
      </w:r>
      <w:bookmarkEnd w:id="1"/>
      <w:bookmarkEnd w:id="2"/>
      <w:bookmarkEnd w:id="3"/>
      <w:bookmarkEnd w:id="4"/>
      <w:bookmarkEnd w:id="5"/>
      <w:bookmarkEnd w:id="6"/>
      <w:bookmarkEnd w:id="7"/>
      <w:r>
        <w:rPr>
          <w:rFonts w:hint="eastAsia" w:ascii="宋体" w:eastAsia="宋体" w:cs="宋体"/>
          <w:bCs/>
          <w:sz w:val="36"/>
          <w:szCs w:val="36"/>
          <w:highlight w:val="none"/>
        </w:rPr>
        <w:t>竞争性磋商公告</w:t>
      </w:r>
      <w:bookmarkEnd w:id="8"/>
      <w:bookmarkEnd w:id="12"/>
      <w:bookmarkEnd w:id="13"/>
      <w:bookmarkEnd w:id="14"/>
      <w:bookmarkEnd w:id="15"/>
    </w:p>
    <w:p w14:paraId="47FBE4E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sz w:val="24"/>
          <w:szCs w:val="24"/>
          <w:highlight w:val="none"/>
        </w:rPr>
      </w:pPr>
      <w:bookmarkStart w:id="16" w:name="_Toc389582035"/>
      <w:bookmarkStart w:id="17" w:name="_Toc2929"/>
      <w:bookmarkStart w:id="18" w:name="_Toc423973072"/>
      <w:bookmarkStart w:id="19" w:name="_Toc14793"/>
      <w:bookmarkStart w:id="20" w:name="_Toc4831"/>
      <w:bookmarkStart w:id="21" w:name="_Toc3334"/>
      <w:bookmarkStart w:id="22" w:name="_Toc29249"/>
      <w:r>
        <w:rPr>
          <w:rStyle w:val="25"/>
          <w:rFonts w:hint="eastAsia" w:ascii="宋体" w:hAnsi="宋体" w:eastAsia="宋体" w:cs="宋体"/>
          <w:b/>
          <w:bCs/>
          <w:i w:val="0"/>
          <w:iCs w:val="0"/>
          <w:caps w:val="0"/>
          <w:color w:val="333333"/>
          <w:spacing w:val="0"/>
          <w:sz w:val="24"/>
          <w:szCs w:val="24"/>
          <w:highlight w:val="none"/>
          <w:shd w:val="clear" w:fill="FFFFFF"/>
          <w:vertAlign w:val="baseline"/>
        </w:rPr>
        <w:t>项目概况</w:t>
      </w:r>
    </w:p>
    <w:p w14:paraId="5B5985E5">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cs="宋体"/>
          <w:i w:val="0"/>
          <w:iCs w:val="0"/>
          <w:caps w:val="0"/>
          <w:color w:val="333333"/>
          <w:spacing w:val="0"/>
          <w:sz w:val="24"/>
          <w:szCs w:val="24"/>
          <w:highlight w:val="none"/>
          <w:shd w:val="clear" w:fill="FFFFFF"/>
          <w:vertAlign w:val="baseline"/>
          <w:lang w:eastAsia="zh-CN"/>
        </w:rPr>
        <w:t>军休干部住院慰问及重点慰问品采购</w:t>
      </w:r>
      <w:r>
        <w:rPr>
          <w:rFonts w:hint="eastAsia" w:ascii="宋体" w:hAnsi="宋体" w:eastAsia="宋体" w:cs="宋体"/>
          <w:i w:val="0"/>
          <w:iCs w:val="0"/>
          <w:caps w:val="0"/>
          <w:color w:val="333333"/>
          <w:spacing w:val="0"/>
          <w:sz w:val="24"/>
          <w:szCs w:val="24"/>
          <w:highlight w:val="none"/>
          <w:shd w:val="clear" w:fill="FFFFFF"/>
          <w:vertAlign w:val="baseline"/>
        </w:rPr>
        <w:t>采购项目的潜在供应商应在</w:t>
      </w:r>
      <w:r>
        <w:rPr>
          <w:rFonts w:hint="eastAsia" w:cs="宋体"/>
          <w:i w:val="0"/>
          <w:iCs w:val="0"/>
          <w:caps w:val="0"/>
          <w:color w:val="333333"/>
          <w:spacing w:val="0"/>
          <w:sz w:val="24"/>
          <w:szCs w:val="24"/>
          <w:highlight w:val="none"/>
          <w:shd w:val="clear" w:fill="FFFFFF"/>
          <w:vertAlign w:val="baseline"/>
          <w:lang w:eastAsia="zh-CN"/>
        </w:rPr>
        <w:t>陕西省西安市经济技术开发区未央路171-1号银池道拉斯财富中心21楼03室</w:t>
      </w:r>
      <w:r>
        <w:rPr>
          <w:rFonts w:hint="eastAsia" w:ascii="宋体" w:hAnsi="宋体" w:eastAsia="宋体" w:cs="宋体"/>
          <w:i w:val="0"/>
          <w:iCs w:val="0"/>
          <w:caps w:val="0"/>
          <w:color w:val="333333"/>
          <w:spacing w:val="0"/>
          <w:sz w:val="24"/>
          <w:szCs w:val="24"/>
          <w:highlight w:val="none"/>
          <w:shd w:val="clear" w:fill="FFFFFF"/>
          <w:vertAlign w:val="baseline"/>
        </w:rPr>
        <w:t>获取采购文件，并于2025年09月09日 14时30分（北京时间）前提交响应文件。</w:t>
      </w:r>
    </w:p>
    <w:p w14:paraId="2FA6F6D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一、项目基本情况</w:t>
      </w:r>
    </w:p>
    <w:p w14:paraId="6F393B9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项目编号：</w:t>
      </w:r>
      <w:r>
        <w:rPr>
          <w:rFonts w:hint="eastAsia" w:cs="宋体"/>
          <w:i w:val="0"/>
          <w:iCs w:val="0"/>
          <w:caps w:val="0"/>
          <w:color w:val="333333"/>
          <w:spacing w:val="0"/>
          <w:sz w:val="24"/>
          <w:szCs w:val="24"/>
          <w:highlight w:val="none"/>
          <w:shd w:val="clear" w:fill="FFFFFF"/>
          <w:vertAlign w:val="baseline"/>
          <w:lang w:eastAsia="zh-CN"/>
        </w:rPr>
        <w:t>SXZCZB2025-ZCCS-0812</w:t>
      </w:r>
    </w:p>
    <w:p w14:paraId="2B4AE19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项目名称：</w:t>
      </w:r>
      <w:r>
        <w:rPr>
          <w:rFonts w:hint="eastAsia" w:cs="宋体"/>
          <w:i w:val="0"/>
          <w:iCs w:val="0"/>
          <w:caps w:val="0"/>
          <w:color w:val="333333"/>
          <w:spacing w:val="0"/>
          <w:sz w:val="24"/>
          <w:szCs w:val="24"/>
          <w:highlight w:val="none"/>
          <w:shd w:val="clear" w:fill="FFFFFF"/>
          <w:vertAlign w:val="baseline"/>
          <w:lang w:eastAsia="zh-CN"/>
        </w:rPr>
        <w:t>军休干部住院慰问及重点慰问品采购</w:t>
      </w:r>
    </w:p>
    <w:p w14:paraId="546CAD7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default" w:ascii="宋体" w:hAnsi="宋体" w:eastAsia="宋体" w:cs="宋体"/>
          <w:i w:val="0"/>
          <w:iCs w:val="0"/>
          <w:caps w:val="0"/>
          <w:color w:val="333333"/>
          <w:spacing w:val="0"/>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rPr>
        <w:t>采购方式：</w:t>
      </w:r>
      <w:r>
        <w:rPr>
          <w:rFonts w:hint="eastAsia" w:cs="宋体"/>
          <w:i w:val="0"/>
          <w:iCs w:val="0"/>
          <w:caps w:val="0"/>
          <w:color w:val="333333"/>
          <w:spacing w:val="0"/>
          <w:sz w:val="24"/>
          <w:szCs w:val="24"/>
          <w:highlight w:val="none"/>
          <w:shd w:val="clear" w:fill="FFFFFF"/>
          <w:vertAlign w:val="baseline"/>
          <w:lang w:val="en-US" w:eastAsia="zh-CN"/>
        </w:rPr>
        <w:t>竞争性磋商</w:t>
      </w:r>
    </w:p>
    <w:p w14:paraId="113B8A7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预算金额：</w:t>
      </w:r>
      <w:r>
        <w:rPr>
          <w:rFonts w:hint="eastAsia" w:cs="宋体"/>
          <w:i w:val="0"/>
          <w:iCs w:val="0"/>
          <w:caps w:val="0"/>
          <w:color w:val="333333"/>
          <w:spacing w:val="0"/>
          <w:sz w:val="24"/>
          <w:szCs w:val="24"/>
          <w:highlight w:val="none"/>
          <w:shd w:val="clear" w:fill="FFFFFF"/>
          <w:vertAlign w:val="baseline"/>
          <w:lang w:val="en-US" w:eastAsia="zh-CN"/>
        </w:rPr>
        <w:t>291000.00</w:t>
      </w:r>
      <w:r>
        <w:rPr>
          <w:rFonts w:hint="eastAsia" w:ascii="宋体" w:hAnsi="宋体" w:eastAsia="宋体" w:cs="宋体"/>
          <w:i w:val="0"/>
          <w:iCs w:val="0"/>
          <w:caps w:val="0"/>
          <w:color w:val="333333"/>
          <w:spacing w:val="0"/>
          <w:sz w:val="24"/>
          <w:szCs w:val="24"/>
          <w:highlight w:val="none"/>
          <w:shd w:val="clear" w:fill="FFFFFF"/>
          <w:vertAlign w:val="baseline"/>
        </w:rPr>
        <w:t>元</w:t>
      </w:r>
      <w:bookmarkStart w:id="181" w:name="_GoBack"/>
      <w:bookmarkEnd w:id="181"/>
    </w:p>
    <w:p w14:paraId="52459715">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采购需求：</w:t>
      </w:r>
    </w:p>
    <w:p w14:paraId="5A317E2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cs="宋体"/>
          <w:i w:val="0"/>
          <w:iCs w:val="0"/>
          <w:caps w:val="0"/>
          <w:color w:val="333333"/>
          <w:spacing w:val="0"/>
          <w:sz w:val="24"/>
          <w:szCs w:val="24"/>
          <w:highlight w:val="none"/>
          <w:shd w:val="clear" w:fill="FFFFFF"/>
          <w:vertAlign w:val="baseline"/>
          <w:lang w:eastAsia="zh-CN"/>
        </w:rPr>
        <w:t>军休干部住院慰问及重点慰问品采购</w:t>
      </w:r>
      <w:r>
        <w:rPr>
          <w:rFonts w:hint="eastAsia" w:ascii="宋体" w:hAnsi="宋体" w:eastAsia="宋体" w:cs="宋体"/>
          <w:i w:val="0"/>
          <w:iCs w:val="0"/>
          <w:caps w:val="0"/>
          <w:color w:val="333333"/>
          <w:spacing w:val="0"/>
          <w:sz w:val="24"/>
          <w:szCs w:val="24"/>
          <w:highlight w:val="none"/>
          <w:shd w:val="clear" w:fill="FFFFFF"/>
          <w:vertAlign w:val="baseline"/>
        </w:rPr>
        <w:t>):</w:t>
      </w:r>
    </w:p>
    <w:p w14:paraId="3AF1A11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w:t>
      </w:r>
      <w:r>
        <w:rPr>
          <w:rFonts w:hint="eastAsia" w:cs="宋体"/>
          <w:i w:val="0"/>
          <w:iCs w:val="0"/>
          <w:caps w:val="0"/>
          <w:color w:val="333333"/>
          <w:spacing w:val="0"/>
          <w:sz w:val="24"/>
          <w:szCs w:val="24"/>
          <w:highlight w:val="none"/>
          <w:shd w:val="clear" w:fill="FFFFFF"/>
          <w:vertAlign w:val="baseline"/>
          <w:lang w:val="en-US" w:eastAsia="zh-CN"/>
        </w:rPr>
        <w:t>291000.00</w:t>
      </w:r>
      <w:r>
        <w:rPr>
          <w:rFonts w:hint="eastAsia" w:ascii="宋体" w:hAnsi="宋体" w:eastAsia="宋体" w:cs="宋体"/>
          <w:i w:val="0"/>
          <w:iCs w:val="0"/>
          <w:caps w:val="0"/>
          <w:color w:val="333333"/>
          <w:spacing w:val="0"/>
          <w:sz w:val="24"/>
          <w:szCs w:val="24"/>
          <w:highlight w:val="none"/>
          <w:shd w:val="clear" w:fill="FFFFFF"/>
          <w:vertAlign w:val="baseline"/>
        </w:rPr>
        <w:t>元</w:t>
      </w:r>
    </w:p>
    <w:p w14:paraId="33751D3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lang w:eastAsia="zh-CN"/>
        </w:rPr>
        <w:t>合同包最高限价：</w:t>
      </w:r>
      <w:r>
        <w:rPr>
          <w:rFonts w:hint="eastAsia" w:cs="宋体"/>
          <w:i w:val="0"/>
          <w:iCs w:val="0"/>
          <w:caps w:val="0"/>
          <w:color w:val="333333"/>
          <w:spacing w:val="0"/>
          <w:sz w:val="24"/>
          <w:szCs w:val="24"/>
          <w:highlight w:val="none"/>
          <w:shd w:val="clear" w:fill="FFFFFF"/>
          <w:vertAlign w:val="baseline"/>
          <w:lang w:val="en-US" w:eastAsia="zh-CN"/>
        </w:rPr>
        <w:t>291000.00</w:t>
      </w:r>
      <w:r>
        <w:rPr>
          <w:rFonts w:hint="eastAsia" w:ascii="宋体" w:hAnsi="宋体" w:eastAsia="宋体" w:cs="宋体"/>
          <w:i w:val="0"/>
          <w:iCs w:val="0"/>
          <w:caps w:val="0"/>
          <w:color w:val="333333"/>
          <w:spacing w:val="0"/>
          <w:sz w:val="24"/>
          <w:szCs w:val="24"/>
          <w:highlight w:val="none"/>
          <w:shd w:val="clear" w:fill="FFFFFF"/>
          <w:vertAlign w:val="baseline"/>
        </w:rPr>
        <w:t>元</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92"/>
        <w:gridCol w:w="1649"/>
        <w:gridCol w:w="1301"/>
        <w:gridCol w:w="1126"/>
        <w:gridCol w:w="1556"/>
        <w:gridCol w:w="1557"/>
        <w:gridCol w:w="1557"/>
      </w:tblGrid>
      <w:tr w14:paraId="7BE9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F7E2AC">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03FA22">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1C7AC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11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D5A5E2">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15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CE005C">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85DAD2">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F1A2F9">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最高限价(元)</w:t>
            </w:r>
          </w:p>
        </w:tc>
      </w:tr>
      <w:tr w14:paraId="799C9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3EF9B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71AFC7">
            <w:pPr>
              <w:keepNext w:val="0"/>
              <w:keepLines w:val="0"/>
              <w:widowControl/>
              <w:suppressLineNumbers w:val="0"/>
              <w:wordWrap w:val="0"/>
              <w:spacing w:before="0" w:beforeAutospacing="0" w:after="0" w:afterAutospacing="0" w:line="360" w:lineRule="atLeast"/>
              <w:ind w:left="0" w:right="0"/>
              <w:jc w:val="center"/>
              <w:textAlignment w:val="center"/>
              <w:rPr>
                <w:rFonts w:hint="default" w:ascii="宋体" w:hAnsi="宋体" w:eastAsia="宋体" w:cs="宋体"/>
                <w:sz w:val="24"/>
                <w:szCs w:val="24"/>
                <w:highlight w:val="none"/>
                <w:lang w:val="en-US" w:eastAsia="zh-CN"/>
              </w:rPr>
            </w:pPr>
            <w:r>
              <w:rPr>
                <w:rFonts w:hint="eastAsia" w:hAnsi="宋体" w:cs="宋体"/>
                <w:sz w:val="24"/>
                <w:szCs w:val="24"/>
                <w:highlight w:val="none"/>
                <w:lang w:val="en-US" w:eastAsia="zh-CN"/>
              </w:rPr>
              <w:t>食品、粮油副食品</w:t>
            </w:r>
          </w:p>
        </w:tc>
        <w:tc>
          <w:tcPr>
            <w:tcW w:w="13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57236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宋体" w:hAnsi="宋体" w:eastAsia="宋体" w:cs="宋体"/>
                <w:sz w:val="24"/>
                <w:szCs w:val="24"/>
                <w:highlight w:val="none"/>
                <w:lang w:eastAsia="zh-CN"/>
              </w:rPr>
            </w:pPr>
            <w:r>
              <w:rPr>
                <w:rFonts w:hint="eastAsia" w:cs="宋体"/>
                <w:sz w:val="24"/>
                <w:szCs w:val="24"/>
                <w:highlight w:val="none"/>
                <w:lang w:eastAsia="zh-CN"/>
              </w:rPr>
              <w:t>军休干部住院慰问及重点慰问品采购</w:t>
            </w:r>
          </w:p>
        </w:tc>
        <w:tc>
          <w:tcPr>
            <w:tcW w:w="11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050D50">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hAnsi="宋体" w:cs="宋体"/>
                <w:sz w:val="24"/>
                <w:szCs w:val="24"/>
                <w:highlight w:val="none"/>
                <w:lang w:val="en-US" w:eastAsia="zh-CN"/>
              </w:rPr>
              <w:t>项</w:t>
            </w:r>
            <w:r>
              <w:rPr>
                <w:rFonts w:hint="eastAsia" w:ascii="宋体" w:hAnsi="宋体" w:eastAsia="宋体" w:cs="宋体"/>
                <w:sz w:val="24"/>
                <w:szCs w:val="24"/>
                <w:highlight w:val="none"/>
              </w:rPr>
              <w:t>)</w:t>
            </w:r>
          </w:p>
        </w:tc>
        <w:tc>
          <w:tcPr>
            <w:tcW w:w="15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31D15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w:t>
            </w:r>
            <w:r>
              <w:rPr>
                <w:rFonts w:hint="eastAsia" w:hAnsi="宋体" w:cs="宋体"/>
                <w:kern w:val="0"/>
                <w:sz w:val="24"/>
                <w:szCs w:val="24"/>
                <w:highlight w:val="none"/>
                <w:lang w:val="en-US" w:eastAsia="zh-CN" w:bidi="ar"/>
              </w:rPr>
              <w:t>采购</w:t>
            </w:r>
            <w:r>
              <w:rPr>
                <w:rFonts w:hint="eastAsia" w:ascii="宋体" w:hAnsi="宋体" w:eastAsia="宋体" w:cs="宋体"/>
                <w:kern w:val="0"/>
                <w:sz w:val="24"/>
                <w:szCs w:val="24"/>
                <w:highlight w:val="none"/>
                <w:lang w:val="en-US" w:eastAsia="zh-CN" w:bidi="ar"/>
              </w:rPr>
              <w:t>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A56CFC">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4"/>
                <w:szCs w:val="24"/>
                <w:highlight w:val="none"/>
              </w:rPr>
            </w:pPr>
            <w:r>
              <w:rPr>
                <w:rFonts w:hint="eastAsia" w:cs="宋体"/>
                <w:i w:val="0"/>
                <w:iCs w:val="0"/>
                <w:caps w:val="0"/>
                <w:color w:val="333333"/>
                <w:spacing w:val="0"/>
                <w:sz w:val="24"/>
                <w:szCs w:val="24"/>
                <w:highlight w:val="none"/>
                <w:shd w:val="clear" w:fill="FFFFFF"/>
                <w:vertAlign w:val="baseline"/>
                <w:lang w:val="en-US" w:eastAsia="zh-CN"/>
              </w:rPr>
              <w:t>291000.00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8178DE">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4"/>
                <w:szCs w:val="24"/>
                <w:highlight w:val="none"/>
              </w:rPr>
            </w:pPr>
            <w:r>
              <w:rPr>
                <w:rFonts w:hint="eastAsia" w:cs="宋体"/>
                <w:i w:val="0"/>
                <w:iCs w:val="0"/>
                <w:caps w:val="0"/>
                <w:color w:val="333333"/>
                <w:spacing w:val="0"/>
                <w:sz w:val="24"/>
                <w:szCs w:val="24"/>
                <w:highlight w:val="none"/>
                <w:shd w:val="clear" w:fill="FFFFFF"/>
                <w:vertAlign w:val="baseline"/>
                <w:lang w:val="en-US" w:eastAsia="zh-CN"/>
              </w:rPr>
              <w:t>291000.00</w:t>
            </w:r>
          </w:p>
        </w:tc>
      </w:tr>
    </w:tbl>
    <w:p w14:paraId="623F4A99">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磋商</w:t>
      </w:r>
    </w:p>
    <w:p w14:paraId="34A8E375">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05BABC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二、申请人的资格要求：</w:t>
      </w:r>
    </w:p>
    <w:p w14:paraId="18B9715D">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1.满足《中华人民共和国政府采购法》第二十二条规定;</w:t>
      </w:r>
    </w:p>
    <w:p w14:paraId="2CF0C425">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2.落实政府采购政策需满足的资格要求：</w:t>
      </w:r>
    </w:p>
    <w:p w14:paraId="175CEED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cs="宋体"/>
          <w:i w:val="0"/>
          <w:iCs w:val="0"/>
          <w:caps w:val="0"/>
          <w:color w:val="333333"/>
          <w:spacing w:val="0"/>
          <w:sz w:val="24"/>
          <w:szCs w:val="24"/>
          <w:highlight w:val="none"/>
          <w:shd w:val="clear" w:fill="FFFFFF"/>
          <w:vertAlign w:val="baseline"/>
          <w:lang w:eastAsia="zh-CN"/>
        </w:rPr>
        <w:t>军休干部住院慰问及重点慰问品采购</w:t>
      </w:r>
      <w:r>
        <w:rPr>
          <w:rFonts w:hint="eastAsia" w:ascii="宋体" w:hAnsi="宋体" w:eastAsia="宋体" w:cs="宋体"/>
          <w:i w:val="0"/>
          <w:iCs w:val="0"/>
          <w:caps w:val="0"/>
          <w:color w:val="333333"/>
          <w:spacing w:val="0"/>
          <w:sz w:val="24"/>
          <w:szCs w:val="24"/>
          <w:highlight w:val="none"/>
          <w:shd w:val="clear" w:fill="FFFFFF"/>
          <w:vertAlign w:val="baseline"/>
        </w:rPr>
        <w:t>)落实政府采购政策需满足的资格要求如下:</w:t>
      </w:r>
    </w:p>
    <w:p w14:paraId="138C82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（1）《政府采购促进中小企业发展管理办法》（财库〔2020〕46号）；</w:t>
      </w:r>
    </w:p>
    <w:p w14:paraId="001CCF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（2）《财政部司法部关于政府采购支持监狱企业发展有关问题的通知》（财库〔2014〕68号）；</w:t>
      </w:r>
    </w:p>
    <w:p w14:paraId="03EAF5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（3）《关于促进残疾人就业政府采购政策的通知》（财库〔2017〕141号）；</w:t>
      </w:r>
    </w:p>
    <w:p w14:paraId="77FD93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（4）《节能产品政府采购实施意见》（财库〔2004〕185号）；</w:t>
      </w:r>
    </w:p>
    <w:p w14:paraId="101374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（5）《环境标志产品政府采购实施的意见》（财库〔2006〕90号）；</w:t>
      </w:r>
    </w:p>
    <w:p w14:paraId="67FB25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（6）《国务院办公厅关于建立政府强制采购节能产品制度的通知》（国办发〔2007〕51号）；</w:t>
      </w:r>
    </w:p>
    <w:p w14:paraId="1519C3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（7）财政部发展改革委生态环境部市场监管总局关于调整优化节能产品、环境标志产品政府采购执行机制的通知（财库〔2019〕9号）；</w:t>
      </w:r>
    </w:p>
    <w:p w14:paraId="7B8C55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（8）《关于印发环境标志产品政府采购品目清单的通知》（财库〔2019〕18号）；</w:t>
      </w:r>
    </w:p>
    <w:p w14:paraId="1F6EDD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（9）《关于印发节能产品政府采购品目清单的通知》（财库〔2019〕19号）；</w:t>
      </w:r>
    </w:p>
    <w:p w14:paraId="1D33C2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（10）《市场监督</w:t>
      </w:r>
      <w:r>
        <w:rPr>
          <w:rFonts w:hint="eastAsia" w:hAnsi="宋体" w:cs="宋体"/>
          <w:i w:val="0"/>
          <w:iCs w:val="0"/>
          <w:caps w:val="0"/>
          <w:color w:val="333333"/>
          <w:spacing w:val="0"/>
          <w:kern w:val="0"/>
          <w:sz w:val="24"/>
          <w:szCs w:val="24"/>
          <w:highlight w:val="none"/>
          <w:shd w:val="clear" w:fill="FFFFFF"/>
          <w:vertAlign w:val="baseline"/>
          <w:lang w:val="en-US" w:eastAsia="zh-CN" w:bidi="ar-SA"/>
        </w:rPr>
        <w:t>管理局</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关于发布参与实施政府采购节能产品、环境标志产品认证机构名录的公告》（2019年第16号）；</w:t>
      </w:r>
    </w:p>
    <w:p w14:paraId="45B91B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（11）《关于运用政府采购政策支持乡村产业振兴的通知》（财库〔2021〕19号）；</w:t>
      </w:r>
    </w:p>
    <w:p w14:paraId="73CE6A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（12）陕西省财政厅关于印发《陕西省中小企业政府采购信用融资办法》（陕财办采〔2018〕23号），相关政策、业务流程、办理平台（详见http://www.ccgp-shaanxi.gov.cn/zcdservice/zcd/shanxi/）；</w:t>
      </w:r>
    </w:p>
    <w:p w14:paraId="0886DD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（13）《陕西省财政厅关于加快推进我省中小企业政府采购信用融资工作的通知》（陕财办采〔2020〕15号）；</w:t>
      </w:r>
    </w:p>
    <w:p w14:paraId="5D53CF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（14）《关于进一步加强政府绿色采购有关问题的通知》（陕财办采〔2021〕29号）；</w:t>
      </w:r>
    </w:p>
    <w:p w14:paraId="12A5EA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（15）《陕西省财政厅陕西省工业和信息化厅关于运用政府采购政策支持首台（套）及创新产品有关事项的通知》（陕财办采〔2021〕17号）；</w:t>
      </w:r>
    </w:p>
    <w:p w14:paraId="4F34FA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（16）《关于进一步加大政府采购支持中小企业力度的通知》（财库〔2022〕19号）、《关于落实政府采购支持中小企业政策有关事项的通知》（陕财办采函〔2022〕10号）；</w:t>
      </w:r>
    </w:p>
    <w:p w14:paraId="41BD39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（17）其他需要落实的政府采购政策。</w:t>
      </w:r>
    </w:p>
    <w:p w14:paraId="4248B8D4">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3.本项目的特定资格要求：</w:t>
      </w:r>
    </w:p>
    <w:p w14:paraId="6486AB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合同包1(</w:t>
      </w:r>
      <w:r>
        <w:rPr>
          <w:rFonts w:hint="eastAsia" w:hAnsi="宋体" w:cs="宋体"/>
          <w:i w:val="0"/>
          <w:iCs w:val="0"/>
          <w:caps w:val="0"/>
          <w:color w:val="333333"/>
          <w:spacing w:val="0"/>
          <w:kern w:val="0"/>
          <w:sz w:val="24"/>
          <w:szCs w:val="24"/>
          <w:highlight w:val="none"/>
          <w:shd w:val="clear" w:fill="FFFFFF"/>
          <w:vertAlign w:val="baseline"/>
          <w:lang w:val="en-US" w:eastAsia="zh-CN" w:bidi="ar-SA"/>
        </w:rPr>
        <w:t>军休干部住院慰问及重点慰问品采购</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)特定资格要求如下:</w:t>
      </w:r>
    </w:p>
    <w:p w14:paraId="4956BC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（1）具有独立承担民事责任能力的法人、其他组织或自然人，并出具合法有效的统一社会信用代码的营业执照或事业单位法人证书 等国家规定的相关证明，自然人参与的提供其身份证明； </w:t>
      </w:r>
    </w:p>
    <w:p w14:paraId="6ACF1D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（2）提供法定代表人授权书（附法定代表人、被授权人身份证复印件），法定代表人直接参加磋商，须提供法定代表人身份证明（ 附法定代表人身份证复印件）； </w:t>
      </w:r>
    </w:p>
    <w:p w14:paraId="15BF6C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hAnsi="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（3）财务状况报告：提供</w:t>
      </w:r>
      <w:r>
        <w:rPr>
          <w:rFonts w:hint="eastAsia" w:hAnsi="宋体" w:cs="宋体"/>
          <w:i w:val="0"/>
          <w:iCs w:val="0"/>
          <w:caps w:val="0"/>
          <w:color w:val="333333"/>
          <w:spacing w:val="0"/>
          <w:kern w:val="0"/>
          <w:sz w:val="24"/>
          <w:szCs w:val="24"/>
          <w:highlight w:val="none"/>
          <w:shd w:val="clear" w:fill="FFFFFF"/>
          <w:vertAlign w:val="baseline"/>
          <w:lang w:val="en-US" w:eastAsia="zh-CN" w:bidi="ar-SA"/>
        </w:rPr>
        <w:t>2024年度</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的财务审计报告（成立时间至提交响应文件截止时间不足一年的可提供成立后任意时段的资产负债表），或开标时间前六个月内银行出具的资信证明； </w:t>
      </w:r>
      <w:r>
        <w:rPr>
          <w:rFonts w:hint="eastAsia" w:hAnsi="宋体" w:cs="宋体"/>
          <w:i w:val="0"/>
          <w:iCs w:val="0"/>
          <w:caps w:val="0"/>
          <w:color w:val="333333"/>
          <w:spacing w:val="0"/>
          <w:kern w:val="0"/>
          <w:sz w:val="24"/>
          <w:szCs w:val="24"/>
          <w:highlight w:val="none"/>
          <w:shd w:val="clear" w:fill="FFFFFF"/>
          <w:vertAlign w:val="baseline"/>
          <w:lang w:val="en-US" w:eastAsia="zh-CN" w:bidi="ar-SA"/>
        </w:rPr>
        <w:t xml:space="preserve"> </w:t>
      </w:r>
    </w:p>
    <w:p w14:paraId="241780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（4）</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税收缴纳证明：提供响应文件截止日前一年内已缴纳的至少一个月的纳税证明或完税证明（任意税种），依法免税的单位应提供相关证明材料</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 </w:t>
      </w:r>
    </w:p>
    <w:p w14:paraId="7984FA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5）社会保障资金缴纳证明：提供响应文件截止日前一年内已缴存的至少一个月的社会保障资金缴存单据或社保机构开具的社会保险参保缴费情况证明，依法不需要缴纳社会保障资金的单位应提供相关证明材料； </w:t>
      </w:r>
    </w:p>
    <w:p w14:paraId="601D04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6</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）提供具有履行本合同所必需的设备和专业技术能力的说明及承诺书； </w:t>
      </w:r>
    </w:p>
    <w:p w14:paraId="1A1746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7</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）供应商应通过</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信用中国</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网站</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(www.creditchina.gov.cn)</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、中国政府采购网</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(www.ccgp.gov.cn)</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查询相关主体信用记录； </w:t>
      </w:r>
    </w:p>
    <w:p w14:paraId="2B8E49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8</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）参加政府采购活动前</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3</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年内，在经营活动中没有重大违法记录的书面声明； </w:t>
      </w:r>
    </w:p>
    <w:p w14:paraId="5012A9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9</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供应商为生产厂家的须提供《食品生产许可证》，供应商为代理商的须提供《食品经营许可证》</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 </w:t>
      </w:r>
    </w:p>
    <w:p w14:paraId="598E91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10</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）本项目不接受联合体磋商（提供承诺书）。 </w:t>
      </w:r>
    </w:p>
    <w:p w14:paraId="719630F5">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Chars="0" w:right="0" w:rightChars="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三、获取</w:t>
      </w:r>
      <w:r>
        <w:rPr>
          <w:rStyle w:val="25"/>
          <w:rFonts w:hint="eastAsia" w:ascii="宋体" w:hAnsi="宋体" w:eastAsia="宋体" w:cs="宋体"/>
          <w:b/>
          <w:bCs/>
          <w:i w:val="0"/>
          <w:iCs w:val="0"/>
          <w:caps w:val="0"/>
          <w:color w:val="333333"/>
          <w:spacing w:val="0"/>
          <w:sz w:val="24"/>
          <w:szCs w:val="24"/>
          <w:highlight w:val="none"/>
          <w:shd w:val="clear" w:fill="FFFFFF"/>
          <w:vertAlign w:val="baseline"/>
          <w:lang w:val="en-US" w:eastAsia="zh-CN"/>
        </w:rPr>
        <w:t>采购</w:t>
      </w:r>
      <w:r>
        <w:rPr>
          <w:rStyle w:val="25"/>
          <w:rFonts w:hint="eastAsia" w:ascii="宋体" w:hAnsi="宋体" w:eastAsia="宋体" w:cs="宋体"/>
          <w:b/>
          <w:bCs/>
          <w:i w:val="0"/>
          <w:iCs w:val="0"/>
          <w:caps w:val="0"/>
          <w:color w:val="333333"/>
          <w:spacing w:val="0"/>
          <w:sz w:val="24"/>
          <w:szCs w:val="24"/>
          <w:highlight w:val="none"/>
          <w:shd w:val="clear" w:fill="FFFFFF"/>
          <w:vertAlign w:val="baseline"/>
        </w:rPr>
        <w:t>文件</w:t>
      </w:r>
    </w:p>
    <w:p w14:paraId="17CC5BC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时间：2025年08月27日 至 2025年09月02日，每天上午 09:00:00 至 12:00:00 ，下午 14:00:00 至 17:00:00 （北京时间）</w:t>
      </w:r>
    </w:p>
    <w:p w14:paraId="420A2A5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途径：</w:t>
      </w:r>
      <w:r>
        <w:rPr>
          <w:rFonts w:hint="eastAsia" w:cs="宋体"/>
          <w:i w:val="0"/>
          <w:iCs w:val="0"/>
          <w:caps w:val="0"/>
          <w:color w:val="333333"/>
          <w:spacing w:val="0"/>
          <w:sz w:val="24"/>
          <w:szCs w:val="24"/>
          <w:highlight w:val="none"/>
          <w:shd w:val="clear" w:fill="FFFFFF"/>
          <w:vertAlign w:val="baseline"/>
          <w:lang w:eastAsia="zh-CN"/>
        </w:rPr>
        <w:t>陕西省西安市经济技术开发区未央路171-1号银池道拉斯财富中心21楼</w:t>
      </w:r>
    </w:p>
    <w:p w14:paraId="3F5DD69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方式：现场获取</w:t>
      </w:r>
    </w:p>
    <w:p w14:paraId="3F6346F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default" w:ascii="宋体" w:hAnsi="宋体" w:eastAsia="宋体" w:cs="宋体"/>
          <w:i w:val="0"/>
          <w:iCs w:val="0"/>
          <w:caps w:val="0"/>
          <w:color w:val="333333"/>
          <w:spacing w:val="0"/>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rPr>
        <w:t>售价：</w:t>
      </w:r>
      <w:r>
        <w:rPr>
          <w:rFonts w:hint="eastAsia" w:cs="宋体"/>
          <w:i w:val="0"/>
          <w:iCs w:val="0"/>
          <w:caps w:val="0"/>
          <w:color w:val="333333"/>
          <w:spacing w:val="0"/>
          <w:sz w:val="24"/>
          <w:szCs w:val="24"/>
          <w:highlight w:val="none"/>
          <w:shd w:val="clear" w:fill="FFFFFF"/>
          <w:vertAlign w:val="baseline"/>
          <w:lang w:val="en-US" w:eastAsia="zh-CN"/>
        </w:rPr>
        <w:t>0元</w:t>
      </w:r>
    </w:p>
    <w:p w14:paraId="72CEAA2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四、响应文件提交</w:t>
      </w:r>
    </w:p>
    <w:p w14:paraId="53D8AC7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截止时间：2025年09月09日 14时30分</w:t>
      </w:r>
      <w:r>
        <w:rPr>
          <w:rFonts w:hint="eastAsia" w:cs="宋体"/>
          <w:i w:val="0"/>
          <w:iCs w:val="0"/>
          <w:caps w:val="0"/>
          <w:color w:val="333333"/>
          <w:spacing w:val="0"/>
          <w:sz w:val="24"/>
          <w:szCs w:val="24"/>
          <w:highlight w:val="none"/>
          <w:shd w:val="clear" w:fill="FFFFFF"/>
          <w:vertAlign w:val="baseline"/>
          <w:lang w:val="en-US" w:eastAsia="zh-CN"/>
        </w:rPr>
        <w:t>00</w:t>
      </w:r>
      <w:r>
        <w:rPr>
          <w:rFonts w:hint="eastAsia" w:ascii="宋体" w:hAnsi="宋体" w:eastAsia="宋体" w:cs="宋体"/>
          <w:i w:val="0"/>
          <w:iCs w:val="0"/>
          <w:caps w:val="0"/>
          <w:color w:val="333333"/>
          <w:spacing w:val="0"/>
          <w:sz w:val="24"/>
          <w:szCs w:val="24"/>
          <w:highlight w:val="none"/>
          <w:shd w:val="clear" w:fill="FFFFFF"/>
          <w:vertAlign w:val="baseline"/>
        </w:rPr>
        <w:t>秒 （北京时间）</w:t>
      </w:r>
    </w:p>
    <w:p w14:paraId="0F5B165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地点：</w:t>
      </w:r>
      <w:r>
        <w:rPr>
          <w:rFonts w:hint="eastAsia" w:cs="宋体"/>
          <w:i w:val="0"/>
          <w:iCs w:val="0"/>
          <w:caps w:val="0"/>
          <w:color w:val="333333"/>
          <w:spacing w:val="0"/>
          <w:sz w:val="24"/>
          <w:szCs w:val="24"/>
          <w:highlight w:val="none"/>
          <w:shd w:val="clear" w:fill="FFFFFF"/>
          <w:vertAlign w:val="baseline"/>
          <w:lang w:eastAsia="zh-CN"/>
        </w:rPr>
        <w:t>陕西省西安市经济技术开发区未央路171-1号银池道拉斯财富中心21楼</w:t>
      </w:r>
    </w:p>
    <w:p w14:paraId="50A7CDF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五、开启</w:t>
      </w:r>
    </w:p>
    <w:p w14:paraId="2F736C1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时间：2025年09月09日 14时30分</w:t>
      </w:r>
      <w:r>
        <w:rPr>
          <w:rFonts w:hint="eastAsia" w:cs="宋体"/>
          <w:i w:val="0"/>
          <w:iCs w:val="0"/>
          <w:caps w:val="0"/>
          <w:color w:val="333333"/>
          <w:spacing w:val="0"/>
          <w:sz w:val="24"/>
          <w:szCs w:val="24"/>
          <w:highlight w:val="none"/>
          <w:shd w:val="clear" w:fill="FFFFFF"/>
          <w:vertAlign w:val="baseline"/>
          <w:lang w:val="en-US" w:eastAsia="zh-CN"/>
        </w:rPr>
        <w:t>00</w:t>
      </w:r>
      <w:r>
        <w:rPr>
          <w:rFonts w:hint="eastAsia" w:ascii="宋体" w:hAnsi="宋体" w:eastAsia="宋体" w:cs="宋体"/>
          <w:i w:val="0"/>
          <w:iCs w:val="0"/>
          <w:caps w:val="0"/>
          <w:color w:val="333333"/>
          <w:spacing w:val="0"/>
          <w:sz w:val="24"/>
          <w:szCs w:val="24"/>
          <w:highlight w:val="none"/>
          <w:shd w:val="clear" w:fill="FFFFFF"/>
          <w:vertAlign w:val="baseline"/>
        </w:rPr>
        <w:t>秒 （北京时间）</w:t>
      </w:r>
    </w:p>
    <w:p w14:paraId="62843BE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地点：</w:t>
      </w:r>
      <w:r>
        <w:rPr>
          <w:rFonts w:hint="eastAsia" w:cs="宋体"/>
          <w:i w:val="0"/>
          <w:iCs w:val="0"/>
          <w:caps w:val="0"/>
          <w:color w:val="333333"/>
          <w:spacing w:val="0"/>
          <w:sz w:val="24"/>
          <w:szCs w:val="24"/>
          <w:highlight w:val="none"/>
          <w:shd w:val="clear" w:fill="FFFFFF"/>
          <w:vertAlign w:val="baseline"/>
          <w:lang w:eastAsia="zh-CN"/>
        </w:rPr>
        <w:t>陕西省西安市经济技术开发区未央路171-1号银池道拉斯财富中心21楼</w:t>
      </w:r>
    </w:p>
    <w:p w14:paraId="07D9B83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六、公告期限</w:t>
      </w:r>
    </w:p>
    <w:p w14:paraId="6E8C9C4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自本公告发布之日起3个工作日。</w:t>
      </w:r>
    </w:p>
    <w:p w14:paraId="7026FEA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七、其他补充事宜</w:t>
      </w:r>
    </w:p>
    <w:p w14:paraId="1D49E9D1">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（1）供应商领取采购文件时，请携带单位介绍信及经办人身份证原件及复印件加盖公章；</w:t>
      </w:r>
    </w:p>
    <w:p w14:paraId="642F33EE">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240" w:firstLineChars="10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（2）请</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供应商</w:t>
      </w:r>
      <w:r>
        <w:rPr>
          <w:rFonts w:hint="eastAsia" w:ascii="宋体" w:hAnsi="宋体" w:eastAsia="宋体" w:cs="宋体"/>
          <w:i w:val="0"/>
          <w:iCs w:val="0"/>
          <w:caps w:val="0"/>
          <w:color w:val="333333"/>
          <w:spacing w:val="0"/>
          <w:sz w:val="24"/>
          <w:szCs w:val="24"/>
          <w:highlight w:val="none"/>
          <w:shd w:val="clear" w:fill="FFFFFF"/>
          <w:vertAlign w:val="baseline"/>
        </w:rPr>
        <w:t>按照《陕西省财政厅关于政府采购供应商注册登记有关事项的通知》中的要求，通过陕西省政府采购网（http://www.ccgp-shaanxi.gov.cn/）注册登记加入陕西省政府采购供应商库；</w:t>
      </w:r>
    </w:p>
    <w:p w14:paraId="2E31E8EB">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240" w:firstLineChars="10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（3）本项目</w:t>
      </w:r>
      <w:r>
        <w:rPr>
          <w:rFonts w:hint="eastAsia" w:cs="宋体"/>
          <w:i w:val="0"/>
          <w:iCs w:val="0"/>
          <w:caps w:val="0"/>
          <w:color w:val="333333"/>
          <w:spacing w:val="0"/>
          <w:sz w:val="24"/>
          <w:szCs w:val="24"/>
          <w:highlight w:val="none"/>
          <w:shd w:val="clear" w:fill="FFFFFF"/>
          <w:vertAlign w:val="baseline"/>
          <w:lang w:val="en-US" w:eastAsia="zh-CN"/>
        </w:rPr>
        <w:t>非</w:t>
      </w:r>
      <w:r>
        <w:rPr>
          <w:rFonts w:hint="eastAsia" w:ascii="宋体" w:hAnsi="宋体" w:eastAsia="宋体" w:cs="宋体"/>
          <w:i w:val="0"/>
          <w:iCs w:val="0"/>
          <w:caps w:val="0"/>
          <w:color w:val="333333"/>
          <w:spacing w:val="0"/>
          <w:sz w:val="24"/>
          <w:szCs w:val="24"/>
          <w:highlight w:val="none"/>
          <w:shd w:val="clear" w:fill="FFFFFF"/>
          <w:vertAlign w:val="baseline"/>
        </w:rPr>
        <w:t>专门面向中小企业</w:t>
      </w:r>
      <w:r>
        <w:rPr>
          <w:rFonts w:hint="eastAsia" w:cs="宋体"/>
          <w:i w:val="0"/>
          <w:iCs w:val="0"/>
          <w:caps w:val="0"/>
          <w:color w:val="333333"/>
          <w:spacing w:val="0"/>
          <w:sz w:val="24"/>
          <w:szCs w:val="24"/>
          <w:highlight w:val="none"/>
          <w:shd w:val="clear" w:fill="FFFFFF"/>
          <w:vertAlign w:val="baseline"/>
          <w:lang w:val="en-US" w:eastAsia="zh-CN"/>
        </w:rPr>
        <w:t>采购</w:t>
      </w:r>
      <w:r>
        <w:rPr>
          <w:rFonts w:hint="eastAsia" w:ascii="宋体" w:hAnsi="宋体" w:eastAsia="宋体" w:cs="宋体"/>
          <w:i w:val="0"/>
          <w:iCs w:val="0"/>
          <w:caps w:val="0"/>
          <w:color w:val="333333"/>
          <w:spacing w:val="0"/>
          <w:sz w:val="24"/>
          <w:szCs w:val="24"/>
          <w:highlight w:val="none"/>
          <w:shd w:val="clear" w:fill="FFFFFF"/>
          <w:vertAlign w:val="baseline"/>
        </w:rPr>
        <w:t>。</w:t>
      </w:r>
    </w:p>
    <w:p w14:paraId="4A9D7F1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48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八、对本次招标提出询问，请按以下方式联系。</w:t>
      </w:r>
    </w:p>
    <w:p w14:paraId="1F14766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1.采购人信息</w:t>
      </w:r>
    </w:p>
    <w:p w14:paraId="52A51E15">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名称：</w:t>
      </w:r>
      <w:r>
        <w:rPr>
          <w:rFonts w:hint="eastAsia" w:cs="宋体"/>
          <w:i w:val="0"/>
          <w:iCs w:val="0"/>
          <w:caps w:val="0"/>
          <w:color w:val="333333"/>
          <w:spacing w:val="0"/>
          <w:sz w:val="24"/>
          <w:szCs w:val="24"/>
          <w:highlight w:val="none"/>
          <w:shd w:val="clear" w:fill="FFFFFF"/>
          <w:vertAlign w:val="baseline"/>
          <w:lang w:eastAsia="zh-CN"/>
        </w:rPr>
        <w:t>西安市军队离休退休干部管理服务中心</w:t>
      </w:r>
    </w:p>
    <w:p w14:paraId="3BC1DFDE">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地址：</w:t>
      </w:r>
      <w:r>
        <w:rPr>
          <w:rFonts w:hint="eastAsia" w:cs="宋体"/>
          <w:i w:val="0"/>
          <w:iCs w:val="0"/>
          <w:caps w:val="0"/>
          <w:color w:val="333333"/>
          <w:spacing w:val="0"/>
          <w:sz w:val="24"/>
          <w:szCs w:val="24"/>
          <w:highlight w:val="none"/>
          <w:shd w:val="clear" w:fill="FFFFFF"/>
          <w:vertAlign w:val="baseline"/>
          <w:lang w:eastAsia="zh-CN"/>
        </w:rPr>
        <w:t>西安市曲江大道70号</w:t>
      </w:r>
    </w:p>
    <w:p w14:paraId="0924E004">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联系方式：</w:t>
      </w:r>
      <w:r>
        <w:rPr>
          <w:rFonts w:hint="eastAsia" w:cs="宋体"/>
          <w:i w:val="0"/>
          <w:iCs w:val="0"/>
          <w:caps w:val="0"/>
          <w:color w:val="333333"/>
          <w:spacing w:val="0"/>
          <w:sz w:val="24"/>
          <w:szCs w:val="24"/>
          <w:highlight w:val="none"/>
          <w:shd w:val="clear" w:fill="FFFFFF"/>
          <w:vertAlign w:val="baseline"/>
          <w:lang w:eastAsia="zh-CN"/>
        </w:rPr>
        <w:t xml:space="preserve"> 029-86272448</w:t>
      </w:r>
    </w:p>
    <w:p w14:paraId="6D28A0C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2.采购代理机构信息</w:t>
      </w:r>
    </w:p>
    <w:p w14:paraId="00821FCC">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名称：</w:t>
      </w:r>
      <w:r>
        <w:rPr>
          <w:rFonts w:hint="eastAsia" w:cs="宋体"/>
          <w:i w:val="0"/>
          <w:iCs w:val="0"/>
          <w:caps w:val="0"/>
          <w:color w:val="333333"/>
          <w:spacing w:val="0"/>
          <w:sz w:val="24"/>
          <w:szCs w:val="24"/>
          <w:highlight w:val="none"/>
          <w:shd w:val="clear" w:fill="FFFFFF"/>
          <w:vertAlign w:val="baseline"/>
          <w:lang w:eastAsia="zh-CN"/>
        </w:rPr>
        <w:t>陕西至诚项目管理集团有限公司</w:t>
      </w:r>
    </w:p>
    <w:p w14:paraId="452812A9">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地址：</w:t>
      </w:r>
      <w:r>
        <w:rPr>
          <w:rFonts w:hint="eastAsia" w:cs="宋体"/>
          <w:i w:val="0"/>
          <w:iCs w:val="0"/>
          <w:caps w:val="0"/>
          <w:color w:val="333333"/>
          <w:spacing w:val="0"/>
          <w:sz w:val="24"/>
          <w:szCs w:val="24"/>
          <w:highlight w:val="none"/>
          <w:shd w:val="clear" w:fill="FFFFFF"/>
          <w:vertAlign w:val="baseline"/>
          <w:lang w:eastAsia="zh-CN"/>
        </w:rPr>
        <w:t>陕西省西安市经济技术开发区未央路171-1号银池道拉斯财富中心21楼03室</w:t>
      </w:r>
    </w:p>
    <w:p w14:paraId="795E7FB7">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联系方式：029-88219779</w:t>
      </w:r>
    </w:p>
    <w:p w14:paraId="5C8F8CC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3.项目联系方式</w:t>
      </w:r>
    </w:p>
    <w:p w14:paraId="68A53901">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default" w:ascii="宋体" w:hAnsi="宋体" w:eastAsia="宋体" w:cs="宋体"/>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项目联系人：</w:t>
      </w:r>
      <w:r>
        <w:rPr>
          <w:rFonts w:hint="eastAsia" w:cs="宋体"/>
          <w:i w:val="0"/>
          <w:iCs w:val="0"/>
          <w:caps w:val="0"/>
          <w:color w:val="333333"/>
          <w:spacing w:val="0"/>
          <w:sz w:val="24"/>
          <w:szCs w:val="24"/>
          <w:highlight w:val="none"/>
          <w:shd w:val="clear" w:fill="FFFFFF"/>
          <w:vertAlign w:val="baseline"/>
          <w:lang w:val="en-US" w:eastAsia="zh-CN"/>
        </w:rPr>
        <w:t>胡晓均、</w:t>
      </w:r>
      <w:r>
        <w:rPr>
          <w:rFonts w:hint="eastAsia" w:ascii="宋体" w:hAnsi="宋体" w:eastAsia="宋体" w:cs="宋体"/>
          <w:i w:val="0"/>
          <w:iCs w:val="0"/>
          <w:caps w:val="0"/>
          <w:color w:val="333333"/>
          <w:spacing w:val="0"/>
          <w:sz w:val="24"/>
          <w:szCs w:val="24"/>
          <w:highlight w:val="none"/>
          <w:shd w:val="clear" w:fill="FFFFFF"/>
          <w:vertAlign w:val="baseline"/>
        </w:rPr>
        <w:t>倪沛</w:t>
      </w:r>
      <w:r>
        <w:rPr>
          <w:rFonts w:hint="eastAsia" w:cs="宋体"/>
          <w:i w:val="0"/>
          <w:iCs w:val="0"/>
          <w:caps w:val="0"/>
          <w:color w:val="333333"/>
          <w:spacing w:val="0"/>
          <w:sz w:val="24"/>
          <w:szCs w:val="24"/>
          <w:highlight w:val="none"/>
          <w:shd w:val="clear" w:fill="FFFFFF"/>
          <w:vertAlign w:val="baseline"/>
          <w:lang w:eastAsia="zh-CN"/>
        </w:rPr>
        <w:t>、</w:t>
      </w:r>
      <w:r>
        <w:rPr>
          <w:rFonts w:hint="eastAsia" w:cs="宋体"/>
          <w:i w:val="0"/>
          <w:iCs w:val="0"/>
          <w:caps w:val="0"/>
          <w:color w:val="333333"/>
          <w:spacing w:val="0"/>
          <w:sz w:val="24"/>
          <w:szCs w:val="24"/>
          <w:highlight w:val="none"/>
          <w:shd w:val="clear" w:fill="FFFFFF"/>
          <w:vertAlign w:val="baseline"/>
          <w:lang w:val="en-US" w:eastAsia="zh-CN"/>
        </w:rPr>
        <w:t>王欣玫</w:t>
      </w:r>
    </w:p>
    <w:p w14:paraId="723203E2">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电话：029-88219779</w:t>
      </w:r>
    </w:p>
    <w:p w14:paraId="6DD3B824">
      <w:pPr>
        <w:rPr>
          <w:rFonts w:hint="eastAsia" w:hAnsi="宋体" w:cs="宋体"/>
          <w:b/>
          <w:bCs/>
          <w:kern w:val="2"/>
          <w:sz w:val="36"/>
          <w:szCs w:val="36"/>
          <w:highlight w:val="none"/>
        </w:rPr>
      </w:pPr>
      <w:r>
        <w:rPr>
          <w:rFonts w:hint="eastAsia" w:hAnsi="宋体" w:cs="宋体"/>
          <w:b/>
          <w:bCs/>
          <w:kern w:val="2"/>
          <w:sz w:val="36"/>
          <w:szCs w:val="36"/>
          <w:highlight w:val="none"/>
        </w:rPr>
        <w:br w:type="page"/>
      </w:r>
    </w:p>
    <w:p w14:paraId="6C6C26C6">
      <w:pPr>
        <w:spacing w:line="348" w:lineRule="auto"/>
        <w:ind w:right="119"/>
        <w:jc w:val="center"/>
        <w:outlineLvl w:val="0"/>
        <w:rPr>
          <w:rFonts w:hAnsi="宋体" w:cs="宋体"/>
          <w:bCs/>
          <w:sz w:val="36"/>
          <w:szCs w:val="36"/>
          <w:highlight w:val="none"/>
        </w:rPr>
      </w:pPr>
      <w:r>
        <w:rPr>
          <w:rFonts w:hint="eastAsia" w:hAnsi="宋体" w:cs="宋体"/>
          <w:b/>
          <w:bCs/>
          <w:kern w:val="2"/>
          <w:sz w:val="36"/>
          <w:szCs w:val="36"/>
          <w:highlight w:val="none"/>
        </w:rPr>
        <w:t xml:space="preserve">第二章  </w:t>
      </w:r>
      <w:bookmarkEnd w:id="16"/>
      <w:bookmarkEnd w:id="17"/>
      <w:bookmarkStart w:id="23" w:name="OLE_LINK3"/>
      <w:r>
        <w:rPr>
          <w:rFonts w:hint="eastAsia" w:hAnsi="宋体" w:cs="宋体"/>
          <w:b/>
          <w:bCs/>
          <w:kern w:val="2"/>
          <w:sz w:val="36"/>
          <w:szCs w:val="36"/>
          <w:highlight w:val="none"/>
        </w:rPr>
        <w:t>供应商须知</w:t>
      </w:r>
      <w:bookmarkEnd w:id="18"/>
      <w:bookmarkEnd w:id="19"/>
      <w:bookmarkEnd w:id="20"/>
      <w:bookmarkEnd w:id="21"/>
      <w:bookmarkEnd w:id="22"/>
      <w:bookmarkEnd w:id="23"/>
    </w:p>
    <w:p w14:paraId="14075107">
      <w:pPr>
        <w:spacing w:line="440" w:lineRule="exact"/>
        <w:ind w:firstLine="3534" w:firstLineChars="1100"/>
        <w:outlineLvl w:val="1"/>
        <w:rPr>
          <w:rFonts w:hAnsi="宋体" w:cs="宋体"/>
          <w:b/>
          <w:bCs/>
          <w:sz w:val="32"/>
          <w:szCs w:val="32"/>
          <w:highlight w:val="none"/>
        </w:rPr>
      </w:pPr>
      <w:bookmarkStart w:id="24" w:name="_Toc23180"/>
      <w:bookmarkStart w:id="25" w:name="_Toc18299"/>
      <w:bookmarkStart w:id="26" w:name="_Toc8846"/>
      <w:bookmarkStart w:id="27" w:name="_Toc16830"/>
      <w:r>
        <w:rPr>
          <w:rFonts w:hint="eastAsia" w:hAnsi="宋体" w:cs="宋体"/>
          <w:b/>
          <w:bCs/>
          <w:sz w:val="32"/>
          <w:szCs w:val="32"/>
          <w:highlight w:val="none"/>
        </w:rPr>
        <w:t>供应商须知前附表</w:t>
      </w:r>
      <w:bookmarkEnd w:id="24"/>
      <w:bookmarkEnd w:id="25"/>
      <w:bookmarkEnd w:id="26"/>
      <w:bookmarkEnd w:id="27"/>
    </w:p>
    <w:p w14:paraId="05118F83">
      <w:pPr>
        <w:spacing w:line="440" w:lineRule="exact"/>
        <w:ind w:firstLine="480" w:firstLineChars="200"/>
        <w:rPr>
          <w:rFonts w:hAnsi="宋体" w:cs="宋体"/>
          <w:szCs w:val="24"/>
          <w:highlight w:val="none"/>
        </w:rPr>
      </w:pPr>
      <w:r>
        <w:rPr>
          <w:rFonts w:hint="eastAsia" w:hAnsi="宋体" w:cs="宋体"/>
          <w:szCs w:val="24"/>
          <w:highlight w:val="none"/>
        </w:rPr>
        <w:t>本表是对供应商须知的具体补充和修改，如有矛盾，应以本资料表为准。</w:t>
      </w:r>
    </w:p>
    <w:tbl>
      <w:tblPr>
        <w:tblStyle w:val="2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14:paraId="4E38E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tcPr>
          <w:p w14:paraId="04E38435">
            <w:pPr>
              <w:spacing w:before="156" w:beforeLines="50" w:line="360" w:lineRule="auto"/>
              <w:jc w:val="center"/>
              <w:rPr>
                <w:rFonts w:hAnsi="宋体" w:cs="宋体"/>
                <w:b/>
                <w:szCs w:val="24"/>
                <w:highlight w:val="none"/>
              </w:rPr>
            </w:pPr>
            <w:r>
              <w:rPr>
                <w:rFonts w:hint="eastAsia" w:hAnsi="宋体" w:cs="宋体"/>
                <w:b/>
                <w:szCs w:val="24"/>
                <w:highlight w:val="none"/>
              </w:rPr>
              <w:t>序号</w:t>
            </w:r>
          </w:p>
        </w:tc>
        <w:tc>
          <w:tcPr>
            <w:tcW w:w="951" w:type="dxa"/>
            <w:vAlign w:val="center"/>
          </w:tcPr>
          <w:p w14:paraId="05260CEB">
            <w:pPr>
              <w:spacing w:before="156" w:beforeLines="50" w:line="360" w:lineRule="auto"/>
              <w:jc w:val="center"/>
              <w:rPr>
                <w:rFonts w:hAnsi="宋体" w:cs="宋体"/>
                <w:b/>
                <w:szCs w:val="24"/>
                <w:highlight w:val="none"/>
              </w:rPr>
            </w:pPr>
            <w:r>
              <w:rPr>
                <w:rFonts w:hint="eastAsia" w:hAnsi="宋体" w:cs="宋体"/>
                <w:b/>
                <w:szCs w:val="24"/>
                <w:highlight w:val="none"/>
              </w:rPr>
              <w:t>条款号</w:t>
            </w:r>
          </w:p>
        </w:tc>
        <w:tc>
          <w:tcPr>
            <w:tcW w:w="7354" w:type="dxa"/>
          </w:tcPr>
          <w:p w14:paraId="00F6DDA7">
            <w:pPr>
              <w:spacing w:before="156" w:beforeLines="50" w:line="360" w:lineRule="auto"/>
              <w:jc w:val="center"/>
              <w:rPr>
                <w:rFonts w:hAnsi="宋体" w:cs="宋体"/>
                <w:b/>
                <w:szCs w:val="24"/>
                <w:highlight w:val="none"/>
              </w:rPr>
            </w:pPr>
            <w:r>
              <w:rPr>
                <w:rFonts w:hint="eastAsia" w:hAnsi="宋体" w:cs="宋体"/>
                <w:b/>
                <w:szCs w:val="24"/>
                <w:highlight w:val="none"/>
              </w:rPr>
              <w:t xml:space="preserve">编 列 内 容 </w:t>
            </w:r>
          </w:p>
        </w:tc>
      </w:tr>
      <w:tr w14:paraId="1868A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14:paraId="18DCFFFD">
            <w:pPr>
              <w:spacing w:line="360" w:lineRule="auto"/>
              <w:jc w:val="center"/>
              <w:rPr>
                <w:rFonts w:hAnsi="宋体" w:cs="宋体"/>
                <w:szCs w:val="24"/>
                <w:highlight w:val="none"/>
              </w:rPr>
            </w:pPr>
            <w:r>
              <w:rPr>
                <w:rFonts w:hint="eastAsia" w:hAnsi="宋体" w:cs="宋体"/>
                <w:szCs w:val="24"/>
                <w:highlight w:val="none"/>
              </w:rPr>
              <w:t>1</w:t>
            </w:r>
          </w:p>
        </w:tc>
        <w:tc>
          <w:tcPr>
            <w:tcW w:w="951" w:type="dxa"/>
            <w:vAlign w:val="center"/>
          </w:tcPr>
          <w:p w14:paraId="3F171CB1">
            <w:pPr>
              <w:spacing w:line="360" w:lineRule="auto"/>
              <w:jc w:val="center"/>
              <w:rPr>
                <w:rFonts w:hAnsi="宋体" w:cs="宋体"/>
                <w:szCs w:val="24"/>
                <w:highlight w:val="none"/>
              </w:rPr>
            </w:pPr>
            <w:r>
              <w:rPr>
                <w:rFonts w:hint="eastAsia" w:hAnsi="宋体" w:cs="宋体"/>
                <w:szCs w:val="24"/>
                <w:highlight w:val="none"/>
              </w:rPr>
              <w:t>2.3</w:t>
            </w:r>
          </w:p>
        </w:tc>
        <w:tc>
          <w:tcPr>
            <w:tcW w:w="7354" w:type="dxa"/>
          </w:tcPr>
          <w:p w14:paraId="14BA4060">
            <w:pPr>
              <w:spacing w:line="360" w:lineRule="auto"/>
              <w:rPr>
                <w:rFonts w:hAnsi="宋体" w:cs="宋体"/>
                <w:szCs w:val="24"/>
                <w:highlight w:val="none"/>
              </w:rPr>
            </w:pPr>
            <w:r>
              <w:rPr>
                <w:rFonts w:hint="eastAsia" w:hAnsi="宋体" w:cs="宋体"/>
                <w:szCs w:val="24"/>
                <w:highlight w:val="none"/>
              </w:rPr>
              <w:t>采购代理机构：陕西至诚项目管理集团有限公司</w:t>
            </w:r>
          </w:p>
          <w:p w14:paraId="6420B5BB">
            <w:pPr>
              <w:pStyle w:val="20"/>
              <w:spacing w:before="0" w:beforeAutospacing="0" w:after="0" w:afterAutospacing="0" w:line="360" w:lineRule="auto"/>
              <w:jc w:val="both"/>
              <w:rPr>
                <w:rFonts w:cs="宋体"/>
                <w:highlight w:val="none"/>
              </w:rPr>
            </w:pPr>
            <w:r>
              <w:rPr>
                <w:rFonts w:hint="eastAsia" w:hAnsi="宋体" w:cs="宋体"/>
                <w:szCs w:val="24"/>
                <w:highlight w:val="none"/>
              </w:rPr>
              <w:t>地        址：</w:t>
            </w:r>
            <w:r>
              <w:rPr>
                <w:rFonts w:hint="eastAsia" w:cs="宋体"/>
                <w:highlight w:val="none"/>
                <w:shd w:val="clear" w:color="auto" w:fill="FFFFFF"/>
              </w:rPr>
              <w:t>陕西省西安市经济技术开发区未央路171-1号银池道拉斯财富中心21楼</w:t>
            </w:r>
          </w:p>
          <w:p w14:paraId="1B018085">
            <w:pPr>
              <w:spacing w:line="360" w:lineRule="auto"/>
              <w:rPr>
                <w:rFonts w:hAnsi="宋体" w:cs="宋体"/>
                <w:szCs w:val="24"/>
                <w:highlight w:val="none"/>
              </w:rPr>
            </w:pPr>
            <w:r>
              <w:rPr>
                <w:rFonts w:hint="eastAsia" w:hAnsi="宋体" w:cs="宋体"/>
                <w:szCs w:val="24"/>
                <w:highlight w:val="none"/>
              </w:rPr>
              <w:t>邮        编：710021</w:t>
            </w:r>
          </w:p>
          <w:p w14:paraId="4C19FDF9">
            <w:pPr>
              <w:spacing w:line="360" w:lineRule="auto"/>
              <w:rPr>
                <w:rFonts w:hAnsi="宋体" w:cs="宋体"/>
                <w:szCs w:val="24"/>
                <w:highlight w:val="none"/>
              </w:rPr>
            </w:pPr>
            <w:r>
              <w:rPr>
                <w:rFonts w:hint="eastAsia" w:hAnsi="宋体" w:cs="宋体"/>
                <w:szCs w:val="24"/>
                <w:highlight w:val="none"/>
              </w:rPr>
              <w:t>电        话：029-88219779</w:t>
            </w:r>
          </w:p>
          <w:p w14:paraId="7DCD0920">
            <w:pPr>
              <w:spacing w:line="360" w:lineRule="auto"/>
              <w:rPr>
                <w:rFonts w:hAnsi="宋体" w:cs="宋体"/>
                <w:szCs w:val="24"/>
                <w:highlight w:val="none"/>
              </w:rPr>
            </w:pPr>
            <w:r>
              <w:rPr>
                <w:rFonts w:hint="eastAsia" w:hAnsi="宋体" w:cs="宋体"/>
                <w:szCs w:val="24"/>
                <w:highlight w:val="none"/>
              </w:rPr>
              <w:t>传        真：/</w:t>
            </w:r>
          </w:p>
        </w:tc>
      </w:tr>
      <w:tr w14:paraId="32C73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vAlign w:val="center"/>
          </w:tcPr>
          <w:p w14:paraId="6CBA11C1">
            <w:pPr>
              <w:spacing w:line="360" w:lineRule="auto"/>
              <w:jc w:val="center"/>
              <w:rPr>
                <w:rFonts w:hAnsi="宋体" w:cs="宋体"/>
                <w:szCs w:val="24"/>
                <w:highlight w:val="none"/>
              </w:rPr>
            </w:pPr>
            <w:r>
              <w:rPr>
                <w:rFonts w:hint="eastAsia" w:hAnsi="宋体" w:cs="宋体"/>
                <w:szCs w:val="24"/>
                <w:highlight w:val="none"/>
              </w:rPr>
              <w:t>2</w:t>
            </w:r>
          </w:p>
        </w:tc>
        <w:tc>
          <w:tcPr>
            <w:tcW w:w="951" w:type="dxa"/>
            <w:vAlign w:val="center"/>
          </w:tcPr>
          <w:p w14:paraId="2867DEAF">
            <w:pPr>
              <w:spacing w:line="360" w:lineRule="auto"/>
              <w:jc w:val="center"/>
              <w:rPr>
                <w:rFonts w:hAnsi="宋体" w:cs="宋体"/>
                <w:szCs w:val="24"/>
                <w:highlight w:val="none"/>
              </w:rPr>
            </w:pPr>
            <w:r>
              <w:rPr>
                <w:rFonts w:hint="eastAsia" w:hAnsi="宋体" w:cs="宋体"/>
                <w:szCs w:val="24"/>
                <w:highlight w:val="none"/>
              </w:rPr>
              <w:t>3.6</w:t>
            </w:r>
          </w:p>
        </w:tc>
        <w:tc>
          <w:tcPr>
            <w:tcW w:w="7354" w:type="dxa"/>
            <w:vAlign w:val="center"/>
          </w:tcPr>
          <w:p w14:paraId="042BBA9B">
            <w:pPr>
              <w:spacing w:line="360" w:lineRule="auto"/>
              <w:rPr>
                <w:rFonts w:hAnsi="宋体" w:cs="宋体"/>
                <w:szCs w:val="24"/>
                <w:highlight w:val="none"/>
              </w:rPr>
            </w:pPr>
            <w:r>
              <w:rPr>
                <w:rFonts w:hint="eastAsia" w:hAnsi="宋体" w:cs="宋体"/>
                <w:szCs w:val="24"/>
                <w:highlight w:val="none"/>
              </w:rPr>
              <w:t>本项目不接受联合体磋商。</w:t>
            </w:r>
          </w:p>
        </w:tc>
      </w:tr>
      <w:tr w14:paraId="3C500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vAlign w:val="center"/>
          </w:tcPr>
          <w:p w14:paraId="0F2EE023">
            <w:pPr>
              <w:spacing w:line="360" w:lineRule="auto"/>
              <w:jc w:val="center"/>
              <w:rPr>
                <w:rFonts w:hAnsi="宋体" w:cs="宋体"/>
                <w:szCs w:val="24"/>
                <w:highlight w:val="none"/>
              </w:rPr>
            </w:pPr>
            <w:r>
              <w:rPr>
                <w:rFonts w:hint="eastAsia" w:hAnsi="宋体" w:cs="宋体"/>
                <w:szCs w:val="24"/>
                <w:highlight w:val="none"/>
              </w:rPr>
              <w:t>3</w:t>
            </w:r>
          </w:p>
        </w:tc>
        <w:tc>
          <w:tcPr>
            <w:tcW w:w="951" w:type="dxa"/>
            <w:vAlign w:val="center"/>
          </w:tcPr>
          <w:p w14:paraId="566ABE7E">
            <w:pPr>
              <w:spacing w:line="360" w:lineRule="auto"/>
              <w:jc w:val="center"/>
              <w:rPr>
                <w:rFonts w:hAnsi="宋体" w:cs="宋体"/>
                <w:szCs w:val="24"/>
                <w:highlight w:val="none"/>
              </w:rPr>
            </w:pPr>
            <w:r>
              <w:rPr>
                <w:rFonts w:hint="eastAsia" w:hAnsi="宋体" w:cs="宋体"/>
                <w:szCs w:val="24"/>
                <w:highlight w:val="none"/>
              </w:rPr>
              <w:t>9.2</w:t>
            </w:r>
          </w:p>
        </w:tc>
        <w:tc>
          <w:tcPr>
            <w:tcW w:w="7354" w:type="dxa"/>
            <w:vAlign w:val="center"/>
          </w:tcPr>
          <w:p w14:paraId="0CFA680F">
            <w:pPr>
              <w:spacing w:line="360" w:lineRule="auto"/>
              <w:rPr>
                <w:rFonts w:hAnsi="宋体" w:cs="宋体"/>
                <w:szCs w:val="24"/>
                <w:highlight w:val="none"/>
              </w:rPr>
            </w:pPr>
            <w:r>
              <w:rPr>
                <w:rFonts w:hint="eastAsia" w:hAnsi="宋体" w:cs="宋体"/>
                <w:szCs w:val="24"/>
                <w:highlight w:val="none"/>
              </w:rPr>
              <w:t>不允许提供备选方案。</w:t>
            </w:r>
          </w:p>
        </w:tc>
      </w:tr>
      <w:tr w14:paraId="403C4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vAlign w:val="center"/>
          </w:tcPr>
          <w:p w14:paraId="2D13F315">
            <w:pPr>
              <w:spacing w:line="360" w:lineRule="auto"/>
              <w:jc w:val="center"/>
              <w:rPr>
                <w:rFonts w:hAnsi="宋体" w:cs="宋体"/>
                <w:szCs w:val="24"/>
                <w:highlight w:val="none"/>
              </w:rPr>
            </w:pPr>
            <w:r>
              <w:rPr>
                <w:rFonts w:hint="eastAsia" w:hAnsi="宋体" w:cs="宋体"/>
                <w:szCs w:val="24"/>
                <w:highlight w:val="none"/>
              </w:rPr>
              <w:t>4</w:t>
            </w:r>
          </w:p>
        </w:tc>
        <w:tc>
          <w:tcPr>
            <w:tcW w:w="951" w:type="dxa"/>
            <w:vAlign w:val="center"/>
          </w:tcPr>
          <w:p w14:paraId="1F5D1389">
            <w:pPr>
              <w:spacing w:line="360" w:lineRule="auto"/>
              <w:jc w:val="center"/>
              <w:rPr>
                <w:rFonts w:hAnsi="宋体" w:cs="宋体"/>
                <w:szCs w:val="24"/>
                <w:highlight w:val="none"/>
              </w:rPr>
            </w:pPr>
            <w:r>
              <w:rPr>
                <w:rFonts w:hint="eastAsia" w:hAnsi="宋体" w:cs="宋体"/>
                <w:szCs w:val="24"/>
                <w:highlight w:val="none"/>
              </w:rPr>
              <w:t>9.3</w:t>
            </w:r>
          </w:p>
        </w:tc>
        <w:tc>
          <w:tcPr>
            <w:tcW w:w="7354" w:type="dxa"/>
            <w:vAlign w:val="center"/>
          </w:tcPr>
          <w:p w14:paraId="64188FFB">
            <w:pPr>
              <w:spacing w:line="360" w:lineRule="auto"/>
              <w:ind w:firstLine="480" w:firstLineChars="200"/>
              <w:rPr>
                <w:rFonts w:hAnsi="宋体" w:cs="宋体"/>
                <w:szCs w:val="24"/>
                <w:highlight w:val="none"/>
              </w:rPr>
            </w:pPr>
            <w:r>
              <w:rPr>
                <w:rFonts w:hint="eastAsia" w:hAnsi="宋体" w:cs="宋体"/>
                <w:szCs w:val="24"/>
                <w:highlight w:val="none"/>
              </w:rPr>
              <w:t>本次磋商的最小单元为“</w:t>
            </w:r>
            <w:r>
              <w:rPr>
                <w:rFonts w:hint="eastAsia" w:hAnsi="宋体" w:cs="宋体"/>
                <w:szCs w:val="24"/>
                <w:highlight w:val="none"/>
                <w:lang w:val="en-US" w:eastAsia="zh-CN"/>
              </w:rPr>
              <w:t>项目</w:t>
            </w:r>
            <w:r>
              <w:rPr>
                <w:rFonts w:hint="eastAsia" w:hAnsi="宋体" w:cs="宋体"/>
                <w:szCs w:val="24"/>
                <w:highlight w:val="none"/>
              </w:rPr>
              <w:t>”，供应商可根据自身的资质情况和经营范围对本次项目进行磋商，不得将其子目再行分解或只对本次项目中的品目进行不完全磋商，任何不完全的响应将会被拒绝。</w:t>
            </w:r>
          </w:p>
        </w:tc>
      </w:tr>
      <w:tr w14:paraId="153EC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14:paraId="516CE219">
            <w:pPr>
              <w:spacing w:line="360" w:lineRule="auto"/>
              <w:jc w:val="center"/>
              <w:rPr>
                <w:rFonts w:hAnsi="宋体" w:cs="宋体"/>
                <w:szCs w:val="24"/>
                <w:highlight w:val="none"/>
              </w:rPr>
            </w:pPr>
            <w:r>
              <w:rPr>
                <w:rFonts w:hint="eastAsia" w:hAnsi="宋体" w:cs="宋体"/>
                <w:szCs w:val="24"/>
                <w:highlight w:val="none"/>
              </w:rPr>
              <w:t>5</w:t>
            </w:r>
          </w:p>
        </w:tc>
        <w:tc>
          <w:tcPr>
            <w:tcW w:w="951" w:type="dxa"/>
            <w:vAlign w:val="center"/>
          </w:tcPr>
          <w:p w14:paraId="6C8CF325">
            <w:pPr>
              <w:spacing w:line="360" w:lineRule="auto"/>
              <w:jc w:val="center"/>
              <w:rPr>
                <w:rFonts w:hAnsi="宋体" w:cs="宋体"/>
                <w:szCs w:val="24"/>
                <w:highlight w:val="none"/>
              </w:rPr>
            </w:pPr>
            <w:r>
              <w:rPr>
                <w:rFonts w:hint="eastAsia" w:hAnsi="宋体" w:cs="宋体"/>
                <w:szCs w:val="24"/>
                <w:highlight w:val="none"/>
              </w:rPr>
              <w:t>11.1</w:t>
            </w:r>
          </w:p>
        </w:tc>
        <w:tc>
          <w:tcPr>
            <w:tcW w:w="7354" w:type="dxa"/>
          </w:tcPr>
          <w:p w14:paraId="04C442EB">
            <w:pPr>
              <w:spacing w:line="360" w:lineRule="auto"/>
              <w:ind w:firstLine="480"/>
              <w:rPr>
                <w:rFonts w:hAnsi="宋体" w:cs="宋体"/>
                <w:szCs w:val="24"/>
                <w:highlight w:val="none"/>
              </w:rPr>
            </w:pPr>
            <w:r>
              <w:rPr>
                <w:rFonts w:hint="eastAsia" w:hAnsi="宋体" w:cs="宋体"/>
                <w:szCs w:val="24"/>
                <w:highlight w:val="none"/>
              </w:rPr>
              <w:t>磋商报价：是供应商为完成本项目要求的全部服务内容最终价格的体现，包括但不限于人工费、设备使用费、办公费、服务费、交通费、招标代理服务费、税金等其他一切相关费用。</w:t>
            </w:r>
          </w:p>
          <w:p w14:paraId="5D150899">
            <w:pPr>
              <w:spacing w:line="360" w:lineRule="auto"/>
              <w:ind w:firstLine="480"/>
              <w:rPr>
                <w:rFonts w:hAnsi="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供应商所报的价格应考虑到可能发生的所有与完成本项目相关服务及履行合同义务有关的一切费用，任何有选择的报价将不予接受，按无效磋商处理。</w:t>
            </w:r>
          </w:p>
        </w:tc>
      </w:tr>
      <w:tr w14:paraId="1492E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vAlign w:val="center"/>
          </w:tcPr>
          <w:p w14:paraId="76685749">
            <w:pPr>
              <w:spacing w:line="360" w:lineRule="auto"/>
              <w:jc w:val="center"/>
              <w:rPr>
                <w:rFonts w:hAnsi="宋体" w:cs="宋体"/>
                <w:szCs w:val="24"/>
                <w:highlight w:val="none"/>
              </w:rPr>
            </w:pPr>
            <w:r>
              <w:rPr>
                <w:rFonts w:hint="eastAsia" w:hAnsi="宋体" w:cs="宋体"/>
                <w:szCs w:val="24"/>
                <w:highlight w:val="none"/>
              </w:rPr>
              <w:t>6</w:t>
            </w:r>
          </w:p>
        </w:tc>
        <w:tc>
          <w:tcPr>
            <w:tcW w:w="951" w:type="dxa"/>
            <w:vAlign w:val="center"/>
          </w:tcPr>
          <w:p w14:paraId="595B472F">
            <w:pPr>
              <w:spacing w:line="360" w:lineRule="auto"/>
              <w:jc w:val="center"/>
              <w:rPr>
                <w:rFonts w:hAnsi="宋体" w:cs="宋体"/>
                <w:szCs w:val="24"/>
                <w:highlight w:val="none"/>
              </w:rPr>
            </w:pPr>
            <w:r>
              <w:rPr>
                <w:rFonts w:hint="eastAsia" w:hAnsi="宋体" w:cs="宋体"/>
                <w:szCs w:val="24"/>
                <w:highlight w:val="none"/>
              </w:rPr>
              <w:t>12.1</w:t>
            </w:r>
          </w:p>
        </w:tc>
        <w:tc>
          <w:tcPr>
            <w:tcW w:w="7354" w:type="dxa"/>
          </w:tcPr>
          <w:p w14:paraId="2A93D752">
            <w:pPr>
              <w:spacing w:line="360" w:lineRule="auto"/>
              <w:rPr>
                <w:rFonts w:hAnsi="宋体" w:cs="宋体"/>
                <w:szCs w:val="24"/>
                <w:highlight w:val="none"/>
              </w:rPr>
            </w:pPr>
            <w:r>
              <w:rPr>
                <w:rFonts w:hint="eastAsia" w:hAnsi="宋体" w:cs="宋体"/>
                <w:szCs w:val="24"/>
                <w:highlight w:val="none"/>
              </w:rPr>
              <w:t>特定资格证明文件：</w:t>
            </w:r>
          </w:p>
          <w:p w14:paraId="121B17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（1）具有独立承担民事责任能力的法人、其他组织或自然人，并出具合法有效的统一社会信用代码的营业执照或事业单位法人证书 等国家规定的相关证明，自然人参与的提供其身份证明； </w:t>
            </w:r>
          </w:p>
          <w:p w14:paraId="62EC20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（2）提供法定代表人授权书（附法定代表人、被授权人身份证复印件），法定代表人直接参加磋商，须提供法定代表人身份证明（ 附法定代表人身份证复印件）； </w:t>
            </w:r>
          </w:p>
          <w:p w14:paraId="3EFFF4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hAnsi="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（3）财务状况报告：提供</w:t>
            </w:r>
            <w:r>
              <w:rPr>
                <w:rFonts w:hint="eastAsia" w:hAnsi="宋体" w:cs="宋体"/>
                <w:i w:val="0"/>
                <w:iCs w:val="0"/>
                <w:caps w:val="0"/>
                <w:color w:val="333333"/>
                <w:spacing w:val="0"/>
                <w:kern w:val="0"/>
                <w:sz w:val="24"/>
                <w:szCs w:val="24"/>
                <w:highlight w:val="none"/>
                <w:shd w:val="clear" w:fill="FFFFFF"/>
                <w:vertAlign w:val="baseline"/>
                <w:lang w:val="en-US" w:eastAsia="zh-CN" w:bidi="ar-SA"/>
              </w:rPr>
              <w:t>2024年度</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的财务审计报告（成立时间至提交响应文件截止时间不足一年的可提供成立后任意时段的资产负债表），或开标时间前六个月内银行出具的资信证明； </w:t>
            </w:r>
            <w:r>
              <w:rPr>
                <w:rFonts w:hint="eastAsia" w:hAnsi="宋体" w:cs="宋体"/>
                <w:i w:val="0"/>
                <w:iCs w:val="0"/>
                <w:caps w:val="0"/>
                <w:color w:val="333333"/>
                <w:spacing w:val="0"/>
                <w:kern w:val="0"/>
                <w:sz w:val="24"/>
                <w:szCs w:val="24"/>
                <w:highlight w:val="none"/>
                <w:shd w:val="clear" w:fill="FFFFFF"/>
                <w:vertAlign w:val="baseline"/>
                <w:lang w:val="en-US" w:eastAsia="zh-CN" w:bidi="ar-SA"/>
              </w:rPr>
              <w:t xml:space="preserve"> </w:t>
            </w:r>
          </w:p>
          <w:p w14:paraId="4A2B31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（4）</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税收缴纳证明：提供响应文件截止日前一年内已缴纳的至少一个月的纳税证明或完税证明（任意税种），依法免税的单位应提供相关证明材料</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 </w:t>
            </w:r>
          </w:p>
          <w:p w14:paraId="24054C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5）社会保障资金缴纳证明：提供响应文件截止日前一年内已缴存的至少一个月的社会保障资金缴存单据或社保机构开具的社会保险参保缴费情况证明，依法不需要缴纳社会保障资金的单位应提供相关证明材料； </w:t>
            </w:r>
          </w:p>
          <w:p w14:paraId="07B23C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6</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）提供具有履行本合同所必需的设备和专业技术能力的说明及承诺书； </w:t>
            </w:r>
          </w:p>
          <w:p w14:paraId="0440EF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7</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）供应商应通过</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信用中国</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网站</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(www.creditchina.gov.cn)</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、中国政府采购网</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(www.ccgp.gov.cn)</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查询相关主体信用记录； </w:t>
            </w:r>
          </w:p>
          <w:p w14:paraId="10B3CA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8</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）参加政府采购活动前</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3</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年内，在经营活动中没有重大违法记录的书面声明； </w:t>
            </w:r>
          </w:p>
          <w:p w14:paraId="4E1CB7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9</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供应商为生产厂家的须提供《食品生产许可证》，供应商为代理商的须提供《食品经营许可证》</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 </w:t>
            </w:r>
          </w:p>
          <w:p w14:paraId="6B5649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10</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）本项目不接受联合体磋商（提供承诺书）。 </w:t>
            </w:r>
          </w:p>
          <w:p w14:paraId="0406D030">
            <w:pPr>
              <w:spacing w:line="360" w:lineRule="auto"/>
              <w:ind w:firstLine="482" w:firstLineChars="200"/>
              <w:rPr>
                <w:rFonts w:hAnsi="宋体" w:cs="宋体"/>
                <w:szCs w:val="24"/>
                <w:highlight w:val="none"/>
              </w:rPr>
            </w:pPr>
            <w:r>
              <w:rPr>
                <w:rFonts w:hint="eastAsia" w:hAnsi="宋体" w:cs="宋体"/>
                <w:b/>
                <w:bCs/>
                <w:szCs w:val="24"/>
                <w:highlight w:val="none"/>
              </w:rPr>
              <w:t>以上为必备资质，缺一项或某项达不到要求，按无效磋商处理。</w:t>
            </w:r>
          </w:p>
        </w:tc>
      </w:tr>
      <w:tr w14:paraId="05DAF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92" w:type="dxa"/>
            <w:vAlign w:val="center"/>
          </w:tcPr>
          <w:p w14:paraId="0D78E053">
            <w:pPr>
              <w:spacing w:line="360" w:lineRule="auto"/>
              <w:jc w:val="center"/>
              <w:rPr>
                <w:rFonts w:hAnsi="宋体" w:cs="宋体"/>
                <w:szCs w:val="24"/>
                <w:highlight w:val="none"/>
              </w:rPr>
            </w:pPr>
            <w:r>
              <w:rPr>
                <w:rFonts w:hint="eastAsia" w:hAnsi="宋体" w:cs="宋体"/>
                <w:szCs w:val="24"/>
                <w:highlight w:val="none"/>
              </w:rPr>
              <w:t>7</w:t>
            </w:r>
          </w:p>
        </w:tc>
        <w:tc>
          <w:tcPr>
            <w:tcW w:w="951" w:type="dxa"/>
            <w:vAlign w:val="center"/>
          </w:tcPr>
          <w:p w14:paraId="407020BA">
            <w:pPr>
              <w:spacing w:line="360" w:lineRule="auto"/>
              <w:jc w:val="center"/>
              <w:rPr>
                <w:rFonts w:hAnsi="宋体" w:cs="宋体"/>
                <w:szCs w:val="24"/>
                <w:highlight w:val="none"/>
              </w:rPr>
            </w:pPr>
            <w:r>
              <w:rPr>
                <w:rFonts w:hint="eastAsia" w:hAnsi="宋体" w:cs="宋体"/>
                <w:szCs w:val="24"/>
                <w:highlight w:val="none"/>
              </w:rPr>
              <w:t>14.4</w:t>
            </w:r>
          </w:p>
        </w:tc>
        <w:tc>
          <w:tcPr>
            <w:tcW w:w="7354" w:type="dxa"/>
          </w:tcPr>
          <w:p w14:paraId="1CBECE47">
            <w:pPr>
              <w:spacing w:line="360" w:lineRule="auto"/>
              <w:ind w:firstLine="480"/>
              <w:rPr>
                <w:rFonts w:hAnsi="宋体" w:cs="宋体"/>
                <w:b/>
                <w:bCs/>
                <w:szCs w:val="24"/>
                <w:highlight w:val="none"/>
              </w:rPr>
            </w:pPr>
            <w:r>
              <w:rPr>
                <w:rFonts w:hint="eastAsia" w:hAnsi="宋体" w:cs="宋体"/>
                <w:b/>
                <w:bCs/>
                <w:szCs w:val="24"/>
                <w:highlight w:val="none"/>
              </w:rPr>
              <w:t>磋商保证金：无（本项目不收取保证金，本文件中涉及的保证金相关事项均不适用）</w:t>
            </w:r>
          </w:p>
          <w:p w14:paraId="25CAF855">
            <w:pPr>
              <w:spacing w:line="360" w:lineRule="auto"/>
              <w:ind w:firstLine="480"/>
              <w:rPr>
                <w:rFonts w:hAnsi="宋体" w:cs="宋体"/>
                <w:szCs w:val="24"/>
                <w:highlight w:val="none"/>
              </w:rPr>
            </w:pPr>
            <w:r>
              <w:rPr>
                <w:rFonts w:hint="eastAsia" w:hAnsi="宋体" w:cs="宋体"/>
                <w:szCs w:val="24"/>
                <w:highlight w:val="none"/>
              </w:rPr>
              <w:t>磋商保证金的有效期与磋商有效期一致。</w:t>
            </w:r>
            <w:r>
              <w:rPr>
                <w:rFonts w:hint="eastAsia" w:hAnsi="宋体" w:cs="宋体"/>
                <w:szCs w:val="22"/>
                <w:highlight w:val="none"/>
              </w:rPr>
              <w:t>担保机构出具的保函的有效期为磋商有效期延长一个月。</w:t>
            </w:r>
          </w:p>
          <w:p w14:paraId="14B6EE26">
            <w:pPr>
              <w:spacing w:line="360" w:lineRule="auto"/>
              <w:ind w:firstLine="480"/>
              <w:rPr>
                <w:rFonts w:hAnsi="宋体" w:cs="宋体"/>
                <w:szCs w:val="24"/>
                <w:highlight w:val="none"/>
              </w:rPr>
            </w:pPr>
            <w:r>
              <w:rPr>
                <w:rFonts w:hint="eastAsia" w:hAnsi="宋体" w:cs="宋体"/>
                <w:szCs w:val="24"/>
                <w:highlight w:val="none"/>
              </w:rPr>
              <w:t>磋商保证金的缴纳形式：转账、电汇、担保机构保函。</w:t>
            </w:r>
          </w:p>
          <w:p w14:paraId="564379E8">
            <w:pPr>
              <w:spacing w:line="360" w:lineRule="auto"/>
              <w:ind w:firstLine="480"/>
              <w:rPr>
                <w:rFonts w:hAnsi="宋体" w:cs="宋体"/>
                <w:szCs w:val="24"/>
                <w:highlight w:val="none"/>
              </w:rPr>
            </w:pPr>
            <w:r>
              <w:rPr>
                <w:rFonts w:hint="eastAsia" w:hAnsi="宋体" w:cs="宋体"/>
                <w:szCs w:val="24"/>
                <w:highlight w:val="none"/>
              </w:rPr>
              <w:t>供应商以银行转账、电汇形式交纳保证金的，须从基本账户转出，并且在磋商响应文件递交截止前到达采购代理机构指定账户（</w:t>
            </w:r>
            <w:r>
              <w:rPr>
                <w:rFonts w:hint="eastAsia" w:hAnsi="宋体" w:cs="宋体"/>
                <w:b/>
                <w:szCs w:val="24"/>
                <w:highlight w:val="none"/>
              </w:rPr>
              <w:t>转账时请注明项目编号</w:t>
            </w:r>
            <w:r>
              <w:rPr>
                <w:rFonts w:hint="eastAsia" w:hAnsi="宋体" w:cs="宋体"/>
                <w:szCs w:val="24"/>
                <w:highlight w:val="none"/>
              </w:rPr>
              <w:t>）。磋商保证金到达采购代理机构指定账户后，供应商须与陕西至诚项目管理集团有限公司财务部联系确认到账后（联系电话029-88219779），将磋商保证金缴纳凭证复印件粘贴于磋商响应文件规定处。</w:t>
            </w:r>
          </w:p>
          <w:p w14:paraId="01D2D2D2">
            <w:pPr>
              <w:spacing w:line="360" w:lineRule="auto"/>
              <w:ind w:firstLine="480"/>
              <w:rPr>
                <w:rFonts w:hAnsi="宋体" w:cs="宋体"/>
                <w:szCs w:val="24"/>
                <w:highlight w:val="none"/>
              </w:rPr>
            </w:pPr>
            <w:r>
              <w:rPr>
                <w:rFonts w:hint="eastAsia" w:hAnsi="宋体" w:cs="宋体"/>
                <w:szCs w:val="24"/>
                <w:highlight w:val="none"/>
              </w:rPr>
              <w:t>供应商以保函形式缴纳磋商保证金的，须在磋商响应文件递交截止时间前将担保机构保函</w:t>
            </w:r>
            <w:r>
              <w:rPr>
                <w:rFonts w:hint="eastAsia" w:hAnsi="宋体" w:cs="宋体"/>
                <w:b/>
                <w:bCs/>
                <w:szCs w:val="24"/>
                <w:highlight w:val="none"/>
              </w:rPr>
              <w:t>正本原件</w:t>
            </w:r>
            <w:r>
              <w:rPr>
                <w:rFonts w:hint="eastAsia" w:hAnsi="宋体" w:cs="宋体"/>
                <w:szCs w:val="24"/>
                <w:highlight w:val="none"/>
              </w:rPr>
              <w:t>提交至采购代理机构备案，并将保函正本复印件附在磋商响应文件规定处。</w:t>
            </w:r>
          </w:p>
        </w:tc>
      </w:tr>
      <w:tr w14:paraId="74BF2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vAlign w:val="center"/>
          </w:tcPr>
          <w:p w14:paraId="329FDC4D">
            <w:pPr>
              <w:spacing w:line="360" w:lineRule="auto"/>
              <w:jc w:val="center"/>
              <w:rPr>
                <w:rFonts w:hAnsi="宋体" w:cs="宋体"/>
                <w:szCs w:val="24"/>
                <w:highlight w:val="none"/>
              </w:rPr>
            </w:pPr>
            <w:r>
              <w:rPr>
                <w:rFonts w:hint="eastAsia" w:hAnsi="宋体" w:cs="宋体"/>
                <w:szCs w:val="24"/>
                <w:highlight w:val="none"/>
              </w:rPr>
              <w:t>8</w:t>
            </w:r>
          </w:p>
        </w:tc>
        <w:tc>
          <w:tcPr>
            <w:tcW w:w="951" w:type="dxa"/>
            <w:vAlign w:val="center"/>
          </w:tcPr>
          <w:p w14:paraId="0818FD88">
            <w:pPr>
              <w:spacing w:line="360" w:lineRule="auto"/>
              <w:jc w:val="center"/>
              <w:rPr>
                <w:rFonts w:hAnsi="宋体" w:cs="宋体"/>
                <w:szCs w:val="24"/>
                <w:highlight w:val="none"/>
              </w:rPr>
            </w:pPr>
            <w:r>
              <w:rPr>
                <w:rFonts w:hint="eastAsia" w:hAnsi="宋体" w:cs="宋体"/>
                <w:szCs w:val="24"/>
                <w:highlight w:val="none"/>
              </w:rPr>
              <w:t>15.1</w:t>
            </w:r>
          </w:p>
        </w:tc>
        <w:tc>
          <w:tcPr>
            <w:tcW w:w="7354" w:type="dxa"/>
            <w:vAlign w:val="center"/>
          </w:tcPr>
          <w:p w14:paraId="5F767655">
            <w:pPr>
              <w:spacing w:line="360" w:lineRule="auto"/>
              <w:rPr>
                <w:rFonts w:hAnsi="宋体" w:cs="宋体"/>
                <w:highlight w:val="none"/>
              </w:rPr>
            </w:pPr>
            <w:r>
              <w:rPr>
                <w:rFonts w:hint="eastAsia" w:hAnsi="宋体" w:cs="宋体"/>
                <w:szCs w:val="24"/>
                <w:highlight w:val="none"/>
              </w:rPr>
              <w:t>磋商有效期:提交磋商响应文件的截止之日起90天。</w:t>
            </w:r>
          </w:p>
        </w:tc>
      </w:tr>
      <w:tr w14:paraId="4889C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vAlign w:val="center"/>
          </w:tcPr>
          <w:p w14:paraId="1F370BDA">
            <w:pPr>
              <w:spacing w:line="360" w:lineRule="auto"/>
              <w:jc w:val="center"/>
              <w:rPr>
                <w:rFonts w:hAnsi="宋体" w:cs="宋体"/>
                <w:szCs w:val="24"/>
                <w:highlight w:val="none"/>
              </w:rPr>
            </w:pPr>
            <w:r>
              <w:rPr>
                <w:rFonts w:hint="eastAsia" w:hAnsi="宋体" w:cs="宋体"/>
                <w:szCs w:val="24"/>
                <w:highlight w:val="none"/>
              </w:rPr>
              <w:t>9</w:t>
            </w:r>
          </w:p>
        </w:tc>
        <w:tc>
          <w:tcPr>
            <w:tcW w:w="951" w:type="dxa"/>
            <w:vAlign w:val="center"/>
          </w:tcPr>
          <w:p w14:paraId="1E5E5610">
            <w:pPr>
              <w:spacing w:after="156" w:afterLines="50" w:line="360" w:lineRule="auto"/>
              <w:jc w:val="center"/>
              <w:rPr>
                <w:rFonts w:hAnsi="宋体" w:cs="宋体"/>
                <w:szCs w:val="24"/>
                <w:highlight w:val="none"/>
              </w:rPr>
            </w:pPr>
            <w:r>
              <w:rPr>
                <w:rFonts w:hint="eastAsia" w:hAnsi="宋体" w:cs="宋体"/>
                <w:szCs w:val="24"/>
                <w:highlight w:val="none"/>
              </w:rPr>
              <w:t>16.1</w:t>
            </w:r>
          </w:p>
        </w:tc>
        <w:tc>
          <w:tcPr>
            <w:tcW w:w="7354" w:type="dxa"/>
            <w:vAlign w:val="center"/>
          </w:tcPr>
          <w:p w14:paraId="30A12BD2">
            <w:pPr>
              <w:spacing w:line="360" w:lineRule="auto"/>
              <w:rPr>
                <w:rFonts w:hAnsi="宋体" w:cs="宋体"/>
                <w:szCs w:val="24"/>
                <w:highlight w:val="none"/>
              </w:rPr>
            </w:pPr>
            <w:r>
              <w:rPr>
                <w:rFonts w:hint="eastAsia" w:hAnsi="宋体" w:cs="宋体"/>
                <w:szCs w:val="24"/>
                <w:highlight w:val="none"/>
              </w:rPr>
              <w:t>正本的份数：壹份；副本的份数：贰份；报价一览表：壹份；电子版（U盘）：壹份（需在盘面上标注供应商全称、项目名称、编号）。</w:t>
            </w:r>
          </w:p>
        </w:tc>
      </w:tr>
      <w:tr w14:paraId="31E9C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479F2F98">
            <w:pPr>
              <w:spacing w:line="360" w:lineRule="auto"/>
              <w:jc w:val="center"/>
              <w:rPr>
                <w:rFonts w:hAnsi="宋体" w:cs="宋体"/>
                <w:szCs w:val="24"/>
                <w:highlight w:val="none"/>
              </w:rPr>
            </w:pPr>
            <w:r>
              <w:rPr>
                <w:rFonts w:hint="eastAsia" w:hAnsi="宋体" w:cs="宋体"/>
                <w:szCs w:val="24"/>
                <w:highlight w:val="none"/>
              </w:rPr>
              <w:t>10</w:t>
            </w:r>
          </w:p>
        </w:tc>
        <w:tc>
          <w:tcPr>
            <w:tcW w:w="951" w:type="dxa"/>
            <w:vAlign w:val="center"/>
          </w:tcPr>
          <w:p w14:paraId="2ECF4F5E">
            <w:pPr>
              <w:spacing w:after="156" w:afterLines="50" w:line="360" w:lineRule="auto"/>
              <w:jc w:val="center"/>
              <w:rPr>
                <w:rFonts w:hAnsi="宋体" w:cs="宋体"/>
                <w:szCs w:val="24"/>
                <w:highlight w:val="none"/>
              </w:rPr>
            </w:pPr>
            <w:r>
              <w:rPr>
                <w:rFonts w:hint="eastAsia" w:hAnsi="宋体" w:cs="宋体"/>
                <w:szCs w:val="24"/>
                <w:highlight w:val="none"/>
              </w:rPr>
              <w:t>17.2</w:t>
            </w:r>
          </w:p>
        </w:tc>
        <w:tc>
          <w:tcPr>
            <w:tcW w:w="7354" w:type="dxa"/>
            <w:vAlign w:val="center"/>
          </w:tcPr>
          <w:p w14:paraId="4D20D45C">
            <w:pPr>
              <w:spacing w:line="360" w:lineRule="auto"/>
              <w:rPr>
                <w:rFonts w:hAnsi="宋体" w:cs="宋体"/>
                <w:szCs w:val="24"/>
                <w:highlight w:val="none"/>
              </w:rPr>
            </w:pPr>
            <w:r>
              <w:rPr>
                <w:rFonts w:hint="eastAsia" w:hAnsi="宋体" w:cs="宋体"/>
                <w:szCs w:val="24"/>
                <w:highlight w:val="none"/>
              </w:rPr>
              <w:t>竞争性磋商响应文件正本、电子版本、报价一览表</w:t>
            </w:r>
            <w:r>
              <w:rPr>
                <w:rFonts w:hint="eastAsia" w:hAnsi="宋体" w:cs="宋体"/>
                <w:szCs w:val="24"/>
                <w:highlight w:val="none"/>
                <w:lang w:eastAsia="zh-CN"/>
              </w:rPr>
              <w:t>；</w:t>
            </w:r>
            <w:r>
              <w:rPr>
                <w:rFonts w:hint="eastAsia" w:hAnsi="宋体" w:cs="宋体"/>
                <w:szCs w:val="24"/>
                <w:highlight w:val="none"/>
              </w:rPr>
              <w:t>副本密封装在单独的封袋中（封袋不得有破损），且在封袋正面标明“正本</w:t>
            </w:r>
            <w:r>
              <w:rPr>
                <w:rFonts w:hint="eastAsia" w:hAnsi="宋体" w:cs="宋体"/>
                <w:szCs w:val="24"/>
                <w:highlight w:val="none"/>
                <w:lang w:eastAsia="zh-CN"/>
              </w:rPr>
              <w:t>、</w:t>
            </w:r>
            <w:r>
              <w:rPr>
                <w:rFonts w:hint="eastAsia" w:hAnsi="宋体" w:cs="宋体"/>
                <w:szCs w:val="24"/>
                <w:highlight w:val="none"/>
              </w:rPr>
              <w:t>电子版本</w:t>
            </w:r>
            <w:r>
              <w:rPr>
                <w:rFonts w:hint="eastAsia" w:hAnsi="宋体" w:cs="宋体"/>
                <w:szCs w:val="24"/>
                <w:highlight w:val="none"/>
                <w:lang w:eastAsia="zh-CN"/>
              </w:rPr>
              <w:t>、</w:t>
            </w:r>
            <w:r>
              <w:rPr>
                <w:rFonts w:hint="eastAsia" w:hAnsi="宋体" w:cs="宋体"/>
                <w:szCs w:val="24"/>
                <w:highlight w:val="none"/>
              </w:rPr>
              <w:t>报价一览表”“副本”字样。封袋应加贴封条，并在封线处加盖供应商公章，封袋正面要粘贴供应商全称、项目名称、编号等标识。</w:t>
            </w:r>
          </w:p>
        </w:tc>
      </w:tr>
      <w:tr w14:paraId="1C550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5F144826">
            <w:pPr>
              <w:spacing w:after="156" w:afterLines="50" w:line="360" w:lineRule="auto"/>
              <w:jc w:val="center"/>
              <w:rPr>
                <w:rFonts w:hAnsi="宋体" w:cs="宋体"/>
                <w:szCs w:val="24"/>
                <w:highlight w:val="none"/>
              </w:rPr>
            </w:pPr>
            <w:r>
              <w:rPr>
                <w:rFonts w:hint="eastAsia" w:hAnsi="宋体" w:cs="宋体"/>
                <w:szCs w:val="24"/>
                <w:highlight w:val="none"/>
              </w:rPr>
              <w:t>11</w:t>
            </w:r>
          </w:p>
        </w:tc>
        <w:tc>
          <w:tcPr>
            <w:tcW w:w="951" w:type="dxa"/>
            <w:vAlign w:val="center"/>
          </w:tcPr>
          <w:p w14:paraId="7A93BAFA">
            <w:pPr>
              <w:spacing w:after="156" w:afterLines="50" w:line="360" w:lineRule="auto"/>
              <w:jc w:val="center"/>
              <w:rPr>
                <w:rFonts w:hAnsi="宋体" w:cs="宋体"/>
                <w:szCs w:val="24"/>
                <w:highlight w:val="none"/>
              </w:rPr>
            </w:pPr>
            <w:r>
              <w:rPr>
                <w:rFonts w:hint="eastAsia" w:hAnsi="宋体" w:cs="宋体"/>
                <w:szCs w:val="24"/>
                <w:highlight w:val="none"/>
              </w:rPr>
              <w:t>18.1</w:t>
            </w:r>
          </w:p>
        </w:tc>
        <w:tc>
          <w:tcPr>
            <w:tcW w:w="7354" w:type="dxa"/>
          </w:tcPr>
          <w:p w14:paraId="789B9391">
            <w:pPr>
              <w:spacing w:line="360" w:lineRule="auto"/>
              <w:rPr>
                <w:rFonts w:hAnsi="宋体" w:cs="宋体"/>
                <w:szCs w:val="24"/>
                <w:highlight w:val="none"/>
              </w:rPr>
            </w:pPr>
            <w:r>
              <w:rPr>
                <w:rFonts w:hint="eastAsia" w:hAnsi="宋体" w:cs="宋体"/>
                <w:szCs w:val="24"/>
                <w:highlight w:val="none"/>
              </w:rPr>
              <w:t>磋商响应文件递交截止时间：详见竞争性磋商公告</w:t>
            </w:r>
          </w:p>
          <w:p w14:paraId="1FEA8C3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Ansi="宋体" w:cs="宋体"/>
                <w:szCs w:val="24"/>
                <w:highlight w:val="none"/>
              </w:rPr>
            </w:pPr>
            <w:r>
              <w:rPr>
                <w:rFonts w:hint="eastAsia" w:hAnsi="宋体" w:cs="宋体"/>
                <w:szCs w:val="24"/>
                <w:highlight w:val="none"/>
              </w:rPr>
              <w:t>磋商响应文件递交地址：详见竞争性磋商公告</w:t>
            </w:r>
          </w:p>
          <w:p w14:paraId="0825F854">
            <w:pPr>
              <w:spacing w:line="360" w:lineRule="auto"/>
              <w:rPr>
                <w:rFonts w:hAnsi="宋体" w:cs="宋体"/>
                <w:szCs w:val="24"/>
                <w:highlight w:val="none"/>
              </w:rPr>
            </w:pPr>
            <w:r>
              <w:rPr>
                <w:rFonts w:hint="eastAsia" w:hAnsi="宋体" w:cs="宋体"/>
                <w:szCs w:val="24"/>
                <w:highlight w:val="none"/>
              </w:rPr>
              <w:t>磋商响应文件接收人：陕西至诚项目管理集团有限公司</w:t>
            </w:r>
          </w:p>
        </w:tc>
      </w:tr>
      <w:tr w14:paraId="6DBEE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vAlign w:val="center"/>
          </w:tcPr>
          <w:p w14:paraId="524CBB85">
            <w:pPr>
              <w:spacing w:after="156" w:afterLines="50" w:line="360" w:lineRule="auto"/>
              <w:jc w:val="center"/>
              <w:rPr>
                <w:rFonts w:hAnsi="宋体" w:cs="宋体"/>
                <w:szCs w:val="24"/>
                <w:highlight w:val="none"/>
              </w:rPr>
            </w:pPr>
            <w:r>
              <w:rPr>
                <w:rFonts w:hint="eastAsia" w:hAnsi="宋体" w:cs="宋体"/>
                <w:szCs w:val="24"/>
                <w:highlight w:val="none"/>
              </w:rPr>
              <w:t>12</w:t>
            </w:r>
          </w:p>
        </w:tc>
        <w:tc>
          <w:tcPr>
            <w:tcW w:w="951" w:type="dxa"/>
            <w:vAlign w:val="center"/>
          </w:tcPr>
          <w:p w14:paraId="3CD62610">
            <w:pPr>
              <w:spacing w:after="156" w:afterLines="50" w:line="360" w:lineRule="auto"/>
              <w:jc w:val="center"/>
              <w:rPr>
                <w:rFonts w:hAnsi="宋体" w:cs="宋体"/>
                <w:szCs w:val="24"/>
                <w:highlight w:val="none"/>
              </w:rPr>
            </w:pPr>
            <w:r>
              <w:rPr>
                <w:rFonts w:hint="eastAsia" w:hAnsi="宋体" w:cs="宋体"/>
                <w:szCs w:val="24"/>
                <w:highlight w:val="none"/>
              </w:rPr>
              <w:t>21.1</w:t>
            </w:r>
          </w:p>
        </w:tc>
        <w:tc>
          <w:tcPr>
            <w:tcW w:w="7354" w:type="dxa"/>
            <w:vAlign w:val="center"/>
          </w:tcPr>
          <w:p w14:paraId="31AC6B16">
            <w:pPr>
              <w:spacing w:line="360" w:lineRule="auto"/>
              <w:rPr>
                <w:rFonts w:hAnsi="宋体" w:cs="宋体"/>
                <w:szCs w:val="24"/>
                <w:highlight w:val="none"/>
              </w:rPr>
            </w:pPr>
            <w:r>
              <w:rPr>
                <w:rFonts w:hint="eastAsia" w:hAnsi="宋体" w:cs="宋体"/>
                <w:szCs w:val="24"/>
                <w:highlight w:val="none"/>
              </w:rPr>
              <w:t>磋商时间：详见竞争性磋商公告</w:t>
            </w:r>
          </w:p>
          <w:p w14:paraId="72779D1B">
            <w:pPr>
              <w:spacing w:line="360" w:lineRule="auto"/>
              <w:jc w:val="left"/>
              <w:rPr>
                <w:rFonts w:hAnsi="宋体" w:cs="宋体"/>
                <w:szCs w:val="24"/>
                <w:highlight w:val="none"/>
              </w:rPr>
            </w:pPr>
            <w:r>
              <w:rPr>
                <w:rFonts w:hint="eastAsia" w:hAnsi="宋体" w:cs="宋体"/>
                <w:szCs w:val="24"/>
                <w:highlight w:val="none"/>
              </w:rPr>
              <w:t>磋商地点：详见竞争性磋商公告</w:t>
            </w:r>
            <w:r>
              <w:rPr>
                <w:rFonts w:hint="eastAsia" w:hAnsi="宋体" w:cs="宋体"/>
                <w:szCs w:val="24"/>
                <w:highlight w:val="none"/>
                <w:lang w:val="en-US" w:eastAsia="zh-CN"/>
              </w:rPr>
              <w:t xml:space="preserve">  </w:t>
            </w:r>
          </w:p>
        </w:tc>
      </w:tr>
      <w:tr w14:paraId="01D0B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47" w:hRule="atLeast"/>
          <w:jc w:val="center"/>
        </w:trPr>
        <w:tc>
          <w:tcPr>
            <w:tcW w:w="592" w:type="dxa"/>
            <w:vAlign w:val="center"/>
          </w:tcPr>
          <w:p w14:paraId="2C6E61C0">
            <w:pPr>
              <w:spacing w:after="156" w:afterLines="50" w:line="360" w:lineRule="auto"/>
              <w:jc w:val="center"/>
              <w:rPr>
                <w:rFonts w:hAnsi="宋体" w:cs="宋体"/>
                <w:szCs w:val="24"/>
                <w:highlight w:val="none"/>
              </w:rPr>
            </w:pPr>
            <w:r>
              <w:rPr>
                <w:rFonts w:hint="eastAsia" w:hAnsi="宋体" w:cs="宋体"/>
                <w:szCs w:val="24"/>
                <w:highlight w:val="none"/>
              </w:rPr>
              <w:t>13</w:t>
            </w:r>
          </w:p>
        </w:tc>
        <w:tc>
          <w:tcPr>
            <w:tcW w:w="951" w:type="dxa"/>
            <w:vAlign w:val="center"/>
          </w:tcPr>
          <w:p w14:paraId="30693B89">
            <w:pPr>
              <w:spacing w:after="156" w:afterLines="50" w:line="360" w:lineRule="auto"/>
              <w:jc w:val="center"/>
              <w:rPr>
                <w:rFonts w:hAnsi="宋体" w:cs="宋体"/>
                <w:szCs w:val="24"/>
                <w:highlight w:val="none"/>
              </w:rPr>
            </w:pPr>
            <w:r>
              <w:rPr>
                <w:rFonts w:hint="eastAsia" w:hAnsi="宋体" w:cs="宋体"/>
                <w:szCs w:val="24"/>
                <w:highlight w:val="none"/>
              </w:rPr>
              <w:t>24.1</w:t>
            </w:r>
          </w:p>
        </w:tc>
        <w:tc>
          <w:tcPr>
            <w:tcW w:w="7354" w:type="dxa"/>
            <w:vAlign w:val="center"/>
          </w:tcPr>
          <w:p w14:paraId="0EACC336">
            <w:pPr>
              <w:spacing w:after="156" w:afterLines="50" w:line="360" w:lineRule="auto"/>
              <w:jc w:val="left"/>
              <w:rPr>
                <w:rFonts w:hAnsi="宋体" w:cs="宋体"/>
                <w:szCs w:val="24"/>
                <w:highlight w:val="none"/>
              </w:rPr>
            </w:pPr>
            <w:r>
              <w:rPr>
                <w:rFonts w:hint="eastAsia" w:hAnsi="宋体" w:cs="宋体"/>
                <w:b/>
                <w:bCs/>
                <w:szCs w:val="24"/>
                <w:highlight w:val="none"/>
              </w:rPr>
              <w:t>评审方法：综合评分法（详见第三章）</w:t>
            </w:r>
          </w:p>
        </w:tc>
      </w:tr>
      <w:tr w14:paraId="35A10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4719BEFB">
            <w:pPr>
              <w:spacing w:after="156" w:afterLines="50" w:line="360" w:lineRule="auto"/>
              <w:jc w:val="center"/>
              <w:rPr>
                <w:rFonts w:hAnsi="宋体" w:cs="宋体"/>
                <w:szCs w:val="24"/>
                <w:highlight w:val="none"/>
              </w:rPr>
            </w:pPr>
            <w:r>
              <w:rPr>
                <w:rFonts w:hint="eastAsia" w:hAnsi="宋体" w:cs="宋体"/>
                <w:szCs w:val="24"/>
                <w:highlight w:val="none"/>
              </w:rPr>
              <w:t>14</w:t>
            </w:r>
          </w:p>
        </w:tc>
        <w:tc>
          <w:tcPr>
            <w:tcW w:w="951" w:type="dxa"/>
            <w:vAlign w:val="center"/>
          </w:tcPr>
          <w:p w14:paraId="16A46AC9">
            <w:pPr>
              <w:spacing w:after="156" w:afterLines="50" w:line="360" w:lineRule="auto"/>
              <w:jc w:val="center"/>
              <w:rPr>
                <w:rFonts w:hAnsi="宋体" w:cs="宋体"/>
                <w:szCs w:val="24"/>
                <w:highlight w:val="none"/>
              </w:rPr>
            </w:pPr>
            <w:r>
              <w:rPr>
                <w:rFonts w:hint="eastAsia" w:hAnsi="宋体" w:cs="宋体"/>
                <w:szCs w:val="24"/>
                <w:highlight w:val="none"/>
              </w:rPr>
              <w:t>29</w:t>
            </w:r>
          </w:p>
        </w:tc>
        <w:tc>
          <w:tcPr>
            <w:tcW w:w="7354" w:type="dxa"/>
            <w:vAlign w:val="center"/>
          </w:tcPr>
          <w:p w14:paraId="557A5D7A">
            <w:pPr>
              <w:spacing w:line="360" w:lineRule="auto"/>
              <w:rPr>
                <w:rFonts w:hAnsi="宋体" w:cs="宋体"/>
                <w:szCs w:val="24"/>
                <w:highlight w:val="none"/>
              </w:rPr>
            </w:pPr>
            <w:r>
              <w:rPr>
                <w:rFonts w:hint="eastAsia" w:hAnsi="宋体" w:cs="宋体"/>
                <w:szCs w:val="24"/>
                <w:highlight w:val="none"/>
              </w:rPr>
              <w:t>磋商代理服务费：</w:t>
            </w:r>
          </w:p>
          <w:p w14:paraId="4B9344A7">
            <w:pPr>
              <w:spacing w:line="560" w:lineRule="exact"/>
              <w:ind w:firstLine="480" w:firstLineChars="200"/>
              <w:rPr>
                <w:rFonts w:hAnsi="宋体" w:cs="宋体"/>
                <w:szCs w:val="24"/>
                <w:highlight w:val="none"/>
              </w:rPr>
            </w:pPr>
            <w:r>
              <w:rPr>
                <w:rFonts w:hint="eastAsia" w:hAnsi="宋体" w:cs="宋体"/>
                <w:szCs w:val="24"/>
                <w:highlight w:val="none"/>
              </w:rPr>
              <w:t>29.1按</w:t>
            </w:r>
            <w:bookmarkStart w:id="28" w:name="OLE_LINK9"/>
            <w:bookmarkStart w:id="29" w:name="OLE_LINK10"/>
            <w:r>
              <w:rPr>
                <w:rFonts w:hint="eastAsia" w:hAnsi="宋体" w:cs="宋体"/>
                <w:szCs w:val="24"/>
                <w:highlight w:val="none"/>
              </w:rPr>
              <w:t>国家计委颁发的《招标代理服务收费管理暂行办法》（计价格[2002]1980号）和</w:t>
            </w:r>
            <w:r>
              <w:rPr>
                <w:rFonts w:hint="eastAsia" w:hAnsi="宋体" w:cs="宋体"/>
                <w:szCs w:val="24"/>
                <w:highlight w:val="none"/>
                <w:lang w:eastAsia="zh-CN"/>
              </w:rPr>
              <w:t>国家发展和改革委员会</w:t>
            </w:r>
            <w:r>
              <w:rPr>
                <w:rFonts w:hint="eastAsia" w:hAnsi="宋体" w:cs="宋体"/>
                <w:szCs w:val="24"/>
                <w:highlight w:val="none"/>
              </w:rPr>
              <w:t>办公厅颁发的《关于招标代理服务收费有关问题的通知》（发改办价格[2003]857号）的有关规定执行。</w:t>
            </w:r>
            <w:bookmarkEnd w:id="28"/>
            <w:bookmarkEnd w:id="29"/>
          </w:p>
          <w:p w14:paraId="552B5776">
            <w:pPr>
              <w:spacing w:line="360" w:lineRule="auto"/>
              <w:ind w:firstLine="480" w:firstLineChars="200"/>
              <w:rPr>
                <w:rFonts w:hAnsi="宋体" w:cs="宋体"/>
                <w:szCs w:val="24"/>
                <w:highlight w:val="none"/>
              </w:rPr>
            </w:pPr>
            <w:r>
              <w:rPr>
                <w:rFonts w:hint="eastAsia" w:hAnsi="宋体" w:cs="宋体"/>
                <w:szCs w:val="24"/>
                <w:highlight w:val="none"/>
              </w:rPr>
              <w:t>29.2成交单位在领取成交通知书前，须向采购代理机构一次性支付代理服务费。</w:t>
            </w:r>
          </w:p>
        </w:tc>
      </w:tr>
      <w:tr w14:paraId="40A12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2ACC8EDA">
            <w:pPr>
              <w:spacing w:after="156" w:afterLines="50" w:line="360" w:lineRule="auto"/>
              <w:jc w:val="center"/>
              <w:rPr>
                <w:rFonts w:hAnsi="宋体" w:cs="宋体"/>
                <w:szCs w:val="24"/>
                <w:highlight w:val="none"/>
              </w:rPr>
            </w:pPr>
            <w:r>
              <w:rPr>
                <w:rFonts w:hint="eastAsia" w:hAnsi="宋体" w:cs="宋体"/>
                <w:szCs w:val="24"/>
                <w:highlight w:val="none"/>
              </w:rPr>
              <w:t>15</w:t>
            </w:r>
          </w:p>
        </w:tc>
        <w:tc>
          <w:tcPr>
            <w:tcW w:w="951" w:type="dxa"/>
            <w:vAlign w:val="center"/>
          </w:tcPr>
          <w:p w14:paraId="145AE6C1">
            <w:pPr>
              <w:spacing w:line="360" w:lineRule="auto"/>
              <w:jc w:val="center"/>
              <w:rPr>
                <w:rFonts w:hAnsi="宋体" w:cs="宋体"/>
                <w:szCs w:val="24"/>
                <w:highlight w:val="none"/>
              </w:rPr>
            </w:pPr>
            <w:r>
              <w:rPr>
                <w:rFonts w:hint="eastAsia" w:hAnsi="宋体" w:cs="宋体"/>
                <w:szCs w:val="24"/>
                <w:highlight w:val="none"/>
              </w:rPr>
              <w:t>踏勘</w:t>
            </w:r>
          </w:p>
          <w:p w14:paraId="5D8B84F3">
            <w:pPr>
              <w:spacing w:line="360" w:lineRule="auto"/>
              <w:jc w:val="center"/>
              <w:rPr>
                <w:rFonts w:hAnsi="宋体" w:cs="宋体"/>
                <w:szCs w:val="24"/>
                <w:highlight w:val="none"/>
              </w:rPr>
            </w:pPr>
            <w:r>
              <w:rPr>
                <w:rFonts w:hint="eastAsia" w:hAnsi="宋体" w:cs="宋体"/>
                <w:szCs w:val="24"/>
                <w:highlight w:val="none"/>
              </w:rPr>
              <w:t>现场</w:t>
            </w:r>
          </w:p>
        </w:tc>
        <w:tc>
          <w:tcPr>
            <w:tcW w:w="7354" w:type="dxa"/>
            <w:vAlign w:val="center"/>
          </w:tcPr>
          <w:p w14:paraId="09B8703B">
            <w:pPr>
              <w:spacing w:line="360" w:lineRule="auto"/>
              <w:rPr>
                <w:rFonts w:hAnsi="宋体" w:cs="宋体"/>
                <w:szCs w:val="24"/>
                <w:highlight w:val="none"/>
              </w:rPr>
            </w:pPr>
            <w:r>
              <w:rPr>
                <w:rFonts w:hint="eastAsia" w:hAnsi="宋体" w:cs="宋体"/>
                <w:szCs w:val="24"/>
                <w:highlight w:val="none"/>
              </w:rPr>
              <w:t>1）招标代理机构不组织统一踏勘，各投标人自行踏勘，相关费用及安全由投标人自行承担，踏勘时遵守相关规定，不得扰民。</w:t>
            </w:r>
          </w:p>
          <w:p w14:paraId="4B08DB16">
            <w:pPr>
              <w:spacing w:line="360" w:lineRule="auto"/>
              <w:rPr>
                <w:rFonts w:hAnsi="宋体" w:cs="宋体"/>
                <w:szCs w:val="24"/>
                <w:highlight w:val="none"/>
              </w:rPr>
            </w:pPr>
            <w:r>
              <w:rPr>
                <w:rFonts w:hint="eastAsia" w:hAnsi="宋体" w:cs="宋体"/>
                <w:szCs w:val="24"/>
                <w:highlight w:val="none"/>
              </w:rPr>
              <w:t>2）踏勘内容包含：完成本次招标所需要的现场情况及周围环境等资料。</w:t>
            </w:r>
          </w:p>
        </w:tc>
      </w:tr>
      <w:tr w14:paraId="77923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68314309">
            <w:pPr>
              <w:spacing w:after="156" w:afterLines="50" w:line="360" w:lineRule="auto"/>
              <w:jc w:val="center"/>
              <w:rPr>
                <w:rFonts w:hAnsi="宋体" w:cs="宋体"/>
                <w:szCs w:val="24"/>
                <w:highlight w:val="none"/>
              </w:rPr>
            </w:pPr>
            <w:r>
              <w:rPr>
                <w:rFonts w:hint="eastAsia" w:hAnsi="宋体" w:cs="宋体"/>
                <w:szCs w:val="24"/>
                <w:highlight w:val="none"/>
              </w:rPr>
              <w:t>16</w:t>
            </w:r>
          </w:p>
        </w:tc>
        <w:tc>
          <w:tcPr>
            <w:tcW w:w="951" w:type="dxa"/>
            <w:vAlign w:val="center"/>
          </w:tcPr>
          <w:p w14:paraId="045F6740">
            <w:pPr>
              <w:jc w:val="center"/>
              <w:rPr>
                <w:rFonts w:hAnsi="宋体" w:cs="宋体"/>
                <w:b/>
                <w:bCs/>
                <w:szCs w:val="24"/>
                <w:highlight w:val="none"/>
              </w:rPr>
            </w:pPr>
            <w:r>
              <w:rPr>
                <w:rFonts w:hint="eastAsia" w:hAnsi="宋体" w:cs="宋体"/>
                <w:b/>
                <w:bCs/>
                <w:szCs w:val="24"/>
                <w:highlight w:val="none"/>
              </w:rPr>
              <w:t>银行</w:t>
            </w:r>
          </w:p>
          <w:p w14:paraId="1409E823">
            <w:pPr>
              <w:jc w:val="center"/>
              <w:rPr>
                <w:rFonts w:hAnsi="宋体" w:cs="宋体"/>
                <w:b/>
                <w:bCs/>
                <w:szCs w:val="24"/>
                <w:highlight w:val="none"/>
              </w:rPr>
            </w:pPr>
            <w:r>
              <w:rPr>
                <w:rFonts w:hint="eastAsia" w:hAnsi="宋体" w:cs="宋体"/>
                <w:b/>
                <w:bCs/>
                <w:szCs w:val="24"/>
                <w:highlight w:val="none"/>
              </w:rPr>
              <w:t>账户</w:t>
            </w:r>
          </w:p>
          <w:p w14:paraId="67FF4321">
            <w:pPr>
              <w:jc w:val="center"/>
              <w:rPr>
                <w:rFonts w:hAnsi="宋体" w:cs="宋体"/>
                <w:szCs w:val="24"/>
                <w:highlight w:val="none"/>
              </w:rPr>
            </w:pPr>
            <w:r>
              <w:rPr>
                <w:rFonts w:hint="eastAsia" w:hAnsi="宋体" w:cs="宋体"/>
                <w:b/>
                <w:bCs/>
                <w:szCs w:val="24"/>
                <w:highlight w:val="none"/>
              </w:rPr>
              <w:t>信息</w:t>
            </w:r>
          </w:p>
        </w:tc>
        <w:tc>
          <w:tcPr>
            <w:tcW w:w="7354" w:type="dxa"/>
            <w:vAlign w:val="center"/>
          </w:tcPr>
          <w:p w14:paraId="42AC581A">
            <w:pPr>
              <w:spacing w:line="520" w:lineRule="exact"/>
              <w:rPr>
                <w:rFonts w:hAnsi="宋体" w:cs="宋体"/>
                <w:b/>
                <w:bCs/>
                <w:szCs w:val="24"/>
                <w:highlight w:val="none"/>
              </w:rPr>
            </w:pPr>
            <w:r>
              <w:rPr>
                <w:rFonts w:hint="eastAsia" w:hAnsi="宋体" w:cs="宋体"/>
                <w:b/>
                <w:bCs/>
                <w:szCs w:val="24"/>
                <w:highlight w:val="none"/>
              </w:rPr>
              <w:t>1、代理服务费账户：</w:t>
            </w:r>
          </w:p>
          <w:p w14:paraId="136BB492">
            <w:pPr>
              <w:spacing w:line="360" w:lineRule="auto"/>
              <w:ind w:firstLine="482" w:firstLineChars="200"/>
              <w:rPr>
                <w:rFonts w:hAnsi="宋体" w:cs="宋体"/>
                <w:b/>
                <w:bCs/>
                <w:szCs w:val="24"/>
                <w:highlight w:val="none"/>
              </w:rPr>
            </w:pPr>
            <w:r>
              <w:rPr>
                <w:rFonts w:hint="eastAsia" w:hAnsi="宋体" w:cs="宋体"/>
                <w:b/>
                <w:bCs/>
                <w:szCs w:val="24"/>
                <w:highlight w:val="none"/>
              </w:rPr>
              <w:t>①采购代理机构开户名称: 陕西至诚项目管理集团有限公司</w:t>
            </w:r>
          </w:p>
          <w:p w14:paraId="32CF0A00">
            <w:pPr>
              <w:spacing w:line="360" w:lineRule="auto"/>
              <w:ind w:firstLine="482" w:firstLineChars="200"/>
              <w:rPr>
                <w:rFonts w:hAnsi="宋体" w:cs="宋体"/>
                <w:b/>
                <w:bCs/>
                <w:szCs w:val="24"/>
                <w:highlight w:val="none"/>
              </w:rPr>
            </w:pPr>
            <w:r>
              <w:rPr>
                <w:rFonts w:hint="eastAsia" w:hAnsi="宋体" w:cs="宋体"/>
                <w:b/>
                <w:bCs/>
                <w:szCs w:val="24"/>
                <w:highlight w:val="none"/>
              </w:rPr>
              <w:t>②开户行名称：中国建设银行股份有限公司西安高新技术产业开发区支行</w:t>
            </w:r>
          </w:p>
          <w:p w14:paraId="0EA172C8">
            <w:pPr>
              <w:pStyle w:val="10"/>
              <w:rPr>
                <w:rFonts w:ascii="宋体" w:hAnsi="宋体" w:cs="宋体"/>
                <w:szCs w:val="24"/>
                <w:highlight w:val="none"/>
              </w:rPr>
            </w:pPr>
            <w:r>
              <w:rPr>
                <w:rFonts w:hint="eastAsia" w:ascii="宋体" w:hAnsi="宋体" w:cs="宋体"/>
                <w:b/>
                <w:bCs/>
                <w:sz w:val="24"/>
                <w:szCs w:val="24"/>
                <w:highlight w:val="none"/>
              </w:rPr>
              <w:t>2、账号：61050192090000002152</w:t>
            </w:r>
          </w:p>
        </w:tc>
      </w:tr>
      <w:tr w14:paraId="32EC2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21E9E102">
            <w:pPr>
              <w:spacing w:after="156" w:afterLines="50" w:line="360" w:lineRule="auto"/>
              <w:jc w:val="center"/>
              <w:rPr>
                <w:rFonts w:hAnsi="宋体" w:cs="宋体"/>
                <w:szCs w:val="24"/>
                <w:highlight w:val="none"/>
              </w:rPr>
            </w:pPr>
            <w:r>
              <w:rPr>
                <w:rFonts w:hint="eastAsia" w:hAnsi="宋体" w:cs="宋体"/>
                <w:szCs w:val="24"/>
                <w:highlight w:val="none"/>
              </w:rPr>
              <w:t>17</w:t>
            </w:r>
          </w:p>
        </w:tc>
        <w:tc>
          <w:tcPr>
            <w:tcW w:w="951" w:type="dxa"/>
            <w:vAlign w:val="center"/>
          </w:tcPr>
          <w:p w14:paraId="25DBE080">
            <w:pPr>
              <w:widowControl/>
              <w:spacing w:line="360" w:lineRule="auto"/>
              <w:jc w:val="center"/>
              <w:rPr>
                <w:rFonts w:hAnsi="宋体" w:cs="宋体"/>
                <w:b/>
                <w:bCs/>
                <w:szCs w:val="24"/>
                <w:highlight w:val="none"/>
              </w:rPr>
            </w:pPr>
            <w:r>
              <w:rPr>
                <w:rFonts w:hint="eastAsia" w:hAnsi="宋体" w:cs="宋体"/>
                <w:b/>
                <w:bCs/>
                <w:szCs w:val="24"/>
                <w:highlight w:val="none"/>
              </w:rPr>
              <w:t>项目</w:t>
            </w:r>
          </w:p>
          <w:p w14:paraId="442E1D93">
            <w:pPr>
              <w:widowControl/>
              <w:spacing w:line="360" w:lineRule="auto"/>
              <w:jc w:val="center"/>
              <w:rPr>
                <w:rFonts w:hAnsi="宋体" w:cs="宋体"/>
                <w:b/>
                <w:bCs/>
                <w:szCs w:val="24"/>
                <w:highlight w:val="none"/>
              </w:rPr>
            </w:pPr>
            <w:r>
              <w:rPr>
                <w:rFonts w:hint="eastAsia" w:hAnsi="宋体" w:cs="宋体"/>
                <w:b/>
                <w:bCs/>
                <w:szCs w:val="24"/>
                <w:highlight w:val="none"/>
              </w:rPr>
              <w:t>性质</w:t>
            </w:r>
          </w:p>
        </w:tc>
        <w:tc>
          <w:tcPr>
            <w:tcW w:w="7354" w:type="dxa"/>
            <w:vAlign w:val="center"/>
          </w:tcPr>
          <w:p w14:paraId="759B1271">
            <w:pPr>
              <w:spacing w:line="500" w:lineRule="exact"/>
              <w:rPr>
                <w:rFonts w:hint="default" w:hAnsi="宋体" w:cs="宋体"/>
                <w:b/>
                <w:bCs/>
                <w:szCs w:val="24"/>
                <w:highlight w:val="none"/>
                <w:lang w:val="en-US"/>
              </w:rPr>
            </w:pPr>
            <w:r>
              <w:rPr>
                <w:rFonts w:hint="eastAsia" w:hAnsi="宋体" w:cs="宋体"/>
                <w:b/>
                <w:bCs/>
                <w:szCs w:val="24"/>
                <w:highlight w:val="none"/>
                <w:lang w:val="en-US" w:eastAsia="zh-CN"/>
              </w:rPr>
              <w:t>非专门面相中小企业采购</w:t>
            </w:r>
          </w:p>
        </w:tc>
      </w:tr>
      <w:tr w14:paraId="49A0B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7AB53DA2">
            <w:pPr>
              <w:spacing w:after="156" w:afterLines="50" w:line="360" w:lineRule="auto"/>
              <w:jc w:val="center"/>
              <w:rPr>
                <w:rFonts w:hAnsi="宋体" w:cs="宋体"/>
                <w:szCs w:val="24"/>
                <w:highlight w:val="none"/>
              </w:rPr>
            </w:pPr>
            <w:r>
              <w:rPr>
                <w:rFonts w:hint="eastAsia" w:hAnsi="宋体" w:cs="宋体"/>
                <w:szCs w:val="24"/>
                <w:highlight w:val="none"/>
              </w:rPr>
              <w:t>18</w:t>
            </w:r>
          </w:p>
        </w:tc>
        <w:tc>
          <w:tcPr>
            <w:tcW w:w="951" w:type="dxa"/>
            <w:vAlign w:val="center"/>
          </w:tcPr>
          <w:p w14:paraId="4911992A">
            <w:pPr>
              <w:widowControl/>
              <w:spacing w:line="360" w:lineRule="auto"/>
              <w:jc w:val="center"/>
              <w:rPr>
                <w:rFonts w:hAnsi="宋体" w:cs="宋体"/>
                <w:b/>
                <w:bCs/>
                <w:szCs w:val="24"/>
                <w:highlight w:val="none"/>
              </w:rPr>
            </w:pPr>
            <w:r>
              <w:rPr>
                <w:rFonts w:hint="eastAsia" w:hAnsi="宋体" w:cs="宋体"/>
                <w:b/>
                <w:bCs/>
                <w:szCs w:val="24"/>
                <w:highlight w:val="none"/>
              </w:rPr>
              <w:t>项目所属行业</w:t>
            </w:r>
          </w:p>
        </w:tc>
        <w:tc>
          <w:tcPr>
            <w:tcW w:w="7354" w:type="dxa"/>
            <w:vAlign w:val="center"/>
          </w:tcPr>
          <w:p w14:paraId="1FF282F9">
            <w:pPr>
              <w:spacing w:line="500" w:lineRule="exact"/>
              <w:rPr>
                <w:rFonts w:hint="eastAsia" w:hAnsi="宋体" w:eastAsia="宋体" w:cs="宋体"/>
                <w:b/>
                <w:bCs/>
                <w:szCs w:val="24"/>
                <w:highlight w:val="none"/>
                <w:lang w:eastAsia="zh-CN"/>
              </w:rPr>
            </w:pPr>
            <w:r>
              <w:rPr>
                <w:rFonts w:hint="eastAsia" w:hAnsi="宋体" w:cs="宋体"/>
                <w:b/>
                <w:bCs/>
                <w:szCs w:val="24"/>
                <w:highlight w:val="none"/>
                <w:lang w:val="en-US" w:eastAsia="zh-CN"/>
              </w:rPr>
              <w:t>批发业</w:t>
            </w:r>
          </w:p>
        </w:tc>
      </w:tr>
      <w:tr w14:paraId="6CB9B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1809754B">
            <w:pPr>
              <w:spacing w:after="156" w:afterLines="50" w:line="360" w:lineRule="auto"/>
              <w:jc w:val="center"/>
              <w:rPr>
                <w:rFonts w:hAnsi="宋体" w:cs="宋体"/>
                <w:szCs w:val="24"/>
                <w:highlight w:val="none"/>
              </w:rPr>
            </w:pPr>
            <w:r>
              <w:rPr>
                <w:rFonts w:hint="eastAsia" w:hAnsi="宋体" w:cs="宋体"/>
                <w:szCs w:val="24"/>
                <w:highlight w:val="none"/>
              </w:rPr>
              <w:t>19</w:t>
            </w:r>
          </w:p>
        </w:tc>
        <w:tc>
          <w:tcPr>
            <w:tcW w:w="951" w:type="dxa"/>
            <w:vAlign w:val="center"/>
          </w:tcPr>
          <w:p w14:paraId="5FB1124E">
            <w:pPr>
              <w:widowControl/>
              <w:spacing w:line="360" w:lineRule="auto"/>
              <w:jc w:val="center"/>
              <w:rPr>
                <w:rFonts w:hAnsi="宋体" w:cs="宋体"/>
                <w:b/>
                <w:bCs/>
                <w:szCs w:val="24"/>
                <w:highlight w:val="none"/>
              </w:rPr>
            </w:pPr>
            <w:r>
              <w:rPr>
                <w:rFonts w:hint="eastAsia" w:hAnsi="宋体" w:cs="宋体"/>
                <w:kern w:val="2"/>
                <w:szCs w:val="24"/>
                <w:highlight w:val="none"/>
              </w:rPr>
              <w:t>其他</w:t>
            </w:r>
          </w:p>
        </w:tc>
        <w:tc>
          <w:tcPr>
            <w:tcW w:w="7354" w:type="dxa"/>
            <w:vAlign w:val="center"/>
          </w:tcPr>
          <w:p w14:paraId="0606C580">
            <w:pPr>
              <w:spacing w:line="360" w:lineRule="auto"/>
              <w:ind w:firstLine="480" w:firstLineChars="200"/>
              <w:rPr>
                <w:rFonts w:hAnsi="宋体" w:cs="宋体"/>
                <w:szCs w:val="32"/>
                <w:highlight w:val="none"/>
              </w:rPr>
            </w:pPr>
            <w:r>
              <w:rPr>
                <w:rFonts w:hint="eastAsia" w:hAnsi="宋体" w:cs="宋体"/>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14:paraId="2B132265">
            <w:pPr>
              <w:spacing w:line="360" w:lineRule="auto"/>
              <w:rPr>
                <w:rFonts w:hAnsi="宋体" w:cs="宋体"/>
                <w:szCs w:val="32"/>
                <w:highlight w:val="none"/>
              </w:rPr>
            </w:pPr>
            <w:r>
              <w:rPr>
                <w:rFonts w:hint="eastAsia" w:hAnsi="宋体" w:cs="宋体"/>
                <w:szCs w:val="32"/>
                <w:highlight w:val="none"/>
              </w:rPr>
              <w:t>(http://www.ccgp-shaanxi.gov.cn/zcdservice/zcd/shan xi/）在线申请，依法参加政府采购信用融资活动。</w:t>
            </w:r>
          </w:p>
          <w:p w14:paraId="4B600025">
            <w:pPr>
              <w:spacing w:line="500" w:lineRule="exact"/>
              <w:ind w:firstLine="480" w:firstLineChars="200"/>
              <w:rPr>
                <w:rFonts w:hAnsi="宋体" w:cs="宋体"/>
                <w:b/>
                <w:bCs/>
                <w:szCs w:val="24"/>
                <w:highlight w:val="none"/>
              </w:rPr>
            </w:pPr>
            <w:r>
              <w:rPr>
                <w:rFonts w:hint="eastAsia" w:hAnsi="宋体" w:cs="宋体"/>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75659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6B46B6B0">
            <w:pPr>
              <w:widowControl/>
              <w:spacing w:line="360" w:lineRule="auto"/>
              <w:jc w:val="center"/>
              <w:rPr>
                <w:rFonts w:hint="default" w:hAnsi="宋体" w:eastAsia="宋体" w:cs="宋体"/>
                <w:b/>
                <w:bCs/>
                <w:szCs w:val="24"/>
                <w:highlight w:val="none"/>
                <w:lang w:val="en-US" w:eastAsia="zh-CN"/>
              </w:rPr>
            </w:pPr>
            <w:r>
              <w:rPr>
                <w:rFonts w:hint="eastAsia" w:hAnsi="宋体" w:cs="宋体"/>
                <w:b/>
                <w:bCs/>
                <w:szCs w:val="24"/>
                <w:highlight w:val="none"/>
                <w:lang w:val="en-US" w:eastAsia="zh-CN"/>
              </w:rPr>
              <w:t>20</w:t>
            </w:r>
          </w:p>
        </w:tc>
        <w:tc>
          <w:tcPr>
            <w:tcW w:w="951" w:type="dxa"/>
            <w:vAlign w:val="center"/>
          </w:tcPr>
          <w:p w14:paraId="0C9EED0F">
            <w:pPr>
              <w:widowControl/>
              <w:spacing w:line="360" w:lineRule="auto"/>
              <w:jc w:val="center"/>
              <w:rPr>
                <w:rFonts w:hAnsi="宋体" w:cs="宋体"/>
                <w:b/>
                <w:bCs/>
                <w:szCs w:val="24"/>
                <w:highlight w:val="none"/>
              </w:rPr>
            </w:pPr>
            <w:r>
              <w:rPr>
                <w:rFonts w:hint="eastAsia" w:hAnsi="宋体" w:cs="宋体"/>
                <w:b/>
                <w:bCs/>
                <w:szCs w:val="24"/>
                <w:highlight w:val="none"/>
              </w:rPr>
              <w:t>备注</w:t>
            </w:r>
          </w:p>
        </w:tc>
        <w:tc>
          <w:tcPr>
            <w:tcW w:w="7354" w:type="dxa"/>
            <w:vAlign w:val="center"/>
          </w:tcPr>
          <w:p w14:paraId="4304D307">
            <w:pPr>
              <w:spacing w:line="500" w:lineRule="exact"/>
              <w:ind w:firstLine="482" w:firstLineChars="200"/>
              <w:rPr>
                <w:rFonts w:hAnsi="宋体" w:cs="宋体"/>
                <w:b/>
                <w:bCs/>
                <w:szCs w:val="24"/>
                <w:highlight w:val="none"/>
              </w:rPr>
            </w:pPr>
            <w:r>
              <w:rPr>
                <w:rFonts w:hint="eastAsia" w:hAnsi="宋体" w:cs="宋体"/>
                <w:b/>
                <w:bCs/>
                <w:szCs w:val="24"/>
                <w:highlight w:val="none"/>
              </w:rPr>
              <w:t>供应商注册登记提醒：</w:t>
            </w:r>
          </w:p>
          <w:p w14:paraId="7C44B9C2">
            <w:pPr>
              <w:spacing w:line="500" w:lineRule="exact"/>
              <w:ind w:firstLine="482" w:firstLineChars="200"/>
              <w:rPr>
                <w:rFonts w:hAnsi="宋体" w:cs="宋体"/>
                <w:szCs w:val="24"/>
                <w:highlight w:val="none"/>
              </w:rPr>
            </w:pPr>
            <w:r>
              <w:rPr>
                <w:rFonts w:hint="eastAsia" w:hAnsi="宋体" w:cs="宋体"/>
                <w:b/>
                <w:bCs/>
                <w:szCs w:val="24"/>
                <w:highlight w:val="none"/>
              </w:rPr>
              <w:t>根据陕西省财政厅关于政府采购供应商注册登记有关事项的通知，如所投本项目的供应商未在陕西省政府采购网（</w:t>
            </w:r>
            <w:r>
              <w:rPr>
                <w:highlight w:val="none"/>
              </w:rPr>
              <w:fldChar w:fldCharType="begin"/>
            </w:r>
            <w:r>
              <w:rPr>
                <w:highlight w:val="none"/>
              </w:rPr>
              <w:instrText xml:space="preserve"> HYPERLINK "http://www.ccgp-shaanxi.gov.cn/information/informationDetail.do?informationguid=8a85be3567ed23460167ed36804d0009" </w:instrText>
            </w:r>
            <w:r>
              <w:rPr>
                <w:highlight w:val="none"/>
              </w:rPr>
              <w:fldChar w:fldCharType="separate"/>
            </w:r>
            <w:r>
              <w:rPr>
                <w:rFonts w:hint="eastAsia" w:hAnsi="宋体" w:cs="宋体"/>
                <w:b/>
                <w:bCs/>
                <w:szCs w:val="24"/>
                <w:highlight w:val="none"/>
              </w:rPr>
              <w:t>http://www.ccgp-shaanxi.gov.cn/information/informationDetail.do?informationguid=8a85be3567ed23460167ed36804d0009</w:t>
            </w:r>
            <w:r>
              <w:rPr>
                <w:rFonts w:hint="eastAsia" w:hAnsi="宋体" w:cs="宋体"/>
                <w:b/>
                <w:bCs/>
                <w:szCs w:val="24"/>
                <w:highlight w:val="none"/>
              </w:rPr>
              <w:fldChar w:fldCharType="end"/>
            </w:r>
            <w:r>
              <w:rPr>
                <w:rFonts w:hint="eastAsia" w:hAnsi="宋体" w:cs="宋体"/>
                <w:b/>
                <w:bCs/>
                <w:szCs w:val="24"/>
                <w:highlight w:val="none"/>
              </w:rPr>
              <w:t>）注册登记加入陕西省政府采购供应商库的，应按要求及时办理注册登记，并接受财政部门监督管理。</w:t>
            </w:r>
          </w:p>
        </w:tc>
      </w:tr>
      <w:bookmarkEnd w:id="9"/>
      <w:bookmarkEnd w:id="10"/>
      <w:bookmarkEnd w:id="11"/>
    </w:tbl>
    <w:p w14:paraId="7E9814FB">
      <w:pPr>
        <w:spacing w:before="156" w:beforeLines="50" w:after="156" w:afterLines="50"/>
        <w:jc w:val="center"/>
        <w:outlineLvl w:val="2"/>
        <w:rPr>
          <w:rFonts w:hAnsi="宋体" w:cs="宋体"/>
          <w:sz w:val="32"/>
          <w:szCs w:val="32"/>
          <w:highlight w:val="none"/>
        </w:rPr>
      </w:pPr>
      <w:bookmarkStart w:id="30" w:name="_Toc363474017"/>
      <w:bookmarkStart w:id="31" w:name="_Toc403077639"/>
      <w:bookmarkStart w:id="32" w:name="_Toc363473972"/>
      <w:r>
        <w:rPr>
          <w:rFonts w:hint="eastAsia" w:hAnsi="宋体" w:cs="宋体"/>
          <w:b/>
          <w:sz w:val="32"/>
          <w:szCs w:val="32"/>
          <w:highlight w:val="none"/>
        </w:rPr>
        <w:br w:type="page"/>
      </w:r>
      <w:bookmarkStart w:id="33" w:name="_Toc3623"/>
      <w:bookmarkStart w:id="34" w:name="_Toc27537"/>
      <w:bookmarkStart w:id="35" w:name="_Toc4670"/>
      <w:r>
        <w:rPr>
          <w:rFonts w:hint="eastAsia" w:hAnsi="宋体" w:cs="宋体"/>
          <w:b/>
          <w:sz w:val="32"/>
          <w:szCs w:val="32"/>
          <w:highlight w:val="none"/>
        </w:rPr>
        <w:t>一.总  则</w:t>
      </w:r>
      <w:bookmarkEnd w:id="30"/>
      <w:bookmarkEnd w:id="31"/>
      <w:bookmarkEnd w:id="32"/>
      <w:bookmarkEnd w:id="33"/>
      <w:bookmarkEnd w:id="34"/>
      <w:bookmarkEnd w:id="35"/>
    </w:p>
    <w:p w14:paraId="141C4AE5">
      <w:pPr>
        <w:spacing w:line="360" w:lineRule="auto"/>
        <w:rPr>
          <w:rFonts w:hAnsi="宋体" w:cs="宋体"/>
          <w:b/>
          <w:szCs w:val="24"/>
          <w:highlight w:val="none"/>
        </w:rPr>
      </w:pPr>
      <w:r>
        <w:rPr>
          <w:rFonts w:hint="eastAsia" w:hAnsi="宋体" w:cs="宋体"/>
          <w:b/>
          <w:szCs w:val="24"/>
          <w:highlight w:val="none"/>
        </w:rPr>
        <w:t>1.资金来源</w:t>
      </w:r>
    </w:p>
    <w:p w14:paraId="3D60B541">
      <w:pPr>
        <w:spacing w:line="360" w:lineRule="auto"/>
        <w:ind w:firstLine="480" w:firstLineChars="200"/>
        <w:rPr>
          <w:rFonts w:hAnsi="宋体" w:cs="宋体"/>
          <w:szCs w:val="24"/>
          <w:highlight w:val="none"/>
        </w:rPr>
      </w:pPr>
      <w:r>
        <w:rPr>
          <w:rFonts w:hint="eastAsia" w:hAnsi="宋体" w:cs="宋体"/>
          <w:szCs w:val="24"/>
          <w:highlight w:val="none"/>
        </w:rPr>
        <w:t>1.1本次竞争性磋商所签合同使用</w:t>
      </w:r>
      <w:r>
        <w:rPr>
          <w:rFonts w:hint="eastAsia" w:hAnsi="宋体" w:cs="宋体"/>
          <w:szCs w:val="24"/>
          <w:highlight w:val="none"/>
          <w:lang w:val="en-US" w:eastAsia="zh-CN"/>
        </w:rPr>
        <w:t>财政资金</w:t>
      </w:r>
      <w:r>
        <w:rPr>
          <w:rFonts w:hint="eastAsia" w:hAnsi="宋体" w:cs="宋体"/>
          <w:szCs w:val="24"/>
          <w:highlight w:val="none"/>
        </w:rPr>
        <w:t>支付，资金已落实到位。</w:t>
      </w:r>
    </w:p>
    <w:p w14:paraId="3B65836D">
      <w:pPr>
        <w:numPr>
          <w:ilvl w:val="0"/>
          <w:numId w:val="1"/>
        </w:numPr>
        <w:spacing w:line="500" w:lineRule="exact"/>
        <w:rPr>
          <w:rFonts w:hAnsi="宋体" w:cs="宋体"/>
          <w:b/>
          <w:szCs w:val="24"/>
          <w:highlight w:val="none"/>
        </w:rPr>
      </w:pPr>
      <w:bookmarkStart w:id="36" w:name="_Toc363473973"/>
      <w:bookmarkStart w:id="37" w:name="_Toc403077640"/>
      <w:bookmarkStart w:id="38" w:name="_Toc363474018"/>
      <w:r>
        <w:rPr>
          <w:rFonts w:hint="eastAsia" w:hAnsi="宋体" w:cs="宋体"/>
          <w:b/>
          <w:szCs w:val="24"/>
          <w:highlight w:val="none"/>
        </w:rPr>
        <w:t>名词解释</w:t>
      </w:r>
    </w:p>
    <w:p w14:paraId="723FD223">
      <w:pPr>
        <w:tabs>
          <w:tab w:val="left" w:pos="7665"/>
        </w:tabs>
        <w:spacing w:line="360" w:lineRule="auto"/>
        <w:ind w:firstLine="480" w:firstLineChars="200"/>
        <w:rPr>
          <w:rFonts w:hint="eastAsia" w:hAnsi="宋体" w:cs="宋体"/>
          <w:szCs w:val="22"/>
          <w:highlight w:val="none"/>
          <w:lang w:eastAsia="zh-CN"/>
        </w:rPr>
      </w:pPr>
      <w:r>
        <w:rPr>
          <w:rFonts w:hint="eastAsia" w:hAnsi="宋体" w:cs="宋体"/>
          <w:szCs w:val="22"/>
          <w:highlight w:val="none"/>
        </w:rPr>
        <w:t>2.1采购人：</w:t>
      </w:r>
      <w:r>
        <w:rPr>
          <w:rFonts w:hint="eastAsia" w:hAnsi="宋体" w:cs="宋体"/>
          <w:szCs w:val="22"/>
          <w:highlight w:val="none"/>
          <w:lang w:eastAsia="zh-CN"/>
        </w:rPr>
        <w:t>西安市军队离休退休干部管理服务中心</w:t>
      </w:r>
    </w:p>
    <w:p w14:paraId="33469030">
      <w:pPr>
        <w:tabs>
          <w:tab w:val="left" w:pos="7665"/>
        </w:tabs>
        <w:spacing w:line="360" w:lineRule="auto"/>
        <w:ind w:firstLine="480" w:firstLineChars="200"/>
        <w:rPr>
          <w:rFonts w:hAnsi="宋体" w:cs="宋体"/>
          <w:szCs w:val="22"/>
          <w:highlight w:val="none"/>
        </w:rPr>
      </w:pPr>
      <w:r>
        <w:rPr>
          <w:rFonts w:hint="eastAsia" w:hAnsi="宋体" w:cs="宋体"/>
          <w:szCs w:val="22"/>
          <w:highlight w:val="none"/>
        </w:rPr>
        <w:t>2.2监督机构：同级人民政府财政部门</w:t>
      </w:r>
    </w:p>
    <w:p w14:paraId="2C4D9C27">
      <w:pPr>
        <w:tabs>
          <w:tab w:val="left" w:pos="7665"/>
        </w:tabs>
        <w:spacing w:line="360" w:lineRule="auto"/>
        <w:ind w:firstLine="480" w:firstLineChars="200"/>
        <w:rPr>
          <w:rFonts w:hAnsi="宋体" w:cs="宋体"/>
          <w:highlight w:val="none"/>
        </w:rPr>
      </w:pPr>
      <w:r>
        <w:rPr>
          <w:rFonts w:hint="eastAsia" w:hAnsi="宋体" w:cs="宋体"/>
          <w:szCs w:val="22"/>
          <w:highlight w:val="none"/>
        </w:rPr>
        <w:t>2.3采购代理机构：陕西至诚项目管理集团有限公司</w:t>
      </w:r>
    </w:p>
    <w:p w14:paraId="060F64DC">
      <w:pPr>
        <w:tabs>
          <w:tab w:val="left" w:pos="7665"/>
        </w:tabs>
        <w:spacing w:line="360" w:lineRule="auto"/>
        <w:ind w:firstLine="480" w:firstLineChars="200"/>
        <w:rPr>
          <w:rFonts w:hAnsi="宋体" w:cs="宋体"/>
          <w:highlight w:val="none"/>
        </w:rPr>
      </w:pPr>
      <w:r>
        <w:rPr>
          <w:rFonts w:hint="eastAsia" w:hAnsi="宋体" w:cs="宋体"/>
          <w:highlight w:val="none"/>
        </w:rPr>
        <w:t>2.4供应商：是指响应和符合竞争性磋商文件规定资格条件且参与竞争性磋商的法人、其他组织或者自然人。</w:t>
      </w:r>
    </w:p>
    <w:p w14:paraId="094EEEAD">
      <w:pPr>
        <w:adjustRightInd w:val="0"/>
        <w:snapToGrid w:val="0"/>
        <w:spacing w:line="360" w:lineRule="auto"/>
        <w:ind w:firstLine="480" w:firstLineChars="200"/>
        <w:rPr>
          <w:rFonts w:hAnsi="宋体" w:cs="宋体"/>
          <w:highlight w:val="none"/>
        </w:rPr>
      </w:pPr>
      <w:r>
        <w:rPr>
          <w:rFonts w:hint="eastAsia" w:hAnsi="宋体" w:cs="宋体"/>
          <w:highlight w:val="none"/>
        </w:rPr>
        <w:t>2.5产品是指本竞争性磋商文件中第四章所述所有产品。</w:t>
      </w:r>
    </w:p>
    <w:p w14:paraId="47D2A720">
      <w:pPr>
        <w:adjustRightInd w:val="0"/>
        <w:snapToGrid w:val="0"/>
        <w:spacing w:line="360" w:lineRule="auto"/>
        <w:ind w:firstLine="480" w:firstLineChars="200"/>
        <w:rPr>
          <w:rFonts w:hAnsi="宋体" w:cs="宋体"/>
          <w:highlight w:val="none"/>
        </w:rPr>
      </w:pPr>
      <w:r>
        <w:rPr>
          <w:rFonts w:hint="eastAsia" w:hAnsi="宋体" w:cs="宋体"/>
          <w:highlight w:val="none"/>
        </w:rPr>
        <w:t>2.6服务是指供应商为满足竞争性磋商文件要求而提供的服务。</w:t>
      </w:r>
    </w:p>
    <w:p w14:paraId="24E01A3A">
      <w:pPr>
        <w:adjustRightInd w:val="0"/>
        <w:snapToGrid w:val="0"/>
        <w:spacing w:line="360" w:lineRule="auto"/>
        <w:ind w:firstLine="480" w:firstLineChars="200"/>
        <w:rPr>
          <w:rFonts w:hAnsi="宋体" w:cs="宋体"/>
          <w:highlight w:val="none"/>
        </w:rPr>
      </w:pPr>
      <w:r>
        <w:rPr>
          <w:rFonts w:hint="eastAsia" w:hAnsi="宋体" w:cs="宋体"/>
          <w:highlight w:val="none"/>
        </w:rPr>
        <w:t>2.7节能产品或者环保产品是指依据国家确定的认证机构出具的、处于有效期之内的具有节能产品、环境标志产品认证证书的产品。</w:t>
      </w:r>
    </w:p>
    <w:p w14:paraId="33B9BDB0">
      <w:pPr>
        <w:adjustRightInd w:val="0"/>
        <w:snapToGrid w:val="0"/>
        <w:spacing w:line="360" w:lineRule="auto"/>
        <w:ind w:firstLine="480" w:firstLineChars="200"/>
        <w:rPr>
          <w:rFonts w:hAnsi="宋体" w:cs="宋体"/>
          <w:highlight w:val="none"/>
        </w:rPr>
      </w:pPr>
      <w:r>
        <w:rPr>
          <w:rFonts w:hint="eastAsia" w:hAnsi="宋体" w:cs="宋体"/>
          <w:highlight w:val="none"/>
        </w:rPr>
        <w:t>2.8进口产品是指通过中国海关报关验放进入中国境内且产自关境外的产品，详见《关于政府采购进口产品管理有关问题的通知》(财库[2007]119号)。</w:t>
      </w:r>
    </w:p>
    <w:p w14:paraId="64AE4520">
      <w:pPr>
        <w:adjustRightInd w:val="0"/>
        <w:snapToGrid w:val="0"/>
        <w:spacing w:line="360" w:lineRule="auto"/>
        <w:ind w:firstLine="480" w:firstLineChars="200"/>
        <w:rPr>
          <w:rFonts w:hAnsi="宋体" w:cs="宋体"/>
          <w:highlight w:val="none"/>
        </w:rPr>
      </w:pPr>
      <w:r>
        <w:rPr>
          <w:rFonts w:hint="eastAsia" w:hAnsi="宋体" w:cs="宋体"/>
          <w:highlight w:val="none"/>
        </w:rPr>
        <w:t>2.9中小企业是指符合《工业和信息化部、国家统计局、国家发展和改革委员会、财政部关于印发中小企业划型标准规定的通知》（工信部联企业[2011]300号）规定的对中小企业的划分标准的企业。</w:t>
      </w:r>
    </w:p>
    <w:p w14:paraId="1B80E235">
      <w:pPr>
        <w:adjustRightInd w:val="0"/>
        <w:snapToGrid w:val="0"/>
        <w:spacing w:line="360" w:lineRule="auto"/>
        <w:ind w:firstLine="480" w:firstLineChars="200"/>
        <w:rPr>
          <w:rFonts w:hAnsi="宋体" w:cs="宋体"/>
          <w:highlight w:val="none"/>
        </w:rPr>
      </w:pPr>
      <w:r>
        <w:rPr>
          <w:rFonts w:hint="eastAsia" w:hAnsi="宋体" w:cs="宋体"/>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71377A6">
      <w:pPr>
        <w:adjustRightInd w:val="0"/>
        <w:snapToGrid w:val="0"/>
        <w:spacing w:line="360" w:lineRule="auto"/>
        <w:ind w:firstLine="480" w:firstLineChars="200"/>
        <w:rPr>
          <w:rFonts w:hAnsi="宋体" w:cs="宋体"/>
          <w:highlight w:val="none"/>
        </w:rPr>
      </w:pPr>
      <w:r>
        <w:rPr>
          <w:rFonts w:hint="eastAsia" w:hAnsi="宋体" w:cs="宋体"/>
          <w:highlight w:val="none"/>
        </w:rPr>
        <w:t>2.11残疾人福利性单位是指符合《三部门联合发布关于促进残疾人就业政府采购政策的通知》财库〔2017〕141号规定的对残疾人福利性单位划分标准的单位。</w:t>
      </w:r>
    </w:p>
    <w:p w14:paraId="19F302C1">
      <w:pPr>
        <w:spacing w:line="500" w:lineRule="exact"/>
        <w:rPr>
          <w:rFonts w:hAnsi="宋体" w:cs="宋体"/>
          <w:b/>
          <w:szCs w:val="24"/>
          <w:highlight w:val="none"/>
        </w:rPr>
      </w:pPr>
      <w:r>
        <w:rPr>
          <w:rFonts w:hint="eastAsia" w:hAnsi="宋体" w:cs="宋体"/>
          <w:b/>
          <w:szCs w:val="24"/>
          <w:highlight w:val="none"/>
        </w:rPr>
        <w:t>3.合格的供应商</w:t>
      </w:r>
    </w:p>
    <w:p w14:paraId="4DEB954E">
      <w:pPr>
        <w:tabs>
          <w:tab w:val="left" w:pos="851"/>
        </w:tabs>
        <w:spacing w:line="500" w:lineRule="exact"/>
        <w:ind w:firstLine="480" w:firstLineChars="200"/>
        <w:rPr>
          <w:rFonts w:hAnsi="宋体" w:cs="宋体"/>
          <w:szCs w:val="24"/>
          <w:highlight w:val="none"/>
        </w:rPr>
      </w:pPr>
      <w:r>
        <w:rPr>
          <w:rFonts w:hint="eastAsia" w:hAnsi="宋体" w:cs="宋体"/>
          <w:szCs w:val="24"/>
          <w:highlight w:val="none"/>
        </w:rPr>
        <w:t>3.1《</w:t>
      </w:r>
      <w:r>
        <w:rPr>
          <w:rFonts w:hint="eastAsia" w:hAnsi="宋体" w:cs="宋体"/>
          <w:szCs w:val="24"/>
          <w:highlight w:val="none"/>
        </w:rPr>
        <w:fldChar w:fldCharType="begin"/>
      </w:r>
      <w:r>
        <w:rPr>
          <w:rFonts w:hint="eastAsia" w:hAnsi="宋体" w:cs="宋体"/>
          <w:szCs w:val="24"/>
          <w:highlight w:val="none"/>
        </w:rPr>
        <w:instrText xml:space="preserve"> HYPERLINK "https://www.ccgp-shaanxi.gov.cn/freecms/site/shaanxi/ggxx/info/oldweb/4028807e62394cf101623bd796a20016.html" \t "https://www.ccgp-shaanxi.gov.cn/cms-sx/site/shanxi/zcfg/_blank" </w:instrText>
      </w:r>
      <w:r>
        <w:rPr>
          <w:rFonts w:hint="eastAsia" w:hAnsi="宋体" w:cs="宋体"/>
          <w:szCs w:val="24"/>
          <w:highlight w:val="none"/>
        </w:rPr>
        <w:fldChar w:fldCharType="separate"/>
      </w:r>
      <w:r>
        <w:rPr>
          <w:rFonts w:hint="eastAsia" w:hAnsi="宋体" w:cs="宋体"/>
          <w:szCs w:val="24"/>
          <w:highlight w:val="none"/>
        </w:rPr>
        <w:t>中华人民共和国政府采购法</w:t>
      </w:r>
      <w:r>
        <w:rPr>
          <w:rFonts w:hint="eastAsia" w:hAnsi="宋体" w:cs="宋体"/>
          <w:szCs w:val="24"/>
          <w:highlight w:val="none"/>
        </w:rPr>
        <w:fldChar w:fldCharType="end"/>
      </w:r>
      <w:r>
        <w:rPr>
          <w:rFonts w:hint="eastAsia" w:hAnsi="宋体" w:cs="宋体"/>
          <w:szCs w:val="24"/>
          <w:highlight w:val="none"/>
        </w:rPr>
        <w:t>》第二十二条第一款规定的供应商基本资格条件:</w:t>
      </w:r>
    </w:p>
    <w:p w14:paraId="64F984BB">
      <w:pPr>
        <w:spacing w:line="500" w:lineRule="exact"/>
        <w:ind w:firstLine="480" w:firstLineChars="200"/>
        <w:rPr>
          <w:rFonts w:hAnsi="宋体" w:cs="宋体"/>
          <w:szCs w:val="24"/>
          <w:highlight w:val="none"/>
        </w:rPr>
      </w:pPr>
      <w:r>
        <w:rPr>
          <w:rFonts w:hint="eastAsia" w:hAnsi="宋体" w:cs="宋体"/>
          <w:szCs w:val="24"/>
          <w:highlight w:val="none"/>
        </w:rPr>
        <w:t xml:space="preserve">    1）具有独立承担民事责任的能力；</w:t>
      </w:r>
    </w:p>
    <w:p w14:paraId="40541D7E">
      <w:pPr>
        <w:spacing w:line="500" w:lineRule="exact"/>
        <w:ind w:firstLine="480" w:firstLineChars="200"/>
        <w:rPr>
          <w:rFonts w:hAnsi="宋体" w:cs="宋体"/>
          <w:szCs w:val="24"/>
          <w:highlight w:val="none"/>
        </w:rPr>
      </w:pPr>
      <w:r>
        <w:rPr>
          <w:rFonts w:hint="eastAsia" w:hAnsi="宋体" w:cs="宋体"/>
          <w:szCs w:val="24"/>
          <w:highlight w:val="none"/>
        </w:rPr>
        <w:t xml:space="preserve">    2）具有良好的商业信誉和健全的财务会计制度；</w:t>
      </w:r>
    </w:p>
    <w:p w14:paraId="745957EE">
      <w:pPr>
        <w:spacing w:line="500" w:lineRule="exact"/>
        <w:ind w:firstLine="480" w:firstLineChars="200"/>
        <w:rPr>
          <w:rFonts w:hAnsi="宋体" w:cs="宋体"/>
          <w:szCs w:val="24"/>
          <w:highlight w:val="none"/>
        </w:rPr>
      </w:pPr>
      <w:r>
        <w:rPr>
          <w:rFonts w:hint="eastAsia" w:hAnsi="宋体" w:cs="宋体"/>
          <w:szCs w:val="24"/>
          <w:highlight w:val="none"/>
        </w:rPr>
        <w:t xml:space="preserve">    3）具有履行合同所必需的设备和专业技术能力；</w:t>
      </w:r>
    </w:p>
    <w:p w14:paraId="6829CB6F">
      <w:pPr>
        <w:spacing w:line="500" w:lineRule="exact"/>
        <w:ind w:firstLine="480" w:firstLineChars="200"/>
        <w:rPr>
          <w:rFonts w:hAnsi="宋体" w:cs="宋体"/>
          <w:szCs w:val="24"/>
          <w:highlight w:val="none"/>
        </w:rPr>
      </w:pPr>
      <w:r>
        <w:rPr>
          <w:rFonts w:hint="eastAsia" w:hAnsi="宋体" w:cs="宋体"/>
          <w:szCs w:val="24"/>
          <w:highlight w:val="none"/>
        </w:rPr>
        <w:t xml:space="preserve">    4）有依法缴纳税收和社会保障资金的良好记录；</w:t>
      </w:r>
    </w:p>
    <w:p w14:paraId="75798683">
      <w:pPr>
        <w:spacing w:line="500" w:lineRule="exact"/>
        <w:ind w:firstLine="480" w:firstLineChars="200"/>
        <w:rPr>
          <w:rFonts w:hAnsi="宋体" w:cs="宋体"/>
          <w:szCs w:val="24"/>
          <w:highlight w:val="none"/>
        </w:rPr>
      </w:pPr>
      <w:r>
        <w:rPr>
          <w:rFonts w:hint="eastAsia" w:hAnsi="宋体" w:cs="宋体"/>
          <w:szCs w:val="24"/>
          <w:highlight w:val="none"/>
        </w:rPr>
        <w:t xml:space="preserve">    5）参加政府采购活动前三年内，在经营活动中没有重大违法记录；</w:t>
      </w:r>
    </w:p>
    <w:p w14:paraId="0C2E013E">
      <w:pPr>
        <w:spacing w:line="500" w:lineRule="exact"/>
        <w:ind w:firstLine="480" w:firstLineChars="200"/>
        <w:rPr>
          <w:rFonts w:hAnsi="宋体" w:cs="宋体"/>
          <w:szCs w:val="24"/>
          <w:highlight w:val="none"/>
        </w:rPr>
      </w:pPr>
      <w:r>
        <w:rPr>
          <w:rFonts w:hint="eastAsia" w:hAnsi="宋体" w:cs="宋体"/>
          <w:szCs w:val="24"/>
          <w:highlight w:val="none"/>
        </w:rPr>
        <w:t xml:space="preserve">    6）法律、行政法规规定的其他条件。</w:t>
      </w:r>
    </w:p>
    <w:p w14:paraId="2E672315">
      <w:pPr>
        <w:spacing w:line="500" w:lineRule="exact"/>
        <w:ind w:firstLine="482" w:firstLineChars="200"/>
        <w:rPr>
          <w:rFonts w:hAnsi="宋体" w:cs="宋体"/>
          <w:b/>
          <w:bCs/>
          <w:szCs w:val="24"/>
          <w:highlight w:val="none"/>
        </w:rPr>
      </w:pPr>
      <w:r>
        <w:rPr>
          <w:rFonts w:hint="eastAsia" w:hAnsi="宋体" w:cs="宋体"/>
          <w:b/>
          <w:bCs/>
          <w:szCs w:val="24"/>
          <w:highlight w:val="none"/>
        </w:rPr>
        <w:t>3.2根据本次采购项目的特殊要求，规定的供应商特殊条件（见供应商须知前附表）。</w:t>
      </w:r>
    </w:p>
    <w:p w14:paraId="2F84F16A">
      <w:pPr>
        <w:spacing w:line="500" w:lineRule="exact"/>
        <w:ind w:firstLine="482" w:firstLineChars="200"/>
        <w:rPr>
          <w:rFonts w:hAnsi="宋体" w:cs="宋体"/>
          <w:szCs w:val="24"/>
          <w:highlight w:val="none"/>
        </w:rPr>
      </w:pPr>
      <w:r>
        <w:rPr>
          <w:rFonts w:hint="eastAsia" w:hAnsi="宋体" w:cs="宋体"/>
          <w:b/>
          <w:bCs/>
          <w:szCs w:val="24"/>
          <w:highlight w:val="none"/>
        </w:rPr>
        <w:t>3.3法定代表人为同一人的两个及两个以上的法人，母公司、全资子公司及其控股公司，都不得在同一项目（分包的按包）的采购中同时参与磋商，否则均为无效磋商。</w:t>
      </w:r>
    </w:p>
    <w:p w14:paraId="333F0DB1">
      <w:pPr>
        <w:spacing w:line="500" w:lineRule="exact"/>
        <w:ind w:firstLine="480" w:firstLineChars="200"/>
        <w:rPr>
          <w:rFonts w:hAnsi="宋体" w:cs="宋体"/>
          <w:szCs w:val="24"/>
          <w:highlight w:val="none"/>
        </w:rPr>
      </w:pPr>
      <w:r>
        <w:rPr>
          <w:rFonts w:hint="eastAsia" w:hAnsi="宋体" w:cs="宋体"/>
          <w:szCs w:val="24"/>
          <w:highlight w:val="none"/>
        </w:rPr>
        <w:t>3.4供应商必须在陕西至诚项目管理集团有限公司购买</w:t>
      </w:r>
      <w:r>
        <w:rPr>
          <w:rFonts w:hint="eastAsia" w:hAnsi="宋体" w:cs="宋体"/>
          <w:highlight w:val="none"/>
        </w:rPr>
        <w:t>竞争性磋商文件</w:t>
      </w:r>
      <w:r>
        <w:rPr>
          <w:rFonts w:hint="eastAsia" w:hAnsi="宋体" w:cs="宋体"/>
          <w:szCs w:val="24"/>
          <w:highlight w:val="none"/>
        </w:rPr>
        <w:t>，方可参加磋商。</w:t>
      </w:r>
      <w:r>
        <w:rPr>
          <w:rFonts w:hint="eastAsia" w:hAnsi="宋体" w:cs="宋体"/>
          <w:highlight w:val="none"/>
        </w:rPr>
        <w:t>竞争性</w:t>
      </w:r>
      <w:r>
        <w:rPr>
          <w:rFonts w:hint="eastAsia" w:hAnsi="宋体" w:cs="宋体"/>
          <w:szCs w:val="24"/>
          <w:highlight w:val="none"/>
        </w:rPr>
        <w:t>磋商文件售后不退。</w:t>
      </w:r>
    </w:p>
    <w:p w14:paraId="74D6AC96">
      <w:pPr>
        <w:spacing w:line="500" w:lineRule="exact"/>
        <w:ind w:firstLine="480" w:firstLineChars="200"/>
        <w:rPr>
          <w:rFonts w:hAnsi="宋体" w:cs="宋体"/>
          <w:szCs w:val="24"/>
          <w:highlight w:val="none"/>
        </w:rPr>
      </w:pPr>
      <w:r>
        <w:rPr>
          <w:rFonts w:hint="eastAsia" w:hAnsi="宋体" w:cs="宋体"/>
          <w:szCs w:val="24"/>
          <w:highlight w:val="none"/>
        </w:rPr>
        <w:t>3.5本项目不接受联合体磋商。</w:t>
      </w:r>
    </w:p>
    <w:p w14:paraId="1915A53F">
      <w:pPr>
        <w:spacing w:line="500" w:lineRule="exact"/>
        <w:ind w:firstLine="480" w:firstLineChars="200"/>
        <w:rPr>
          <w:rFonts w:hAnsi="宋体" w:cs="宋体"/>
          <w:szCs w:val="24"/>
          <w:highlight w:val="none"/>
        </w:rPr>
      </w:pPr>
      <w:r>
        <w:rPr>
          <w:rFonts w:hint="eastAsia" w:hAnsi="宋体" w:cs="宋体"/>
          <w:szCs w:val="24"/>
          <w:highlight w:val="none"/>
        </w:rPr>
        <w:t>3.6磋商费用自理。不论磋商的结果如何，供应商均应自行承担所有与参加磋商有关的费用。</w:t>
      </w:r>
    </w:p>
    <w:p w14:paraId="73D94FFF">
      <w:pPr>
        <w:tabs>
          <w:tab w:val="left" w:pos="747"/>
        </w:tabs>
        <w:snapToGrid w:val="0"/>
        <w:spacing w:line="500" w:lineRule="exact"/>
        <w:rPr>
          <w:rFonts w:hAnsi="宋体" w:cs="宋体"/>
          <w:b/>
          <w:bCs/>
          <w:highlight w:val="none"/>
        </w:rPr>
      </w:pPr>
      <w:r>
        <w:rPr>
          <w:rFonts w:hint="eastAsia" w:hAnsi="宋体" w:cs="宋体"/>
          <w:b/>
          <w:bCs/>
          <w:highlight w:val="none"/>
        </w:rPr>
        <w:t>4.</w:t>
      </w:r>
      <w:r>
        <w:rPr>
          <w:rFonts w:hint="eastAsia" w:hAnsi="宋体" w:cs="宋体"/>
          <w:b/>
          <w:szCs w:val="24"/>
          <w:highlight w:val="none"/>
        </w:rPr>
        <w:t>.竞争性磋商产品（含服务）的合格性和合法性</w:t>
      </w:r>
    </w:p>
    <w:p w14:paraId="5B5E518E">
      <w:pPr>
        <w:tabs>
          <w:tab w:val="left" w:pos="747"/>
        </w:tabs>
        <w:snapToGrid w:val="0"/>
        <w:spacing w:line="500" w:lineRule="exact"/>
        <w:ind w:firstLine="480" w:firstLineChars="200"/>
        <w:rPr>
          <w:rFonts w:hAnsi="宋体" w:cs="宋体"/>
          <w:highlight w:val="none"/>
        </w:rPr>
      </w:pPr>
      <w:r>
        <w:rPr>
          <w:rFonts w:hint="eastAsia" w:hAnsi="宋体" w:cs="宋体"/>
          <w:szCs w:val="24"/>
          <w:highlight w:val="none"/>
        </w:rPr>
        <w:t>4.1竞争性磋商产品（含服务）应满足竞争性磋商文件的要求并应符合国家法律法规、行业管理部门要求的其他强制性标准。</w:t>
      </w:r>
      <w:r>
        <w:rPr>
          <w:rFonts w:hint="eastAsia" w:hAnsi="宋体" w:cs="宋体"/>
          <w:highlight w:val="none"/>
        </w:rPr>
        <w:t>并满足竞争性磋商文件规定的质量、价格、有效期、售后服务及供应商须承担的运输、配送、技术支持和竞争性磋商文件规定的其他伴随服务等要求。</w:t>
      </w:r>
    </w:p>
    <w:p w14:paraId="1AC28A6F">
      <w:pPr>
        <w:tabs>
          <w:tab w:val="left" w:pos="747"/>
        </w:tabs>
        <w:snapToGrid w:val="0"/>
        <w:spacing w:line="500" w:lineRule="exact"/>
        <w:ind w:firstLine="480" w:firstLineChars="200"/>
        <w:rPr>
          <w:rFonts w:hAnsi="宋体" w:cs="宋体"/>
          <w:szCs w:val="24"/>
          <w:highlight w:val="none"/>
        </w:rPr>
      </w:pPr>
      <w:r>
        <w:rPr>
          <w:rFonts w:hint="eastAsia" w:hAnsi="宋体" w:cs="宋体"/>
          <w:highlight w:val="none"/>
        </w:rPr>
        <w:t>4.2采购人有权拒绝接受任何不合格的产品和服务，由此产生的费用及相关后果均由供应商自行承担。</w:t>
      </w:r>
    </w:p>
    <w:p w14:paraId="479DD2DA">
      <w:pPr>
        <w:spacing w:line="360" w:lineRule="auto"/>
        <w:rPr>
          <w:rFonts w:hAnsi="宋体" w:cs="宋体"/>
          <w:b/>
          <w:szCs w:val="24"/>
          <w:highlight w:val="none"/>
        </w:rPr>
      </w:pPr>
      <w:r>
        <w:rPr>
          <w:rFonts w:hint="eastAsia" w:hAnsi="宋体" w:cs="宋体"/>
          <w:b/>
          <w:szCs w:val="24"/>
          <w:highlight w:val="none"/>
        </w:rPr>
        <w:t>5.竞争性磋商响应文件内容的真实性</w:t>
      </w:r>
    </w:p>
    <w:p w14:paraId="4802E22F">
      <w:pPr>
        <w:spacing w:line="360" w:lineRule="auto"/>
        <w:ind w:firstLine="480" w:firstLineChars="200"/>
        <w:rPr>
          <w:rFonts w:hAnsi="宋体" w:cs="宋体"/>
          <w:szCs w:val="24"/>
          <w:highlight w:val="none"/>
        </w:rPr>
      </w:pPr>
      <w:r>
        <w:rPr>
          <w:rFonts w:hint="eastAsia" w:hAnsi="宋体" w:cs="宋体"/>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5BDD95BA">
      <w:pPr>
        <w:keepNext/>
        <w:keepLines/>
        <w:spacing w:before="312" w:beforeLines="100" w:after="156" w:afterLines="50" w:line="360" w:lineRule="auto"/>
        <w:jc w:val="center"/>
        <w:outlineLvl w:val="2"/>
        <w:rPr>
          <w:rFonts w:hAnsi="宋体" w:cs="宋体"/>
          <w:b/>
          <w:sz w:val="32"/>
          <w:szCs w:val="32"/>
          <w:highlight w:val="none"/>
        </w:rPr>
      </w:pPr>
      <w:bookmarkStart w:id="39" w:name="_Toc30698"/>
      <w:bookmarkStart w:id="40" w:name="_Toc31742"/>
      <w:bookmarkStart w:id="41" w:name="_Toc27903"/>
      <w:r>
        <w:rPr>
          <w:rFonts w:hint="eastAsia" w:hAnsi="宋体" w:cs="宋体"/>
          <w:b/>
          <w:sz w:val="32"/>
          <w:szCs w:val="32"/>
          <w:highlight w:val="none"/>
        </w:rPr>
        <w:t>二.竞争性磋商文件</w:t>
      </w:r>
      <w:bookmarkEnd w:id="36"/>
      <w:bookmarkEnd w:id="37"/>
      <w:bookmarkEnd w:id="38"/>
      <w:bookmarkEnd w:id="39"/>
      <w:bookmarkEnd w:id="40"/>
      <w:bookmarkEnd w:id="41"/>
    </w:p>
    <w:p w14:paraId="65B3BE6D">
      <w:pPr>
        <w:spacing w:line="360" w:lineRule="auto"/>
        <w:rPr>
          <w:rFonts w:hAnsi="宋体" w:cs="宋体"/>
          <w:b/>
          <w:szCs w:val="24"/>
          <w:highlight w:val="none"/>
        </w:rPr>
      </w:pPr>
      <w:r>
        <w:rPr>
          <w:rFonts w:hint="eastAsia" w:hAnsi="宋体" w:cs="宋体"/>
          <w:b/>
          <w:szCs w:val="24"/>
          <w:highlight w:val="none"/>
        </w:rPr>
        <w:t>6.竞争性磋商文件构成</w:t>
      </w:r>
    </w:p>
    <w:p w14:paraId="145C2259">
      <w:pPr>
        <w:spacing w:line="360" w:lineRule="auto"/>
        <w:ind w:firstLine="480" w:firstLineChars="200"/>
        <w:rPr>
          <w:rFonts w:hAnsi="宋体" w:cs="宋体"/>
          <w:szCs w:val="24"/>
          <w:highlight w:val="none"/>
        </w:rPr>
      </w:pPr>
      <w:r>
        <w:rPr>
          <w:rFonts w:hint="eastAsia" w:hAnsi="宋体" w:cs="宋体"/>
          <w:szCs w:val="24"/>
          <w:highlight w:val="none"/>
        </w:rPr>
        <w:t>6.1 竞争性磋商文件规定了要求提供的产品和服务，磋商程序和合同条件在竞争性磋商文件中均有说明。竞争性磋商文件共六章，内容如下：</w:t>
      </w:r>
    </w:p>
    <w:p w14:paraId="006EB247">
      <w:pPr>
        <w:spacing w:line="360" w:lineRule="auto"/>
        <w:ind w:firstLine="480" w:firstLineChars="200"/>
        <w:rPr>
          <w:rFonts w:hAnsi="宋体" w:cs="宋体"/>
          <w:szCs w:val="24"/>
          <w:highlight w:val="none"/>
        </w:rPr>
      </w:pPr>
      <w:r>
        <w:rPr>
          <w:rFonts w:hint="eastAsia" w:hAnsi="宋体" w:cs="宋体"/>
          <w:szCs w:val="24"/>
          <w:highlight w:val="none"/>
        </w:rPr>
        <w:t>第一章 竞争性磋商公告</w:t>
      </w:r>
    </w:p>
    <w:p w14:paraId="63B83665">
      <w:pPr>
        <w:spacing w:line="360" w:lineRule="auto"/>
        <w:ind w:firstLine="480" w:firstLineChars="200"/>
        <w:rPr>
          <w:rFonts w:hAnsi="宋体" w:cs="宋体"/>
          <w:szCs w:val="24"/>
          <w:highlight w:val="none"/>
        </w:rPr>
      </w:pPr>
      <w:r>
        <w:rPr>
          <w:rFonts w:hint="eastAsia" w:hAnsi="宋体" w:cs="宋体"/>
          <w:szCs w:val="24"/>
          <w:highlight w:val="none"/>
        </w:rPr>
        <w:t>第二章 供应商须知</w:t>
      </w:r>
    </w:p>
    <w:p w14:paraId="60A1998E">
      <w:pPr>
        <w:spacing w:line="360" w:lineRule="auto"/>
        <w:ind w:firstLine="480" w:firstLineChars="200"/>
        <w:rPr>
          <w:rFonts w:hAnsi="宋体" w:cs="宋体"/>
          <w:szCs w:val="24"/>
          <w:highlight w:val="none"/>
        </w:rPr>
      </w:pPr>
      <w:r>
        <w:rPr>
          <w:rFonts w:hint="eastAsia" w:hAnsi="宋体" w:cs="宋体"/>
          <w:szCs w:val="24"/>
          <w:highlight w:val="none"/>
        </w:rPr>
        <w:t xml:space="preserve">第三章 评审方法    </w:t>
      </w:r>
    </w:p>
    <w:p w14:paraId="774CA8D5">
      <w:pPr>
        <w:spacing w:line="360" w:lineRule="auto"/>
        <w:ind w:firstLine="480" w:firstLineChars="200"/>
        <w:rPr>
          <w:rFonts w:hAnsi="宋体" w:cs="宋体"/>
          <w:szCs w:val="24"/>
          <w:highlight w:val="none"/>
        </w:rPr>
      </w:pPr>
      <w:r>
        <w:rPr>
          <w:rFonts w:hint="eastAsia" w:hAnsi="宋体" w:cs="宋体"/>
          <w:szCs w:val="24"/>
          <w:highlight w:val="none"/>
        </w:rPr>
        <w:t>第四章 合同条款及格式</w:t>
      </w:r>
    </w:p>
    <w:p w14:paraId="180C489A">
      <w:pPr>
        <w:spacing w:line="360" w:lineRule="auto"/>
        <w:ind w:firstLine="480" w:firstLineChars="200"/>
        <w:rPr>
          <w:rFonts w:hAnsi="宋体" w:cs="宋体"/>
          <w:szCs w:val="24"/>
          <w:highlight w:val="none"/>
        </w:rPr>
      </w:pPr>
      <w:r>
        <w:rPr>
          <w:rFonts w:hint="eastAsia" w:hAnsi="宋体" w:cs="宋体"/>
          <w:szCs w:val="24"/>
          <w:highlight w:val="none"/>
        </w:rPr>
        <w:t>第五章 磋商内容及技术要求</w:t>
      </w:r>
    </w:p>
    <w:p w14:paraId="4BC9330F">
      <w:pPr>
        <w:spacing w:line="360" w:lineRule="auto"/>
        <w:ind w:firstLine="480" w:firstLineChars="200"/>
        <w:rPr>
          <w:rFonts w:hAnsi="宋体" w:cs="宋体"/>
          <w:szCs w:val="24"/>
          <w:highlight w:val="none"/>
        </w:rPr>
      </w:pPr>
      <w:r>
        <w:rPr>
          <w:rFonts w:hint="eastAsia" w:hAnsi="宋体" w:cs="宋体"/>
          <w:szCs w:val="24"/>
          <w:highlight w:val="none"/>
        </w:rPr>
        <w:t xml:space="preserve">第六章 竞争性磋商响应文件构成及格式  </w:t>
      </w:r>
    </w:p>
    <w:p w14:paraId="3CB3D131">
      <w:pPr>
        <w:spacing w:line="360" w:lineRule="auto"/>
        <w:ind w:firstLine="480" w:firstLineChars="200"/>
        <w:rPr>
          <w:rFonts w:hAnsi="宋体" w:cs="宋体"/>
          <w:szCs w:val="24"/>
          <w:highlight w:val="none"/>
        </w:rPr>
      </w:pPr>
      <w:r>
        <w:rPr>
          <w:rFonts w:hint="eastAsia" w:hAnsi="宋体" w:cs="宋体"/>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7204B2FC">
      <w:pPr>
        <w:spacing w:line="500" w:lineRule="exact"/>
        <w:ind w:firstLine="480" w:firstLineChars="200"/>
        <w:rPr>
          <w:rFonts w:hAnsi="宋体" w:cs="宋体"/>
          <w:szCs w:val="24"/>
          <w:highlight w:val="none"/>
        </w:rPr>
      </w:pPr>
      <w:r>
        <w:rPr>
          <w:rFonts w:hint="eastAsia" w:hAnsi="宋体" w:cs="宋体"/>
          <w:szCs w:val="24"/>
          <w:highlight w:val="none"/>
        </w:rPr>
        <w:t>6.3本竞争性磋商文件的解释权归陕西至诚项目管理集团有限公司，如发现竞争性磋商响应文件内容与现行法律法规不相符的情况，以现行法律法规为准。</w:t>
      </w:r>
    </w:p>
    <w:p w14:paraId="56AD9EF5">
      <w:pPr>
        <w:spacing w:line="360" w:lineRule="auto"/>
        <w:rPr>
          <w:rFonts w:hAnsi="宋体" w:cs="宋体"/>
          <w:b/>
          <w:szCs w:val="24"/>
          <w:highlight w:val="none"/>
        </w:rPr>
      </w:pPr>
      <w:r>
        <w:rPr>
          <w:rFonts w:hint="eastAsia" w:hAnsi="宋体" w:cs="宋体"/>
          <w:b/>
          <w:szCs w:val="24"/>
          <w:highlight w:val="none"/>
        </w:rPr>
        <w:t>7.竞争性磋商文件的修改和澄清</w:t>
      </w:r>
    </w:p>
    <w:p w14:paraId="5D225456">
      <w:pPr>
        <w:spacing w:line="360" w:lineRule="auto"/>
        <w:ind w:firstLine="480" w:firstLineChars="200"/>
        <w:rPr>
          <w:rFonts w:hAnsi="宋体" w:cs="宋体"/>
          <w:szCs w:val="24"/>
          <w:highlight w:val="none"/>
        </w:rPr>
      </w:pPr>
      <w:r>
        <w:rPr>
          <w:rFonts w:hint="eastAsia" w:hAnsi="宋体" w:cs="宋体"/>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14:paraId="3E5F6170">
      <w:pPr>
        <w:spacing w:line="360" w:lineRule="auto"/>
        <w:ind w:firstLine="480" w:firstLineChars="200"/>
        <w:rPr>
          <w:rFonts w:hAnsi="宋体" w:cs="宋体"/>
          <w:szCs w:val="24"/>
          <w:highlight w:val="none"/>
        </w:rPr>
      </w:pPr>
      <w:r>
        <w:rPr>
          <w:rFonts w:hint="eastAsia" w:hAnsi="宋体" w:cs="宋体"/>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14:paraId="14D84406">
      <w:pPr>
        <w:spacing w:line="360" w:lineRule="auto"/>
        <w:ind w:firstLine="480" w:firstLineChars="200"/>
        <w:rPr>
          <w:rFonts w:hAnsi="宋体" w:cs="宋体"/>
          <w:szCs w:val="24"/>
          <w:highlight w:val="none"/>
        </w:rPr>
      </w:pPr>
      <w:r>
        <w:rPr>
          <w:rFonts w:hint="eastAsia" w:hAnsi="宋体" w:cs="宋体"/>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14:paraId="04A8F499">
      <w:pPr>
        <w:spacing w:line="360" w:lineRule="auto"/>
        <w:ind w:firstLine="480" w:firstLineChars="200"/>
        <w:rPr>
          <w:rFonts w:hAnsi="宋体" w:cs="宋体"/>
          <w:szCs w:val="24"/>
          <w:highlight w:val="none"/>
        </w:rPr>
      </w:pPr>
      <w:r>
        <w:rPr>
          <w:rFonts w:hint="eastAsia" w:hAnsi="宋体" w:cs="宋体"/>
          <w:szCs w:val="24"/>
          <w:highlight w:val="none"/>
        </w:rPr>
        <w:t>7.4供应商在收到上述通知后，应立即向采购代理机构回函确认。</w:t>
      </w:r>
    </w:p>
    <w:p w14:paraId="2A6CE647">
      <w:pPr>
        <w:keepNext/>
        <w:keepLines/>
        <w:spacing w:before="312" w:beforeLines="100" w:after="156" w:afterLines="50" w:line="360" w:lineRule="auto"/>
        <w:jc w:val="center"/>
        <w:outlineLvl w:val="2"/>
        <w:rPr>
          <w:rFonts w:hAnsi="宋体" w:cs="宋体"/>
          <w:b/>
          <w:sz w:val="32"/>
          <w:szCs w:val="32"/>
          <w:highlight w:val="none"/>
        </w:rPr>
      </w:pPr>
      <w:bookmarkStart w:id="42" w:name="_Toc363474019"/>
      <w:bookmarkStart w:id="43" w:name="_Toc28227"/>
      <w:bookmarkStart w:id="44" w:name="_Toc363473974"/>
      <w:bookmarkStart w:id="45" w:name="_Toc26653"/>
      <w:bookmarkStart w:id="46" w:name="_Toc13771"/>
      <w:bookmarkStart w:id="47" w:name="_Toc403077641"/>
      <w:r>
        <w:rPr>
          <w:rFonts w:hint="eastAsia" w:hAnsi="宋体" w:cs="宋体"/>
          <w:b/>
          <w:sz w:val="32"/>
          <w:szCs w:val="32"/>
          <w:highlight w:val="none"/>
        </w:rPr>
        <w:t>三.磋商响应文件的编制</w:t>
      </w:r>
      <w:bookmarkEnd w:id="42"/>
      <w:bookmarkEnd w:id="43"/>
      <w:bookmarkEnd w:id="44"/>
      <w:bookmarkEnd w:id="45"/>
      <w:bookmarkEnd w:id="46"/>
      <w:bookmarkEnd w:id="47"/>
    </w:p>
    <w:p w14:paraId="78371B52">
      <w:pPr>
        <w:spacing w:line="360" w:lineRule="auto"/>
        <w:rPr>
          <w:rFonts w:hAnsi="宋体" w:cs="宋体"/>
          <w:b/>
          <w:szCs w:val="24"/>
          <w:highlight w:val="none"/>
        </w:rPr>
      </w:pPr>
      <w:r>
        <w:rPr>
          <w:rFonts w:hint="eastAsia" w:hAnsi="宋体" w:cs="宋体"/>
          <w:b/>
          <w:szCs w:val="24"/>
          <w:highlight w:val="none"/>
        </w:rPr>
        <w:t>8. 磋商语言和磋商货币</w:t>
      </w:r>
    </w:p>
    <w:p w14:paraId="5366F7BF">
      <w:pPr>
        <w:spacing w:line="360" w:lineRule="auto"/>
        <w:ind w:firstLine="480" w:firstLineChars="200"/>
        <w:rPr>
          <w:rFonts w:hAnsi="宋体" w:cs="宋体"/>
          <w:b/>
          <w:szCs w:val="24"/>
          <w:highlight w:val="none"/>
        </w:rPr>
      </w:pPr>
      <w:r>
        <w:rPr>
          <w:rFonts w:hint="eastAsia" w:hAnsi="宋体" w:cs="宋体"/>
          <w:szCs w:val="24"/>
          <w:highlight w:val="none"/>
        </w:rPr>
        <w:t>8.1供应商提交的竞争性磋商响应文件以及供应商与采购代理机构就有关磋商的所有来往函电均应使用中文。</w:t>
      </w:r>
    </w:p>
    <w:p w14:paraId="5E0D7ADE">
      <w:pPr>
        <w:spacing w:line="360" w:lineRule="auto"/>
        <w:ind w:firstLine="480" w:firstLineChars="200"/>
        <w:rPr>
          <w:rFonts w:hAnsi="宋体" w:cs="宋体"/>
          <w:szCs w:val="24"/>
          <w:highlight w:val="none"/>
        </w:rPr>
      </w:pPr>
      <w:r>
        <w:rPr>
          <w:rFonts w:hint="eastAsia" w:hAnsi="宋体" w:cs="宋体"/>
          <w:szCs w:val="24"/>
          <w:highlight w:val="none"/>
        </w:rPr>
        <w:t>8.2磋商应以人民币报价。任何包含非人民币报价的磋商将按无效磋商处理。</w:t>
      </w:r>
    </w:p>
    <w:p w14:paraId="4D7EB4AE">
      <w:pPr>
        <w:spacing w:line="360" w:lineRule="auto"/>
        <w:rPr>
          <w:rFonts w:hAnsi="宋体" w:cs="宋体"/>
          <w:b/>
          <w:szCs w:val="24"/>
          <w:highlight w:val="none"/>
        </w:rPr>
      </w:pPr>
      <w:r>
        <w:rPr>
          <w:rFonts w:hint="eastAsia" w:hAnsi="宋体" w:cs="宋体"/>
          <w:b/>
          <w:szCs w:val="24"/>
          <w:highlight w:val="none"/>
        </w:rPr>
        <w:t>9.竞争性磋商响应文件的构成</w:t>
      </w:r>
    </w:p>
    <w:p w14:paraId="139CF0F9">
      <w:pPr>
        <w:spacing w:line="360" w:lineRule="auto"/>
        <w:ind w:firstLine="480" w:firstLineChars="200"/>
        <w:rPr>
          <w:rFonts w:hAnsi="宋体" w:cs="宋体"/>
          <w:szCs w:val="24"/>
          <w:highlight w:val="none"/>
        </w:rPr>
      </w:pPr>
      <w:r>
        <w:rPr>
          <w:rFonts w:hint="eastAsia" w:hAnsi="宋体" w:cs="宋体"/>
          <w:szCs w:val="24"/>
          <w:highlight w:val="none"/>
        </w:rPr>
        <w:t>9.1 供应商提交的竞争性磋商响应文件应包含下列部分的内容：</w:t>
      </w:r>
    </w:p>
    <w:p w14:paraId="30E816DF">
      <w:pPr>
        <w:spacing w:line="360" w:lineRule="auto"/>
        <w:ind w:firstLine="480" w:firstLineChars="200"/>
        <w:rPr>
          <w:rFonts w:hAnsi="宋体" w:cs="宋体"/>
          <w:szCs w:val="24"/>
          <w:highlight w:val="none"/>
        </w:rPr>
      </w:pPr>
      <w:r>
        <w:rPr>
          <w:rFonts w:hint="eastAsia" w:hAnsi="宋体" w:cs="宋体"/>
          <w:szCs w:val="24"/>
          <w:highlight w:val="none"/>
        </w:rPr>
        <w:t>（1）按照供应商须知的要求和竞争性磋商文件规定格式填写的竞争性磋商响应函、磋商报价表、法定代表人授权委托书。</w:t>
      </w:r>
    </w:p>
    <w:p w14:paraId="7A12CDA7">
      <w:pPr>
        <w:spacing w:line="360" w:lineRule="auto"/>
        <w:ind w:firstLine="480" w:firstLineChars="200"/>
        <w:rPr>
          <w:rFonts w:hAnsi="宋体" w:cs="宋体"/>
          <w:szCs w:val="24"/>
          <w:highlight w:val="none"/>
        </w:rPr>
      </w:pPr>
      <w:r>
        <w:rPr>
          <w:rFonts w:hint="eastAsia" w:hAnsi="宋体" w:cs="宋体"/>
          <w:szCs w:val="24"/>
          <w:highlight w:val="none"/>
        </w:rPr>
        <w:t>（2）按照竞争性磋商文件的要求编制的磋商方案说明。</w:t>
      </w:r>
    </w:p>
    <w:p w14:paraId="22C758E3">
      <w:pPr>
        <w:spacing w:line="360" w:lineRule="auto"/>
        <w:ind w:firstLine="480" w:firstLineChars="200"/>
        <w:rPr>
          <w:rFonts w:hAnsi="宋体" w:cs="宋体"/>
          <w:szCs w:val="24"/>
          <w:highlight w:val="none"/>
        </w:rPr>
      </w:pPr>
      <w:r>
        <w:rPr>
          <w:rFonts w:hint="eastAsia" w:hAnsi="宋体" w:cs="宋体"/>
          <w:szCs w:val="24"/>
          <w:highlight w:val="none"/>
        </w:rPr>
        <w:t>（3）按照竞争性磋商文件供应商须知前附表的要求提交的资格证明文件；</w:t>
      </w:r>
    </w:p>
    <w:p w14:paraId="3E85F829">
      <w:pPr>
        <w:spacing w:line="360" w:lineRule="auto"/>
        <w:ind w:firstLine="480" w:firstLineChars="200"/>
        <w:rPr>
          <w:rFonts w:hAnsi="宋体" w:cs="宋体"/>
          <w:szCs w:val="24"/>
          <w:highlight w:val="none"/>
        </w:rPr>
      </w:pPr>
      <w:r>
        <w:rPr>
          <w:rFonts w:hint="eastAsia" w:hAnsi="宋体" w:cs="宋体"/>
          <w:szCs w:val="24"/>
          <w:highlight w:val="none"/>
        </w:rPr>
        <w:t>（4）按照本须知第14条要求提交的磋商保证金。</w:t>
      </w:r>
    </w:p>
    <w:p w14:paraId="1196B98C">
      <w:pPr>
        <w:spacing w:line="360" w:lineRule="auto"/>
        <w:ind w:firstLine="480" w:firstLineChars="200"/>
        <w:rPr>
          <w:rFonts w:hAnsi="宋体" w:cs="宋体"/>
          <w:szCs w:val="24"/>
          <w:highlight w:val="none"/>
        </w:rPr>
      </w:pPr>
      <w:r>
        <w:rPr>
          <w:rFonts w:hint="eastAsia" w:hAnsi="宋体" w:cs="宋体"/>
          <w:szCs w:val="24"/>
          <w:highlight w:val="none"/>
        </w:rPr>
        <w:t>（5）竞争磋商文件中要求的其他证明文件。</w:t>
      </w:r>
    </w:p>
    <w:p w14:paraId="62A80914">
      <w:pPr>
        <w:spacing w:line="360" w:lineRule="auto"/>
        <w:ind w:firstLine="480" w:firstLineChars="200"/>
        <w:rPr>
          <w:rFonts w:hAnsi="宋体" w:cs="宋体"/>
          <w:szCs w:val="24"/>
          <w:highlight w:val="none"/>
        </w:rPr>
      </w:pPr>
      <w:r>
        <w:rPr>
          <w:rFonts w:hint="eastAsia" w:hAnsi="宋体" w:cs="宋体"/>
          <w:szCs w:val="24"/>
          <w:highlight w:val="none"/>
        </w:rPr>
        <w:t>9.2 如果在竞争性磋商文件中没有允许提供备选方案，则每个供应商只允许提交一个磋商方案，否则，其磋商将按照无效磋商处理。</w:t>
      </w:r>
    </w:p>
    <w:p w14:paraId="36D8FCDC">
      <w:pPr>
        <w:spacing w:line="360" w:lineRule="auto"/>
        <w:ind w:firstLine="480" w:firstLineChars="200"/>
        <w:rPr>
          <w:rFonts w:hAnsi="宋体" w:cs="宋体"/>
          <w:szCs w:val="24"/>
          <w:highlight w:val="none"/>
        </w:rPr>
      </w:pPr>
      <w:r>
        <w:rPr>
          <w:rFonts w:hint="eastAsia" w:hAnsi="宋体" w:cs="宋体"/>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14:paraId="5BB69E88">
      <w:pPr>
        <w:spacing w:line="360" w:lineRule="auto"/>
        <w:rPr>
          <w:rFonts w:hAnsi="宋体" w:cs="宋体"/>
          <w:b/>
          <w:szCs w:val="24"/>
          <w:highlight w:val="none"/>
        </w:rPr>
      </w:pPr>
      <w:r>
        <w:rPr>
          <w:rFonts w:hint="eastAsia" w:hAnsi="宋体" w:cs="宋体"/>
          <w:b/>
          <w:szCs w:val="24"/>
          <w:highlight w:val="none"/>
        </w:rPr>
        <w:t xml:space="preserve">10.竞争性磋商响应文件格式 </w:t>
      </w:r>
    </w:p>
    <w:p w14:paraId="0AAFE589">
      <w:pPr>
        <w:spacing w:line="360" w:lineRule="auto"/>
        <w:ind w:firstLine="480" w:firstLineChars="200"/>
        <w:rPr>
          <w:rFonts w:hAnsi="宋体" w:cs="宋体"/>
          <w:szCs w:val="24"/>
          <w:highlight w:val="none"/>
        </w:rPr>
      </w:pPr>
      <w:r>
        <w:rPr>
          <w:rFonts w:hint="eastAsia" w:hAnsi="宋体" w:cs="宋体"/>
          <w:szCs w:val="24"/>
          <w:highlight w:val="none"/>
        </w:rPr>
        <w:t>10.1 供应商应按照竞争性磋商文件中第六章“竞争性磋商响应文件格式及构成”所提供的格式和要求制作竞争性磋商响应文件，明确表达磋商意愿，详细说明磋商方案、承诺及价格。</w:t>
      </w:r>
    </w:p>
    <w:p w14:paraId="5C2AC81B">
      <w:pPr>
        <w:spacing w:line="360" w:lineRule="auto"/>
        <w:ind w:firstLine="480" w:firstLineChars="200"/>
        <w:rPr>
          <w:rFonts w:hAnsi="宋体" w:cs="宋体"/>
          <w:b/>
          <w:bCs/>
          <w:szCs w:val="24"/>
          <w:highlight w:val="none"/>
        </w:rPr>
      </w:pPr>
      <w:r>
        <w:rPr>
          <w:rFonts w:hint="eastAsia" w:hAnsi="宋体" w:cs="宋体"/>
          <w:szCs w:val="24"/>
          <w:highlight w:val="none"/>
        </w:rPr>
        <w:t>10.2按竞争性磋商文件第9条的内容及要求和第六章提供的格式和要求编写其竞争性磋商响应文件，供应商不得缺少或留空任何竞争性磋商文件要求填写的表格或提交的资料。</w:t>
      </w:r>
    </w:p>
    <w:p w14:paraId="0F42C54E">
      <w:pPr>
        <w:spacing w:line="360" w:lineRule="auto"/>
        <w:rPr>
          <w:rFonts w:hAnsi="宋体" w:cs="宋体"/>
          <w:b/>
          <w:szCs w:val="24"/>
          <w:highlight w:val="none"/>
        </w:rPr>
      </w:pPr>
      <w:r>
        <w:rPr>
          <w:rFonts w:hint="eastAsia" w:hAnsi="宋体" w:cs="宋体"/>
          <w:b/>
          <w:szCs w:val="24"/>
          <w:highlight w:val="none"/>
        </w:rPr>
        <w:t>11.磋商报价</w:t>
      </w:r>
    </w:p>
    <w:p w14:paraId="46A2FE27">
      <w:pPr>
        <w:spacing w:line="360" w:lineRule="auto"/>
        <w:ind w:firstLine="480"/>
        <w:rPr>
          <w:rFonts w:hAnsi="宋体" w:cs="宋体"/>
          <w:szCs w:val="24"/>
          <w:highlight w:val="none"/>
        </w:rPr>
      </w:pPr>
      <w:r>
        <w:rPr>
          <w:rFonts w:hint="eastAsia" w:hAnsi="宋体" w:cs="宋体"/>
          <w:szCs w:val="24"/>
          <w:highlight w:val="none"/>
        </w:rPr>
        <w:t>11.1磋商报价：磋商报价是供应商为完成本项目要求的全部服务内容最终价格的体现，包括但不限于人工费、设备使用费、办公费、服务费、交通费、招标代理服务费、税金等其他一切相关费用。</w:t>
      </w:r>
    </w:p>
    <w:p w14:paraId="6267242D">
      <w:pPr>
        <w:spacing w:line="360" w:lineRule="auto"/>
        <w:ind w:firstLine="480" w:firstLineChars="200"/>
        <w:rPr>
          <w:rFonts w:hAnsi="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w:t>
      </w:r>
    </w:p>
    <w:p w14:paraId="3D617F0E">
      <w:pPr>
        <w:spacing w:line="360" w:lineRule="auto"/>
        <w:ind w:firstLine="480" w:firstLineChars="200"/>
        <w:rPr>
          <w:rFonts w:hAnsi="宋体" w:cs="宋体"/>
          <w:szCs w:val="24"/>
          <w:highlight w:val="none"/>
        </w:rPr>
      </w:pPr>
      <w:r>
        <w:rPr>
          <w:rFonts w:hint="eastAsia" w:hAnsi="宋体" w:cs="宋体"/>
          <w:szCs w:val="24"/>
          <w:highlight w:val="none"/>
        </w:rPr>
        <w:t>11.2磋商报价表中标明本次服务的价格，任何有选择的报价将不予接受，按无效文件处理。所有价格均以人民币报价。</w:t>
      </w:r>
    </w:p>
    <w:p w14:paraId="6E9E6653">
      <w:pPr>
        <w:spacing w:line="360" w:lineRule="auto"/>
        <w:ind w:firstLine="480" w:firstLineChars="200"/>
        <w:rPr>
          <w:rFonts w:hAnsi="宋体" w:cs="宋体"/>
          <w:szCs w:val="24"/>
          <w:highlight w:val="none"/>
        </w:rPr>
      </w:pPr>
      <w:r>
        <w:rPr>
          <w:rFonts w:hint="eastAsia" w:hAnsi="宋体" w:cs="宋体"/>
          <w:szCs w:val="24"/>
          <w:highlight w:val="none"/>
        </w:rPr>
        <w:t>11.3磋商报价表中标明的价格应为履行合同的总报价，不得以任何理由予以变更。以可调整的价格提交的竞争性磋商响应文件将按无效磋商处理。</w:t>
      </w:r>
    </w:p>
    <w:p w14:paraId="78675A1F">
      <w:pPr>
        <w:spacing w:line="360" w:lineRule="auto"/>
        <w:rPr>
          <w:rFonts w:hAnsi="宋体" w:cs="宋体"/>
          <w:b/>
          <w:szCs w:val="24"/>
          <w:highlight w:val="none"/>
        </w:rPr>
      </w:pPr>
      <w:r>
        <w:rPr>
          <w:rFonts w:hint="eastAsia" w:hAnsi="宋体" w:cs="宋体"/>
          <w:b/>
          <w:szCs w:val="24"/>
          <w:highlight w:val="none"/>
        </w:rPr>
        <w:t>12.证明供应商合格的资格证明文件</w:t>
      </w:r>
    </w:p>
    <w:p w14:paraId="5E53EF73">
      <w:pPr>
        <w:spacing w:line="360" w:lineRule="auto"/>
        <w:ind w:firstLine="480" w:firstLineChars="200"/>
        <w:rPr>
          <w:rFonts w:hAnsi="宋体" w:cs="宋体"/>
          <w:szCs w:val="24"/>
          <w:highlight w:val="none"/>
        </w:rPr>
      </w:pPr>
      <w:r>
        <w:rPr>
          <w:rFonts w:hint="eastAsia" w:hAnsi="宋体" w:cs="宋体"/>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14:paraId="1D29B7B5">
      <w:pPr>
        <w:spacing w:line="360" w:lineRule="auto"/>
        <w:rPr>
          <w:rFonts w:hAnsi="宋体" w:cs="宋体"/>
          <w:b/>
          <w:szCs w:val="24"/>
          <w:highlight w:val="none"/>
        </w:rPr>
      </w:pPr>
      <w:r>
        <w:rPr>
          <w:rFonts w:hint="eastAsia" w:hAnsi="宋体" w:cs="宋体"/>
          <w:b/>
          <w:szCs w:val="24"/>
          <w:highlight w:val="none"/>
        </w:rPr>
        <w:t>13.证明服务符合竞争性磋商文件规定的文件</w:t>
      </w:r>
    </w:p>
    <w:p w14:paraId="373891F5">
      <w:pPr>
        <w:spacing w:line="360" w:lineRule="auto"/>
        <w:ind w:firstLine="480" w:firstLineChars="200"/>
        <w:rPr>
          <w:rFonts w:hAnsi="宋体" w:cs="宋体"/>
          <w:szCs w:val="24"/>
          <w:highlight w:val="none"/>
        </w:rPr>
      </w:pPr>
      <w:r>
        <w:rPr>
          <w:rFonts w:hint="eastAsia" w:hAnsi="宋体" w:cs="宋体"/>
          <w:szCs w:val="24"/>
          <w:highlight w:val="none"/>
        </w:rPr>
        <w:t>13.1供应商应在竞争性磋商响应文件中提交服务满足竞争性磋商文件要求并符合国家法律法规、行业管理部门要求的其他强制性标准的证明文件。</w:t>
      </w:r>
    </w:p>
    <w:p w14:paraId="6C9D02A0">
      <w:pPr>
        <w:spacing w:line="360" w:lineRule="auto"/>
        <w:ind w:firstLine="480" w:firstLineChars="200"/>
        <w:rPr>
          <w:rFonts w:hAnsi="宋体" w:cs="宋体"/>
          <w:szCs w:val="24"/>
          <w:highlight w:val="none"/>
        </w:rPr>
      </w:pPr>
      <w:r>
        <w:rPr>
          <w:rFonts w:hint="eastAsia" w:hAnsi="宋体" w:cs="宋体"/>
          <w:szCs w:val="24"/>
          <w:highlight w:val="none"/>
        </w:rPr>
        <w:t>13.2 供应商须提供全部服务内容的详细说明。</w:t>
      </w:r>
    </w:p>
    <w:p w14:paraId="6574A74D">
      <w:pPr>
        <w:spacing w:line="360" w:lineRule="auto"/>
        <w:rPr>
          <w:rFonts w:hint="eastAsia" w:hAnsi="宋体" w:eastAsia="宋体" w:cs="宋体"/>
          <w:b/>
          <w:szCs w:val="24"/>
          <w:highlight w:val="none"/>
          <w:lang w:eastAsia="zh-CN"/>
        </w:rPr>
      </w:pPr>
      <w:r>
        <w:rPr>
          <w:rFonts w:hint="eastAsia" w:hAnsi="宋体" w:cs="宋体"/>
          <w:b/>
          <w:szCs w:val="24"/>
          <w:highlight w:val="none"/>
        </w:rPr>
        <w:t>14.磋商保证金</w:t>
      </w:r>
      <w:r>
        <w:rPr>
          <w:rFonts w:hint="eastAsia" w:hAnsi="宋体" w:cs="宋体"/>
          <w:b/>
          <w:szCs w:val="24"/>
          <w:highlight w:val="none"/>
          <w:lang w:eastAsia="zh-CN"/>
        </w:rPr>
        <w:t>（</w:t>
      </w:r>
      <w:r>
        <w:rPr>
          <w:rFonts w:hint="eastAsia" w:hAnsi="宋体" w:cs="宋体"/>
          <w:b/>
          <w:szCs w:val="24"/>
          <w:highlight w:val="none"/>
          <w:lang w:val="en-US" w:eastAsia="zh-CN"/>
        </w:rPr>
        <w:t>本项目不适用</w:t>
      </w:r>
      <w:r>
        <w:rPr>
          <w:rFonts w:hint="eastAsia" w:hAnsi="宋体" w:cs="宋体"/>
          <w:b/>
          <w:szCs w:val="24"/>
          <w:highlight w:val="none"/>
          <w:lang w:eastAsia="zh-CN"/>
        </w:rPr>
        <w:t>）</w:t>
      </w:r>
    </w:p>
    <w:p w14:paraId="50067BCE">
      <w:pPr>
        <w:spacing w:line="360" w:lineRule="auto"/>
        <w:ind w:firstLine="480" w:firstLineChars="200"/>
        <w:rPr>
          <w:rFonts w:hAnsi="宋体" w:cs="宋体"/>
          <w:szCs w:val="24"/>
          <w:highlight w:val="none"/>
        </w:rPr>
      </w:pPr>
      <w:r>
        <w:rPr>
          <w:rFonts w:hint="eastAsia" w:hAnsi="宋体" w:cs="宋体"/>
          <w:szCs w:val="24"/>
          <w:highlight w:val="none"/>
        </w:rPr>
        <w:t>14.1供应商在磋商时应向陕西至诚项目管理集团有限公司提交“供应商须知前附表”规定数额的磋商保证金,并作为其磋商的一部分。</w:t>
      </w:r>
    </w:p>
    <w:p w14:paraId="6AED29B8">
      <w:pPr>
        <w:spacing w:line="360" w:lineRule="auto"/>
        <w:ind w:firstLine="480" w:firstLineChars="200"/>
        <w:rPr>
          <w:rFonts w:hAnsi="宋体" w:cs="宋体"/>
          <w:szCs w:val="24"/>
          <w:highlight w:val="none"/>
        </w:rPr>
      </w:pPr>
      <w:r>
        <w:rPr>
          <w:rFonts w:hint="eastAsia" w:hAnsi="宋体" w:cs="宋体"/>
          <w:szCs w:val="24"/>
          <w:highlight w:val="none"/>
        </w:rPr>
        <w:t>14.2磋商保证金是为了保护采购单位（包括陕西至诚项目管理集团有限公司及采购人）免遭因供应商的行为而蒙受损失。采购单位在因供应商的行为受到损害时可根据本须知的规定没收供应商的磋商保证金。</w:t>
      </w:r>
    </w:p>
    <w:p w14:paraId="450CF44E">
      <w:pPr>
        <w:spacing w:line="360" w:lineRule="auto"/>
        <w:ind w:firstLine="480" w:firstLineChars="200"/>
        <w:rPr>
          <w:rFonts w:hAnsi="宋体" w:cs="宋体"/>
          <w:szCs w:val="24"/>
          <w:highlight w:val="none"/>
        </w:rPr>
      </w:pPr>
      <w:r>
        <w:rPr>
          <w:rFonts w:hint="eastAsia" w:hAnsi="宋体" w:cs="宋体"/>
          <w:szCs w:val="24"/>
          <w:highlight w:val="none"/>
        </w:rPr>
        <w:t>14.3磋商保证金可采取“供应商须知前附表”规定的任何一种形式。</w:t>
      </w:r>
    </w:p>
    <w:p w14:paraId="2286E3BA">
      <w:pPr>
        <w:spacing w:line="360" w:lineRule="auto"/>
        <w:ind w:firstLine="480" w:firstLineChars="200"/>
        <w:rPr>
          <w:rFonts w:hAnsi="宋体" w:cs="宋体"/>
          <w:szCs w:val="24"/>
          <w:highlight w:val="none"/>
        </w:rPr>
      </w:pPr>
      <w:r>
        <w:rPr>
          <w:rFonts w:hint="eastAsia" w:hAnsi="宋体" w:cs="宋体"/>
          <w:szCs w:val="24"/>
          <w:highlight w:val="none"/>
        </w:rPr>
        <w:t>14.4磋商保证金必须按照竞争性磋商文件“供应商须知前附表”中规定的缴纳金额及方式办理。</w:t>
      </w:r>
    </w:p>
    <w:p w14:paraId="7A3B7F6D">
      <w:pPr>
        <w:spacing w:line="360" w:lineRule="auto"/>
        <w:ind w:firstLine="480" w:firstLineChars="200"/>
        <w:rPr>
          <w:rFonts w:hAnsi="宋体" w:cs="宋体"/>
          <w:szCs w:val="24"/>
          <w:highlight w:val="none"/>
        </w:rPr>
      </w:pPr>
      <w:r>
        <w:rPr>
          <w:rFonts w:hint="eastAsia" w:hAnsi="宋体" w:cs="宋体"/>
          <w:szCs w:val="24"/>
          <w:highlight w:val="none"/>
        </w:rPr>
        <w:t>14.5磋商后经审查，未提交磋商保证金、未按竞争性磋商文件规定时间提交磋商保证金</w:t>
      </w:r>
      <w:r>
        <w:rPr>
          <w:rFonts w:hint="eastAsia" w:hAnsi="宋体" w:cs="宋体"/>
          <w:highlight w:val="none"/>
        </w:rPr>
        <w:t>或担保机构出具的保函正本未在采购代理机构备案的</w:t>
      </w:r>
      <w:r>
        <w:rPr>
          <w:rFonts w:hint="eastAsia" w:hAnsi="宋体" w:cs="宋体"/>
          <w:szCs w:val="24"/>
          <w:highlight w:val="none"/>
        </w:rPr>
        <w:t>、磋商保证金金额不足或磋商保证金转账凭证复印件/担保机构出具的保函正本复印件未附在磋商响应文件内的磋商将按无效磋商处理。</w:t>
      </w:r>
    </w:p>
    <w:p w14:paraId="29FDDBB0">
      <w:pPr>
        <w:spacing w:line="360" w:lineRule="auto"/>
        <w:rPr>
          <w:rFonts w:hAnsi="宋体" w:cs="宋体"/>
          <w:szCs w:val="24"/>
          <w:highlight w:val="none"/>
        </w:rPr>
      </w:pPr>
      <w:r>
        <w:rPr>
          <w:rFonts w:hint="eastAsia" w:hAnsi="宋体" w:cs="宋体"/>
          <w:szCs w:val="24"/>
          <w:highlight w:val="none"/>
        </w:rPr>
        <w:t xml:space="preserve">   14.6未成交供应商的磋商保证金，将在成交通知书发出后五个工作日内按原账户退还；成交供应商的磋商保证金，在采购合同签订并按规定交纳成交代理服务费后五个工作日内退还</w:t>
      </w:r>
      <w:r>
        <w:rPr>
          <w:rFonts w:hint="eastAsia" w:hAnsi="宋体" w:cs="宋体"/>
          <w:b/>
          <w:szCs w:val="24"/>
          <w:highlight w:val="none"/>
        </w:rPr>
        <w:t>（退还时，须向采购代理机构提供采购合同原件、开户许可证及转账凭证复印件壹份）</w:t>
      </w:r>
      <w:r>
        <w:rPr>
          <w:rFonts w:hint="eastAsia" w:hAnsi="宋体" w:cs="宋体"/>
          <w:szCs w:val="24"/>
          <w:highlight w:val="none"/>
        </w:rPr>
        <w:t>。</w:t>
      </w:r>
    </w:p>
    <w:p w14:paraId="3AA00B48">
      <w:pPr>
        <w:spacing w:line="360" w:lineRule="auto"/>
        <w:ind w:firstLine="480" w:firstLineChars="200"/>
        <w:rPr>
          <w:rFonts w:hAnsi="宋体" w:cs="宋体"/>
          <w:szCs w:val="24"/>
          <w:highlight w:val="none"/>
        </w:rPr>
      </w:pPr>
      <w:r>
        <w:rPr>
          <w:rFonts w:hint="eastAsia" w:hAnsi="宋体" w:cs="宋体"/>
          <w:szCs w:val="24"/>
          <w:highlight w:val="none"/>
        </w:rPr>
        <w:t>14.7供应商以担保机构保函形式缴纳磋商保证金的，磋商结束之后将担保机构保函原件退回（退还时间参照14.6条款）。供应商领取担保机构保函原件时需携带法人授权委托书原件。</w:t>
      </w:r>
    </w:p>
    <w:p w14:paraId="3254BFDA">
      <w:pPr>
        <w:spacing w:line="360" w:lineRule="auto"/>
        <w:ind w:firstLine="482" w:firstLineChars="200"/>
        <w:rPr>
          <w:rFonts w:hAnsi="宋体" w:cs="宋体"/>
          <w:szCs w:val="24"/>
          <w:highlight w:val="none"/>
        </w:rPr>
      </w:pPr>
      <w:r>
        <w:rPr>
          <w:rFonts w:hint="eastAsia" w:hAnsi="宋体" w:cs="宋体"/>
          <w:b/>
          <w:bCs/>
          <w:szCs w:val="24"/>
          <w:highlight w:val="none"/>
        </w:rPr>
        <w:t>14.8 下列任何情况发生时，视为供应商违约，其磋商保证金将被没收：</w:t>
      </w:r>
    </w:p>
    <w:p w14:paraId="77954FCF">
      <w:pPr>
        <w:spacing w:line="360" w:lineRule="auto"/>
        <w:ind w:firstLine="480" w:firstLineChars="200"/>
        <w:rPr>
          <w:rFonts w:hAnsi="宋体" w:cs="宋体"/>
          <w:szCs w:val="24"/>
          <w:highlight w:val="none"/>
        </w:rPr>
      </w:pPr>
      <w:r>
        <w:rPr>
          <w:rFonts w:hint="eastAsia" w:hAnsi="宋体" w:cs="宋体"/>
          <w:szCs w:val="24"/>
          <w:highlight w:val="none"/>
        </w:rPr>
        <w:t>1) 供应商在磋商有效期内撤回其磋商响应文件；</w:t>
      </w:r>
    </w:p>
    <w:p w14:paraId="27415ED1">
      <w:pPr>
        <w:spacing w:line="360" w:lineRule="auto"/>
        <w:ind w:firstLine="480" w:firstLineChars="200"/>
        <w:rPr>
          <w:rFonts w:hAnsi="宋体" w:cs="宋体"/>
          <w:szCs w:val="24"/>
          <w:highlight w:val="none"/>
        </w:rPr>
      </w:pPr>
      <w:r>
        <w:rPr>
          <w:rFonts w:hint="eastAsia" w:hAnsi="宋体" w:cs="宋体"/>
          <w:szCs w:val="24"/>
          <w:highlight w:val="none"/>
        </w:rPr>
        <w:t>2）供应商在响应文件中提供伪造、套改、虚假资料参加磋商的。</w:t>
      </w:r>
    </w:p>
    <w:p w14:paraId="7AD408ED">
      <w:pPr>
        <w:spacing w:line="360" w:lineRule="auto"/>
        <w:ind w:firstLine="480" w:firstLineChars="200"/>
        <w:rPr>
          <w:rFonts w:hAnsi="宋体" w:cs="宋体"/>
          <w:szCs w:val="24"/>
          <w:highlight w:val="none"/>
        </w:rPr>
      </w:pPr>
      <w:r>
        <w:rPr>
          <w:rFonts w:hint="eastAsia" w:hAnsi="宋体" w:cs="宋体"/>
          <w:szCs w:val="24"/>
          <w:highlight w:val="none"/>
        </w:rPr>
        <w:t>3) 供应商成交后放弃成交或未能按规定签订合同；或未能按规定交纳成交代理服务费。</w:t>
      </w:r>
    </w:p>
    <w:p w14:paraId="3A4EB9A4">
      <w:pPr>
        <w:spacing w:line="360" w:lineRule="auto"/>
        <w:ind w:firstLine="480" w:firstLineChars="200"/>
        <w:rPr>
          <w:rFonts w:hAnsi="宋体" w:cs="宋体"/>
          <w:szCs w:val="24"/>
          <w:highlight w:val="none"/>
        </w:rPr>
      </w:pPr>
      <w:r>
        <w:rPr>
          <w:rFonts w:hint="eastAsia" w:hAnsi="宋体" w:cs="宋体"/>
          <w:szCs w:val="24"/>
          <w:highlight w:val="none"/>
        </w:rPr>
        <w:t>4）供应商成交后将成交项目转让给他人，或者在响应文件中未说明，且未经采购人同意，将成交项目分包给他人的。</w:t>
      </w:r>
    </w:p>
    <w:p w14:paraId="57B8CBF5">
      <w:pPr>
        <w:spacing w:line="360" w:lineRule="auto"/>
        <w:ind w:firstLine="480" w:firstLineChars="200"/>
        <w:rPr>
          <w:rFonts w:hAnsi="宋体" w:cs="宋体"/>
          <w:szCs w:val="24"/>
          <w:highlight w:val="none"/>
        </w:rPr>
      </w:pPr>
      <w:r>
        <w:rPr>
          <w:rFonts w:hint="eastAsia" w:hAnsi="宋体" w:cs="宋体"/>
          <w:szCs w:val="24"/>
          <w:highlight w:val="none"/>
        </w:rPr>
        <w:t>5）供应商事先未通告无故不参加磋商活动的。</w:t>
      </w:r>
    </w:p>
    <w:p w14:paraId="72E72822">
      <w:pPr>
        <w:spacing w:line="360" w:lineRule="auto"/>
        <w:ind w:firstLine="480" w:firstLineChars="200"/>
        <w:rPr>
          <w:rFonts w:hAnsi="宋体" w:cs="宋体"/>
          <w:szCs w:val="24"/>
          <w:highlight w:val="none"/>
        </w:rPr>
      </w:pPr>
      <w:r>
        <w:rPr>
          <w:rFonts w:hint="eastAsia" w:hAnsi="宋体" w:cs="宋体"/>
          <w:szCs w:val="24"/>
          <w:highlight w:val="none"/>
        </w:rPr>
        <w:t>6）供应商不按法定程序进行质疑和投诉，捏造事实，查无实据，造成恶劣影响，导致采购活动无法正常进行的。</w:t>
      </w:r>
    </w:p>
    <w:p w14:paraId="37E05A98">
      <w:pPr>
        <w:spacing w:line="360" w:lineRule="auto"/>
        <w:ind w:firstLine="480" w:firstLineChars="200"/>
        <w:rPr>
          <w:rFonts w:hAnsi="宋体" w:cs="宋体"/>
          <w:szCs w:val="24"/>
          <w:highlight w:val="none"/>
        </w:rPr>
      </w:pPr>
      <w:r>
        <w:rPr>
          <w:rFonts w:hint="eastAsia" w:hAnsi="宋体" w:cs="宋体"/>
          <w:szCs w:val="24"/>
          <w:highlight w:val="none"/>
        </w:rPr>
        <w:t>14.9采购信用担保及信用融资政策</w:t>
      </w:r>
    </w:p>
    <w:p w14:paraId="5A729D63">
      <w:pPr>
        <w:spacing w:line="360" w:lineRule="auto"/>
        <w:ind w:firstLine="480" w:firstLineChars="200"/>
        <w:rPr>
          <w:rFonts w:hAnsi="宋体" w:cs="宋体"/>
          <w:szCs w:val="24"/>
          <w:highlight w:val="none"/>
        </w:rPr>
      </w:pPr>
      <w:r>
        <w:rPr>
          <w:rFonts w:hint="eastAsia" w:hAnsi="宋体" w:cs="宋体"/>
          <w:szCs w:val="24"/>
          <w:highlight w:val="none"/>
        </w:rPr>
        <w:t>陕西省信用担保及信用融资政策</w:t>
      </w:r>
    </w:p>
    <w:p w14:paraId="31BA6E46">
      <w:pPr>
        <w:spacing w:line="360" w:lineRule="auto"/>
        <w:ind w:firstLine="480" w:firstLineChars="200"/>
        <w:rPr>
          <w:rFonts w:hAnsi="宋体" w:cs="宋体"/>
          <w:szCs w:val="24"/>
          <w:highlight w:val="none"/>
        </w:rPr>
      </w:pPr>
      <w:r>
        <w:rPr>
          <w:rFonts w:hint="eastAsia" w:hAnsi="宋体" w:cs="宋体"/>
          <w:szCs w:val="24"/>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 xi/）在线申请，依法参加政府采购信用融资活动。</w:t>
      </w:r>
    </w:p>
    <w:p w14:paraId="01E0EC93">
      <w:pPr>
        <w:spacing w:line="360" w:lineRule="auto"/>
        <w:ind w:firstLine="480" w:firstLineChars="200"/>
        <w:rPr>
          <w:rFonts w:hAnsi="宋体" w:cs="宋体"/>
          <w:szCs w:val="24"/>
          <w:highlight w:val="none"/>
        </w:rPr>
      </w:pPr>
      <w:r>
        <w:rPr>
          <w:rFonts w:hint="eastAsia" w:hAnsi="宋体" w:cs="宋体"/>
          <w:szCs w:val="24"/>
          <w:highlight w:val="none"/>
        </w:rPr>
        <w:t>目前的合作银行有∶ 北京银行、中国建设银行、中信银行、中国平安银行、中国光大银行、浦发银行、兴业银行、中国工商银行、秦农银行、浙商银行、中国银行、西安银行、中国农业银行、中国邮政储蓄银行（排名不分先后）。</w:t>
      </w:r>
    </w:p>
    <w:p w14:paraId="1FBAD2E8">
      <w:pPr>
        <w:spacing w:line="360" w:lineRule="auto"/>
        <w:rPr>
          <w:rFonts w:hAnsi="宋体" w:cs="宋体"/>
          <w:b/>
          <w:szCs w:val="24"/>
          <w:highlight w:val="none"/>
        </w:rPr>
      </w:pPr>
      <w:r>
        <w:rPr>
          <w:rFonts w:hint="eastAsia" w:hAnsi="宋体" w:cs="宋体"/>
          <w:b/>
          <w:szCs w:val="24"/>
          <w:highlight w:val="none"/>
        </w:rPr>
        <w:t>15.磋商有效期</w:t>
      </w:r>
    </w:p>
    <w:p w14:paraId="4B918852">
      <w:pPr>
        <w:spacing w:line="360" w:lineRule="auto"/>
        <w:ind w:firstLine="480" w:firstLineChars="200"/>
        <w:rPr>
          <w:rFonts w:hAnsi="宋体" w:cs="宋体"/>
          <w:szCs w:val="24"/>
          <w:highlight w:val="none"/>
        </w:rPr>
      </w:pPr>
      <w:bookmarkStart w:id="48" w:name="OLE_LINK4"/>
      <w:r>
        <w:rPr>
          <w:rFonts w:hint="eastAsia" w:hAnsi="宋体" w:cs="宋体"/>
          <w:szCs w:val="24"/>
          <w:highlight w:val="none"/>
        </w:rPr>
        <w:t>15.1磋商响应文件应在“供应商须知前附表”中规定的期限内保持有效。磋商有效期不满足规定有效期的磋商响应文件将被视为非响应性磋商而予以拒绝。</w:t>
      </w:r>
      <w:bookmarkEnd w:id="48"/>
    </w:p>
    <w:p w14:paraId="60400B24">
      <w:pPr>
        <w:spacing w:line="360" w:lineRule="auto"/>
        <w:ind w:firstLine="480" w:firstLineChars="200"/>
        <w:rPr>
          <w:rFonts w:hAnsi="宋体" w:cs="宋体"/>
          <w:szCs w:val="24"/>
          <w:highlight w:val="none"/>
        </w:rPr>
      </w:pPr>
      <w:r>
        <w:rPr>
          <w:rFonts w:hint="eastAsia" w:hAnsi="宋体" w:cs="宋体"/>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14:paraId="2E41C033">
      <w:pPr>
        <w:spacing w:line="360" w:lineRule="auto"/>
        <w:rPr>
          <w:rFonts w:hAnsi="宋体" w:cs="宋体"/>
          <w:b/>
          <w:szCs w:val="24"/>
          <w:highlight w:val="none"/>
        </w:rPr>
      </w:pPr>
      <w:r>
        <w:rPr>
          <w:rFonts w:hint="eastAsia" w:hAnsi="宋体" w:cs="宋体"/>
          <w:b/>
          <w:szCs w:val="24"/>
          <w:highlight w:val="none"/>
        </w:rPr>
        <w:t>16.竞争性磋商响应文件的式样和签署</w:t>
      </w:r>
    </w:p>
    <w:p w14:paraId="5266AB26">
      <w:pPr>
        <w:spacing w:line="360" w:lineRule="auto"/>
        <w:ind w:firstLine="480" w:firstLineChars="200"/>
        <w:rPr>
          <w:rFonts w:hAnsi="宋体" w:cs="宋体"/>
          <w:szCs w:val="24"/>
          <w:highlight w:val="none"/>
        </w:rPr>
      </w:pPr>
      <w:r>
        <w:rPr>
          <w:rFonts w:hint="eastAsia" w:hAnsi="宋体" w:cs="宋体"/>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hAnsi="宋体" w:cs="宋体"/>
          <w:spacing w:val="4"/>
          <w:highlight w:val="none"/>
        </w:rPr>
        <w:t>电子版（U盘）</w:t>
      </w:r>
      <w:r>
        <w:rPr>
          <w:rFonts w:hint="eastAsia" w:hAnsi="宋体" w:cs="宋体"/>
          <w:szCs w:val="24"/>
          <w:highlight w:val="none"/>
        </w:rPr>
        <w:t>并在盘面标注供应商全称、项目名称、项目编号，并与竞争性磋商响应文件同时递交。</w:t>
      </w:r>
    </w:p>
    <w:p w14:paraId="4B0BA46A">
      <w:pPr>
        <w:spacing w:line="500" w:lineRule="exact"/>
        <w:ind w:firstLine="480" w:firstLineChars="200"/>
        <w:rPr>
          <w:rFonts w:hAnsi="宋体" w:cs="宋体"/>
          <w:b/>
          <w:bCs/>
          <w:highlight w:val="none"/>
        </w:rPr>
      </w:pPr>
      <w:r>
        <w:rPr>
          <w:rFonts w:hint="eastAsia" w:hAnsi="宋体" w:cs="宋体"/>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hAnsi="宋体" w:cs="宋体"/>
          <w:b/>
          <w:bCs/>
          <w:szCs w:val="24"/>
          <w:highlight w:val="none"/>
        </w:rPr>
        <w:t>所有竞争性磋商响应文件正本和副本须按第六章规定的顺序编排、并应编制目录、逐页标注连续页码，并</w:t>
      </w:r>
      <w:r>
        <w:rPr>
          <w:rFonts w:hint="eastAsia" w:hAnsi="宋体" w:cs="宋体"/>
          <w:b/>
          <w:bCs/>
          <w:highlight w:val="none"/>
        </w:rPr>
        <w:t>分别胶装成册。</w:t>
      </w:r>
    </w:p>
    <w:p w14:paraId="3CC2034E">
      <w:pPr>
        <w:spacing w:line="360" w:lineRule="auto"/>
        <w:ind w:firstLine="480" w:firstLineChars="200"/>
        <w:rPr>
          <w:rFonts w:hAnsi="宋体" w:cs="宋体"/>
          <w:szCs w:val="24"/>
          <w:highlight w:val="none"/>
        </w:rPr>
      </w:pPr>
      <w:r>
        <w:rPr>
          <w:rFonts w:hint="eastAsia" w:hAnsi="宋体" w:cs="宋体"/>
          <w:szCs w:val="24"/>
          <w:highlight w:val="none"/>
        </w:rPr>
        <w:t>16.3任何行间插字、涂改和增删，必须由供应商的法定代表人或其授权代表在旁边签字才有效。</w:t>
      </w:r>
    </w:p>
    <w:p w14:paraId="66E489E0">
      <w:pPr>
        <w:spacing w:line="360" w:lineRule="auto"/>
        <w:ind w:firstLine="482" w:firstLineChars="200"/>
        <w:rPr>
          <w:rFonts w:hAnsi="宋体" w:cs="宋体"/>
          <w:b/>
          <w:bCs/>
          <w:szCs w:val="24"/>
          <w:highlight w:val="none"/>
        </w:rPr>
      </w:pPr>
      <w:r>
        <w:rPr>
          <w:rFonts w:hint="eastAsia" w:hAnsi="宋体" w:cs="宋体"/>
          <w:b/>
          <w:bCs/>
          <w:szCs w:val="24"/>
          <w:highlight w:val="none"/>
        </w:rPr>
        <w:t>16.4供应商名称应填写全称。磋商响应文件副本</w:t>
      </w:r>
      <w:r>
        <w:rPr>
          <w:rFonts w:hint="eastAsia" w:hAnsi="宋体" w:cs="宋体"/>
          <w:b/>
          <w:bCs/>
          <w:szCs w:val="24"/>
          <w:highlight w:val="none"/>
          <w:lang w:val="en-US" w:eastAsia="zh-CN"/>
        </w:rPr>
        <w:t>可以是正本的复印件</w:t>
      </w:r>
      <w:r>
        <w:rPr>
          <w:rFonts w:hint="eastAsia" w:hAnsi="宋体" w:cs="宋体"/>
          <w:b/>
          <w:bCs/>
          <w:szCs w:val="24"/>
          <w:highlight w:val="none"/>
        </w:rPr>
        <w:t>。</w:t>
      </w:r>
    </w:p>
    <w:p w14:paraId="4E81A849">
      <w:pPr>
        <w:spacing w:line="360" w:lineRule="auto"/>
        <w:ind w:firstLine="480" w:firstLineChars="200"/>
        <w:rPr>
          <w:rFonts w:hAnsi="宋体" w:cs="宋体"/>
          <w:szCs w:val="24"/>
          <w:highlight w:val="none"/>
        </w:rPr>
      </w:pPr>
      <w:r>
        <w:rPr>
          <w:rFonts w:hint="eastAsia" w:hAnsi="宋体" w:cs="宋体"/>
          <w:szCs w:val="24"/>
          <w:highlight w:val="none"/>
        </w:rPr>
        <w:t>16.5因字迹潦草、表述不清或不按竞争性磋商文件格式编制的竞争性磋商响应文件，所引起的对供应商不利的后果，由供应商自行负责。</w:t>
      </w:r>
    </w:p>
    <w:p w14:paraId="65D43694">
      <w:pPr>
        <w:spacing w:line="500" w:lineRule="exact"/>
        <w:ind w:firstLine="480" w:firstLineChars="200"/>
        <w:rPr>
          <w:rFonts w:hAnsi="宋体" w:cs="宋体"/>
          <w:highlight w:val="none"/>
        </w:rPr>
      </w:pPr>
      <w:r>
        <w:rPr>
          <w:rFonts w:hint="eastAsia" w:hAnsi="宋体" w:cs="宋体"/>
          <w:szCs w:val="24"/>
          <w:highlight w:val="none"/>
        </w:rPr>
        <w:t>16.6竞争性磋商文件的副本、电子版须和正本保持一致。</w:t>
      </w:r>
      <w:r>
        <w:rPr>
          <w:rFonts w:hint="eastAsia" w:hAnsi="宋体" w:cs="宋体"/>
          <w:highlight w:val="none"/>
        </w:rPr>
        <w:t>若正本、副本和电子版有不一致的内容，以正本为准。</w:t>
      </w:r>
    </w:p>
    <w:p w14:paraId="025ED40D">
      <w:pPr>
        <w:keepNext/>
        <w:keepLines/>
        <w:spacing w:before="312" w:beforeLines="100" w:after="156" w:afterLines="50" w:line="360" w:lineRule="auto"/>
        <w:jc w:val="center"/>
        <w:outlineLvl w:val="2"/>
        <w:rPr>
          <w:rFonts w:hAnsi="宋体" w:cs="宋体"/>
          <w:b/>
          <w:sz w:val="32"/>
          <w:szCs w:val="32"/>
          <w:highlight w:val="none"/>
        </w:rPr>
      </w:pPr>
      <w:bookmarkStart w:id="49" w:name="_Toc18686"/>
      <w:bookmarkStart w:id="50" w:name="_Toc12266"/>
      <w:bookmarkStart w:id="51" w:name="_Toc20799"/>
      <w:r>
        <w:rPr>
          <w:rFonts w:hint="eastAsia" w:hAnsi="宋体" w:cs="宋体"/>
          <w:b/>
          <w:sz w:val="32"/>
          <w:szCs w:val="32"/>
          <w:highlight w:val="none"/>
        </w:rPr>
        <w:t>四.竞争性磋商响应文件的递交</w:t>
      </w:r>
      <w:bookmarkEnd w:id="49"/>
      <w:bookmarkEnd w:id="50"/>
      <w:bookmarkEnd w:id="51"/>
    </w:p>
    <w:p w14:paraId="32007DFF">
      <w:pPr>
        <w:spacing w:line="360" w:lineRule="auto"/>
        <w:rPr>
          <w:rFonts w:hAnsi="宋体" w:cs="宋体"/>
          <w:b/>
          <w:szCs w:val="24"/>
          <w:highlight w:val="none"/>
        </w:rPr>
      </w:pPr>
      <w:r>
        <w:rPr>
          <w:rFonts w:hint="eastAsia" w:hAnsi="宋体" w:cs="宋体"/>
          <w:b/>
          <w:szCs w:val="24"/>
          <w:highlight w:val="none"/>
        </w:rPr>
        <w:t>17.竞争性磋商响应文件的密封和标记</w:t>
      </w:r>
    </w:p>
    <w:p w14:paraId="18439836">
      <w:pPr>
        <w:spacing w:line="360" w:lineRule="auto"/>
        <w:ind w:firstLine="480" w:firstLineChars="200"/>
        <w:rPr>
          <w:rFonts w:hAnsi="宋体" w:cs="宋体"/>
          <w:szCs w:val="24"/>
          <w:highlight w:val="none"/>
        </w:rPr>
      </w:pPr>
      <w:r>
        <w:rPr>
          <w:rFonts w:hint="eastAsia" w:hAnsi="宋体" w:cs="宋体"/>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179FFC44">
      <w:pPr>
        <w:spacing w:line="360" w:lineRule="auto"/>
        <w:ind w:firstLine="480" w:firstLineChars="200"/>
        <w:rPr>
          <w:rFonts w:hAnsi="宋体" w:cs="宋体"/>
          <w:szCs w:val="24"/>
          <w:highlight w:val="none"/>
        </w:rPr>
      </w:pPr>
      <w:r>
        <w:rPr>
          <w:rFonts w:hint="eastAsia" w:hAnsi="宋体" w:cs="宋体"/>
          <w:highlight w:val="none"/>
        </w:rPr>
        <w:t>17.2供应商应将竞争性磋商响应文件正本、电子版本、报价一览表</w:t>
      </w:r>
      <w:r>
        <w:rPr>
          <w:rFonts w:hint="eastAsia" w:hAnsi="宋体" w:cs="宋体"/>
          <w:highlight w:val="none"/>
          <w:lang w:eastAsia="zh-CN"/>
        </w:rPr>
        <w:t>；</w:t>
      </w:r>
      <w:r>
        <w:rPr>
          <w:rFonts w:hint="eastAsia" w:hAnsi="宋体" w:cs="宋体"/>
          <w:szCs w:val="24"/>
          <w:highlight w:val="none"/>
        </w:rPr>
        <w:t>所有的副本</w:t>
      </w:r>
      <w:r>
        <w:rPr>
          <w:rFonts w:hint="eastAsia" w:hAnsi="宋体" w:cs="宋体"/>
          <w:highlight w:val="none"/>
        </w:rPr>
        <w:t>单独密封装在封袋中（封袋不得有破损），且在封袋正面标明</w:t>
      </w:r>
      <w:r>
        <w:rPr>
          <w:rFonts w:hint="eastAsia" w:hAnsi="宋体" w:cs="宋体"/>
          <w:szCs w:val="24"/>
          <w:highlight w:val="none"/>
        </w:rPr>
        <w:t>“</w:t>
      </w:r>
      <w:r>
        <w:rPr>
          <w:rFonts w:hint="eastAsia" w:hAnsi="宋体" w:cs="宋体"/>
          <w:highlight w:val="none"/>
        </w:rPr>
        <w:t>正本、电子版本、报价一览表</w:t>
      </w:r>
      <w:r>
        <w:rPr>
          <w:rFonts w:hint="eastAsia" w:hAnsi="宋体" w:cs="宋体"/>
          <w:szCs w:val="24"/>
          <w:highlight w:val="none"/>
        </w:rPr>
        <w:t>”“副本”</w:t>
      </w:r>
      <w:r>
        <w:rPr>
          <w:rFonts w:hint="eastAsia" w:hAnsi="宋体" w:cs="宋体"/>
          <w:highlight w:val="none"/>
        </w:rPr>
        <w:t>字样。封袋应加贴封条，并在封线处加盖供应商公章，封袋正面要粘贴供应商全称、项目名称、编号等标识。</w:t>
      </w:r>
    </w:p>
    <w:p w14:paraId="5B5FD36D">
      <w:pPr>
        <w:spacing w:line="360" w:lineRule="auto"/>
        <w:ind w:firstLine="482" w:firstLineChars="200"/>
        <w:rPr>
          <w:rFonts w:hAnsi="宋体" w:cs="宋体"/>
          <w:b/>
          <w:bCs/>
          <w:szCs w:val="24"/>
          <w:highlight w:val="none"/>
        </w:rPr>
      </w:pPr>
      <w:r>
        <w:rPr>
          <w:rFonts w:hint="eastAsia" w:hAnsi="宋体" w:cs="宋体"/>
          <w:b/>
          <w:bCs/>
          <w:szCs w:val="24"/>
          <w:highlight w:val="none"/>
        </w:rPr>
        <w:t>外层包装请按以下要求标记：</w:t>
      </w:r>
    </w:p>
    <w:p w14:paraId="03BF3991">
      <w:pPr>
        <w:spacing w:line="360" w:lineRule="auto"/>
        <w:ind w:firstLine="720" w:firstLineChars="300"/>
        <w:rPr>
          <w:rFonts w:hAnsi="宋体" w:cs="宋体"/>
          <w:szCs w:val="24"/>
          <w:highlight w:val="none"/>
        </w:rPr>
      </w:pPr>
      <w:r>
        <w:rPr>
          <w:rFonts w:hint="eastAsia" w:hAnsi="宋体" w:cs="宋体"/>
          <w:szCs w:val="24"/>
          <w:highlight w:val="none"/>
        </w:rPr>
        <w:t>1) 磋商响应单位的全称；</w:t>
      </w:r>
    </w:p>
    <w:p w14:paraId="25306334">
      <w:pPr>
        <w:spacing w:line="360" w:lineRule="auto"/>
        <w:ind w:firstLine="720" w:firstLineChars="300"/>
        <w:rPr>
          <w:rFonts w:hAnsi="宋体" w:cs="宋体"/>
          <w:szCs w:val="24"/>
          <w:highlight w:val="none"/>
        </w:rPr>
      </w:pPr>
      <w:r>
        <w:rPr>
          <w:rFonts w:hint="eastAsia" w:hAnsi="宋体" w:cs="宋体"/>
          <w:szCs w:val="24"/>
          <w:highlight w:val="none"/>
        </w:rPr>
        <w:t>2) 磋商项目名称、项目编号；</w:t>
      </w:r>
    </w:p>
    <w:p w14:paraId="4D7745A0">
      <w:pPr>
        <w:spacing w:line="360" w:lineRule="auto"/>
        <w:ind w:firstLine="720" w:firstLineChars="300"/>
        <w:rPr>
          <w:rFonts w:hAnsi="宋体" w:cs="宋体"/>
          <w:szCs w:val="24"/>
          <w:highlight w:val="none"/>
        </w:rPr>
      </w:pPr>
      <w:r>
        <w:rPr>
          <w:rFonts w:hint="eastAsia" w:hAnsi="宋体" w:cs="宋体"/>
          <w:szCs w:val="24"/>
          <w:highlight w:val="none"/>
        </w:rPr>
        <w:t>3）正本或副本、电子版、报价一览表“请勿在＿＿＿＿＿(磋商时间)之前启封”。</w:t>
      </w:r>
    </w:p>
    <w:p w14:paraId="5DC74F54">
      <w:pPr>
        <w:spacing w:line="360" w:lineRule="auto"/>
        <w:ind w:firstLine="480" w:firstLineChars="200"/>
        <w:rPr>
          <w:rFonts w:hAnsi="宋体" w:cs="宋体"/>
          <w:szCs w:val="24"/>
          <w:highlight w:val="none"/>
        </w:rPr>
      </w:pPr>
      <w:r>
        <w:rPr>
          <w:rFonts w:hint="eastAsia" w:hAnsi="宋体" w:cs="宋体"/>
          <w:szCs w:val="24"/>
          <w:highlight w:val="none"/>
        </w:rPr>
        <w:t>17.4如果供应商未对竞争性磋商响应文件按上述要求进行完好密封，由此产生的不利后果由供应商自行承担。</w:t>
      </w:r>
    </w:p>
    <w:p w14:paraId="508C1BDB">
      <w:pPr>
        <w:spacing w:line="360" w:lineRule="auto"/>
        <w:rPr>
          <w:rFonts w:hAnsi="宋体" w:cs="宋体"/>
          <w:b/>
          <w:szCs w:val="24"/>
          <w:highlight w:val="none"/>
        </w:rPr>
      </w:pPr>
      <w:r>
        <w:rPr>
          <w:rFonts w:hint="eastAsia" w:hAnsi="宋体" w:cs="宋体"/>
          <w:b/>
          <w:szCs w:val="24"/>
          <w:highlight w:val="none"/>
        </w:rPr>
        <w:t>18．竞争性磋商响应文件的递交</w:t>
      </w:r>
    </w:p>
    <w:p w14:paraId="690875DA">
      <w:pPr>
        <w:spacing w:line="360" w:lineRule="auto"/>
        <w:ind w:firstLine="480" w:firstLineChars="200"/>
        <w:rPr>
          <w:rFonts w:hAnsi="宋体" w:cs="宋体"/>
          <w:szCs w:val="24"/>
          <w:highlight w:val="none"/>
        </w:rPr>
      </w:pPr>
      <w:r>
        <w:rPr>
          <w:rFonts w:hint="eastAsia" w:hAnsi="宋体" w:cs="宋体"/>
          <w:szCs w:val="24"/>
          <w:highlight w:val="none"/>
        </w:rPr>
        <w:t>18.1供应商应按照竞争性磋商公告中规定的时间、地点，在规定的竞争性磋商响应文件递交截止时间前将全部竞争性磋商响应文件和磋商资料递交至采购代理机构接收人处。</w:t>
      </w:r>
    </w:p>
    <w:p w14:paraId="28F60379">
      <w:pPr>
        <w:spacing w:line="360" w:lineRule="auto"/>
        <w:ind w:firstLine="480" w:firstLineChars="200"/>
        <w:rPr>
          <w:rFonts w:hAnsi="宋体" w:cs="宋体"/>
          <w:szCs w:val="24"/>
          <w:highlight w:val="none"/>
        </w:rPr>
      </w:pPr>
      <w:r>
        <w:rPr>
          <w:rFonts w:hint="eastAsia" w:hAnsi="宋体" w:cs="宋体"/>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14:paraId="650D3A30">
      <w:pPr>
        <w:spacing w:line="360" w:lineRule="auto"/>
        <w:ind w:firstLine="480" w:firstLineChars="200"/>
        <w:rPr>
          <w:rFonts w:hAnsi="宋体" w:cs="宋体"/>
          <w:szCs w:val="24"/>
          <w:highlight w:val="none"/>
        </w:rPr>
      </w:pPr>
      <w:r>
        <w:rPr>
          <w:rFonts w:hint="eastAsia" w:hAnsi="宋体" w:cs="宋体"/>
          <w:szCs w:val="24"/>
          <w:highlight w:val="none"/>
        </w:rPr>
        <w:t>18.3无论供应商成交与否，其竞争性磋商响应文件恕不退还。</w:t>
      </w:r>
    </w:p>
    <w:p w14:paraId="4905A356">
      <w:pPr>
        <w:spacing w:line="360" w:lineRule="auto"/>
        <w:rPr>
          <w:rFonts w:hAnsi="宋体" w:cs="宋体"/>
          <w:b/>
          <w:szCs w:val="24"/>
          <w:highlight w:val="none"/>
        </w:rPr>
      </w:pPr>
      <w:r>
        <w:rPr>
          <w:rFonts w:hint="eastAsia" w:hAnsi="宋体" w:cs="宋体"/>
          <w:b/>
          <w:szCs w:val="24"/>
          <w:highlight w:val="none"/>
        </w:rPr>
        <w:t>19．递交的竞争性磋商响应文件</w:t>
      </w:r>
    </w:p>
    <w:p w14:paraId="6E233596">
      <w:pPr>
        <w:spacing w:line="360" w:lineRule="auto"/>
        <w:ind w:firstLine="480" w:firstLineChars="200"/>
        <w:rPr>
          <w:rFonts w:hAnsi="宋体" w:cs="宋体"/>
          <w:szCs w:val="24"/>
          <w:highlight w:val="none"/>
        </w:rPr>
      </w:pPr>
      <w:r>
        <w:rPr>
          <w:rFonts w:hint="eastAsia" w:hAnsi="宋体" w:cs="宋体"/>
          <w:szCs w:val="24"/>
          <w:highlight w:val="none"/>
        </w:rPr>
        <w:t>19.1按照供应商须知的规定，采购代理机构将拒绝接受在规定的磋商截止时间后递交的任何竞争性磋商响应文件。</w:t>
      </w:r>
    </w:p>
    <w:p w14:paraId="2EC6FEA2">
      <w:pPr>
        <w:spacing w:line="360" w:lineRule="auto"/>
        <w:rPr>
          <w:rFonts w:hAnsi="宋体" w:cs="宋体"/>
          <w:b/>
          <w:szCs w:val="24"/>
          <w:highlight w:val="none"/>
        </w:rPr>
      </w:pPr>
      <w:r>
        <w:rPr>
          <w:rFonts w:hint="eastAsia" w:hAnsi="宋体" w:cs="宋体"/>
          <w:b/>
          <w:szCs w:val="24"/>
          <w:highlight w:val="none"/>
        </w:rPr>
        <w:t>20．磋商的修改与撤回</w:t>
      </w:r>
    </w:p>
    <w:p w14:paraId="43AF122E">
      <w:pPr>
        <w:spacing w:line="360" w:lineRule="auto"/>
        <w:ind w:firstLine="480" w:firstLineChars="200"/>
        <w:rPr>
          <w:rFonts w:hAnsi="宋体" w:cs="宋体"/>
          <w:szCs w:val="24"/>
          <w:highlight w:val="none"/>
        </w:rPr>
      </w:pPr>
      <w:r>
        <w:rPr>
          <w:rFonts w:hint="eastAsia" w:hAnsi="宋体" w:cs="宋体"/>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14:paraId="2B8BD534">
      <w:pPr>
        <w:spacing w:line="360" w:lineRule="auto"/>
        <w:ind w:firstLine="480" w:firstLineChars="200"/>
        <w:rPr>
          <w:rFonts w:hAnsi="宋体" w:cs="宋体"/>
          <w:szCs w:val="24"/>
          <w:highlight w:val="none"/>
        </w:rPr>
      </w:pPr>
      <w:r>
        <w:rPr>
          <w:rFonts w:hint="eastAsia" w:hAnsi="宋体" w:cs="宋体"/>
          <w:szCs w:val="24"/>
          <w:highlight w:val="none"/>
        </w:rPr>
        <w:t>20.2 供应商的修改或撤回或变动价格的通知应按本须知第17条的规定编制、密封、标记和递交。</w:t>
      </w:r>
    </w:p>
    <w:p w14:paraId="25793439">
      <w:pPr>
        <w:spacing w:line="360" w:lineRule="auto"/>
        <w:ind w:firstLine="480" w:firstLineChars="200"/>
        <w:rPr>
          <w:rFonts w:hAnsi="宋体" w:cs="宋体"/>
          <w:szCs w:val="24"/>
          <w:highlight w:val="none"/>
        </w:rPr>
      </w:pPr>
      <w:r>
        <w:rPr>
          <w:rFonts w:hint="eastAsia" w:hAnsi="宋体" w:cs="宋体"/>
          <w:szCs w:val="24"/>
          <w:highlight w:val="none"/>
        </w:rPr>
        <w:t>20.3 在磋商截止时间之后，供应商不得对其磋商响应文件做任何修改或撤回。</w:t>
      </w:r>
    </w:p>
    <w:p w14:paraId="11720877">
      <w:pPr>
        <w:rPr>
          <w:rFonts w:hint="eastAsia" w:hAnsi="宋体" w:cs="宋体"/>
          <w:b/>
          <w:sz w:val="32"/>
          <w:szCs w:val="32"/>
          <w:highlight w:val="none"/>
        </w:rPr>
      </w:pPr>
      <w:bookmarkStart w:id="52" w:name="_Toc403077643"/>
      <w:bookmarkStart w:id="53" w:name="_Toc363474021"/>
      <w:bookmarkStart w:id="54" w:name="_Toc13669"/>
      <w:bookmarkStart w:id="55" w:name="_Toc363473976"/>
      <w:bookmarkStart w:id="56" w:name="_Toc25852"/>
      <w:bookmarkStart w:id="57" w:name="_Toc15436"/>
      <w:r>
        <w:rPr>
          <w:rFonts w:hint="eastAsia" w:hAnsi="宋体" w:cs="宋体"/>
          <w:b/>
          <w:sz w:val="32"/>
          <w:szCs w:val="32"/>
          <w:highlight w:val="none"/>
        </w:rPr>
        <w:br w:type="page"/>
      </w:r>
    </w:p>
    <w:p w14:paraId="429B15CA">
      <w:pPr>
        <w:keepNext/>
        <w:keepLines/>
        <w:spacing w:before="312" w:beforeLines="100" w:after="156" w:afterLines="50" w:line="360" w:lineRule="auto"/>
        <w:jc w:val="center"/>
        <w:outlineLvl w:val="2"/>
        <w:rPr>
          <w:rFonts w:hAnsi="宋体" w:cs="宋体"/>
          <w:b/>
          <w:sz w:val="32"/>
          <w:szCs w:val="32"/>
          <w:highlight w:val="none"/>
        </w:rPr>
      </w:pPr>
      <w:r>
        <w:rPr>
          <w:rFonts w:hint="eastAsia" w:hAnsi="宋体" w:cs="宋体"/>
          <w:b/>
          <w:sz w:val="32"/>
          <w:szCs w:val="32"/>
          <w:highlight w:val="none"/>
        </w:rPr>
        <w:t>五.磋商与评标</w:t>
      </w:r>
      <w:bookmarkEnd w:id="52"/>
      <w:bookmarkEnd w:id="53"/>
      <w:bookmarkEnd w:id="54"/>
      <w:bookmarkEnd w:id="55"/>
      <w:bookmarkEnd w:id="56"/>
      <w:bookmarkEnd w:id="57"/>
    </w:p>
    <w:p w14:paraId="7F52E8A1">
      <w:pPr>
        <w:spacing w:line="360" w:lineRule="auto"/>
        <w:rPr>
          <w:rFonts w:hAnsi="宋体" w:cs="宋体"/>
          <w:b/>
          <w:szCs w:val="24"/>
          <w:highlight w:val="none"/>
        </w:rPr>
      </w:pPr>
      <w:r>
        <w:rPr>
          <w:rFonts w:hint="eastAsia" w:hAnsi="宋体" w:cs="宋体"/>
          <w:b/>
          <w:szCs w:val="24"/>
          <w:highlight w:val="none"/>
        </w:rPr>
        <w:t>21.磋商大会</w:t>
      </w:r>
    </w:p>
    <w:p w14:paraId="7A197907">
      <w:pPr>
        <w:spacing w:line="360" w:lineRule="auto"/>
        <w:ind w:firstLine="480" w:firstLineChars="200"/>
        <w:rPr>
          <w:rFonts w:hAnsi="宋体" w:cs="宋体"/>
          <w:szCs w:val="24"/>
          <w:highlight w:val="none"/>
        </w:rPr>
      </w:pPr>
      <w:r>
        <w:rPr>
          <w:rFonts w:hint="eastAsia" w:hAnsi="宋体" w:cs="宋体"/>
          <w:szCs w:val="24"/>
          <w:highlight w:val="none"/>
        </w:rPr>
        <w:t>21.1 采购代理机构在规定的时间和地点组织竞争性磋商。磋商时所有供应商代表自愿参加，参加磋商的代表应签名报到以证明其出席。</w:t>
      </w:r>
    </w:p>
    <w:p w14:paraId="365089DA">
      <w:pPr>
        <w:spacing w:line="360" w:lineRule="auto"/>
        <w:ind w:firstLine="480" w:firstLineChars="200"/>
        <w:rPr>
          <w:rFonts w:hAnsi="宋体" w:cs="宋体"/>
          <w:b/>
          <w:szCs w:val="24"/>
          <w:highlight w:val="none"/>
        </w:rPr>
      </w:pPr>
      <w:r>
        <w:rPr>
          <w:rFonts w:hint="eastAsia" w:hAnsi="宋体" w:cs="宋体"/>
          <w:szCs w:val="24"/>
          <w:highlight w:val="none"/>
        </w:rPr>
        <w:t>21.2采购代理机构将做磋商记录，存档备查。</w:t>
      </w:r>
    </w:p>
    <w:p w14:paraId="2AE08247">
      <w:pPr>
        <w:spacing w:line="360" w:lineRule="auto"/>
        <w:rPr>
          <w:rFonts w:hAnsi="宋体" w:cs="宋体"/>
          <w:b/>
          <w:szCs w:val="24"/>
          <w:highlight w:val="none"/>
        </w:rPr>
      </w:pPr>
      <w:r>
        <w:rPr>
          <w:rFonts w:hint="eastAsia" w:hAnsi="宋体" w:cs="宋体"/>
          <w:b/>
          <w:szCs w:val="24"/>
          <w:highlight w:val="none"/>
        </w:rPr>
        <w:t>22．评审程序</w:t>
      </w:r>
    </w:p>
    <w:p w14:paraId="5FC0B725">
      <w:pPr>
        <w:spacing w:line="360" w:lineRule="auto"/>
        <w:ind w:firstLine="480" w:firstLineChars="200"/>
        <w:rPr>
          <w:rFonts w:hAnsi="宋体" w:cs="宋体"/>
          <w:szCs w:val="24"/>
          <w:highlight w:val="none"/>
        </w:rPr>
      </w:pPr>
      <w:r>
        <w:rPr>
          <w:rFonts w:hint="eastAsia" w:hAnsi="宋体" w:cs="宋体"/>
          <w:szCs w:val="24"/>
          <w:highlight w:val="none"/>
        </w:rPr>
        <w:t>按照竞争性磋商响应文件初审、澄清有关问题、分别磋商、二次报价、比较与评审、推荐成交候选人名单的工作程序进行评审。在上一步评审中被认定为无效磋商者，不进入下一步的评审。</w:t>
      </w:r>
    </w:p>
    <w:p w14:paraId="06E9501B">
      <w:pPr>
        <w:spacing w:line="360" w:lineRule="auto"/>
        <w:rPr>
          <w:rFonts w:hAnsi="宋体" w:cs="宋体"/>
          <w:b/>
          <w:szCs w:val="24"/>
          <w:highlight w:val="none"/>
        </w:rPr>
      </w:pPr>
      <w:r>
        <w:rPr>
          <w:rFonts w:hint="eastAsia" w:hAnsi="宋体" w:cs="宋体"/>
          <w:b/>
          <w:szCs w:val="24"/>
          <w:highlight w:val="none"/>
        </w:rPr>
        <w:t>23．评审组织及评审原则</w:t>
      </w:r>
    </w:p>
    <w:p w14:paraId="6F162F40">
      <w:pPr>
        <w:spacing w:line="500" w:lineRule="exact"/>
        <w:ind w:firstLine="480" w:firstLineChars="200"/>
        <w:rPr>
          <w:rFonts w:hAnsi="宋体" w:cs="宋体"/>
          <w:szCs w:val="24"/>
          <w:highlight w:val="none"/>
        </w:rPr>
      </w:pPr>
      <w:r>
        <w:rPr>
          <w:rFonts w:hint="eastAsia" w:hAnsi="宋体" w:cs="宋体"/>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14:paraId="750E82D3">
      <w:pPr>
        <w:spacing w:line="360" w:lineRule="auto"/>
        <w:ind w:firstLine="480" w:firstLineChars="200"/>
        <w:rPr>
          <w:rFonts w:hAnsi="宋体" w:cs="宋体"/>
          <w:szCs w:val="24"/>
          <w:highlight w:val="none"/>
        </w:rPr>
      </w:pPr>
      <w:r>
        <w:rPr>
          <w:rFonts w:hint="eastAsia" w:hAnsi="宋体" w:cs="宋体"/>
          <w:szCs w:val="24"/>
          <w:highlight w:val="none"/>
        </w:rPr>
        <w:t>23.2竞争性磋商文件和竞争性磋商响应文件是评审的依据。在评审中，不得改变竞争性磋商文件中规定的评审标准、方法和成交条件。</w:t>
      </w:r>
    </w:p>
    <w:p w14:paraId="40723F69">
      <w:pPr>
        <w:spacing w:line="360" w:lineRule="auto"/>
        <w:ind w:firstLine="480" w:firstLineChars="200"/>
        <w:rPr>
          <w:rFonts w:hAnsi="宋体" w:cs="宋体"/>
          <w:szCs w:val="24"/>
          <w:highlight w:val="none"/>
        </w:rPr>
      </w:pPr>
      <w:r>
        <w:rPr>
          <w:rFonts w:hint="eastAsia" w:hAnsi="宋体" w:cs="宋体"/>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14:paraId="0759BF27">
      <w:pPr>
        <w:spacing w:line="360" w:lineRule="auto"/>
        <w:ind w:firstLine="480" w:firstLineChars="200"/>
        <w:rPr>
          <w:rFonts w:hAnsi="宋体" w:cs="宋体"/>
          <w:szCs w:val="24"/>
          <w:highlight w:val="none"/>
        </w:rPr>
      </w:pPr>
      <w:r>
        <w:rPr>
          <w:rFonts w:hint="eastAsia" w:hAnsi="宋体" w:cs="宋体"/>
          <w:szCs w:val="24"/>
          <w:highlight w:val="none"/>
        </w:rPr>
        <w:t>23.4如果供应商在澄清规定期限内，未能答复或拒绝答复磋商小组提出的澄清要求，将由磋商小组根据其竞争性磋商响应文件按最大风险进行评审。</w:t>
      </w:r>
    </w:p>
    <w:p w14:paraId="2DE4C1F4">
      <w:pPr>
        <w:spacing w:line="360" w:lineRule="auto"/>
        <w:ind w:firstLine="480" w:firstLineChars="200"/>
        <w:rPr>
          <w:rFonts w:hAnsi="宋体" w:cs="宋体"/>
          <w:szCs w:val="24"/>
          <w:highlight w:val="none"/>
        </w:rPr>
      </w:pPr>
      <w:r>
        <w:rPr>
          <w:rFonts w:hint="eastAsia" w:hAnsi="宋体" w:cs="宋体"/>
          <w:szCs w:val="24"/>
          <w:highlight w:val="none"/>
        </w:rPr>
        <w:t>23.5磋商过程中的实质性变动：</w:t>
      </w:r>
    </w:p>
    <w:p w14:paraId="0EF6F9B2">
      <w:pPr>
        <w:spacing w:line="360" w:lineRule="auto"/>
        <w:ind w:firstLine="480" w:firstLineChars="200"/>
        <w:rPr>
          <w:rFonts w:hAnsi="宋体" w:cs="宋体"/>
          <w:szCs w:val="24"/>
          <w:highlight w:val="none"/>
        </w:rPr>
      </w:pPr>
      <w:r>
        <w:rPr>
          <w:rFonts w:hint="eastAsia" w:hAnsi="宋体" w:cs="宋体"/>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313807BB">
      <w:pPr>
        <w:spacing w:line="360" w:lineRule="auto"/>
        <w:ind w:firstLine="480" w:firstLineChars="200"/>
        <w:rPr>
          <w:rFonts w:hAnsi="宋体" w:cs="宋体"/>
          <w:szCs w:val="24"/>
          <w:highlight w:val="none"/>
        </w:rPr>
      </w:pPr>
      <w:r>
        <w:rPr>
          <w:rFonts w:hint="eastAsia" w:hAnsi="宋体" w:cs="宋体"/>
          <w:szCs w:val="24"/>
          <w:highlight w:val="none"/>
        </w:rPr>
        <w:t>23.5.2对竞争性磋商文件做出的实质性变动是磋商文件的有效组成部分，磋商小组应当及时以书面形式通知所有参加磋商的供应商。</w:t>
      </w:r>
    </w:p>
    <w:p w14:paraId="79EFF40C">
      <w:pPr>
        <w:spacing w:line="360" w:lineRule="auto"/>
        <w:ind w:firstLine="480" w:firstLineChars="200"/>
        <w:rPr>
          <w:rFonts w:hAnsi="宋体" w:cs="宋体"/>
          <w:szCs w:val="24"/>
          <w:highlight w:val="none"/>
        </w:rPr>
      </w:pPr>
      <w:r>
        <w:rPr>
          <w:rFonts w:hint="eastAsia" w:hAnsi="宋体" w:cs="宋体"/>
          <w:szCs w:val="24"/>
          <w:highlight w:val="none"/>
        </w:rPr>
        <w:t>23.6竞争性磋商响应文件的初审（含资格性检查和符合性检查）</w:t>
      </w:r>
    </w:p>
    <w:p w14:paraId="14D520C8">
      <w:pPr>
        <w:spacing w:line="360" w:lineRule="auto"/>
        <w:ind w:firstLine="480" w:firstLineChars="200"/>
        <w:rPr>
          <w:rFonts w:hAnsi="宋体" w:cs="宋体"/>
          <w:szCs w:val="24"/>
          <w:highlight w:val="none"/>
        </w:rPr>
      </w:pPr>
      <w:r>
        <w:rPr>
          <w:rFonts w:hint="eastAsia" w:hAnsi="宋体" w:cs="宋体"/>
          <w:szCs w:val="24"/>
          <w:highlight w:val="none"/>
        </w:rPr>
        <w:t>23.6.1磋商小组将审查竞争性磋商响应文件是否完整、资格证明文件是否齐全，磋商保证金是否合格、有无计算上的错误等。</w:t>
      </w:r>
    </w:p>
    <w:p w14:paraId="3ACB1DE0">
      <w:pPr>
        <w:spacing w:line="500" w:lineRule="exact"/>
        <w:ind w:firstLine="482" w:firstLineChars="200"/>
        <w:rPr>
          <w:rFonts w:hAnsi="宋体" w:cs="宋体"/>
          <w:szCs w:val="24"/>
          <w:highlight w:val="none"/>
        </w:rPr>
      </w:pPr>
      <w:r>
        <w:rPr>
          <w:rFonts w:hint="eastAsia" w:hAnsi="宋体" w:cs="宋体"/>
          <w:b/>
          <w:bCs/>
          <w:szCs w:val="24"/>
          <w:highlight w:val="none"/>
        </w:rPr>
        <w:t>23.6.2计算错误将按以下方法更正：</w:t>
      </w:r>
    </w:p>
    <w:p w14:paraId="3070F051">
      <w:pPr>
        <w:spacing w:line="500" w:lineRule="exact"/>
        <w:ind w:firstLine="480" w:firstLineChars="200"/>
        <w:rPr>
          <w:rFonts w:hAnsi="宋体" w:cs="宋体"/>
          <w:szCs w:val="24"/>
          <w:highlight w:val="none"/>
        </w:rPr>
      </w:pPr>
      <w:r>
        <w:rPr>
          <w:rFonts w:hint="eastAsia" w:hAnsi="宋体" w:cs="宋体"/>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365312A5">
      <w:pPr>
        <w:spacing w:line="500" w:lineRule="exact"/>
        <w:ind w:firstLine="480" w:firstLineChars="200"/>
        <w:rPr>
          <w:rFonts w:hAnsi="宋体" w:cs="宋体"/>
          <w:szCs w:val="24"/>
          <w:highlight w:val="none"/>
        </w:rPr>
      </w:pPr>
      <w:r>
        <w:rPr>
          <w:rFonts w:hint="eastAsia" w:hAnsi="宋体" w:cs="宋体"/>
          <w:szCs w:val="24"/>
          <w:highlight w:val="none"/>
        </w:rPr>
        <w:t>（2）磋商响应文件的大写金额和小写金额不一致的，以大写金额为准；</w:t>
      </w:r>
    </w:p>
    <w:p w14:paraId="5C488FE7">
      <w:pPr>
        <w:spacing w:line="500" w:lineRule="exact"/>
        <w:ind w:firstLine="480" w:firstLineChars="200"/>
        <w:rPr>
          <w:rFonts w:hAnsi="宋体" w:cs="宋体"/>
          <w:szCs w:val="24"/>
          <w:highlight w:val="none"/>
        </w:rPr>
      </w:pPr>
      <w:r>
        <w:rPr>
          <w:rFonts w:hint="eastAsia" w:hAnsi="宋体" w:cs="宋体"/>
          <w:szCs w:val="24"/>
          <w:highlight w:val="none"/>
        </w:rPr>
        <w:t>（3）单价金额小数点或者百分比有明显错位的，以单独密封的报价一览表的总价为准，并修改单价；</w:t>
      </w:r>
    </w:p>
    <w:p w14:paraId="684F5AAB">
      <w:pPr>
        <w:spacing w:line="500" w:lineRule="exact"/>
        <w:ind w:firstLine="480" w:firstLineChars="200"/>
        <w:rPr>
          <w:rFonts w:hAnsi="宋体" w:cs="宋体"/>
          <w:szCs w:val="24"/>
          <w:highlight w:val="none"/>
        </w:rPr>
      </w:pPr>
      <w:r>
        <w:rPr>
          <w:rFonts w:hint="eastAsia" w:hAnsi="宋体" w:cs="宋体"/>
          <w:szCs w:val="24"/>
          <w:highlight w:val="none"/>
        </w:rPr>
        <w:t>（4）总价金额与按单价汇总金额不一致的，以单价金额计算结果为准。</w:t>
      </w:r>
    </w:p>
    <w:p w14:paraId="799D05F8">
      <w:pPr>
        <w:spacing w:line="500" w:lineRule="exact"/>
        <w:ind w:firstLine="480" w:firstLineChars="200"/>
        <w:rPr>
          <w:rFonts w:hAnsi="宋体" w:cs="宋体"/>
          <w:szCs w:val="24"/>
          <w:highlight w:val="none"/>
        </w:rPr>
      </w:pPr>
      <w:r>
        <w:rPr>
          <w:rFonts w:hint="eastAsia" w:hAnsi="宋体" w:cs="宋体"/>
          <w:szCs w:val="24"/>
          <w:highlight w:val="none"/>
        </w:rPr>
        <w:t>按上述修正的顺序和方法调整的报价应对供应商具有约束力。如果供应商不接受修正后的价格，其响应文件将按无效响应处理。</w:t>
      </w:r>
    </w:p>
    <w:p w14:paraId="5C65C4EC">
      <w:pPr>
        <w:spacing w:line="360" w:lineRule="auto"/>
        <w:ind w:firstLine="480" w:firstLineChars="200"/>
        <w:rPr>
          <w:rFonts w:hAnsi="宋体" w:cs="宋体"/>
          <w:szCs w:val="24"/>
          <w:highlight w:val="none"/>
        </w:rPr>
      </w:pPr>
      <w:r>
        <w:rPr>
          <w:rFonts w:hint="eastAsia" w:hAnsi="宋体" w:cs="宋体"/>
          <w:szCs w:val="24"/>
          <w:highlight w:val="none"/>
        </w:rPr>
        <w:t>23.6.3对于竞争性磋商响应文件中明显的标点符号错误或不构成实质性偏差的不正规、不一致或不规则，采购人可以接受。</w:t>
      </w:r>
    </w:p>
    <w:p w14:paraId="5A86338F">
      <w:pPr>
        <w:spacing w:line="360" w:lineRule="auto"/>
        <w:ind w:firstLine="480" w:firstLineChars="200"/>
        <w:rPr>
          <w:rFonts w:hAnsi="宋体" w:cs="宋体"/>
          <w:szCs w:val="24"/>
          <w:highlight w:val="none"/>
        </w:rPr>
      </w:pPr>
      <w:r>
        <w:rPr>
          <w:rFonts w:hint="eastAsia" w:hAnsi="宋体" w:cs="宋体"/>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55FF24BB">
      <w:pPr>
        <w:spacing w:line="360" w:lineRule="auto"/>
        <w:ind w:firstLine="480" w:firstLineChars="200"/>
        <w:rPr>
          <w:rFonts w:hAnsi="宋体" w:cs="宋体"/>
          <w:szCs w:val="24"/>
          <w:highlight w:val="none"/>
        </w:rPr>
      </w:pPr>
      <w:r>
        <w:rPr>
          <w:rFonts w:hint="eastAsia" w:hAnsi="宋体" w:cs="宋体"/>
          <w:szCs w:val="24"/>
          <w:highlight w:val="none"/>
        </w:rPr>
        <w:t>23.6.5实质上没有响应竞争性磋商文件要求的磋商将被拒绝。供应商不得通过修正或撤销不合要求的偏离从而使其磋商成为实质性响应的磋商。</w:t>
      </w:r>
      <w:r>
        <w:rPr>
          <w:rFonts w:hint="eastAsia" w:hAnsi="宋体" w:cs="宋体"/>
          <w:b/>
          <w:bCs/>
          <w:szCs w:val="24"/>
          <w:highlight w:val="none"/>
        </w:rPr>
        <w:t>如发现下列情况之一的，其磋商将构成非实质性响应，按无效磋商处理：</w:t>
      </w:r>
    </w:p>
    <w:p w14:paraId="589C2C2B">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1）没有按照竞争性磋商文件要求提供的竞争性磋商响应文件或竞争性磋商响应文件构成有重大缺项；</w:t>
      </w:r>
    </w:p>
    <w:p w14:paraId="4DA9237B">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2）竞争性磋商响应文件未按竞争性磋商文件要求密封、签署、盖章的；</w:t>
      </w:r>
    </w:p>
    <w:p w14:paraId="24D7CEB6">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3）供应商未提交有效的磋商保证金或金额不足的、磋商保证金形式不符合竞争性磋商文件要求的；</w:t>
      </w:r>
    </w:p>
    <w:p w14:paraId="21DF7D2D">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4）资格证明文件不全的或无效的，或不符合国家规定的；</w:t>
      </w:r>
    </w:p>
    <w:p w14:paraId="0E8EF4E5">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5）竞争性磋商响应文件无供应商公章、无法定代表人签字或签字人无法定代表人有效委托书的；</w:t>
      </w:r>
    </w:p>
    <w:p w14:paraId="2A72177D">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6）</w:t>
      </w:r>
      <w:r>
        <w:rPr>
          <w:rFonts w:hint="eastAsia" w:hAnsi="宋体" w:cs="宋体"/>
          <w:b/>
          <w:bCs/>
          <w:spacing w:val="-6"/>
          <w:szCs w:val="24"/>
          <w:highlight w:val="none"/>
        </w:rPr>
        <w:t>无磋商有效期或有效期达不到竞争性磋商文件要求的</w:t>
      </w:r>
      <w:r>
        <w:rPr>
          <w:rFonts w:hint="eastAsia" w:hAnsi="宋体" w:cs="宋体"/>
          <w:b/>
          <w:bCs/>
          <w:szCs w:val="24"/>
          <w:highlight w:val="none"/>
        </w:rPr>
        <w:t>；</w:t>
      </w:r>
    </w:p>
    <w:p w14:paraId="1E4806D7">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7）供应商在同一份竞争性磋商响应文件中，有两个或多个报价的；</w:t>
      </w:r>
    </w:p>
    <w:p w14:paraId="61883128">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8）存在有重大缺漏项和重大偏离的；</w:t>
      </w:r>
    </w:p>
    <w:p w14:paraId="37A34468">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9）供应商有串通磋商、以他人名义磋商、行贿、提供虚假证明（包括第三方提供的虚假证明），开具虚假资质，出现虚假应答的，除按无效文件处理外，还将按照政府采购的有关规定进行处罚；</w:t>
      </w:r>
    </w:p>
    <w:p w14:paraId="00FF4867">
      <w:pPr>
        <w:spacing w:line="360" w:lineRule="auto"/>
        <w:ind w:firstLine="482" w:firstLineChars="200"/>
        <w:rPr>
          <w:rFonts w:hAnsi="宋体" w:cs="宋体"/>
          <w:b/>
          <w:bCs/>
          <w:szCs w:val="24"/>
          <w:highlight w:val="none"/>
        </w:rPr>
      </w:pPr>
      <w:r>
        <w:rPr>
          <w:rFonts w:hint="eastAsia" w:hAnsi="宋体" w:cs="宋体"/>
          <w:b/>
          <w:bCs/>
          <w:szCs w:val="24"/>
          <w:highlight w:val="none"/>
        </w:rPr>
        <w:t>10）磋商总报价低于成本或者高于竞争性磋商文件公布的采购预算的。</w:t>
      </w:r>
    </w:p>
    <w:p w14:paraId="6E528E3C">
      <w:pPr>
        <w:pStyle w:val="20"/>
        <w:spacing w:before="0" w:beforeAutospacing="0" w:after="0" w:afterAutospacing="0" w:line="500" w:lineRule="exact"/>
        <w:ind w:firstLine="482" w:firstLineChars="200"/>
        <w:jc w:val="both"/>
        <w:rPr>
          <w:rFonts w:cs="宋体"/>
          <w:b/>
          <w:bCs/>
          <w:highlight w:val="none"/>
        </w:rPr>
      </w:pPr>
      <w:r>
        <w:rPr>
          <w:rFonts w:hint="eastAsia" w:cs="宋体"/>
          <w:b/>
          <w:bCs/>
          <w:highlight w:val="none"/>
        </w:rPr>
        <w:t>11）竞争性磋商响应文件含有采购人不能接受的附加条件的；</w:t>
      </w:r>
    </w:p>
    <w:p w14:paraId="783EBD3F">
      <w:pPr>
        <w:spacing w:line="500" w:lineRule="exact"/>
        <w:ind w:firstLine="482" w:firstLineChars="200"/>
        <w:rPr>
          <w:rFonts w:hAnsi="宋体" w:cs="宋体"/>
          <w:b/>
          <w:bCs/>
          <w:szCs w:val="24"/>
          <w:highlight w:val="none"/>
        </w:rPr>
      </w:pPr>
      <w:r>
        <w:rPr>
          <w:rFonts w:hint="eastAsia" w:hAnsi="宋体" w:cs="宋体"/>
          <w:b/>
          <w:bCs/>
          <w:szCs w:val="24"/>
          <w:highlight w:val="none"/>
        </w:rPr>
        <w:t>12）竞争性磋商响应文件不符合法律法规要求的；</w:t>
      </w:r>
    </w:p>
    <w:p w14:paraId="78FABC38">
      <w:pPr>
        <w:pStyle w:val="20"/>
        <w:spacing w:before="0" w:beforeAutospacing="0" w:after="0" w:afterAutospacing="0" w:line="500" w:lineRule="exact"/>
        <w:ind w:firstLine="482" w:firstLineChars="200"/>
        <w:jc w:val="both"/>
        <w:rPr>
          <w:rFonts w:cs="宋体"/>
          <w:highlight w:val="none"/>
        </w:rPr>
      </w:pPr>
      <w:r>
        <w:rPr>
          <w:rFonts w:hint="eastAsia" w:cs="宋体"/>
          <w:b/>
          <w:bCs/>
          <w:highlight w:val="none"/>
        </w:rPr>
        <w:t>13）供应商被列入失信被执行人、重大税收违法案件当事人名单、政府采购严重违法失信行为记录名单及其他不符合《中华人民共和国政府采购法》第二十二条规定条件。</w:t>
      </w:r>
    </w:p>
    <w:p w14:paraId="40E3FBF0">
      <w:pPr>
        <w:spacing w:line="360" w:lineRule="auto"/>
        <w:ind w:firstLine="480" w:firstLineChars="200"/>
        <w:rPr>
          <w:rFonts w:hAnsi="宋体" w:cs="宋体"/>
          <w:szCs w:val="24"/>
          <w:highlight w:val="none"/>
        </w:rPr>
      </w:pPr>
      <w:r>
        <w:rPr>
          <w:rFonts w:hint="eastAsia" w:hAnsi="宋体" w:cs="宋体"/>
          <w:szCs w:val="24"/>
          <w:highlight w:val="none"/>
        </w:rPr>
        <w:t>23.7竞争性磋商响应文件的详细评审</w:t>
      </w:r>
    </w:p>
    <w:p w14:paraId="770C657D">
      <w:pPr>
        <w:spacing w:line="360" w:lineRule="auto"/>
        <w:ind w:firstLine="480" w:firstLineChars="200"/>
        <w:rPr>
          <w:rFonts w:hAnsi="宋体" w:cs="宋体"/>
          <w:szCs w:val="24"/>
          <w:highlight w:val="none"/>
        </w:rPr>
      </w:pPr>
      <w:r>
        <w:rPr>
          <w:rFonts w:hint="eastAsia" w:hAnsi="宋体" w:cs="宋体"/>
          <w:szCs w:val="24"/>
          <w:highlight w:val="none"/>
        </w:rPr>
        <w:t>23.7.1磋商小组将按照本须知第22.6.4条规定，只对确定为实质性响应竞争性磋商文件要求的磋商响应文件进行详细评审。</w:t>
      </w:r>
    </w:p>
    <w:p w14:paraId="034AA7CC">
      <w:pPr>
        <w:spacing w:line="360" w:lineRule="auto"/>
        <w:ind w:firstLine="480" w:firstLineChars="200"/>
        <w:rPr>
          <w:rFonts w:hAnsi="宋体" w:cs="宋体"/>
          <w:szCs w:val="24"/>
          <w:highlight w:val="none"/>
        </w:rPr>
      </w:pPr>
      <w:r>
        <w:rPr>
          <w:rFonts w:hint="eastAsia" w:hAnsi="宋体" w:cs="宋体"/>
          <w:szCs w:val="24"/>
          <w:highlight w:val="none"/>
        </w:rPr>
        <w:t>23.7.2详细评审按照“供应商须知前附表”的评审方法进行。</w:t>
      </w:r>
    </w:p>
    <w:p w14:paraId="4C813E42">
      <w:pPr>
        <w:spacing w:line="360" w:lineRule="auto"/>
        <w:ind w:firstLine="480" w:firstLineChars="200"/>
        <w:rPr>
          <w:rFonts w:hAnsi="宋体" w:cs="宋体"/>
          <w:szCs w:val="24"/>
          <w:highlight w:val="none"/>
        </w:rPr>
      </w:pPr>
      <w:r>
        <w:rPr>
          <w:rFonts w:hint="eastAsia" w:hAnsi="宋体" w:cs="宋体"/>
          <w:szCs w:val="24"/>
          <w:highlight w:val="none"/>
        </w:rPr>
        <w:t>23.8成交候选人的确定</w:t>
      </w:r>
    </w:p>
    <w:p w14:paraId="0CC4A48B">
      <w:pPr>
        <w:spacing w:line="360" w:lineRule="auto"/>
        <w:ind w:firstLine="480" w:firstLineChars="200"/>
        <w:rPr>
          <w:rFonts w:hAnsi="宋体" w:cs="宋体"/>
          <w:szCs w:val="24"/>
          <w:highlight w:val="none"/>
        </w:rPr>
      </w:pPr>
      <w:r>
        <w:rPr>
          <w:rFonts w:hint="eastAsia" w:hAnsi="宋体" w:cs="宋体"/>
          <w:szCs w:val="24"/>
          <w:highlight w:val="none"/>
        </w:rPr>
        <w:t>磋商小组完成评审后，向采购人提出书面评审，并推荐1-3名成交候选人，标明排列顺序。</w:t>
      </w:r>
    </w:p>
    <w:p w14:paraId="53A0900F">
      <w:pPr>
        <w:spacing w:line="360" w:lineRule="auto"/>
        <w:rPr>
          <w:rFonts w:hAnsi="宋体" w:cs="宋体"/>
          <w:b/>
          <w:szCs w:val="24"/>
          <w:highlight w:val="none"/>
        </w:rPr>
      </w:pPr>
      <w:r>
        <w:rPr>
          <w:rFonts w:hint="eastAsia" w:hAnsi="宋体" w:cs="宋体"/>
          <w:b/>
          <w:szCs w:val="24"/>
          <w:highlight w:val="none"/>
        </w:rPr>
        <w:t>24．评审过程的保密</w:t>
      </w:r>
    </w:p>
    <w:p w14:paraId="1B711CBE">
      <w:pPr>
        <w:spacing w:line="360" w:lineRule="auto"/>
        <w:ind w:firstLine="480" w:firstLineChars="200"/>
        <w:rPr>
          <w:rFonts w:hAnsi="宋体" w:cs="宋体"/>
          <w:szCs w:val="24"/>
          <w:highlight w:val="none"/>
        </w:rPr>
      </w:pPr>
      <w:r>
        <w:rPr>
          <w:rFonts w:hint="eastAsia" w:hAnsi="宋体" w:cs="宋体"/>
          <w:szCs w:val="24"/>
          <w:highlight w:val="none"/>
        </w:rPr>
        <w:t>磋商小组成员和与评审活动有关的工作人员不得泄露有关竞争性磋商响应文件的评审和比较、成交候选人的推荐以及与评审有关的其他情况。</w:t>
      </w:r>
    </w:p>
    <w:p w14:paraId="6D8F2D20">
      <w:pPr>
        <w:jc w:val="left"/>
        <w:rPr>
          <w:rFonts w:hAnsi="宋体" w:cs="宋体"/>
          <w:b/>
          <w:szCs w:val="24"/>
          <w:highlight w:val="none"/>
        </w:rPr>
      </w:pPr>
      <w:r>
        <w:rPr>
          <w:rFonts w:hint="eastAsia" w:hAnsi="宋体" w:cs="宋体"/>
          <w:b/>
          <w:szCs w:val="24"/>
          <w:highlight w:val="none"/>
        </w:rPr>
        <w:t>25．评审方法</w:t>
      </w:r>
    </w:p>
    <w:p w14:paraId="1FD4ECDC">
      <w:pPr>
        <w:spacing w:line="360" w:lineRule="auto"/>
        <w:ind w:firstLine="480" w:firstLineChars="200"/>
        <w:rPr>
          <w:rFonts w:hAnsi="宋体" w:cs="宋体"/>
          <w:szCs w:val="24"/>
          <w:highlight w:val="none"/>
        </w:rPr>
      </w:pPr>
      <w:r>
        <w:rPr>
          <w:rFonts w:hint="eastAsia" w:hAnsi="宋体" w:cs="宋体"/>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w:t>
      </w:r>
      <w:r>
        <w:rPr>
          <w:rFonts w:hint="eastAsia" w:hAnsi="宋体" w:cs="宋体"/>
          <w:szCs w:val="24"/>
          <w:highlight w:val="none"/>
          <w:lang w:val="en-US" w:eastAsia="zh-CN"/>
        </w:rPr>
        <w:t>推荐</w:t>
      </w:r>
      <w:r>
        <w:rPr>
          <w:rFonts w:hint="eastAsia" w:hAnsi="宋体" w:cs="宋体"/>
          <w:szCs w:val="24"/>
          <w:highlight w:val="none"/>
        </w:rPr>
        <w:t>1-3名成交候选人。</w:t>
      </w:r>
    </w:p>
    <w:p w14:paraId="37BC02A1">
      <w:pPr>
        <w:rPr>
          <w:rFonts w:hint="eastAsia" w:hAnsi="宋体" w:cs="宋体"/>
          <w:b/>
          <w:sz w:val="32"/>
          <w:szCs w:val="32"/>
          <w:highlight w:val="none"/>
        </w:rPr>
      </w:pPr>
      <w:bookmarkStart w:id="58" w:name="_Toc29146"/>
      <w:bookmarkStart w:id="59" w:name="_Toc24420"/>
      <w:bookmarkStart w:id="60" w:name="_Toc15100"/>
      <w:r>
        <w:rPr>
          <w:rFonts w:hint="eastAsia" w:hAnsi="宋体" w:cs="宋体"/>
          <w:b/>
          <w:sz w:val="32"/>
          <w:szCs w:val="32"/>
          <w:highlight w:val="none"/>
        </w:rPr>
        <w:br w:type="page"/>
      </w:r>
    </w:p>
    <w:p w14:paraId="499C45E8">
      <w:pPr>
        <w:keepNext/>
        <w:keepLines/>
        <w:spacing w:before="312" w:beforeLines="100" w:after="156" w:afterLines="50" w:line="360" w:lineRule="auto"/>
        <w:jc w:val="center"/>
        <w:outlineLvl w:val="2"/>
        <w:rPr>
          <w:rFonts w:hAnsi="宋体" w:cs="宋体"/>
          <w:b/>
          <w:sz w:val="32"/>
          <w:szCs w:val="32"/>
          <w:highlight w:val="none"/>
        </w:rPr>
      </w:pPr>
      <w:r>
        <w:rPr>
          <w:rFonts w:hint="eastAsia" w:hAnsi="宋体" w:cs="宋体"/>
          <w:b/>
          <w:sz w:val="32"/>
          <w:szCs w:val="32"/>
          <w:highlight w:val="none"/>
        </w:rPr>
        <w:t>六.成交、通知与签约</w:t>
      </w:r>
      <w:bookmarkEnd w:id="58"/>
      <w:bookmarkEnd w:id="59"/>
      <w:bookmarkEnd w:id="60"/>
    </w:p>
    <w:p w14:paraId="4330A695">
      <w:pPr>
        <w:spacing w:line="360" w:lineRule="auto"/>
        <w:rPr>
          <w:rFonts w:hAnsi="宋体" w:cs="宋体"/>
          <w:b/>
          <w:szCs w:val="24"/>
          <w:highlight w:val="none"/>
        </w:rPr>
      </w:pPr>
      <w:r>
        <w:rPr>
          <w:rFonts w:hint="eastAsia" w:hAnsi="宋体" w:cs="宋体"/>
          <w:b/>
          <w:szCs w:val="24"/>
          <w:highlight w:val="none"/>
        </w:rPr>
        <w:t>26．成交程序</w:t>
      </w:r>
    </w:p>
    <w:p w14:paraId="62EE9E4F">
      <w:pPr>
        <w:spacing w:line="360" w:lineRule="auto"/>
        <w:ind w:firstLine="480" w:firstLineChars="200"/>
        <w:rPr>
          <w:rFonts w:hAnsi="宋体" w:cs="宋体"/>
          <w:szCs w:val="24"/>
          <w:highlight w:val="none"/>
        </w:rPr>
      </w:pPr>
      <w:r>
        <w:rPr>
          <w:rFonts w:hint="eastAsia" w:hAnsi="宋体" w:cs="宋体"/>
          <w:szCs w:val="24"/>
          <w:highlight w:val="none"/>
        </w:rPr>
        <w:t>26.1磋商小组根据评审方法的规定对供应商进行评审排序，推荐1-3名成交候选人，作为评审结果。评审结果由全体磋商小组成员签字确认。</w:t>
      </w:r>
    </w:p>
    <w:p w14:paraId="4282868D">
      <w:pPr>
        <w:spacing w:line="360" w:lineRule="auto"/>
        <w:ind w:firstLine="480" w:firstLineChars="200"/>
        <w:rPr>
          <w:rFonts w:hAnsi="宋体" w:cs="宋体"/>
          <w:szCs w:val="24"/>
          <w:highlight w:val="none"/>
        </w:rPr>
      </w:pPr>
      <w:r>
        <w:rPr>
          <w:rFonts w:hint="eastAsia" w:hAnsi="宋体" w:cs="宋体"/>
          <w:szCs w:val="24"/>
          <w:highlight w:val="none"/>
        </w:rPr>
        <w:t>26.2采购人根据磋商报告中推荐的成交候选人排列顺序，确定排名第一的为成交供应商。</w:t>
      </w:r>
    </w:p>
    <w:p w14:paraId="7903DBBF">
      <w:pPr>
        <w:spacing w:line="360" w:lineRule="auto"/>
        <w:ind w:firstLine="480" w:firstLineChars="200"/>
        <w:rPr>
          <w:rFonts w:hAnsi="宋体" w:cs="宋体"/>
          <w:szCs w:val="24"/>
          <w:highlight w:val="none"/>
        </w:rPr>
      </w:pPr>
      <w:r>
        <w:rPr>
          <w:rFonts w:hint="eastAsia" w:hAnsi="宋体" w:cs="宋体"/>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18FBB97D">
      <w:pPr>
        <w:spacing w:line="360" w:lineRule="auto"/>
        <w:ind w:firstLine="480" w:firstLineChars="200"/>
        <w:rPr>
          <w:rFonts w:hAnsi="宋体" w:cs="宋体"/>
          <w:szCs w:val="24"/>
          <w:highlight w:val="none"/>
        </w:rPr>
      </w:pPr>
      <w:r>
        <w:rPr>
          <w:rFonts w:hint="eastAsia" w:hAnsi="宋体" w:cs="宋体"/>
          <w:szCs w:val="24"/>
          <w:highlight w:val="none"/>
        </w:rPr>
        <w:t>26.4采购人也可以授权磋商小组评审后直接确定成交供应商。</w:t>
      </w:r>
    </w:p>
    <w:p w14:paraId="0A56ADB3">
      <w:pPr>
        <w:spacing w:line="360" w:lineRule="auto"/>
        <w:ind w:firstLine="480" w:firstLineChars="200"/>
        <w:rPr>
          <w:rFonts w:hAnsi="宋体" w:cs="宋体"/>
          <w:szCs w:val="24"/>
          <w:highlight w:val="none"/>
        </w:rPr>
      </w:pPr>
      <w:r>
        <w:rPr>
          <w:rFonts w:hint="eastAsia" w:hAnsi="宋体" w:cs="宋体"/>
          <w:szCs w:val="24"/>
          <w:highlight w:val="none"/>
        </w:rPr>
        <w:t>26.5成交供应商确定之后，成交结果将在财政部门指定的政府采购信息发布媒体上公告。</w:t>
      </w:r>
    </w:p>
    <w:p w14:paraId="26AD2071">
      <w:pPr>
        <w:spacing w:line="500" w:lineRule="exact"/>
        <w:ind w:firstLine="480" w:firstLineChars="200"/>
        <w:rPr>
          <w:rFonts w:hAnsi="宋体" w:cs="宋体"/>
          <w:szCs w:val="24"/>
          <w:highlight w:val="none"/>
        </w:rPr>
      </w:pPr>
      <w:r>
        <w:rPr>
          <w:rFonts w:hint="eastAsia" w:hAnsi="宋体" w:cs="宋体"/>
          <w:szCs w:val="24"/>
          <w:highlight w:val="none"/>
        </w:rPr>
        <w:t>26.6供应商或者其他利害关系人对评审结果有异议的，应当在法律规定的时间内提出。</w:t>
      </w:r>
    </w:p>
    <w:p w14:paraId="1A07E391">
      <w:pPr>
        <w:spacing w:line="360" w:lineRule="auto"/>
        <w:rPr>
          <w:rFonts w:hAnsi="宋体" w:cs="宋体"/>
          <w:b/>
          <w:szCs w:val="24"/>
          <w:highlight w:val="none"/>
        </w:rPr>
      </w:pPr>
      <w:r>
        <w:rPr>
          <w:rFonts w:hint="eastAsia" w:hAnsi="宋体" w:cs="宋体"/>
          <w:b/>
          <w:szCs w:val="24"/>
          <w:highlight w:val="none"/>
        </w:rPr>
        <w:t>27．成交通知</w:t>
      </w:r>
    </w:p>
    <w:p w14:paraId="56DD5E6F">
      <w:pPr>
        <w:spacing w:line="360" w:lineRule="auto"/>
        <w:ind w:firstLine="480" w:firstLineChars="200"/>
        <w:rPr>
          <w:rFonts w:hAnsi="宋体" w:cs="宋体"/>
          <w:szCs w:val="24"/>
          <w:highlight w:val="none"/>
        </w:rPr>
      </w:pPr>
      <w:r>
        <w:rPr>
          <w:rFonts w:hint="eastAsia" w:hAnsi="宋体" w:cs="宋体"/>
          <w:szCs w:val="24"/>
          <w:highlight w:val="none"/>
        </w:rPr>
        <w:t>27.1采购代理机构向成交供应商发出《成交通知书》。</w:t>
      </w:r>
      <w:r>
        <w:rPr>
          <w:rFonts w:hint="eastAsia" w:hAnsi="宋体" w:cs="宋体"/>
          <w:b/>
          <w:bCs/>
          <w:szCs w:val="24"/>
          <w:highlight w:val="none"/>
        </w:rPr>
        <w:t>成交供应商领取成交通知书时须携带法定代表人授权书及加盖单位公章的被授权人身份证复印件。</w:t>
      </w:r>
    </w:p>
    <w:p w14:paraId="5EE3DF0D">
      <w:pPr>
        <w:spacing w:line="360" w:lineRule="auto"/>
        <w:ind w:firstLine="480" w:firstLineChars="200"/>
        <w:rPr>
          <w:rFonts w:hAnsi="宋体" w:cs="宋体"/>
          <w:szCs w:val="24"/>
          <w:highlight w:val="none"/>
        </w:rPr>
      </w:pPr>
      <w:r>
        <w:rPr>
          <w:rFonts w:hint="eastAsia" w:hAnsi="宋体" w:cs="宋体"/>
          <w:szCs w:val="24"/>
          <w:highlight w:val="none"/>
        </w:rPr>
        <w:t>27.2成交通知书对采购人和成交供应商具有同等法律效力。成交通知书发出之后，采购人改变成交结果，或者成交供应商放弃成交，应当承担相应的法律责任。</w:t>
      </w:r>
    </w:p>
    <w:p w14:paraId="03E17426">
      <w:pPr>
        <w:spacing w:line="360" w:lineRule="auto"/>
        <w:rPr>
          <w:rFonts w:hAnsi="宋体" w:cs="宋体"/>
          <w:b/>
          <w:szCs w:val="24"/>
          <w:highlight w:val="none"/>
        </w:rPr>
      </w:pPr>
      <w:r>
        <w:rPr>
          <w:rFonts w:hint="eastAsia" w:hAnsi="宋体" w:cs="宋体"/>
          <w:b/>
          <w:szCs w:val="24"/>
          <w:highlight w:val="none"/>
        </w:rPr>
        <w:t>28. 采购合同的签订</w:t>
      </w:r>
    </w:p>
    <w:p w14:paraId="3F9CCD57">
      <w:pPr>
        <w:spacing w:line="360" w:lineRule="auto"/>
        <w:ind w:firstLine="480" w:firstLineChars="200"/>
        <w:rPr>
          <w:rFonts w:hAnsi="宋体" w:cs="宋体"/>
          <w:szCs w:val="24"/>
          <w:highlight w:val="none"/>
        </w:rPr>
      </w:pPr>
      <w:r>
        <w:rPr>
          <w:rFonts w:hint="eastAsia" w:hAnsi="宋体" w:cs="宋体"/>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752BBBBB">
      <w:pPr>
        <w:spacing w:line="360" w:lineRule="auto"/>
        <w:ind w:firstLine="480" w:firstLineChars="200"/>
        <w:rPr>
          <w:rFonts w:hAnsi="宋体" w:cs="宋体"/>
          <w:szCs w:val="24"/>
          <w:highlight w:val="none"/>
        </w:rPr>
      </w:pPr>
      <w:r>
        <w:rPr>
          <w:rFonts w:hint="eastAsia" w:hAnsi="宋体" w:cs="宋体"/>
          <w:szCs w:val="24"/>
          <w:highlight w:val="none"/>
        </w:rPr>
        <w:t>28.2采购人自采购合同签订之日起七个工作日内，将采购合同副本报同级人民政府财政部门备案。</w:t>
      </w:r>
    </w:p>
    <w:p w14:paraId="115F0E09">
      <w:pPr>
        <w:spacing w:line="360" w:lineRule="auto"/>
        <w:rPr>
          <w:rFonts w:hAnsi="宋体" w:cs="宋体"/>
          <w:b/>
          <w:szCs w:val="24"/>
          <w:highlight w:val="none"/>
        </w:rPr>
      </w:pPr>
      <w:r>
        <w:rPr>
          <w:rFonts w:hint="eastAsia" w:hAnsi="宋体" w:cs="宋体"/>
          <w:b/>
          <w:szCs w:val="24"/>
          <w:highlight w:val="none"/>
        </w:rPr>
        <w:t>29．成交代理服务费</w:t>
      </w:r>
      <w:r>
        <w:rPr>
          <w:rFonts w:hint="eastAsia" w:hAnsi="宋体" w:cs="宋体"/>
          <w:szCs w:val="24"/>
          <w:highlight w:val="none"/>
        </w:rPr>
        <w:t xml:space="preserve"> </w:t>
      </w:r>
    </w:p>
    <w:p w14:paraId="270F41B4">
      <w:pPr>
        <w:spacing w:line="360" w:lineRule="auto"/>
        <w:ind w:firstLine="480" w:firstLineChars="200"/>
        <w:rPr>
          <w:rFonts w:hAnsi="宋体" w:cs="宋体"/>
          <w:szCs w:val="24"/>
          <w:highlight w:val="none"/>
        </w:rPr>
      </w:pPr>
      <w:r>
        <w:rPr>
          <w:rFonts w:hint="eastAsia" w:hAnsi="宋体" w:cs="宋体"/>
          <w:szCs w:val="24"/>
          <w:highlight w:val="none"/>
        </w:rPr>
        <w:t>29.1按国家计委颁发的《招标代理服务收费管理暂行办法》（计价格[2002]1980号）和</w:t>
      </w:r>
      <w:r>
        <w:rPr>
          <w:rFonts w:hint="eastAsia" w:hAnsi="宋体" w:cs="宋体"/>
          <w:szCs w:val="24"/>
          <w:highlight w:val="none"/>
          <w:lang w:eastAsia="zh-CN"/>
        </w:rPr>
        <w:t>国家发展和改革委员会</w:t>
      </w:r>
      <w:r>
        <w:rPr>
          <w:rFonts w:hint="eastAsia" w:hAnsi="宋体" w:cs="宋体"/>
          <w:szCs w:val="24"/>
          <w:highlight w:val="none"/>
        </w:rPr>
        <w:t>办公厅颁发的《关于招标代理服务收费有关问题的通知》（发改办价格[2003]857号）的有关规定执行。</w:t>
      </w:r>
    </w:p>
    <w:p w14:paraId="064B37BF">
      <w:pPr>
        <w:spacing w:line="360" w:lineRule="auto"/>
        <w:ind w:firstLine="480" w:firstLineChars="200"/>
        <w:rPr>
          <w:rFonts w:hAnsi="宋体" w:cs="宋体"/>
          <w:szCs w:val="24"/>
          <w:highlight w:val="none"/>
        </w:rPr>
      </w:pPr>
      <w:r>
        <w:rPr>
          <w:rFonts w:hint="eastAsia" w:hAnsi="宋体" w:cs="宋体"/>
          <w:szCs w:val="24"/>
          <w:highlight w:val="none"/>
        </w:rPr>
        <w:t>29.2成交单位在领取成交通知书前，须向采购代理机构一次性支付代理服务费。</w:t>
      </w:r>
    </w:p>
    <w:p w14:paraId="509A79D4">
      <w:pPr>
        <w:spacing w:line="360" w:lineRule="auto"/>
        <w:ind w:firstLine="482" w:firstLineChars="200"/>
        <w:rPr>
          <w:rFonts w:hAnsi="宋体" w:cs="宋体"/>
          <w:b/>
          <w:bCs/>
          <w:szCs w:val="24"/>
          <w:highlight w:val="none"/>
        </w:rPr>
      </w:pPr>
      <w:r>
        <w:rPr>
          <w:rFonts w:hint="eastAsia" w:hAnsi="宋体" w:cs="宋体"/>
          <w:b/>
          <w:bCs/>
          <w:szCs w:val="24"/>
          <w:highlight w:val="none"/>
        </w:rPr>
        <w:t>代理服务费转账账户：</w:t>
      </w:r>
    </w:p>
    <w:p w14:paraId="2E28564E">
      <w:pPr>
        <w:spacing w:line="360" w:lineRule="auto"/>
        <w:ind w:firstLine="482" w:firstLineChars="200"/>
        <w:rPr>
          <w:rFonts w:hAnsi="宋体" w:cs="宋体"/>
          <w:b/>
          <w:bCs/>
          <w:szCs w:val="24"/>
          <w:highlight w:val="none"/>
        </w:rPr>
      </w:pPr>
      <w:r>
        <w:rPr>
          <w:rFonts w:hint="eastAsia" w:hAnsi="宋体" w:cs="宋体"/>
          <w:b/>
          <w:bCs/>
          <w:szCs w:val="24"/>
          <w:highlight w:val="none"/>
        </w:rPr>
        <w:t>1、采购代理机构开户名称: 陕西至诚项目管理集团有限公司</w:t>
      </w:r>
    </w:p>
    <w:p w14:paraId="72891B6F">
      <w:pPr>
        <w:spacing w:line="360" w:lineRule="auto"/>
        <w:ind w:firstLine="482" w:firstLineChars="200"/>
        <w:rPr>
          <w:rFonts w:hAnsi="宋体" w:cs="宋体"/>
          <w:b/>
          <w:bCs/>
          <w:szCs w:val="24"/>
          <w:highlight w:val="none"/>
        </w:rPr>
      </w:pPr>
      <w:r>
        <w:rPr>
          <w:rFonts w:hint="eastAsia" w:hAnsi="宋体" w:cs="宋体"/>
          <w:b/>
          <w:bCs/>
          <w:szCs w:val="24"/>
          <w:highlight w:val="none"/>
        </w:rPr>
        <w:t>2、开户行名称：中国建设银行股份有限公司西安高新技术产业开发区支行</w:t>
      </w:r>
    </w:p>
    <w:p w14:paraId="54AFA063">
      <w:pPr>
        <w:pStyle w:val="10"/>
        <w:ind w:firstLine="482" w:firstLineChars="200"/>
        <w:rPr>
          <w:rFonts w:ascii="宋体" w:hAnsi="宋体" w:cs="宋体"/>
          <w:sz w:val="24"/>
          <w:szCs w:val="24"/>
          <w:highlight w:val="none"/>
        </w:rPr>
      </w:pPr>
      <w:r>
        <w:rPr>
          <w:rFonts w:hint="eastAsia" w:ascii="宋体" w:hAnsi="宋体" w:cs="宋体"/>
          <w:b/>
          <w:bCs/>
          <w:sz w:val="24"/>
          <w:szCs w:val="24"/>
          <w:highlight w:val="none"/>
        </w:rPr>
        <w:t>3、账号：61050192090000002152。</w:t>
      </w:r>
    </w:p>
    <w:p w14:paraId="6C5411A2">
      <w:pPr>
        <w:numPr>
          <w:ilvl w:val="0"/>
          <w:numId w:val="2"/>
        </w:numPr>
        <w:spacing w:line="600" w:lineRule="exact"/>
        <w:rPr>
          <w:rFonts w:hAnsi="宋体" w:cs="宋体"/>
          <w:b/>
          <w:bCs/>
          <w:szCs w:val="24"/>
          <w:highlight w:val="none"/>
        </w:rPr>
      </w:pPr>
      <w:r>
        <w:rPr>
          <w:rFonts w:hint="eastAsia" w:hAnsi="宋体" w:cs="宋体"/>
          <w:b/>
          <w:bCs/>
          <w:szCs w:val="24"/>
          <w:highlight w:val="none"/>
        </w:rPr>
        <w:t>质疑</w:t>
      </w:r>
    </w:p>
    <w:p w14:paraId="2301D714">
      <w:pPr>
        <w:spacing w:line="500" w:lineRule="exact"/>
        <w:ind w:right="12" w:firstLine="480"/>
        <w:rPr>
          <w:rFonts w:hAnsi="宋体" w:cs="宋体"/>
          <w:szCs w:val="24"/>
          <w:highlight w:val="none"/>
        </w:rPr>
      </w:pPr>
      <w:r>
        <w:rPr>
          <w:rFonts w:hint="eastAsia" w:hAnsi="宋体" w:cs="宋体"/>
          <w:szCs w:val="24"/>
          <w:highlight w:val="none"/>
        </w:rPr>
        <w:t>30.1供应商认为磋商文件、采购过程、成交结果使自己的权益受到损害的，可以在知道或者应知其权益受到损害之日起7个工作日内，以书面形式向采购人、采购代理机构提出质疑。</w:t>
      </w:r>
    </w:p>
    <w:p w14:paraId="399673E7">
      <w:pPr>
        <w:spacing w:line="500" w:lineRule="exact"/>
        <w:ind w:right="12" w:firstLine="480"/>
        <w:rPr>
          <w:rStyle w:val="25"/>
          <w:rFonts w:hAnsi="宋体" w:cs="宋体"/>
          <w:bCs w:val="0"/>
          <w:szCs w:val="24"/>
          <w:highlight w:val="none"/>
          <w:shd w:val="clear" w:color="auto" w:fill="FFFFFF"/>
        </w:rPr>
      </w:pPr>
      <w:r>
        <w:rPr>
          <w:rFonts w:hint="eastAsia" w:hAnsi="宋体" w:cs="宋体"/>
          <w:szCs w:val="24"/>
          <w:highlight w:val="none"/>
        </w:rPr>
        <w:t>30.2供应商必须在法定质疑期内一次性提出针对同一采购程序环节的质疑。</w:t>
      </w:r>
    </w:p>
    <w:p w14:paraId="349182AD">
      <w:pPr>
        <w:spacing w:line="500" w:lineRule="exact"/>
        <w:ind w:left="3" w:firstLine="518" w:firstLineChars="216"/>
        <w:rPr>
          <w:rStyle w:val="25"/>
          <w:rFonts w:hAnsi="宋体" w:cs="宋体"/>
          <w:b w:val="0"/>
          <w:szCs w:val="24"/>
          <w:highlight w:val="none"/>
          <w:shd w:val="clear" w:color="auto" w:fill="FFFFFF"/>
        </w:rPr>
      </w:pPr>
      <w:r>
        <w:rPr>
          <w:rStyle w:val="25"/>
          <w:rFonts w:hint="eastAsia" w:hAnsi="宋体" w:cs="宋体"/>
          <w:b w:val="0"/>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4E1D1DF">
      <w:pPr>
        <w:spacing w:line="500" w:lineRule="exact"/>
        <w:ind w:left="3" w:firstLine="518" w:firstLineChars="216"/>
        <w:rPr>
          <w:rStyle w:val="25"/>
          <w:rFonts w:hAnsi="宋体" w:cs="宋体"/>
          <w:b w:val="0"/>
          <w:szCs w:val="24"/>
          <w:highlight w:val="none"/>
          <w:shd w:val="clear" w:color="auto" w:fill="FFFFFF"/>
        </w:rPr>
      </w:pPr>
      <w:r>
        <w:rPr>
          <w:rStyle w:val="25"/>
          <w:rFonts w:hint="eastAsia" w:hAnsi="宋体" w:cs="宋体"/>
          <w:b w:val="0"/>
          <w:szCs w:val="24"/>
          <w:highlight w:val="none"/>
          <w:shd w:val="clear" w:color="auto" w:fill="FFFFFF"/>
        </w:rPr>
        <w:t>30.4以联合体形式参加政府采购活动的，其质疑应当由组成联合体的所有供应商共同提出。</w:t>
      </w:r>
    </w:p>
    <w:p w14:paraId="62A01B79">
      <w:pPr>
        <w:spacing w:line="500" w:lineRule="exact"/>
        <w:ind w:right="12" w:firstLine="480" w:firstLineChars="200"/>
        <w:rPr>
          <w:rFonts w:hAnsi="宋体" w:cs="宋体"/>
          <w:szCs w:val="24"/>
          <w:highlight w:val="none"/>
        </w:rPr>
      </w:pPr>
      <w:r>
        <w:rPr>
          <w:rFonts w:hint="eastAsia" w:hAnsi="宋体" w:cs="宋体"/>
          <w:szCs w:val="24"/>
          <w:highlight w:val="none"/>
        </w:rPr>
        <w:t>30.5供应商提出质疑应当提交质疑函和必要的证明材料。质疑函应当包括下列内容：</w:t>
      </w:r>
    </w:p>
    <w:p w14:paraId="38909C3C">
      <w:pPr>
        <w:spacing w:line="500" w:lineRule="exact"/>
        <w:ind w:right="12" w:firstLine="480" w:firstLineChars="200"/>
        <w:rPr>
          <w:rFonts w:hAnsi="宋体" w:cs="宋体"/>
          <w:szCs w:val="24"/>
          <w:highlight w:val="none"/>
        </w:rPr>
      </w:pPr>
      <w:r>
        <w:rPr>
          <w:rFonts w:hint="eastAsia" w:hAnsi="宋体" w:cs="宋体"/>
          <w:szCs w:val="24"/>
          <w:highlight w:val="none"/>
        </w:rPr>
        <w:t>30.5.1供应商的姓名或者名称、地址、邮编、联系人及联系电话；</w:t>
      </w:r>
    </w:p>
    <w:p w14:paraId="5BDD83A0">
      <w:pPr>
        <w:spacing w:line="500" w:lineRule="exact"/>
        <w:ind w:right="12" w:firstLine="480" w:firstLineChars="200"/>
        <w:rPr>
          <w:rFonts w:hAnsi="宋体" w:cs="宋体"/>
          <w:szCs w:val="24"/>
          <w:highlight w:val="none"/>
        </w:rPr>
      </w:pPr>
      <w:r>
        <w:rPr>
          <w:rFonts w:hint="eastAsia" w:hAnsi="宋体" w:cs="宋体"/>
          <w:szCs w:val="24"/>
          <w:highlight w:val="none"/>
        </w:rPr>
        <w:t>30.5.2质疑项目的名称、编号；</w:t>
      </w:r>
    </w:p>
    <w:p w14:paraId="103EDDAA">
      <w:pPr>
        <w:spacing w:line="500" w:lineRule="exact"/>
        <w:ind w:right="12" w:firstLine="480" w:firstLineChars="200"/>
        <w:rPr>
          <w:rFonts w:hAnsi="宋体" w:cs="宋体"/>
          <w:szCs w:val="24"/>
          <w:highlight w:val="none"/>
        </w:rPr>
      </w:pPr>
      <w:r>
        <w:rPr>
          <w:rFonts w:hint="eastAsia" w:hAnsi="宋体" w:cs="宋体"/>
          <w:szCs w:val="24"/>
          <w:highlight w:val="none"/>
        </w:rPr>
        <w:t>30.5.3具体、明确的质疑事项和与质疑事项相关的请求；</w:t>
      </w:r>
    </w:p>
    <w:p w14:paraId="119E8DE6">
      <w:pPr>
        <w:spacing w:line="500" w:lineRule="exact"/>
        <w:ind w:right="12" w:firstLine="480" w:firstLineChars="200"/>
        <w:rPr>
          <w:rFonts w:hAnsi="宋体" w:cs="宋体"/>
          <w:szCs w:val="24"/>
          <w:highlight w:val="none"/>
        </w:rPr>
      </w:pPr>
      <w:r>
        <w:rPr>
          <w:rFonts w:hint="eastAsia" w:hAnsi="宋体" w:cs="宋体"/>
          <w:szCs w:val="24"/>
          <w:highlight w:val="none"/>
        </w:rPr>
        <w:t>30.5.4事实依据；</w:t>
      </w:r>
    </w:p>
    <w:p w14:paraId="341EF40B">
      <w:pPr>
        <w:spacing w:line="500" w:lineRule="exact"/>
        <w:ind w:right="12" w:firstLine="480" w:firstLineChars="200"/>
        <w:rPr>
          <w:rFonts w:hAnsi="宋体" w:cs="宋体"/>
          <w:szCs w:val="24"/>
          <w:highlight w:val="none"/>
        </w:rPr>
      </w:pPr>
      <w:r>
        <w:rPr>
          <w:rFonts w:hint="eastAsia" w:hAnsi="宋体" w:cs="宋体"/>
          <w:szCs w:val="24"/>
          <w:highlight w:val="none"/>
        </w:rPr>
        <w:t>30.5.5必要的法律依据；</w:t>
      </w:r>
    </w:p>
    <w:p w14:paraId="0A46AC90">
      <w:pPr>
        <w:spacing w:line="500" w:lineRule="exact"/>
        <w:ind w:right="12" w:firstLine="480" w:firstLineChars="200"/>
        <w:rPr>
          <w:rStyle w:val="25"/>
          <w:rFonts w:hAnsi="宋体" w:cs="宋体"/>
          <w:b w:val="0"/>
          <w:szCs w:val="24"/>
          <w:highlight w:val="none"/>
          <w:shd w:val="clear" w:color="auto" w:fill="FFFFFF"/>
        </w:rPr>
      </w:pPr>
      <w:r>
        <w:rPr>
          <w:rFonts w:hint="eastAsia" w:hAnsi="宋体" w:cs="宋体"/>
          <w:szCs w:val="24"/>
          <w:highlight w:val="none"/>
        </w:rPr>
        <w:t>30.5.6提出质疑的日期。</w:t>
      </w:r>
    </w:p>
    <w:p w14:paraId="7A7653CF">
      <w:pPr>
        <w:widowControl/>
        <w:spacing w:line="360" w:lineRule="auto"/>
        <w:ind w:firstLine="480" w:firstLineChars="200"/>
        <w:rPr>
          <w:rFonts w:hAnsi="宋体" w:cs="宋体"/>
          <w:highlight w:val="none"/>
        </w:rPr>
      </w:pPr>
      <w:r>
        <w:rPr>
          <w:rFonts w:hint="eastAsia" w:hAnsi="宋体" w:cs="宋体"/>
          <w:highlight w:val="none"/>
        </w:rPr>
        <w:t>30.6有下列情形之一的，属于无效质疑，采购代理机构和采购人不予受理：</w:t>
      </w:r>
    </w:p>
    <w:p w14:paraId="2108EBD1">
      <w:pPr>
        <w:widowControl/>
        <w:spacing w:line="360" w:lineRule="auto"/>
        <w:ind w:firstLine="480" w:firstLineChars="200"/>
        <w:rPr>
          <w:rFonts w:hAnsi="宋体" w:cs="宋体"/>
          <w:highlight w:val="none"/>
        </w:rPr>
      </w:pPr>
      <w:r>
        <w:rPr>
          <w:rFonts w:hint="eastAsia" w:hAnsi="宋体" w:cs="宋体"/>
          <w:highlight w:val="none"/>
        </w:rPr>
        <w:t>30.6.1质疑供应商不是参与本次政府采购项目的供应商；</w:t>
      </w:r>
    </w:p>
    <w:p w14:paraId="1D8C8F57">
      <w:pPr>
        <w:widowControl/>
        <w:spacing w:line="360" w:lineRule="auto"/>
        <w:ind w:firstLine="480" w:firstLineChars="200"/>
        <w:rPr>
          <w:rFonts w:hAnsi="宋体" w:cs="宋体"/>
          <w:highlight w:val="none"/>
        </w:rPr>
      </w:pPr>
      <w:r>
        <w:rPr>
          <w:rFonts w:hint="eastAsia" w:hAnsi="宋体" w:cs="宋体"/>
          <w:highlight w:val="none"/>
        </w:rPr>
        <w:t>30.6.2质疑供应商与质疑事项不存在利害关系的；</w:t>
      </w:r>
    </w:p>
    <w:p w14:paraId="62B668A3">
      <w:pPr>
        <w:widowControl/>
        <w:spacing w:line="360" w:lineRule="auto"/>
        <w:ind w:firstLine="480" w:firstLineChars="200"/>
        <w:rPr>
          <w:rFonts w:hAnsi="宋体" w:cs="宋体"/>
          <w:highlight w:val="none"/>
        </w:rPr>
      </w:pPr>
      <w:r>
        <w:rPr>
          <w:rFonts w:hint="eastAsia" w:hAnsi="宋体" w:cs="宋体"/>
          <w:highlight w:val="none"/>
        </w:rPr>
        <w:t>30.6.3未在法定期限内提出质疑的；</w:t>
      </w:r>
    </w:p>
    <w:p w14:paraId="6125675B">
      <w:pPr>
        <w:widowControl/>
        <w:spacing w:line="360" w:lineRule="auto"/>
        <w:ind w:firstLine="480" w:firstLineChars="200"/>
        <w:rPr>
          <w:rFonts w:hAnsi="宋体" w:cs="宋体"/>
          <w:highlight w:val="none"/>
        </w:rPr>
      </w:pPr>
      <w:r>
        <w:rPr>
          <w:rFonts w:hint="eastAsia" w:hAnsi="宋体" w:cs="宋体"/>
          <w:highlight w:val="none"/>
        </w:rPr>
        <w:t>30.6.4质疑未以书面形式提出，或质疑函主要内容构成不完整的；</w:t>
      </w:r>
    </w:p>
    <w:p w14:paraId="76C281AC">
      <w:pPr>
        <w:widowControl/>
        <w:spacing w:line="360" w:lineRule="auto"/>
        <w:ind w:firstLine="480" w:firstLineChars="200"/>
        <w:rPr>
          <w:rFonts w:hAnsi="宋体" w:cs="宋体"/>
          <w:highlight w:val="none"/>
        </w:rPr>
      </w:pPr>
      <w:r>
        <w:rPr>
          <w:rFonts w:hint="eastAsia" w:hAnsi="宋体" w:cs="宋体"/>
          <w:highlight w:val="none"/>
        </w:rPr>
        <w:t>30.6.5应当提交授权书而未提交的；</w:t>
      </w:r>
    </w:p>
    <w:p w14:paraId="6CEC3207">
      <w:pPr>
        <w:widowControl/>
        <w:spacing w:line="360" w:lineRule="auto"/>
        <w:ind w:firstLine="480" w:firstLineChars="200"/>
        <w:rPr>
          <w:rFonts w:hAnsi="宋体" w:cs="宋体"/>
          <w:highlight w:val="none"/>
        </w:rPr>
      </w:pPr>
      <w:r>
        <w:rPr>
          <w:rFonts w:hint="eastAsia" w:hAnsi="宋体" w:cs="宋体"/>
          <w:highlight w:val="none"/>
        </w:rPr>
        <w:t>30.6.6以非法手段取得证据、材料的；</w:t>
      </w:r>
    </w:p>
    <w:p w14:paraId="29B2827D">
      <w:pPr>
        <w:widowControl/>
        <w:spacing w:line="360" w:lineRule="auto"/>
        <w:ind w:firstLine="480" w:firstLineChars="200"/>
        <w:rPr>
          <w:rFonts w:hAnsi="宋体" w:cs="宋体"/>
          <w:highlight w:val="none"/>
        </w:rPr>
      </w:pPr>
      <w:r>
        <w:rPr>
          <w:rFonts w:hint="eastAsia" w:hAnsi="宋体" w:cs="宋体"/>
          <w:highlight w:val="none"/>
        </w:rPr>
        <w:t>30.6.7质疑答复后，同一质疑人就同一事项或同一采购程序环节再次提出质疑的；</w:t>
      </w:r>
    </w:p>
    <w:p w14:paraId="20142B5A">
      <w:pPr>
        <w:widowControl/>
        <w:spacing w:line="360" w:lineRule="auto"/>
        <w:ind w:firstLine="480" w:firstLineChars="200"/>
        <w:rPr>
          <w:rFonts w:hAnsi="宋体" w:cs="宋体"/>
          <w:highlight w:val="none"/>
        </w:rPr>
      </w:pPr>
      <w:r>
        <w:rPr>
          <w:rFonts w:hint="eastAsia" w:hAnsi="宋体" w:cs="宋体"/>
          <w:highlight w:val="none"/>
        </w:rPr>
        <w:t>30.6.8不符合法律、法规、规章和政府采购监管机构规定的其他条件的。</w:t>
      </w:r>
    </w:p>
    <w:p w14:paraId="137C8B06">
      <w:pPr>
        <w:widowControl/>
        <w:spacing w:line="360" w:lineRule="auto"/>
        <w:ind w:firstLine="480" w:firstLineChars="200"/>
        <w:rPr>
          <w:rFonts w:hAnsi="宋体" w:cs="宋体"/>
          <w:highlight w:val="none"/>
        </w:rPr>
      </w:pPr>
      <w:r>
        <w:rPr>
          <w:rFonts w:hint="eastAsia" w:hAnsi="宋体" w:cs="宋体"/>
          <w:highlight w:val="none"/>
        </w:rPr>
        <w:t>30.7质疑答复</w:t>
      </w:r>
    </w:p>
    <w:p w14:paraId="1D09707A">
      <w:pPr>
        <w:widowControl/>
        <w:spacing w:line="360" w:lineRule="auto"/>
        <w:ind w:firstLine="480" w:firstLineChars="200"/>
        <w:rPr>
          <w:rFonts w:hAnsi="宋体" w:cs="宋体"/>
          <w:highlight w:val="none"/>
        </w:rPr>
      </w:pPr>
      <w:r>
        <w:rPr>
          <w:rFonts w:hint="eastAsia" w:hAnsi="宋体" w:cs="宋体"/>
          <w:highlight w:val="none"/>
        </w:rPr>
        <w:t>30.7.1采购人或采购代理机构在收到质疑函后7个工作日内作出答复，并以书面形式通知质疑供应商和其他有关供应商。</w:t>
      </w:r>
    </w:p>
    <w:p w14:paraId="62428AEC">
      <w:pPr>
        <w:spacing w:line="360" w:lineRule="auto"/>
        <w:rPr>
          <w:rFonts w:hAnsi="宋体" w:cs="宋体"/>
          <w:b/>
          <w:szCs w:val="24"/>
          <w:highlight w:val="none"/>
        </w:rPr>
      </w:pPr>
      <w:r>
        <w:rPr>
          <w:rFonts w:hint="eastAsia" w:hAnsi="宋体" w:cs="宋体"/>
          <w:b/>
          <w:szCs w:val="24"/>
          <w:highlight w:val="none"/>
        </w:rPr>
        <w:t>31.其他</w:t>
      </w:r>
    </w:p>
    <w:p w14:paraId="017EE759">
      <w:pPr>
        <w:spacing w:line="360" w:lineRule="auto"/>
        <w:ind w:firstLine="480" w:firstLineChars="200"/>
        <w:rPr>
          <w:rFonts w:hAnsi="宋体" w:cs="宋体"/>
          <w:szCs w:val="24"/>
          <w:highlight w:val="none"/>
        </w:rPr>
      </w:pPr>
      <w:r>
        <w:rPr>
          <w:rFonts w:hint="eastAsia" w:hAnsi="宋体" w:cs="宋体"/>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4FA5A50B">
      <w:pPr>
        <w:spacing w:line="360" w:lineRule="auto"/>
        <w:ind w:firstLine="480" w:firstLineChars="200"/>
        <w:rPr>
          <w:rFonts w:hAnsi="宋体" w:cs="宋体"/>
          <w:szCs w:val="24"/>
          <w:highlight w:val="none"/>
        </w:rPr>
      </w:pPr>
      <w:r>
        <w:rPr>
          <w:rFonts w:hint="eastAsia" w:hAnsi="宋体" w:cs="宋体"/>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6DCF50BC">
      <w:pPr>
        <w:spacing w:line="360" w:lineRule="auto"/>
        <w:ind w:firstLine="480" w:firstLineChars="200"/>
        <w:jc w:val="left"/>
        <w:rPr>
          <w:rFonts w:hAnsi="宋体" w:cs="宋体"/>
          <w:szCs w:val="24"/>
          <w:highlight w:val="none"/>
        </w:rPr>
      </w:pPr>
      <w:r>
        <w:rPr>
          <w:rFonts w:hint="eastAsia" w:hAnsi="宋体" w:cs="宋体"/>
          <w:szCs w:val="24"/>
          <w:highlight w:val="none"/>
        </w:rPr>
        <w:t>31.3采用竞争性磋商采购方式采购的政府购买服务项目（含政府和社会资本合作项目），</w:t>
      </w:r>
      <w:r>
        <w:rPr>
          <w:rFonts w:hint="eastAsia" w:hAnsi="宋体" w:cs="宋体"/>
          <w:highlight w:val="none"/>
        </w:rPr>
        <w:t>采购过程中符合要求的供应商</w:t>
      </w:r>
      <w:r>
        <w:rPr>
          <w:rFonts w:hint="eastAsia" w:hAnsi="宋体" w:cs="宋体"/>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6C666AAA">
      <w:pPr>
        <w:spacing w:line="360" w:lineRule="auto"/>
        <w:ind w:firstLine="480" w:firstLineChars="200"/>
        <w:rPr>
          <w:rFonts w:hAnsi="宋体" w:cs="宋体"/>
          <w:highlight w:val="none"/>
        </w:rPr>
      </w:pPr>
      <w:r>
        <w:rPr>
          <w:rFonts w:hint="eastAsia" w:hAnsi="宋体" w:cs="宋体"/>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61" w:name="_Toc363474023"/>
    </w:p>
    <w:p w14:paraId="508A60DA">
      <w:pPr>
        <w:pStyle w:val="2"/>
        <w:numPr>
          <w:ilvl w:val="0"/>
          <w:numId w:val="3"/>
        </w:numPr>
        <w:jc w:val="center"/>
        <w:rPr>
          <w:rFonts w:ascii="宋体" w:eastAsia="宋体" w:cs="宋体"/>
          <w:highlight w:val="none"/>
        </w:rPr>
      </w:pPr>
      <w:bookmarkStart w:id="62" w:name="_Toc25783"/>
      <w:bookmarkStart w:id="63" w:name="_Toc423973074"/>
      <w:bookmarkStart w:id="64" w:name="_Toc403077645"/>
      <w:r>
        <w:rPr>
          <w:rFonts w:hint="eastAsia" w:ascii="宋体" w:eastAsia="宋体" w:cs="宋体"/>
          <w:bCs/>
          <w:sz w:val="36"/>
          <w:szCs w:val="36"/>
          <w:highlight w:val="none"/>
        </w:rPr>
        <w:br w:type="page"/>
      </w:r>
      <w:bookmarkStart w:id="65" w:name="_Toc22973"/>
      <w:r>
        <w:rPr>
          <w:rFonts w:hint="eastAsia" w:ascii="宋体" w:eastAsia="宋体" w:cs="宋体"/>
          <w:bCs/>
          <w:sz w:val="36"/>
          <w:szCs w:val="36"/>
          <w:highlight w:val="none"/>
        </w:rPr>
        <w:t xml:space="preserve">  </w:t>
      </w:r>
      <w:bookmarkStart w:id="66" w:name="_Toc22398"/>
      <w:bookmarkStart w:id="67" w:name="_Toc9687"/>
      <w:r>
        <w:rPr>
          <w:rFonts w:hint="eastAsia" w:ascii="宋体" w:eastAsia="宋体" w:cs="宋体"/>
          <w:bCs/>
          <w:sz w:val="36"/>
          <w:szCs w:val="36"/>
          <w:highlight w:val="none"/>
        </w:rPr>
        <w:t>评审方法</w:t>
      </w:r>
      <w:bookmarkEnd w:id="65"/>
      <w:bookmarkEnd w:id="66"/>
      <w:bookmarkEnd w:id="67"/>
    </w:p>
    <w:p w14:paraId="4FC56CDF">
      <w:pPr>
        <w:spacing w:line="360" w:lineRule="auto"/>
        <w:outlineLvl w:val="1"/>
        <w:rPr>
          <w:rFonts w:hAnsi="宋体" w:cs="宋体"/>
          <w:b/>
          <w:szCs w:val="24"/>
          <w:highlight w:val="none"/>
        </w:rPr>
      </w:pPr>
      <w:bookmarkStart w:id="68" w:name="_Toc26649"/>
      <w:bookmarkStart w:id="69" w:name="_Toc23722"/>
      <w:bookmarkStart w:id="70" w:name="_Toc28665"/>
      <w:bookmarkStart w:id="71" w:name="_Toc32051"/>
      <w:r>
        <w:rPr>
          <w:rFonts w:hint="eastAsia" w:hAnsi="宋体" w:cs="宋体"/>
          <w:b/>
          <w:szCs w:val="24"/>
          <w:highlight w:val="none"/>
        </w:rPr>
        <w:t>一、评审方法</w:t>
      </w:r>
      <w:bookmarkEnd w:id="68"/>
      <w:bookmarkEnd w:id="69"/>
      <w:bookmarkEnd w:id="70"/>
      <w:bookmarkEnd w:id="71"/>
    </w:p>
    <w:p w14:paraId="1986A5B8">
      <w:pPr>
        <w:spacing w:line="500" w:lineRule="exact"/>
        <w:ind w:firstLine="520" w:firstLineChars="217"/>
        <w:rPr>
          <w:rFonts w:hAnsi="宋体" w:cs="宋体"/>
          <w:spacing w:val="4"/>
          <w:szCs w:val="24"/>
          <w:highlight w:val="none"/>
        </w:rPr>
      </w:pPr>
      <w:r>
        <w:rPr>
          <w:rFonts w:hint="eastAsia" w:hAnsi="宋体" w:cs="宋体"/>
          <w:szCs w:val="24"/>
          <w:highlight w:val="none"/>
        </w:rPr>
        <w:t>按照《中华人民共和国政府采购法》及实施条例和关于印发《政府采购竞争性磋商采购方式管理暂行办法》的通知（财库【2014】214号）</w:t>
      </w:r>
      <w:r>
        <w:rPr>
          <w:rFonts w:hint="eastAsia" w:hAnsi="宋体" w:cs="宋体"/>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7B37EE6F">
      <w:pPr>
        <w:spacing w:line="500" w:lineRule="exact"/>
        <w:outlineLvl w:val="1"/>
        <w:rPr>
          <w:rFonts w:hAnsi="宋体" w:cs="宋体"/>
          <w:b/>
          <w:spacing w:val="4"/>
          <w:szCs w:val="24"/>
          <w:highlight w:val="none"/>
        </w:rPr>
      </w:pPr>
      <w:bookmarkStart w:id="72" w:name="_Toc23145"/>
      <w:bookmarkStart w:id="73" w:name="_Toc2374"/>
      <w:bookmarkStart w:id="74" w:name="_Toc20625"/>
      <w:bookmarkStart w:id="75" w:name="_Toc27615"/>
      <w:r>
        <w:rPr>
          <w:rFonts w:hint="eastAsia" w:hAnsi="宋体" w:cs="宋体"/>
          <w:b/>
          <w:spacing w:val="4"/>
          <w:szCs w:val="24"/>
          <w:highlight w:val="none"/>
        </w:rPr>
        <w:t>二、评审程序</w:t>
      </w:r>
      <w:bookmarkEnd w:id="72"/>
      <w:bookmarkEnd w:id="73"/>
      <w:bookmarkEnd w:id="74"/>
      <w:bookmarkEnd w:id="75"/>
    </w:p>
    <w:p w14:paraId="1B4CFDC0">
      <w:pPr>
        <w:tabs>
          <w:tab w:val="left" w:pos="0"/>
        </w:tabs>
        <w:adjustRightInd w:val="0"/>
        <w:snapToGrid w:val="0"/>
        <w:spacing w:line="500" w:lineRule="exact"/>
        <w:ind w:firstLine="470" w:firstLineChars="196"/>
        <w:rPr>
          <w:rFonts w:hAnsi="宋体" w:cs="宋体"/>
          <w:highlight w:val="none"/>
        </w:rPr>
      </w:pPr>
      <w:r>
        <w:rPr>
          <w:rFonts w:hint="eastAsia" w:hAnsi="宋体" w:cs="宋体"/>
          <w:szCs w:val="24"/>
          <w:highlight w:val="none"/>
        </w:rPr>
        <w:t>按照竞争性磋商响应文件初审、澄清有关问题、分别磋商、二次报价、比较与评审、推荐成交候选人名单。在上一步评审中被认定为无效磋商者，不进入下一步的评审。</w:t>
      </w:r>
    </w:p>
    <w:p w14:paraId="13FA6D98">
      <w:pPr>
        <w:numPr>
          <w:ilvl w:val="0"/>
          <w:numId w:val="4"/>
        </w:numPr>
        <w:spacing w:line="500" w:lineRule="exact"/>
        <w:ind w:firstLine="498" w:firstLineChars="200"/>
        <w:rPr>
          <w:rFonts w:hAnsi="宋体" w:cs="宋体"/>
          <w:b/>
          <w:bCs/>
          <w:spacing w:val="4"/>
          <w:szCs w:val="24"/>
          <w:highlight w:val="none"/>
        </w:rPr>
      </w:pPr>
      <w:r>
        <w:rPr>
          <w:rFonts w:hint="eastAsia" w:hAnsi="宋体" w:cs="宋体"/>
          <w:b/>
          <w:bCs/>
          <w:spacing w:val="4"/>
          <w:szCs w:val="24"/>
          <w:highlight w:val="none"/>
        </w:rPr>
        <w:t>对磋商响应文件的初审：</w:t>
      </w:r>
    </w:p>
    <w:p w14:paraId="1886FA3F">
      <w:pPr>
        <w:tabs>
          <w:tab w:val="left" w:pos="0"/>
        </w:tabs>
        <w:adjustRightInd w:val="0"/>
        <w:snapToGrid w:val="0"/>
        <w:spacing w:line="500" w:lineRule="exact"/>
        <w:ind w:firstLine="472" w:firstLineChars="196"/>
        <w:rPr>
          <w:rFonts w:hAnsi="宋体" w:cs="宋体"/>
          <w:highlight w:val="none"/>
        </w:rPr>
      </w:pPr>
      <w:r>
        <w:rPr>
          <w:rFonts w:hint="eastAsia" w:hAnsi="宋体" w:cs="宋体"/>
          <w:b/>
          <w:bCs/>
          <w:highlight w:val="none"/>
        </w:rPr>
        <w:t>1.1资格性审查。</w:t>
      </w:r>
      <w:r>
        <w:rPr>
          <w:rFonts w:hint="eastAsia" w:hAnsi="宋体" w:cs="宋体"/>
          <w:highlight w:val="none"/>
          <w:lang w:val="en-US" w:eastAsia="zh-CN"/>
        </w:rPr>
        <w:t>采购人及采购代理机构</w:t>
      </w:r>
      <w:r>
        <w:rPr>
          <w:rFonts w:hint="eastAsia" w:hAnsi="宋体" w:cs="宋体"/>
          <w:highlight w:val="none"/>
        </w:rPr>
        <w:t>将依据磋商响应文件，按照磋商文件第二章供应商须知前附表12.1条所述资格要求进行资格性审查，如果供应商不满足磋商文件所规定的资格要求或提供资格证明文件不全,将被视为未实质性响应磋商文件。</w:t>
      </w:r>
    </w:p>
    <w:p w14:paraId="1DBE7979">
      <w:pPr>
        <w:tabs>
          <w:tab w:val="left" w:pos="0"/>
        </w:tabs>
        <w:adjustRightInd w:val="0"/>
        <w:snapToGrid w:val="0"/>
        <w:spacing w:line="500" w:lineRule="exact"/>
        <w:ind w:firstLine="472" w:firstLineChars="196"/>
        <w:rPr>
          <w:rFonts w:hAnsi="宋体" w:cs="宋体"/>
          <w:highlight w:val="none"/>
        </w:rPr>
      </w:pPr>
      <w:r>
        <w:rPr>
          <w:rFonts w:hint="eastAsia" w:hAnsi="宋体" w:cs="宋体"/>
          <w:b/>
          <w:bCs/>
          <w:highlight w:val="none"/>
        </w:rPr>
        <w:t>1.2符合性审查。</w:t>
      </w:r>
      <w:r>
        <w:rPr>
          <w:rFonts w:hint="eastAsia" w:hAnsi="宋体" w:cs="宋体"/>
          <w:highlight w:val="none"/>
        </w:rPr>
        <w:t>磋商小组从磋商响应文件的完整性、有效性和对磋商文件的响应程度进行审查，以确定其是否对磋商文件实质性内容作出响应。</w:t>
      </w:r>
    </w:p>
    <w:p w14:paraId="3EE75AA6">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1.2.1竞争性磋商响应文件的完整性。竞争性磋商响应文件构成是否有重大缺项，是否按照竞争性磋商文件要求的格式编写竞争性磋商响应文件。</w:t>
      </w:r>
    </w:p>
    <w:p w14:paraId="2CA96DCC">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1.2.2竞争性磋商响应文件的有效性。竞争性磋商响应文件的签署、加盖印章是否合格、有效；提供的各种证明文件、数据、资料是否真实、有效。</w:t>
      </w:r>
    </w:p>
    <w:p w14:paraId="24A905AD">
      <w:pPr>
        <w:spacing w:line="500" w:lineRule="exact"/>
        <w:ind w:firstLine="496" w:firstLineChars="200"/>
        <w:rPr>
          <w:rFonts w:hAnsi="宋体" w:cs="宋体"/>
          <w:szCs w:val="24"/>
          <w:highlight w:val="none"/>
        </w:rPr>
      </w:pPr>
      <w:r>
        <w:rPr>
          <w:rFonts w:hint="eastAsia" w:hAnsi="宋体" w:cs="宋体"/>
          <w:bCs/>
          <w:spacing w:val="4"/>
          <w:szCs w:val="24"/>
          <w:highlight w:val="none"/>
        </w:rPr>
        <w:t>1.2.3竞争性磋商</w:t>
      </w:r>
      <w:r>
        <w:rPr>
          <w:rFonts w:hint="eastAsia" w:hAnsi="宋体" w:cs="宋体"/>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14:paraId="579D8CFA">
      <w:pPr>
        <w:spacing w:line="500" w:lineRule="exact"/>
        <w:ind w:firstLine="480" w:firstLineChars="200"/>
        <w:rPr>
          <w:rFonts w:hAnsi="宋体" w:cs="宋体"/>
          <w:szCs w:val="24"/>
          <w:highlight w:val="none"/>
        </w:rPr>
      </w:pPr>
      <w:r>
        <w:rPr>
          <w:rFonts w:hint="eastAsia" w:hAnsi="宋体" w:cs="宋体"/>
          <w:szCs w:val="24"/>
          <w:highlight w:val="none"/>
        </w:rPr>
        <w:t>1.2.4报价是否超过采购预算。</w:t>
      </w:r>
    </w:p>
    <w:p w14:paraId="2956112C">
      <w:pPr>
        <w:spacing w:line="500" w:lineRule="exact"/>
        <w:ind w:firstLine="480" w:firstLineChars="200"/>
        <w:rPr>
          <w:rFonts w:hAnsi="宋体" w:cs="宋体"/>
          <w:szCs w:val="24"/>
          <w:highlight w:val="none"/>
        </w:rPr>
      </w:pPr>
      <w:r>
        <w:rPr>
          <w:rFonts w:hint="eastAsia" w:hAnsi="宋体" w:cs="宋体"/>
          <w:szCs w:val="24"/>
          <w:highlight w:val="none"/>
        </w:rPr>
        <w:t>1.2.5 磋商保证金是否按竞争性磋商文件规定时间提交磋商保证金或担保机构出具的保函。</w:t>
      </w:r>
    </w:p>
    <w:p w14:paraId="1AC33862">
      <w:pPr>
        <w:spacing w:after="156" w:afterLines="50" w:line="500" w:lineRule="exact"/>
        <w:ind w:firstLine="482" w:firstLineChars="200"/>
        <w:rPr>
          <w:rFonts w:hAnsi="宋体" w:cs="宋体"/>
          <w:b/>
          <w:highlight w:val="none"/>
        </w:rPr>
      </w:pPr>
      <w:r>
        <w:rPr>
          <w:rFonts w:hint="eastAsia" w:hAnsi="宋体" w:cs="宋体"/>
          <w:b/>
          <w:highlight w:val="none"/>
        </w:rPr>
        <w:t>2、磋商响应文件的澄清</w:t>
      </w:r>
    </w:p>
    <w:p w14:paraId="162C7181">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4859C7E5">
      <w:pPr>
        <w:spacing w:line="500" w:lineRule="exact"/>
        <w:ind w:firstLine="480" w:firstLineChars="200"/>
        <w:rPr>
          <w:rFonts w:hAnsi="宋体" w:cs="宋体"/>
          <w:bCs/>
          <w:spacing w:val="4"/>
          <w:szCs w:val="24"/>
          <w:highlight w:val="none"/>
        </w:rPr>
      </w:pPr>
      <w:r>
        <w:rPr>
          <w:rFonts w:hint="eastAsia" w:hAnsi="宋体" w:cs="宋体"/>
          <w:szCs w:val="24"/>
          <w:highlight w:val="none"/>
        </w:rPr>
        <w:t>1.3.2有效的书面澄清材料，是磋商响应文件的补充材料，成为磋商响应文件的组成部分。</w:t>
      </w:r>
    </w:p>
    <w:p w14:paraId="65CABC0D">
      <w:pPr>
        <w:spacing w:line="500" w:lineRule="exact"/>
        <w:ind w:firstLine="482" w:firstLineChars="200"/>
        <w:rPr>
          <w:rFonts w:hAnsi="宋体" w:cs="宋体"/>
          <w:szCs w:val="24"/>
          <w:highlight w:val="none"/>
        </w:rPr>
      </w:pPr>
      <w:r>
        <w:rPr>
          <w:rFonts w:hint="eastAsia" w:hAnsi="宋体" w:cs="宋体"/>
          <w:b/>
          <w:bCs/>
          <w:szCs w:val="24"/>
          <w:highlight w:val="none"/>
        </w:rPr>
        <w:t>3、磋商：</w:t>
      </w:r>
      <w:r>
        <w:rPr>
          <w:rFonts w:hint="eastAsia" w:hAnsi="宋体" w:cs="宋体"/>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14:paraId="461F333E">
      <w:pPr>
        <w:pStyle w:val="10"/>
        <w:spacing w:line="500" w:lineRule="exact"/>
        <w:ind w:firstLine="482" w:firstLineChars="200"/>
        <w:rPr>
          <w:rFonts w:ascii="宋体" w:hAnsi="宋体" w:cs="宋体"/>
          <w:kern w:val="0"/>
          <w:sz w:val="24"/>
          <w:szCs w:val="24"/>
          <w:highlight w:val="none"/>
        </w:rPr>
      </w:pPr>
      <w:r>
        <w:rPr>
          <w:rFonts w:hint="eastAsia" w:ascii="宋体" w:hAnsi="宋体" w:cs="宋体"/>
          <w:b/>
          <w:bCs/>
          <w:sz w:val="24"/>
          <w:szCs w:val="24"/>
          <w:highlight w:val="none"/>
        </w:rPr>
        <w:t>4、综合评审：</w:t>
      </w:r>
      <w:r>
        <w:rPr>
          <w:rFonts w:hint="eastAsia" w:ascii="宋体" w:hAnsi="宋体" w:cs="宋体"/>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32ED5496">
      <w:pPr>
        <w:rPr>
          <w:rFonts w:hAnsi="宋体" w:cs="宋体"/>
          <w:highlight w:val="none"/>
        </w:rPr>
      </w:pPr>
    </w:p>
    <w:p w14:paraId="01CDFE55">
      <w:pPr>
        <w:spacing w:line="500" w:lineRule="exact"/>
        <w:jc w:val="left"/>
        <w:outlineLvl w:val="1"/>
        <w:rPr>
          <w:rFonts w:hAnsi="宋体" w:cs="宋体"/>
          <w:b/>
          <w:szCs w:val="24"/>
          <w:highlight w:val="none"/>
        </w:rPr>
      </w:pPr>
      <w:bookmarkStart w:id="76" w:name="_Toc24776"/>
      <w:bookmarkStart w:id="77" w:name="_Toc19221"/>
      <w:bookmarkStart w:id="78" w:name="_Toc4428"/>
      <w:bookmarkStart w:id="79" w:name="_Toc30804"/>
      <w:r>
        <w:rPr>
          <w:rFonts w:hint="eastAsia" w:hAnsi="宋体" w:cs="宋体"/>
          <w:b/>
          <w:szCs w:val="24"/>
          <w:highlight w:val="none"/>
        </w:rPr>
        <w:t>三、政策性扣减</w:t>
      </w:r>
      <w:bookmarkEnd w:id="76"/>
      <w:bookmarkEnd w:id="77"/>
      <w:bookmarkEnd w:id="78"/>
      <w:bookmarkEnd w:id="79"/>
    </w:p>
    <w:p w14:paraId="4DD27D4B">
      <w:pPr>
        <w:spacing w:line="500" w:lineRule="exact"/>
        <w:ind w:firstLine="482" w:firstLineChars="200"/>
        <w:jc w:val="left"/>
        <w:rPr>
          <w:rFonts w:hAnsi="宋体" w:cs="宋体"/>
          <w:b/>
          <w:bCs/>
          <w:szCs w:val="24"/>
          <w:highlight w:val="none"/>
        </w:rPr>
      </w:pPr>
      <w:r>
        <w:rPr>
          <w:rFonts w:hint="eastAsia" w:hAnsi="宋体" w:cs="宋体"/>
          <w:b/>
          <w:bCs/>
          <w:szCs w:val="24"/>
          <w:highlight w:val="none"/>
        </w:rPr>
        <w:t>1政策性扣减范围</w:t>
      </w:r>
    </w:p>
    <w:p w14:paraId="32343F2D">
      <w:pPr>
        <w:spacing w:line="500" w:lineRule="exact"/>
        <w:ind w:firstLine="480" w:firstLineChars="200"/>
        <w:jc w:val="left"/>
        <w:rPr>
          <w:rFonts w:hAnsi="宋体" w:cs="宋体"/>
          <w:szCs w:val="24"/>
          <w:highlight w:val="none"/>
        </w:rPr>
      </w:pPr>
      <w:r>
        <w:rPr>
          <w:rFonts w:hint="eastAsia" w:hAnsi="宋体" w:cs="宋体"/>
          <w:szCs w:val="24"/>
          <w:highlight w:val="none"/>
        </w:rPr>
        <w:t>1.1供应商符合小型、微型企业或监狱企业、残疾人福利性单位条件的，其磋商报价价格评审时将按相应比例进行扣减。</w:t>
      </w:r>
    </w:p>
    <w:p w14:paraId="07C680BC">
      <w:pPr>
        <w:spacing w:line="500" w:lineRule="exact"/>
        <w:ind w:firstLine="480" w:firstLineChars="200"/>
        <w:jc w:val="left"/>
        <w:rPr>
          <w:rFonts w:hAnsi="宋体" w:cs="宋体"/>
          <w:szCs w:val="24"/>
          <w:highlight w:val="none"/>
        </w:rPr>
      </w:pPr>
      <w:r>
        <w:rPr>
          <w:rFonts w:hint="eastAsia" w:hAnsi="宋体" w:cs="宋体"/>
          <w:szCs w:val="24"/>
          <w:highlight w:val="none"/>
        </w:rPr>
        <w:t>1.2依照《政府采购促进中小企业发展管理办法》（财库〔2020〕46号）的规定，小型、微型企业应当同时符合以下条件：</w:t>
      </w:r>
    </w:p>
    <w:p w14:paraId="56F84178">
      <w:pPr>
        <w:spacing w:line="500" w:lineRule="exact"/>
        <w:ind w:firstLine="480" w:firstLineChars="200"/>
        <w:jc w:val="left"/>
        <w:rPr>
          <w:rFonts w:hAnsi="宋体" w:cs="宋体"/>
          <w:szCs w:val="24"/>
          <w:highlight w:val="none"/>
        </w:rPr>
      </w:pPr>
      <w:r>
        <w:rPr>
          <w:rFonts w:hint="eastAsia" w:hAnsi="宋体" w:cs="宋体"/>
          <w:szCs w:val="24"/>
          <w:highlight w:val="none"/>
        </w:rPr>
        <w:t>1.2.1符合中小企业划分标准（中小企业划分标准是指国务院有关部门根据企业从业人员、营业收入、资产总额等指标制定的中小企业划型标准（工信部联企业〔2011〕300号））。</w:t>
      </w:r>
    </w:p>
    <w:p w14:paraId="21A816E8">
      <w:pPr>
        <w:spacing w:line="500" w:lineRule="exact"/>
        <w:ind w:firstLine="480" w:firstLineChars="200"/>
        <w:jc w:val="left"/>
        <w:rPr>
          <w:rFonts w:hAnsi="宋体" w:cs="宋体"/>
          <w:szCs w:val="24"/>
          <w:highlight w:val="none"/>
        </w:rPr>
      </w:pPr>
      <w:r>
        <w:rPr>
          <w:rFonts w:hint="eastAsia" w:hAnsi="宋体" w:cs="宋体"/>
          <w:szCs w:val="24"/>
          <w:highlight w:val="none"/>
        </w:rPr>
        <w:t>1.2.2提供本企业制造的货物、承担的工程或者服务，或者提供其他中小企业制造的货物，不包括提供或使用大型企业注册商标的货物。</w:t>
      </w:r>
    </w:p>
    <w:p w14:paraId="3038E351">
      <w:pPr>
        <w:spacing w:line="500" w:lineRule="exact"/>
        <w:ind w:firstLine="480" w:firstLineChars="200"/>
        <w:jc w:val="left"/>
        <w:rPr>
          <w:rFonts w:hAnsi="宋体" w:cs="宋体"/>
          <w:szCs w:val="24"/>
          <w:highlight w:val="none"/>
        </w:rPr>
      </w:pPr>
      <w:r>
        <w:rPr>
          <w:rFonts w:hint="eastAsia" w:hAnsi="宋体" w:cs="宋体"/>
          <w:szCs w:val="24"/>
          <w:highlight w:val="none"/>
        </w:rPr>
        <w:t>1.2.3小型、微型企业提供中型企业制造的货物的，视同为中型企业；小型、微型、中型企业提供大型企业制造的货物的，视同为大型企业。</w:t>
      </w:r>
    </w:p>
    <w:p w14:paraId="09081842">
      <w:pPr>
        <w:spacing w:line="500" w:lineRule="exact"/>
        <w:ind w:firstLine="480" w:firstLineChars="200"/>
        <w:jc w:val="left"/>
        <w:rPr>
          <w:rFonts w:hAnsi="宋体" w:cs="宋体"/>
          <w:szCs w:val="24"/>
          <w:highlight w:val="none"/>
        </w:rPr>
      </w:pPr>
      <w:r>
        <w:rPr>
          <w:rFonts w:hint="eastAsia" w:hAnsi="宋体" w:cs="宋体"/>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14:paraId="252BE8E1">
      <w:pPr>
        <w:spacing w:line="500" w:lineRule="exact"/>
        <w:ind w:firstLine="480" w:firstLineChars="200"/>
        <w:jc w:val="left"/>
        <w:rPr>
          <w:rFonts w:hAnsi="宋体" w:cs="宋体"/>
          <w:szCs w:val="24"/>
          <w:highlight w:val="none"/>
        </w:rPr>
      </w:pPr>
      <w:r>
        <w:rPr>
          <w:rFonts w:hint="eastAsia" w:hAnsi="宋体" w:cs="宋体"/>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hAnsi="宋体" w:cs="宋体"/>
          <w:szCs w:val="24"/>
          <w:highlight w:val="none"/>
        </w:rPr>
        <w:t>http://www.ccgp.gov.cn/</w:t>
      </w:r>
      <w:r>
        <w:rPr>
          <w:rFonts w:hint="eastAsia" w:hAnsi="宋体" w:cs="宋体"/>
          <w:szCs w:val="24"/>
          <w:highlight w:val="none"/>
        </w:rPr>
        <w:fldChar w:fldCharType="end"/>
      </w:r>
      <w:r>
        <w:rPr>
          <w:rFonts w:hint="eastAsia" w:hAnsi="宋体" w:cs="宋体"/>
          <w:szCs w:val="24"/>
          <w:highlight w:val="none"/>
        </w:rPr>
        <w:t>）上查找。</w:t>
      </w:r>
    </w:p>
    <w:p w14:paraId="0844136C">
      <w:pPr>
        <w:spacing w:line="500" w:lineRule="exact"/>
        <w:ind w:firstLine="480" w:firstLineChars="200"/>
        <w:jc w:val="left"/>
        <w:rPr>
          <w:rFonts w:hAnsi="宋体" w:cs="宋体"/>
          <w:szCs w:val="24"/>
          <w:highlight w:val="none"/>
        </w:rPr>
      </w:pPr>
      <w:r>
        <w:rPr>
          <w:rFonts w:hint="eastAsia" w:hAnsi="宋体" w:cs="宋体"/>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hAnsi="宋体" w:cs="宋体"/>
          <w:szCs w:val="24"/>
          <w:highlight w:val="none"/>
        </w:rPr>
        <w:t>http://www.ccgp.gov.cn/</w:t>
      </w:r>
      <w:r>
        <w:rPr>
          <w:rFonts w:hint="eastAsia" w:hAnsi="宋体" w:cs="宋体"/>
          <w:szCs w:val="24"/>
          <w:highlight w:val="none"/>
        </w:rPr>
        <w:fldChar w:fldCharType="end"/>
      </w:r>
      <w:r>
        <w:rPr>
          <w:rFonts w:hint="eastAsia" w:hAnsi="宋体" w:cs="宋体"/>
          <w:szCs w:val="24"/>
          <w:highlight w:val="none"/>
        </w:rPr>
        <w:t>）上查找。</w:t>
      </w:r>
    </w:p>
    <w:p w14:paraId="55D637D5">
      <w:pPr>
        <w:spacing w:line="500" w:lineRule="exact"/>
        <w:ind w:firstLine="480" w:firstLineChars="200"/>
        <w:jc w:val="left"/>
        <w:rPr>
          <w:rFonts w:hAnsi="宋体" w:cs="宋体"/>
          <w:szCs w:val="24"/>
          <w:highlight w:val="none"/>
        </w:rPr>
      </w:pPr>
      <w:r>
        <w:rPr>
          <w:rFonts w:hint="eastAsia" w:hAnsi="宋体" w:cs="宋体"/>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653BDFBE">
      <w:pPr>
        <w:spacing w:line="500" w:lineRule="exact"/>
        <w:ind w:firstLine="600" w:firstLineChars="250"/>
        <w:rPr>
          <w:rFonts w:hAnsi="宋体" w:cs="宋体"/>
          <w:szCs w:val="24"/>
          <w:highlight w:val="none"/>
        </w:rPr>
      </w:pPr>
      <w:r>
        <w:rPr>
          <w:rFonts w:hint="eastAsia" w:hAnsi="宋体" w:cs="宋体"/>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07582D2F">
      <w:pPr>
        <w:spacing w:line="500" w:lineRule="exact"/>
        <w:ind w:firstLine="482" w:firstLineChars="200"/>
        <w:jc w:val="left"/>
        <w:rPr>
          <w:rFonts w:hAnsi="宋体" w:cs="宋体"/>
          <w:b/>
          <w:bCs/>
          <w:szCs w:val="24"/>
          <w:highlight w:val="none"/>
        </w:rPr>
      </w:pPr>
      <w:r>
        <w:rPr>
          <w:rFonts w:hint="eastAsia" w:hAnsi="宋体" w:cs="宋体"/>
          <w:b/>
          <w:bCs/>
          <w:szCs w:val="24"/>
          <w:highlight w:val="none"/>
        </w:rPr>
        <w:t>2、政策性扣减方式：</w:t>
      </w:r>
    </w:p>
    <w:p w14:paraId="2378B0B4">
      <w:pPr>
        <w:spacing w:line="500" w:lineRule="exact"/>
        <w:ind w:firstLine="480" w:firstLineChars="200"/>
        <w:jc w:val="left"/>
        <w:rPr>
          <w:rFonts w:hAnsi="宋体" w:cs="宋体"/>
          <w:szCs w:val="24"/>
          <w:highlight w:val="none"/>
        </w:rPr>
      </w:pPr>
      <w:r>
        <w:rPr>
          <w:rFonts w:hint="eastAsia" w:hAnsi="宋体" w:cs="宋体"/>
          <w:szCs w:val="24"/>
          <w:highlight w:val="none"/>
        </w:rPr>
        <w:t>2.1供应商为非联合体参与磋商的情况：</w:t>
      </w:r>
    </w:p>
    <w:p w14:paraId="4A305F73">
      <w:pPr>
        <w:spacing w:line="500" w:lineRule="exact"/>
        <w:ind w:firstLine="480" w:firstLineChars="200"/>
        <w:jc w:val="left"/>
        <w:rPr>
          <w:rFonts w:hAnsi="宋体" w:cs="宋体"/>
          <w:szCs w:val="24"/>
          <w:highlight w:val="none"/>
        </w:rPr>
      </w:pPr>
      <w:r>
        <w:rPr>
          <w:rFonts w:hint="eastAsia" w:hAnsi="宋体" w:cs="宋体"/>
          <w:szCs w:val="24"/>
          <w:highlight w:val="none"/>
        </w:rPr>
        <w:t>2.1.1在磋商最终报价的基础上，小型企业或达到小型企业划分标准的监狱企业（或残疾人福利性单位），按“磋商最终报价×</w:t>
      </w:r>
      <w:r>
        <w:rPr>
          <w:rFonts w:hint="eastAsia" w:hAnsi="宋体" w:cs="宋体"/>
          <w:szCs w:val="24"/>
          <w:highlight w:val="none"/>
          <w:lang w:val="en-US" w:eastAsia="zh-CN"/>
        </w:rPr>
        <w:t>10</w:t>
      </w:r>
      <w:r>
        <w:rPr>
          <w:rFonts w:hint="eastAsia" w:hAnsi="宋体" w:cs="宋体"/>
          <w:szCs w:val="24"/>
          <w:highlight w:val="none"/>
        </w:rPr>
        <w:t>%”进行扣减；</w:t>
      </w:r>
    </w:p>
    <w:p w14:paraId="64D71466">
      <w:pPr>
        <w:spacing w:line="500" w:lineRule="exact"/>
        <w:ind w:firstLine="480" w:firstLineChars="200"/>
        <w:jc w:val="left"/>
        <w:rPr>
          <w:rFonts w:hAnsi="宋体" w:cs="宋体"/>
          <w:szCs w:val="24"/>
          <w:highlight w:val="none"/>
        </w:rPr>
      </w:pPr>
      <w:r>
        <w:rPr>
          <w:rFonts w:hint="eastAsia" w:hAnsi="宋体" w:cs="宋体"/>
          <w:szCs w:val="24"/>
          <w:highlight w:val="none"/>
        </w:rPr>
        <w:t>2.1.2在磋商最终报价的基础上，注册资金在十五万元以上的微型企业或注册资金在十五万元以上达到微型企业划分标准的监狱企业（或残疾人福利性单位），按“磋商最终报价×8%”进行扣减；</w:t>
      </w:r>
    </w:p>
    <w:p w14:paraId="71F1C5B5">
      <w:pPr>
        <w:spacing w:line="500" w:lineRule="exact"/>
        <w:ind w:firstLine="480" w:firstLineChars="200"/>
        <w:jc w:val="left"/>
        <w:rPr>
          <w:rFonts w:hAnsi="宋体" w:cs="宋体"/>
          <w:szCs w:val="24"/>
          <w:highlight w:val="none"/>
        </w:rPr>
      </w:pPr>
      <w:r>
        <w:rPr>
          <w:rFonts w:hint="eastAsia" w:hAnsi="宋体" w:cs="宋体"/>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14:paraId="4B862CF0">
      <w:pPr>
        <w:spacing w:line="500" w:lineRule="exact"/>
        <w:ind w:firstLine="480" w:firstLineChars="200"/>
        <w:jc w:val="left"/>
        <w:rPr>
          <w:rFonts w:hAnsi="宋体" w:cs="宋体"/>
          <w:szCs w:val="24"/>
          <w:highlight w:val="none"/>
        </w:rPr>
      </w:pPr>
      <w:r>
        <w:rPr>
          <w:rFonts w:hint="eastAsia" w:hAnsi="宋体" w:cs="宋体"/>
          <w:szCs w:val="24"/>
          <w:highlight w:val="none"/>
        </w:rPr>
        <w:t>3、成交价格=成交供应商的有效磋商报价。</w:t>
      </w:r>
    </w:p>
    <w:p w14:paraId="4BE1BE94">
      <w:pPr>
        <w:pStyle w:val="10"/>
        <w:rPr>
          <w:rFonts w:ascii="宋体" w:hAnsi="宋体" w:cs="宋体"/>
          <w:highlight w:val="none"/>
        </w:rPr>
      </w:pPr>
    </w:p>
    <w:p w14:paraId="144B4197">
      <w:pPr>
        <w:numPr>
          <w:ilvl w:val="0"/>
          <w:numId w:val="5"/>
        </w:numPr>
        <w:spacing w:line="360" w:lineRule="auto"/>
        <w:ind w:firstLine="498" w:firstLineChars="200"/>
        <w:jc w:val="center"/>
        <w:outlineLvl w:val="1"/>
        <w:rPr>
          <w:rFonts w:hint="eastAsia" w:hAnsi="宋体" w:cs="宋体"/>
          <w:b/>
          <w:szCs w:val="24"/>
          <w:highlight w:val="none"/>
        </w:rPr>
      </w:pPr>
      <w:r>
        <w:rPr>
          <w:rFonts w:hint="eastAsia" w:hAnsi="宋体" w:cs="宋体"/>
          <w:b/>
          <w:spacing w:val="4"/>
          <w:szCs w:val="24"/>
          <w:highlight w:val="none"/>
        </w:rPr>
        <w:br w:type="page"/>
      </w:r>
      <w:bookmarkStart w:id="80" w:name="_Toc23630"/>
      <w:bookmarkStart w:id="81" w:name="_Toc13330"/>
      <w:bookmarkStart w:id="82" w:name="_Toc28532"/>
      <w:bookmarkStart w:id="83" w:name="_Toc4223"/>
      <w:r>
        <w:rPr>
          <w:rFonts w:hint="eastAsia" w:hAnsi="宋体" w:cs="宋体"/>
          <w:b/>
          <w:szCs w:val="24"/>
          <w:highlight w:val="none"/>
        </w:rPr>
        <w:t>评审要素和分值分解表</w:t>
      </w:r>
      <w:bookmarkEnd w:id="80"/>
      <w:bookmarkEnd w:id="81"/>
      <w:bookmarkEnd w:id="82"/>
      <w:bookmarkEnd w:id="83"/>
    </w:p>
    <w:tbl>
      <w:tblPr>
        <w:tblStyle w:val="22"/>
        <w:tblW w:w="499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8"/>
        <w:gridCol w:w="1034"/>
        <w:gridCol w:w="7471"/>
      </w:tblGrid>
      <w:tr w14:paraId="46307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525" w:type="pct"/>
            <w:noWrap w:val="0"/>
            <w:vAlign w:val="center"/>
          </w:tcPr>
          <w:p w14:paraId="7D08F7F4">
            <w:pPr>
              <w:spacing w:line="360" w:lineRule="auto"/>
              <w:jc w:val="center"/>
              <w:rPr>
                <w:rFonts w:hint="eastAsia" w:ascii="宋体" w:hAnsi="宋体" w:cs="宋体"/>
                <w:color w:val="auto"/>
                <w:szCs w:val="21"/>
                <w:highlight w:val="none"/>
              </w:rPr>
            </w:pPr>
            <w:bookmarkStart w:id="84" w:name="_Hlk532219037"/>
            <w:r>
              <w:rPr>
                <w:rFonts w:hint="eastAsia" w:ascii="宋体" w:hAnsi="宋体" w:cs="宋体"/>
                <w:color w:val="auto"/>
                <w:szCs w:val="21"/>
                <w:highlight w:val="none"/>
              </w:rPr>
              <w:t>评分</w:t>
            </w:r>
          </w:p>
          <w:p w14:paraId="3320FEC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因素</w:t>
            </w:r>
          </w:p>
        </w:tc>
        <w:tc>
          <w:tcPr>
            <w:tcW w:w="544" w:type="pct"/>
            <w:tcBorders>
              <w:right w:val="single" w:color="auto" w:sz="4" w:space="0"/>
            </w:tcBorders>
            <w:noWrap w:val="0"/>
            <w:vAlign w:val="center"/>
          </w:tcPr>
          <w:p w14:paraId="573A81A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分值</w:t>
            </w:r>
          </w:p>
        </w:tc>
        <w:tc>
          <w:tcPr>
            <w:tcW w:w="3930" w:type="pct"/>
            <w:tcBorders>
              <w:left w:val="single" w:color="auto" w:sz="4" w:space="0"/>
            </w:tcBorders>
            <w:noWrap w:val="0"/>
            <w:vAlign w:val="center"/>
          </w:tcPr>
          <w:p w14:paraId="4983946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评分标准</w:t>
            </w:r>
          </w:p>
        </w:tc>
      </w:tr>
      <w:tr w14:paraId="5BEAD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jc w:val="center"/>
        </w:trPr>
        <w:tc>
          <w:tcPr>
            <w:tcW w:w="525" w:type="pct"/>
            <w:noWrap w:val="0"/>
            <w:vAlign w:val="center"/>
          </w:tcPr>
          <w:p w14:paraId="4C42B66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价格</w:t>
            </w:r>
          </w:p>
          <w:p w14:paraId="75988B1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部分</w:t>
            </w:r>
          </w:p>
        </w:tc>
        <w:tc>
          <w:tcPr>
            <w:tcW w:w="544" w:type="pct"/>
            <w:noWrap w:val="0"/>
            <w:vAlign w:val="center"/>
          </w:tcPr>
          <w:p w14:paraId="672380EC">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w:t>
            </w:r>
          </w:p>
        </w:tc>
        <w:tc>
          <w:tcPr>
            <w:tcW w:w="3930" w:type="pct"/>
            <w:noWrap w:val="0"/>
            <w:vAlign w:val="center"/>
          </w:tcPr>
          <w:p w14:paraId="1A4F6DB2">
            <w:pPr>
              <w:pStyle w:val="46"/>
              <w:spacing w:line="360" w:lineRule="auto"/>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本项目价格为固定标准，价格不参与竞争，投标人按给定标准报价。</w:t>
            </w:r>
          </w:p>
        </w:tc>
      </w:tr>
      <w:tr w14:paraId="11F93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jc w:val="center"/>
        </w:trPr>
        <w:tc>
          <w:tcPr>
            <w:tcW w:w="525" w:type="pct"/>
            <w:noWrap w:val="0"/>
            <w:vAlign w:val="center"/>
          </w:tcPr>
          <w:p w14:paraId="7541ADD8">
            <w:pPr>
              <w:spacing w:line="276" w:lineRule="auto"/>
              <w:jc w:val="center"/>
              <w:rPr>
                <w:rFonts w:hint="eastAsia" w:ascii="宋体" w:hAnsi="宋体" w:eastAsia="宋体" w:cs="宋体"/>
                <w:b w:val="0"/>
                <w:bCs/>
                <w:szCs w:val="24"/>
                <w:highlight w:val="none"/>
              </w:rPr>
            </w:pPr>
            <w:r>
              <w:rPr>
                <w:rFonts w:hint="eastAsia" w:ascii="宋体" w:hAnsi="宋体" w:eastAsia="宋体" w:cs="宋体"/>
                <w:b w:val="0"/>
                <w:bCs/>
                <w:szCs w:val="24"/>
                <w:highlight w:val="none"/>
                <w:lang w:val="en-US" w:eastAsia="zh-CN"/>
              </w:rPr>
              <w:t>技术</w:t>
            </w:r>
          </w:p>
          <w:p w14:paraId="2B093AE6">
            <w:pPr>
              <w:spacing w:line="276" w:lineRule="auto"/>
              <w:jc w:val="center"/>
              <w:rPr>
                <w:rFonts w:hint="eastAsia" w:ascii="宋体" w:hAnsi="宋体" w:eastAsia="宋体" w:cs="宋体"/>
                <w:b w:val="0"/>
                <w:bCs/>
                <w:szCs w:val="24"/>
                <w:highlight w:val="none"/>
              </w:rPr>
            </w:pPr>
            <w:r>
              <w:rPr>
                <w:rFonts w:hint="eastAsia" w:ascii="宋体" w:hAnsi="宋体" w:eastAsia="宋体" w:cs="宋体"/>
                <w:b w:val="0"/>
                <w:bCs/>
                <w:szCs w:val="24"/>
                <w:highlight w:val="none"/>
                <w:lang w:val="en-US" w:eastAsia="zh-CN"/>
              </w:rPr>
              <w:t>参数</w:t>
            </w:r>
          </w:p>
          <w:p w14:paraId="29627FD0">
            <w:pPr>
              <w:spacing w:line="360" w:lineRule="auto"/>
              <w:jc w:val="center"/>
              <w:rPr>
                <w:rFonts w:hint="eastAsia" w:ascii="宋体" w:hAnsi="宋体" w:cs="宋体"/>
                <w:color w:val="auto"/>
                <w:szCs w:val="21"/>
                <w:highlight w:val="none"/>
              </w:rPr>
            </w:pPr>
            <w:r>
              <w:rPr>
                <w:rFonts w:hint="eastAsia" w:ascii="宋体" w:hAnsi="宋体" w:eastAsia="宋体" w:cs="宋体"/>
                <w:b w:val="0"/>
                <w:bCs/>
                <w:szCs w:val="24"/>
                <w:highlight w:val="none"/>
                <w:lang w:val="en-US" w:eastAsia="zh-CN"/>
              </w:rPr>
              <w:t>响应</w:t>
            </w:r>
          </w:p>
        </w:tc>
        <w:tc>
          <w:tcPr>
            <w:tcW w:w="544" w:type="pct"/>
            <w:noWrap w:val="0"/>
            <w:vAlign w:val="center"/>
          </w:tcPr>
          <w:p w14:paraId="177EAC93">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9分</w:t>
            </w:r>
          </w:p>
        </w:tc>
        <w:tc>
          <w:tcPr>
            <w:tcW w:w="3930" w:type="pct"/>
            <w:noWrap w:val="0"/>
            <w:vAlign w:val="center"/>
          </w:tcPr>
          <w:p w14:paraId="63A01BBB">
            <w:pPr>
              <w:pStyle w:val="46"/>
              <w:spacing w:line="360" w:lineRule="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所投产品技术参数清楚、明确并能逐条响应磋商文件中所有参数要求，得9分，每项负偏离扣1分，扣完为止。</w:t>
            </w:r>
          </w:p>
          <w:p w14:paraId="7A0F6A41">
            <w:pPr>
              <w:pStyle w:val="46"/>
              <w:spacing w:line="360" w:lineRule="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注：产品参数需提供相关佐证材料（佐证材料包含但不限于：第三方检测报告、产品彩页、说明书等内容，证明材料需加盖公章，未提供相关证明材料不得分 。）</w:t>
            </w:r>
          </w:p>
        </w:tc>
      </w:tr>
      <w:tr w14:paraId="6DB03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525" w:type="pct"/>
            <w:noWrap w:val="0"/>
            <w:vAlign w:val="center"/>
          </w:tcPr>
          <w:p w14:paraId="69109B49">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zh-CN" w:eastAsia="zh-CN" w:bidi="ar"/>
              </w:rPr>
              <w:t>实施方案</w:t>
            </w:r>
          </w:p>
        </w:tc>
        <w:tc>
          <w:tcPr>
            <w:tcW w:w="544" w:type="pct"/>
            <w:noWrap w:val="0"/>
            <w:vAlign w:val="center"/>
          </w:tcPr>
          <w:p w14:paraId="1DF3E91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3930" w:type="pct"/>
            <w:noWrap w:val="0"/>
            <w:vAlign w:val="center"/>
          </w:tcPr>
          <w:p w14:paraId="29ECE79D">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 xml:space="preserve">一、评审内容 </w:t>
            </w:r>
          </w:p>
          <w:p w14:paraId="53A6C65F">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针对本项目提出适用于本项目的方案，方案包括：①人员②车辆③配送④发放⑤部分货物须送货上门。 </w:t>
            </w:r>
          </w:p>
          <w:p w14:paraId="4193D188">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 xml:space="preserve">二、评审标准 </w:t>
            </w:r>
          </w:p>
          <w:p w14:paraId="4E9969AF">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1、完整性：方案必须全面，对评审内容中的各项要求有详细描述； </w:t>
            </w:r>
          </w:p>
          <w:p w14:paraId="17F85363">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2、可实施性：切合本项目实际情况，提出步骤清晰、合理的方案； </w:t>
            </w:r>
          </w:p>
          <w:p w14:paraId="680060DF">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3、针对性：方案能够紧扣项目实际情况，内容科学合理。 </w:t>
            </w:r>
          </w:p>
          <w:p w14:paraId="74BE851D">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 xml:space="preserve">三、赋分标准（满分15分） </w:t>
            </w:r>
          </w:p>
          <w:p w14:paraId="232D0AD3">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①人员：每完全满足一个评审标准得1分，</w:t>
            </w:r>
            <w:r>
              <w:rPr>
                <w:rFonts w:hint="eastAsia" w:hAnsi="宋体" w:cs="宋体"/>
                <w:color w:val="000000"/>
                <w:kern w:val="0"/>
                <w:sz w:val="24"/>
                <w:szCs w:val="24"/>
                <w:highlight w:val="none"/>
                <w:lang w:val="en-US" w:eastAsia="zh-CN" w:bidi="ar"/>
              </w:rPr>
              <w:t>不能</w:t>
            </w:r>
            <w:r>
              <w:rPr>
                <w:rFonts w:hint="eastAsia" w:ascii="宋体" w:hAnsi="宋体" w:eastAsia="宋体" w:cs="宋体"/>
                <w:color w:val="000000"/>
                <w:kern w:val="0"/>
                <w:sz w:val="24"/>
                <w:szCs w:val="24"/>
                <w:highlight w:val="none"/>
                <w:lang w:val="en-US" w:eastAsia="zh-CN" w:bidi="ar"/>
              </w:rPr>
              <w:t>完全满足一个评审标准</w:t>
            </w:r>
            <w:r>
              <w:rPr>
                <w:rFonts w:hint="eastAsia" w:hAnsi="宋体" w:cs="宋体"/>
                <w:color w:val="000000"/>
                <w:kern w:val="0"/>
                <w:sz w:val="24"/>
                <w:szCs w:val="24"/>
                <w:highlight w:val="none"/>
                <w:lang w:val="en-US" w:eastAsia="zh-CN" w:bidi="ar"/>
              </w:rPr>
              <w:t>要求综合赋分0-0.9</w:t>
            </w:r>
            <w:r>
              <w:rPr>
                <w:rFonts w:hint="eastAsia" w:ascii="宋体" w:hAnsi="宋体" w:eastAsia="宋体" w:cs="宋体"/>
                <w:color w:val="000000"/>
                <w:kern w:val="0"/>
                <w:sz w:val="24"/>
                <w:szCs w:val="24"/>
                <w:highlight w:val="none"/>
                <w:lang w:val="en-US" w:eastAsia="zh-CN" w:bidi="ar"/>
              </w:rPr>
              <w:t xml:space="preserve">分，满分3 分； </w:t>
            </w:r>
          </w:p>
          <w:p w14:paraId="7ECE8840">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②车辆：每完全满足一个评审标准得1分，</w:t>
            </w:r>
            <w:r>
              <w:rPr>
                <w:rFonts w:hint="eastAsia" w:hAnsi="宋体" w:cs="宋体"/>
                <w:color w:val="000000"/>
                <w:kern w:val="0"/>
                <w:sz w:val="24"/>
                <w:szCs w:val="24"/>
                <w:highlight w:val="none"/>
                <w:lang w:val="en-US" w:eastAsia="zh-CN" w:bidi="ar"/>
              </w:rPr>
              <w:t>不能</w:t>
            </w:r>
            <w:r>
              <w:rPr>
                <w:rFonts w:hint="eastAsia" w:ascii="宋体" w:hAnsi="宋体" w:eastAsia="宋体" w:cs="宋体"/>
                <w:color w:val="000000"/>
                <w:kern w:val="0"/>
                <w:sz w:val="24"/>
                <w:szCs w:val="24"/>
                <w:highlight w:val="none"/>
                <w:lang w:val="en-US" w:eastAsia="zh-CN" w:bidi="ar"/>
              </w:rPr>
              <w:t>完全满足一个评审标准</w:t>
            </w:r>
            <w:r>
              <w:rPr>
                <w:rFonts w:hint="eastAsia" w:hAnsi="宋体" w:cs="宋体"/>
                <w:color w:val="000000"/>
                <w:kern w:val="0"/>
                <w:sz w:val="24"/>
                <w:szCs w:val="24"/>
                <w:highlight w:val="none"/>
                <w:lang w:val="en-US" w:eastAsia="zh-CN" w:bidi="ar"/>
              </w:rPr>
              <w:t>要求综合赋分0-0.9</w:t>
            </w:r>
            <w:r>
              <w:rPr>
                <w:rFonts w:hint="eastAsia" w:ascii="宋体" w:hAnsi="宋体" w:eastAsia="宋体" w:cs="宋体"/>
                <w:color w:val="000000"/>
                <w:kern w:val="0"/>
                <w:sz w:val="24"/>
                <w:szCs w:val="24"/>
                <w:highlight w:val="none"/>
                <w:lang w:val="en-US" w:eastAsia="zh-CN" w:bidi="ar"/>
              </w:rPr>
              <w:t xml:space="preserve">分，满分3分； </w:t>
            </w:r>
          </w:p>
          <w:p w14:paraId="1744F01C">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③配送：每完全满足一个评审标准得1分，</w:t>
            </w:r>
            <w:r>
              <w:rPr>
                <w:rFonts w:hint="eastAsia" w:hAnsi="宋体" w:cs="宋体"/>
                <w:color w:val="000000"/>
                <w:kern w:val="0"/>
                <w:sz w:val="24"/>
                <w:szCs w:val="24"/>
                <w:highlight w:val="none"/>
                <w:lang w:val="en-US" w:eastAsia="zh-CN" w:bidi="ar"/>
              </w:rPr>
              <w:t>不能</w:t>
            </w:r>
            <w:r>
              <w:rPr>
                <w:rFonts w:hint="eastAsia" w:ascii="宋体" w:hAnsi="宋体" w:eastAsia="宋体" w:cs="宋体"/>
                <w:color w:val="000000"/>
                <w:kern w:val="0"/>
                <w:sz w:val="24"/>
                <w:szCs w:val="24"/>
                <w:highlight w:val="none"/>
                <w:lang w:val="en-US" w:eastAsia="zh-CN" w:bidi="ar"/>
              </w:rPr>
              <w:t>完全满足一个评审标准</w:t>
            </w:r>
            <w:r>
              <w:rPr>
                <w:rFonts w:hint="eastAsia" w:hAnsi="宋体" w:cs="宋体"/>
                <w:color w:val="000000"/>
                <w:kern w:val="0"/>
                <w:sz w:val="24"/>
                <w:szCs w:val="24"/>
                <w:highlight w:val="none"/>
                <w:lang w:val="en-US" w:eastAsia="zh-CN" w:bidi="ar"/>
              </w:rPr>
              <w:t>要求综合赋分0-0.9</w:t>
            </w:r>
            <w:r>
              <w:rPr>
                <w:rFonts w:hint="eastAsia" w:ascii="宋体" w:hAnsi="宋体" w:eastAsia="宋体" w:cs="宋体"/>
                <w:color w:val="000000"/>
                <w:kern w:val="0"/>
                <w:sz w:val="24"/>
                <w:szCs w:val="24"/>
                <w:highlight w:val="none"/>
                <w:lang w:val="en-US" w:eastAsia="zh-CN" w:bidi="ar"/>
              </w:rPr>
              <w:t>分，满分3分；</w:t>
            </w:r>
          </w:p>
          <w:p w14:paraId="3CE15F92">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④发放：每完全满足一个评审标准得1分，</w:t>
            </w:r>
            <w:r>
              <w:rPr>
                <w:rFonts w:hint="eastAsia" w:hAnsi="宋体" w:cs="宋体"/>
                <w:color w:val="000000"/>
                <w:kern w:val="0"/>
                <w:sz w:val="24"/>
                <w:szCs w:val="24"/>
                <w:highlight w:val="none"/>
                <w:lang w:val="en-US" w:eastAsia="zh-CN" w:bidi="ar"/>
              </w:rPr>
              <w:t>不能</w:t>
            </w:r>
            <w:r>
              <w:rPr>
                <w:rFonts w:hint="eastAsia" w:ascii="宋体" w:hAnsi="宋体" w:eastAsia="宋体" w:cs="宋体"/>
                <w:color w:val="000000"/>
                <w:kern w:val="0"/>
                <w:sz w:val="24"/>
                <w:szCs w:val="24"/>
                <w:highlight w:val="none"/>
                <w:lang w:val="en-US" w:eastAsia="zh-CN" w:bidi="ar"/>
              </w:rPr>
              <w:t>完全满足一个评审标准</w:t>
            </w:r>
            <w:r>
              <w:rPr>
                <w:rFonts w:hint="eastAsia" w:hAnsi="宋体" w:cs="宋体"/>
                <w:color w:val="000000"/>
                <w:kern w:val="0"/>
                <w:sz w:val="24"/>
                <w:szCs w:val="24"/>
                <w:highlight w:val="none"/>
                <w:lang w:val="en-US" w:eastAsia="zh-CN" w:bidi="ar"/>
              </w:rPr>
              <w:t>要求综合赋分0-0.9</w:t>
            </w:r>
            <w:r>
              <w:rPr>
                <w:rFonts w:hint="eastAsia" w:ascii="宋体" w:hAnsi="宋体" w:eastAsia="宋体" w:cs="宋体"/>
                <w:color w:val="000000"/>
                <w:kern w:val="0"/>
                <w:sz w:val="24"/>
                <w:szCs w:val="24"/>
                <w:highlight w:val="none"/>
                <w:lang w:val="en-US" w:eastAsia="zh-CN" w:bidi="ar"/>
              </w:rPr>
              <w:t>分，满分3分；</w:t>
            </w:r>
          </w:p>
          <w:p w14:paraId="0EFF5E3B">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⑤部分货物须送货上门：每完全满足一个评审标准得1分，</w:t>
            </w:r>
            <w:r>
              <w:rPr>
                <w:rFonts w:hint="eastAsia" w:hAnsi="宋体" w:cs="宋体"/>
                <w:color w:val="000000"/>
                <w:kern w:val="0"/>
                <w:sz w:val="24"/>
                <w:szCs w:val="24"/>
                <w:highlight w:val="none"/>
                <w:lang w:val="en-US" w:eastAsia="zh-CN" w:bidi="ar"/>
              </w:rPr>
              <w:t>不能</w:t>
            </w:r>
            <w:r>
              <w:rPr>
                <w:rFonts w:hint="eastAsia" w:ascii="宋体" w:hAnsi="宋体" w:eastAsia="宋体" w:cs="宋体"/>
                <w:color w:val="000000"/>
                <w:kern w:val="0"/>
                <w:sz w:val="24"/>
                <w:szCs w:val="24"/>
                <w:highlight w:val="none"/>
                <w:lang w:val="en-US" w:eastAsia="zh-CN" w:bidi="ar"/>
              </w:rPr>
              <w:t>完全满足一个评审标准</w:t>
            </w:r>
            <w:r>
              <w:rPr>
                <w:rFonts w:hint="eastAsia" w:hAnsi="宋体" w:cs="宋体"/>
                <w:color w:val="000000"/>
                <w:kern w:val="0"/>
                <w:sz w:val="24"/>
                <w:szCs w:val="24"/>
                <w:highlight w:val="none"/>
                <w:lang w:val="en-US" w:eastAsia="zh-CN" w:bidi="ar"/>
              </w:rPr>
              <w:t>要求综合赋分0-0.9</w:t>
            </w:r>
            <w:r>
              <w:rPr>
                <w:rFonts w:hint="eastAsia" w:ascii="宋体" w:hAnsi="宋体" w:eastAsia="宋体" w:cs="宋体"/>
                <w:color w:val="000000"/>
                <w:kern w:val="0"/>
                <w:sz w:val="24"/>
                <w:szCs w:val="24"/>
                <w:highlight w:val="none"/>
                <w:lang w:val="en-US" w:eastAsia="zh-CN" w:bidi="ar"/>
              </w:rPr>
              <w:t>分，满分3 分。</w:t>
            </w:r>
          </w:p>
        </w:tc>
      </w:tr>
      <w:tr w14:paraId="06821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5" w:hRule="atLeast"/>
          <w:jc w:val="center"/>
        </w:trPr>
        <w:tc>
          <w:tcPr>
            <w:tcW w:w="525" w:type="pct"/>
            <w:noWrap w:val="0"/>
            <w:vAlign w:val="center"/>
          </w:tcPr>
          <w:p w14:paraId="6C86F9CF">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质量保证</w:t>
            </w:r>
          </w:p>
        </w:tc>
        <w:tc>
          <w:tcPr>
            <w:tcW w:w="544" w:type="pct"/>
            <w:noWrap w:val="0"/>
            <w:vAlign w:val="center"/>
          </w:tcPr>
          <w:p w14:paraId="00D9695B">
            <w:pPr>
              <w:spacing w:line="360" w:lineRule="auto"/>
              <w:jc w:val="center"/>
              <w:rPr>
                <w:rFonts w:hint="eastAsia" w:ascii="宋体" w:hAnsi="宋体" w:cs="宋体"/>
                <w:b w:val="0"/>
                <w:bCs w:val="0"/>
                <w:color w:val="auto"/>
                <w:sz w:val="24"/>
                <w:szCs w:val="24"/>
                <w:highlight w:val="none"/>
              </w:rPr>
            </w:pPr>
            <w:r>
              <w:rPr>
                <w:rFonts w:hint="eastAsia" w:ascii="宋体" w:hAnsi="宋体"/>
                <w:b w:val="0"/>
                <w:bCs w:val="0"/>
                <w:color w:val="auto"/>
                <w:sz w:val="24"/>
                <w:szCs w:val="24"/>
                <w:highlight w:val="none"/>
                <w:lang w:val="en-US" w:eastAsia="zh-CN"/>
              </w:rPr>
              <w:t>18</w:t>
            </w:r>
            <w:r>
              <w:rPr>
                <w:rFonts w:ascii="宋体" w:hAnsi="宋体"/>
                <w:b w:val="0"/>
                <w:bCs w:val="0"/>
                <w:color w:val="auto"/>
                <w:sz w:val="24"/>
                <w:szCs w:val="24"/>
                <w:highlight w:val="none"/>
              </w:rPr>
              <w:t>分</w:t>
            </w:r>
          </w:p>
        </w:tc>
        <w:tc>
          <w:tcPr>
            <w:tcW w:w="3930" w:type="pct"/>
            <w:noWrap w:val="0"/>
            <w:vAlign w:val="center"/>
          </w:tcPr>
          <w:p w14:paraId="63F469FD">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 xml:space="preserve">一、评审内容 </w:t>
            </w:r>
          </w:p>
          <w:p w14:paraId="3A077527">
            <w:pPr>
              <w:keepNext w:val="0"/>
              <w:keepLines w:val="0"/>
              <w:widowControl/>
              <w:suppressLineNumbers w:val="0"/>
              <w:spacing w:line="360" w:lineRule="auto"/>
              <w:jc w:val="both"/>
              <w:rPr>
                <w:rFonts w:hint="default" w:ascii="宋体" w:hAnsi="宋体" w:eastAsia="宋体" w:cs="宋体"/>
                <w:highlight w:val="none"/>
                <w:lang w:val="en-US"/>
              </w:rPr>
            </w:pPr>
            <w:r>
              <w:rPr>
                <w:rFonts w:hint="eastAsia" w:ascii="宋体" w:hAnsi="宋体" w:eastAsia="宋体" w:cs="宋体"/>
                <w:color w:val="000000"/>
                <w:kern w:val="0"/>
                <w:sz w:val="24"/>
                <w:szCs w:val="24"/>
                <w:highlight w:val="none"/>
                <w:lang w:val="en-US" w:eastAsia="zh-CN" w:bidi="ar"/>
              </w:rPr>
              <w:t>针对本项目提出适用于本项目的方案，方案包括：①产品质量安全措施②</w:t>
            </w:r>
            <w:r>
              <w:rPr>
                <w:rStyle w:val="47"/>
                <w:rFonts w:hint="eastAsia" w:ascii="宋体" w:hAnsi="宋体" w:eastAsia="宋体" w:cs="宋体"/>
                <w:color w:val="auto"/>
                <w:kern w:val="2"/>
                <w:sz w:val="24"/>
                <w:szCs w:val="24"/>
                <w:highlight w:val="none"/>
                <w:lang w:val="en-US" w:eastAsia="zh-CN" w:bidi="ar-SA"/>
              </w:rPr>
              <w:t>严格执行国家或行业标准</w:t>
            </w:r>
            <w:r>
              <w:rPr>
                <w:rFonts w:hint="eastAsia" w:ascii="宋体" w:hAnsi="宋体" w:eastAsia="宋体" w:cs="宋体"/>
                <w:color w:val="000000"/>
                <w:kern w:val="0"/>
                <w:sz w:val="24"/>
                <w:szCs w:val="24"/>
                <w:highlight w:val="none"/>
                <w:lang w:val="en-US" w:eastAsia="zh-CN" w:bidi="ar"/>
              </w:rPr>
              <w:t>③</w:t>
            </w:r>
            <w:r>
              <w:rPr>
                <w:rStyle w:val="47"/>
                <w:rFonts w:hint="eastAsia" w:ascii="宋体" w:hAnsi="宋体" w:eastAsia="宋体" w:cs="宋体"/>
                <w:color w:val="auto"/>
                <w:kern w:val="2"/>
                <w:sz w:val="24"/>
                <w:szCs w:val="24"/>
                <w:highlight w:val="none"/>
                <w:lang w:val="en-US" w:eastAsia="zh-CN" w:bidi="ar-SA"/>
              </w:rPr>
              <w:t>质量保证措施及承诺</w:t>
            </w:r>
            <w:r>
              <w:rPr>
                <w:rFonts w:hint="eastAsia" w:ascii="宋体" w:hAnsi="宋体" w:eastAsia="宋体" w:cs="宋体"/>
                <w:color w:val="000000"/>
                <w:kern w:val="0"/>
                <w:sz w:val="24"/>
                <w:szCs w:val="24"/>
                <w:highlight w:val="none"/>
                <w:lang w:val="en-US" w:eastAsia="zh-CN" w:bidi="ar"/>
              </w:rPr>
              <w:t xml:space="preserve"> ④履约能力</w:t>
            </w:r>
          </w:p>
          <w:p w14:paraId="66E297DC">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 xml:space="preserve">二、评审标准 </w:t>
            </w:r>
          </w:p>
          <w:p w14:paraId="40FC60D3">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1、完整性：方案必须全面，对评审内容中的各项要求有详细描述； </w:t>
            </w:r>
          </w:p>
          <w:p w14:paraId="7DF94D6D">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2、可实施性：切合本项目实际情况，提出步骤清晰、合理的方案； </w:t>
            </w:r>
          </w:p>
          <w:p w14:paraId="20FBA878">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3、针对性：方案能够紧扣项目实际情况，内容科学合理。 </w:t>
            </w:r>
          </w:p>
          <w:p w14:paraId="7BF42D5B">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 xml:space="preserve">三、赋分标准（满分18分） </w:t>
            </w:r>
          </w:p>
          <w:p w14:paraId="499B5339">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①产品质量安全措施：每完全满足一个评审标准得1.5分，</w:t>
            </w:r>
            <w:r>
              <w:rPr>
                <w:rFonts w:hint="eastAsia" w:hAnsi="宋体" w:cs="宋体"/>
                <w:color w:val="000000"/>
                <w:kern w:val="0"/>
                <w:sz w:val="24"/>
                <w:szCs w:val="24"/>
                <w:highlight w:val="none"/>
                <w:lang w:val="en-US" w:eastAsia="zh-CN" w:bidi="ar"/>
              </w:rPr>
              <w:t>不能</w:t>
            </w:r>
            <w:r>
              <w:rPr>
                <w:rFonts w:hint="eastAsia" w:ascii="宋体" w:hAnsi="宋体" w:eastAsia="宋体" w:cs="宋体"/>
                <w:color w:val="000000"/>
                <w:kern w:val="0"/>
                <w:sz w:val="24"/>
                <w:szCs w:val="24"/>
                <w:highlight w:val="none"/>
                <w:lang w:val="en-US" w:eastAsia="zh-CN" w:bidi="ar"/>
              </w:rPr>
              <w:t>完全满足一个评审标准</w:t>
            </w:r>
            <w:r>
              <w:rPr>
                <w:rFonts w:hint="eastAsia" w:hAnsi="宋体" w:cs="宋体"/>
                <w:color w:val="000000"/>
                <w:kern w:val="0"/>
                <w:sz w:val="24"/>
                <w:szCs w:val="24"/>
                <w:highlight w:val="none"/>
                <w:lang w:val="en-US" w:eastAsia="zh-CN" w:bidi="ar"/>
              </w:rPr>
              <w:t>要求综合赋分0-1.4</w:t>
            </w:r>
            <w:r>
              <w:rPr>
                <w:rFonts w:hint="eastAsia" w:ascii="宋体" w:hAnsi="宋体" w:eastAsia="宋体" w:cs="宋体"/>
                <w:color w:val="000000"/>
                <w:kern w:val="0"/>
                <w:sz w:val="24"/>
                <w:szCs w:val="24"/>
                <w:highlight w:val="none"/>
                <w:lang w:val="en-US" w:eastAsia="zh-CN" w:bidi="ar"/>
              </w:rPr>
              <w:t xml:space="preserve">分，满分4.5分； </w:t>
            </w:r>
          </w:p>
          <w:p w14:paraId="4E9C2B9E">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②</w:t>
            </w:r>
            <w:r>
              <w:rPr>
                <w:rStyle w:val="47"/>
                <w:rFonts w:hint="eastAsia" w:ascii="宋体" w:hAnsi="宋体" w:eastAsia="宋体" w:cs="宋体"/>
                <w:color w:val="auto"/>
                <w:kern w:val="2"/>
                <w:sz w:val="24"/>
                <w:szCs w:val="24"/>
                <w:highlight w:val="none"/>
                <w:lang w:val="en-US" w:eastAsia="zh-CN" w:bidi="ar-SA"/>
              </w:rPr>
              <w:t>严格执行国家或行业标准</w:t>
            </w:r>
            <w:r>
              <w:rPr>
                <w:rFonts w:hint="eastAsia" w:ascii="宋体" w:hAnsi="宋体" w:eastAsia="宋体" w:cs="宋体"/>
                <w:color w:val="000000"/>
                <w:kern w:val="0"/>
                <w:sz w:val="24"/>
                <w:szCs w:val="24"/>
                <w:highlight w:val="none"/>
                <w:lang w:val="en-US" w:eastAsia="zh-CN" w:bidi="ar"/>
              </w:rPr>
              <w:t>：每完全满足一个评审标准得1.5分，</w:t>
            </w:r>
            <w:r>
              <w:rPr>
                <w:rFonts w:hint="eastAsia" w:hAnsi="宋体" w:cs="宋体"/>
                <w:color w:val="000000"/>
                <w:kern w:val="0"/>
                <w:sz w:val="24"/>
                <w:szCs w:val="24"/>
                <w:highlight w:val="none"/>
                <w:lang w:val="en-US" w:eastAsia="zh-CN" w:bidi="ar"/>
              </w:rPr>
              <w:t>不能</w:t>
            </w:r>
            <w:r>
              <w:rPr>
                <w:rFonts w:hint="eastAsia" w:ascii="宋体" w:hAnsi="宋体" w:eastAsia="宋体" w:cs="宋体"/>
                <w:color w:val="000000"/>
                <w:kern w:val="0"/>
                <w:sz w:val="24"/>
                <w:szCs w:val="24"/>
                <w:highlight w:val="none"/>
                <w:lang w:val="en-US" w:eastAsia="zh-CN" w:bidi="ar"/>
              </w:rPr>
              <w:t>完全满足一个评审标准</w:t>
            </w:r>
            <w:r>
              <w:rPr>
                <w:rFonts w:hint="eastAsia" w:hAnsi="宋体" w:cs="宋体"/>
                <w:color w:val="000000"/>
                <w:kern w:val="0"/>
                <w:sz w:val="24"/>
                <w:szCs w:val="24"/>
                <w:highlight w:val="none"/>
                <w:lang w:val="en-US" w:eastAsia="zh-CN" w:bidi="ar"/>
              </w:rPr>
              <w:t>要求综合赋分0-1.4</w:t>
            </w:r>
            <w:r>
              <w:rPr>
                <w:rFonts w:hint="eastAsia" w:ascii="宋体" w:hAnsi="宋体" w:eastAsia="宋体" w:cs="宋体"/>
                <w:color w:val="000000"/>
                <w:kern w:val="0"/>
                <w:sz w:val="24"/>
                <w:szCs w:val="24"/>
                <w:highlight w:val="none"/>
                <w:lang w:val="en-US" w:eastAsia="zh-CN" w:bidi="ar"/>
              </w:rPr>
              <w:t xml:space="preserve">分，满分4.5分；   </w:t>
            </w:r>
          </w:p>
          <w:p w14:paraId="1B0CB1E9">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③</w:t>
            </w:r>
            <w:r>
              <w:rPr>
                <w:rStyle w:val="47"/>
                <w:rFonts w:hint="eastAsia" w:ascii="宋体" w:hAnsi="宋体" w:eastAsia="宋体" w:cs="宋体"/>
                <w:color w:val="auto"/>
                <w:kern w:val="2"/>
                <w:sz w:val="24"/>
                <w:szCs w:val="24"/>
                <w:highlight w:val="none"/>
                <w:lang w:val="en-US" w:eastAsia="zh-CN" w:bidi="ar-SA"/>
              </w:rPr>
              <w:t>质量保证措施及承诺</w:t>
            </w:r>
            <w:r>
              <w:rPr>
                <w:rFonts w:hint="eastAsia" w:ascii="宋体" w:hAnsi="宋体" w:eastAsia="宋体" w:cs="宋体"/>
                <w:color w:val="000000"/>
                <w:kern w:val="0"/>
                <w:sz w:val="24"/>
                <w:szCs w:val="24"/>
                <w:highlight w:val="none"/>
                <w:lang w:val="en-US" w:eastAsia="zh-CN" w:bidi="ar"/>
              </w:rPr>
              <w:t>：每完全满足一个评审标准得1.5分，</w:t>
            </w:r>
            <w:r>
              <w:rPr>
                <w:rFonts w:hint="eastAsia" w:hAnsi="宋体" w:cs="宋体"/>
                <w:color w:val="000000"/>
                <w:kern w:val="0"/>
                <w:sz w:val="24"/>
                <w:szCs w:val="24"/>
                <w:highlight w:val="none"/>
                <w:lang w:val="en-US" w:eastAsia="zh-CN" w:bidi="ar"/>
              </w:rPr>
              <w:t>不能</w:t>
            </w:r>
            <w:r>
              <w:rPr>
                <w:rFonts w:hint="eastAsia" w:ascii="宋体" w:hAnsi="宋体" w:eastAsia="宋体" w:cs="宋体"/>
                <w:color w:val="000000"/>
                <w:kern w:val="0"/>
                <w:sz w:val="24"/>
                <w:szCs w:val="24"/>
                <w:highlight w:val="none"/>
                <w:lang w:val="en-US" w:eastAsia="zh-CN" w:bidi="ar"/>
              </w:rPr>
              <w:t>完全满足一个评审标准</w:t>
            </w:r>
            <w:r>
              <w:rPr>
                <w:rFonts w:hint="eastAsia" w:hAnsi="宋体" w:cs="宋体"/>
                <w:color w:val="000000"/>
                <w:kern w:val="0"/>
                <w:sz w:val="24"/>
                <w:szCs w:val="24"/>
                <w:highlight w:val="none"/>
                <w:lang w:val="en-US" w:eastAsia="zh-CN" w:bidi="ar"/>
              </w:rPr>
              <w:t>要求综合赋分0-1.4</w:t>
            </w:r>
            <w:r>
              <w:rPr>
                <w:rFonts w:hint="eastAsia" w:ascii="宋体" w:hAnsi="宋体" w:eastAsia="宋体" w:cs="宋体"/>
                <w:color w:val="000000"/>
                <w:kern w:val="0"/>
                <w:sz w:val="24"/>
                <w:szCs w:val="24"/>
                <w:highlight w:val="none"/>
                <w:lang w:val="en-US" w:eastAsia="zh-CN" w:bidi="ar"/>
              </w:rPr>
              <w:t xml:space="preserve">分，满分4.5分； </w:t>
            </w:r>
          </w:p>
          <w:p w14:paraId="382C6B52">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④履约能力：每完全满足一个评审标准得1.5分，</w:t>
            </w:r>
            <w:r>
              <w:rPr>
                <w:rFonts w:hint="eastAsia" w:hAnsi="宋体" w:cs="宋体"/>
                <w:color w:val="000000"/>
                <w:kern w:val="0"/>
                <w:sz w:val="24"/>
                <w:szCs w:val="24"/>
                <w:highlight w:val="none"/>
                <w:lang w:val="en-US" w:eastAsia="zh-CN" w:bidi="ar"/>
              </w:rPr>
              <w:t>不能</w:t>
            </w:r>
            <w:r>
              <w:rPr>
                <w:rFonts w:hint="eastAsia" w:ascii="宋体" w:hAnsi="宋体" w:eastAsia="宋体" w:cs="宋体"/>
                <w:color w:val="000000"/>
                <w:kern w:val="0"/>
                <w:sz w:val="24"/>
                <w:szCs w:val="24"/>
                <w:highlight w:val="none"/>
                <w:lang w:val="en-US" w:eastAsia="zh-CN" w:bidi="ar"/>
              </w:rPr>
              <w:t>完全满足一个评审标准</w:t>
            </w:r>
            <w:r>
              <w:rPr>
                <w:rFonts w:hint="eastAsia" w:hAnsi="宋体" w:cs="宋体"/>
                <w:color w:val="000000"/>
                <w:kern w:val="0"/>
                <w:sz w:val="24"/>
                <w:szCs w:val="24"/>
                <w:highlight w:val="none"/>
                <w:lang w:val="en-US" w:eastAsia="zh-CN" w:bidi="ar"/>
              </w:rPr>
              <w:t>要求综合赋分0-1.4</w:t>
            </w:r>
            <w:r>
              <w:rPr>
                <w:rFonts w:hint="eastAsia" w:ascii="宋体" w:hAnsi="宋体" w:eastAsia="宋体" w:cs="宋体"/>
                <w:color w:val="000000"/>
                <w:kern w:val="0"/>
                <w:sz w:val="24"/>
                <w:szCs w:val="24"/>
                <w:highlight w:val="none"/>
                <w:lang w:val="en-US" w:eastAsia="zh-CN" w:bidi="ar"/>
              </w:rPr>
              <w:t>分，满分4.5分。</w:t>
            </w:r>
          </w:p>
        </w:tc>
      </w:tr>
      <w:tr w14:paraId="75889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525" w:type="pct"/>
            <w:noWrap w:val="0"/>
            <w:vAlign w:val="center"/>
          </w:tcPr>
          <w:p w14:paraId="722052EF">
            <w:pPr>
              <w:keepNext w:val="0"/>
              <w:keepLines w:val="0"/>
              <w:widowControl/>
              <w:suppressLineNumbers w:val="0"/>
              <w:spacing w:line="360" w:lineRule="auto"/>
              <w:jc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货物存储</w:t>
            </w:r>
          </w:p>
        </w:tc>
        <w:tc>
          <w:tcPr>
            <w:tcW w:w="544" w:type="pct"/>
            <w:noWrap w:val="0"/>
            <w:vAlign w:val="center"/>
          </w:tcPr>
          <w:p w14:paraId="7A2FC111">
            <w:pPr>
              <w:spacing w:line="360" w:lineRule="auto"/>
              <w:jc w:val="center"/>
              <w:rPr>
                <w:rFonts w:hint="eastAsia" w:ascii="宋体" w:hAnsi="宋体" w:cs="宋体"/>
                <w:b w:val="0"/>
                <w:bCs w:val="0"/>
                <w:color w:val="auto"/>
                <w:sz w:val="24"/>
                <w:szCs w:val="24"/>
                <w:highlight w:val="none"/>
              </w:rPr>
            </w:pPr>
            <w:r>
              <w:rPr>
                <w:rFonts w:hint="eastAsia" w:ascii="宋体" w:hAnsi="宋体"/>
                <w:b w:val="0"/>
                <w:bCs w:val="0"/>
                <w:color w:val="auto"/>
                <w:sz w:val="24"/>
                <w:szCs w:val="24"/>
                <w:highlight w:val="none"/>
                <w:lang w:val="en-US" w:eastAsia="zh-CN"/>
              </w:rPr>
              <w:t>9</w:t>
            </w:r>
            <w:r>
              <w:rPr>
                <w:rFonts w:ascii="宋体" w:hAnsi="宋体"/>
                <w:b w:val="0"/>
                <w:bCs w:val="0"/>
                <w:color w:val="auto"/>
                <w:sz w:val="24"/>
                <w:szCs w:val="24"/>
                <w:highlight w:val="none"/>
              </w:rPr>
              <w:t>分</w:t>
            </w:r>
          </w:p>
        </w:tc>
        <w:tc>
          <w:tcPr>
            <w:tcW w:w="3930" w:type="pct"/>
            <w:noWrap w:val="0"/>
            <w:vAlign w:val="center"/>
          </w:tcPr>
          <w:p w14:paraId="0B8E07AD">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 xml:space="preserve">一、评审内容 </w:t>
            </w:r>
          </w:p>
          <w:p w14:paraId="01173CE8">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针对本项目提出适用于本项目的方案，方案包括：①仓储条件（需提供实景照片）②仓储管理制度③环境、安全保障措施 </w:t>
            </w:r>
          </w:p>
          <w:p w14:paraId="6E881D08">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 xml:space="preserve">二、评审标准 </w:t>
            </w:r>
          </w:p>
          <w:p w14:paraId="336921B7">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1、完整性：方案必须全面，对评审内容中的各项要求有详细描述； </w:t>
            </w:r>
          </w:p>
          <w:p w14:paraId="49824B0E">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2、可实施性：切合本项目实际情况，提出步骤清晰、合理的方案； </w:t>
            </w:r>
          </w:p>
          <w:p w14:paraId="5888CB43">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3、针对性：方案能够紧扣项目实际情况，内容科学合理。 </w:t>
            </w:r>
          </w:p>
          <w:p w14:paraId="253B2812">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 xml:space="preserve">三、赋分标准（满分9分） </w:t>
            </w:r>
          </w:p>
          <w:p w14:paraId="0D0258F9">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①仓储条件（需提供实景照片）：每完全满足一个评审标准得1分，</w:t>
            </w:r>
            <w:r>
              <w:rPr>
                <w:rFonts w:hint="eastAsia" w:hAnsi="宋体" w:cs="宋体"/>
                <w:color w:val="000000"/>
                <w:kern w:val="0"/>
                <w:sz w:val="24"/>
                <w:szCs w:val="24"/>
                <w:highlight w:val="none"/>
                <w:lang w:val="en-US" w:eastAsia="zh-CN" w:bidi="ar"/>
              </w:rPr>
              <w:t>不能</w:t>
            </w:r>
            <w:r>
              <w:rPr>
                <w:rFonts w:hint="eastAsia" w:ascii="宋体" w:hAnsi="宋体" w:eastAsia="宋体" w:cs="宋体"/>
                <w:color w:val="000000"/>
                <w:kern w:val="0"/>
                <w:sz w:val="24"/>
                <w:szCs w:val="24"/>
                <w:highlight w:val="none"/>
                <w:lang w:val="en-US" w:eastAsia="zh-CN" w:bidi="ar"/>
              </w:rPr>
              <w:t>完全满足一个评审标准</w:t>
            </w:r>
            <w:r>
              <w:rPr>
                <w:rFonts w:hint="eastAsia" w:hAnsi="宋体" w:cs="宋体"/>
                <w:color w:val="000000"/>
                <w:kern w:val="0"/>
                <w:sz w:val="24"/>
                <w:szCs w:val="24"/>
                <w:highlight w:val="none"/>
                <w:lang w:val="en-US" w:eastAsia="zh-CN" w:bidi="ar"/>
              </w:rPr>
              <w:t>要求综合赋分0-0.9</w:t>
            </w:r>
            <w:r>
              <w:rPr>
                <w:rFonts w:hint="eastAsia" w:ascii="宋体" w:hAnsi="宋体" w:eastAsia="宋体" w:cs="宋体"/>
                <w:color w:val="000000"/>
                <w:kern w:val="0"/>
                <w:sz w:val="24"/>
                <w:szCs w:val="24"/>
                <w:highlight w:val="none"/>
                <w:lang w:val="en-US" w:eastAsia="zh-CN" w:bidi="ar"/>
              </w:rPr>
              <w:t xml:space="preserve">分，满分3分； </w:t>
            </w:r>
          </w:p>
          <w:p w14:paraId="23C562E1">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②仓储管理制度：每完全满足一个评审标准得1分，</w:t>
            </w:r>
            <w:r>
              <w:rPr>
                <w:rFonts w:hint="eastAsia" w:hAnsi="宋体" w:cs="宋体"/>
                <w:color w:val="000000"/>
                <w:kern w:val="0"/>
                <w:sz w:val="24"/>
                <w:szCs w:val="24"/>
                <w:highlight w:val="none"/>
                <w:lang w:val="en-US" w:eastAsia="zh-CN" w:bidi="ar"/>
              </w:rPr>
              <w:t>不能</w:t>
            </w:r>
            <w:r>
              <w:rPr>
                <w:rFonts w:hint="eastAsia" w:ascii="宋体" w:hAnsi="宋体" w:eastAsia="宋体" w:cs="宋体"/>
                <w:color w:val="000000"/>
                <w:kern w:val="0"/>
                <w:sz w:val="24"/>
                <w:szCs w:val="24"/>
                <w:highlight w:val="none"/>
                <w:lang w:val="en-US" w:eastAsia="zh-CN" w:bidi="ar"/>
              </w:rPr>
              <w:t>完全满足一个评审标准</w:t>
            </w:r>
            <w:r>
              <w:rPr>
                <w:rFonts w:hint="eastAsia" w:hAnsi="宋体" w:cs="宋体"/>
                <w:color w:val="000000"/>
                <w:kern w:val="0"/>
                <w:sz w:val="24"/>
                <w:szCs w:val="24"/>
                <w:highlight w:val="none"/>
                <w:lang w:val="en-US" w:eastAsia="zh-CN" w:bidi="ar"/>
              </w:rPr>
              <w:t>要求综合赋分0-0.9</w:t>
            </w:r>
            <w:r>
              <w:rPr>
                <w:rFonts w:hint="eastAsia" w:ascii="宋体" w:hAnsi="宋体" w:eastAsia="宋体" w:cs="宋体"/>
                <w:color w:val="000000"/>
                <w:kern w:val="0"/>
                <w:sz w:val="24"/>
                <w:szCs w:val="24"/>
                <w:highlight w:val="none"/>
                <w:lang w:val="en-US" w:eastAsia="zh-CN" w:bidi="ar"/>
              </w:rPr>
              <w:t xml:space="preserve">分，满分3分； </w:t>
            </w:r>
          </w:p>
          <w:p w14:paraId="667074A1">
            <w:pPr>
              <w:spacing w:line="360" w:lineRule="auto"/>
              <w:rPr>
                <w:rFonts w:hint="eastAsia" w:ascii="宋体" w:hAnsi="宋体" w:cs="宋体"/>
                <w:b w:val="0"/>
                <w:bCs w:val="0"/>
                <w:color w:val="auto"/>
                <w:sz w:val="24"/>
                <w:szCs w:val="24"/>
                <w:highlight w:val="none"/>
              </w:rPr>
            </w:pPr>
            <w:r>
              <w:rPr>
                <w:rFonts w:hint="eastAsia" w:ascii="宋体" w:hAnsi="宋体" w:eastAsia="宋体" w:cs="宋体"/>
                <w:color w:val="000000"/>
                <w:kern w:val="0"/>
                <w:sz w:val="24"/>
                <w:szCs w:val="24"/>
                <w:highlight w:val="none"/>
                <w:lang w:val="en-US" w:eastAsia="zh-CN" w:bidi="ar"/>
              </w:rPr>
              <w:t>③环境、安全保障措施：每完全满足一个评审标准得1分，</w:t>
            </w:r>
            <w:r>
              <w:rPr>
                <w:rFonts w:hint="eastAsia" w:hAnsi="宋体" w:cs="宋体"/>
                <w:color w:val="000000"/>
                <w:kern w:val="0"/>
                <w:sz w:val="24"/>
                <w:szCs w:val="24"/>
                <w:highlight w:val="none"/>
                <w:lang w:val="en-US" w:eastAsia="zh-CN" w:bidi="ar"/>
              </w:rPr>
              <w:t>不能</w:t>
            </w:r>
            <w:r>
              <w:rPr>
                <w:rFonts w:hint="eastAsia" w:ascii="宋体" w:hAnsi="宋体" w:eastAsia="宋体" w:cs="宋体"/>
                <w:color w:val="000000"/>
                <w:kern w:val="0"/>
                <w:sz w:val="24"/>
                <w:szCs w:val="24"/>
                <w:highlight w:val="none"/>
                <w:lang w:val="en-US" w:eastAsia="zh-CN" w:bidi="ar"/>
              </w:rPr>
              <w:t>完全满足一个评审标准</w:t>
            </w:r>
            <w:r>
              <w:rPr>
                <w:rFonts w:hint="eastAsia" w:hAnsi="宋体" w:cs="宋体"/>
                <w:color w:val="000000"/>
                <w:kern w:val="0"/>
                <w:sz w:val="24"/>
                <w:szCs w:val="24"/>
                <w:highlight w:val="none"/>
                <w:lang w:val="en-US" w:eastAsia="zh-CN" w:bidi="ar"/>
              </w:rPr>
              <w:t>要求综合赋分0-0.9</w:t>
            </w:r>
            <w:r>
              <w:rPr>
                <w:rFonts w:hint="eastAsia" w:ascii="宋体" w:hAnsi="宋体" w:eastAsia="宋体" w:cs="宋体"/>
                <w:color w:val="000000"/>
                <w:kern w:val="0"/>
                <w:sz w:val="24"/>
                <w:szCs w:val="24"/>
                <w:highlight w:val="none"/>
                <w:lang w:val="en-US" w:eastAsia="zh-CN" w:bidi="ar"/>
              </w:rPr>
              <w:t>分，满分3分。</w:t>
            </w:r>
          </w:p>
        </w:tc>
      </w:tr>
      <w:tr w14:paraId="4C725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525" w:type="pct"/>
            <w:noWrap w:val="0"/>
            <w:vAlign w:val="center"/>
          </w:tcPr>
          <w:p w14:paraId="0DB367BA">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zh-CN" w:eastAsia="zh-CN" w:bidi="ar"/>
              </w:rPr>
              <w:t>交付计划</w:t>
            </w:r>
          </w:p>
        </w:tc>
        <w:tc>
          <w:tcPr>
            <w:tcW w:w="544" w:type="pct"/>
            <w:noWrap w:val="0"/>
            <w:vAlign w:val="center"/>
          </w:tcPr>
          <w:p w14:paraId="1ABE2762">
            <w:pPr>
              <w:spacing w:line="360" w:lineRule="auto"/>
              <w:jc w:val="center"/>
              <w:rPr>
                <w:rFonts w:hint="eastAsia" w:ascii="宋体" w:hAnsi="宋体" w:cs="宋体"/>
                <w:b w:val="0"/>
                <w:bCs w:val="0"/>
                <w:color w:val="auto"/>
                <w:sz w:val="24"/>
                <w:szCs w:val="24"/>
                <w:highlight w:val="none"/>
              </w:rPr>
            </w:pPr>
            <w:r>
              <w:rPr>
                <w:rFonts w:hint="eastAsia" w:ascii="宋体" w:hAnsi="宋体"/>
                <w:b w:val="0"/>
                <w:bCs w:val="0"/>
                <w:color w:val="auto"/>
                <w:sz w:val="24"/>
                <w:szCs w:val="24"/>
                <w:highlight w:val="none"/>
                <w:lang w:val="en-US" w:eastAsia="zh-CN"/>
              </w:rPr>
              <w:t>9</w:t>
            </w:r>
            <w:r>
              <w:rPr>
                <w:rFonts w:ascii="宋体" w:hAnsi="宋体"/>
                <w:b w:val="0"/>
                <w:bCs w:val="0"/>
                <w:color w:val="auto"/>
                <w:sz w:val="24"/>
                <w:szCs w:val="24"/>
                <w:highlight w:val="none"/>
              </w:rPr>
              <w:t>分</w:t>
            </w:r>
          </w:p>
        </w:tc>
        <w:tc>
          <w:tcPr>
            <w:tcW w:w="3930" w:type="pct"/>
            <w:noWrap w:val="0"/>
            <w:vAlign w:val="center"/>
          </w:tcPr>
          <w:p w14:paraId="0FFC50FB">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 xml:space="preserve">一、评审内容 </w:t>
            </w:r>
          </w:p>
          <w:p w14:paraId="581599AA">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针对本项目提出适用于本项目的方案，方案包括：①</w:t>
            </w:r>
            <w:r>
              <w:rPr>
                <w:rFonts w:hint="eastAsia"/>
                <w:color w:val="auto"/>
                <w:highlight w:val="none"/>
                <w:lang w:val="en-US" w:eastAsia="zh-CN"/>
              </w:rPr>
              <w:t>交付计划合理安排措施</w:t>
            </w:r>
            <w:r>
              <w:rPr>
                <w:rFonts w:hint="eastAsia" w:ascii="宋体" w:hAnsi="宋体" w:eastAsia="宋体" w:cs="宋体"/>
                <w:color w:val="000000"/>
                <w:kern w:val="0"/>
                <w:sz w:val="24"/>
                <w:szCs w:val="24"/>
                <w:highlight w:val="none"/>
                <w:lang w:val="en-US" w:eastAsia="zh-CN" w:bidi="ar"/>
              </w:rPr>
              <w:t>②</w:t>
            </w:r>
            <w:r>
              <w:rPr>
                <w:rFonts w:hint="eastAsia"/>
                <w:color w:val="auto"/>
                <w:highlight w:val="none"/>
                <w:lang w:val="en-US" w:eastAsia="zh-CN"/>
              </w:rPr>
              <w:t>供货组织安排方案</w:t>
            </w:r>
            <w:r>
              <w:rPr>
                <w:rFonts w:hint="eastAsia" w:ascii="宋体" w:hAnsi="宋体" w:eastAsia="宋体" w:cs="宋体"/>
                <w:color w:val="000000"/>
                <w:kern w:val="0"/>
                <w:sz w:val="24"/>
                <w:szCs w:val="24"/>
                <w:highlight w:val="none"/>
                <w:lang w:val="en-US" w:eastAsia="zh-CN" w:bidi="ar"/>
              </w:rPr>
              <w:t xml:space="preserve">③详细的人员、调配、运输等说明 </w:t>
            </w:r>
          </w:p>
          <w:p w14:paraId="4631C206">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 xml:space="preserve">二、评审标准 </w:t>
            </w:r>
          </w:p>
          <w:p w14:paraId="7D78A616">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1、完整性：方案必须全面，对评审内容中的各项要求有详细描述； </w:t>
            </w:r>
          </w:p>
          <w:p w14:paraId="219C8758">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2、可实施性：切合本项目实际情况，提出步骤清晰、合理的方案； </w:t>
            </w:r>
          </w:p>
          <w:p w14:paraId="7AB12856">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3、针对性：方案能够紧扣项目实际情况，内容科学合理。 </w:t>
            </w:r>
          </w:p>
          <w:p w14:paraId="12C98CC6">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 xml:space="preserve">三、赋分标准（满分9分） </w:t>
            </w:r>
          </w:p>
          <w:p w14:paraId="6329D79D">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①</w:t>
            </w:r>
            <w:r>
              <w:rPr>
                <w:rFonts w:hint="eastAsia"/>
                <w:color w:val="auto"/>
                <w:highlight w:val="none"/>
                <w:lang w:val="en-US" w:eastAsia="zh-CN"/>
              </w:rPr>
              <w:t>交付计划合理安排措施</w:t>
            </w:r>
            <w:r>
              <w:rPr>
                <w:rFonts w:hint="eastAsia" w:ascii="宋体" w:hAnsi="宋体" w:eastAsia="宋体" w:cs="宋体"/>
                <w:color w:val="000000"/>
                <w:kern w:val="0"/>
                <w:sz w:val="24"/>
                <w:szCs w:val="24"/>
                <w:highlight w:val="none"/>
                <w:lang w:val="en-US" w:eastAsia="zh-CN" w:bidi="ar"/>
              </w:rPr>
              <w:t>：每完全满足一个评审标准得1分，</w:t>
            </w:r>
            <w:r>
              <w:rPr>
                <w:rFonts w:hint="eastAsia" w:hAnsi="宋体" w:cs="宋体"/>
                <w:color w:val="000000"/>
                <w:kern w:val="0"/>
                <w:sz w:val="24"/>
                <w:szCs w:val="24"/>
                <w:highlight w:val="none"/>
                <w:lang w:val="en-US" w:eastAsia="zh-CN" w:bidi="ar"/>
              </w:rPr>
              <w:t>不能</w:t>
            </w:r>
            <w:r>
              <w:rPr>
                <w:rFonts w:hint="eastAsia" w:ascii="宋体" w:hAnsi="宋体" w:eastAsia="宋体" w:cs="宋体"/>
                <w:color w:val="000000"/>
                <w:kern w:val="0"/>
                <w:sz w:val="24"/>
                <w:szCs w:val="24"/>
                <w:highlight w:val="none"/>
                <w:lang w:val="en-US" w:eastAsia="zh-CN" w:bidi="ar"/>
              </w:rPr>
              <w:t>完全满足一个评审标准</w:t>
            </w:r>
            <w:r>
              <w:rPr>
                <w:rFonts w:hint="eastAsia" w:hAnsi="宋体" w:cs="宋体"/>
                <w:color w:val="000000"/>
                <w:kern w:val="0"/>
                <w:sz w:val="24"/>
                <w:szCs w:val="24"/>
                <w:highlight w:val="none"/>
                <w:lang w:val="en-US" w:eastAsia="zh-CN" w:bidi="ar"/>
              </w:rPr>
              <w:t>要求综合赋分0-0.9</w:t>
            </w:r>
            <w:r>
              <w:rPr>
                <w:rFonts w:hint="eastAsia" w:ascii="宋体" w:hAnsi="宋体" w:eastAsia="宋体" w:cs="宋体"/>
                <w:color w:val="000000"/>
                <w:kern w:val="0"/>
                <w:sz w:val="24"/>
                <w:szCs w:val="24"/>
                <w:highlight w:val="none"/>
                <w:lang w:val="en-US" w:eastAsia="zh-CN" w:bidi="ar"/>
              </w:rPr>
              <w:t xml:space="preserve">分，满分3分； </w:t>
            </w:r>
          </w:p>
          <w:p w14:paraId="09A37B53">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②</w:t>
            </w:r>
            <w:r>
              <w:rPr>
                <w:rFonts w:hint="eastAsia"/>
                <w:color w:val="auto"/>
                <w:highlight w:val="none"/>
                <w:lang w:val="en-US" w:eastAsia="zh-CN"/>
              </w:rPr>
              <w:t>供货组织安排方案</w:t>
            </w:r>
            <w:r>
              <w:rPr>
                <w:rFonts w:hint="eastAsia" w:ascii="宋体" w:hAnsi="宋体" w:eastAsia="宋体" w:cs="宋体"/>
                <w:color w:val="000000"/>
                <w:kern w:val="0"/>
                <w:sz w:val="24"/>
                <w:szCs w:val="24"/>
                <w:highlight w:val="none"/>
                <w:lang w:val="en-US" w:eastAsia="zh-CN" w:bidi="ar"/>
              </w:rPr>
              <w:t>：每完全满足一个评审标准得1分，</w:t>
            </w:r>
            <w:r>
              <w:rPr>
                <w:rFonts w:hint="eastAsia" w:hAnsi="宋体" w:cs="宋体"/>
                <w:color w:val="000000"/>
                <w:kern w:val="0"/>
                <w:sz w:val="24"/>
                <w:szCs w:val="24"/>
                <w:highlight w:val="none"/>
                <w:lang w:val="en-US" w:eastAsia="zh-CN" w:bidi="ar"/>
              </w:rPr>
              <w:t>不能</w:t>
            </w:r>
            <w:r>
              <w:rPr>
                <w:rFonts w:hint="eastAsia" w:ascii="宋体" w:hAnsi="宋体" w:eastAsia="宋体" w:cs="宋体"/>
                <w:color w:val="000000"/>
                <w:kern w:val="0"/>
                <w:sz w:val="24"/>
                <w:szCs w:val="24"/>
                <w:highlight w:val="none"/>
                <w:lang w:val="en-US" w:eastAsia="zh-CN" w:bidi="ar"/>
              </w:rPr>
              <w:t>完全满足一个评审标准</w:t>
            </w:r>
            <w:r>
              <w:rPr>
                <w:rFonts w:hint="eastAsia" w:hAnsi="宋体" w:cs="宋体"/>
                <w:color w:val="000000"/>
                <w:kern w:val="0"/>
                <w:sz w:val="24"/>
                <w:szCs w:val="24"/>
                <w:highlight w:val="none"/>
                <w:lang w:val="en-US" w:eastAsia="zh-CN" w:bidi="ar"/>
              </w:rPr>
              <w:t>要求综合赋分0-0.9</w:t>
            </w:r>
            <w:r>
              <w:rPr>
                <w:rFonts w:hint="eastAsia" w:ascii="宋体" w:hAnsi="宋体" w:eastAsia="宋体" w:cs="宋体"/>
                <w:color w:val="000000"/>
                <w:kern w:val="0"/>
                <w:sz w:val="24"/>
                <w:szCs w:val="24"/>
                <w:highlight w:val="none"/>
                <w:lang w:val="en-US" w:eastAsia="zh-CN" w:bidi="ar"/>
              </w:rPr>
              <w:t xml:space="preserve">分，满分3分； </w:t>
            </w:r>
          </w:p>
          <w:p w14:paraId="7D7AD396">
            <w:pPr>
              <w:spacing w:line="360" w:lineRule="auto"/>
              <w:rPr>
                <w:rFonts w:hint="eastAsia" w:ascii="宋体" w:hAnsi="宋体" w:cs="宋体"/>
                <w:b w:val="0"/>
                <w:bCs w:val="0"/>
                <w:color w:val="auto"/>
                <w:sz w:val="24"/>
                <w:szCs w:val="24"/>
                <w:highlight w:val="none"/>
              </w:rPr>
            </w:pPr>
            <w:r>
              <w:rPr>
                <w:rFonts w:hint="eastAsia" w:ascii="宋体" w:hAnsi="宋体" w:eastAsia="宋体" w:cs="宋体"/>
                <w:color w:val="000000"/>
                <w:kern w:val="0"/>
                <w:sz w:val="24"/>
                <w:szCs w:val="24"/>
                <w:highlight w:val="none"/>
                <w:lang w:val="en-US" w:eastAsia="zh-CN" w:bidi="ar"/>
              </w:rPr>
              <w:t>③详细的人员、调配、运输等说明：每完全满足一个评审标准得1分，</w:t>
            </w:r>
            <w:r>
              <w:rPr>
                <w:rFonts w:hint="eastAsia" w:hAnsi="宋体" w:cs="宋体"/>
                <w:color w:val="000000"/>
                <w:kern w:val="0"/>
                <w:sz w:val="24"/>
                <w:szCs w:val="24"/>
                <w:highlight w:val="none"/>
                <w:lang w:val="en-US" w:eastAsia="zh-CN" w:bidi="ar"/>
              </w:rPr>
              <w:t>不能</w:t>
            </w:r>
            <w:r>
              <w:rPr>
                <w:rFonts w:hint="eastAsia" w:ascii="宋体" w:hAnsi="宋体" w:eastAsia="宋体" w:cs="宋体"/>
                <w:color w:val="000000"/>
                <w:kern w:val="0"/>
                <w:sz w:val="24"/>
                <w:szCs w:val="24"/>
                <w:highlight w:val="none"/>
                <w:lang w:val="en-US" w:eastAsia="zh-CN" w:bidi="ar"/>
              </w:rPr>
              <w:t>完全满足一个评审标准</w:t>
            </w:r>
            <w:r>
              <w:rPr>
                <w:rFonts w:hint="eastAsia" w:hAnsi="宋体" w:cs="宋体"/>
                <w:color w:val="000000"/>
                <w:kern w:val="0"/>
                <w:sz w:val="24"/>
                <w:szCs w:val="24"/>
                <w:highlight w:val="none"/>
                <w:lang w:val="en-US" w:eastAsia="zh-CN" w:bidi="ar"/>
              </w:rPr>
              <w:t>要求综合赋分0-0.9</w:t>
            </w:r>
            <w:r>
              <w:rPr>
                <w:rFonts w:hint="eastAsia" w:ascii="宋体" w:hAnsi="宋体" w:eastAsia="宋体" w:cs="宋体"/>
                <w:color w:val="000000"/>
                <w:kern w:val="0"/>
                <w:sz w:val="24"/>
                <w:szCs w:val="24"/>
                <w:highlight w:val="none"/>
                <w:lang w:val="en-US" w:eastAsia="zh-CN" w:bidi="ar"/>
              </w:rPr>
              <w:t>分，满分3分。</w:t>
            </w:r>
          </w:p>
        </w:tc>
      </w:tr>
      <w:tr w14:paraId="702BC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525" w:type="pct"/>
            <w:noWrap w:val="0"/>
            <w:vAlign w:val="center"/>
          </w:tcPr>
          <w:p w14:paraId="4B954FA5">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应急方案</w:t>
            </w:r>
          </w:p>
        </w:tc>
        <w:tc>
          <w:tcPr>
            <w:tcW w:w="544" w:type="pct"/>
            <w:noWrap w:val="0"/>
            <w:vAlign w:val="center"/>
          </w:tcPr>
          <w:p w14:paraId="1F2304A8">
            <w:pPr>
              <w:spacing w:line="360" w:lineRule="auto"/>
              <w:jc w:val="center"/>
              <w:rPr>
                <w:rFonts w:hint="default"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6分</w:t>
            </w:r>
          </w:p>
        </w:tc>
        <w:tc>
          <w:tcPr>
            <w:tcW w:w="3930" w:type="pct"/>
            <w:noWrap w:val="0"/>
            <w:vAlign w:val="center"/>
          </w:tcPr>
          <w:p w14:paraId="4324B08C">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 xml:space="preserve">一、评审内容 </w:t>
            </w:r>
          </w:p>
          <w:p w14:paraId="38F2C242">
            <w:pPr>
              <w:keepNext w:val="0"/>
              <w:keepLines w:val="0"/>
              <w:widowControl/>
              <w:suppressLineNumbers w:val="0"/>
              <w:spacing w:line="360" w:lineRule="auto"/>
              <w:jc w:val="both"/>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针对本项目提出适用于本项目的</w:t>
            </w:r>
            <w:r>
              <w:rPr>
                <w:rFonts w:hint="eastAsia" w:hAnsi="宋体" w:cs="宋体"/>
                <w:color w:val="000000"/>
                <w:kern w:val="0"/>
                <w:sz w:val="24"/>
                <w:szCs w:val="24"/>
                <w:highlight w:val="none"/>
                <w:lang w:val="en-US" w:eastAsia="zh-CN" w:bidi="ar"/>
              </w:rPr>
              <w:t>方案</w:t>
            </w:r>
            <w:r>
              <w:rPr>
                <w:rFonts w:hint="eastAsia" w:ascii="宋体" w:hAnsi="宋体" w:eastAsia="宋体" w:cs="宋体"/>
                <w:color w:val="000000"/>
                <w:kern w:val="0"/>
                <w:sz w:val="24"/>
                <w:szCs w:val="24"/>
                <w:highlight w:val="none"/>
                <w:lang w:val="en-US" w:eastAsia="zh-CN" w:bidi="ar"/>
              </w:rPr>
              <w:t>，包括：①食品危机管理方案②应急处置措施</w:t>
            </w:r>
          </w:p>
          <w:p w14:paraId="4A5DF07B">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 xml:space="preserve">二、评审标准 </w:t>
            </w:r>
          </w:p>
          <w:p w14:paraId="4476711B">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1、完整性：方案必须全面，对评审内容中的各项要求有详细描述； </w:t>
            </w:r>
          </w:p>
          <w:p w14:paraId="37A1BC01">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2、可实施性：切合本项目实际情况，提出步骤清晰、合理的方案； </w:t>
            </w:r>
          </w:p>
          <w:p w14:paraId="116AA21F">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3、针对性：方案能够紧扣项目实际情况，内容科学合理。 </w:t>
            </w:r>
          </w:p>
          <w:p w14:paraId="073B0F3B">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三、赋分标准（满分</w:t>
            </w:r>
            <w:r>
              <w:rPr>
                <w:rFonts w:hint="eastAsia" w:hAnsi="宋体" w:cs="宋体"/>
                <w:b/>
                <w:bCs/>
                <w:color w:val="000000"/>
                <w:kern w:val="0"/>
                <w:sz w:val="24"/>
                <w:szCs w:val="24"/>
                <w:highlight w:val="none"/>
                <w:lang w:val="en-US" w:eastAsia="zh-CN" w:bidi="ar"/>
              </w:rPr>
              <w:t>6</w:t>
            </w:r>
            <w:r>
              <w:rPr>
                <w:rFonts w:hint="eastAsia" w:ascii="宋体" w:hAnsi="宋体" w:eastAsia="宋体" w:cs="宋体"/>
                <w:b/>
                <w:bCs/>
                <w:color w:val="000000"/>
                <w:kern w:val="0"/>
                <w:sz w:val="24"/>
                <w:szCs w:val="24"/>
                <w:highlight w:val="none"/>
                <w:lang w:val="en-US" w:eastAsia="zh-CN" w:bidi="ar"/>
              </w:rPr>
              <w:t xml:space="preserve">分） </w:t>
            </w:r>
          </w:p>
          <w:p w14:paraId="04F2B99C">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①食品危机管理方案：每完全满足一个评审标准得</w:t>
            </w:r>
            <w:r>
              <w:rPr>
                <w:rFonts w:hint="eastAsia" w:hAnsi="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分，</w:t>
            </w:r>
            <w:r>
              <w:rPr>
                <w:rFonts w:hint="eastAsia" w:hAnsi="宋体" w:cs="宋体"/>
                <w:color w:val="000000"/>
                <w:kern w:val="0"/>
                <w:sz w:val="24"/>
                <w:szCs w:val="24"/>
                <w:highlight w:val="none"/>
                <w:lang w:val="en-US" w:eastAsia="zh-CN" w:bidi="ar"/>
              </w:rPr>
              <w:t>不能</w:t>
            </w:r>
            <w:r>
              <w:rPr>
                <w:rFonts w:hint="eastAsia" w:ascii="宋体" w:hAnsi="宋体" w:eastAsia="宋体" w:cs="宋体"/>
                <w:color w:val="000000"/>
                <w:kern w:val="0"/>
                <w:sz w:val="24"/>
                <w:szCs w:val="24"/>
                <w:highlight w:val="none"/>
                <w:lang w:val="en-US" w:eastAsia="zh-CN" w:bidi="ar"/>
              </w:rPr>
              <w:t>完全满足一个评审标准</w:t>
            </w:r>
            <w:r>
              <w:rPr>
                <w:rFonts w:hint="eastAsia" w:hAnsi="宋体" w:cs="宋体"/>
                <w:color w:val="000000"/>
                <w:kern w:val="0"/>
                <w:sz w:val="24"/>
                <w:szCs w:val="24"/>
                <w:highlight w:val="none"/>
                <w:lang w:val="en-US" w:eastAsia="zh-CN" w:bidi="ar"/>
              </w:rPr>
              <w:t>要求综合赋分0-0.9</w:t>
            </w:r>
            <w:r>
              <w:rPr>
                <w:rFonts w:hint="eastAsia" w:ascii="宋体" w:hAnsi="宋体" w:eastAsia="宋体" w:cs="宋体"/>
                <w:color w:val="000000"/>
                <w:kern w:val="0"/>
                <w:sz w:val="24"/>
                <w:szCs w:val="24"/>
                <w:highlight w:val="none"/>
                <w:lang w:val="en-US" w:eastAsia="zh-CN" w:bidi="ar"/>
              </w:rPr>
              <w:t>分，满</w:t>
            </w:r>
            <w:r>
              <w:rPr>
                <w:rFonts w:hint="eastAsia" w:hAnsi="宋体" w:cs="宋体"/>
                <w:color w:val="000000"/>
                <w:kern w:val="0"/>
                <w:sz w:val="24"/>
                <w:szCs w:val="24"/>
                <w:highlight w:val="none"/>
                <w:lang w:val="en-US" w:eastAsia="zh-CN" w:bidi="ar"/>
              </w:rPr>
              <w:t>分3</w:t>
            </w:r>
            <w:r>
              <w:rPr>
                <w:rFonts w:hint="eastAsia" w:ascii="宋体" w:hAnsi="宋体" w:eastAsia="宋体" w:cs="宋体"/>
                <w:color w:val="000000"/>
                <w:kern w:val="0"/>
                <w:sz w:val="24"/>
                <w:szCs w:val="24"/>
                <w:highlight w:val="none"/>
                <w:lang w:val="en-US" w:eastAsia="zh-CN" w:bidi="ar"/>
              </w:rPr>
              <w:t xml:space="preserve">分； </w:t>
            </w:r>
          </w:p>
          <w:p w14:paraId="758DC977">
            <w:pPr>
              <w:spacing w:line="360" w:lineRule="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②应急处置措施</w:t>
            </w:r>
            <w:r>
              <w:rPr>
                <w:rFonts w:hint="eastAsia"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每完全满足一个评审标准得</w:t>
            </w:r>
            <w:r>
              <w:rPr>
                <w:rFonts w:hint="eastAsia" w:hAnsi="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分，</w:t>
            </w:r>
            <w:r>
              <w:rPr>
                <w:rFonts w:hint="eastAsia" w:hAnsi="宋体" w:cs="宋体"/>
                <w:color w:val="000000"/>
                <w:kern w:val="0"/>
                <w:sz w:val="24"/>
                <w:szCs w:val="24"/>
                <w:highlight w:val="none"/>
                <w:lang w:val="en-US" w:eastAsia="zh-CN" w:bidi="ar"/>
              </w:rPr>
              <w:t>不能</w:t>
            </w:r>
            <w:r>
              <w:rPr>
                <w:rFonts w:hint="eastAsia" w:ascii="宋体" w:hAnsi="宋体" w:eastAsia="宋体" w:cs="宋体"/>
                <w:color w:val="000000"/>
                <w:kern w:val="0"/>
                <w:sz w:val="24"/>
                <w:szCs w:val="24"/>
                <w:highlight w:val="none"/>
                <w:lang w:val="en-US" w:eastAsia="zh-CN" w:bidi="ar"/>
              </w:rPr>
              <w:t>完全满足一个评审标准</w:t>
            </w:r>
            <w:r>
              <w:rPr>
                <w:rFonts w:hint="eastAsia" w:hAnsi="宋体" w:cs="宋体"/>
                <w:color w:val="000000"/>
                <w:kern w:val="0"/>
                <w:sz w:val="24"/>
                <w:szCs w:val="24"/>
                <w:highlight w:val="none"/>
                <w:lang w:val="en-US" w:eastAsia="zh-CN" w:bidi="ar"/>
              </w:rPr>
              <w:t>要求综合赋分0-0.9</w:t>
            </w:r>
            <w:r>
              <w:rPr>
                <w:rFonts w:hint="eastAsia" w:ascii="宋体" w:hAnsi="宋体" w:eastAsia="宋体" w:cs="宋体"/>
                <w:color w:val="000000"/>
                <w:kern w:val="0"/>
                <w:sz w:val="24"/>
                <w:szCs w:val="24"/>
                <w:highlight w:val="none"/>
                <w:lang w:val="en-US" w:eastAsia="zh-CN" w:bidi="ar"/>
              </w:rPr>
              <w:t>分，满分</w:t>
            </w:r>
            <w:r>
              <w:rPr>
                <w:rFonts w:hint="eastAsia"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分。</w:t>
            </w:r>
          </w:p>
        </w:tc>
      </w:tr>
      <w:tr w14:paraId="3E59B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525" w:type="pct"/>
            <w:noWrap w:val="0"/>
            <w:vAlign w:val="center"/>
          </w:tcPr>
          <w:p w14:paraId="6024DCB9">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zh-CN" w:eastAsia="zh-CN" w:bidi="ar"/>
              </w:rPr>
              <w:t>售后服务</w:t>
            </w:r>
          </w:p>
        </w:tc>
        <w:tc>
          <w:tcPr>
            <w:tcW w:w="544" w:type="pct"/>
            <w:noWrap w:val="0"/>
            <w:vAlign w:val="center"/>
          </w:tcPr>
          <w:p w14:paraId="47A75CBA">
            <w:pPr>
              <w:spacing w:line="360" w:lineRule="auto"/>
              <w:jc w:val="center"/>
              <w:rPr>
                <w:rFonts w:hint="default"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12分</w:t>
            </w:r>
          </w:p>
        </w:tc>
        <w:tc>
          <w:tcPr>
            <w:tcW w:w="3930" w:type="pct"/>
            <w:noWrap w:val="0"/>
            <w:vAlign w:val="center"/>
          </w:tcPr>
          <w:p w14:paraId="72471592">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 xml:space="preserve">一、评审内容 </w:t>
            </w:r>
          </w:p>
          <w:p w14:paraId="7E88BDAE">
            <w:pPr>
              <w:keepNext w:val="0"/>
              <w:keepLines w:val="0"/>
              <w:widowControl/>
              <w:suppressLineNumbers w:val="0"/>
              <w:spacing w:line="360" w:lineRule="auto"/>
              <w:jc w:val="both"/>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针对本项目提出适用于本项目的方案，方案包括：①根据食品安全法制定售后服务方案②售后服务团队和技术人员支持③人员安排、响应时间、退（调）换货等方案</w:t>
            </w:r>
          </w:p>
          <w:p w14:paraId="0B52F77F">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 xml:space="preserve">二、评审标准 </w:t>
            </w:r>
          </w:p>
          <w:p w14:paraId="1A12C0B4">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1、完整性：方案必须全面，对评审内容中的各项要求有详细描述； </w:t>
            </w:r>
          </w:p>
          <w:p w14:paraId="4A7EBE87">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2、可实施性：切合本项目实际情况，提出步骤清晰、合理的方案； </w:t>
            </w:r>
          </w:p>
          <w:p w14:paraId="6EDAECA5">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3、针对性：方案能够紧扣项目实际情况，内容科学合理。 </w:t>
            </w:r>
          </w:p>
          <w:p w14:paraId="6F27DACE">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 xml:space="preserve">三、赋分标准（满分12分） </w:t>
            </w:r>
          </w:p>
          <w:p w14:paraId="1CF994FD">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①根据食品安全法制定售后服务方案：每完全满足一个评审标准得1分，</w:t>
            </w:r>
            <w:r>
              <w:rPr>
                <w:rFonts w:hint="eastAsia" w:hAnsi="宋体" w:cs="宋体"/>
                <w:color w:val="000000"/>
                <w:kern w:val="0"/>
                <w:sz w:val="24"/>
                <w:szCs w:val="24"/>
                <w:highlight w:val="none"/>
                <w:lang w:val="en-US" w:eastAsia="zh-CN" w:bidi="ar"/>
              </w:rPr>
              <w:t>不能</w:t>
            </w:r>
            <w:r>
              <w:rPr>
                <w:rFonts w:hint="eastAsia" w:ascii="宋体" w:hAnsi="宋体" w:eastAsia="宋体" w:cs="宋体"/>
                <w:color w:val="000000"/>
                <w:kern w:val="0"/>
                <w:sz w:val="24"/>
                <w:szCs w:val="24"/>
                <w:highlight w:val="none"/>
                <w:lang w:val="en-US" w:eastAsia="zh-CN" w:bidi="ar"/>
              </w:rPr>
              <w:t>完全满足一个评审标准</w:t>
            </w:r>
            <w:r>
              <w:rPr>
                <w:rFonts w:hint="eastAsia" w:hAnsi="宋体" w:cs="宋体"/>
                <w:color w:val="000000"/>
                <w:kern w:val="0"/>
                <w:sz w:val="24"/>
                <w:szCs w:val="24"/>
                <w:highlight w:val="none"/>
                <w:lang w:val="en-US" w:eastAsia="zh-CN" w:bidi="ar"/>
              </w:rPr>
              <w:t>要求综合赋分0-0.9</w:t>
            </w:r>
            <w:r>
              <w:rPr>
                <w:rFonts w:hint="eastAsia" w:ascii="宋体" w:hAnsi="宋体" w:eastAsia="宋体" w:cs="宋体"/>
                <w:color w:val="000000"/>
                <w:kern w:val="0"/>
                <w:sz w:val="24"/>
                <w:szCs w:val="24"/>
                <w:highlight w:val="none"/>
                <w:lang w:val="en-US" w:eastAsia="zh-CN" w:bidi="ar"/>
              </w:rPr>
              <w:t xml:space="preserve">分，满分3分； </w:t>
            </w:r>
          </w:p>
          <w:p w14:paraId="2F1C25B0">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②售后服务团队和技术人员支持：每完全满足一个评审标准得1分，</w:t>
            </w:r>
            <w:r>
              <w:rPr>
                <w:rFonts w:hint="eastAsia" w:hAnsi="宋体" w:cs="宋体"/>
                <w:color w:val="000000"/>
                <w:kern w:val="0"/>
                <w:sz w:val="24"/>
                <w:szCs w:val="24"/>
                <w:highlight w:val="none"/>
                <w:lang w:val="en-US" w:eastAsia="zh-CN" w:bidi="ar"/>
              </w:rPr>
              <w:t>不能</w:t>
            </w:r>
            <w:r>
              <w:rPr>
                <w:rFonts w:hint="eastAsia" w:ascii="宋体" w:hAnsi="宋体" w:eastAsia="宋体" w:cs="宋体"/>
                <w:color w:val="000000"/>
                <w:kern w:val="0"/>
                <w:sz w:val="24"/>
                <w:szCs w:val="24"/>
                <w:highlight w:val="none"/>
                <w:lang w:val="en-US" w:eastAsia="zh-CN" w:bidi="ar"/>
              </w:rPr>
              <w:t>完全满足一个评审标准</w:t>
            </w:r>
            <w:r>
              <w:rPr>
                <w:rFonts w:hint="eastAsia" w:hAnsi="宋体" w:cs="宋体"/>
                <w:color w:val="000000"/>
                <w:kern w:val="0"/>
                <w:sz w:val="24"/>
                <w:szCs w:val="24"/>
                <w:highlight w:val="none"/>
                <w:lang w:val="en-US" w:eastAsia="zh-CN" w:bidi="ar"/>
              </w:rPr>
              <w:t>要求综合赋分0-0.9</w:t>
            </w:r>
            <w:r>
              <w:rPr>
                <w:rFonts w:hint="eastAsia" w:ascii="宋体" w:hAnsi="宋体" w:eastAsia="宋体" w:cs="宋体"/>
                <w:color w:val="000000"/>
                <w:kern w:val="0"/>
                <w:sz w:val="24"/>
                <w:szCs w:val="24"/>
                <w:highlight w:val="none"/>
                <w:lang w:val="en-US" w:eastAsia="zh-CN" w:bidi="ar"/>
              </w:rPr>
              <w:t xml:space="preserve">分，满分3分； </w:t>
            </w:r>
          </w:p>
          <w:p w14:paraId="4DBAC5B1">
            <w:pPr>
              <w:spacing w:line="360" w:lineRule="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③人员安排、响应时间、退（调）换货等方案：每完全满足一个评审标准得2分，</w:t>
            </w:r>
            <w:r>
              <w:rPr>
                <w:rFonts w:hint="eastAsia" w:hAnsi="宋体" w:cs="宋体"/>
                <w:color w:val="000000"/>
                <w:kern w:val="0"/>
                <w:sz w:val="24"/>
                <w:szCs w:val="24"/>
                <w:highlight w:val="none"/>
                <w:lang w:val="en-US" w:eastAsia="zh-CN" w:bidi="ar"/>
              </w:rPr>
              <w:t>不能</w:t>
            </w:r>
            <w:r>
              <w:rPr>
                <w:rFonts w:hint="eastAsia" w:ascii="宋体" w:hAnsi="宋体" w:eastAsia="宋体" w:cs="宋体"/>
                <w:color w:val="000000"/>
                <w:kern w:val="0"/>
                <w:sz w:val="24"/>
                <w:szCs w:val="24"/>
                <w:highlight w:val="none"/>
                <w:lang w:val="en-US" w:eastAsia="zh-CN" w:bidi="ar"/>
              </w:rPr>
              <w:t>完全满足一个评审标准</w:t>
            </w:r>
            <w:r>
              <w:rPr>
                <w:rFonts w:hint="eastAsia" w:hAnsi="宋体" w:cs="宋体"/>
                <w:color w:val="000000"/>
                <w:kern w:val="0"/>
                <w:sz w:val="24"/>
                <w:szCs w:val="24"/>
                <w:highlight w:val="none"/>
                <w:lang w:val="en-US" w:eastAsia="zh-CN" w:bidi="ar"/>
              </w:rPr>
              <w:t>要求综合赋分0-1.9</w:t>
            </w:r>
            <w:r>
              <w:rPr>
                <w:rFonts w:hint="eastAsia" w:ascii="宋体" w:hAnsi="宋体" w:eastAsia="宋体" w:cs="宋体"/>
                <w:color w:val="000000"/>
                <w:kern w:val="0"/>
                <w:sz w:val="24"/>
                <w:szCs w:val="24"/>
                <w:highlight w:val="none"/>
                <w:lang w:val="en-US" w:eastAsia="zh-CN" w:bidi="ar"/>
              </w:rPr>
              <w:t>分，满分6分。</w:t>
            </w:r>
          </w:p>
        </w:tc>
      </w:tr>
      <w:tr w14:paraId="581CA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525" w:type="pct"/>
            <w:noWrap w:val="0"/>
            <w:vAlign w:val="center"/>
          </w:tcPr>
          <w:p w14:paraId="587B2FA3">
            <w:pPr>
              <w:keepNext w:val="0"/>
              <w:keepLines w:val="0"/>
              <w:widowControl/>
              <w:suppressLineNumbers w:val="0"/>
              <w:spacing w:line="360" w:lineRule="auto"/>
              <w:jc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样品</w:t>
            </w:r>
          </w:p>
        </w:tc>
        <w:tc>
          <w:tcPr>
            <w:tcW w:w="544" w:type="pct"/>
            <w:noWrap w:val="0"/>
            <w:vAlign w:val="center"/>
          </w:tcPr>
          <w:p w14:paraId="6253775A">
            <w:pPr>
              <w:spacing w:line="360" w:lineRule="auto"/>
              <w:jc w:val="center"/>
              <w:rPr>
                <w:rFonts w:hint="default"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12分</w:t>
            </w:r>
          </w:p>
        </w:tc>
        <w:tc>
          <w:tcPr>
            <w:tcW w:w="3930" w:type="pct"/>
            <w:noWrap w:val="0"/>
            <w:vAlign w:val="center"/>
          </w:tcPr>
          <w:p w14:paraId="2F78D83B">
            <w:pPr>
              <w:keepLines w:val="0"/>
              <w:pageBreakBefore w:val="0"/>
              <w:widowControl/>
              <w:numPr>
                <w:ilvl w:val="0"/>
                <w:numId w:val="0"/>
              </w:numPr>
              <w:kinsoku/>
              <w:wordWrap/>
              <w:overflowPunct/>
              <w:topLinePunct w:val="0"/>
              <w:autoSpaceDE/>
              <w:autoSpaceDN/>
              <w:bidi w:val="0"/>
              <w:adjustRightInd/>
              <w:spacing w:line="440" w:lineRule="exact"/>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kern w:val="0"/>
                <w:sz w:val="24"/>
                <w:szCs w:val="24"/>
                <w:highlight w:val="none"/>
                <w:lang w:eastAsia="zh-CN"/>
              </w:rPr>
              <w:t>饼干</w:t>
            </w:r>
            <w:r>
              <w:rPr>
                <w:rFonts w:hint="eastAsia" w:ascii="宋体" w:hAnsi="宋体" w:eastAsia="宋体" w:cs="宋体"/>
                <w:color w:val="auto"/>
                <w:sz w:val="24"/>
                <w:szCs w:val="24"/>
                <w:highlight w:val="none"/>
                <w:lang w:val="en-US" w:eastAsia="zh-CN"/>
              </w:rPr>
              <w:t>：没有生霉，干燥度、气味正常，产品包装规范、标识齐全表述清晰，保质期、营养成分、配料等评委根据其响应情况进行赋分，计(0-3]分。</w:t>
            </w:r>
          </w:p>
          <w:p w14:paraId="51851359">
            <w:pPr>
              <w:keepLines w:val="0"/>
              <w:pageBreakBefore w:val="0"/>
              <w:widowControl/>
              <w:kinsoku/>
              <w:wordWrap/>
              <w:overflowPunct/>
              <w:topLinePunct w:val="0"/>
              <w:autoSpaceDE/>
              <w:autoSpaceDN/>
              <w:bidi w:val="0"/>
              <w:adjustRightInd/>
              <w:spacing w:line="440" w:lineRule="exact"/>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kern w:val="0"/>
                <w:sz w:val="24"/>
                <w:szCs w:val="24"/>
                <w:highlight w:val="none"/>
                <w:lang w:val="en-US" w:eastAsia="zh-CN"/>
              </w:rPr>
              <w:t>纯牛奶</w:t>
            </w:r>
            <w:r>
              <w:rPr>
                <w:rFonts w:hint="eastAsia" w:ascii="宋体" w:hAnsi="宋体" w:eastAsia="宋体" w:cs="宋体"/>
                <w:color w:val="auto"/>
                <w:sz w:val="24"/>
                <w:szCs w:val="24"/>
                <w:highlight w:val="none"/>
                <w:lang w:val="en-US" w:eastAsia="zh-CN"/>
              </w:rPr>
              <w:t>：无异味，无结块、不含异物， 产品包装规范、标识齐全表述清晰，保质期、营养成分、配料等，评委根据其响应情况进行赋分，计(0-3]分。</w:t>
            </w:r>
          </w:p>
          <w:p w14:paraId="4C897DC5">
            <w:pPr>
              <w:keepLines w:val="0"/>
              <w:pageBreakBefore w:val="0"/>
              <w:widowControl/>
              <w:kinsoku/>
              <w:wordWrap/>
              <w:overflowPunct/>
              <w:topLinePunct w:val="0"/>
              <w:autoSpaceDE/>
              <w:autoSpaceDN/>
              <w:bidi w:val="0"/>
              <w:adjustRightInd/>
              <w:spacing w:line="440" w:lineRule="exact"/>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sz w:val="24"/>
                <w:szCs w:val="24"/>
                <w:highlight w:val="none"/>
                <w:lang w:val="en-US" w:eastAsia="zh-CN"/>
              </w:rPr>
              <w:t>蜂蜜</w:t>
            </w:r>
            <w:r>
              <w:rPr>
                <w:rFonts w:hint="eastAsia" w:ascii="宋体" w:hAnsi="宋体" w:eastAsia="宋体" w:cs="宋体"/>
                <w:color w:val="auto"/>
                <w:sz w:val="24"/>
                <w:szCs w:val="24"/>
                <w:highlight w:val="none"/>
                <w:lang w:val="en-US" w:eastAsia="zh-CN"/>
              </w:rPr>
              <w:t>：</w:t>
            </w:r>
            <w:r>
              <w:rPr>
                <w:rFonts w:hint="eastAsia" w:ascii="Segoe UI" w:hAnsi="Segoe UI" w:eastAsia="宋体" w:cs="Segoe UI"/>
                <w:i w:val="0"/>
                <w:iCs w:val="0"/>
                <w:caps w:val="0"/>
                <w:spacing w:val="0"/>
                <w:sz w:val="24"/>
                <w:szCs w:val="24"/>
                <w:highlight w:val="none"/>
                <w:shd w:val="clear" w:fill="FFFFFF"/>
                <w:lang w:val="en-US" w:eastAsia="zh-CN"/>
              </w:rPr>
              <w:t>色泽</w:t>
            </w:r>
            <w:r>
              <w:rPr>
                <w:rFonts w:ascii="Segoe UI" w:hAnsi="Segoe UI" w:eastAsia="Segoe UI" w:cs="Segoe UI"/>
                <w:i w:val="0"/>
                <w:iCs w:val="0"/>
                <w:caps w:val="0"/>
                <w:spacing w:val="0"/>
                <w:sz w:val="24"/>
                <w:szCs w:val="24"/>
                <w:highlight w:val="none"/>
                <w:shd w:val="clear" w:fill="FFFFFF"/>
              </w:rPr>
              <w:t>透亮，无杂质</w:t>
            </w:r>
            <w:r>
              <w:rPr>
                <w:rFonts w:hint="eastAsia" w:ascii="宋体" w:hAnsi="宋体" w:eastAsia="宋体" w:cs="宋体"/>
                <w:color w:val="auto"/>
                <w:sz w:val="24"/>
                <w:szCs w:val="24"/>
                <w:highlight w:val="none"/>
                <w:lang w:val="en-US" w:eastAsia="zh-CN"/>
              </w:rPr>
              <w:t xml:space="preserve">、气味正常，产品包装规范、标识齐全表述清晰，保质期、营养成分、配料等，评委根据其响应情况进行赋分，计(0-3]分。 </w:t>
            </w:r>
          </w:p>
          <w:p w14:paraId="35986374">
            <w:pPr>
              <w:keepLines w:val="0"/>
              <w:pageBreakBefore w:val="0"/>
              <w:widowControl/>
              <w:kinsoku/>
              <w:wordWrap/>
              <w:overflowPunct/>
              <w:topLinePunct w:val="0"/>
              <w:autoSpaceDE/>
              <w:autoSpaceDN/>
              <w:bidi w:val="0"/>
              <w:adjustRightInd/>
              <w:spacing w:line="440" w:lineRule="exact"/>
              <w:jc w:val="both"/>
              <w:textAlignment w:val="baseline"/>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kern w:val="0"/>
                <w:sz w:val="24"/>
                <w:szCs w:val="24"/>
                <w:highlight w:val="none"/>
                <w:lang w:val="en-US" w:eastAsia="zh-CN"/>
              </w:rPr>
              <w:t>鸡蛋</w:t>
            </w:r>
            <w:r>
              <w:rPr>
                <w:rFonts w:hint="eastAsia" w:ascii="宋体" w:hAnsi="宋体" w:eastAsia="宋体" w:cs="宋体"/>
                <w:color w:val="auto"/>
                <w:sz w:val="24"/>
                <w:szCs w:val="24"/>
                <w:highlight w:val="none"/>
                <w:lang w:val="en-US" w:eastAsia="zh-CN"/>
              </w:rPr>
              <w:t>：从外形、色泽、干燥度看，是否有破碎、是否含有泥沙等。产品包装规范、 标识齐全表述清晰，保质期、种类等评委根据其响应情况进行赋分，计(0-3]分。</w:t>
            </w:r>
          </w:p>
        </w:tc>
      </w:tr>
      <w:tr w14:paraId="62426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8" w:hRule="atLeast"/>
          <w:jc w:val="center"/>
        </w:trPr>
        <w:tc>
          <w:tcPr>
            <w:tcW w:w="525" w:type="pct"/>
            <w:noWrap w:val="0"/>
            <w:vAlign w:val="center"/>
          </w:tcPr>
          <w:p w14:paraId="2AAE6F8E">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zh-CN" w:eastAsia="zh-CN" w:bidi="ar"/>
              </w:rPr>
            </w:pPr>
            <w:r>
              <w:rPr>
                <w:rFonts w:hint="eastAsia" w:ascii="宋体" w:hAnsi="宋体" w:eastAsia="宋体" w:cs="宋体"/>
                <w:color w:val="000000"/>
                <w:kern w:val="0"/>
                <w:sz w:val="24"/>
                <w:szCs w:val="24"/>
                <w:highlight w:val="none"/>
                <w:lang w:val="en-US" w:eastAsia="zh-CN" w:bidi="ar"/>
              </w:rPr>
              <w:t>业绩</w:t>
            </w:r>
          </w:p>
        </w:tc>
        <w:tc>
          <w:tcPr>
            <w:tcW w:w="544" w:type="pct"/>
            <w:noWrap w:val="0"/>
            <w:vAlign w:val="center"/>
          </w:tcPr>
          <w:p w14:paraId="1624A9DB">
            <w:pPr>
              <w:spacing w:line="360" w:lineRule="auto"/>
              <w:jc w:val="center"/>
              <w:rPr>
                <w:rFonts w:hint="eastAsia"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10</w:t>
            </w:r>
            <w:r>
              <w:rPr>
                <w:rFonts w:ascii="宋体" w:hAnsi="宋体"/>
                <w:b w:val="0"/>
                <w:bCs w:val="0"/>
                <w:color w:val="auto"/>
                <w:sz w:val="24"/>
                <w:szCs w:val="24"/>
                <w:highlight w:val="none"/>
              </w:rPr>
              <w:t>分</w:t>
            </w:r>
          </w:p>
        </w:tc>
        <w:tc>
          <w:tcPr>
            <w:tcW w:w="3930" w:type="pct"/>
            <w:noWrap w:val="0"/>
            <w:vAlign w:val="center"/>
          </w:tcPr>
          <w:p w14:paraId="28993FF4">
            <w:pPr>
              <w:spacing w:line="360" w:lineRule="auto"/>
              <w:jc w:val="both"/>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提供2022年1月至今同类项目业绩，投标文件中附有其合同文件或中标通知书为依据（提供完整扫描件，合同以签订时间为准），每提供一份合同得2分，满分10分。</w:t>
            </w:r>
          </w:p>
        </w:tc>
      </w:tr>
      <w:bookmarkEnd w:id="84"/>
      <w:tr w14:paraId="4D4E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5000" w:type="pct"/>
            <w:gridSpan w:val="3"/>
            <w:tcBorders>
              <w:top w:val="single" w:color="auto" w:sz="4" w:space="0"/>
              <w:bottom w:val="single" w:color="auto" w:sz="4" w:space="0"/>
            </w:tcBorders>
            <w:noWrap w:val="0"/>
            <w:vAlign w:val="top"/>
          </w:tcPr>
          <w:p w14:paraId="53D4867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备注</w:t>
            </w:r>
          </w:p>
          <w:p w14:paraId="5A14BF1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1）各评委独立打分。</w:t>
            </w:r>
          </w:p>
          <w:p w14:paraId="0B8084F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2）评委打分超过得分界限或未按本表规定赋分时，该评委的打分作废，不计入汇总分。</w:t>
            </w:r>
          </w:p>
          <w:p w14:paraId="105CC57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若出现综合得分并列时，比较价格得分，此分项得分高者排序在前；若价格得分仍相同，比较技术得分，此分项得分高者排序在前；若技术得分仍相同，则由全体评标委员会成员无记名投票，得票高者排序在前。</w:t>
            </w:r>
          </w:p>
          <w:p w14:paraId="511B540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4）各种计算数字均保留一位小数，第二位“四舍五入”。</w:t>
            </w:r>
          </w:p>
          <w:p w14:paraId="700CE88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5）评标过程中，若出现特殊情况时，由评标委员会决定暂停评标，并提出具体处理意见。 </w:t>
            </w:r>
          </w:p>
        </w:tc>
      </w:tr>
    </w:tbl>
    <w:p w14:paraId="61F3789A">
      <w:pPr>
        <w:spacing w:line="360" w:lineRule="auto"/>
        <w:rPr>
          <w:rFonts w:hAnsi="宋体" w:cs="宋体"/>
          <w:szCs w:val="24"/>
          <w:highlight w:val="none"/>
        </w:rPr>
      </w:pPr>
    </w:p>
    <w:p w14:paraId="03347866">
      <w:pPr>
        <w:spacing w:line="460" w:lineRule="exact"/>
        <w:rPr>
          <w:rFonts w:hAnsi="宋体" w:cs="宋体"/>
          <w:b/>
          <w:spacing w:val="4"/>
          <w:sz w:val="28"/>
          <w:szCs w:val="24"/>
          <w:highlight w:val="none"/>
        </w:rPr>
      </w:pPr>
      <w:r>
        <w:rPr>
          <w:rFonts w:hint="eastAsia" w:hAnsi="宋体" w:cs="宋体"/>
          <w:b/>
          <w:spacing w:val="4"/>
          <w:sz w:val="28"/>
          <w:szCs w:val="24"/>
          <w:highlight w:val="none"/>
        </w:rPr>
        <w:t>五、定标：</w:t>
      </w:r>
    </w:p>
    <w:p w14:paraId="17F6BA01">
      <w:pPr>
        <w:spacing w:line="460" w:lineRule="exact"/>
        <w:ind w:firstLine="496" w:firstLineChars="200"/>
        <w:rPr>
          <w:rFonts w:hAnsi="宋体" w:cs="宋体"/>
          <w:spacing w:val="4"/>
          <w:szCs w:val="24"/>
          <w:highlight w:val="none"/>
        </w:rPr>
      </w:pPr>
      <w:r>
        <w:rPr>
          <w:rFonts w:hint="eastAsia" w:hAnsi="宋体" w:cs="宋体"/>
          <w:spacing w:val="4"/>
          <w:szCs w:val="24"/>
          <w:highlight w:val="none"/>
        </w:rPr>
        <w:t>1、评标结果由</w:t>
      </w:r>
      <w:r>
        <w:rPr>
          <w:rFonts w:hint="eastAsia" w:hAnsi="宋体" w:cs="宋体"/>
          <w:szCs w:val="24"/>
          <w:highlight w:val="none"/>
        </w:rPr>
        <w:t>磋商小组</w:t>
      </w:r>
      <w:r>
        <w:rPr>
          <w:rFonts w:hint="eastAsia" w:hAnsi="宋体" w:cs="宋体"/>
          <w:spacing w:val="4"/>
          <w:szCs w:val="24"/>
          <w:highlight w:val="none"/>
        </w:rPr>
        <w:t>全体</w:t>
      </w:r>
      <w:r>
        <w:rPr>
          <w:rFonts w:hint="eastAsia" w:hAnsi="宋体" w:cs="宋体"/>
          <w:szCs w:val="24"/>
          <w:highlight w:val="none"/>
        </w:rPr>
        <w:t>成员</w:t>
      </w:r>
      <w:r>
        <w:rPr>
          <w:rFonts w:hint="eastAsia" w:hAnsi="宋体" w:cs="宋体"/>
          <w:spacing w:val="4"/>
          <w:szCs w:val="24"/>
          <w:highlight w:val="none"/>
        </w:rPr>
        <w:t>签字确认。</w:t>
      </w:r>
    </w:p>
    <w:p w14:paraId="4CA73EC1">
      <w:pPr>
        <w:spacing w:line="460" w:lineRule="exact"/>
        <w:ind w:firstLine="496" w:firstLineChars="200"/>
        <w:rPr>
          <w:rFonts w:hAnsi="宋体" w:cs="宋体"/>
          <w:spacing w:val="4"/>
          <w:szCs w:val="24"/>
          <w:highlight w:val="none"/>
        </w:rPr>
      </w:pPr>
      <w:r>
        <w:rPr>
          <w:rFonts w:hint="eastAsia" w:hAnsi="宋体" w:cs="宋体"/>
          <w:spacing w:val="4"/>
          <w:szCs w:val="24"/>
          <w:highlight w:val="none"/>
        </w:rPr>
        <w:t>2、采购人根据评标报告中推荐的成交候选人排列顺序确定供应商，以复函通知招标代理机构。</w:t>
      </w:r>
    </w:p>
    <w:p w14:paraId="365F6572">
      <w:pPr>
        <w:rPr>
          <w:rFonts w:hAnsi="宋体" w:cs="宋体"/>
          <w:highlight w:val="none"/>
        </w:rPr>
      </w:pPr>
    </w:p>
    <w:p w14:paraId="6071CC8A">
      <w:pPr>
        <w:pStyle w:val="18"/>
        <w:spacing w:line="360" w:lineRule="auto"/>
        <w:ind w:left="0" w:leftChars="0" w:firstLine="0" w:firstLineChars="0"/>
        <w:rPr>
          <w:rFonts w:cs="宋体"/>
          <w:b/>
          <w:sz w:val="24"/>
          <w:szCs w:val="24"/>
          <w:highlight w:val="none"/>
        </w:rPr>
      </w:pPr>
      <w:r>
        <w:rPr>
          <w:rFonts w:hint="eastAsia" w:cs="宋体"/>
          <w:b/>
          <w:sz w:val="24"/>
          <w:szCs w:val="24"/>
          <w:highlight w:val="none"/>
        </w:rPr>
        <w:br w:type="page"/>
      </w:r>
    </w:p>
    <w:p w14:paraId="723AEA36">
      <w:pPr>
        <w:pStyle w:val="2"/>
        <w:jc w:val="center"/>
        <w:rPr>
          <w:rFonts w:ascii="宋体" w:eastAsia="宋体" w:cs="宋体"/>
          <w:bCs/>
          <w:sz w:val="36"/>
          <w:szCs w:val="36"/>
          <w:highlight w:val="none"/>
        </w:rPr>
      </w:pPr>
      <w:bookmarkStart w:id="85" w:name="_Toc11680"/>
      <w:bookmarkStart w:id="86" w:name="_Toc10029"/>
      <w:bookmarkStart w:id="87" w:name="_Toc8788"/>
      <w:r>
        <w:rPr>
          <w:rFonts w:hint="eastAsia" w:ascii="宋体" w:eastAsia="宋体" w:cs="宋体"/>
          <w:bCs/>
          <w:sz w:val="36"/>
          <w:szCs w:val="36"/>
          <w:highlight w:val="none"/>
        </w:rPr>
        <w:t>第四章  合同条款及格式</w:t>
      </w:r>
      <w:bookmarkEnd w:id="62"/>
      <w:bookmarkEnd w:id="63"/>
      <w:bookmarkEnd w:id="64"/>
      <w:bookmarkEnd w:id="85"/>
      <w:bookmarkEnd w:id="86"/>
      <w:bookmarkEnd w:id="87"/>
    </w:p>
    <w:p w14:paraId="095A0744">
      <w:pPr>
        <w:tabs>
          <w:tab w:val="left" w:pos="210"/>
          <w:tab w:val="left" w:pos="525"/>
        </w:tabs>
        <w:spacing w:line="360" w:lineRule="auto"/>
        <w:jc w:val="center"/>
        <w:outlineLvl w:val="1"/>
        <w:rPr>
          <w:rFonts w:hAnsi="宋体" w:cs="宋体"/>
          <w:sz w:val="32"/>
          <w:szCs w:val="32"/>
          <w:highlight w:val="none"/>
        </w:rPr>
      </w:pPr>
      <w:bookmarkStart w:id="88" w:name="_Toc24218"/>
      <w:bookmarkStart w:id="89" w:name="_Toc32476"/>
      <w:bookmarkStart w:id="90" w:name="_Toc3424"/>
      <w:bookmarkStart w:id="91" w:name="_Toc23705"/>
      <w:r>
        <w:rPr>
          <w:rFonts w:hint="eastAsia" w:hAnsi="宋体" w:cs="宋体"/>
          <w:b/>
          <w:bCs/>
          <w:sz w:val="32"/>
          <w:szCs w:val="32"/>
          <w:highlight w:val="none"/>
        </w:rPr>
        <w:t>合同前附表</w:t>
      </w:r>
      <w:bookmarkEnd w:id="88"/>
      <w:bookmarkEnd w:id="89"/>
      <w:bookmarkEnd w:id="90"/>
      <w:bookmarkEnd w:id="91"/>
    </w:p>
    <w:p w14:paraId="510FA7AB">
      <w:pPr>
        <w:rPr>
          <w:rFonts w:hAnsi="宋体" w:cs="宋体"/>
          <w:highlight w:val="none"/>
        </w:rPr>
      </w:pPr>
    </w:p>
    <w:p w14:paraId="5D9963BA">
      <w:pPr>
        <w:rPr>
          <w:rFonts w:hAnsi="宋体" w:cs="宋体"/>
          <w:szCs w:val="24"/>
          <w:highlight w:val="none"/>
        </w:rPr>
      </w:pPr>
      <w:r>
        <w:rPr>
          <w:rFonts w:hint="eastAsia" w:hAnsi="宋体" w:cs="宋体"/>
          <w:szCs w:val="24"/>
          <w:highlight w:val="none"/>
        </w:rPr>
        <w:t>本表是对合同条款的具体补充和修改，如有矛盾，应以本资料表为准。</w:t>
      </w:r>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1"/>
        <w:gridCol w:w="8181"/>
      </w:tblGrid>
      <w:tr w14:paraId="6FAEA6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171" w:type="dxa"/>
            <w:vAlign w:val="center"/>
          </w:tcPr>
          <w:p w14:paraId="7A9BAB25">
            <w:pPr>
              <w:spacing w:line="360" w:lineRule="auto"/>
              <w:jc w:val="center"/>
              <w:rPr>
                <w:rFonts w:hAnsi="宋体" w:cs="宋体"/>
                <w:szCs w:val="24"/>
                <w:highlight w:val="none"/>
              </w:rPr>
            </w:pPr>
            <w:r>
              <w:rPr>
                <w:rFonts w:hint="eastAsia" w:hAnsi="宋体" w:cs="宋体"/>
                <w:szCs w:val="24"/>
                <w:highlight w:val="none"/>
              </w:rPr>
              <w:t>条款号</w:t>
            </w:r>
          </w:p>
        </w:tc>
        <w:tc>
          <w:tcPr>
            <w:tcW w:w="8181" w:type="dxa"/>
            <w:vAlign w:val="center"/>
          </w:tcPr>
          <w:p w14:paraId="5645DFD5">
            <w:pPr>
              <w:spacing w:line="360" w:lineRule="auto"/>
              <w:jc w:val="center"/>
              <w:rPr>
                <w:rFonts w:hAnsi="宋体" w:cs="宋体"/>
                <w:szCs w:val="24"/>
                <w:highlight w:val="none"/>
              </w:rPr>
            </w:pPr>
            <w:r>
              <w:rPr>
                <w:rFonts w:hint="eastAsia" w:hAnsi="宋体" w:cs="宋体"/>
                <w:szCs w:val="24"/>
                <w:highlight w:val="none"/>
              </w:rPr>
              <w:t>内      容</w:t>
            </w:r>
          </w:p>
        </w:tc>
      </w:tr>
      <w:tr w14:paraId="086E4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77" w:hRule="exact"/>
        </w:trPr>
        <w:tc>
          <w:tcPr>
            <w:tcW w:w="1171" w:type="dxa"/>
            <w:vAlign w:val="center"/>
          </w:tcPr>
          <w:p w14:paraId="1A03219A">
            <w:pPr>
              <w:spacing w:line="360" w:lineRule="auto"/>
              <w:jc w:val="center"/>
              <w:rPr>
                <w:rFonts w:hAnsi="宋体" w:cs="宋体"/>
                <w:szCs w:val="24"/>
                <w:highlight w:val="none"/>
              </w:rPr>
            </w:pPr>
            <w:r>
              <w:rPr>
                <w:rFonts w:hint="eastAsia" w:hAnsi="宋体" w:cs="宋体"/>
                <w:szCs w:val="24"/>
                <w:highlight w:val="none"/>
              </w:rPr>
              <w:t>1</w:t>
            </w:r>
          </w:p>
        </w:tc>
        <w:tc>
          <w:tcPr>
            <w:tcW w:w="8181" w:type="dxa"/>
            <w:vAlign w:val="center"/>
          </w:tcPr>
          <w:p w14:paraId="3167DD57">
            <w:pPr>
              <w:spacing w:line="360" w:lineRule="auto"/>
              <w:rPr>
                <w:rFonts w:hint="eastAsia" w:hAnsi="宋体" w:cs="宋体"/>
                <w:szCs w:val="24"/>
                <w:highlight w:val="none"/>
                <w:lang w:eastAsia="zh-CN"/>
              </w:rPr>
            </w:pPr>
            <w:r>
              <w:rPr>
                <w:rFonts w:hint="eastAsia" w:hAnsi="宋体" w:cs="宋体"/>
                <w:szCs w:val="24"/>
                <w:highlight w:val="none"/>
              </w:rPr>
              <w:t>采购人名称：</w:t>
            </w:r>
            <w:r>
              <w:rPr>
                <w:rFonts w:hint="eastAsia" w:hAnsi="宋体" w:cs="宋体"/>
                <w:szCs w:val="24"/>
                <w:highlight w:val="none"/>
                <w:lang w:eastAsia="zh-CN"/>
              </w:rPr>
              <w:t>西安市军队离休退休干部管理服务中心</w:t>
            </w:r>
          </w:p>
          <w:p w14:paraId="5169245D">
            <w:pPr>
              <w:tabs>
                <w:tab w:val="left" w:pos="1440"/>
                <w:tab w:val="left" w:pos="1680"/>
              </w:tabs>
              <w:spacing w:line="360" w:lineRule="auto"/>
              <w:jc w:val="left"/>
              <w:rPr>
                <w:rFonts w:hint="eastAsia" w:hAnsi="宋体" w:cs="宋体"/>
                <w:szCs w:val="24"/>
                <w:highlight w:val="none"/>
                <w:lang w:eastAsia="zh-CN"/>
              </w:rPr>
            </w:pPr>
            <w:r>
              <w:rPr>
                <w:rFonts w:hint="eastAsia" w:hAnsi="宋体" w:cs="宋体"/>
                <w:szCs w:val="24"/>
                <w:highlight w:val="none"/>
              </w:rPr>
              <w:t>地      址：</w:t>
            </w:r>
            <w:r>
              <w:rPr>
                <w:rFonts w:hint="eastAsia" w:hAnsi="宋体" w:cs="宋体"/>
                <w:szCs w:val="24"/>
                <w:highlight w:val="none"/>
                <w:lang w:eastAsia="zh-CN"/>
              </w:rPr>
              <w:t>西安市曲江大道70号</w:t>
            </w:r>
          </w:p>
          <w:p w14:paraId="0640A477">
            <w:pPr>
              <w:tabs>
                <w:tab w:val="left" w:pos="1440"/>
                <w:tab w:val="left" w:pos="1680"/>
              </w:tabs>
              <w:spacing w:line="360" w:lineRule="auto"/>
              <w:jc w:val="left"/>
              <w:rPr>
                <w:rFonts w:hint="eastAsia" w:hAnsi="宋体" w:cs="宋体"/>
                <w:szCs w:val="24"/>
                <w:highlight w:val="none"/>
                <w:lang w:eastAsia="zh-CN"/>
              </w:rPr>
            </w:pPr>
            <w:r>
              <w:rPr>
                <w:rFonts w:hint="eastAsia" w:hAnsi="宋体" w:cs="宋体"/>
                <w:szCs w:val="24"/>
                <w:highlight w:val="none"/>
              </w:rPr>
              <w:t>项目名称</w:t>
            </w:r>
            <w:r>
              <w:rPr>
                <w:rFonts w:hint="eastAsia" w:hAnsi="宋体" w:cs="宋体"/>
                <w:szCs w:val="24"/>
                <w:highlight w:val="none"/>
                <w:lang w:eastAsia="zh-CN"/>
              </w:rPr>
              <w:t>：军休干部住院慰问及重点慰问品采购</w:t>
            </w:r>
          </w:p>
          <w:p w14:paraId="7C84C862">
            <w:pPr>
              <w:tabs>
                <w:tab w:val="left" w:pos="1440"/>
                <w:tab w:val="left" w:pos="1680"/>
              </w:tabs>
              <w:spacing w:line="360" w:lineRule="auto"/>
              <w:jc w:val="left"/>
              <w:rPr>
                <w:rFonts w:hAnsi="宋体" w:cs="宋体"/>
                <w:szCs w:val="24"/>
                <w:highlight w:val="none"/>
              </w:rPr>
            </w:pPr>
            <w:r>
              <w:rPr>
                <w:rFonts w:hint="eastAsia" w:hAnsi="宋体" w:cs="宋体"/>
                <w:szCs w:val="24"/>
                <w:highlight w:val="none"/>
              </w:rPr>
              <w:t>资金来源：</w:t>
            </w:r>
            <w:r>
              <w:rPr>
                <w:rFonts w:hint="eastAsia" w:hAnsi="宋体" w:cs="宋体"/>
                <w:szCs w:val="24"/>
                <w:highlight w:val="none"/>
                <w:lang w:val="en-US" w:eastAsia="zh-CN"/>
              </w:rPr>
              <w:t>财政资金</w:t>
            </w:r>
          </w:p>
        </w:tc>
      </w:tr>
      <w:tr w14:paraId="0157C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exact"/>
        </w:trPr>
        <w:tc>
          <w:tcPr>
            <w:tcW w:w="1171" w:type="dxa"/>
            <w:vAlign w:val="center"/>
          </w:tcPr>
          <w:p w14:paraId="730FF1E5">
            <w:pPr>
              <w:spacing w:line="360" w:lineRule="auto"/>
              <w:jc w:val="center"/>
              <w:rPr>
                <w:rFonts w:hAnsi="宋体" w:cs="宋体"/>
                <w:szCs w:val="24"/>
                <w:highlight w:val="none"/>
              </w:rPr>
            </w:pPr>
            <w:r>
              <w:rPr>
                <w:rFonts w:hint="eastAsia" w:hAnsi="宋体" w:cs="宋体"/>
                <w:szCs w:val="24"/>
                <w:highlight w:val="none"/>
              </w:rPr>
              <w:t>2</w:t>
            </w:r>
          </w:p>
        </w:tc>
        <w:tc>
          <w:tcPr>
            <w:tcW w:w="8181" w:type="dxa"/>
            <w:vAlign w:val="center"/>
          </w:tcPr>
          <w:p w14:paraId="074796A9">
            <w:pPr>
              <w:spacing w:line="360" w:lineRule="auto"/>
              <w:rPr>
                <w:rFonts w:hint="default" w:hAnsi="宋体" w:eastAsia="宋体" w:cs="宋体"/>
                <w:szCs w:val="24"/>
                <w:highlight w:val="none"/>
                <w:lang w:val="en-US" w:eastAsia="zh-CN"/>
              </w:rPr>
            </w:pPr>
            <w:r>
              <w:rPr>
                <w:rFonts w:hint="eastAsia" w:hAnsi="宋体" w:cs="宋体"/>
                <w:szCs w:val="24"/>
                <w:highlight w:val="none"/>
              </w:rPr>
              <w:t>项目实施地点：</w:t>
            </w:r>
            <w:r>
              <w:rPr>
                <w:rFonts w:hint="eastAsia" w:hAnsi="宋体" w:cs="宋体"/>
                <w:szCs w:val="24"/>
                <w:highlight w:val="none"/>
                <w:lang w:val="en-US" w:eastAsia="zh-CN"/>
              </w:rPr>
              <w:t>采购人指定地点</w:t>
            </w:r>
          </w:p>
        </w:tc>
      </w:tr>
      <w:tr w14:paraId="6A479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9" w:hRule="exact"/>
        </w:trPr>
        <w:tc>
          <w:tcPr>
            <w:tcW w:w="1171" w:type="dxa"/>
            <w:vAlign w:val="center"/>
          </w:tcPr>
          <w:p w14:paraId="4AF6431C">
            <w:pPr>
              <w:spacing w:line="360" w:lineRule="auto"/>
              <w:jc w:val="center"/>
              <w:rPr>
                <w:rFonts w:hAnsi="宋体" w:cs="宋体"/>
                <w:szCs w:val="24"/>
                <w:highlight w:val="none"/>
              </w:rPr>
            </w:pPr>
            <w:r>
              <w:rPr>
                <w:rFonts w:hint="eastAsia" w:hAnsi="宋体" w:cs="宋体"/>
                <w:szCs w:val="24"/>
                <w:highlight w:val="none"/>
              </w:rPr>
              <w:t>3</w:t>
            </w:r>
          </w:p>
        </w:tc>
        <w:tc>
          <w:tcPr>
            <w:tcW w:w="8181" w:type="dxa"/>
            <w:vAlign w:val="center"/>
          </w:tcPr>
          <w:p w14:paraId="683ADEB8">
            <w:pPr>
              <w:spacing w:line="360" w:lineRule="auto"/>
              <w:rPr>
                <w:rFonts w:hint="eastAsia" w:hAnsi="宋体" w:cs="宋体"/>
                <w:szCs w:val="24"/>
                <w:highlight w:val="none"/>
                <w:lang w:val="en-US" w:eastAsia="zh-CN"/>
              </w:rPr>
            </w:pPr>
            <w:r>
              <w:rPr>
                <w:rFonts w:hint="eastAsia" w:hAnsi="宋体" w:cs="宋体"/>
                <w:szCs w:val="24"/>
                <w:highlight w:val="none"/>
                <w:lang w:val="en-US" w:eastAsia="zh-CN"/>
              </w:rPr>
              <w:t>交货期：分批次配送，批次不定，每次接到采购人通知2日内完成配送。</w:t>
            </w:r>
          </w:p>
          <w:p w14:paraId="21ECCA3B">
            <w:pPr>
              <w:spacing w:line="360" w:lineRule="auto"/>
              <w:rPr>
                <w:rFonts w:hint="default" w:hAnsi="宋体" w:cs="宋体"/>
                <w:szCs w:val="24"/>
                <w:highlight w:val="none"/>
                <w:lang w:val="en-US" w:eastAsia="zh-CN"/>
              </w:rPr>
            </w:pPr>
            <w:r>
              <w:rPr>
                <w:rFonts w:hint="eastAsia" w:hAnsi="宋体" w:cs="宋体"/>
                <w:szCs w:val="24"/>
                <w:highlight w:val="none"/>
                <w:lang w:val="en-US" w:eastAsia="zh-CN"/>
              </w:rPr>
              <w:t>质保期：从交货时间起算剩余质保期≥2/3质保期。</w:t>
            </w:r>
          </w:p>
        </w:tc>
      </w:tr>
      <w:tr w14:paraId="155C6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87" w:hRule="atLeast"/>
        </w:trPr>
        <w:tc>
          <w:tcPr>
            <w:tcW w:w="1171" w:type="dxa"/>
            <w:vAlign w:val="center"/>
          </w:tcPr>
          <w:p w14:paraId="7FD05DD8">
            <w:pPr>
              <w:spacing w:line="360" w:lineRule="auto"/>
              <w:jc w:val="center"/>
              <w:rPr>
                <w:rFonts w:hAnsi="宋体" w:cs="宋体"/>
                <w:szCs w:val="24"/>
                <w:highlight w:val="none"/>
              </w:rPr>
            </w:pPr>
            <w:r>
              <w:rPr>
                <w:rFonts w:hint="eastAsia" w:hAnsi="宋体" w:cs="宋体"/>
                <w:szCs w:val="24"/>
                <w:highlight w:val="none"/>
              </w:rPr>
              <w:t>4</w:t>
            </w:r>
          </w:p>
        </w:tc>
        <w:tc>
          <w:tcPr>
            <w:tcW w:w="8181" w:type="dxa"/>
            <w:vAlign w:val="center"/>
          </w:tcPr>
          <w:p w14:paraId="11F3413B">
            <w:pPr>
              <w:spacing w:line="360" w:lineRule="auto"/>
              <w:rPr>
                <w:rFonts w:hAnsi="宋体" w:cs="宋体"/>
                <w:b/>
                <w:sz w:val="28"/>
                <w:szCs w:val="28"/>
                <w:highlight w:val="none"/>
              </w:rPr>
            </w:pPr>
            <w:r>
              <w:rPr>
                <w:rFonts w:hint="eastAsia" w:hAnsi="宋体" w:cs="宋体"/>
                <w:b/>
                <w:sz w:val="28"/>
                <w:szCs w:val="28"/>
                <w:highlight w:val="none"/>
              </w:rPr>
              <w:t>付款：</w:t>
            </w:r>
          </w:p>
          <w:p w14:paraId="0B6246E0">
            <w:pPr>
              <w:spacing w:line="360" w:lineRule="auto"/>
              <w:rPr>
                <w:rFonts w:hAnsi="宋体" w:cs="宋体"/>
                <w:szCs w:val="24"/>
                <w:highlight w:val="none"/>
              </w:rPr>
            </w:pPr>
            <w:r>
              <w:rPr>
                <w:rFonts w:hint="eastAsia" w:hAnsi="宋体" w:cs="宋体"/>
                <w:szCs w:val="24"/>
                <w:highlight w:val="none"/>
              </w:rPr>
              <w:t>1.合同总价即成交价，不受市场价变化或实际工作量变化的影响。供应商应在磋商报价表中标明完成本次磋商所要求的全部服务的所有费用。</w:t>
            </w:r>
          </w:p>
          <w:p w14:paraId="41ACA401">
            <w:pPr>
              <w:spacing w:line="360" w:lineRule="auto"/>
              <w:ind w:firstLine="480" w:firstLineChars="200"/>
              <w:rPr>
                <w:rFonts w:hAnsi="宋体" w:cs="宋体"/>
                <w:szCs w:val="24"/>
                <w:highlight w:val="none"/>
              </w:rPr>
            </w:pPr>
            <w:r>
              <w:rPr>
                <w:rFonts w:hint="eastAsia" w:hAnsi="宋体" w:cs="宋体"/>
                <w:szCs w:val="24"/>
                <w:highlight w:val="none"/>
              </w:rPr>
              <w:t>2.付款方式和程序：</w:t>
            </w:r>
          </w:p>
          <w:p w14:paraId="531750B6">
            <w:pPr>
              <w:spacing w:line="360" w:lineRule="auto"/>
              <w:ind w:firstLine="480" w:firstLineChars="200"/>
              <w:rPr>
                <w:rFonts w:hAnsi="宋体" w:cs="宋体"/>
                <w:szCs w:val="24"/>
                <w:highlight w:val="none"/>
              </w:rPr>
            </w:pPr>
            <w:r>
              <w:rPr>
                <w:rFonts w:hint="eastAsia" w:hAnsi="宋体" w:cs="宋体"/>
                <w:szCs w:val="24"/>
                <w:highlight w:val="none"/>
              </w:rPr>
              <w:t>2.1由采购人负责结算，在付款前，供应商必须开具全额发票给采购人（附详细清单）。</w:t>
            </w:r>
          </w:p>
          <w:p w14:paraId="5B9A1FAE">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2.2付款方式：</w:t>
            </w:r>
          </w:p>
          <w:p w14:paraId="075173F3">
            <w:pPr>
              <w:spacing w:line="360" w:lineRule="auto"/>
              <w:rPr>
                <w:rFonts w:hint="default" w:ascii="宋体" w:hAnsi="宋体" w:eastAsia="宋体" w:cs="宋体"/>
                <w:szCs w:val="24"/>
                <w:highlight w:val="none"/>
                <w:lang w:val="en-US" w:eastAsia="zh-CN"/>
              </w:rPr>
            </w:pPr>
            <w:r>
              <w:rPr>
                <w:rFonts w:hint="eastAsia" w:ascii="宋体" w:hAnsi="宋体" w:eastAsia="宋体" w:cs="宋体"/>
                <w:szCs w:val="24"/>
                <w:highlight w:val="none"/>
              </w:rPr>
              <w:t xml:space="preserve"> </w:t>
            </w:r>
            <w:r>
              <w:rPr>
                <w:rFonts w:hint="eastAsia" w:ascii="宋体" w:hAnsi="宋体" w:eastAsia="宋体" w:cs="宋体"/>
                <w:szCs w:val="24"/>
                <w:highlight w:val="none"/>
                <w:lang w:val="en-US" w:eastAsia="zh-CN"/>
              </w:rPr>
              <w:t xml:space="preserve">   供货前30日内甲方支付合同总额的40%作为预付款，配送完成后，乙方向甲方提供已完成配送的清单、发票等相关资料，待甲方审核确认后一次性向乙方支付剩余款项，据实结算。（具体以签订合同为准）。</w:t>
            </w:r>
          </w:p>
          <w:p w14:paraId="489DF4DE">
            <w:pPr>
              <w:spacing w:line="360" w:lineRule="auto"/>
              <w:ind w:firstLine="480" w:firstLineChars="200"/>
              <w:rPr>
                <w:rFonts w:hAnsi="宋体" w:cs="宋体"/>
                <w:szCs w:val="24"/>
                <w:highlight w:val="none"/>
              </w:rPr>
            </w:pPr>
            <w:r>
              <w:rPr>
                <w:rFonts w:hint="eastAsia" w:hAnsi="宋体" w:cs="宋体"/>
                <w:color w:val="auto"/>
                <w:sz w:val="24"/>
                <w:szCs w:val="24"/>
                <w:highlight w:val="none"/>
                <w:lang w:val="en-US" w:eastAsia="zh-CN"/>
              </w:rPr>
              <w:t>4</w:t>
            </w:r>
            <w:r>
              <w:rPr>
                <w:rFonts w:hint="eastAsia" w:hAnsi="宋体" w:cs="宋体"/>
                <w:b/>
                <w:szCs w:val="24"/>
                <w:highlight w:val="none"/>
              </w:rPr>
              <w:t>2.3支付方式：银行转账</w:t>
            </w:r>
          </w:p>
        </w:tc>
      </w:tr>
      <w:tr w14:paraId="3DFDB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14:paraId="74D0CBDB">
            <w:pPr>
              <w:spacing w:line="360" w:lineRule="auto"/>
              <w:jc w:val="center"/>
              <w:rPr>
                <w:rFonts w:hint="eastAsia" w:hAnsi="宋体" w:eastAsia="宋体" w:cs="宋体"/>
                <w:szCs w:val="24"/>
                <w:highlight w:val="none"/>
                <w:lang w:val="en-US" w:eastAsia="zh-CN"/>
              </w:rPr>
            </w:pPr>
            <w:r>
              <w:rPr>
                <w:rFonts w:hint="eastAsia" w:hAnsi="宋体" w:cs="宋体"/>
                <w:szCs w:val="24"/>
                <w:highlight w:val="none"/>
                <w:lang w:val="en-US" w:eastAsia="zh-CN"/>
              </w:rPr>
              <w:t>5</w:t>
            </w:r>
          </w:p>
        </w:tc>
        <w:tc>
          <w:tcPr>
            <w:tcW w:w="8181" w:type="dxa"/>
            <w:vAlign w:val="center"/>
          </w:tcPr>
          <w:p w14:paraId="658D0700">
            <w:pPr>
              <w:spacing w:line="360" w:lineRule="auto"/>
              <w:jc w:val="left"/>
              <w:rPr>
                <w:rFonts w:hint="eastAsia" w:ascii="宋体" w:hAnsi="宋体" w:eastAsia="宋体" w:cs="宋体"/>
                <w:color w:val="auto"/>
                <w:sz w:val="24"/>
                <w:szCs w:val="24"/>
                <w:highlight w:val="none"/>
              </w:rPr>
            </w:pPr>
            <w:r>
              <w:rPr>
                <w:rFonts w:hint="eastAsia" w:hAnsi="宋体" w:cs="宋体"/>
                <w:b/>
                <w:color w:val="auto"/>
                <w:sz w:val="24"/>
                <w:szCs w:val="24"/>
                <w:highlight w:val="none"/>
                <w:lang w:val="en-US" w:eastAsia="zh-CN"/>
              </w:rPr>
              <w:t>包装要求：</w:t>
            </w:r>
            <w:r>
              <w:rPr>
                <w:rFonts w:hint="eastAsia" w:ascii="宋体" w:hAnsi="宋体" w:eastAsia="宋体" w:cs="宋体"/>
                <w:bCs/>
                <w:color w:val="auto"/>
                <w:sz w:val="24"/>
                <w:szCs w:val="24"/>
                <w:highlight w:val="none"/>
                <w:lang w:val="en-US" w:eastAsia="zh-CN"/>
              </w:rPr>
              <w:t>独立包装，便于运输储存，外包符合国家食品包装规范。</w:t>
            </w:r>
          </w:p>
        </w:tc>
      </w:tr>
      <w:tr w14:paraId="0DAA6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14:paraId="7D852245">
            <w:pPr>
              <w:spacing w:line="360" w:lineRule="auto"/>
              <w:jc w:val="center"/>
              <w:rPr>
                <w:rFonts w:hAnsi="宋体" w:cs="宋体"/>
                <w:szCs w:val="24"/>
                <w:highlight w:val="none"/>
              </w:rPr>
            </w:pPr>
            <w:r>
              <w:rPr>
                <w:rFonts w:hint="eastAsia" w:hAnsi="宋体" w:cs="宋体"/>
                <w:szCs w:val="24"/>
                <w:highlight w:val="none"/>
              </w:rPr>
              <w:t>5</w:t>
            </w:r>
          </w:p>
        </w:tc>
        <w:tc>
          <w:tcPr>
            <w:tcW w:w="8181" w:type="dxa"/>
            <w:vAlign w:val="center"/>
          </w:tcPr>
          <w:p w14:paraId="16BEBCDC">
            <w:pPr>
              <w:pStyle w:val="14"/>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质量保证：</w:t>
            </w:r>
          </w:p>
          <w:p w14:paraId="73EADE17">
            <w:pPr>
              <w:spacing w:line="360" w:lineRule="auto"/>
              <w:ind w:firstLine="480" w:firstLineChars="200"/>
              <w:jc w:val="left"/>
              <w:rPr>
                <w:rFonts w:hAnsi="宋体" w:cs="宋体"/>
                <w:szCs w:val="24"/>
                <w:highlight w:val="none"/>
              </w:rPr>
            </w:pPr>
            <w:r>
              <w:rPr>
                <w:rFonts w:hint="eastAsia" w:ascii="宋体" w:hAnsi="宋体" w:eastAsia="宋体" w:cs="宋体"/>
                <w:bCs/>
                <w:color w:val="auto"/>
                <w:sz w:val="24"/>
                <w:szCs w:val="24"/>
                <w:highlight w:val="none"/>
                <w:lang w:val="en-US" w:eastAsia="zh-CN"/>
              </w:rPr>
              <w:t>严格按照《食品安全法》的规定保证质量。质量按照国家最新相关标准执行。严禁添加剂、防腐剂和一些可能危害身体健康的元素含量超标。每批次有合格的内检报告，每半年有合格的外检报告。由于产品质量引起的一切责任由供货商承担，采购人有权终止合同。</w:t>
            </w:r>
          </w:p>
        </w:tc>
      </w:tr>
      <w:tr w14:paraId="6CD17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14:paraId="47167C11">
            <w:pPr>
              <w:spacing w:line="360" w:lineRule="auto"/>
              <w:jc w:val="center"/>
              <w:rPr>
                <w:rFonts w:hint="default" w:hAnsi="宋体" w:eastAsia="宋体" w:cs="宋体"/>
                <w:szCs w:val="24"/>
                <w:highlight w:val="none"/>
                <w:lang w:val="en-US" w:eastAsia="zh-CN"/>
              </w:rPr>
            </w:pPr>
            <w:r>
              <w:rPr>
                <w:rFonts w:hint="eastAsia" w:hAnsi="宋体" w:cs="宋体"/>
                <w:szCs w:val="24"/>
                <w:highlight w:val="none"/>
                <w:lang w:val="en-US" w:eastAsia="zh-CN"/>
              </w:rPr>
              <w:t>6</w:t>
            </w:r>
          </w:p>
        </w:tc>
        <w:tc>
          <w:tcPr>
            <w:tcW w:w="8181" w:type="dxa"/>
            <w:vAlign w:val="center"/>
          </w:tcPr>
          <w:p w14:paraId="6586A24B">
            <w:pPr>
              <w:spacing w:line="360" w:lineRule="auto"/>
              <w:rPr>
                <w:rFonts w:hAnsi="宋体" w:cs="宋体"/>
                <w:b/>
                <w:szCs w:val="24"/>
                <w:highlight w:val="none"/>
              </w:rPr>
            </w:pPr>
            <w:r>
              <w:rPr>
                <w:rFonts w:hint="eastAsia" w:hAnsi="宋体" w:cs="宋体"/>
                <w:b/>
                <w:szCs w:val="24"/>
                <w:highlight w:val="none"/>
              </w:rPr>
              <w:t>违约责任：</w:t>
            </w:r>
          </w:p>
          <w:p w14:paraId="0E8D5113">
            <w:pPr>
              <w:tabs>
                <w:tab w:val="left" w:pos="152"/>
              </w:tabs>
              <w:spacing w:line="360" w:lineRule="auto"/>
              <w:ind w:firstLine="480" w:firstLineChars="200"/>
              <w:rPr>
                <w:rFonts w:hAnsi="宋体" w:cs="宋体"/>
                <w:szCs w:val="24"/>
                <w:highlight w:val="none"/>
              </w:rPr>
            </w:pPr>
            <w:r>
              <w:rPr>
                <w:rFonts w:hint="eastAsia" w:hAnsi="宋体" w:cs="宋体"/>
                <w:szCs w:val="24"/>
                <w:highlight w:val="none"/>
              </w:rPr>
              <w:t>1、按《中华人民共和国民法典》中的相关条款执行。</w:t>
            </w:r>
          </w:p>
          <w:p w14:paraId="19D0B4AC">
            <w:pPr>
              <w:snapToGrid w:val="0"/>
              <w:spacing w:line="360" w:lineRule="auto"/>
              <w:ind w:firstLine="480" w:firstLineChars="200"/>
              <w:rPr>
                <w:rFonts w:hAnsi="宋体" w:cs="宋体"/>
                <w:szCs w:val="24"/>
                <w:highlight w:val="none"/>
              </w:rPr>
            </w:pPr>
            <w:r>
              <w:rPr>
                <w:rFonts w:hint="eastAsia" w:hAnsi="宋体" w:cs="宋体"/>
                <w:szCs w:val="24"/>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w:t>
            </w:r>
            <w:r>
              <w:rPr>
                <w:rFonts w:hint="eastAsia" w:hAnsi="宋体" w:cs="宋体"/>
                <w:szCs w:val="24"/>
                <w:highlight w:val="none"/>
              </w:rPr>
              <w:fldChar w:fldCharType="begin"/>
            </w:r>
            <w:r>
              <w:rPr>
                <w:rFonts w:hint="eastAsia" w:hAnsi="宋体" w:cs="宋体"/>
                <w:szCs w:val="24"/>
                <w:highlight w:val="none"/>
              </w:rPr>
              <w:instrText xml:space="preserve"> HYPERLINK "https://www.ccgp-shaanxi.gov.cn/freecms/site/shaanxi/ggxx/info/oldweb/4028807e62394cf101623bd796a20016.html" \t "https://www.ccgp-shaanxi.gov.cn/cms-sx/site/shanxi/zcfg/_blank" </w:instrText>
            </w:r>
            <w:r>
              <w:rPr>
                <w:rFonts w:hint="eastAsia" w:hAnsi="宋体" w:cs="宋体"/>
                <w:szCs w:val="24"/>
                <w:highlight w:val="none"/>
              </w:rPr>
              <w:fldChar w:fldCharType="separate"/>
            </w:r>
            <w:r>
              <w:rPr>
                <w:rFonts w:hint="eastAsia" w:hAnsi="宋体" w:cs="宋体"/>
                <w:szCs w:val="24"/>
                <w:highlight w:val="none"/>
              </w:rPr>
              <w:t>中华人民共和国政府采购法</w:t>
            </w:r>
            <w:r>
              <w:rPr>
                <w:rFonts w:hint="eastAsia" w:hAnsi="宋体" w:cs="宋体"/>
                <w:szCs w:val="24"/>
                <w:highlight w:val="none"/>
              </w:rPr>
              <w:fldChar w:fldCharType="end"/>
            </w:r>
            <w:r>
              <w:rPr>
                <w:rFonts w:hint="eastAsia" w:hAnsi="宋体" w:cs="宋体"/>
                <w:szCs w:val="24"/>
                <w:highlight w:val="none"/>
              </w:rPr>
              <w:t>》及相关法律法规对服务商的违法行为进行相应的处罚。</w:t>
            </w:r>
          </w:p>
        </w:tc>
      </w:tr>
      <w:tr w14:paraId="072293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14:paraId="6D4EE9EA">
            <w:pPr>
              <w:spacing w:line="360" w:lineRule="auto"/>
              <w:jc w:val="center"/>
              <w:rPr>
                <w:rFonts w:hint="eastAsia" w:hAnsi="宋体" w:eastAsia="宋体" w:cs="宋体"/>
                <w:szCs w:val="24"/>
                <w:highlight w:val="none"/>
                <w:lang w:eastAsia="zh-CN"/>
              </w:rPr>
            </w:pPr>
            <w:r>
              <w:rPr>
                <w:rFonts w:hint="eastAsia" w:hAnsi="宋体" w:cs="宋体"/>
                <w:szCs w:val="24"/>
                <w:highlight w:val="none"/>
                <w:lang w:val="en-US" w:eastAsia="zh-CN"/>
              </w:rPr>
              <w:t>7</w:t>
            </w:r>
          </w:p>
        </w:tc>
        <w:tc>
          <w:tcPr>
            <w:tcW w:w="8181" w:type="dxa"/>
            <w:vAlign w:val="center"/>
          </w:tcPr>
          <w:p w14:paraId="441B3909">
            <w:pPr>
              <w:spacing w:line="360" w:lineRule="auto"/>
              <w:rPr>
                <w:rFonts w:hAnsi="宋体" w:cs="宋体"/>
                <w:b/>
                <w:szCs w:val="24"/>
                <w:highlight w:val="none"/>
              </w:rPr>
            </w:pPr>
            <w:r>
              <w:rPr>
                <w:rFonts w:hint="eastAsia" w:hAnsi="宋体" w:cs="宋体"/>
                <w:b/>
                <w:szCs w:val="24"/>
                <w:highlight w:val="none"/>
              </w:rPr>
              <w:t>政府采购合同：</w:t>
            </w:r>
          </w:p>
          <w:p w14:paraId="3F7A363C">
            <w:pPr>
              <w:spacing w:line="360" w:lineRule="auto"/>
              <w:ind w:firstLine="480" w:firstLineChars="200"/>
              <w:rPr>
                <w:rFonts w:hint="eastAsia" w:hAnsi="宋体" w:eastAsia="宋体" w:cs="宋体"/>
                <w:szCs w:val="24"/>
                <w:highlight w:val="none"/>
                <w:lang w:eastAsia="zh-CN"/>
              </w:rPr>
            </w:pPr>
            <w:r>
              <w:rPr>
                <w:rFonts w:hint="eastAsia" w:hAnsi="宋体" w:cs="宋体"/>
                <w:szCs w:val="24"/>
                <w:highlight w:val="none"/>
              </w:rPr>
              <w:t>政府采购合同适用中华人民共和国民法典。采购人和供应商之间的权利和义务，应当按照平等、自愿的原则以合同方式约定。</w:t>
            </w:r>
          </w:p>
          <w:p w14:paraId="0414D357">
            <w:pPr>
              <w:spacing w:line="360" w:lineRule="auto"/>
              <w:ind w:firstLine="480" w:firstLineChars="200"/>
              <w:rPr>
                <w:rFonts w:hint="eastAsia" w:hAnsi="宋体" w:eastAsia="宋体" w:cs="宋体"/>
                <w:szCs w:val="24"/>
                <w:highlight w:val="none"/>
                <w:lang w:eastAsia="zh-CN"/>
              </w:rPr>
            </w:pPr>
            <w:r>
              <w:rPr>
                <w:rFonts w:hint="eastAsia" w:hAnsi="宋体" w:cs="宋体"/>
                <w:szCs w:val="24"/>
                <w:highlight w:val="none"/>
              </w:rPr>
              <w:t xml:space="preserve">    采购人可以委托采购代理机构代表其与供应商签订政府采购合同。由采购代理机构以采购人名义签订合同的，应当提交采购人的授权委托书，作为合同附件。</w:t>
            </w:r>
          </w:p>
          <w:p w14:paraId="4814AD3C">
            <w:pPr>
              <w:spacing w:line="360" w:lineRule="auto"/>
              <w:ind w:firstLine="480" w:firstLineChars="200"/>
              <w:rPr>
                <w:rFonts w:hint="eastAsia" w:hAnsi="宋体" w:eastAsia="宋体" w:cs="宋体"/>
                <w:szCs w:val="24"/>
                <w:highlight w:val="none"/>
                <w:lang w:eastAsia="zh-CN"/>
              </w:rPr>
            </w:pPr>
            <w:r>
              <w:rPr>
                <w:rFonts w:hint="eastAsia" w:hAnsi="宋体" w:cs="宋体"/>
                <w:szCs w:val="24"/>
                <w:highlight w:val="none"/>
              </w:rPr>
              <w:t xml:space="preserve">    采购人与中标、成交供应商应当在中标、成交通知书发出之日起三十日内，按照采购文件确定的事项签订政府采购合同。</w:t>
            </w:r>
          </w:p>
          <w:p w14:paraId="75D9ACE2">
            <w:pPr>
              <w:spacing w:line="360" w:lineRule="auto"/>
              <w:ind w:firstLine="480" w:firstLineChars="200"/>
              <w:rPr>
                <w:rFonts w:hAnsi="宋体" w:cs="宋体"/>
                <w:szCs w:val="24"/>
                <w:highlight w:val="none"/>
              </w:rPr>
            </w:pPr>
            <w:r>
              <w:rPr>
                <w:rFonts w:hint="eastAsia" w:hAnsi="宋体" w:cs="宋体"/>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35CB31A0">
            <w:pPr>
              <w:pStyle w:val="14"/>
              <w:spacing w:line="360" w:lineRule="auto"/>
              <w:ind w:firstLine="480" w:firstLineChars="200"/>
              <w:rPr>
                <w:rFonts w:hint="eastAsia" w:hAnsi="宋体" w:eastAsia="宋体" w:cs="宋体"/>
                <w:sz w:val="24"/>
                <w:szCs w:val="24"/>
                <w:highlight w:val="none"/>
                <w:lang w:eastAsia="zh-CN"/>
              </w:rPr>
            </w:pPr>
            <w:r>
              <w:rPr>
                <w:rFonts w:hint="eastAsia" w:hAnsi="宋体" w:cs="宋体"/>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p>
          <w:p w14:paraId="1615A4B0">
            <w:pPr>
              <w:pStyle w:val="14"/>
              <w:spacing w:line="360" w:lineRule="auto"/>
              <w:ind w:firstLine="480" w:firstLineChars="200"/>
              <w:rPr>
                <w:rFonts w:hint="eastAsia" w:hAnsi="宋体" w:eastAsia="宋体" w:cs="宋体"/>
                <w:sz w:val="24"/>
                <w:szCs w:val="24"/>
                <w:highlight w:val="none"/>
                <w:lang w:eastAsia="zh-CN"/>
              </w:rPr>
            </w:pPr>
            <w:r>
              <w:rPr>
                <w:rFonts w:hint="eastAsia" w:hAnsi="宋体" w:cs="宋体"/>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6B5DF416">
            <w:pPr>
              <w:pStyle w:val="14"/>
              <w:spacing w:line="360" w:lineRule="auto"/>
              <w:ind w:firstLine="480" w:firstLineChars="200"/>
              <w:rPr>
                <w:rFonts w:hint="eastAsia" w:hAnsi="宋体" w:eastAsia="宋体" w:cs="宋体"/>
                <w:sz w:val="24"/>
                <w:szCs w:val="24"/>
                <w:highlight w:val="none"/>
                <w:lang w:eastAsia="zh-CN"/>
              </w:rPr>
            </w:pPr>
            <w:r>
              <w:rPr>
                <w:rFonts w:hint="eastAsia" w:hAnsi="宋体" w:cs="宋体"/>
                <w:sz w:val="24"/>
                <w:szCs w:val="24"/>
                <w:highlight w:val="none"/>
              </w:rPr>
              <w:t xml:space="preserve">    政府采购合同的双方当事人不得擅自变更、中止或者终止合同。</w:t>
            </w:r>
          </w:p>
          <w:p w14:paraId="5B8536F9">
            <w:pPr>
              <w:pStyle w:val="14"/>
              <w:spacing w:line="360" w:lineRule="auto"/>
              <w:ind w:firstLine="480" w:firstLineChars="200"/>
              <w:rPr>
                <w:rFonts w:hAnsi="宋体" w:cs="宋体"/>
                <w:kern w:val="0"/>
                <w:sz w:val="24"/>
                <w:szCs w:val="24"/>
                <w:highlight w:val="none"/>
              </w:rPr>
            </w:pPr>
            <w:r>
              <w:rPr>
                <w:rFonts w:hint="eastAsia" w:hAnsi="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4AF0D039">
      <w:pPr>
        <w:rPr>
          <w:rFonts w:hAnsi="宋体" w:cs="宋体"/>
          <w:sz w:val="32"/>
          <w:highlight w:val="none"/>
        </w:rPr>
      </w:pPr>
      <w:bookmarkStart w:id="92" w:name="_Toc19199"/>
      <w:bookmarkStart w:id="93" w:name="_Toc29888"/>
      <w:bookmarkStart w:id="94" w:name="_Toc19246"/>
      <w:bookmarkStart w:id="95" w:name="_Toc8333"/>
      <w:bookmarkStart w:id="96" w:name="_Toc4679"/>
      <w:bookmarkStart w:id="97" w:name="_Toc31520"/>
      <w:bookmarkStart w:id="98" w:name="_Toc389582037"/>
      <w:bookmarkStart w:id="99" w:name="_Toc26595"/>
      <w:bookmarkStart w:id="100" w:name="_Toc423973075"/>
      <w:r>
        <w:rPr>
          <w:rFonts w:hint="eastAsia" w:hAnsi="宋体" w:cs="宋体"/>
          <w:b/>
          <w:bCs/>
          <w:sz w:val="48"/>
          <w:szCs w:val="48"/>
          <w:highlight w:val="none"/>
        </w:rPr>
        <w:br w:type="page"/>
      </w:r>
    </w:p>
    <w:tbl>
      <w:tblPr>
        <w:tblStyle w:val="22"/>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14:paraId="35FE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tcPr>
          <w:p w14:paraId="49FFA2C2">
            <w:pPr>
              <w:jc w:val="center"/>
              <w:rPr>
                <w:rFonts w:hAnsi="宋体" w:cs="宋体"/>
                <w:b/>
                <w:sz w:val="30"/>
                <w:szCs w:val="30"/>
                <w:highlight w:val="none"/>
              </w:rPr>
            </w:pPr>
            <w:r>
              <w:rPr>
                <w:rFonts w:hint="eastAsia" w:hAnsi="宋体" w:cs="宋体"/>
                <w:b/>
                <w:sz w:val="30"/>
                <w:szCs w:val="30"/>
                <w:highlight w:val="none"/>
              </w:rPr>
              <w:t>竞争性磋商采购</w:t>
            </w:r>
          </w:p>
        </w:tc>
      </w:tr>
    </w:tbl>
    <w:p w14:paraId="690E4584">
      <w:pPr>
        <w:outlineLvl w:val="1"/>
        <w:rPr>
          <w:rFonts w:hAnsi="宋体" w:cs="宋体"/>
          <w:b/>
          <w:sz w:val="32"/>
          <w:szCs w:val="32"/>
          <w:highlight w:val="none"/>
        </w:rPr>
      </w:pPr>
      <w:bookmarkStart w:id="101" w:name="_Toc1362"/>
      <w:bookmarkStart w:id="102" w:name="_Toc5216"/>
      <w:bookmarkStart w:id="103" w:name="_Toc7874"/>
      <w:bookmarkStart w:id="104" w:name="_Toc18120"/>
      <w:r>
        <w:rPr>
          <w:rFonts w:hint="eastAsia" w:hAnsi="宋体" w:cs="宋体"/>
          <w:b/>
          <w:sz w:val="32"/>
          <w:szCs w:val="32"/>
          <w:highlight w:val="none"/>
        </w:rPr>
        <w:t>政府采购项目</w:t>
      </w:r>
      <w:r>
        <w:rPr>
          <w:rFonts w:hint="eastAsia" w:hAnsi="宋体" w:cs="宋体"/>
          <w:b/>
          <w:bCs/>
          <w:sz w:val="28"/>
          <w:szCs w:val="28"/>
          <w:highlight w:val="none"/>
        </w:rPr>
        <w:t>（</w:t>
      </w:r>
      <w:r>
        <w:rPr>
          <w:rFonts w:hint="eastAsia" w:hAnsi="宋体" w:cs="宋体"/>
          <w:b/>
          <w:sz w:val="32"/>
          <w:szCs w:val="32"/>
          <w:highlight w:val="none"/>
        </w:rPr>
        <w:t>仅供参考）</w:t>
      </w:r>
      <w:bookmarkEnd w:id="101"/>
      <w:bookmarkEnd w:id="102"/>
      <w:bookmarkEnd w:id="103"/>
      <w:bookmarkEnd w:id="104"/>
      <w:r>
        <w:rPr>
          <w:rFonts w:hint="eastAsia" w:hAnsi="宋体" w:cs="宋体"/>
          <w:b/>
          <w:sz w:val="32"/>
          <w:szCs w:val="32"/>
          <w:highlight w:val="none"/>
        </w:rPr>
        <w:t xml:space="preserve">                  </w:t>
      </w:r>
    </w:p>
    <w:p w14:paraId="4EC1B5F2">
      <w:pPr>
        <w:rPr>
          <w:rFonts w:hAnsi="宋体" w:cs="宋体"/>
          <w:b/>
          <w:sz w:val="32"/>
          <w:szCs w:val="32"/>
          <w:highlight w:val="none"/>
        </w:rPr>
      </w:pPr>
      <w:r>
        <w:rPr>
          <w:rFonts w:hint="eastAsia" w:hAnsi="宋体" w:cs="宋体"/>
          <w:b/>
          <w:sz w:val="32"/>
          <w:szCs w:val="32"/>
          <w:highlight w:val="none"/>
        </w:rPr>
        <w:t xml:space="preserve">          </w:t>
      </w:r>
    </w:p>
    <w:p w14:paraId="7249D392">
      <w:pPr>
        <w:jc w:val="center"/>
        <w:rPr>
          <w:rFonts w:hAnsi="宋体" w:cs="宋体"/>
          <w:sz w:val="52"/>
          <w:szCs w:val="52"/>
          <w:highlight w:val="none"/>
        </w:rPr>
      </w:pPr>
    </w:p>
    <w:p w14:paraId="0C9F858D">
      <w:pPr>
        <w:jc w:val="center"/>
        <w:rPr>
          <w:rFonts w:hAnsi="宋体" w:cs="宋体"/>
          <w:sz w:val="52"/>
          <w:szCs w:val="52"/>
          <w:highlight w:val="none"/>
        </w:rPr>
      </w:pPr>
    </w:p>
    <w:p w14:paraId="2DE64A04">
      <w:pPr>
        <w:jc w:val="center"/>
        <w:rPr>
          <w:rFonts w:hAnsi="宋体" w:cs="宋体"/>
          <w:b/>
          <w:snapToGrid w:val="0"/>
          <w:sz w:val="48"/>
          <w:szCs w:val="48"/>
          <w:highlight w:val="none"/>
          <w:u w:val="single"/>
        </w:rPr>
      </w:pPr>
      <w:r>
        <w:rPr>
          <w:rFonts w:hint="eastAsia" w:hAnsi="宋体" w:cs="宋体"/>
          <w:b/>
          <w:snapToGrid w:val="0"/>
          <w:sz w:val="48"/>
          <w:szCs w:val="48"/>
          <w:highlight w:val="none"/>
          <w:u w:val="single"/>
        </w:rPr>
        <w:t>(项目名称)</w:t>
      </w:r>
    </w:p>
    <w:p w14:paraId="38273A40">
      <w:pPr>
        <w:jc w:val="center"/>
        <w:rPr>
          <w:rFonts w:hAnsi="宋体" w:cs="宋体"/>
          <w:b/>
          <w:sz w:val="72"/>
          <w:szCs w:val="72"/>
          <w:highlight w:val="none"/>
        </w:rPr>
      </w:pPr>
      <w:r>
        <w:rPr>
          <w:rFonts w:hint="eastAsia" w:hAnsi="宋体" w:cs="宋体"/>
          <w:b/>
          <w:sz w:val="72"/>
          <w:szCs w:val="72"/>
          <w:highlight w:val="none"/>
          <w:lang w:val="en-US" w:eastAsia="zh-CN"/>
        </w:rPr>
        <w:t>采 购</w:t>
      </w:r>
      <w:r>
        <w:rPr>
          <w:rFonts w:hint="eastAsia" w:hAnsi="宋体" w:cs="宋体"/>
          <w:b/>
          <w:sz w:val="72"/>
          <w:szCs w:val="72"/>
          <w:highlight w:val="none"/>
        </w:rPr>
        <w:t xml:space="preserve"> 合 同</w:t>
      </w:r>
    </w:p>
    <w:p w14:paraId="59CEBD54">
      <w:pPr>
        <w:jc w:val="center"/>
        <w:rPr>
          <w:rFonts w:hAnsi="宋体" w:cs="宋体"/>
          <w:sz w:val="30"/>
          <w:szCs w:val="30"/>
          <w:highlight w:val="none"/>
        </w:rPr>
      </w:pPr>
      <w:r>
        <w:rPr>
          <w:rFonts w:hint="eastAsia" w:hAnsi="宋体" w:cs="宋体"/>
          <w:sz w:val="30"/>
          <w:szCs w:val="30"/>
          <w:highlight w:val="none"/>
        </w:rPr>
        <w:t xml:space="preserve">（项目编号：      </w:t>
      </w:r>
      <w:r>
        <w:rPr>
          <w:rFonts w:hint="eastAsia" w:hAnsi="宋体" w:cs="宋体"/>
          <w:sz w:val="28"/>
          <w:szCs w:val="28"/>
          <w:highlight w:val="none"/>
        </w:rPr>
        <w:t>）</w:t>
      </w:r>
    </w:p>
    <w:p w14:paraId="634F4AD8">
      <w:pPr>
        <w:jc w:val="center"/>
        <w:rPr>
          <w:rFonts w:hAnsi="宋体" w:cs="宋体"/>
          <w:sz w:val="30"/>
          <w:szCs w:val="30"/>
          <w:highlight w:val="none"/>
        </w:rPr>
      </w:pPr>
    </w:p>
    <w:p w14:paraId="5D2F4B94">
      <w:pPr>
        <w:jc w:val="center"/>
        <w:rPr>
          <w:rFonts w:hAnsi="宋体" w:cs="宋体"/>
          <w:sz w:val="30"/>
          <w:szCs w:val="30"/>
          <w:highlight w:val="none"/>
        </w:rPr>
      </w:pPr>
    </w:p>
    <w:p w14:paraId="4F4540D5">
      <w:pPr>
        <w:jc w:val="center"/>
        <w:rPr>
          <w:rFonts w:hAnsi="宋体" w:cs="宋体"/>
          <w:sz w:val="30"/>
          <w:szCs w:val="30"/>
          <w:highlight w:val="none"/>
        </w:rPr>
      </w:pPr>
    </w:p>
    <w:p w14:paraId="13CE0821">
      <w:pPr>
        <w:jc w:val="center"/>
        <w:rPr>
          <w:rFonts w:hAnsi="宋体" w:cs="宋体"/>
          <w:sz w:val="30"/>
          <w:szCs w:val="30"/>
          <w:highlight w:val="none"/>
        </w:rPr>
      </w:pPr>
    </w:p>
    <w:p w14:paraId="157DDA57">
      <w:pPr>
        <w:jc w:val="center"/>
        <w:rPr>
          <w:rFonts w:hAnsi="宋体" w:cs="宋体"/>
          <w:sz w:val="30"/>
          <w:szCs w:val="30"/>
          <w:highlight w:val="none"/>
        </w:rPr>
      </w:pPr>
    </w:p>
    <w:p w14:paraId="2DE7B2A2">
      <w:pPr>
        <w:ind w:firstLine="2080" w:firstLineChars="650"/>
        <w:rPr>
          <w:rFonts w:hAnsi="宋体" w:cs="宋体"/>
          <w:sz w:val="32"/>
          <w:szCs w:val="32"/>
          <w:highlight w:val="none"/>
        </w:rPr>
      </w:pPr>
      <w:r>
        <w:rPr>
          <w:rFonts w:hint="eastAsia" w:hAnsi="宋体" w:cs="宋体"/>
          <w:sz w:val="32"/>
          <w:szCs w:val="32"/>
          <w:highlight w:val="none"/>
        </w:rPr>
        <w:t xml:space="preserve">甲  方： </w:t>
      </w:r>
    </w:p>
    <w:p w14:paraId="5814D07A">
      <w:pPr>
        <w:tabs>
          <w:tab w:val="left" w:pos="480"/>
        </w:tabs>
        <w:ind w:firstLine="640" w:firstLineChars="200"/>
        <w:rPr>
          <w:rFonts w:hAnsi="宋体" w:cs="宋体"/>
          <w:sz w:val="32"/>
          <w:szCs w:val="32"/>
          <w:highlight w:val="none"/>
        </w:rPr>
      </w:pPr>
      <w:r>
        <w:rPr>
          <w:rFonts w:hint="eastAsia" w:hAnsi="宋体" w:cs="宋体"/>
          <w:sz w:val="32"/>
          <w:szCs w:val="32"/>
          <w:highlight w:val="none"/>
        </w:rPr>
        <w:t xml:space="preserve">         乙  方：</w:t>
      </w:r>
    </w:p>
    <w:p w14:paraId="47FFB743">
      <w:pPr>
        <w:jc w:val="center"/>
        <w:rPr>
          <w:rFonts w:hAnsi="宋体" w:cs="宋体"/>
          <w:sz w:val="30"/>
          <w:szCs w:val="30"/>
          <w:highlight w:val="none"/>
        </w:rPr>
      </w:pPr>
    </w:p>
    <w:p w14:paraId="2EC2C2B2">
      <w:pPr>
        <w:jc w:val="center"/>
        <w:rPr>
          <w:rFonts w:hAnsi="宋体" w:cs="宋体"/>
          <w:sz w:val="32"/>
          <w:szCs w:val="32"/>
          <w:highlight w:val="none"/>
        </w:rPr>
      </w:pPr>
      <w:r>
        <w:rPr>
          <w:rFonts w:hint="eastAsia" w:hAnsi="宋体" w:cs="宋体"/>
          <w:sz w:val="32"/>
          <w:szCs w:val="32"/>
          <w:highlight w:val="none"/>
        </w:rPr>
        <w:t xml:space="preserve">  年  月</w:t>
      </w:r>
    </w:p>
    <w:p w14:paraId="4E72E40B">
      <w:pPr>
        <w:jc w:val="center"/>
        <w:rPr>
          <w:rFonts w:hAnsi="宋体" w:cs="宋体"/>
          <w:sz w:val="32"/>
          <w:szCs w:val="32"/>
          <w:highlight w:val="none"/>
        </w:rPr>
      </w:pPr>
    </w:p>
    <w:p w14:paraId="6B02DB53">
      <w:pPr>
        <w:spacing w:line="590" w:lineRule="exact"/>
        <w:rPr>
          <w:rFonts w:hAnsi="宋体" w:cs="宋体"/>
          <w:b/>
          <w:sz w:val="36"/>
          <w:szCs w:val="36"/>
          <w:highlight w:val="none"/>
        </w:rPr>
      </w:pPr>
    </w:p>
    <w:p w14:paraId="7532E15C">
      <w:pPr>
        <w:rPr>
          <w:rFonts w:hAnsi="宋体" w:cs="宋体"/>
          <w:b/>
          <w:bCs/>
          <w:color w:val="auto"/>
          <w:sz w:val="44"/>
          <w:szCs w:val="44"/>
          <w:highlight w:val="none"/>
        </w:rPr>
      </w:pPr>
      <w:r>
        <w:rPr>
          <w:rFonts w:hint="eastAsia" w:hAnsi="宋体" w:cs="宋体"/>
          <w:b/>
          <w:szCs w:val="21"/>
          <w:highlight w:val="none"/>
        </w:rPr>
        <w:br w:type="page"/>
      </w:r>
      <w:bookmarkStart w:id="105" w:name="_Toc1119"/>
      <w:bookmarkStart w:id="106" w:name="_Toc4254"/>
      <w:bookmarkStart w:id="107" w:name="_Toc24914"/>
    </w:p>
    <w:p w14:paraId="4FEE7431">
      <w:pPr>
        <w:spacing w:line="360" w:lineRule="auto"/>
        <w:ind w:firstLine="480" w:firstLineChars="200"/>
        <w:jc w:val="left"/>
        <w:rPr>
          <w:rFonts w:hint="eastAsia" w:ascii="宋体" w:hAnsi="宋体" w:eastAsia="宋体"/>
          <w:color w:val="auto"/>
          <w:sz w:val="24"/>
          <w:szCs w:val="24"/>
          <w:highlight w:val="none"/>
          <w:u w:val="single"/>
          <w:lang w:eastAsia="zh-CN"/>
        </w:rPr>
      </w:pPr>
      <w:r>
        <w:rPr>
          <w:rFonts w:hint="eastAsia" w:ascii="宋体" w:hAnsi="宋体"/>
          <w:color w:val="auto"/>
          <w:sz w:val="24"/>
          <w:szCs w:val="24"/>
          <w:highlight w:val="none"/>
        </w:rPr>
        <w:t>甲方：</w:t>
      </w:r>
      <w:r>
        <w:rPr>
          <w:rFonts w:hint="eastAsia" w:hAnsi="宋体"/>
          <w:color w:val="auto"/>
          <w:sz w:val="24"/>
          <w:szCs w:val="24"/>
          <w:highlight w:val="none"/>
          <w:u w:val="single"/>
          <w:lang w:eastAsia="zh-CN"/>
        </w:rPr>
        <w:t>西安市军队离休退休干部管理服务中心</w:t>
      </w:r>
    </w:p>
    <w:p w14:paraId="2E6650A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乙方：</w:t>
      </w:r>
      <w:r>
        <w:rPr>
          <w:rFonts w:hint="eastAsia" w:hAnsi="宋体"/>
          <w:color w:val="auto"/>
          <w:sz w:val="24"/>
          <w:szCs w:val="24"/>
          <w:highlight w:val="none"/>
          <w:lang w:val="en-US" w:eastAsia="zh-CN"/>
        </w:rPr>
        <w:t xml:space="preserve"> </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lang w:val="en-US" w:eastAsia="zh-CN"/>
        </w:rPr>
        <w:t xml:space="preserve"> </w:t>
      </w:r>
      <w:r>
        <w:rPr>
          <w:rFonts w:hint="eastAsia" w:ascii="宋体" w:hAnsi="宋体"/>
          <w:color w:val="auto"/>
          <w:sz w:val="24"/>
          <w:szCs w:val="24"/>
          <w:highlight w:val="none"/>
        </w:rPr>
        <w:t>（中标单位名称）</w:t>
      </w:r>
    </w:p>
    <w:p w14:paraId="034FE568">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一、合同内容:</w:t>
      </w:r>
    </w:p>
    <w:p w14:paraId="35B070BB">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二、合同价款</w:t>
      </w:r>
    </w:p>
    <w:p w14:paraId="7228929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1、合同总价：</w:t>
      </w:r>
    </w:p>
    <w:p w14:paraId="25C24DA3">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2、合同总价包括：中标单位负责完成产品及相关物件的</w:t>
      </w:r>
      <w:r>
        <w:rPr>
          <w:rFonts w:hint="eastAsia" w:hAnsi="宋体"/>
          <w:color w:val="auto"/>
          <w:sz w:val="24"/>
          <w:szCs w:val="24"/>
          <w:highlight w:val="none"/>
          <w:lang w:val="en-US" w:eastAsia="zh-CN"/>
        </w:rPr>
        <w:t>采购、</w:t>
      </w:r>
      <w:r>
        <w:rPr>
          <w:rFonts w:hint="eastAsia" w:ascii="宋体" w:hAnsi="宋体"/>
          <w:color w:val="auto"/>
          <w:sz w:val="24"/>
          <w:szCs w:val="24"/>
          <w:highlight w:val="none"/>
        </w:rPr>
        <w:t>运输、保管、</w:t>
      </w:r>
      <w:r>
        <w:rPr>
          <w:rFonts w:hint="eastAsia" w:hAnsi="宋体"/>
          <w:color w:val="auto"/>
          <w:sz w:val="24"/>
          <w:szCs w:val="24"/>
          <w:highlight w:val="none"/>
          <w:lang w:val="en-US" w:eastAsia="zh-CN"/>
        </w:rPr>
        <w:t>组织验收等</w:t>
      </w:r>
      <w:r>
        <w:rPr>
          <w:rFonts w:hint="eastAsia" w:ascii="宋体" w:hAnsi="宋体"/>
          <w:color w:val="auto"/>
          <w:sz w:val="24"/>
          <w:szCs w:val="24"/>
          <w:highlight w:val="none"/>
        </w:rPr>
        <w:t>，直至其产品在招标人指定地点</w:t>
      </w:r>
      <w:r>
        <w:rPr>
          <w:rFonts w:hint="eastAsia" w:hAnsi="宋体"/>
          <w:color w:val="auto"/>
          <w:sz w:val="24"/>
          <w:szCs w:val="24"/>
          <w:highlight w:val="none"/>
          <w:lang w:val="en-US" w:eastAsia="zh-CN"/>
        </w:rPr>
        <w:t>完成配送</w:t>
      </w:r>
      <w:r>
        <w:rPr>
          <w:rFonts w:hint="eastAsia" w:ascii="宋体" w:hAnsi="宋体"/>
          <w:color w:val="auto"/>
          <w:sz w:val="24"/>
          <w:szCs w:val="24"/>
          <w:highlight w:val="none"/>
        </w:rPr>
        <w:t>，并经招标人验收合格。对因此而产生的与项目发生的一切费用，全部由中标单位承担。</w:t>
      </w:r>
    </w:p>
    <w:p w14:paraId="51DE2262">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3、合同有效期内，合同总价一次包死，不受国家政策性调价或原材料价格变化及外汇汇率变化的影响，并作为最终结算的依据。</w:t>
      </w:r>
    </w:p>
    <w:p w14:paraId="092E8FA0">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三、合同结算</w:t>
      </w:r>
    </w:p>
    <w:p w14:paraId="0F736172">
      <w:pPr>
        <w:spacing w:line="360" w:lineRule="auto"/>
        <w:ind w:firstLine="480" w:firstLineChars="200"/>
        <w:rPr>
          <w:rFonts w:hint="eastAsia" w:hAnsi="宋体"/>
          <w:color w:val="auto"/>
          <w:sz w:val="24"/>
          <w:szCs w:val="24"/>
          <w:highlight w:val="none"/>
          <w:lang w:val="en-US" w:eastAsia="zh-CN"/>
        </w:rPr>
      </w:pPr>
      <w:r>
        <w:rPr>
          <w:rFonts w:hint="eastAsia" w:ascii="宋体" w:hAnsi="宋体"/>
          <w:color w:val="auto"/>
          <w:sz w:val="24"/>
          <w:szCs w:val="24"/>
          <w:highlight w:val="none"/>
        </w:rPr>
        <w:t>1、付款</w:t>
      </w:r>
      <w:r>
        <w:rPr>
          <w:rFonts w:hint="eastAsia" w:hAnsi="宋体"/>
          <w:color w:val="auto"/>
          <w:sz w:val="24"/>
          <w:szCs w:val="24"/>
          <w:highlight w:val="none"/>
          <w:lang w:val="en-US" w:eastAsia="zh-CN"/>
        </w:rPr>
        <w:t>方式</w:t>
      </w:r>
      <w:r>
        <w:rPr>
          <w:rFonts w:hint="eastAsia" w:ascii="宋体" w:hAnsi="宋体"/>
          <w:color w:val="auto"/>
          <w:sz w:val="24"/>
          <w:szCs w:val="24"/>
          <w:highlight w:val="none"/>
        </w:rPr>
        <w:t>：</w:t>
      </w:r>
    </w:p>
    <w:p w14:paraId="428CDBA9">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2、结算方式：银行转账。</w:t>
      </w:r>
    </w:p>
    <w:p w14:paraId="76EF8722">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3、结算单位：由监督机构负责结算，乙方开具合同总价数的全额发票交采购人。</w:t>
      </w:r>
    </w:p>
    <w:p w14:paraId="2EFE063C">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四、交货条件:</w:t>
      </w:r>
    </w:p>
    <w:p w14:paraId="5D9066DB">
      <w:pPr>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1、交货地点：</w:t>
      </w:r>
      <w:r>
        <w:rPr>
          <w:rFonts w:hint="eastAsia" w:ascii="宋体" w:hAnsi="宋体"/>
          <w:b/>
          <w:bCs/>
          <w:color w:val="auto"/>
          <w:sz w:val="24"/>
          <w:szCs w:val="24"/>
          <w:highlight w:val="none"/>
          <w:lang w:val="en-US" w:eastAsia="zh-CN"/>
        </w:rPr>
        <w:t>采购人指定地点。</w:t>
      </w:r>
    </w:p>
    <w:p w14:paraId="31E87A3A">
      <w:pPr>
        <w:spacing w:line="360" w:lineRule="auto"/>
        <w:ind w:firstLine="482" w:firstLineChars="200"/>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rPr>
        <w:t>2、交货期：</w:t>
      </w:r>
      <w:r>
        <w:rPr>
          <w:rFonts w:hint="eastAsia" w:ascii="宋体" w:hAnsi="宋体"/>
          <w:b/>
          <w:bCs/>
          <w:color w:val="auto"/>
          <w:sz w:val="24"/>
          <w:szCs w:val="24"/>
          <w:highlight w:val="none"/>
          <w:lang w:val="en-US" w:eastAsia="zh-CN"/>
        </w:rPr>
        <w:t>分批次配送，批次不定，每次接到采购人通知2日内完成配送。</w:t>
      </w:r>
    </w:p>
    <w:p w14:paraId="1A8E5818">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五、运输</w:t>
      </w:r>
    </w:p>
    <w:p w14:paraId="244AFC48">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1、乙方负责所有货物的运输。确保货物安全、完整到达使用地点，运杂费用包含在总价内，包括货物从供货地点到使用地点的运输费、保险费、搬运费等。</w:t>
      </w:r>
    </w:p>
    <w:p w14:paraId="7AA08A01">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2、所有货物在运输、搬运的过程中，造成甲方损失的，由乙方为甲方修复或更新。</w:t>
      </w:r>
    </w:p>
    <w:p w14:paraId="2684785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六、质量保证</w:t>
      </w:r>
    </w:p>
    <w:p w14:paraId="737F1881">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1、所供货物必须是经过办理正常手续的全新产品。</w:t>
      </w:r>
    </w:p>
    <w:p w14:paraId="32A0B08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2、所供货物是经过国家法定检验、注册、准许市场销售的合法产品。</w:t>
      </w:r>
    </w:p>
    <w:p w14:paraId="2CF57D99">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3、货物性能稳定、具有较好的使用效果，质量保证措施完善，符合国家相关标准。</w:t>
      </w:r>
    </w:p>
    <w:p w14:paraId="55BFB17F">
      <w:pPr>
        <w:spacing w:line="360" w:lineRule="auto"/>
        <w:ind w:firstLine="480" w:firstLineChars="200"/>
        <w:rPr>
          <w:rFonts w:hint="eastAsia" w:hAnsi="宋体" w:cs="宋体"/>
          <w:b/>
          <w:color w:val="auto"/>
          <w:sz w:val="24"/>
          <w:szCs w:val="24"/>
          <w:highlight w:val="none"/>
          <w:lang w:val="en-US" w:eastAsia="zh-CN"/>
        </w:rPr>
      </w:pPr>
      <w:r>
        <w:rPr>
          <w:rFonts w:hint="eastAsia" w:ascii="宋体" w:hAnsi="宋体"/>
          <w:color w:val="auto"/>
          <w:sz w:val="24"/>
          <w:szCs w:val="24"/>
          <w:highlight w:val="none"/>
        </w:rPr>
        <w:t>4、</w:t>
      </w:r>
      <w:r>
        <w:rPr>
          <w:rFonts w:hint="eastAsia" w:hAnsi="宋体"/>
          <w:color w:val="auto"/>
          <w:sz w:val="24"/>
          <w:szCs w:val="24"/>
          <w:highlight w:val="none"/>
          <w:lang w:val="en-US" w:eastAsia="zh-CN"/>
        </w:rPr>
        <w:t>质保期：</w:t>
      </w:r>
      <w:r>
        <w:rPr>
          <w:rFonts w:hint="eastAsia" w:ascii="宋体" w:hAnsi="宋体" w:eastAsia="宋体" w:cs="宋体"/>
          <w:b/>
          <w:color w:val="auto"/>
          <w:sz w:val="24"/>
          <w:szCs w:val="24"/>
          <w:highlight w:val="none"/>
          <w:lang w:val="en-US" w:eastAsia="zh-CN"/>
        </w:rPr>
        <w:t>从交货时间起算剩余保质期≥2/3保质期。</w:t>
      </w:r>
    </w:p>
    <w:p w14:paraId="0E11685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5、包装要求</w:t>
      </w:r>
    </w:p>
    <w:p w14:paraId="2B184A3C">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5-1、除合同另有规定外，乙方提供的全部货物，均应</w:t>
      </w:r>
      <w:r>
        <w:rPr>
          <w:rFonts w:hint="eastAsia" w:ascii="宋体" w:hAnsi="宋体" w:eastAsia="宋体" w:cs="宋体"/>
          <w:bCs/>
          <w:color w:val="auto"/>
          <w:sz w:val="24"/>
          <w:szCs w:val="24"/>
          <w:highlight w:val="none"/>
          <w:lang w:val="en-US" w:eastAsia="zh-CN"/>
        </w:rPr>
        <w:t>独立包装，便于运输储存，外包符合国家食品包装规范</w:t>
      </w:r>
      <w:r>
        <w:rPr>
          <w:rFonts w:hint="eastAsia" w:ascii="宋体" w:hAnsi="宋体"/>
          <w:color w:val="auto"/>
          <w:sz w:val="24"/>
          <w:szCs w:val="24"/>
          <w:highlight w:val="none"/>
        </w:rPr>
        <w:t>，并确保货物安全无损运抵甲方指定地点。</w:t>
      </w:r>
    </w:p>
    <w:p w14:paraId="33BDB77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5-2、每一个包装箱内应附一份详细装箱单和质量合格证。</w:t>
      </w:r>
    </w:p>
    <w:p w14:paraId="091B1A98">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6、乙方应保证甲方在使用该货物或其任何一部分时免受第三方提出侵犯其专利权•商标权或工业设计权的起诉。</w:t>
      </w:r>
    </w:p>
    <w:p w14:paraId="23C255D3">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七、验收</w:t>
      </w:r>
    </w:p>
    <w:p w14:paraId="3673315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1、验收：乙方施工合格后，向甲方提出验收申请，甲方接到乙方验收申请后组织验收（必要时可聘请相应专家或委托相应部门验收），验收合格后，出具使用验收合格证明。</w:t>
      </w:r>
    </w:p>
    <w:p w14:paraId="7E0752E8">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2、最终验收：最终验收结果作为付款依据，乙方填写验收单，并向甲方提交实施过程中的所有资料，以便甲方日后管理和维护。</w:t>
      </w:r>
    </w:p>
    <w:p w14:paraId="3255A1C9">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3、质保期满后：由乙方出具质保期运行质量报告，作为质保金支付依据，若存在质量问题，应按相应规定协商处理。</w:t>
      </w:r>
    </w:p>
    <w:p w14:paraId="58B12C20">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4、验收依据：</w:t>
      </w:r>
    </w:p>
    <w:p w14:paraId="4C15765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5-1、合同文本、合同附件、招标文件、投标文件。</w:t>
      </w:r>
    </w:p>
    <w:p w14:paraId="21BB8004">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5-2、国内相应的标准、规范。</w:t>
      </w:r>
    </w:p>
    <w:p w14:paraId="32A24852">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九、违约责任</w:t>
      </w:r>
    </w:p>
    <w:p w14:paraId="789F2D08">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按《民法典》中的相关条款执行。</w:t>
      </w:r>
    </w:p>
    <w:p w14:paraId="46ABC645">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2、乙方履约延误</w:t>
      </w:r>
    </w:p>
    <w:p w14:paraId="165EA1D1">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2-1、如乙方事先未征得甲方同意并得到甲方的谅解而单方面延迟交货，将按违约终止合同。</w:t>
      </w:r>
    </w:p>
    <w:p w14:paraId="368438B0">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-2、在履行合同过程中，如果乙方遇到可能妨碍按时交货和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迟交货物交货价或未提供服务的服务费用的百分之零点五（0.5%）计收，直至交货或提供服务为止。误期赔偿费的最高限额为合同价格的百分之五（5%）。一旦达到误期赔偿费的最高限额，甲方可终止合同。</w:t>
      </w:r>
    </w:p>
    <w:p w14:paraId="6C0E333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3、违约终止合同：未按合同要求提供货物或质量不能满足技术要求，甲方会同监督机构有权终止合同，对乙方违约行为进行追究，同时按政府采购法的有关规定进行相应的处罚。</w:t>
      </w:r>
    </w:p>
    <w:p w14:paraId="6A6EB0E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十、合同组成</w:t>
      </w:r>
    </w:p>
    <w:p w14:paraId="4F4E0400">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成交</w:t>
      </w:r>
      <w:r>
        <w:rPr>
          <w:rFonts w:hint="eastAsia" w:ascii="宋体" w:hAnsi="宋体"/>
          <w:color w:val="auto"/>
          <w:sz w:val="24"/>
          <w:szCs w:val="24"/>
          <w:highlight w:val="none"/>
        </w:rPr>
        <w:t>通知书</w:t>
      </w:r>
    </w:p>
    <w:p w14:paraId="1F223B30">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2、合同文件</w:t>
      </w:r>
    </w:p>
    <w:p w14:paraId="5CBD13E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3、国家相关规范及标准</w:t>
      </w:r>
    </w:p>
    <w:p w14:paraId="77B58B15">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竞争性磋商</w:t>
      </w:r>
      <w:r>
        <w:rPr>
          <w:rFonts w:hint="eastAsia" w:ascii="宋体" w:hAnsi="宋体"/>
          <w:color w:val="auto"/>
          <w:sz w:val="24"/>
          <w:szCs w:val="24"/>
          <w:highlight w:val="none"/>
        </w:rPr>
        <w:t>文件</w:t>
      </w:r>
    </w:p>
    <w:p w14:paraId="1A609D3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w:t>
      </w:r>
      <w:r>
        <w:rPr>
          <w:rFonts w:hint="eastAsia" w:ascii="宋体" w:hAnsi="宋体"/>
          <w:color w:val="auto"/>
          <w:sz w:val="24"/>
          <w:szCs w:val="24"/>
          <w:highlight w:val="none"/>
          <w:lang w:val="en-US" w:eastAsia="zh-CN"/>
        </w:rPr>
        <w:t>竞争性磋商响应</w:t>
      </w:r>
      <w:r>
        <w:rPr>
          <w:rFonts w:hint="eastAsia" w:ascii="宋体" w:hAnsi="宋体"/>
          <w:color w:val="auto"/>
          <w:sz w:val="24"/>
          <w:szCs w:val="24"/>
          <w:highlight w:val="none"/>
        </w:rPr>
        <w:t>文件</w:t>
      </w:r>
    </w:p>
    <w:p w14:paraId="017E1BA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十一、合同生效及其它</w:t>
      </w:r>
    </w:p>
    <w:p w14:paraId="4268691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1、合同未尽事宜、由甲、乙双方协商，作为合同补充，与原合同具有同等法律效力。</w:t>
      </w:r>
    </w:p>
    <w:p w14:paraId="4334ED3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 本合同正本一式  份，甲方、乙方双方分别执  份，   备案  份。</w:t>
      </w:r>
    </w:p>
    <w:p w14:paraId="0AC5F53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3、合同经甲乙双方盖章、签字后生效，合同签订地点为   。</w:t>
      </w:r>
    </w:p>
    <w:p w14:paraId="4D316D8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4、生效时间：   年  月  日</w:t>
      </w:r>
    </w:p>
    <w:p w14:paraId="395F2589">
      <w:pPr>
        <w:spacing w:line="360" w:lineRule="auto"/>
        <w:ind w:firstLine="480" w:firstLineChars="200"/>
        <w:rPr>
          <w:rFonts w:ascii="宋体" w:hAnsi="宋体"/>
          <w:color w:val="auto"/>
          <w:sz w:val="24"/>
          <w:szCs w:val="24"/>
          <w:highlight w:val="none"/>
        </w:rPr>
      </w:pPr>
    </w:p>
    <w:tbl>
      <w:tblPr>
        <w:tblStyle w:val="22"/>
        <w:tblW w:w="0" w:type="auto"/>
        <w:jc w:val="center"/>
        <w:tblLayout w:type="fixed"/>
        <w:tblCellMar>
          <w:top w:w="0" w:type="dxa"/>
          <w:left w:w="108" w:type="dxa"/>
          <w:bottom w:w="0" w:type="dxa"/>
          <w:right w:w="108" w:type="dxa"/>
        </w:tblCellMar>
      </w:tblPr>
      <w:tblGrid>
        <w:gridCol w:w="4497"/>
        <w:gridCol w:w="4496"/>
      </w:tblGrid>
      <w:tr w14:paraId="2A4022D9">
        <w:tblPrEx>
          <w:tblCellMar>
            <w:top w:w="0" w:type="dxa"/>
            <w:left w:w="108" w:type="dxa"/>
            <w:bottom w:w="0" w:type="dxa"/>
            <w:right w:w="108" w:type="dxa"/>
          </w:tblCellMar>
        </w:tblPrEx>
        <w:trPr>
          <w:jc w:val="center"/>
        </w:trPr>
        <w:tc>
          <w:tcPr>
            <w:tcW w:w="4497" w:type="dxa"/>
            <w:noWrap w:val="0"/>
            <w:vAlign w:val="top"/>
          </w:tcPr>
          <w:p w14:paraId="2B958A3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甲方名称（盖章）:</w:t>
            </w:r>
          </w:p>
          <w:p w14:paraId="21DFA6A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地址：</w:t>
            </w:r>
          </w:p>
          <w:p w14:paraId="15F97AC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代表人（签字）：</w:t>
            </w:r>
          </w:p>
          <w:p w14:paraId="79291C7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电话：</w:t>
            </w:r>
          </w:p>
          <w:p w14:paraId="0E76645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开户银行：</w:t>
            </w:r>
          </w:p>
          <w:p w14:paraId="24BFF66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帐号：</w:t>
            </w:r>
          </w:p>
        </w:tc>
        <w:tc>
          <w:tcPr>
            <w:tcW w:w="4496" w:type="dxa"/>
            <w:noWrap w:val="0"/>
            <w:vAlign w:val="top"/>
          </w:tcPr>
          <w:p w14:paraId="5A95A74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乙方名称（盖章）:</w:t>
            </w:r>
          </w:p>
          <w:p w14:paraId="13028F4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地址：</w:t>
            </w:r>
          </w:p>
          <w:p w14:paraId="65AE5A4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代表人（签字）：</w:t>
            </w:r>
          </w:p>
          <w:p w14:paraId="2D8F6BF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电话：</w:t>
            </w:r>
          </w:p>
          <w:p w14:paraId="3E76EE6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开户银行：</w:t>
            </w:r>
          </w:p>
          <w:p w14:paraId="1445767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帐号：</w:t>
            </w:r>
          </w:p>
        </w:tc>
      </w:tr>
    </w:tbl>
    <w:p w14:paraId="6F87197F">
      <w:pPr>
        <w:rPr>
          <w:rFonts w:hint="eastAsia" w:ascii="宋体" w:eastAsia="宋体" w:cs="宋体"/>
          <w:bCs/>
          <w:sz w:val="36"/>
          <w:szCs w:val="36"/>
          <w:highlight w:val="none"/>
        </w:rPr>
      </w:pPr>
    </w:p>
    <w:p w14:paraId="4F5888B9">
      <w:pPr>
        <w:rPr>
          <w:rFonts w:hint="eastAsia" w:ascii="宋体" w:eastAsia="宋体" w:cs="宋体"/>
          <w:bCs/>
          <w:sz w:val="36"/>
          <w:szCs w:val="36"/>
          <w:highlight w:val="none"/>
        </w:rPr>
      </w:pPr>
      <w:r>
        <w:rPr>
          <w:rFonts w:hint="eastAsia" w:ascii="宋体" w:eastAsia="宋体" w:cs="宋体"/>
          <w:bCs/>
          <w:sz w:val="36"/>
          <w:szCs w:val="36"/>
          <w:highlight w:val="none"/>
        </w:rPr>
        <w:br w:type="page"/>
      </w:r>
    </w:p>
    <w:p w14:paraId="2B8EFEC7">
      <w:pPr>
        <w:pStyle w:val="2"/>
        <w:jc w:val="center"/>
        <w:rPr>
          <w:rFonts w:ascii="宋体" w:eastAsia="宋体" w:cs="宋体"/>
          <w:bCs/>
          <w:sz w:val="36"/>
          <w:szCs w:val="36"/>
          <w:highlight w:val="none"/>
        </w:rPr>
      </w:pPr>
      <w:r>
        <w:rPr>
          <w:rFonts w:hint="eastAsia" w:ascii="宋体" w:eastAsia="宋体" w:cs="宋体"/>
          <w:bCs/>
          <w:sz w:val="36"/>
          <w:szCs w:val="36"/>
          <w:highlight w:val="none"/>
        </w:rPr>
        <w:t xml:space="preserve">第五章 </w:t>
      </w:r>
      <w:bookmarkEnd w:id="92"/>
      <w:bookmarkEnd w:id="93"/>
      <w:bookmarkEnd w:id="94"/>
      <w:bookmarkEnd w:id="95"/>
      <w:bookmarkEnd w:id="96"/>
      <w:bookmarkEnd w:id="97"/>
      <w:bookmarkEnd w:id="98"/>
      <w:bookmarkEnd w:id="99"/>
      <w:bookmarkEnd w:id="100"/>
      <w:r>
        <w:rPr>
          <w:rFonts w:hint="eastAsia" w:ascii="宋体" w:eastAsia="宋体" w:cs="宋体"/>
          <w:bCs/>
          <w:sz w:val="36"/>
          <w:szCs w:val="36"/>
          <w:highlight w:val="none"/>
        </w:rPr>
        <w:t xml:space="preserve"> 磋商内容及技术要求</w:t>
      </w:r>
      <w:bookmarkEnd w:id="105"/>
      <w:bookmarkEnd w:id="106"/>
      <w:bookmarkEnd w:id="107"/>
    </w:p>
    <w:bookmarkEnd w:id="61"/>
    <w:p w14:paraId="5AB64D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lang w:val="en-US" w:eastAsia="zh-CN"/>
        </w:rPr>
      </w:pPr>
      <w:bookmarkStart w:id="108" w:name="_Toc2750"/>
      <w:bookmarkStart w:id="109" w:name="_Toc363474025"/>
      <w:bookmarkStart w:id="110" w:name="_Toc6373"/>
      <w:bookmarkStart w:id="111" w:name="_Toc403077646"/>
      <w:bookmarkStart w:id="112" w:name="_Toc423973079"/>
      <w:bookmarkStart w:id="113" w:name="_Toc5084"/>
      <w:r>
        <w:rPr>
          <w:rFonts w:hint="eastAsia" w:ascii="宋体" w:hAnsi="宋体" w:eastAsia="宋体" w:cs="宋体"/>
          <w:b/>
          <w:bCs/>
          <w:sz w:val="24"/>
          <w:szCs w:val="24"/>
          <w:highlight w:val="none"/>
          <w:lang w:val="en-US" w:eastAsia="zh-CN"/>
        </w:rPr>
        <w:t>1.采购标准和数量：</w:t>
      </w:r>
      <w:r>
        <w:rPr>
          <w:rFonts w:hint="eastAsia" w:ascii="宋体" w:hAnsi="宋体" w:eastAsia="宋体" w:cs="宋体"/>
          <w:sz w:val="24"/>
          <w:szCs w:val="24"/>
          <w:highlight w:val="none"/>
          <w:lang w:val="en-US" w:eastAsia="zh-CN"/>
        </w:rPr>
        <w:t>本项目是为军休干部采购住院慰问品，为保证慰问品的采购质量，按每人300元标准进行采购，即结算金额300元/人，预计970人，后期若人员变动，按300元每人据实结算。</w:t>
      </w:r>
    </w:p>
    <w:p w14:paraId="44682F3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2.采购品种：</w:t>
      </w:r>
      <w:r>
        <w:rPr>
          <w:rFonts w:hint="eastAsia" w:ascii="宋体" w:hAnsi="宋体" w:eastAsia="宋体" w:cs="宋体"/>
          <w:sz w:val="24"/>
          <w:szCs w:val="24"/>
          <w:highlight w:val="none"/>
          <w:lang w:val="en-US" w:eastAsia="zh-CN"/>
        </w:rPr>
        <w:t>原则上要求四件产品，品种和营养搭配合理，不得高于同类物品在供货同期时间大型超市的售卖价格。</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xml:space="preserve">    3</w:t>
      </w:r>
      <w:r>
        <w:rPr>
          <w:rFonts w:hint="eastAsia" w:ascii="宋体" w:hAnsi="宋体" w:eastAsia="宋体" w:cs="宋体"/>
          <w:b/>
          <w:bCs/>
          <w:kern w:val="2"/>
          <w:sz w:val="24"/>
          <w:szCs w:val="24"/>
          <w:highlight w:val="none"/>
          <w:lang w:val="en-US" w:eastAsia="zh-CN" w:bidi="ar-SA"/>
        </w:rPr>
        <w:t>.交 货 期：</w:t>
      </w:r>
      <w:r>
        <w:rPr>
          <w:rFonts w:hint="eastAsia" w:ascii="宋体" w:hAnsi="宋体" w:eastAsia="宋体" w:cs="宋体"/>
          <w:sz w:val="24"/>
          <w:szCs w:val="24"/>
          <w:highlight w:val="none"/>
          <w:lang w:val="en-US" w:eastAsia="zh-CN"/>
        </w:rPr>
        <w:t>分批次配送，批次不定，每次接到采购人通知2日内完成配送。</w:t>
      </w:r>
    </w:p>
    <w:p w14:paraId="13901A81">
      <w:pPr>
        <w:pStyle w:val="1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b/>
          <w:bCs/>
          <w:sz w:val="24"/>
          <w:szCs w:val="24"/>
          <w:highlight w:val="none"/>
          <w:lang w:val="en-US" w:eastAsia="zh-CN"/>
        </w:rPr>
        <w:t>交货地点：</w:t>
      </w:r>
      <w:r>
        <w:rPr>
          <w:rFonts w:hint="eastAsia" w:ascii="宋体" w:hAnsi="宋体" w:eastAsia="宋体" w:cs="宋体"/>
          <w:sz w:val="24"/>
          <w:szCs w:val="24"/>
          <w:highlight w:val="none"/>
          <w:lang w:val="en-US" w:eastAsia="zh-CN"/>
        </w:rPr>
        <w:t>采购人指定地点。</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xml:space="preserve">    5.</w:t>
      </w:r>
      <w:r>
        <w:rPr>
          <w:rFonts w:hint="eastAsia" w:ascii="宋体" w:hAnsi="宋体" w:eastAsia="宋体" w:cs="宋体"/>
          <w:b/>
          <w:bCs/>
          <w:sz w:val="24"/>
          <w:szCs w:val="24"/>
          <w:highlight w:val="none"/>
          <w:lang w:val="en-US" w:eastAsia="zh-CN"/>
        </w:rPr>
        <w:t>质 保 期：</w:t>
      </w:r>
      <w:r>
        <w:rPr>
          <w:rFonts w:hint="eastAsia" w:ascii="宋体" w:hAnsi="宋体" w:eastAsia="宋体" w:cs="宋体"/>
          <w:sz w:val="24"/>
          <w:szCs w:val="24"/>
          <w:highlight w:val="none"/>
          <w:lang w:val="en-US" w:eastAsia="zh-CN"/>
        </w:rPr>
        <w:t>从交货时间起算剩余质保期≥2/3质保期。</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xml:space="preserve">    6.</w:t>
      </w:r>
      <w:r>
        <w:rPr>
          <w:rFonts w:hint="eastAsia" w:ascii="宋体" w:hAnsi="宋体" w:eastAsia="宋体" w:cs="宋体"/>
          <w:b/>
          <w:bCs/>
          <w:sz w:val="24"/>
          <w:szCs w:val="24"/>
          <w:highlight w:val="none"/>
          <w:lang w:val="en-US" w:eastAsia="zh-CN"/>
        </w:rPr>
        <w:t>包装要求：</w:t>
      </w:r>
      <w:r>
        <w:rPr>
          <w:rFonts w:hint="eastAsia" w:ascii="宋体" w:hAnsi="宋体" w:eastAsia="宋体" w:cs="宋体"/>
          <w:sz w:val="24"/>
          <w:szCs w:val="24"/>
          <w:highlight w:val="none"/>
          <w:lang w:val="en-US" w:eastAsia="zh-CN"/>
        </w:rPr>
        <w:t>独立包装，便于运输储存，外包符合国家食品包装规范。</w:t>
      </w:r>
    </w:p>
    <w:p w14:paraId="2DE41BEB">
      <w:pPr>
        <w:pStyle w:val="1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7.质量要求：</w:t>
      </w:r>
      <w:r>
        <w:rPr>
          <w:rFonts w:hint="eastAsia" w:ascii="宋体" w:hAnsi="宋体" w:eastAsia="宋体" w:cs="宋体"/>
          <w:sz w:val="24"/>
          <w:szCs w:val="24"/>
          <w:highlight w:val="none"/>
          <w:lang w:val="en-US" w:eastAsia="zh-CN"/>
        </w:rPr>
        <w:t>严格按照《食品安全法》的规定保证质量。质量按照国家最新相关标准执行。严禁添加剂、防腐剂和一些可能危害身体健康的元素含量超标。每批次有合格的内检报告，每半年有合格的外检报告。由于产品质量引起的一切责任由供货商承担，采购人有权终止合同。</w:t>
      </w:r>
    </w:p>
    <w:p w14:paraId="0E1D7B2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8.售后要求：</w:t>
      </w:r>
      <w:r>
        <w:rPr>
          <w:rFonts w:hint="eastAsia" w:ascii="宋体" w:hAnsi="宋体" w:eastAsia="宋体" w:cs="宋体"/>
          <w:sz w:val="24"/>
          <w:szCs w:val="24"/>
          <w:highlight w:val="none"/>
          <w:lang w:val="en-US" w:eastAsia="zh-CN"/>
        </w:rPr>
        <w:t>如采购物品在收货后有任何损坏，供货方无条件更换。中标后，供货方要保障供应物品品种和数量需求，按照采购方需求及时做好供货和服务，不以任何理由拒绝。如遇特殊情况或因其他原因货物品质无法达到预期效果，需调换的，要求按照采购方需求在总价格不变的条件下配合调换。</w:t>
      </w:r>
    </w:p>
    <w:p w14:paraId="3C80854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9、产品明细表</w:t>
      </w:r>
    </w:p>
    <w:tbl>
      <w:tblPr>
        <w:tblStyle w:val="22"/>
        <w:tblpPr w:leftFromText="180" w:rightFromText="180" w:vertAnchor="text" w:horzAnchor="page" w:tblpXSpec="center" w:tblpY="152"/>
        <w:tblOverlap w:val="never"/>
        <w:tblW w:w="46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
        <w:gridCol w:w="1043"/>
        <w:gridCol w:w="1749"/>
        <w:gridCol w:w="2882"/>
        <w:gridCol w:w="512"/>
        <w:gridCol w:w="618"/>
        <w:gridCol w:w="1505"/>
      </w:tblGrid>
      <w:tr w14:paraId="5618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89" w:type="pct"/>
            <w:tcBorders>
              <w:top w:val="single" w:color="auto" w:sz="4" w:space="0"/>
              <w:left w:val="single" w:color="auto" w:sz="4" w:space="0"/>
              <w:bottom w:val="single" w:color="auto" w:sz="4" w:space="0"/>
              <w:right w:val="single" w:color="auto" w:sz="4" w:space="0"/>
            </w:tcBorders>
            <w:noWrap w:val="0"/>
            <w:vAlign w:val="center"/>
          </w:tcPr>
          <w:p w14:paraId="3F51051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 号</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66A6E74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货物</w:t>
            </w:r>
          </w:p>
          <w:p w14:paraId="733B4E1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名称</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2B85BE6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规格</w:t>
            </w:r>
          </w:p>
        </w:tc>
        <w:tc>
          <w:tcPr>
            <w:tcW w:w="1633" w:type="pct"/>
            <w:tcBorders>
              <w:top w:val="single" w:color="auto" w:sz="4" w:space="0"/>
              <w:left w:val="single" w:color="auto" w:sz="4" w:space="0"/>
              <w:bottom w:val="single" w:color="auto" w:sz="4" w:space="0"/>
              <w:right w:val="single" w:color="auto" w:sz="4" w:space="0"/>
            </w:tcBorders>
            <w:noWrap w:val="0"/>
            <w:vAlign w:val="center"/>
          </w:tcPr>
          <w:p w14:paraId="02CD72B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要求</w:t>
            </w:r>
          </w:p>
        </w:tc>
        <w:tc>
          <w:tcPr>
            <w:tcW w:w="290" w:type="pct"/>
            <w:tcBorders>
              <w:top w:val="single" w:color="auto" w:sz="4" w:space="0"/>
              <w:left w:val="single" w:color="auto" w:sz="4" w:space="0"/>
              <w:bottom w:val="single" w:color="auto" w:sz="4" w:space="0"/>
              <w:right w:val="single" w:color="auto" w:sz="4" w:space="0"/>
            </w:tcBorders>
            <w:noWrap w:val="0"/>
            <w:vAlign w:val="center"/>
          </w:tcPr>
          <w:p w14:paraId="3840DF3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 位</w:t>
            </w:r>
          </w:p>
        </w:tc>
        <w:tc>
          <w:tcPr>
            <w:tcW w:w="350" w:type="pct"/>
            <w:tcBorders>
              <w:top w:val="single" w:color="auto" w:sz="4" w:space="0"/>
              <w:left w:val="single" w:color="auto" w:sz="4" w:space="0"/>
              <w:bottom w:val="single" w:color="auto" w:sz="4" w:space="0"/>
              <w:right w:val="single" w:color="auto" w:sz="4" w:space="0"/>
            </w:tcBorders>
            <w:noWrap w:val="0"/>
            <w:vAlign w:val="center"/>
          </w:tcPr>
          <w:p w14:paraId="610FD9C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数量</w:t>
            </w:r>
          </w:p>
        </w:tc>
        <w:tc>
          <w:tcPr>
            <w:tcW w:w="853" w:type="pct"/>
            <w:tcBorders>
              <w:top w:val="single" w:color="auto" w:sz="4" w:space="0"/>
              <w:left w:val="single" w:color="auto" w:sz="4" w:space="0"/>
              <w:bottom w:val="single" w:color="auto" w:sz="4" w:space="0"/>
              <w:right w:val="single" w:color="auto" w:sz="4" w:space="0"/>
            </w:tcBorders>
            <w:noWrap w:val="0"/>
            <w:vAlign w:val="center"/>
          </w:tcPr>
          <w:p w14:paraId="55F4B69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14:paraId="3772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289" w:type="pct"/>
            <w:tcBorders>
              <w:top w:val="single" w:color="auto" w:sz="4" w:space="0"/>
              <w:left w:val="single" w:color="auto" w:sz="4" w:space="0"/>
              <w:bottom w:val="single" w:color="auto" w:sz="4" w:space="0"/>
              <w:right w:val="single" w:color="auto" w:sz="4" w:space="0"/>
            </w:tcBorders>
            <w:noWrap w:val="0"/>
            <w:vAlign w:val="center"/>
          </w:tcPr>
          <w:p w14:paraId="4AEC9D7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17C4F1B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饼干</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05F2AC60">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≥930g/盒（要有密封包装）</w:t>
            </w:r>
          </w:p>
        </w:tc>
        <w:tc>
          <w:tcPr>
            <w:tcW w:w="1633" w:type="pct"/>
            <w:tcBorders>
              <w:top w:val="single" w:color="auto" w:sz="4" w:space="0"/>
              <w:left w:val="single" w:color="auto" w:sz="4" w:space="0"/>
              <w:bottom w:val="single" w:color="auto" w:sz="4" w:space="0"/>
              <w:right w:val="single" w:color="auto" w:sz="4" w:space="0"/>
            </w:tcBorders>
            <w:noWrap w:val="0"/>
            <w:vAlign w:val="center"/>
          </w:tcPr>
          <w:p w14:paraId="41562CD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饼干应有独立的包装（符合国家质量标准）；保质期不小于12个月。</w:t>
            </w:r>
          </w:p>
        </w:tc>
        <w:tc>
          <w:tcPr>
            <w:tcW w:w="290" w:type="pct"/>
            <w:tcBorders>
              <w:top w:val="single" w:color="auto" w:sz="4" w:space="0"/>
              <w:left w:val="single" w:color="auto" w:sz="4" w:space="0"/>
              <w:bottom w:val="single" w:color="auto" w:sz="4" w:space="0"/>
              <w:right w:val="single" w:color="auto" w:sz="4" w:space="0"/>
            </w:tcBorders>
            <w:noWrap w:val="0"/>
            <w:vAlign w:val="center"/>
          </w:tcPr>
          <w:p w14:paraId="5BB5F6C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盒</w:t>
            </w:r>
          </w:p>
        </w:tc>
        <w:tc>
          <w:tcPr>
            <w:tcW w:w="350" w:type="pct"/>
            <w:tcBorders>
              <w:top w:val="single" w:color="auto" w:sz="4" w:space="0"/>
              <w:left w:val="single" w:color="auto" w:sz="4" w:space="0"/>
              <w:bottom w:val="single" w:color="auto" w:sz="4" w:space="0"/>
              <w:right w:val="single" w:color="auto" w:sz="4" w:space="0"/>
            </w:tcBorders>
            <w:noWrap w:val="0"/>
            <w:vAlign w:val="center"/>
          </w:tcPr>
          <w:p w14:paraId="64E057E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853" w:type="pct"/>
            <w:tcBorders>
              <w:top w:val="single" w:color="auto" w:sz="4" w:space="0"/>
              <w:left w:val="single" w:color="auto" w:sz="4" w:space="0"/>
              <w:bottom w:val="single" w:color="auto" w:sz="4" w:space="0"/>
              <w:right w:val="single" w:color="auto" w:sz="4" w:space="0"/>
            </w:tcBorders>
            <w:noWrap w:val="0"/>
            <w:vAlign w:val="center"/>
          </w:tcPr>
          <w:p w14:paraId="73B3DB9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须按要求提供</w:t>
            </w:r>
            <w:r>
              <w:rPr>
                <w:rFonts w:hint="eastAsia" w:ascii="宋体" w:hAnsi="宋体" w:eastAsia="宋体" w:cs="宋体"/>
                <w:color w:val="auto"/>
                <w:kern w:val="0"/>
                <w:sz w:val="24"/>
                <w:szCs w:val="24"/>
                <w:highlight w:val="none"/>
                <w:lang w:val="en-US" w:eastAsia="zh-CN"/>
              </w:rPr>
              <w:t>样品</w:t>
            </w:r>
          </w:p>
        </w:tc>
      </w:tr>
      <w:tr w14:paraId="53F9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89" w:type="pct"/>
            <w:tcBorders>
              <w:top w:val="single" w:color="auto" w:sz="4" w:space="0"/>
              <w:left w:val="single" w:color="auto" w:sz="4" w:space="0"/>
              <w:bottom w:val="single" w:color="auto" w:sz="4" w:space="0"/>
              <w:right w:val="single" w:color="auto" w:sz="4" w:space="0"/>
            </w:tcBorders>
            <w:noWrap w:val="0"/>
            <w:vAlign w:val="center"/>
          </w:tcPr>
          <w:p w14:paraId="10516AA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2FF0849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纯牛奶</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70657C8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250ml*12（每盒要有独立包装）</w:t>
            </w:r>
          </w:p>
        </w:tc>
        <w:tc>
          <w:tcPr>
            <w:tcW w:w="1633" w:type="pct"/>
            <w:tcBorders>
              <w:top w:val="single" w:color="auto" w:sz="4" w:space="0"/>
              <w:left w:val="single" w:color="auto" w:sz="4" w:space="0"/>
              <w:bottom w:val="single" w:color="auto" w:sz="4" w:space="0"/>
              <w:right w:val="single" w:color="auto" w:sz="4" w:space="0"/>
            </w:tcBorders>
            <w:noWrap w:val="0"/>
            <w:vAlign w:val="center"/>
          </w:tcPr>
          <w:p w14:paraId="316AAE2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牛奶应符合国家质量标准，保质期不少于6个月。</w:t>
            </w:r>
          </w:p>
        </w:tc>
        <w:tc>
          <w:tcPr>
            <w:tcW w:w="290" w:type="pct"/>
            <w:tcBorders>
              <w:top w:val="single" w:color="auto" w:sz="4" w:space="0"/>
              <w:left w:val="single" w:color="auto" w:sz="4" w:space="0"/>
              <w:bottom w:val="single" w:color="auto" w:sz="4" w:space="0"/>
              <w:right w:val="single" w:color="auto" w:sz="4" w:space="0"/>
            </w:tcBorders>
            <w:noWrap w:val="0"/>
            <w:vAlign w:val="center"/>
          </w:tcPr>
          <w:p w14:paraId="0BA7F8ED">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盒</w:t>
            </w:r>
          </w:p>
        </w:tc>
        <w:tc>
          <w:tcPr>
            <w:tcW w:w="350" w:type="pct"/>
            <w:tcBorders>
              <w:top w:val="single" w:color="auto" w:sz="4" w:space="0"/>
              <w:left w:val="single" w:color="auto" w:sz="4" w:space="0"/>
              <w:bottom w:val="single" w:color="auto" w:sz="4" w:space="0"/>
              <w:right w:val="single" w:color="auto" w:sz="4" w:space="0"/>
            </w:tcBorders>
            <w:noWrap w:val="0"/>
            <w:vAlign w:val="center"/>
          </w:tcPr>
          <w:p w14:paraId="55C7027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853" w:type="pct"/>
            <w:tcBorders>
              <w:top w:val="single" w:color="auto" w:sz="4" w:space="0"/>
              <w:left w:val="single" w:color="auto" w:sz="4" w:space="0"/>
              <w:bottom w:val="single" w:color="auto" w:sz="4" w:space="0"/>
              <w:right w:val="single" w:color="auto" w:sz="4" w:space="0"/>
            </w:tcBorders>
            <w:noWrap w:val="0"/>
            <w:vAlign w:val="center"/>
          </w:tcPr>
          <w:p w14:paraId="485D55B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须按要求提供</w:t>
            </w:r>
            <w:r>
              <w:rPr>
                <w:rFonts w:hint="eastAsia" w:ascii="宋体" w:hAnsi="宋体" w:eastAsia="宋体" w:cs="宋体"/>
                <w:color w:val="auto"/>
                <w:kern w:val="0"/>
                <w:sz w:val="24"/>
                <w:szCs w:val="24"/>
                <w:highlight w:val="none"/>
                <w:lang w:val="en-US" w:eastAsia="zh-CN"/>
              </w:rPr>
              <w:t>样品</w:t>
            </w:r>
          </w:p>
        </w:tc>
      </w:tr>
      <w:tr w14:paraId="1A43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89" w:type="pct"/>
            <w:tcBorders>
              <w:top w:val="single" w:color="auto" w:sz="4" w:space="0"/>
              <w:left w:val="single" w:color="auto" w:sz="4" w:space="0"/>
              <w:bottom w:val="single" w:color="auto" w:sz="4" w:space="0"/>
              <w:right w:val="single" w:color="auto" w:sz="4" w:space="0"/>
            </w:tcBorders>
            <w:noWrap w:val="0"/>
            <w:vAlign w:val="center"/>
          </w:tcPr>
          <w:p w14:paraId="4199B00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17D4089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蜂蜜</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2D25925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1400g</w:t>
            </w:r>
            <w:r>
              <w:rPr>
                <w:rFonts w:hint="eastAsia" w:ascii="宋体" w:hAnsi="宋体" w:eastAsia="宋体" w:cs="宋体"/>
                <w:color w:val="auto"/>
                <w:kern w:val="0"/>
                <w:sz w:val="24"/>
                <w:szCs w:val="24"/>
                <w:highlight w:val="none"/>
              </w:rPr>
              <w:t>（要有密封包装）</w:t>
            </w:r>
          </w:p>
        </w:tc>
        <w:tc>
          <w:tcPr>
            <w:tcW w:w="1633" w:type="pct"/>
            <w:tcBorders>
              <w:top w:val="single" w:color="auto" w:sz="4" w:space="0"/>
              <w:left w:val="single" w:color="auto" w:sz="4" w:space="0"/>
              <w:bottom w:val="single" w:color="auto" w:sz="4" w:space="0"/>
              <w:right w:val="single" w:color="auto" w:sz="4" w:space="0"/>
            </w:tcBorders>
            <w:noWrap w:val="0"/>
            <w:vAlign w:val="center"/>
          </w:tcPr>
          <w:p w14:paraId="0CB87B5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蜂蜜应有独立的包装（符合国家质量标准），保质期不少于24个月。</w:t>
            </w:r>
          </w:p>
        </w:tc>
        <w:tc>
          <w:tcPr>
            <w:tcW w:w="290" w:type="pct"/>
            <w:tcBorders>
              <w:top w:val="single" w:color="auto" w:sz="4" w:space="0"/>
              <w:left w:val="single" w:color="auto" w:sz="4" w:space="0"/>
              <w:bottom w:val="single" w:color="auto" w:sz="4" w:space="0"/>
              <w:right w:val="single" w:color="auto" w:sz="4" w:space="0"/>
            </w:tcBorders>
            <w:noWrap w:val="0"/>
            <w:vAlign w:val="center"/>
          </w:tcPr>
          <w:p w14:paraId="33F3CB4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盒</w:t>
            </w:r>
          </w:p>
        </w:tc>
        <w:tc>
          <w:tcPr>
            <w:tcW w:w="350" w:type="pct"/>
            <w:tcBorders>
              <w:top w:val="single" w:color="auto" w:sz="4" w:space="0"/>
              <w:left w:val="single" w:color="auto" w:sz="4" w:space="0"/>
              <w:bottom w:val="single" w:color="auto" w:sz="4" w:space="0"/>
              <w:right w:val="single" w:color="auto" w:sz="4" w:space="0"/>
            </w:tcBorders>
            <w:noWrap w:val="0"/>
            <w:vAlign w:val="center"/>
          </w:tcPr>
          <w:p w14:paraId="78E6566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853" w:type="pct"/>
            <w:tcBorders>
              <w:top w:val="single" w:color="auto" w:sz="4" w:space="0"/>
              <w:left w:val="single" w:color="auto" w:sz="4" w:space="0"/>
              <w:bottom w:val="single" w:color="auto" w:sz="4" w:space="0"/>
              <w:right w:val="single" w:color="auto" w:sz="4" w:space="0"/>
            </w:tcBorders>
            <w:noWrap w:val="0"/>
            <w:vAlign w:val="center"/>
          </w:tcPr>
          <w:p w14:paraId="5427A5A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须按要求提供</w:t>
            </w:r>
            <w:r>
              <w:rPr>
                <w:rFonts w:hint="eastAsia" w:ascii="宋体" w:hAnsi="宋体" w:eastAsia="宋体" w:cs="宋体"/>
                <w:color w:val="auto"/>
                <w:kern w:val="0"/>
                <w:sz w:val="24"/>
                <w:szCs w:val="24"/>
                <w:highlight w:val="none"/>
                <w:lang w:val="en-US" w:eastAsia="zh-CN"/>
              </w:rPr>
              <w:t>样品</w:t>
            </w:r>
          </w:p>
        </w:tc>
      </w:tr>
      <w:tr w14:paraId="2757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jc w:val="center"/>
        </w:trPr>
        <w:tc>
          <w:tcPr>
            <w:tcW w:w="289" w:type="pct"/>
            <w:tcBorders>
              <w:top w:val="single" w:color="auto" w:sz="4" w:space="0"/>
              <w:left w:val="single" w:color="auto" w:sz="4" w:space="0"/>
              <w:bottom w:val="single" w:color="auto" w:sz="4" w:space="0"/>
              <w:right w:val="single" w:color="auto" w:sz="4" w:space="0"/>
            </w:tcBorders>
            <w:noWrap w:val="0"/>
            <w:vAlign w:val="center"/>
          </w:tcPr>
          <w:p w14:paraId="64A9457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1A11BAD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鸡蛋</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42CEC55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1700g/盒</w:t>
            </w:r>
            <w:r>
              <w:rPr>
                <w:rFonts w:hint="eastAsia" w:ascii="宋体" w:hAnsi="宋体" w:eastAsia="宋体" w:cs="宋体"/>
                <w:kern w:val="0"/>
                <w:sz w:val="24"/>
                <w:szCs w:val="24"/>
                <w:highlight w:val="none"/>
              </w:rPr>
              <w:t>（要有密封包装）</w:t>
            </w:r>
          </w:p>
        </w:tc>
        <w:tc>
          <w:tcPr>
            <w:tcW w:w="1633" w:type="pct"/>
            <w:tcBorders>
              <w:top w:val="single" w:color="auto" w:sz="4" w:space="0"/>
              <w:left w:val="single" w:color="auto" w:sz="4" w:space="0"/>
              <w:bottom w:val="single" w:color="auto" w:sz="4" w:space="0"/>
              <w:right w:val="single" w:color="auto" w:sz="4" w:space="0"/>
            </w:tcBorders>
            <w:noWrap w:val="0"/>
            <w:vAlign w:val="center"/>
          </w:tcPr>
          <w:p w14:paraId="6070B61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鸡蛋枚数不少于36枚（符合国家质量标准）；密封包装，保质期不少于30天。</w:t>
            </w:r>
          </w:p>
        </w:tc>
        <w:tc>
          <w:tcPr>
            <w:tcW w:w="290" w:type="pct"/>
            <w:tcBorders>
              <w:top w:val="single" w:color="auto" w:sz="4" w:space="0"/>
              <w:left w:val="single" w:color="auto" w:sz="4" w:space="0"/>
              <w:bottom w:val="single" w:color="auto" w:sz="4" w:space="0"/>
              <w:right w:val="single" w:color="auto" w:sz="4" w:space="0"/>
            </w:tcBorders>
            <w:noWrap w:val="0"/>
            <w:vAlign w:val="center"/>
          </w:tcPr>
          <w:p w14:paraId="17CDC2E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盒</w:t>
            </w:r>
          </w:p>
        </w:tc>
        <w:tc>
          <w:tcPr>
            <w:tcW w:w="350" w:type="pct"/>
            <w:tcBorders>
              <w:top w:val="single" w:color="auto" w:sz="4" w:space="0"/>
              <w:left w:val="single" w:color="auto" w:sz="4" w:space="0"/>
              <w:bottom w:val="single" w:color="auto" w:sz="4" w:space="0"/>
              <w:right w:val="single" w:color="auto" w:sz="4" w:space="0"/>
            </w:tcBorders>
            <w:noWrap w:val="0"/>
            <w:vAlign w:val="center"/>
          </w:tcPr>
          <w:p w14:paraId="64095F3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853" w:type="pct"/>
            <w:tcBorders>
              <w:top w:val="single" w:color="auto" w:sz="4" w:space="0"/>
              <w:left w:val="single" w:color="auto" w:sz="4" w:space="0"/>
              <w:bottom w:val="single" w:color="auto" w:sz="4" w:space="0"/>
              <w:right w:val="single" w:color="auto" w:sz="4" w:space="0"/>
            </w:tcBorders>
            <w:noWrap w:val="0"/>
            <w:vAlign w:val="center"/>
          </w:tcPr>
          <w:p w14:paraId="3190240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须按要求提供</w:t>
            </w:r>
            <w:r>
              <w:rPr>
                <w:rFonts w:hint="eastAsia" w:ascii="宋体" w:hAnsi="宋体" w:eastAsia="宋体" w:cs="宋体"/>
                <w:color w:val="auto"/>
                <w:kern w:val="0"/>
                <w:sz w:val="24"/>
                <w:szCs w:val="24"/>
                <w:highlight w:val="none"/>
                <w:lang w:val="en-US" w:eastAsia="zh-CN"/>
              </w:rPr>
              <w:t>样品</w:t>
            </w:r>
          </w:p>
        </w:tc>
      </w:tr>
    </w:tbl>
    <w:p w14:paraId="5AAF96C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10.样品</w:t>
      </w:r>
    </w:p>
    <w:p w14:paraId="10C38D6B">
      <w:pPr>
        <w:numPr>
          <w:ilvl w:val="0"/>
          <w:numId w:val="0"/>
        </w:numPr>
        <w:spacing w:line="360" w:lineRule="auto"/>
        <w:ind w:firstLine="496" w:firstLineChars="200"/>
        <w:jc w:val="left"/>
        <w:rPr>
          <w:rFonts w:hint="eastAsia" w:ascii="宋体" w:hAnsi="宋体" w:eastAsia="宋体" w:cs="宋体"/>
          <w:color w:val="auto"/>
          <w:spacing w:val="4"/>
          <w:szCs w:val="24"/>
          <w:highlight w:val="none"/>
          <w:lang w:val="en-US" w:eastAsia="zh-CN"/>
        </w:rPr>
      </w:pPr>
      <w:r>
        <w:rPr>
          <w:rFonts w:hint="eastAsia" w:ascii="宋体" w:hAnsi="宋体" w:eastAsia="宋体" w:cs="宋体"/>
          <w:color w:val="auto"/>
          <w:spacing w:val="4"/>
          <w:szCs w:val="24"/>
          <w:highlight w:val="none"/>
          <w:lang w:val="en-US" w:eastAsia="zh-CN"/>
        </w:rPr>
        <w:t>（1）提供拟投每种产品样品各一份，参与评审；规格与磋商文件要求相一致。</w:t>
      </w:r>
    </w:p>
    <w:p w14:paraId="04059CC3">
      <w:pPr>
        <w:spacing w:line="360" w:lineRule="auto"/>
        <w:ind w:firstLine="496" w:firstLineChars="200"/>
        <w:jc w:val="left"/>
        <w:rPr>
          <w:rFonts w:hint="eastAsia" w:ascii="宋体" w:hAnsi="宋体" w:eastAsia="宋体" w:cs="宋体"/>
          <w:color w:val="auto"/>
          <w:spacing w:val="4"/>
          <w:szCs w:val="24"/>
          <w:highlight w:val="none"/>
          <w:lang w:val="en-US" w:eastAsia="zh-CN"/>
        </w:rPr>
      </w:pPr>
      <w:r>
        <w:rPr>
          <w:rFonts w:hint="eastAsia" w:ascii="宋体" w:hAnsi="宋体" w:eastAsia="宋体" w:cs="宋体"/>
          <w:color w:val="auto"/>
          <w:spacing w:val="4"/>
          <w:szCs w:val="24"/>
          <w:highlight w:val="none"/>
          <w:lang w:val="en-US" w:eastAsia="zh-CN"/>
        </w:rPr>
        <w:t>（2）未提供样品的则关于样品评审有关项目记0分。</w:t>
      </w:r>
    </w:p>
    <w:p w14:paraId="67449FD2">
      <w:pPr>
        <w:spacing w:line="360" w:lineRule="auto"/>
        <w:ind w:firstLine="496" w:firstLineChars="200"/>
        <w:jc w:val="left"/>
        <w:rPr>
          <w:rFonts w:hint="eastAsia" w:ascii="宋体" w:hAnsi="宋体" w:eastAsia="宋体" w:cs="宋体"/>
          <w:color w:val="auto"/>
          <w:spacing w:val="4"/>
          <w:szCs w:val="24"/>
          <w:highlight w:val="none"/>
          <w:lang w:val="en-US" w:eastAsia="zh-CN"/>
        </w:rPr>
      </w:pPr>
      <w:r>
        <w:rPr>
          <w:rFonts w:hint="eastAsia" w:ascii="宋体" w:hAnsi="宋体" w:eastAsia="宋体" w:cs="宋体"/>
          <w:color w:val="auto"/>
          <w:spacing w:val="4"/>
          <w:szCs w:val="24"/>
          <w:highlight w:val="none"/>
          <w:lang w:val="en-US" w:eastAsia="zh-CN"/>
        </w:rPr>
        <w:t>（3）样品提交的相关事宜：</w:t>
      </w:r>
    </w:p>
    <w:p w14:paraId="031746E7">
      <w:pPr>
        <w:spacing w:line="360" w:lineRule="auto"/>
        <w:ind w:firstLine="496" w:firstLineChars="200"/>
        <w:jc w:val="left"/>
        <w:rPr>
          <w:rFonts w:hint="eastAsia" w:ascii="宋体" w:hAnsi="宋体" w:eastAsia="宋体" w:cs="宋体"/>
          <w:color w:val="auto"/>
          <w:spacing w:val="4"/>
          <w:szCs w:val="24"/>
          <w:highlight w:val="none"/>
          <w:lang w:val="en-US" w:eastAsia="zh-CN"/>
        </w:rPr>
      </w:pPr>
      <w:r>
        <w:rPr>
          <w:rFonts w:hint="default" w:ascii="宋体" w:hAnsi="宋体" w:eastAsia="宋体" w:cs="宋体"/>
          <w:color w:val="auto"/>
          <w:spacing w:val="4"/>
          <w:szCs w:val="24"/>
          <w:highlight w:val="none"/>
          <w:lang w:val="en-US" w:eastAsia="zh-CN"/>
        </w:rPr>
        <w:t>①</w:t>
      </w:r>
      <w:r>
        <w:rPr>
          <w:rFonts w:hint="eastAsia" w:ascii="宋体" w:hAnsi="宋体" w:eastAsia="宋体" w:cs="宋体"/>
          <w:color w:val="auto"/>
          <w:spacing w:val="4"/>
          <w:szCs w:val="24"/>
          <w:highlight w:val="none"/>
          <w:lang w:val="en-US" w:eastAsia="zh-CN"/>
        </w:rPr>
        <w:t>所提供样品需要密封，在密封包装上注明项目名称、项目编号、包号、供应商名称等内容，并加盖单位公章。</w:t>
      </w:r>
    </w:p>
    <w:p w14:paraId="59B407D5">
      <w:pPr>
        <w:spacing w:line="360" w:lineRule="auto"/>
        <w:ind w:firstLine="496" w:firstLineChars="200"/>
        <w:jc w:val="left"/>
        <w:rPr>
          <w:rFonts w:hint="eastAsia" w:ascii="宋体" w:hAnsi="宋体" w:eastAsia="宋体" w:cs="宋体"/>
          <w:color w:val="auto"/>
          <w:spacing w:val="4"/>
          <w:szCs w:val="24"/>
          <w:highlight w:val="none"/>
          <w:lang w:val="en-US" w:eastAsia="zh-CN"/>
        </w:rPr>
      </w:pPr>
      <w:r>
        <w:rPr>
          <w:rFonts w:hint="default" w:ascii="宋体" w:hAnsi="宋体" w:eastAsia="宋体" w:cs="宋体"/>
          <w:color w:val="auto"/>
          <w:spacing w:val="4"/>
          <w:szCs w:val="24"/>
          <w:highlight w:val="none"/>
          <w:lang w:val="en-US" w:eastAsia="zh-CN"/>
        </w:rPr>
        <w:t>②</w:t>
      </w:r>
      <w:r>
        <w:rPr>
          <w:rFonts w:hint="eastAsia" w:ascii="宋体" w:hAnsi="宋体" w:eastAsia="宋体" w:cs="宋体"/>
          <w:color w:val="auto"/>
          <w:spacing w:val="4"/>
          <w:szCs w:val="24"/>
          <w:highlight w:val="none"/>
          <w:lang w:val="en-US" w:eastAsia="zh-CN"/>
        </w:rPr>
        <w:t>采购人及磋商小组不对样品进行封装且不支付所拆验样品的费用。</w:t>
      </w:r>
    </w:p>
    <w:p w14:paraId="07BC60FD">
      <w:pPr>
        <w:spacing w:line="360" w:lineRule="auto"/>
        <w:ind w:firstLine="496" w:firstLineChars="200"/>
        <w:jc w:val="left"/>
        <w:rPr>
          <w:rFonts w:hint="eastAsia" w:ascii="宋体" w:hAnsi="宋体" w:eastAsia="宋体" w:cs="宋体"/>
          <w:color w:val="auto"/>
          <w:spacing w:val="4"/>
          <w:szCs w:val="24"/>
          <w:highlight w:val="none"/>
          <w:lang w:val="en-US" w:eastAsia="zh-CN"/>
        </w:rPr>
      </w:pPr>
      <w:r>
        <w:rPr>
          <w:rFonts w:hint="default" w:ascii="宋体" w:hAnsi="宋体" w:eastAsia="宋体" w:cs="宋体"/>
          <w:color w:val="auto"/>
          <w:spacing w:val="4"/>
          <w:szCs w:val="24"/>
          <w:highlight w:val="none"/>
          <w:lang w:val="en-US" w:eastAsia="zh-CN"/>
        </w:rPr>
        <w:t>③</w:t>
      </w:r>
      <w:r>
        <w:rPr>
          <w:rFonts w:hint="eastAsia" w:ascii="宋体" w:hAnsi="宋体" w:eastAsia="宋体" w:cs="宋体"/>
          <w:color w:val="auto"/>
          <w:spacing w:val="4"/>
          <w:szCs w:val="24"/>
          <w:highlight w:val="none"/>
          <w:lang w:val="en-US" w:eastAsia="zh-CN"/>
        </w:rPr>
        <w:t>包装上印制的图案、品名、产地、净含量等符合国家食品包装规范。</w:t>
      </w:r>
    </w:p>
    <w:p w14:paraId="3382A7F0">
      <w:pPr>
        <w:spacing w:line="360" w:lineRule="auto"/>
        <w:ind w:firstLine="496" w:firstLineChars="200"/>
        <w:jc w:val="left"/>
        <w:rPr>
          <w:rFonts w:hint="eastAsia" w:ascii="宋体" w:hAnsi="宋体" w:eastAsia="宋体" w:cs="宋体"/>
          <w:color w:val="auto"/>
          <w:spacing w:val="4"/>
          <w:szCs w:val="24"/>
          <w:highlight w:val="none"/>
          <w:lang w:val="en-US" w:eastAsia="zh-CN"/>
        </w:rPr>
      </w:pPr>
      <w:r>
        <w:rPr>
          <w:rFonts w:hint="eastAsia" w:ascii="宋体" w:hAnsi="宋体" w:eastAsia="宋体" w:cs="宋体"/>
          <w:color w:val="auto"/>
          <w:spacing w:val="4"/>
          <w:szCs w:val="24"/>
          <w:highlight w:val="none"/>
          <w:lang w:val="en-US" w:eastAsia="zh-CN"/>
        </w:rPr>
        <w:t>④投标产品需打开后进行质量等鉴定，无偿供评标专家品尝鉴别商品质量，已启封（食品类）投标商品样品不退。</w:t>
      </w:r>
    </w:p>
    <w:p w14:paraId="09DC4F38">
      <w:pPr>
        <w:spacing w:line="360" w:lineRule="auto"/>
        <w:ind w:firstLine="496" w:firstLineChars="200"/>
        <w:jc w:val="left"/>
        <w:rPr>
          <w:rFonts w:hint="eastAsia" w:ascii="宋体" w:hAnsi="宋体" w:eastAsia="宋体" w:cs="宋体"/>
          <w:color w:val="auto"/>
          <w:spacing w:val="4"/>
          <w:szCs w:val="24"/>
          <w:highlight w:val="none"/>
          <w:lang w:val="en-US" w:eastAsia="zh-CN"/>
        </w:rPr>
      </w:pPr>
      <w:r>
        <w:rPr>
          <w:rFonts w:hint="eastAsia" w:ascii="宋体" w:hAnsi="宋体" w:eastAsia="宋体" w:cs="宋体"/>
          <w:color w:val="auto"/>
          <w:spacing w:val="4"/>
          <w:szCs w:val="24"/>
          <w:highlight w:val="none"/>
          <w:lang w:val="en-US" w:eastAsia="zh-CN"/>
        </w:rPr>
        <w:t>（4）样品：饼干</w:t>
      </w:r>
      <w:r>
        <w:rPr>
          <w:rFonts w:hint="eastAsia" w:ascii="宋体" w:hAnsi="宋体" w:eastAsia="宋体" w:cs="宋体"/>
          <w:color w:val="auto"/>
          <w:kern w:val="0"/>
          <w:sz w:val="24"/>
          <w:szCs w:val="24"/>
          <w:highlight w:val="none"/>
          <w:lang w:val="en-US" w:eastAsia="zh-CN"/>
        </w:rPr>
        <w:t>≥930g/盒</w:t>
      </w:r>
      <w:r>
        <w:rPr>
          <w:rFonts w:hint="eastAsia" w:ascii="宋体" w:hAnsi="宋体" w:eastAsia="宋体" w:cs="宋体"/>
          <w:color w:val="auto"/>
          <w:spacing w:val="4"/>
          <w:szCs w:val="24"/>
          <w:highlight w:val="none"/>
          <w:lang w:val="en-US" w:eastAsia="zh-CN"/>
        </w:rPr>
        <w:t>、</w:t>
      </w:r>
      <w:r>
        <w:rPr>
          <w:rFonts w:hint="eastAsia" w:ascii="宋体" w:hAnsi="宋体" w:eastAsia="宋体" w:cs="宋体"/>
          <w:color w:val="auto"/>
          <w:kern w:val="0"/>
          <w:sz w:val="24"/>
          <w:szCs w:val="24"/>
          <w:highlight w:val="none"/>
          <w:lang w:val="en-US" w:eastAsia="zh-CN"/>
        </w:rPr>
        <w:t>纯牛奶</w:t>
      </w:r>
      <w:r>
        <w:rPr>
          <w:rFonts w:hint="eastAsia" w:ascii="宋体" w:hAnsi="宋体" w:eastAsia="宋体" w:cs="宋体"/>
          <w:color w:val="auto"/>
          <w:spacing w:val="4"/>
          <w:szCs w:val="24"/>
          <w:highlight w:val="none"/>
          <w:lang w:val="en-US" w:eastAsia="zh-CN"/>
        </w:rPr>
        <w:t>（</w:t>
      </w:r>
      <w:r>
        <w:rPr>
          <w:rFonts w:hint="eastAsia" w:ascii="宋体" w:hAnsi="宋体" w:eastAsia="宋体" w:cs="宋体"/>
          <w:color w:val="auto"/>
          <w:kern w:val="0"/>
          <w:sz w:val="24"/>
          <w:szCs w:val="24"/>
          <w:highlight w:val="none"/>
          <w:lang w:val="en-US" w:eastAsia="zh-CN"/>
        </w:rPr>
        <w:t>250ml*12</w:t>
      </w:r>
      <w:r>
        <w:rPr>
          <w:rFonts w:hint="eastAsia" w:ascii="宋体" w:hAnsi="宋体" w:eastAsia="宋体" w:cs="宋体"/>
          <w:color w:val="auto"/>
          <w:spacing w:val="4"/>
          <w:szCs w:val="24"/>
          <w:highlight w:val="none"/>
          <w:lang w:val="en-US" w:eastAsia="zh-CN"/>
        </w:rPr>
        <w:t>）1盒、</w:t>
      </w:r>
      <w:r>
        <w:rPr>
          <w:rFonts w:hint="eastAsia" w:ascii="宋体" w:hAnsi="宋体" w:eastAsia="宋体" w:cs="宋体"/>
          <w:sz w:val="24"/>
          <w:szCs w:val="24"/>
          <w:highlight w:val="none"/>
          <w:lang w:val="en-US" w:eastAsia="zh-CN"/>
        </w:rPr>
        <w:t>蜂蜜</w:t>
      </w:r>
      <w:r>
        <w:rPr>
          <w:rFonts w:hint="eastAsia" w:ascii="宋体" w:hAnsi="宋体" w:eastAsia="宋体" w:cs="宋体"/>
          <w:color w:val="auto"/>
          <w:spacing w:val="4"/>
          <w:szCs w:val="24"/>
          <w:highlight w:val="none"/>
          <w:lang w:val="en-US" w:eastAsia="zh-CN"/>
        </w:rPr>
        <w:t>（</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1400g</w:t>
      </w:r>
      <w:r>
        <w:rPr>
          <w:rFonts w:hint="eastAsia" w:ascii="宋体" w:hAnsi="宋体" w:eastAsia="宋体" w:cs="宋体"/>
          <w:color w:val="auto"/>
          <w:spacing w:val="4"/>
          <w:szCs w:val="24"/>
          <w:highlight w:val="none"/>
          <w:lang w:val="en-US" w:eastAsia="zh-CN"/>
        </w:rPr>
        <w:t>）1 盒、</w:t>
      </w:r>
      <w:r>
        <w:rPr>
          <w:rFonts w:hint="eastAsia" w:ascii="宋体" w:hAnsi="宋体" w:eastAsia="宋体" w:cs="宋体"/>
          <w:color w:val="auto"/>
          <w:kern w:val="0"/>
          <w:sz w:val="24"/>
          <w:szCs w:val="24"/>
          <w:highlight w:val="none"/>
          <w:lang w:val="en-US" w:eastAsia="zh-CN"/>
        </w:rPr>
        <w:t>鸡蛋</w:t>
      </w:r>
      <w:r>
        <w:rPr>
          <w:rFonts w:hint="eastAsia" w:ascii="宋体" w:hAnsi="宋体" w:eastAsia="宋体" w:cs="宋体"/>
          <w:color w:val="auto"/>
          <w:spacing w:val="4"/>
          <w:szCs w:val="24"/>
          <w:highlight w:val="none"/>
          <w:lang w:val="en-US" w:eastAsia="zh-CN"/>
        </w:rPr>
        <w:t>（</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1700g</w:t>
      </w:r>
      <w:r>
        <w:rPr>
          <w:rFonts w:hint="eastAsia" w:ascii="宋体" w:hAnsi="宋体" w:eastAsia="宋体" w:cs="宋体"/>
          <w:color w:val="auto"/>
          <w:spacing w:val="4"/>
          <w:szCs w:val="24"/>
          <w:highlight w:val="none"/>
          <w:lang w:val="en-US" w:eastAsia="zh-CN"/>
        </w:rPr>
        <w:t>）1 盒。</w:t>
      </w:r>
    </w:p>
    <w:p w14:paraId="549CFBBD">
      <w:pPr>
        <w:spacing w:line="360" w:lineRule="auto"/>
        <w:ind w:firstLine="498" w:firstLineChars="200"/>
        <w:jc w:val="left"/>
        <w:rPr>
          <w:rFonts w:hint="default" w:ascii="宋体" w:hAnsi="宋体" w:eastAsia="宋体" w:cs="宋体"/>
          <w:color w:val="auto"/>
          <w:spacing w:val="4"/>
          <w:szCs w:val="24"/>
          <w:highlight w:val="none"/>
          <w:lang w:val="en-US" w:eastAsia="zh-CN"/>
        </w:rPr>
      </w:pPr>
      <w:r>
        <w:rPr>
          <w:rFonts w:hint="eastAsia" w:ascii="宋体" w:hAnsi="宋体" w:eastAsia="宋体" w:cs="宋体"/>
          <w:b/>
          <w:bCs/>
          <w:color w:val="auto"/>
          <w:spacing w:val="4"/>
          <w:szCs w:val="24"/>
          <w:highlight w:val="none"/>
          <w:lang w:val="en-US" w:eastAsia="zh-CN"/>
        </w:rPr>
        <w:t>请于响应截止时间前送达开标地点，逾期不予接收。</w:t>
      </w:r>
    </w:p>
    <w:p w14:paraId="5AEAE3F7">
      <w:pPr>
        <w:spacing w:line="360" w:lineRule="auto"/>
        <w:ind w:firstLine="482" w:firstLineChars="200"/>
        <w:jc w:val="left"/>
        <w:rPr>
          <w:rStyle w:val="32"/>
          <w:rFonts w:hint="eastAsia" w:ascii="宋体" w:hAnsi="宋体" w:eastAsia="宋体" w:cs="宋体"/>
          <w:b/>
          <w:sz w:val="24"/>
          <w:szCs w:val="24"/>
          <w:highlight w:val="none"/>
        </w:rPr>
      </w:pPr>
      <w:r>
        <w:rPr>
          <w:rStyle w:val="32"/>
          <w:rFonts w:hint="eastAsia" w:ascii="宋体" w:hAnsi="宋体" w:eastAsia="宋体" w:cs="宋体"/>
          <w:b/>
          <w:sz w:val="24"/>
          <w:szCs w:val="24"/>
          <w:highlight w:val="none"/>
        </w:rPr>
        <w:br w:type="page"/>
      </w:r>
    </w:p>
    <w:p w14:paraId="443D8BCA">
      <w:pPr>
        <w:pStyle w:val="2"/>
        <w:jc w:val="center"/>
        <w:rPr>
          <w:rFonts w:ascii="宋体" w:eastAsia="宋体" w:cs="宋体"/>
          <w:b w:val="0"/>
          <w:bCs/>
          <w:sz w:val="36"/>
          <w:szCs w:val="36"/>
          <w:highlight w:val="none"/>
        </w:rPr>
      </w:pPr>
      <w:r>
        <w:rPr>
          <w:rStyle w:val="32"/>
          <w:rFonts w:hint="eastAsia" w:ascii="宋体" w:eastAsia="宋体" w:cs="宋体"/>
          <w:b/>
          <w:sz w:val="36"/>
          <w:szCs w:val="21"/>
          <w:highlight w:val="none"/>
        </w:rPr>
        <w:t>第六章  竞争性磋商响应文件格式</w:t>
      </w:r>
      <w:bookmarkEnd w:id="108"/>
      <w:bookmarkEnd w:id="109"/>
      <w:bookmarkEnd w:id="110"/>
      <w:bookmarkEnd w:id="111"/>
      <w:bookmarkEnd w:id="112"/>
      <w:bookmarkEnd w:id="113"/>
    </w:p>
    <w:p w14:paraId="1859903B">
      <w:pPr>
        <w:rPr>
          <w:rFonts w:hAnsi="宋体" w:cs="宋体"/>
          <w:highlight w:val="none"/>
        </w:rPr>
      </w:pPr>
    </w:p>
    <w:p w14:paraId="697CC6C9">
      <w:pPr>
        <w:rPr>
          <w:rFonts w:hAnsi="宋体" w:cs="宋体"/>
          <w:highlight w:val="none"/>
        </w:rPr>
      </w:pPr>
    </w:p>
    <w:p w14:paraId="5B00610B">
      <w:pPr>
        <w:framePr w:hSpace="180" w:wrap="around" w:vAnchor="text" w:hAnchor="page" w:x="1472" w:y="18"/>
        <w:rPr>
          <w:rFonts w:hAnsi="宋体" w:cs="宋体"/>
          <w:b/>
          <w:bCs/>
          <w:sz w:val="32"/>
          <w:szCs w:val="32"/>
          <w:highlight w:val="none"/>
        </w:rPr>
      </w:pPr>
      <w:r>
        <w:rPr>
          <w:rFonts w:hint="eastAsia" w:hAnsi="宋体" w:cs="宋体"/>
          <w:b/>
          <w:bCs/>
          <w:sz w:val="32"/>
          <w:szCs w:val="32"/>
          <w:highlight w:val="none"/>
        </w:rPr>
        <w:t>项目编号：</w:t>
      </w:r>
    </w:p>
    <w:p w14:paraId="66D0493B">
      <w:pPr>
        <w:ind w:firstLine="4343" w:firstLineChars="1352"/>
        <w:rPr>
          <w:rFonts w:hAnsi="宋体" w:cs="宋体"/>
          <w:b/>
          <w:sz w:val="32"/>
          <w:szCs w:val="32"/>
          <w:highlight w:val="none"/>
        </w:rPr>
      </w:pPr>
      <w:r>
        <w:rPr>
          <w:rFonts w:hint="eastAsia" w:hAnsi="宋体" w:cs="宋体"/>
          <w:b/>
          <w:bCs/>
          <w:sz w:val="32"/>
          <w:szCs w:val="32"/>
          <w:highlight w:val="none"/>
        </w:rPr>
        <w:t xml:space="preserve">     </w:t>
      </w:r>
      <w:r>
        <w:rPr>
          <w:rFonts w:hint="eastAsia" w:hAnsi="宋体" w:cs="宋体"/>
          <w:b/>
          <w:sz w:val="32"/>
          <w:szCs w:val="32"/>
          <w:highlight w:val="none"/>
        </w:rPr>
        <w:t>（正本或副本）</w:t>
      </w:r>
    </w:p>
    <w:p w14:paraId="76B63AA1">
      <w:pPr>
        <w:jc w:val="right"/>
        <w:rPr>
          <w:rFonts w:hAnsi="宋体" w:cs="宋体"/>
          <w:b/>
          <w:sz w:val="32"/>
          <w:szCs w:val="32"/>
          <w:highlight w:val="none"/>
        </w:rPr>
      </w:pPr>
    </w:p>
    <w:p w14:paraId="29DD7A81">
      <w:pPr>
        <w:jc w:val="right"/>
        <w:rPr>
          <w:rFonts w:hAnsi="宋体" w:cs="宋体"/>
          <w:b/>
          <w:sz w:val="32"/>
          <w:szCs w:val="32"/>
          <w:highlight w:val="none"/>
        </w:rPr>
      </w:pPr>
    </w:p>
    <w:p w14:paraId="74133E7E">
      <w:pPr>
        <w:pStyle w:val="10"/>
        <w:rPr>
          <w:rFonts w:ascii="宋体" w:hAnsi="宋体" w:cs="宋体"/>
          <w:highlight w:val="none"/>
        </w:rPr>
      </w:pPr>
    </w:p>
    <w:p w14:paraId="191A238D">
      <w:pPr>
        <w:jc w:val="center"/>
        <w:rPr>
          <w:rFonts w:hint="eastAsia" w:hAnsi="宋体" w:cs="宋体"/>
          <w:b/>
          <w:sz w:val="52"/>
          <w:szCs w:val="52"/>
          <w:highlight w:val="none"/>
        </w:rPr>
      </w:pPr>
      <w:r>
        <w:rPr>
          <w:rFonts w:hint="eastAsia" w:hAnsi="宋体" w:cs="宋体"/>
          <w:b/>
          <w:sz w:val="40"/>
          <w:szCs w:val="44"/>
          <w:highlight w:val="none"/>
          <w:lang w:eastAsia="zh-CN"/>
        </w:rPr>
        <w:t>军休干部住院慰问及重点慰问品采购</w:t>
      </w:r>
    </w:p>
    <w:p w14:paraId="63F6612E">
      <w:pPr>
        <w:jc w:val="center"/>
        <w:rPr>
          <w:rFonts w:hint="eastAsia" w:hAnsi="宋体" w:cs="宋体"/>
          <w:b/>
          <w:sz w:val="52"/>
          <w:szCs w:val="52"/>
          <w:highlight w:val="none"/>
        </w:rPr>
      </w:pPr>
    </w:p>
    <w:p w14:paraId="0261205F">
      <w:pPr>
        <w:jc w:val="center"/>
        <w:rPr>
          <w:rFonts w:hAnsi="宋体" w:cs="宋体"/>
          <w:b/>
          <w:sz w:val="56"/>
          <w:szCs w:val="56"/>
          <w:highlight w:val="none"/>
        </w:rPr>
      </w:pPr>
      <w:r>
        <w:rPr>
          <w:rFonts w:hint="eastAsia" w:hAnsi="宋体" w:cs="宋体"/>
          <w:b/>
          <w:sz w:val="52"/>
          <w:szCs w:val="52"/>
          <w:highlight w:val="none"/>
        </w:rPr>
        <w:t>竞争性磋商响应文件</w:t>
      </w:r>
    </w:p>
    <w:p w14:paraId="366ECBEE">
      <w:pPr>
        <w:rPr>
          <w:rFonts w:hAnsi="宋体" w:cs="宋体"/>
          <w:b/>
          <w:sz w:val="36"/>
          <w:szCs w:val="36"/>
          <w:highlight w:val="none"/>
        </w:rPr>
      </w:pPr>
    </w:p>
    <w:p w14:paraId="257A3FDF">
      <w:pPr>
        <w:pStyle w:val="3"/>
        <w:rPr>
          <w:highlight w:val="none"/>
        </w:rPr>
      </w:pPr>
    </w:p>
    <w:p w14:paraId="09752206">
      <w:pPr>
        <w:pStyle w:val="10"/>
        <w:rPr>
          <w:rFonts w:ascii="宋体" w:hAnsi="宋体" w:cs="宋体"/>
          <w:highlight w:val="none"/>
        </w:rPr>
      </w:pPr>
    </w:p>
    <w:p w14:paraId="1B1F7072">
      <w:pPr>
        <w:rPr>
          <w:rFonts w:hAnsi="宋体" w:cs="宋体"/>
          <w:b/>
          <w:sz w:val="36"/>
          <w:szCs w:val="36"/>
          <w:highlight w:val="none"/>
        </w:rPr>
      </w:pPr>
    </w:p>
    <w:p w14:paraId="758DA9E5">
      <w:pPr>
        <w:tabs>
          <w:tab w:val="center" w:pos="5346"/>
        </w:tabs>
        <w:spacing w:line="480" w:lineRule="auto"/>
        <w:jc w:val="center"/>
        <w:rPr>
          <w:rFonts w:hAnsi="宋体" w:cs="宋体"/>
          <w:b/>
          <w:sz w:val="32"/>
          <w:szCs w:val="32"/>
          <w:highlight w:val="none"/>
        </w:rPr>
      </w:pPr>
      <w:r>
        <w:rPr>
          <w:rFonts w:hint="eastAsia" w:hAnsi="宋体" w:cs="宋体"/>
          <w:b/>
          <w:sz w:val="32"/>
          <w:szCs w:val="32"/>
          <w:highlight w:val="none"/>
        </w:rPr>
        <w:t>供应商名称（公章）</w:t>
      </w:r>
    </w:p>
    <w:p w14:paraId="09386017">
      <w:pPr>
        <w:jc w:val="center"/>
        <w:rPr>
          <w:rFonts w:hAnsi="宋体" w:cs="宋体"/>
          <w:b/>
          <w:sz w:val="44"/>
          <w:highlight w:val="none"/>
        </w:rPr>
      </w:pPr>
      <w:r>
        <w:rPr>
          <w:rFonts w:hint="eastAsia" w:hAnsi="宋体" w:cs="宋体"/>
          <w:b/>
          <w:sz w:val="32"/>
          <w:szCs w:val="32"/>
          <w:highlight w:val="none"/>
        </w:rPr>
        <w:t xml:space="preserve"> 年   月</w:t>
      </w:r>
      <w:r>
        <w:rPr>
          <w:rFonts w:hint="eastAsia" w:hAnsi="宋体" w:cs="宋体"/>
          <w:b/>
          <w:sz w:val="32"/>
          <w:szCs w:val="32"/>
          <w:highlight w:val="none"/>
          <w:lang w:val="en-US" w:eastAsia="zh-CN"/>
        </w:rPr>
        <w:t xml:space="preserve">    日</w:t>
      </w:r>
      <w:r>
        <w:rPr>
          <w:rFonts w:hint="eastAsia" w:hAnsi="宋体" w:cs="宋体"/>
          <w:b/>
          <w:sz w:val="36"/>
          <w:szCs w:val="36"/>
          <w:highlight w:val="none"/>
        </w:rPr>
        <w:br w:type="page"/>
      </w:r>
      <w:bookmarkStart w:id="114" w:name="_Toc344572156"/>
    </w:p>
    <w:p w14:paraId="68CB3690">
      <w:pPr>
        <w:jc w:val="center"/>
        <w:rPr>
          <w:rFonts w:hAnsi="宋体" w:cs="宋体"/>
          <w:b/>
          <w:sz w:val="44"/>
          <w:highlight w:val="none"/>
        </w:rPr>
      </w:pPr>
      <w:r>
        <w:rPr>
          <w:rFonts w:hint="eastAsia" w:hAnsi="宋体" w:cs="宋体"/>
          <w:b/>
          <w:sz w:val="44"/>
          <w:highlight w:val="none"/>
        </w:rPr>
        <w:t>目  录</w:t>
      </w:r>
    </w:p>
    <w:p w14:paraId="7F997496">
      <w:pPr>
        <w:pStyle w:val="10"/>
        <w:rPr>
          <w:rFonts w:ascii="宋体" w:hAnsi="宋体" w:cs="宋体"/>
          <w:highlight w:val="none"/>
        </w:rPr>
      </w:pPr>
    </w:p>
    <w:p w14:paraId="73461DEF">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一、磋商响应函</w:t>
      </w:r>
    </w:p>
    <w:p w14:paraId="05E2696A">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二、磋商报价表</w:t>
      </w:r>
    </w:p>
    <w:p w14:paraId="54A95296">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三、磋商方案说明书</w:t>
      </w:r>
    </w:p>
    <w:p w14:paraId="2D53FD05">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四、商务条款偏离表</w:t>
      </w:r>
    </w:p>
    <w:p w14:paraId="0A353279">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五、陕西省政府采购供应商拒绝政府采购领域商业贿赂承诺书</w:t>
      </w:r>
    </w:p>
    <w:p w14:paraId="6FE0CE43">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六、特定资格证明文件</w:t>
      </w:r>
    </w:p>
    <w:p w14:paraId="3CA7D509">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七、其他</w:t>
      </w:r>
    </w:p>
    <w:p w14:paraId="7346A0A7">
      <w:pPr>
        <w:pStyle w:val="7"/>
        <w:spacing w:line="360" w:lineRule="auto"/>
        <w:rPr>
          <w:rFonts w:ascii="宋体" w:hAnsi="宋体" w:cs="宋体"/>
          <w:highlight w:val="none"/>
        </w:rPr>
      </w:pPr>
    </w:p>
    <w:p w14:paraId="02E921ED">
      <w:pPr>
        <w:pStyle w:val="7"/>
        <w:spacing w:line="360" w:lineRule="auto"/>
        <w:rPr>
          <w:rFonts w:ascii="宋体" w:hAnsi="宋体" w:cs="宋体"/>
          <w:highlight w:val="none"/>
        </w:rPr>
      </w:pPr>
    </w:p>
    <w:p w14:paraId="55EF0557">
      <w:pPr>
        <w:keepNext/>
        <w:keepLines/>
        <w:widowControl/>
        <w:tabs>
          <w:tab w:val="left" w:pos="3705"/>
        </w:tabs>
        <w:spacing w:line="360" w:lineRule="auto"/>
        <w:ind w:left="3708"/>
        <w:rPr>
          <w:rFonts w:hAnsi="宋体" w:cs="宋体"/>
          <w:bCs/>
          <w:sz w:val="44"/>
          <w:highlight w:val="none"/>
        </w:rPr>
      </w:pPr>
    </w:p>
    <w:p w14:paraId="45162284">
      <w:pPr>
        <w:pStyle w:val="7"/>
        <w:ind w:firstLine="880"/>
        <w:rPr>
          <w:rFonts w:ascii="宋体" w:hAnsi="宋体" w:cs="宋体"/>
          <w:bCs/>
          <w:sz w:val="44"/>
          <w:highlight w:val="none"/>
        </w:rPr>
      </w:pPr>
    </w:p>
    <w:p w14:paraId="27A34C79">
      <w:pPr>
        <w:pStyle w:val="7"/>
        <w:ind w:firstLine="880"/>
        <w:rPr>
          <w:rFonts w:ascii="宋体" w:hAnsi="宋体" w:cs="宋体"/>
          <w:bCs/>
          <w:sz w:val="44"/>
          <w:highlight w:val="none"/>
        </w:rPr>
      </w:pPr>
    </w:p>
    <w:bookmarkEnd w:id="114"/>
    <w:p w14:paraId="5A661241">
      <w:pPr>
        <w:pStyle w:val="10"/>
        <w:rPr>
          <w:rFonts w:ascii="宋体" w:hAnsi="宋体" w:cs="宋体"/>
          <w:b/>
          <w:sz w:val="32"/>
          <w:szCs w:val="32"/>
          <w:highlight w:val="none"/>
        </w:rPr>
      </w:pPr>
      <w:bookmarkStart w:id="115" w:name="_Toc363474027"/>
      <w:bookmarkStart w:id="116" w:name="_Toc403077648"/>
      <w:bookmarkStart w:id="117" w:name="_Toc204524343"/>
    </w:p>
    <w:p w14:paraId="6478AEA0">
      <w:pPr>
        <w:pStyle w:val="10"/>
        <w:rPr>
          <w:rFonts w:ascii="宋体" w:hAnsi="宋体" w:cs="宋体"/>
          <w:b/>
          <w:sz w:val="32"/>
          <w:szCs w:val="32"/>
          <w:highlight w:val="none"/>
        </w:rPr>
      </w:pPr>
    </w:p>
    <w:p w14:paraId="5E93C6FA">
      <w:pPr>
        <w:pStyle w:val="10"/>
        <w:rPr>
          <w:rFonts w:ascii="宋体" w:hAnsi="宋体" w:cs="宋体"/>
          <w:b/>
          <w:sz w:val="32"/>
          <w:szCs w:val="32"/>
          <w:highlight w:val="none"/>
        </w:rPr>
      </w:pPr>
    </w:p>
    <w:p w14:paraId="6B1B7268">
      <w:pPr>
        <w:spacing w:line="520" w:lineRule="exact"/>
        <w:jc w:val="center"/>
        <w:outlineLvl w:val="1"/>
        <w:rPr>
          <w:rFonts w:hAnsi="宋体" w:cs="宋体"/>
          <w:b/>
          <w:sz w:val="32"/>
          <w:szCs w:val="32"/>
          <w:highlight w:val="none"/>
        </w:rPr>
      </w:pPr>
      <w:r>
        <w:rPr>
          <w:rFonts w:hint="eastAsia" w:hAnsi="宋体" w:cs="宋体"/>
          <w:b/>
          <w:sz w:val="32"/>
          <w:szCs w:val="32"/>
          <w:highlight w:val="none"/>
        </w:rPr>
        <w:br w:type="page"/>
      </w:r>
      <w:bookmarkStart w:id="118" w:name="_Toc4367"/>
      <w:bookmarkStart w:id="119" w:name="_Toc16320"/>
      <w:bookmarkStart w:id="120" w:name="_Toc15762"/>
      <w:bookmarkStart w:id="121" w:name="_Toc32002"/>
      <w:r>
        <w:rPr>
          <w:rFonts w:hint="eastAsia" w:hAnsi="宋体" w:cs="宋体"/>
          <w:b/>
          <w:sz w:val="32"/>
          <w:szCs w:val="32"/>
          <w:highlight w:val="none"/>
        </w:rPr>
        <w:t>一、磋商</w:t>
      </w:r>
      <w:bookmarkEnd w:id="115"/>
      <w:bookmarkEnd w:id="116"/>
      <w:r>
        <w:rPr>
          <w:rFonts w:hint="eastAsia" w:hAnsi="宋体" w:cs="宋体"/>
          <w:b/>
          <w:sz w:val="32"/>
          <w:szCs w:val="32"/>
          <w:highlight w:val="none"/>
        </w:rPr>
        <w:t>响应函</w:t>
      </w:r>
      <w:bookmarkEnd w:id="118"/>
      <w:bookmarkEnd w:id="119"/>
      <w:bookmarkEnd w:id="120"/>
      <w:bookmarkEnd w:id="121"/>
    </w:p>
    <w:p w14:paraId="6611BFEE">
      <w:pPr>
        <w:spacing w:line="360" w:lineRule="auto"/>
        <w:jc w:val="left"/>
        <w:rPr>
          <w:rFonts w:hAnsi="宋体" w:cs="宋体"/>
          <w:spacing w:val="4"/>
          <w:szCs w:val="24"/>
          <w:highlight w:val="none"/>
        </w:rPr>
      </w:pPr>
      <w:r>
        <w:rPr>
          <w:rFonts w:hint="eastAsia" w:hAnsi="宋体" w:cs="宋体"/>
          <w:spacing w:val="4"/>
          <w:szCs w:val="24"/>
          <w:highlight w:val="none"/>
        </w:rPr>
        <w:t>致：</w:t>
      </w:r>
      <w:r>
        <w:rPr>
          <w:rFonts w:hint="eastAsia" w:hAnsi="宋体" w:cs="宋体"/>
          <w:spacing w:val="4"/>
          <w:szCs w:val="24"/>
          <w:highlight w:val="none"/>
          <w:u w:val="single"/>
        </w:rPr>
        <w:t>陕西至诚项目管理集团有限公司</w:t>
      </w:r>
    </w:p>
    <w:p w14:paraId="204CBF50">
      <w:pPr>
        <w:spacing w:line="360" w:lineRule="auto"/>
        <w:ind w:firstLine="496" w:firstLineChars="200"/>
        <w:rPr>
          <w:rFonts w:hAnsi="宋体" w:cs="宋体"/>
          <w:spacing w:val="4"/>
          <w:szCs w:val="24"/>
          <w:highlight w:val="none"/>
        </w:rPr>
      </w:pPr>
      <w:r>
        <w:rPr>
          <w:rFonts w:hint="eastAsia" w:hAnsi="宋体" w:cs="宋体"/>
          <w:spacing w:val="4"/>
          <w:szCs w:val="24"/>
          <w:highlight w:val="none"/>
        </w:rPr>
        <w:t>根据贵方“</w:t>
      </w:r>
      <w:r>
        <w:rPr>
          <w:rFonts w:hint="eastAsia" w:hAnsi="宋体" w:cs="宋体"/>
          <w:spacing w:val="4"/>
          <w:szCs w:val="24"/>
          <w:highlight w:val="none"/>
          <w:u w:val="single"/>
        </w:rPr>
        <w:t xml:space="preserve">                      </w:t>
      </w:r>
      <w:r>
        <w:rPr>
          <w:rFonts w:hint="eastAsia" w:hAnsi="宋体" w:cs="宋体"/>
          <w:spacing w:val="4"/>
          <w:szCs w:val="24"/>
          <w:highlight w:val="none"/>
        </w:rPr>
        <w:t>”项目的磋商邀请</w:t>
      </w:r>
      <w:r>
        <w:rPr>
          <w:rFonts w:hint="eastAsia" w:hAnsi="宋体" w:cs="宋体"/>
          <w:spacing w:val="4"/>
          <w:szCs w:val="24"/>
          <w:highlight w:val="none"/>
          <w:u w:val="single"/>
        </w:rPr>
        <w:t>(项目编号：   )</w:t>
      </w:r>
      <w:r>
        <w:rPr>
          <w:rFonts w:hint="eastAsia" w:hAnsi="宋体" w:cs="宋体"/>
          <w:spacing w:val="4"/>
          <w:szCs w:val="24"/>
          <w:highlight w:val="none"/>
        </w:rPr>
        <w:t>，签字代表</w:t>
      </w:r>
      <w:r>
        <w:rPr>
          <w:rFonts w:hint="eastAsia" w:hAnsi="宋体" w:cs="宋体"/>
          <w:spacing w:val="4"/>
          <w:szCs w:val="24"/>
          <w:highlight w:val="none"/>
          <w:u w:val="single"/>
        </w:rPr>
        <w:t>（全名、职务）</w:t>
      </w:r>
      <w:r>
        <w:rPr>
          <w:rFonts w:hint="eastAsia" w:hAnsi="宋体" w:cs="宋体"/>
          <w:spacing w:val="4"/>
          <w:szCs w:val="24"/>
          <w:highlight w:val="none"/>
        </w:rPr>
        <w:t>经正式授权并代表供应商</w:t>
      </w:r>
      <w:r>
        <w:rPr>
          <w:rFonts w:hint="eastAsia" w:hAnsi="宋体" w:cs="宋体"/>
          <w:spacing w:val="4"/>
          <w:szCs w:val="24"/>
          <w:highlight w:val="none"/>
          <w:u w:val="single"/>
        </w:rPr>
        <w:t>(供应商名称、地址)</w:t>
      </w:r>
      <w:r>
        <w:rPr>
          <w:rFonts w:hint="eastAsia" w:hAnsi="宋体" w:cs="宋体"/>
          <w:spacing w:val="4"/>
          <w:szCs w:val="24"/>
          <w:highlight w:val="none"/>
        </w:rPr>
        <w:t xml:space="preserve"> 提交竞争性磋商响应文件正本</w:t>
      </w:r>
      <w:r>
        <w:rPr>
          <w:rFonts w:hint="eastAsia" w:hAnsi="宋体" w:cs="宋体"/>
          <w:spacing w:val="4"/>
          <w:szCs w:val="24"/>
          <w:highlight w:val="none"/>
          <w:u w:val="single"/>
          <w:lang w:val="en-US" w:eastAsia="zh-CN"/>
        </w:rPr>
        <w:t xml:space="preserve">   </w:t>
      </w:r>
      <w:r>
        <w:rPr>
          <w:rFonts w:hint="eastAsia" w:hAnsi="宋体" w:cs="宋体"/>
          <w:spacing w:val="4"/>
          <w:szCs w:val="24"/>
          <w:highlight w:val="none"/>
        </w:rPr>
        <w:t>份、副本一式</w:t>
      </w:r>
      <w:r>
        <w:rPr>
          <w:rFonts w:hint="eastAsia" w:hAnsi="宋体" w:cs="宋体"/>
          <w:spacing w:val="4"/>
          <w:szCs w:val="24"/>
          <w:highlight w:val="none"/>
          <w:u w:val="single"/>
        </w:rPr>
        <w:t xml:space="preserve">   </w:t>
      </w:r>
      <w:r>
        <w:rPr>
          <w:rFonts w:hint="eastAsia" w:hAnsi="宋体" w:cs="宋体"/>
          <w:spacing w:val="4"/>
          <w:szCs w:val="24"/>
          <w:highlight w:val="none"/>
        </w:rPr>
        <w:t>份、报价一览表</w:t>
      </w:r>
      <w:r>
        <w:rPr>
          <w:rFonts w:hint="eastAsia" w:hAnsi="宋体" w:cs="宋体"/>
          <w:spacing w:val="4"/>
          <w:szCs w:val="24"/>
          <w:highlight w:val="none"/>
          <w:u w:val="single"/>
        </w:rPr>
        <w:t xml:space="preserve">   </w:t>
      </w:r>
      <w:r>
        <w:rPr>
          <w:rFonts w:hint="eastAsia" w:hAnsi="宋体" w:cs="宋体"/>
          <w:spacing w:val="4"/>
          <w:szCs w:val="24"/>
          <w:highlight w:val="none"/>
        </w:rPr>
        <w:t>份、电子版</w:t>
      </w:r>
      <w:r>
        <w:rPr>
          <w:rFonts w:hint="eastAsia" w:hAnsi="宋体" w:cs="宋体"/>
          <w:spacing w:val="4"/>
          <w:szCs w:val="24"/>
          <w:highlight w:val="none"/>
          <w:u w:val="single"/>
        </w:rPr>
        <w:t xml:space="preserve">    </w:t>
      </w:r>
      <w:r>
        <w:rPr>
          <w:rFonts w:hint="eastAsia" w:hAnsi="宋体" w:cs="宋体"/>
          <w:spacing w:val="4"/>
          <w:szCs w:val="24"/>
          <w:highlight w:val="none"/>
        </w:rPr>
        <w:t>份。</w:t>
      </w:r>
    </w:p>
    <w:p w14:paraId="3B0ADCC9">
      <w:pPr>
        <w:spacing w:line="360" w:lineRule="auto"/>
        <w:ind w:left="624" w:leftChars="251" w:hanging="22" w:hangingChars="9"/>
        <w:jc w:val="left"/>
        <w:rPr>
          <w:rFonts w:hAnsi="宋体" w:cs="宋体"/>
          <w:spacing w:val="4"/>
          <w:szCs w:val="24"/>
          <w:highlight w:val="none"/>
        </w:rPr>
      </w:pPr>
      <w:r>
        <w:rPr>
          <w:rFonts w:hint="eastAsia" w:hAnsi="宋体" w:cs="宋体"/>
          <w:spacing w:val="4"/>
          <w:szCs w:val="24"/>
          <w:highlight w:val="none"/>
        </w:rPr>
        <w:t>我方承诺如下：</w:t>
      </w:r>
    </w:p>
    <w:p w14:paraId="758A1918">
      <w:pPr>
        <w:numPr>
          <w:ilvl w:val="0"/>
          <w:numId w:val="6"/>
        </w:numPr>
        <w:tabs>
          <w:tab w:val="left" w:pos="2160"/>
        </w:tabs>
        <w:spacing w:line="360" w:lineRule="auto"/>
        <w:ind w:firstLine="496" w:firstLineChars="200"/>
        <w:jc w:val="left"/>
        <w:rPr>
          <w:rFonts w:hAnsi="宋体" w:cs="宋体"/>
          <w:spacing w:val="4"/>
          <w:highlight w:val="none"/>
        </w:rPr>
      </w:pPr>
      <w:r>
        <w:rPr>
          <w:rFonts w:hint="eastAsia" w:hAnsi="宋体" w:cs="宋体"/>
          <w:spacing w:val="4"/>
          <w:szCs w:val="24"/>
          <w:highlight w:val="none"/>
        </w:rPr>
        <w:t>磋商</w:t>
      </w:r>
      <w:r>
        <w:rPr>
          <w:rFonts w:hint="eastAsia" w:hAnsi="宋体" w:cs="宋体"/>
          <w:spacing w:val="4"/>
          <w:szCs w:val="24"/>
          <w:highlight w:val="none"/>
          <w:lang w:val="en-US" w:eastAsia="zh-CN"/>
        </w:rPr>
        <w:t>单</w:t>
      </w:r>
      <w:r>
        <w:rPr>
          <w:rFonts w:hint="eastAsia" w:hAnsi="宋体" w:cs="宋体"/>
          <w:spacing w:val="4"/>
          <w:szCs w:val="24"/>
          <w:highlight w:val="none"/>
        </w:rPr>
        <w:t>价</w:t>
      </w:r>
      <w:r>
        <w:rPr>
          <w:rFonts w:hint="eastAsia" w:hAnsi="宋体" w:cs="宋体"/>
          <w:spacing w:val="4"/>
          <w:highlight w:val="none"/>
        </w:rPr>
        <w:t>为小写：</w:t>
      </w:r>
      <w:r>
        <w:rPr>
          <w:rFonts w:hint="eastAsia" w:hAnsi="宋体" w:cs="宋体"/>
          <w:spacing w:val="4"/>
          <w:highlight w:val="none"/>
          <w:u w:val="single"/>
        </w:rPr>
        <w:t xml:space="preserve">         </w:t>
      </w:r>
      <w:r>
        <w:rPr>
          <w:rFonts w:hint="eastAsia" w:hAnsi="宋体" w:cs="宋体"/>
          <w:spacing w:val="4"/>
          <w:highlight w:val="none"/>
        </w:rPr>
        <w:t>（大写：</w:t>
      </w:r>
      <w:r>
        <w:rPr>
          <w:rFonts w:hint="eastAsia" w:hAnsi="宋体" w:cs="宋体"/>
          <w:spacing w:val="4"/>
          <w:highlight w:val="none"/>
          <w:u w:val="single"/>
        </w:rPr>
        <w:t xml:space="preserve">         </w:t>
      </w:r>
      <w:r>
        <w:rPr>
          <w:rFonts w:hint="eastAsia" w:hAnsi="宋体" w:cs="宋体"/>
          <w:spacing w:val="4"/>
          <w:highlight w:val="none"/>
        </w:rPr>
        <w:t>）。</w:t>
      </w:r>
    </w:p>
    <w:p w14:paraId="38EB5F71">
      <w:pPr>
        <w:numPr>
          <w:ilvl w:val="0"/>
          <w:numId w:val="6"/>
        </w:num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如果成交，我们根据竞争性磋商文件的规定，履行合同的责任和义务。</w:t>
      </w:r>
    </w:p>
    <w:p w14:paraId="516B345D">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3）我们已详细阅读和审核全部竞争性磋商文件（含修改部分，如有的话），及有关附件，我们知道必须放弃提出含糊不清或误解的问题的权利。</w:t>
      </w:r>
    </w:p>
    <w:p w14:paraId="119CC223">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4）我们同意在磋商有效期内（</w:t>
      </w:r>
      <w:r>
        <w:rPr>
          <w:rFonts w:hint="eastAsia" w:hAnsi="宋体" w:cs="宋体"/>
          <w:spacing w:val="4"/>
          <w:szCs w:val="24"/>
          <w:highlight w:val="none"/>
          <w:u w:val="single"/>
        </w:rPr>
        <w:t>自磋商之日起   天</w:t>
      </w:r>
      <w:r>
        <w:rPr>
          <w:rFonts w:hint="eastAsia" w:hAnsi="宋体" w:cs="宋体"/>
          <w:spacing w:val="4"/>
          <w:szCs w:val="24"/>
          <w:highlight w:val="none"/>
        </w:rPr>
        <w:t>），本磋商响应函对我方具有约束力。</w:t>
      </w:r>
    </w:p>
    <w:p w14:paraId="218F7094">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5）如果在磋商后规定的磋商有效期内撤回磋商，我们的磋商保证金可被贵方没收。</w:t>
      </w:r>
    </w:p>
    <w:p w14:paraId="20D3CEC1">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 xml:space="preserve">6）同意提供贵方可能另外要求的与本磋商有关的任何证据和资料。 </w:t>
      </w:r>
    </w:p>
    <w:p w14:paraId="7F55296E">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7）我们同意，如果成交，向陕西至诚项目管理集团有限公司交纳招标代理服务费。</w:t>
      </w:r>
    </w:p>
    <w:p w14:paraId="7E439057">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8）与本磋商有关的一切正式往来通讯为：</w:t>
      </w:r>
    </w:p>
    <w:p w14:paraId="480E6654">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联系地址：</w:t>
      </w:r>
    </w:p>
    <w:p w14:paraId="37F088D0">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邮政编码：</w:t>
      </w:r>
    </w:p>
    <w:p w14:paraId="6D817E14">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电    话：</w:t>
      </w:r>
    </w:p>
    <w:p w14:paraId="60A759BB">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传    真：</w:t>
      </w:r>
    </w:p>
    <w:p w14:paraId="5D75233C">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供应商名称（盖章）：</w:t>
      </w:r>
    </w:p>
    <w:p w14:paraId="2EB1CF41">
      <w:pPr>
        <w:spacing w:line="280" w:lineRule="exact"/>
        <w:ind w:right="617" w:rightChars="257" w:firstLine="1200" w:firstLineChars="500"/>
        <w:jc w:val="left"/>
        <w:rPr>
          <w:rFonts w:hAnsi="宋体" w:cs="宋体"/>
          <w:szCs w:val="24"/>
          <w:highlight w:val="none"/>
        </w:rPr>
      </w:pPr>
      <w:r>
        <w:rPr>
          <w:rFonts w:hint="eastAsia" w:hAnsi="宋体" w:cs="宋体"/>
          <w:highlight w:val="none"/>
        </w:rPr>
        <w:t>法定代表人或委托代理人：</w:t>
      </w:r>
      <w:r>
        <w:rPr>
          <w:rFonts w:hint="eastAsia" w:hAnsi="宋体" w:cs="宋体"/>
          <w:highlight w:val="none"/>
          <w:u w:val="single"/>
        </w:rPr>
        <w:t xml:space="preserve">              </w:t>
      </w:r>
      <w:r>
        <w:rPr>
          <w:rFonts w:hint="eastAsia" w:hAnsi="宋体" w:cs="宋体"/>
          <w:highlight w:val="none"/>
        </w:rPr>
        <w:t>（签字</w:t>
      </w:r>
      <w:r>
        <w:rPr>
          <w:rFonts w:hint="eastAsia" w:hAnsi="宋体" w:cs="宋体"/>
          <w:highlight w:val="none"/>
          <w:lang w:val="en-US" w:eastAsia="zh-CN"/>
        </w:rPr>
        <w:t>或盖章</w:t>
      </w:r>
      <w:r>
        <w:rPr>
          <w:rFonts w:hint="eastAsia" w:hAnsi="宋体" w:cs="宋体"/>
          <w:highlight w:val="none"/>
        </w:rPr>
        <w:t>）</w:t>
      </w:r>
    </w:p>
    <w:p w14:paraId="0382D647">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日    期：</w:t>
      </w:r>
    </w:p>
    <w:p w14:paraId="74CA52C2">
      <w:pPr>
        <w:pStyle w:val="3"/>
        <w:spacing w:before="312" w:beforeLines="100" w:line="360" w:lineRule="auto"/>
        <w:jc w:val="center"/>
        <w:rPr>
          <w:rFonts w:ascii="宋体" w:hAnsi="宋体" w:cs="宋体"/>
          <w:bCs w:val="0"/>
          <w:sz w:val="32"/>
          <w:highlight w:val="none"/>
        </w:rPr>
      </w:pPr>
      <w:r>
        <w:rPr>
          <w:rFonts w:hint="eastAsia" w:ascii="宋体" w:hAnsi="宋体" w:cs="宋体"/>
          <w:highlight w:val="none"/>
        </w:rPr>
        <w:br w:type="page"/>
      </w:r>
      <w:bookmarkStart w:id="122" w:name="_Toc9730"/>
      <w:bookmarkStart w:id="123" w:name="_Toc363474030"/>
      <w:bookmarkStart w:id="124" w:name="_Toc732"/>
      <w:bookmarkStart w:id="125" w:name="_Toc17800"/>
      <w:bookmarkStart w:id="126" w:name="_Toc28910"/>
      <w:bookmarkStart w:id="127" w:name="_Toc403077651"/>
      <w:r>
        <w:rPr>
          <w:rFonts w:hint="eastAsia" w:ascii="宋体" w:hAnsi="宋体" w:cs="宋体"/>
          <w:bCs w:val="0"/>
          <w:sz w:val="32"/>
          <w:highlight w:val="none"/>
        </w:rPr>
        <w:t>二、磋商报价表</w:t>
      </w:r>
      <w:bookmarkEnd w:id="122"/>
      <w:bookmarkEnd w:id="123"/>
      <w:bookmarkEnd w:id="124"/>
      <w:bookmarkEnd w:id="125"/>
      <w:bookmarkEnd w:id="126"/>
      <w:bookmarkEnd w:id="127"/>
    </w:p>
    <w:p w14:paraId="6922F0BC">
      <w:pPr>
        <w:spacing w:line="360" w:lineRule="auto"/>
        <w:jc w:val="center"/>
        <w:outlineLvl w:val="1"/>
        <w:rPr>
          <w:rFonts w:hAnsi="宋体" w:cs="宋体"/>
          <w:szCs w:val="24"/>
          <w:highlight w:val="none"/>
        </w:rPr>
      </w:pPr>
      <w:bookmarkStart w:id="128" w:name="_Toc12732"/>
      <w:bookmarkStart w:id="129" w:name="_Toc29008"/>
      <w:bookmarkStart w:id="130" w:name="_Toc32277"/>
      <w:bookmarkStart w:id="131" w:name="_Toc7982"/>
      <w:r>
        <w:rPr>
          <w:rFonts w:hint="eastAsia" w:hAnsi="宋体" w:cs="宋体"/>
          <w:szCs w:val="24"/>
          <w:highlight w:val="none"/>
        </w:rPr>
        <w:t>2.1报价一览表</w:t>
      </w:r>
      <w:bookmarkEnd w:id="128"/>
      <w:bookmarkEnd w:id="129"/>
      <w:bookmarkEnd w:id="130"/>
      <w:bookmarkEnd w:id="131"/>
    </w:p>
    <w:p w14:paraId="664837A2">
      <w:pPr>
        <w:spacing w:line="360" w:lineRule="auto"/>
        <w:jc w:val="center"/>
        <w:rPr>
          <w:rFonts w:hAnsi="宋体" w:cs="宋体"/>
          <w:szCs w:val="24"/>
          <w:highlight w:val="none"/>
        </w:rPr>
      </w:pPr>
    </w:p>
    <w:p w14:paraId="1601C8E8">
      <w:pPr>
        <w:spacing w:line="360" w:lineRule="auto"/>
        <w:jc w:val="left"/>
        <w:rPr>
          <w:rFonts w:hAnsi="宋体" w:cs="宋体"/>
          <w:highlight w:val="none"/>
        </w:rPr>
      </w:pPr>
      <w:r>
        <w:rPr>
          <w:rFonts w:hint="eastAsia" w:hAnsi="宋体" w:cs="宋体"/>
          <w:highlight w:val="none"/>
        </w:rPr>
        <w:t xml:space="preserve">项目名称：                                                 </w:t>
      </w:r>
    </w:p>
    <w:p w14:paraId="15A770D9">
      <w:pPr>
        <w:spacing w:line="360" w:lineRule="auto"/>
        <w:jc w:val="left"/>
        <w:rPr>
          <w:rFonts w:hAnsi="宋体" w:cs="宋体"/>
          <w:highlight w:val="none"/>
        </w:rPr>
      </w:pPr>
      <w:r>
        <w:rPr>
          <w:rFonts w:hint="eastAsia" w:hAnsi="宋体" w:cs="宋体"/>
          <w:highlight w:val="none"/>
        </w:rPr>
        <w:t xml:space="preserve">项目编号：                                               </w:t>
      </w:r>
    </w:p>
    <w:tbl>
      <w:tblPr>
        <w:tblStyle w:val="22"/>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3"/>
        <w:gridCol w:w="6848"/>
      </w:tblGrid>
      <w:tr w14:paraId="5009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396" w:type="pct"/>
            <w:noWrap w:val="0"/>
            <w:vAlign w:val="center"/>
          </w:tcPr>
          <w:p w14:paraId="1A5A89E5">
            <w:pPr>
              <w:keepLines w:val="0"/>
              <w:pageBreakBefore w:val="0"/>
              <w:wordWrap/>
              <w:overflowPunct/>
              <w:topLinePunct w:val="0"/>
              <w:autoSpaceDE/>
              <w:autoSpaceDN/>
              <w:bidi w:val="0"/>
              <w:spacing w:line="440" w:lineRule="exact"/>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投标报价（元）</w:t>
            </w:r>
          </w:p>
        </w:tc>
        <w:tc>
          <w:tcPr>
            <w:tcW w:w="3603" w:type="pct"/>
            <w:noWrap w:val="0"/>
            <w:vAlign w:val="center"/>
          </w:tcPr>
          <w:p w14:paraId="5FD2CE6E">
            <w:pPr>
              <w:keepLines w:val="0"/>
              <w:pageBreakBefore w:val="0"/>
              <w:wordWrap/>
              <w:overflowPunct/>
              <w:topLinePunct w:val="0"/>
              <w:autoSpaceDE/>
              <w:autoSpaceDN/>
              <w:bidi w:val="0"/>
              <w:spacing w:line="440" w:lineRule="exact"/>
              <w:ind w:firstLine="2409" w:firstLineChars="1000"/>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300元/人</w:t>
            </w:r>
          </w:p>
        </w:tc>
      </w:tr>
      <w:tr w14:paraId="2547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396" w:type="pct"/>
            <w:noWrap w:val="0"/>
            <w:vAlign w:val="center"/>
          </w:tcPr>
          <w:p w14:paraId="1522337F">
            <w:pPr>
              <w:keepLines w:val="0"/>
              <w:pageBreakBefore w:val="0"/>
              <w:wordWrap/>
              <w:overflowPunct/>
              <w:topLinePunct w:val="0"/>
              <w:autoSpaceDE/>
              <w:autoSpaceDN/>
              <w:bidi w:val="0"/>
              <w:spacing w:line="440" w:lineRule="exact"/>
              <w:ind w:firstLine="960" w:firstLineChars="400"/>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交货期</w:t>
            </w:r>
          </w:p>
        </w:tc>
        <w:tc>
          <w:tcPr>
            <w:tcW w:w="3603" w:type="pct"/>
            <w:noWrap w:val="0"/>
            <w:vAlign w:val="center"/>
          </w:tcPr>
          <w:p w14:paraId="3A234558">
            <w:pPr>
              <w:keepLines w:val="0"/>
              <w:pageBreakBefore w:val="0"/>
              <w:wordWrap/>
              <w:overflowPunct/>
              <w:topLinePunct w:val="0"/>
              <w:autoSpaceDE/>
              <w:autoSpaceDN/>
              <w:bidi w:val="0"/>
              <w:spacing w:line="440" w:lineRule="exact"/>
              <w:jc w:val="center"/>
              <w:rPr>
                <w:rFonts w:hint="eastAsia" w:ascii="宋体" w:hAnsi="宋体" w:eastAsia="宋体" w:cs="宋体"/>
                <w:bCs/>
                <w:color w:val="auto"/>
                <w:sz w:val="24"/>
                <w:szCs w:val="24"/>
                <w:highlight w:val="none"/>
                <w:u w:val="single"/>
              </w:rPr>
            </w:pPr>
            <w:r>
              <w:rPr>
                <w:rFonts w:hint="eastAsia" w:ascii="宋体" w:hAnsi="宋体" w:eastAsia="宋体" w:cs="宋体"/>
                <w:b/>
                <w:bCs/>
                <w:color w:val="auto"/>
                <w:sz w:val="24"/>
                <w:szCs w:val="24"/>
                <w:highlight w:val="none"/>
                <w:lang w:val="en-US" w:eastAsia="zh-CN"/>
              </w:rPr>
              <w:t>分批次配送，批次不定，每次接到采购人通知2日内完成配送</w:t>
            </w:r>
          </w:p>
        </w:tc>
      </w:tr>
      <w:tr w14:paraId="59F3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396" w:type="pct"/>
            <w:noWrap w:val="0"/>
            <w:vAlign w:val="center"/>
          </w:tcPr>
          <w:p w14:paraId="42F8CD14">
            <w:pPr>
              <w:keepLines w:val="0"/>
              <w:pageBreakBefore w:val="0"/>
              <w:wordWrap/>
              <w:overflowPunct/>
              <w:topLinePunct w:val="0"/>
              <w:autoSpaceDE/>
              <w:autoSpaceDN/>
              <w:bidi w:val="0"/>
              <w:spacing w:line="440" w:lineRule="exact"/>
              <w:ind w:firstLine="960" w:firstLineChars="400"/>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交货</w:t>
            </w:r>
            <w:r>
              <w:rPr>
                <w:rFonts w:hint="eastAsia" w:ascii="宋体" w:hAnsi="宋体" w:eastAsia="宋体" w:cs="宋体"/>
                <w:bCs/>
                <w:color w:val="auto"/>
                <w:sz w:val="24"/>
                <w:szCs w:val="24"/>
                <w:highlight w:val="none"/>
              </w:rPr>
              <w:t>地点</w:t>
            </w:r>
          </w:p>
        </w:tc>
        <w:tc>
          <w:tcPr>
            <w:tcW w:w="3603" w:type="pct"/>
            <w:noWrap w:val="0"/>
            <w:vAlign w:val="center"/>
          </w:tcPr>
          <w:p w14:paraId="2B777269">
            <w:pPr>
              <w:keepLines w:val="0"/>
              <w:pageBreakBefore w:val="0"/>
              <w:wordWrap/>
              <w:overflowPunct/>
              <w:topLinePunct w:val="0"/>
              <w:autoSpaceDE/>
              <w:autoSpaceDN/>
              <w:bidi w:val="0"/>
              <w:spacing w:line="440" w:lineRule="exact"/>
              <w:jc w:val="center"/>
              <w:rPr>
                <w:rFonts w:hint="eastAsia" w:ascii="宋体" w:hAnsi="宋体" w:eastAsia="宋体" w:cs="宋体"/>
                <w:bCs/>
                <w:color w:val="auto"/>
                <w:sz w:val="24"/>
                <w:szCs w:val="24"/>
                <w:highlight w:val="none"/>
                <w:u w:val="single"/>
                <w:lang w:eastAsia="zh-CN"/>
              </w:rPr>
            </w:pPr>
            <w:r>
              <w:rPr>
                <w:rFonts w:hint="eastAsia" w:ascii="宋体" w:hAnsi="宋体" w:eastAsia="宋体" w:cs="宋体"/>
                <w:b/>
                <w:bCs w:val="0"/>
                <w:color w:val="auto"/>
                <w:sz w:val="24"/>
                <w:szCs w:val="24"/>
                <w:highlight w:val="none"/>
                <w:u w:val="none"/>
                <w:lang w:val="en-US" w:eastAsia="zh-CN"/>
              </w:rPr>
              <w:t>采购人指定地点</w:t>
            </w:r>
          </w:p>
        </w:tc>
      </w:tr>
      <w:tr w14:paraId="52C5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396" w:type="pct"/>
            <w:noWrap w:val="0"/>
            <w:vAlign w:val="center"/>
          </w:tcPr>
          <w:p w14:paraId="381440CD">
            <w:pPr>
              <w:keepLines w:val="0"/>
              <w:pageBreakBefore w:val="0"/>
              <w:wordWrap/>
              <w:overflowPunct/>
              <w:topLinePunct w:val="0"/>
              <w:autoSpaceDE/>
              <w:autoSpaceDN/>
              <w:bidi w:val="0"/>
              <w:spacing w:line="440" w:lineRule="exact"/>
              <w:ind w:firstLine="1200" w:firstLineChars="5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质保期</w:t>
            </w:r>
          </w:p>
        </w:tc>
        <w:tc>
          <w:tcPr>
            <w:tcW w:w="3603" w:type="pct"/>
            <w:noWrap w:val="0"/>
            <w:vAlign w:val="center"/>
          </w:tcPr>
          <w:p w14:paraId="2B1DA508">
            <w:pPr>
              <w:keepLines w:val="0"/>
              <w:pageBreakBefore w:val="0"/>
              <w:wordWrap/>
              <w:overflowPunct/>
              <w:topLinePunct w:val="0"/>
              <w:autoSpaceDE/>
              <w:autoSpaceDN/>
              <w:bidi w:val="0"/>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val="en-US" w:eastAsia="zh-CN"/>
              </w:rPr>
              <w:t>从交货时间起算剩余质保期≥2/3质保期</w:t>
            </w:r>
          </w:p>
        </w:tc>
      </w:tr>
      <w:tr w14:paraId="6BF6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396" w:type="pct"/>
            <w:noWrap w:val="0"/>
            <w:vAlign w:val="center"/>
          </w:tcPr>
          <w:p w14:paraId="20152D76">
            <w:pPr>
              <w:keepLines w:val="0"/>
              <w:pageBreakBefore w:val="0"/>
              <w:wordWrap/>
              <w:overflowPunct/>
              <w:topLinePunct w:val="0"/>
              <w:autoSpaceDE/>
              <w:autoSpaceDN/>
              <w:bidi w:val="0"/>
              <w:spacing w:line="440" w:lineRule="exact"/>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其他说明事项（如有）</w:t>
            </w:r>
          </w:p>
        </w:tc>
        <w:tc>
          <w:tcPr>
            <w:tcW w:w="3603" w:type="pct"/>
            <w:noWrap w:val="0"/>
            <w:vAlign w:val="center"/>
          </w:tcPr>
          <w:p w14:paraId="78A0F3A6">
            <w:pPr>
              <w:keepLines w:val="0"/>
              <w:pageBreakBefore w:val="0"/>
              <w:wordWrap/>
              <w:overflowPunct/>
              <w:topLinePunct w:val="0"/>
              <w:autoSpaceDE/>
              <w:autoSpaceDN/>
              <w:bidi w:val="0"/>
              <w:spacing w:line="440" w:lineRule="exact"/>
              <w:jc w:val="center"/>
              <w:rPr>
                <w:rFonts w:hint="eastAsia" w:ascii="宋体" w:hAnsi="宋体" w:eastAsia="宋体" w:cs="宋体"/>
                <w:bCs/>
                <w:color w:val="auto"/>
                <w:kern w:val="2"/>
                <w:sz w:val="24"/>
                <w:szCs w:val="24"/>
                <w:highlight w:val="none"/>
                <w:lang w:val="en-US" w:eastAsia="zh-CN" w:bidi="ar-SA"/>
              </w:rPr>
            </w:pPr>
          </w:p>
        </w:tc>
      </w:tr>
    </w:tbl>
    <w:p w14:paraId="18F44045">
      <w:pPr>
        <w:rPr>
          <w:rFonts w:hAnsi="宋体" w:cs="宋体"/>
          <w:szCs w:val="24"/>
          <w:highlight w:val="none"/>
        </w:rPr>
      </w:pPr>
    </w:p>
    <w:p w14:paraId="525E61F2">
      <w:pPr>
        <w:rPr>
          <w:rFonts w:hAnsi="宋体" w:cs="宋体"/>
          <w:szCs w:val="24"/>
          <w:highlight w:val="none"/>
        </w:rPr>
      </w:pPr>
    </w:p>
    <w:p w14:paraId="23C5B446">
      <w:pPr>
        <w:rPr>
          <w:rFonts w:hAnsi="宋体" w:cs="宋体"/>
          <w:szCs w:val="24"/>
          <w:highlight w:val="none"/>
        </w:rPr>
      </w:pPr>
    </w:p>
    <w:p w14:paraId="3F1ACD76">
      <w:pPr>
        <w:spacing w:line="280" w:lineRule="exact"/>
        <w:ind w:right="617" w:rightChars="257"/>
        <w:jc w:val="left"/>
        <w:rPr>
          <w:rFonts w:hAnsi="宋体" w:cs="宋体"/>
          <w:szCs w:val="24"/>
          <w:highlight w:val="none"/>
        </w:rPr>
      </w:pPr>
      <w:r>
        <w:rPr>
          <w:rFonts w:hint="eastAsia" w:hAnsi="宋体" w:cs="宋体"/>
          <w:szCs w:val="24"/>
          <w:highlight w:val="none"/>
        </w:rPr>
        <w:t>供应商名称：</w:t>
      </w:r>
      <w:r>
        <w:rPr>
          <w:rFonts w:hint="eastAsia" w:hAnsi="宋体" w:cs="宋体"/>
          <w:szCs w:val="24"/>
          <w:highlight w:val="none"/>
          <w:u w:val="single"/>
        </w:rPr>
        <w:t xml:space="preserve">      （加盖单位公章）      </w:t>
      </w:r>
    </w:p>
    <w:p w14:paraId="6223CD3E">
      <w:pPr>
        <w:spacing w:line="280" w:lineRule="exact"/>
        <w:ind w:right="617" w:rightChars="257"/>
        <w:jc w:val="left"/>
        <w:rPr>
          <w:rFonts w:hint="eastAsia" w:hAnsi="宋体" w:cs="宋体"/>
          <w:szCs w:val="24"/>
          <w:highlight w:val="none"/>
        </w:rPr>
      </w:pPr>
    </w:p>
    <w:p w14:paraId="4FED5C08">
      <w:pPr>
        <w:spacing w:line="280" w:lineRule="exact"/>
        <w:ind w:right="617" w:rightChars="257"/>
        <w:jc w:val="left"/>
        <w:rPr>
          <w:rFonts w:hAnsi="宋体" w:cs="宋体"/>
          <w:szCs w:val="24"/>
          <w:highlight w:val="none"/>
        </w:rPr>
      </w:pPr>
      <w:r>
        <w:rPr>
          <w:rFonts w:hint="eastAsia" w:hAnsi="宋体" w:cs="宋体"/>
          <w:highlight w:val="none"/>
        </w:rPr>
        <w:t>法定代表人或委托代理人：</w:t>
      </w:r>
      <w:r>
        <w:rPr>
          <w:rFonts w:hint="eastAsia" w:hAnsi="宋体" w:cs="宋体"/>
          <w:highlight w:val="none"/>
          <w:u w:val="single"/>
        </w:rPr>
        <w:t xml:space="preserve">              </w:t>
      </w:r>
      <w:r>
        <w:rPr>
          <w:rFonts w:hint="eastAsia" w:hAnsi="宋体" w:cs="宋体"/>
          <w:highlight w:val="none"/>
        </w:rPr>
        <w:t>（签字</w:t>
      </w:r>
      <w:r>
        <w:rPr>
          <w:rFonts w:hint="eastAsia" w:hAnsi="宋体" w:cs="宋体"/>
          <w:highlight w:val="none"/>
          <w:lang w:val="en-US" w:eastAsia="zh-CN"/>
        </w:rPr>
        <w:t>或盖章</w:t>
      </w:r>
      <w:r>
        <w:rPr>
          <w:rFonts w:hint="eastAsia" w:hAnsi="宋体" w:cs="宋体"/>
          <w:highlight w:val="none"/>
        </w:rPr>
        <w:t>）</w:t>
      </w:r>
    </w:p>
    <w:p w14:paraId="0E1791DD">
      <w:pPr>
        <w:spacing w:line="280" w:lineRule="exact"/>
        <w:ind w:right="617" w:rightChars="257"/>
        <w:jc w:val="left"/>
        <w:rPr>
          <w:rFonts w:hAnsi="宋体" w:cs="宋体"/>
          <w:szCs w:val="24"/>
          <w:highlight w:val="none"/>
        </w:rPr>
      </w:pPr>
    </w:p>
    <w:p w14:paraId="74C329D6">
      <w:pPr>
        <w:spacing w:line="280" w:lineRule="exact"/>
        <w:ind w:right="617" w:rightChars="257"/>
        <w:rPr>
          <w:rFonts w:hAnsi="宋体" w:cs="宋体"/>
          <w:szCs w:val="24"/>
          <w:highlight w:val="none"/>
        </w:rPr>
      </w:pPr>
      <w:r>
        <w:rPr>
          <w:rFonts w:hint="eastAsia" w:hAnsi="宋体" w:cs="宋体"/>
          <w:szCs w:val="24"/>
          <w:highlight w:val="none"/>
        </w:rPr>
        <w:t>日    期：</w:t>
      </w:r>
    </w:p>
    <w:p w14:paraId="718F0314">
      <w:pPr>
        <w:jc w:val="center"/>
        <w:rPr>
          <w:rFonts w:hAnsi="宋体" w:cs="宋体"/>
          <w:szCs w:val="24"/>
          <w:highlight w:val="none"/>
        </w:rPr>
      </w:pPr>
    </w:p>
    <w:p w14:paraId="2F285B7A">
      <w:pPr>
        <w:spacing w:before="156" w:beforeLines="50" w:after="156" w:afterLines="50" w:line="400" w:lineRule="atLeast"/>
        <w:rPr>
          <w:rFonts w:hAnsi="宋体" w:cs="宋体"/>
          <w:szCs w:val="24"/>
          <w:highlight w:val="none"/>
          <w:u w:val="single"/>
        </w:rPr>
      </w:pPr>
      <w:r>
        <w:rPr>
          <w:rFonts w:hint="eastAsia" w:hAnsi="宋体" w:cs="宋体"/>
          <w:szCs w:val="24"/>
          <w:highlight w:val="none"/>
        </w:rPr>
        <w:t>注：本表应按“供应商须知”的规定密封单独提交。若有折扣声明，请与本表一并装订和密封。严格按照表格格式报价。</w:t>
      </w:r>
    </w:p>
    <w:p w14:paraId="77437C60">
      <w:pPr>
        <w:jc w:val="center"/>
        <w:rPr>
          <w:rFonts w:hAnsi="宋体" w:cs="宋体"/>
          <w:b/>
          <w:sz w:val="30"/>
          <w:szCs w:val="30"/>
          <w:highlight w:val="none"/>
        </w:rPr>
      </w:pPr>
    </w:p>
    <w:p w14:paraId="747D1E71">
      <w:pPr>
        <w:jc w:val="center"/>
        <w:outlineLvl w:val="1"/>
        <w:rPr>
          <w:rFonts w:hAnsi="宋体" w:cs="宋体"/>
          <w:b/>
          <w:sz w:val="30"/>
          <w:szCs w:val="30"/>
          <w:highlight w:val="none"/>
        </w:rPr>
      </w:pPr>
      <w:r>
        <w:rPr>
          <w:rFonts w:hint="eastAsia" w:hAnsi="宋体" w:cs="宋体"/>
          <w:b/>
          <w:sz w:val="30"/>
          <w:szCs w:val="30"/>
          <w:highlight w:val="none"/>
        </w:rPr>
        <w:br w:type="page"/>
      </w:r>
      <w:bookmarkStart w:id="132" w:name="_Toc11197"/>
      <w:bookmarkStart w:id="133" w:name="_Toc8017"/>
      <w:bookmarkStart w:id="134" w:name="_Toc9760"/>
      <w:bookmarkStart w:id="135" w:name="_Toc9220"/>
      <w:r>
        <w:rPr>
          <w:rFonts w:hint="eastAsia" w:hAnsi="宋体" w:cs="宋体"/>
          <w:b/>
          <w:sz w:val="30"/>
          <w:szCs w:val="30"/>
          <w:highlight w:val="none"/>
        </w:rPr>
        <w:t>2.2分项报价表</w:t>
      </w:r>
      <w:bookmarkEnd w:id="132"/>
      <w:bookmarkEnd w:id="133"/>
      <w:bookmarkEnd w:id="134"/>
      <w:bookmarkEnd w:id="135"/>
    </w:p>
    <w:p w14:paraId="545A3CC3">
      <w:pPr>
        <w:pStyle w:val="10"/>
        <w:jc w:val="center"/>
        <w:rPr>
          <w:rFonts w:ascii="宋体" w:hAnsi="宋体" w:cs="宋体"/>
          <w:bCs/>
          <w:sz w:val="24"/>
          <w:szCs w:val="24"/>
          <w:highlight w:val="none"/>
        </w:rPr>
      </w:pPr>
    </w:p>
    <w:p w14:paraId="5E099ED2">
      <w:pPr>
        <w:spacing w:after="120"/>
        <w:ind w:firstLine="120" w:firstLineChars="50"/>
        <w:rPr>
          <w:rFonts w:hAnsi="宋体"/>
          <w:color w:val="auto"/>
          <w:szCs w:val="24"/>
          <w:highlight w:val="none"/>
        </w:rPr>
      </w:pPr>
      <w:r>
        <w:rPr>
          <w:rFonts w:hint="eastAsia" w:hAnsi="宋体"/>
          <w:color w:val="auto"/>
          <w:szCs w:val="24"/>
          <w:highlight w:val="none"/>
        </w:rPr>
        <w:t>项目名称：</w:t>
      </w:r>
      <w:r>
        <w:rPr>
          <w:rFonts w:hint="eastAsia" w:hAnsi="宋体"/>
          <w:color w:val="auto"/>
          <w:szCs w:val="24"/>
          <w:highlight w:val="none"/>
          <w:lang w:val="en-US" w:eastAsia="zh-CN"/>
        </w:rPr>
        <w:t xml:space="preserve">                    </w:t>
      </w:r>
    </w:p>
    <w:p w14:paraId="14241247">
      <w:pPr>
        <w:spacing w:after="120"/>
        <w:ind w:firstLine="120" w:firstLineChars="50"/>
        <w:rPr>
          <w:rFonts w:ascii="宋体" w:hAnsi="宋体"/>
          <w:color w:val="auto"/>
          <w:sz w:val="24"/>
          <w:highlight w:val="none"/>
        </w:rPr>
      </w:pPr>
      <w:r>
        <w:rPr>
          <w:rFonts w:hint="eastAsia" w:hAnsi="宋体"/>
          <w:color w:val="auto"/>
          <w:szCs w:val="24"/>
          <w:highlight w:val="none"/>
          <w:lang w:eastAsia="zh-CN"/>
        </w:rPr>
        <w:t>项目编号</w:t>
      </w:r>
      <w:r>
        <w:rPr>
          <w:rFonts w:hint="eastAsia" w:hAnsi="宋体"/>
          <w:color w:val="auto"/>
          <w:szCs w:val="24"/>
          <w:highlight w:val="none"/>
        </w:rPr>
        <w:t>：</w:t>
      </w:r>
      <w:r>
        <w:rPr>
          <w:rFonts w:hint="eastAsia" w:hAnsi="宋体"/>
          <w:color w:val="auto"/>
          <w:szCs w:val="24"/>
          <w:highlight w:val="none"/>
          <w:lang w:val="en-US" w:eastAsia="zh-CN"/>
        </w:rPr>
        <w:t xml:space="preserve">                                                  </w:t>
      </w:r>
      <w:r>
        <w:rPr>
          <w:rFonts w:hint="eastAsia" w:ascii="宋体" w:hAnsi="宋体"/>
          <w:color w:val="auto"/>
          <w:sz w:val="24"/>
          <w:highlight w:val="none"/>
        </w:rPr>
        <w:t xml:space="preserve">  单位</w:t>
      </w:r>
      <w:r>
        <w:rPr>
          <w:rFonts w:ascii="宋体" w:hAnsi="宋体"/>
          <w:color w:val="auto"/>
          <w:sz w:val="24"/>
          <w:highlight w:val="none"/>
        </w:rPr>
        <w:t>:</w:t>
      </w:r>
      <w:r>
        <w:rPr>
          <w:rFonts w:hint="eastAsia" w:ascii="宋体" w:hAnsi="宋体"/>
          <w:color w:val="auto"/>
          <w:sz w:val="24"/>
          <w:highlight w:val="none"/>
        </w:rPr>
        <w:t>人民币</w:t>
      </w:r>
    </w:p>
    <w:tbl>
      <w:tblPr>
        <w:tblStyle w:val="22"/>
        <w:tblW w:w="502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85"/>
        <w:gridCol w:w="1735"/>
        <w:gridCol w:w="1198"/>
        <w:gridCol w:w="1290"/>
        <w:gridCol w:w="1303"/>
        <w:gridCol w:w="3245"/>
      </w:tblGrid>
      <w:tr w14:paraId="0565C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4" w:hRule="atLeast"/>
          <w:jc w:val="center"/>
        </w:trPr>
        <w:tc>
          <w:tcPr>
            <w:tcW w:w="313" w:type="pct"/>
            <w:tcBorders>
              <w:right w:val="single" w:color="000000" w:sz="6" w:space="0"/>
            </w:tcBorders>
            <w:noWrap w:val="0"/>
            <w:vAlign w:val="center"/>
          </w:tcPr>
          <w:p w14:paraId="4E5FD434">
            <w:pPr>
              <w:pStyle w:val="48"/>
              <w:keepLines w:val="0"/>
              <w:pageBreakBefore w:val="0"/>
              <w:wordWrap/>
              <w:overflowPunct/>
              <w:topLinePunct w:val="0"/>
              <w:autoSpaceDE/>
              <w:autoSpaceDN/>
              <w:bidi w:val="0"/>
              <w:spacing w:before="93" w:line="440" w:lineRule="exact"/>
              <w:ind w:left="173"/>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序号</w:t>
            </w:r>
          </w:p>
        </w:tc>
        <w:tc>
          <w:tcPr>
            <w:tcW w:w="927" w:type="pct"/>
            <w:tcBorders>
              <w:left w:val="single" w:color="000000" w:sz="6" w:space="0"/>
              <w:right w:val="single" w:color="000000" w:sz="6" w:space="0"/>
            </w:tcBorders>
            <w:noWrap w:val="0"/>
            <w:vAlign w:val="center"/>
          </w:tcPr>
          <w:p w14:paraId="7E511553">
            <w:pPr>
              <w:pStyle w:val="48"/>
              <w:keepLines w:val="0"/>
              <w:pageBreakBefore w:val="0"/>
              <w:wordWrap/>
              <w:overflowPunct/>
              <w:topLinePunct w:val="0"/>
              <w:autoSpaceDE/>
              <w:autoSpaceDN/>
              <w:bidi w:val="0"/>
              <w:spacing w:before="93" w:line="440" w:lineRule="exact"/>
              <w:ind w:left="173"/>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货物名称</w:t>
            </w:r>
          </w:p>
        </w:tc>
        <w:tc>
          <w:tcPr>
            <w:tcW w:w="640" w:type="pct"/>
            <w:tcBorders>
              <w:left w:val="single" w:color="000000" w:sz="6" w:space="0"/>
              <w:right w:val="single" w:color="000000" w:sz="6" w:space="0"/>
            </w:tcBorders>
            <w:noWrap w:val="0"/>
            <w:vAlign w:val="center"/>
          </w:tcPr>
          <w:p w14:paraId="6E28D897">
            <w:pPr>
              <w:pStyle w:val="48"/>
              <w:keepLines w:val="0"/>
              <w:pageBreakBefore w:val="0"/>
              <w:wordWrap/>
              <w:overflowPunct/>
              <w:topLinePunct w:val="0"/>
              <w:autoSpaceDE/>
              <w:autoSpaceDN/>
              <w:bidi w:val="0"/>
              <w:spacing w:before="93" w:line="440" w:lineRule="exact"/>
              <w:ind w:left="173"/>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型号规格</w:t>
            </w:r>
          </w:p>
        </w:tc>
        <w:tc>
          <w:tcPr>
            <w:tcW w:w="689" w:type="pct"/>
            <w:tcBorders>
              <w:left w:val="single" w:color="000000" w:sz="6" w:space="0"/>
            </w:tcBorders>
            <w:noWrap w:val="0"/>
            <w:vAlign w:val="center"/>
          </w:tcPr>
          <w:p w14:paraId="34CD62B1">
            <w:pPr>
              <w:pStyle w:val="48"/>
              <w:keepLines w:val="0"/>
              <w:pageBreakBefore w:val="0"/>
              <w:wordWrap/>
              <w:overflowPunct/>
              <w:topLinePunct w:val="0"/>
              <w:autoSpaceDE/>
              <w:autoSpaceDN/>
              <w:bidi w:val="0"/>
              <w:spacing w:before="93" w:line="440" w:lineRule="exact"/>
              <w:ind w:left="173"/>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品牌</w:t>
            </w:r>
          </w:p>
        </w:tc>
        <w:tc>
          <w:tcPr>
            <w:tcW w:w="695" w:type="pct"/>
            <w:tcBorders>
              <w:left w:val="single" w:color="000000" w:sz="6" w:space="0"/>
            </w:tcBorders>
            <w:noWrap w:val="0"/>
            <w:vAlign w:val="center"/>
          </w:tcPr>
          <w:p w14:paraId="30ABF473">
            <w:pPr>
              <w:pStyle w:val="48"/>
              <w:keepLines w:val="0"/>
              <w:pageBreakBefore w:val="0"/>
              <w:wordWrap/>
              <w:overflowPunct/>
              <w:topLinePunct w:val="0"/>
              <w:autoSpaceDE/>
              <w:autoSpaceDN/>
              <w:bidi w:val="0"/>
              <w:spacing w:before="93" w:line="440" w:lineRule="exact"/>
              <w:ind w:left="173"/>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厂家</w:t>
            </w:r>
          </w:p>
        </w:tc>
        <w:tc>
          <w:tcPr>
            <w:tcW w:w="1734" w:type="pct"/>
            <w:tcBorders>
              <w:bottom w:val="single" w:color="000000" w:sz="6" w:space="0"/>
              <w:right w:val="single" w:color="000000" w:sz="6" w:space="0"/>
            </w:tcBorders>
            <w:noWrap w:val="0"/>
            <w:vAlign w:val="center"/>
          </w:tcPr>
          <w:p w14:paraId="01AC3777">
            <w:pPr>
              <w:pStyle w:val="48"/>
              <w:keepLines w:val="0"/>
              <w:pageBreakBefore w:val="0"/>
              <w:wordWrap/>
              <w:overflowPunct/>
              <w:topLinePunct w:val="0"/>
              <w:autoSpaceDE/>
              <w:autoSpaceDN/>
              <w:bidi w:val="0"/>
              <w:spacing w:before="199" w:line="440" w:lineRule="exact"/>
              <w:ind w:left="17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单价报价（元）</w:t>
            </w:r>
          </w:p>
        </w:tc>
      </w:tr>
      <w:tr w14:paraId="696BD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jc w:val="center"/>
        </w:trPr>
        <w:tc>
          <w:tcPr>
            <w:tcW w:w="313" w:type="pct"/>
            <w:tcBorders>
              <w:top w:val="single" w:color="000000" w:sz="6" w:space="0"/>
              <w:right w:val="single" w:color="000000" w:sz="6" w:space="0"/>
            </w:tcBorders>
            <w:noWrap w:val="0"/>
            <w:vAlign w:val="center"/>
          </w:tcPr>
          <w:p w14:paraId="7B9BCE16">
            <w:pPr>
              <w:pStyle w:val="48"/>
              <w:keepLines w:val="0"/>
              <w:pageBreakBefore w:val="0"/>
              <w:wordWrap/>
              <w:overflowPunct/>
              <w:topLinePunct w:val="0"/>
              <w:autoSpaceDE/>
              <w:autoSpaceDN/>
              <w:bidi w:val="0"/>
              <w:spacing w:before="91" w:line="440" w:lineRule="exact"/>
              <w:ind w:left="13"/>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927" w:type="pct"/>
            <w:tcBorders>
              <w:top w:val="single" w:color="000000" w:sz="6" w:space="0"/>
              <w:left w:val="single" w:color="000000" w:sz="6" w:space="0"/>
            </w:tcBorders>
            <w:noWrap w:val="0"/>
            <w:vAlign w:val="center"/>
          </w:tcPr>
          <w:p w14:paraId="40BAE795">
            <w:pPr>
              <w:keepNext w:val="0"/>
              <w:keepLines w:val="0"/>
              <w:widowControl/>
              <w:suppressLineNumbers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i w:val="0"/>
                <w:iCs w:val="0"/>
                <w:color w:val="000000"/>
                <w:kern w:val="0"/>
                <w:sz w:val="24"/>
                <w:szCs w:val="24"/>
                <w:highlight w:val="none"/>
                <w:u w:val="none"/>
                <w:lang w:val="en-US" w:eastAsia="zh-CN" w:bidi="ar"/>
              </w:rPr>
              <w:t>饼干</w:t>
            </w:r>
          </w:p>
        </w:tc>
        <w:tc>
          <w:tcPr>
            <w:tcW w:w="640" w:type="pct"/>
            <w:tcBorders>
              <w:top w:val="single" w:color="000000" w:sz="6" w:space="0"/>
            </w:tcBorders>
            <w:noWrap w:val="0"/>
            <w:vAlign w:val="top"/>
          </w:tcPr>
          <w:p w14:paraId="0AF7C87E">
            <w:pPr>
              <w:pStyle w:val="48"/>
              <w:keepLines w:val="0"/>
              <w:pageBreakBefore w:val="0"/>
              <w:wordWrap/>
              <w:overflowPunct/>
              <w:topLinePunct w:val="0"/>
              <w:autoSpaceDE/>
              <w:autoSpaceDN/>
              <w:bidi w:val="0"/>
              <w:spacing w:line="440" w:lineRule="exact"/>
              <w:rPr>
                <w:rFonts w:hint="eastAsia" w:ascii="宋体" w:hAnsi="宋体" w:eastAsia="宋体" w:cs="宋体"/>
                <w:b/>
                <w:bCs/>
                <w:color w:val="auto"/>
                <w:sz w:val="24"/>
                <w:szCs w:val="24"/>
                <w:highlight w:val="none"/>
              </w:rPr>
            </w:pPr>
          </w:p>
        </w:tc>
        <w:tc>
          <w:tcPr>
            <w:tcW w:w="689" w:type="pct"/>
            <w:tcBorders>
              <w:top w:val="single" w:color="000000" w:sz="6" w:space="0"/>
            </w:tcBorders>
            <w:noWrap w:val="0"/>
            <w:vAlign w:val="top"/>
          </w:tcPr>
          <w:p w14:paraId="414241AE">
            <w:pPr>
              <w:pStyle w:val="48"/>
              <w:keepLines w:val="0"/>
              <w:pageBreakBefore w:val="0"/>
              <w:wordWrap/>
              <w:overflowPunct/>
              <w:topLinePunct w:val="0"/>
              <w:autoSpaceDE/>
              <w:autoSpaceDN/>
              <w:bidi w:val="0"/>
              <w:spacing w:line="440" w:lineRule="exact"/>
              <w:rPr>
                <w:rFonts w:hint="eastAsia" w:ascii="宋体" w:hAnsi="宋体" w:eastAsia="宋体" w:cs="宋体"/>
                <w:b/>
                <w:bCs/>
                <w:color w:val="auto"/>
                <w:sz w:val="24"/>
                <w:szCs w:val="24"/>
                <w:highlight w:val="none"/>
              </w:rPr>
            </w:pPr>
          </w:p>
        </w:tc>
        <w:tc>
          <w:tcPr>
            <w:tcW w:w="695" w:type="pct"/>
            <w:tcBorders>
              <w:top w:val="single" w:color="000000" w:sz="6" w:space="0"/>
            </w:tcBorders>
            <w:noWrap w:val="0"/>
            <w:vAlign w:val="top"/>
          </w:tcPr>
          <w:p w14:paraId="6BF847E9">
            <w:pPr>
              <w:pStyle w:val="48"/>
              <w:keepLines w:val="0"/>
              <w:pageBreakBefore w:val="0"/>
              <w:wordWrap/>
              <w:overflowPunct/>
              <w:topLinePunct w:val="0"/>
              <w:autoSpaceDE/>
              <w:autoSpaceDN/>
              <w:bidi w:val="0"/>
              <w:spacing w:line="440" w:lineRule="exact"/>
              <w:rPr>
                <w:rFonts w:hint="eastAsia" w:ascii="宋体" w:hAnsi="宋体" w:eastAsia="宋体" w:cs="宋体"/>
                <w:b/>
                <w:bCs/>
                <w:color w:val="auto"/>
                <w:sz w:val="24"/>
                <w:szCs w:val="24"/>
                <w:highlight w:val="none"/>
              </w:rPr>
            </w:pPr>
          </w:p>
        </w:tc>
        <w:tc>
          <w:tcPr>
            <w:tcW w:w="1734" w:type="pct"/>
            <w:tcBorders>
              <w:top w:val="single" w:color="000000" w:sz="6" w:space="0"/>
              <w:right w:val="single" w:color="000000" w:sz="6" w:space="0"/>
            </w:tcBorders>
            <w:noWrap w:val="0"/>
            <w:vAlign w:val="top"/>
          </w:tcPr>
          <w:p w14:paraId="41C274AD">
            <w:pPr>
              <w:pStyle w:val="48"/>
              <w:keepLines w:val="0"/>
              <w:pageBreakBefore w:val="0"/>
              <w:wordWrap/>
              <w:overflowPunct/>
              <w:topLinePunct w:val="0"/>
              <w:autoSpaceDE/>
              <w:autoSpaceDN/>
              <w:bidi w:val="0"/>
              <w:spacing w:line="440" w:lineRule="exact"/>
              <w:rPr>
                <w:rFonts w:hint="eastAsia" w:ascii="宋体" w:hAnsi="宋体" w:eastAsia="宋体" w:cs="宋体"/>
                <w:b/>
                <w:bCs/>
                <w:color w:val="auto"/>
                <w:sz w:val="24"/>
                <w:szCs w:val="24"/>
                <w:highlight w:val="none"/>
              </w:rPr>
            </w:pPr>
          </w:p>
        </w:tc>
      </w:tr>
      <w:tr w14:paraId="08255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313" w:type="pct"/>
            <w:tcBorders>
              <w:right w:val="single" w:color="000000" w:sz="6" w:space="0"/>
            </w:tcBorders>
            <w:noWrap w:val="0"/>
            <w:vAlign w:val="center"/>
          </w:tcPr>
          <w:p w14:paraId="487AEF02">
            <w:pPr>
              <w:pStyle w:val="48"/>
              <w:keepLines w:val="0"/>
              <w:pageBreakBefore w:val="0"/>
              <w:wordWrap/>
              <w:overflowPunct/>
              <w:topLinePunct w:val="0"/>
              <w:autoSpaceDE/>
              <w:autoSpaceDN/>
              <w:bidi w:val="0"/>
              <w:spacing w:before="91" w:line="440" w:lineRule="exact"/>
              <w:ind w:left="13"/>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p>
        </w:tc>
        <w:tc>
          <w:tcPr>
            <w:tcW w:w="927" w:type="pct"/>
            <w:tcBorders>
              <w:left w:val="single" w:color="000000" w:sz="6" w:space="0"/>
            </w:tcBorders>
            <w:noWrap w:val="0"/>
            <w:vAlign w:val="center"/>
          </w:tcPr>
          <w:p w14:paraId="666C193D">
            <w:pPr>
              <w:keepNext w:val="0"/>
              <w:keepLines w:val="0"/>
              <w:widowControl/>
              <w:suppressLineNumbers w:val="0"/>
              <w:jc w:val="center"/>
              <w:textAlignment w:val="center"/>
              <w:rPr>
                <w:rFonts w:hint="eastAsia" w:ascii="宋体" w:hAnsi="宋体" w:eastAsia="宋体" w:cs="宋体"/>
                <w:b/>
                <w:bCs/>
                <w:color w:val="auto"/>
                <w:sz w:val="24"/>
                <w:szCs w:val="24"/>
                <w:highlight w:val="none"/>
              </w:rPr>
            </w:pPr>
            <w:r>
              <w:rPr>
                <w:rFonts w:hint="eastAsia" w:hAnsi="宋体" w:cs="宋体"/>
                <w:b/>
                <w:bCs/>
                <w:i w:val="0"/>
                <w:iCs w:val="0"/>
                <w:color w:val="000000"/>
                <w:kern w:val="0"/>
                <w:sz w:val="24"/>
                <w:szCs w:val="24"/>
                <w:highlight w:val="none"/>
                <w:u w:val="none"/>
                <w:lang w:val="en-US" w:eastAsia="zh-CN" w:bidi="ar"/>
              </w:rPr>
              <w:t>牛奶</w:t>
            </w:r>
          </w:p>
        </w:tc>
        <w:tc>
          <w:tcPr>
            <w:tcW w:w="640" w:type="pct"/>
            <w:noWrap w:val="0"/>
            <w:vAlign w:val="top"/>
          </w:tcPr>
          <w:p w14:paraId="719551F7">
            <w:pPr>
              <w:pStyle w:val="48"/>
              <w:keepLines w:val="0"/>
              <w:pageBreakBefore w:val="0"/>
              <w:wordWrap/>
              <w:overflowPunct/>
              <w:topLinePunct w:val="0"/>
              <w:autoSpaceDE/>
              <w:autoSpaceDN/>
              <w:bidi w:val="0"/>
              <w:spacing w:line="440" w:lineRule="exact"/>
              <w:rPr>
                <w:rFonts w:hint="eastAsia" w:ascii="宋体" w:hAnsi="宋体" w:eastAsia="宋体" w:cs="宋体"/>
                <w:b/>
                <w:bCs/>
                <w:color w:val="auto"/>
                <w:sz w:val="24"/>
                <w:szCs w:val="24"/>
                <w:highlight w:val="none"/>
              </w:rPr>
            </w:pPr>
          </w:p>
        </w:tc>
        <w:tc>
          <w:tcPr>
            <w:tcW w:w="689" w:type="pct"/>
            <w:noWrap w:val="0"/>
            <w:vAlign w:val="top"/>
          </w:tcPr>
          <w:p w14:paraId="6ED675A5">
            <w:pPr>
              <w:pStyle w:val="48"/>
              <w:keepLines w:val="0"/>
              <w:pageBreakBefore w:val="0"/>
              <w:wordWrap/>
              <w:overflowPunct/>
              <w:topLinePunct w:val="0"/>
              <w:autoSpaceDE/>
              <w:autoSpaceDN/>
              <w:bidi w:val="0"/>
              <w:spacing w:line="440" w:lineRule="exact"/>
              <w:rPr>
                <w:rFonts w:hint="eastAsia" w:ascii="宋体" w:hAnsi="宋体" w:eastAsia="宋体" w:cs="宋体"/>
                <w:b/>
                <w:bCs/>
                <w:color w:val="auto"/>
                <w:sz w:val="24"/>
                <w:szCs w:val="24"/>
                <w:highlight w:val="none"/>
              </w:rPr>
            </w:pPr>
          </w:p>
        </w:tc>
        <w:tc>
          <w:tcPr>
            <w:tcW w:w="695" w:type="pct"/>
            <w:noWrap w:val="0"/>
            <w:vAlign w:val="top"/>
          </w:tcPr>
          <w:p w14:paraId="0EE5DB36">
            <w:pPr>
              <w:pStyle w:val="48"/>
              <w:keepLines w:val="0"/>
              <w:pageBreakBefore w:val="0"/>
              <w:wordWrap/>
              <w:overflowPunct/>
              <w:topLinePunct w:val="0"/>
              <w:autoSpaceDE/>
              <w:autoSpaceDN/>
              <w:bidi w:val="0"/>
              <w:spacing w:line="440" w:lineRule="exact"/>
              <w:rPr>
                <w:rFonts w:hint="eastAsia" w:ascii="宋体" w:hAnsi="宋体" w:eastAsia="宋体" w:cs="宋体"/>
                <w:b/>
                <w:bCs/>
                <w:color w:val="auto"/>
                <w:sz w:val="24"/>
                <w:szCs w:val="24"/>
                <w:highlight w:val="none"/>
              </w:rPr>
            </w:pPr>
          </w:p>
        </w:tc>
        <w:tc>
          <w:tcPr>
            <w:tcW w:w="1734" w:type="pct"/>
            <w:tcBorders>
              <w:right w:val="single" w:color="000000" w:sz="6" w:space="0"/>
            </w:tcBorders>
            <w:noWrap w:val="0"/>
            <w:vAlign w:val="top"/>
          </w:tcPr>
          <w:p w14:paraId="327E2176">
            <w:pPr>
              <w:pStyle w:val="48"/>
              <w:keepLines w:val="0"/>
              <w:pageBreakBefore w:val="0"/>
              <w:wordWrap/>
              <w:overflowPunct/>
              <w:topLinePunct w:val="0"/>
              <w:autoSpaceDE/>
              <w:autoSpaceDN/>
              <w:bidi w:val="0"/>
              <w:spacing w:line="440" w:lineRule="exact"/>
              <w:rPr>
                <w:rFonts w:hint="eastAsia" w:ascii="宋体" w:hAnsi="宋体" w:eastAsia="宋体" w:cs="宋体"/>
                <w:b/>
                <w:bCs/>
                <w:color w:val="auto"/>
                <w:sz w:val="24"/>
                <w:szCs w:val="24"/>
                <w:highlight w:val="none"/>
              </w:rPr>
            </w:pPr>
          </w:p>
        </w:tc>
      </w:tr>
      <w:tr w14:paraId="486E3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313" w:type="pct"/>
            <w:tcBorders>
              <w:right w:val="single" w:color="000000" w:sz="6" w:space="0"/>
            </w:tcBorders>
            <w:noWrap w:val="0"/>
            <w:vAlign w:val="center"/>
          </w:tcPr>
          <w:p w14:paraId="6DC8EBE3">
            <w:pPr>
              <w:pStyle w:val="48"/>
              <w:keepLines w:val="0"/>
              <w:pageBreakBefore w:val="0"/>
              <w:wordWrap/>
              <w:overflowPunct/>
              <w:topLinePunct w:val="0"/>
              <w:autoSpaceDE/>
              <w:autoSpaceDN/>
              <w:bidi w:val="0"/>
              <w:spacing w:before="91" w:line="440" w:lineRule="exact"/>
              <w:ind w:left="13"/>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p>
        </w:tc>
        <w:tc>
          <w:tcPr>
            <w:tcW w:w="927" w:type="pct"/>
            <w:tcBorders>
              <w:left w:val="single" w:color="000000" w:sz="6" w:space="0"/>
            </w:tcBorders>
            <w:noWrap w:val="0"/>
            <w:vAlign w:val="center"/>
          </w:tcPr>
          <w:p w14:paraId="31271C1F">
            <w:pPr>
              <w:keepNext w:val="0"/>
              <w:keepLines w:val="0"/>
              <w:widowControl/>
              <w:suppressLineNumbers w:val="0"/>
              <w:jc w:val="center"/>
              <w:textAlignment w:val="center"/>
              <w:rPr>
                <w:rFonts w:hint="eastAsia" w:ascii="宋体" w:hAnsi="宋体" w:eastAsia="宋体" w:cs="宋体"/>
                <w:b/>
                <w:bCs/>
                <w:color w:val="auto"/>
                <w:sz w:val="24"/>
                <w:szCs w:val="24"/>
                <w:highlight w:val="none"/>
              </w:rPr>
            </w:pPr>
            <w:r>
              <w:rPr>
                <w:rFonts w:hint="eastAsia" w:hAnsi="宋体" w:cs="宋体"/>
                <w:b/>
                <w:bCs/>
                <w:i w:val="0"/>
                <w:iCs w:val="0"/>
                <w:color w:val="000000"/>
                <w:kern w:val="0"/>
                <w:sz w:val="24"/>
                <w:szCs w:val="24"/>
                <w:highlight w:val="none"/>
                <w:u w:val="none"/>
                <w:lang w:val="en-US" w:eastAsia="zh-CN" w:bidi="ar"/>
              </w:rPr>
              <w:t>蜂蜜</w:t>
            </w:r>
          </w:p>
        </w:tc>
        <w:tc>
          <w:tcPr>
            <w:tcW w:w="640" w:type="pct"/>
            <w:noWrap w:val="0"/>
            <w:vAlign w:val="top"/>
          </w:tcPr>
          <w:p w14:paraId="6A4CB0F7">
            <w:pPr>
              <w:pStyle w:val="48"/>
              <w:keepLines w:val="0"/>
              <w:pageBreakBefore w:val="0"/>
              <w:wordWrap/>
              <w:overflowPunct/>
              <w:topLinePunct w:val="0"/>
              <w:autoSpaceDE/>
              <w:autoSpaceDN/>
              <w:bidi w:val="0"/>
              <w:spacing w:line="440" w:lineRule="exact"/>
              <w:rPr>
                <w:rFonts w:hint="eastAsia" w:ascii="宋体" w:hAnsi="宋体" w:eastAsia="宋体" w:cs="宋体"/>
                <w:b/>
                <w:bCs/>
                <w:color w:val="auto"/>
                <w:sz w:val="24"/>
                <w:szCs w:val="24"/>
                <w:highlight w:val="none"/>
              </w:rPr>
            </w:pPr>
          </w:p>
        </w:tc>
        <w:tc>
          <w:tcPr>
            <w:tcW w:w="689" w:type="pct"/>
            <w:noWrap w:val="0"/>
            <w:vAlign w:val="top"/>
          </w:tcPr>
          <w:p w14:paraId="7F4254D5">
            <w:pPr>
              <w:pStyle w:val="48"/>
              <w:keepLines w:val="0"/>
              <w:pageBreakBefore w:val="0"/>
              <w:wordWrap/>
              <w:overflowPunct/>
              <w:topLinePunct w:val="0"/>
              <w:autoSpaceDE/>
              <w:autoSpaceDN/>
              <w:bidi w:val="0"/>
              <w:spacing w:line="440" w:lineRule="exact"/>
              <w:rPr>
                <w:rFonts w:hint="eastAsia" w:ascii="宋体" w:hAnsi="宋体" w:eastAsia="宋体" w:cs="宋体"/>
                <w:b/>
                <w:bCs/>
                <w:color w:val="auto"/>
                <w:sz w:val="24"/>
                <w:szCs w:val="24"/>
                <w:highlight w:val="none"/>
              </w:rPr>
            </w:pPr>
          </w:p>
        </w:tc>
        <w:tc>
          <w:tcPr>
            <w:tcW w:w="695" w:type="pct"/>
            <w:noWrap w:val="0"/>
            <w:vAlign w:val="top"/>
          </w:tcPr>
          <w:p w14:paraId="4D41DD6A">
            <w:pPr>
              <w:pStyle w:val="48"/>
              <w:keepLines w:val="0"/>
              <w:pageBreakBefore w:val="0"/>
              <w:wordWrap/>
              <w:overflowPunct/>
              <w:topLinePunct w:val="0"/>
              <w:autoSpaceDE/>
              <w:autoSpaceDN/>
              <w:bidi w:val="0"/>
              <w:spacing w:line="440" w:lineRule="exact"/>
              <w:rPr>
                <w:rFonts w:hint="eastAsia" w:ascii="宋体" w:hAnsi="宋体" w:eastAsia="宋体" w:cs="宋体"/>
                <w:b/>
                <w:bCs/>
                <w:color w:val="auto"/>
                <w:sz w:val="24"/>
                <w:szCs w:val="24"/>
                <w:highlight w:val="none"/>
              </w:rPr>
            </w:pPr>
          </w:p>
        </w:tc>
        <w:tc>
          <w:tcPr>
            <w:tcW w:w="1734" w:type="pct"/>
            <w:tcBorders>
              <w:right w:val="single" w:color="000000" w:sz="6" w:space="0"/>
            </w:tcBorders>
            <w:noWrap w:val="0"/>
            <w:vAlign w:val="top"/>
          </w:tcPr>
          <w:p w14:paraId="0A0BFC5B">
            <w:pPr>
              <w:pStyle w:val="48"/>
              <w:keepLines w:val="0"/>
              <w:pageBreakBefore w:val="0"/>
              <w:wordWrap/>
              <w:overflowPunct/>
              <w:topLinePunct w:val="0"/>
              <w:autoSpaceDE/>
              <w:autoSpaceDN/>
              <w:bidi w:val="0"/>
              <w:spacing w:line="440" w:lineRule="exact"/>
              <w:rPr>
                <w:rFonts w:hint="eastAsia" w:ascii="宋体" w:hAnsi="宋体" w:eastAsia="宋体" w:cs="宋体"/>
                <w:b/>
                <w:bCs/>
                <w:color w:val="auto"/>
                <w:sz w:val="24"/>
                <w:szCs w:val="24"/>
                <w:highlight w:val="none"/>
              </w:rPr>
            </w:pPr>
          </w:p>
        </w:tc>
      </w:tr>
      <w:tr w14:paraId="1FC5D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313" w:type="pct"/>
            <w:tcBorders>
              <w:right w:val="single" w:color="000000" w:sz="6" w:space="0"/>
            </w:tcBorders>
            <w:noWrap w:val="0"/>
            <w:vAlign w:val="center"/>
          </w:tcPr>
          <w:p w14:paraId="0BEF1EAC">
            <w:pPr>
              <w:pStyle w:val="48"/>
              <w:keepLines w:val="0"/>
              <w:pageBreakBefore w:val="0"/>
              <w:wordWrap/>
              <w:overflowPunct/>
              <w:topLinePunct w:val="0"/>
              <w:autoSpaceDE/>
              <w:autoSpaceDN/>
              <w:bidi w:val="0"/>
              <w:spacing w:before="91" w:line="440" w:lineRule="exact"/>
              <w:ind w:left="13"/>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p>
        </w:tc>
        <w:tc>
          <w:tcPr>
            <w:tcW w:w="927" w:type="pct"/>
            <w:tcBorders>
              <w:left w:val="single" w:color="000000" w:sz="6" w:space="0"/>
            </w:tcBorders>
            <w:noWrap w:val="0"/>
            <w:vAlign w:val="center"/>
          </w:tcPr>
          <w:p w14:paraId="5C9CF00E">
            <w:pPr>
              <w:keepNext w:val="0"/>
              <w:keepLines w:val="0"/>
              <w:widowControl/>
              <w:suppressLineNumbers w:val="0"/>
              <w:jc w:val="center"/>
              <w:textAlignment w:val="center"/>
              <w:rPr>
                <w:rFonts w:hint="eastAsia" w:ascii="宋体" w:hAnsi="宋体" w:eastAsia="宋体" w:cs="宋体"/>
                <w:b/>
                <w:bCs/>
                <w:color w:val="auto"/>
                <w:sz w:val="24"/>
                <w:szCs w:val="24"/>
                <w:highlight w:val="none"/>
              </w:rPr>
            </w:pPr>
            <w:r>
              <w:rPr>
                <w:rFonts w:hint="eastAsia" w:hAnsi="宋体" w:cs="宋体"/>
                <w:b/>
                <w:bCs/>
                <w:i w:val="0"/>
                <w:iCs w:val="0"/>
                <w:color w:val="000000"/>
                <w:kern w:val="0"/>
                <w:sz w:val="24"/>
                <w:szCs w:val="24"/>
                <w:highlight w:val="none"/>
                <w:u w:val="none"/>
                <w:lang w:val="en-US" w:eastAsia="zh-CN" w:bidi="ar"/>
              </w:rPr>
              <w:t>鸡蛋</w:t>
            </w:r>
          </w:p>
        </w:tc>
        <w:tc>
          <w:tcPr>
            <w:tcW w:w="640" w:type="pct"/>
            <w:noWrap w:val="0"/>
            <w:vAlign w:val="top"/>
          </w:tcPr>
          <w:p w14:paraId="0A83C447">
            <w:pPr>
              <w:pStyle w:val="48"/>
              <w:keepLines w:val="0"/>
              <w:pageBreakBefore w:val="0"/>
              <w:wordWrap/>
              <w:overflowPunct/>
              <w:topLinePunct w:val="0"/>
              <w:autoSpaceDE/>
              <w:autoSpaceDN/>
              <w:bidi w:val="0"/>
              <w:spacing w:line="440" w:lineRule="exact"/>
              <w:rPr>
                <w:rFonts w:hint="eastAsia" w:ascii="宋体" w:hAnsi="宋体" w:eastAsia="宋体" w:cs="宋体"/>
                <w:b/>
                <w:bCs/>
                <w:color w:val="auto"/>
                <w:sz w:val="24"/>
                <w:szCs w:val="24"/>
                <w:highlight w:val="none"/>
              </w:rPr>
            </w:pPr>
          </w:p>
        </w:tc>
        <w:tc>
          <w:tcPr>
            <w:tcW w:w="689" w:type="pct"/>
            <w:noWrap w:val="0"/>
            <w:vAlign w:val="top"/>
          </w:tcPr>
          <w:p w14:paraId="059CE254">
            <w:pPr>
              <w:pStyle w:val="48"/>
              <w:keepLines w:val="0"/>
              <w:pageBreakBefore w:val="0"/>
              <w:wordWrap/>
              <w:overflowPunct/>
              <w:topLinePunct w:val="0"/>
              <w:autoSpaceDE/>
              <w:autoSpaceDN/>
              <w:bidi w:val="0"/>
              <w:spacing w:line="440" w:lineRule="exact"/>
              <w:rPr>
                <w:rFonts w:hint="eastAsia" w:ascii="宋体" w:hAnsi="宋体" w:eastAsia="宋体" w:cs="宋体"/>
                <w:b/>
                <w:bCs/>
                <w:color w:val="auto"/>
                <w:sz w:val="24"/>
                <w:szCs w:val="24"/>
                <w:highlight w:val="none"/>
              </w:rPr>
            </w:pPr>
          </w:p>
        </w:tc>
        <w:tc>
          <w:tcPr>
            <w:tcW w:w="695" w:type="pct"/>
            <w:noWrap w:val="0"/>
            <w:vAlign w:val="top"/>
          </w:tcPr>
          <w:p w14:paraId="7170D56A">
            <w:pPr>
              <w:pStyle w:val="48"/>
              <w:keepLines w:val="0"/>
              <w:pageBreakBefore w:val="0"/>
              <w:wordWrap/>
              <w:overflowPunct/>
              <w:topLinePunct w:val="0"/>
              <w:autoSpaceDE/>
              <w:autoSpaceDN/>
              <w:bidi w:val="0"/>
              <w:spacing w:line="440" w:lineRule="exact"/>
              <w:rPr>
                <w:rFonts w:hint="eastAsia" w:ascii="宋体" w:hAnsi="宋体" w:eastAsia="宋体" w:cs="宋体"/>
                <w:b/>
                <w:bCs/>
                <w:color w:val="auto"/>
                <w:sz w:val="24"/>
                <w:szCs w:val="24"/>
                <w:highlight w:val="none"/>
              </w:rPr>
            </w:pPr>
          </w:p>
        </w:tc>
        <w:tc>
          <w:tcPr>
            <w:tcW w:w="1734" w:type="pct"/>
            <w:tcBorders>
              <w:right w:val="single" w:color="000000" w:sz="6" w:space="0"/>
            </w:tcBorders>
            <w:noWrap w:val="0"/>
            <w:vAlign w:val="top"/>
          </w:tcPr>
          <w:p w14:paraId="18712682">
            <w:pPr>
              <w:pStyle w:val="48"/>
              <w:keepLines w:val="0"/>
              <w:pageBreakBefore w:val="0"/>
              <w:wordWrap/>
              <w:overflowPunct/>
              <w:topLinePunct w:val="0"/>
              <w:autoSpaceDE/>
              <w:autoSpaceDN/>
              <w:bidi w:val="0"/>
              <w:spacing w:line="440" w:lineRule="exact"/>
              <w:rPr>
                <w:rFonts w:hint="eastAsia" w:ascii="宋体" w:hAnsi="宋体" w:eastAsia="宋体" w:cs="宋体"/>
                <w:b/>
                <w:bCs/>
                <w:color w:val="auto"/>
                <w:sz w:val="24"/>
                <w:szCs w:val="24"/>
                <w:highlight w:val="none"/>
              </w:rPr>
            </w:pPr>
          </w:p>
        </w:tc>
      </w:tr>
      <w:tr w14:paraId="55F8B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3265" w:type="pct"/>
            <w:gridSpan w:val="5"/>
            <w:noWrap w:val="0"/>
            <w:vAlign w:val="center"/>
          </w:tcPr>
          <w:p w14:paraId="0945761B">
            <w:pPr>
              <w:pStyle w:val="48"/>
              <w:keepLines w:val="0"/>
              <w:pageBreakBefore w:val="0"/>
              <w:wordWrap/>
              <w:overflowPunct/>
              <w:topLinePunct w:val="0"/>
              <w:autoSpaceDE/>
              <w:autoSpaceDN/>
              <w:bidi w:val="0"/>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合计</w:t>
            </w:r>
            <w:r>
              <w:rPr>
                <w:rFonts w:hint="eastAsia" w:ascii="宋体" w:hAnsi="宋体" w:eastAsia="宋体" w:cs="宋体"/>
                <w:b/>
                <w:bCs/>
                <w:color w:val="auto"/>
                <w:sz w:val="24"/>
                <w:szCs w:val="24"/>
                <w:highlight w:val="none"/>
                <w:lang w:eastAsia="zh-CN"/>
              </w:rPr>
              <w:t>（元）</w:t>
            </w:r>
          </w:p>
        </w:tc>
        <w:tc>
          <w:tcPr>
            <w:tcW w:w="1734" w:type="pct"/>
            <w:tcBorders>
              <w:right w:val="single" w:color="000000" w:sz="6" w:space="0"/>
            </w:tcBorders>
            <w:noWrap w:val="0"/>
            <w:vAlign w:val="center"/>
          </w:tcPr>
          <w:p w14:paraId="7B3E42FF">
            <w:pPr>
              <w:pStyle w:val="48"/>
              <w:keepLines w:val="0"/>
              <w:pageBreakBefore w:val="0"/>
              <w:wordWrap/>
              <w:overflowPunct/>
              <w:topLinePunct w:val="0"/>
              <w:autoSpaceDE/>
              <w:autoSpaceDN/>
              <w:bidi w:val="0"/>
              <w:spacing w:line="440" w:lineRule="exact"/>
              <w:jc w:val="center"/>
              <w:rPr>
                <w:rFonts w:hint="eastAsia" w:ascii="宋体" w:hAnsi="宋体" w:eastAsia="宋体" w:cs="宋体"/>
                <w:b/>
                <w:bCs/>
                <w:color w:val="auto"/>
                <w:sz w:val="24"/>
                <w:szCs w:val="24"/>
                <w:highlight w:val="none"/>
              </w:rPr>
            </w:pPr>
            <w:r>
              <w:rPr>
                <w:rFonts w:hint="eastAsia"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00元</w:t>
            </w:r>
          </w:p>
        </w:tc>
      </w:tr>
    </w:tbl>
    <w:p w14:paraId="6FD07331">
      <w:pPr>
        <w:pStyle w:val="46"/>
        <w:rPr>
          <w:rFonts w:hint="eastAsia" w:hAnsi="宋体" w:cs="宋体"/>
          <w:color w:val="auto"/>
          <w:highlight w:val="none"/>
        </w:rPr>
      </w:pPr>
    </w:p>
    <w:p w14:paraId="7B0B26CD">
      <w:pPr>
        <w:spacing w:line="480" w:lineRule="auto"/>
        <w:ind w:right="617" w:rightChars="257"/>
        <w:rPr>
          <w:rFonts w:hAnsi="宋体" w:cs="宋体"/>
          <w:color w:val="auto"/>
          <w:highlight w:val="none"/>
          <w:u w:val="single"/>
        </w:rPr>
      </w:pPr>
      <w:r>
        <w:rPr>
          <w:rFonts w:hint="eastAsia" w:hAnsi="宋体" w:cs="宋体"/>
          <w:color w:val="auto"/>
          <w:highlight w:val="none"/>
          <w:lang w:val="en-US" w:eastAsia="zh-CN"/>
        </w:rPr>
        <w:t>供应商</w:t>
      </w:r>
      <w:r>
        <w:rPr>
          <w:rFonts w:hint="eastAsia" w:hAnsi="宋体" w:cs="宋体"/>
          <w:color w:val="auto"/>
          <w:highlight w:val="none"/>
        </w:rPr>
        <w:t>名称：</w:t>
      </w:r>
      <w:r>
        <w:rPr>
          <w:rFonts w:hint="eastAsia" w:hAnsi="宋体" w:cs="宋体"/>
          <w:color w:val="auto"/>
          <w:highlight w:val="none"/>
          <w:u w:val="single"/>
        </w:rPr>
        <w:t xml:space="preserve">      （加盖单位公章）     </w:t>
      </w:r>
    </w:p>
    <w:p w14:paraId="58754B3A">
      <w:pPr>
        <w:spacing w:line="480" w:lineRule="auto"/>
        <w:ind w:right="617" w:rightChars="257"/>
        <w:jc w:val="left"/>
        <w:rPr>
          <w:rFonts w:hAnsi="宋体" w:cs="宋体"/>
          <w:color w:val="auto"/>
          <w:highlight w:val="none"/>
        </w:rPr>
      </w:pPr>
      <w:r>
        <w:rPr>
          <w:rFonts w:hint="eastAsia" w:hAnsi="宋体" w:cs="宋体"/>
          <w:color w:val="auto"/>
          <w:highlight w:val="none"/>
        </w:rPr>
        <w:t>法定代表人或被授权人（签字或盖章）：</w:t>
      </w:r>
      <w:r>
        <w:rPr>
          <w:rFonts w:hint="eastAsia" w:hAnsi="宋体" w:cs="宋体"/>
          <w:color w:val="auto"/>
          <w:highlight w:val="none"/>
          <w:u w:val="single"/>
        </w:rPr>
        <w:t xml:space="preserve">               </w:t>
      </w:r>
    </w:p>
    <w:p w14:paraId="13E81668">
      <w:pPr>
        <w:spacing w:line="480" w:lineRule="auto"/>
        <w:ind w:right="617" w:rightChars="257"/>
        <w:jc w:val="both"/>
        <w:rPr>
          <w:rFonts w:hint="eastAsia" w:hAnsi="宋体" w:cs="宋体"/>
          <w:color w:val="auto"/>
          <w:highlight w:val="none"/>
          <w:u w:val="single"/>
        </w:rPr>
      </w:pPr>
      <w:r>
        <w:rPr>
          <w:rFonts w:hint="eastAsia" w:hAnsi="宋体" w:cs="宋体"/>
          <w:color w:val="auto"/>
          <w:highlight w:val="none"/>
        </w:rPr>
        <w:t>日    期：</w:t>
      </w:r>
      <w:r>
        <w:rPr>
          <w:rFonts w:hint="eastAsia" w:hAnsi="宋体" w:cs="宋体"/>
          <w:color w:val="auto"/>
          <w:highlight w:val="none"/>
          <w:u w:val="single"/>
        </w:rPr>
        <w:t xml:space="preserve">                 </w:t>
      </w:r>
    </w:p>
    <w:p w14:paraId="1997B15D">
      <w:pPr>
        <w:pStyle w:val="10"/>
        <w:rPr>
          <w:rFonts w:ascii="宋体" w:hAnsi="宋体" w:cs="宋体"/>
          <w:highlight w:val="none"/>
        </w:rPr>
      </w:pPr>
    </w:p>
    <w:p w14:paraId="067A42F3">
      <w:pPr>
        <w:ind w:firstLine="420"/>
        <w:rPr>
          <w:rFonts w:hAnsi="宋体" w:cs="宋体"/>
          <w:highlight w:val="none"/>
        </w:rPr>
      </w:pPr>
    </w:p>
    <w:p w14:paraId="07DCF982">
      <w:pPr>
        <w:pStyle w:val="10"/>
        <w:spacing w:line="360" w:lineRule="auto"/>
        <w:rPr>
          <w:rFonts w:ascii="宋体" w:hAnsi="宋体" w:cs="宋体"/>
          <w:sz w:val="28"/>
          <w:szCs w:val="28"/>
          <w:highlight w:val="none"/>
        </w:rPr>
      </w:pPr>
    </w:p>
    <w:p w14:paraId="7372DCF3">
      <w:pPr>
        <w:rPr>
          <w:rFonts w:hAnsi="宋体" w:cs="宋体"/>
          <w:highlight w:val="none"/>
        </w:rPr>
      </w:pPr>
    </w:p>
    <w:bookmarkEnd w:id="117"/>
    <w:p w14:paraId="7A6EC8FE">
      <w:pPr>
        <w:jc w:val="center"/>
        <w:outlineLvl w:val="1"/>
        <w:rPr>
          <w:rFonts w:hAnsi="宋体" w:cs="宋体"/>
          <w:sz w:val="32"/>
          <w:szCs w:val="32"/>
          <w:highlight w:val="none"/>
        </w:rPr>
      </w:pPr>
      <w:bookmarkStart w:id="136" w:name="_Toc344572163"/>
      <w:r>
        <w:rPr>
          <w:rFonts w:hint="eastAsia" w:hAnsi="宋体" w:cs="宋体"/>
          <w:sz w:val="32"/>
          <w:szCs w:val="32"/>
          <w:highlight w:val="none"/>
        </w:rPr>
        <w:br w:type="page"/>
      </w:r>
      <w:bookmarkStart w:id="137" w:name="_Toc24936"/>
      <w:bookmarkStart w:id="138" w:name="_Toc5944"/>
      <w:bookmarkStart w:id="139" w:name="_Toc3628"/>
      <w:bookmarkStart w:id="140" w:name="_Toc32126"/>
      <w:r>
        <w:rPr>
          <w:rFonts w:hint="eastAsia" w:hAnsi="宋体" w:cs="宋体"/>
          <w:b/>
          <w:bCs/>
          <w:sz w:val="32"/>
          <w:szCs w:val="32"/>
          <w:highlight w:val="none"/>
        </w:rPr>
        <w:t>三、磋商方案说明书</w:t>
      </w:r>
      <w:bookmarkEnd w:id="137"/>
      <w:bookmarkEnd w:id="138"/>
      <w:bookmarkEnd w:id="139"/>
      <w:bookmarkEnd w:id="140"/>
    </w:p>
    <w:p w14:paraId="190CA710">
      <w:pPr>
        <w:spacing w:line="480" w:lineRule="auto"/>
        <w:ind w:firstLine="482" w:firstLineChars="200"/>
        <w:jc w:val="center"/>
        <w:rPr>
          <w:rFonts w:hint="eastAsia" w:hAnsi="宋体" w:cs="宋体"/>
          <w:b/>
          <w:bCs/>
          <w:szCs w:val="24"/>
          <w:highlight w:val="none"/>
        </w:rPr>
      </w:pPr>
      <w:r>
        <w:rPr>
          <w:rFonts w:hint="eastAsia" w:hAnsi="宋体" w:cs="宋体"/>
          <w:b/>
          <w:bCs/>
          <w:szCs w:val="24"/>
          <w:highlight w:val="none"/>
        </w:rPr>
        <w:t>（可参照第三章评审办法进行响应）</w:t>
      </w:r>
    </w:p>
    <w:p w14:paraId="5751B921">
      <w:pPr>
        <w:rPr>
          <w:rFonts w:hint="eastAsia" w:hAnsi="宋体" w:cs="宋体"/>
          <w:b/>
          <w:bCs/>
          <w:szCs w:val="24"/>
          <w:highlight w:val="none"/>
        </w:rPr>
      </w:pPr>
      <w:r>
        <w:rPr>
          <w:rFonts w:hint="eastAsia" w:hAnsi="宋体" w:cs="宋体"/>
          <w:b/>
          <w:bCs/>
          <w:szCs w:val="24"/>
          <w:highlight w:val="none"/>
        </w:rPr>
        <w:br w:type="page"/>
      </w:r>
    </w:p>
    <w:p w14:paraId="7A25D419">
      <w:pPr>
        <w:rPr>
          <w:rFonts w:hAnsi="宋体"/>
          <w:b/>
          <w:color w:val="auto"/>
          <w:szCs w:val="24"/>
          <w:highlight w:val="none"/>
        </w:rPr>
      </w:pPr>
      <w:r>
        <w:rPr>
          <w:rFonts w:hint="eastAsia" w:hAnsi="宋体"/>
          <w:b/>
          <w:color w:val="auto"/>
          <w:szCs w:val="24"/>
          <w:highlight w:val="none"/>
        </w:rPr>
        <w:t>附表1：</w:t>
      </w:r>
    </w:p>
    <w:p w14:paraId="15055EE8">
      <w:pPr>
        <w:spacing w:after="120"/>
        <w:jc w:val="center"/>
        <w:rPr>
          <w:rFonts w:hAnsi="宋体"/>
          <w:b/>
          <w:color w:val="auto"/>
          <w:sz w:val="32"/>
          <w:szCs w:val="32"/>
          <w:highlight w:val="none"/>
        </w:rPr>
      </w:pPr>
      <w:r>
        <w:rPr>
          <w:rFonts w:hint="eastAsia" w:hAnsi="宋体"/>
          <w:b/>
          <w:color w:val="auto"/>
          <w:sz w:val="32"/>
          <w:szCs w:val="32"/>
          <w:highlight w:val="none"/>
        </w:rPr>
        <w:t>技术规格响应表</w:t>
      </w:r>
    </w:p>
    <w:p w14:paraId="3664D689">
      <w:pPr>
        <w:spacing w:after="120"/>
        <w:ind w:firstLine="120" w:firstLineChars="50"/>
        <w:rPr>
          <w:rFonts w:hAnsi="宋体"/>
          <w:color w:val="auto"/>
          <w:szCs w:val="24"/>
          <w:highlight w:val="none"/>
        </w:rPr>
      </w:pPr>
      <w:r>
        <w:rPr>
          <w:rFonts w:hint="eastAsia" w:hAnsi="宋体"/>
          <w:color w:val="auto"/>
          <w:szCs w:val="24"/>
          <w:highlight w:val="none"/>
        </w:rPr>
        <w:t>项目名称：</w:t>
      </w:r>
      <w:r>
        <w:rPr>
          <w:rFonts w:hint="eastAsia" w:hAnsi="宋体"/>
          <w:color w:val="auto"/>
          <w:szCs w:val="24"/>
          <w:highlight w:val="none"/>
          <w:lang w:val="en-US" w:eastAsia="zh-CN"/>
        </w:rPr>
        <w:t xml:space="preserve">                    </w:t>
      </w:r>
    </w:p>
    <w:p w14:paraId="3619A57F">
      <w:pPr>
        <w:spacing w:after="120"/>
        <w:ind w:firstLine="120" w:firstLineChars="50"/>
        <w:rPr>
          <w:rFonts w:hint="eastAsia" w:hAnsi="宋体"/>
          <w:color w:val="auto"/>
          <w:szCs w:val="24"/>
          <w:highlight w:val="none"/>
        </w:rPr>
      </w:pPr>
      <w:r>
        <w:rPr>
          <w:rFonts w:hint="eastAsia" w:hAnsi="宋体"/>
          <w:color w:val="auto"/>
          <w:szCs w:val="24"/>
          <w:highlight w:val="none"/>
          <w:lang w:eastAsia="zh-CN"/>
        </w:rPr>
        <w:t>项目编号</w:t>
      </w:r>
      <w:r>
        <w:rPr>
          <w:rFonts w:hint="eastAsia" w:hAnsi="宋体"/>
          <w:color w:val="auto"/>
          <w:szCs w:val="24"/>
          <w:highlight w:val="none"/>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276"/>
        <w:gridCol w:w="2268"/>
        <w:gridCol w:w="2781"/>
        <w:gridCol w:w="1188"/>
        <w:gridCol w:w="594"/>
      </w:tblGrid>
      <w:tr w14:paraId="22677F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jc w:val="center"/>
        </w:trPr>
        <w:tc>
          <w:tcPr>
            <w:tcW w:w="737" w:type="dxa"/>
            <w:tcBorders>
              <w:bottom w:val="nil"/>
            </w:tcBorders>
            <w:noWrap w:val="0"/>
            <w:vAlign w:val="top"/>
          </w:tcPr>
          <w:p w14:paraId="738EBF71">
            <w:pPr>
              <w:spacing w:before="166" w:beforeLines="50"/>
              <w:jc w:val="center"/>
              <w:rPr>
                <w:rFonts w:hAnsi="宋体"/>
                <w:color w:val="auto"/>
                <w:szCs w:val="24"/>
                <w:highlight w:val="none"/>
              </w:rPr>
            </w:pPr>
            <w:r>
              <w:rPr>
                <w:rFonts w:hint="eastAsia" w:hAnsi="宋体"/>
                <w:color w:val="auto"/>
                <w:szCs w:val="24"/>
                <w:highlight w:val="none"/>
              </w:rPr>
              <w:t>序号</w:t>
            </w:r>
          </w:p>
        </w:tc>
        <w:tc>
          <w:tcPr>
            <w:tcW w:w="1276" w:type="dxa"/>
            <w:tcBorders>
              <w:bottom w:val="nil"/>
            </w:tcBorders>
            <w:noWrap w:val="0"/>
            <w:vAlign w:val="top"/>
          </w:tcPr>
          <w:p w14:paraId="19CD1491">
            <w:pPr>
              <w:spacing w:before="166" w:beforeLines="50"/>
              <w:jc w:val="center"/>
              <w:rPr>
                <w:rFonts w:hAnsi="宋体"/>
                <w:color w:val="auto"/>
                <w:szCs w:val="24"/>
                <w:highlight w:val="none"/>
              </w:rPr>
            </w:pPr>
            <w:r>
              <w:rPr>
                <w:rFonts w:hint="eastAsia" w:hAnsi="宋体"/>
                <w:color w:val="auto"/>
                <w:szCs w:val="24"/>
                <w:highlight w:val="none"/>
              </w:rPr>
              <w:t>产品名称</w:t>
            </w:r>
          </w:p>
        </w:tc>
        <w:tc>
          <w:tcPr>
            <w:tcW w:w="2268" w:type="dxa"/>
            <w:tcBorders>
              <w:bottom w:val="nil"/>
            </w:tcBorders>
            <w:noWrap w:val="0"/>
            <w:vAlign w:val="top"/>
          </w:tcPr>
          <w:p w14:paraId="5FAB415A">
            <w:pPr>
              <w:spacing w:before="166" w:beforeLines="50"/>
              <w:jc w:val="center"/>
              <w:rPr>
                <w:rFonts w:hAnsi="宋体"/>
                <w:color w:val="auto"/>
                <w:szCs w:val="24"/>
                <w:highlight w:val="none"/>
              </w:rPr>
            </w:pPr>
            <w:r>
              <w:rPr>
                <w:rFonts w:hint="eastAsia" w:hAnsi="宋体"/>
                <w:color w:val="auto"/>
                <w:szCs w:val="24"/>
                <w:highlight w:val="none"/>
                <w:lang w:val="en-US" w:eastAsia="zh-CN"/>
              </w:rPr>
              <w:t>磋商</w:t>
            </w:r>
            <w:r>
              <w:rPr>
                <w:rFonts w:hint="eastAsia" w:hAnsi="宋体"/>
                <w:color w:val="auto"/>
                <w:szCs w:val="24"/>
                <w:highlight w:val="none"/>
              </w:rPr>
              <w:t>规格 ☆1</w:t>
            </w:r>
          </w:p>
        </w:tc>
        <w:tc>
          <w:tcPr>
            <w:tcW w:w="2781" w:type="dxa"/>
            <w:tcBorders>
              <w:bottom w:val="nil"/>
            </w:tcBorders>
            <w:noWrap w:val="0"/>
            <w:vAlign w:val="top"/>
          </w:tcPr>
          <w:p w14:paraId="73B4E154">
            <w:pPr>
              <w:spacing w:before="166" w:beforeLines="50"/>
              <w:jc w:val="center"/>
              <w:rPr>
                <w:rFonts w:hAnsi="宋体"/>
                <w:color w:val="auto"/>
                <w:szCs w:val="24"/>
                <w:highlight w:val="none"/>
              </w:rPr>
            </w:pPr>
            <w:r>
              <w:rPr>
                <w:rFonts w:hint="eastAsia" w:hAnsi="宋体"/>
                <w:color w:val="auto"/>
                <w:szCs w:val="24"/>
                <w:highlight w:val="none"/>
                <w:lang w:val="en-US" w:eastAsia="zh-CN"/>
              </w:rPr>
              <w:t>响应</w:t>
            </w:r>
            <w:r>
              <w:rPr>
                <w:rFonts w:hint="eastAsia" w:hAnsi="宋体"/>
                <w:color w:val="auto"/>
                <w:szCs w:val="24"/>
                <w:highlight w:val="none"/>
              </w:rPr>
              <w:t>规格 ☆2</w:t>
            </w:r>
          </w:p>
        </w:tc>
        <w:tc>
          <w:tcPr>
            <w:tcW w:w="1188" w:type="dxa"/>
            <w:tcBorders>
              <w:bottom w:val="nil"/>
            </w:tcBorders>
            <w:noWrap w:val="0"/>
            <w:vAlign w:val="top"/>
          </w:tcPr>
          <w:p w14:paraId="6B64E8EB">
            <w:pPr>
              <w:spacing w:before="166" w:beforeLines="50"/>
              <w:jc w:val="center"/>
              <w:rPr>
                <w:rFonts w:hAnsi="宋体"/>
                <w:color w:val="auto"/>
                <w:szCs w:val="24"/>
                <w:highlight w:val="none"/>
              </w:rPr>
            </w:pPr>
            <w:r>
              <w:rPr>
                <w:rFonts w:hint="eastAsia" w:hAnsi="宋体"/>
                <w:color w:val="auto"/>
                <w:szCs w:val="24"/>
                <w:highlight w:val="none"/>
              </w:rPr>
              <w:t>偏离说明</w:t>
            </w:r>
          </w:p>
        </w:tc>
        <w:tc>
          <w:tcPr>
            <w:tcW w:w="594" w:type="dxa"/>
            <w:tcBorders>
              <w:bottom w:val="nil"/>
            </w:tcBorders>
            <w:noWrap w:val="0"/>
            <w:vAlign w:val="top"/>
          </w:tcPr>
          <w:p w14:paraId="2BCD4241">
            <w:pPr>
              <w:spacing w:before="166" w:beforeLines="50"/>
              <w:jc w:val="center"/>
              <w:rPr>
                <w:rFonts w:hAnsi="宋体"/>
                <w:color w:val="auto"/>
                <w:szCs w:val="24"/>
                <w:highlight w:val="none"/>
              </w:rPr>
            </w:pPr>
            <w:r>
              <w:rPr>
                <w:rFonts w:hint="eastAsia" w:hAnsi="宋体"/>
                <w:color w:val="auto"/>
                <w:szCs w:val="24"/>
                <w:highlight w:val="none"/>
              </w:rPr>
              <w:t>备注</w:t>
            </w:r>
          </w:p>
        </w:tc>
      </w:tr>
      <w:tr w14:paraId="616B3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9" w:hRule="atLeast"/>
          <w:jc w:val="center"/>
        </w:trPr>
        <w:tc>
          <w:tcPr>
            <w:tcW w:w="737" w:type="dxa"/>
            <w:tcBorders>
              <w:top w:val="single" w:color="auto" w:sz="12" w:space="0"/>
              <w:left w:val="single" w:color="auto" w:sz="12" w:space="0"/>
              <w:bottom w:val="nil"/>
              <w:right w:val="single" w:color="auto" w:sz="6" w:space="0"/>
            </w:tcBorders>
            <w:noWrap w:val="0"/>
            <w:vAlign w:val="top"/>
          </w:tcPr>
          <w:p w14:paraId="2A3BF1F7">
            <w:pPr>
              <w:rPr>
                <w:rFonts w:hAnsi="宋体"/>
                <w:color w:val="auto"/>
                <w:szCs w:val="24"/>
                <w:highlight w:val="none"/>
              </w:rPr>
            </w:pPr>
          </w:p>
        </w:tc>
        <w:tc>
          <w:tcPr>
            <w:tcW w:w="1276" w:type="dxa"/>
            <w:tcBorders>
              <w:top w:val="single" w:color="auto" w:sz="12" w:space="0"/>
              <w:left w:val="single" w:color="auto" w:sz="6" w:space="0"/>
              <w:bottom w:val="nil"/>
              <w:right w:val="single" w:color="auto" w:sz="6" w:space="0"/>
            </w:tcBorders>
            <w:noWrap w:val="0"/>
            <w:vAlign w:val="top"/>
          </w:tcPr>
          <w:p w14:paraId="2AD974FB">
            <w:pPr>
              <w:rPr>
                <w:rFonts w:hAnsi="宋体"/>
                <w:color w:val="auto"/>
                <w:szCs w:val="24"/>
                <w:highlight w:val="none"/>
              </w:rPr>
            </w:pPr>
          </w:p>
        </w:tc>
        <w:tc>
          <w:tcPr>
            <w:tcW w:w="2268" w:type="dxa"/>
            <w:tcBorders>
              <w:top w:val="single" w:color="auto" w:sz="12" w:space="0"/>
              <w:left w:val="single" w:color="auto" w:sz="6" w:space="0"/>
              <w:bottom w:val="nil"/>
              <w:right w:val="single" w:color="auto" w:sz="6" w:space="0"/>
            </w:tcBorders>
            <w:noWrap w:val="0"/>
            <w:vAlign w:val="top"/>
          </w:tcPr>
          <w:p w14:paraId="0A60A86B">
            <w:pPr>
              <w:rPr>
                <w:rFonts w:hAnsi="宋体"/>
                <w:color w:val="auto"/>
                <w:szCs w:val="24"/>
                <w:highlight w:val="none"/>
              </w:rPr>
            </w:pPr>
          </w:p>
        </w:tc>
        <w:tc>
          <w:tcPr>
            <w:tcW w:w="2781" w:type="dxa"/>
            <w:tcBorders>
              <w:top w:val="single" w:color="auto" w:sz="12" w:space="0"/>
              <w:left w:val="single" w:color="auto" w:sz="6" w:space="0"/>
              <w:bottom w:val="nil"/>
              <w:right w:val="single" w:color="auto" w:sz="6" w:space="0"/>
            </w:tcBorders>
            <w:noWrap w:val="0"/>
            <w:vAlign w:val="top"/>
          </w:tcPr>
          <w:p w14:paraId="5DCAE08E">
            <w:pPr>
              <w:rPr>
                <w:rFonts w:hAnsi="宋体"/>
                <w:color w:val="auto"/>
                <w:szCs w:val="24"/>
                <w:highlight w:val="none"/>
              </w:rPr>
            </w:pPr>
          </w:p>
        </w:tc>
        <w:tc>
          <w:tcPr>
            <w:tcW w:w="1188" w:type="dxa"/>
            <w:tcBorders>
              <w:top w:val="single" w:color="auto" w:sz="12" w:space="0"/>
              <w:left w:val="single" w:color="auto" w:sz="6" w:space="0"/>
              <w:bottom w:val="nil"/>
              <w:right w:val="single" w:color="auto" w:sz="6" w:space="0"/>
            </w:tcBorders>
            <w:noWrap w:val="0"/>
            <w:vAlign w:val="top"/>
          </w:tcPr>
          <w:p w14:paraId="63107F02">
            <w:pPr>
              <w:rPr>
                <w:rFonts w:hAnsi="宋体"/>
                <w:color w:val="auto"/>
                <w:szCs w:val="24"/>
                <w:highlight w:val="none"/>
              </w:rPr>
            </w:pPr>
          </w:p>
        </w:tc>
        <w:tc>
          <w:tcPr>
            <w:tcW w:w="594" w:type="dxa"/>
            <w:tcBorders>
              <w:top w:val="single" w:color="auto" w:sz="12" w:space="0"/>
              <w:left w:val="single" w:color="auto" w:sz="6" w:space="0"/>
              <w:bottom w:val="nil"/>
              <w:right w:val="single" w:color="auto" w:sz="12" w:space="0"/>
            </w:tcBorders>
            <w:noWrap w:val="0"/>
            <w:vAlign w:val="top"/>
          </w:tcPr>
          <w:p w14:paraId="12EEDE02">
            <w:pPr>
              <w:rPr>
                <w:rFonts w:hAnsi="宋体"/>
                <w:color w:val="auto"/>
                <w:szCs w:val="24"/>
                <w:highlight w:val="none"/>
              </w:rPr>
            </w:pPr>
          </w:p>
        </w:tc>
      </w:tr>
      <w:tr w14:paraId="66BB82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9" w:hRule="atLeast"/>
          <w:jc w:val="center"/>
        </w:trPr>
        <w:tc>
          <w:tcPr>
            <w:tcW w:w="737" w:type="dxa"/>
            <w:tcBorders>
              <w:top w:val="nil"/>
            </w:tcBorders>
            <w:noWrap w:val="0"/>
            <w:vAlign w:val="top"/>
          </w:tcPr>
          <w:p w14:paraId="5F48A1BF">
            <w:pPr>
              <w:rPr>
                <w:rFonts w:hAnsi="宋体"/>
                <w:color w:val="auto"/>
                <w:szCs w:val="24"/>
                <w:highlight w:val="none"/>
              </w:rPr>
            </w:pPr>
          </w:p>
        </w:tc>
        <w:tc>
          <w:tcPr>
            <w:tcW w:w="1276" w:type="dxa"/>
            <w:tcBorders>
              <w:top w:val="nil"/>
            </w:tcBorders>
            <w:noWrap w:val="0"/>
            <w:vAlign w:val="top"/>
          </w:tcPr>
          <w:p w14:paraId="1725CC15">
            <w:pPr>
              <w:rPr>
                <w:rFonts w:hAnsi="宋体"/>
                <w:color w:val="auto"/>
                <w:szCs w:val="24"/>
                <w:highlight w:val="none"/>
              </w:rPr>
            </w:pPr>
          </w:p>
        </w:tc>
        <w:tc>
          <w:tcPr>
            <w:tcW w:w="2268" w:type="dxa"/>
            <w:tcBorders>
              <w:top w:val="nil"/>
            </w:tcBorders>
            <w:noWrap w:val="0"/>
            <w:vAlign w:val="top"/>
          </w:tcPr>
          <w:p w14:paraId="26F60AE5">
            <w:pPr>
              <w:rPr>
                <w:rFonts w:hAnsi="宋体"/>
                <w:color w:val="auto"/>
                <w:szCs w:val="24"/>
                <w:highlight w:val="none"/>
              </w:rPr>
            </w:pPr>
          </w:p>
        </w:tc>
        <w:tc>
          <w:tcPr>
            <w:tcW w:w="2781" w:type="dxa"/>
            <w:tcBorders>
              <w:top w:val="nil"/>
            </w:tcBorders>
            <w:noWrap w:val="0"/>
            <w:vAlign w:val="top"/>
          </w:tcPr>
          <w:p w14:paraId="4DE549EE">
            <w:pPr>
              <w:rPr>
                <w:rFonts w:hAnsi="宋体"/>
                <w:color w:val="auto"/>
                <w:szCs w:val="24"/>
                <w:highlight w:val="none"/>
              </w:rPr>
            </w:pPr>
          </w:p>
        </w:tc>
        <w:tc>
          <w:tcPr>
            <w:tcW w:w="1188" w:type="dxa"/>
            <w:tcBorders>
              <w:top w:val="nil"/>
            </w:tcBorders>
            <w:noWrap w:val="0"/>
            <w:vAlign w:val="top"/>
          </w:tcPr>
          <w:p w14:paraId="3DD27555">
            <w:pPr>
              <w:rPr>
                <w:rFonts w:hAnsi="宋体"/>
                <w:color w:val="auto"/>
                <w:szCs w:val="24"/>
                <w:highlight w:val="none"/>
              </w:rPr>
            </w:pPr>
          </w:p>
        </w:tc>
        <w:tc>
          <w:tcPr>
            <w:tcW w:w="594" w:type="dxa"/>
            <w:tcBorders>
              <w:top w:val="nil"/>
            </w:tcBorders>
            <w:noWrap w:val="0"/>
            <w:vAlign w:val="top"/>
          </w:tcPr>
          <w:p w14:paraId="5CAB1C87">
            <w:pPr>
              <w:rPr>
                <w:rFonts w:hAnsi="宋体"/>
                <w:color w:val="auto"/>
                <w:szCs w:val="24"/>
                <w:highlight w:val="none"/>
              </w:rPr>
            </w:pPr>
          </w:p>
        </w:tc>
      </w:tr>
    </w:tbl>
    <w:p w14:paraId="6398BB93">
      <w:pPr>
        <w:rPr>
          <w:rFonts w:hAnsi="宋体"/>
          <w:color w:val="auto"/>
          <w:highlight w:val="none"/>
        </w:rPr>
      </w:pPr>
    </w:p>
    <w:p w14:paraId="4672B61D">
      <w:pPr>
        <w:rPr>
          <w:rFonts w:hAnsi="宋体"/>
          <w:color w:val="auto"/>
          <w:szCs w:val="24"/>
          <w:highlight w:val="none"/>
        </w:rPr>
      </w:pPr>
    </w:p>
    <w:p w14:paraId="183EE278">
      <w:pPr>
        <w:spacing w:line="280" w:lineRule="exact"/>
        <w:ind w:firstLine="120" w:firstLineChars="50"/>
        <w:rPr>
          <w:rFonts w:hAnsi="宋体"/>
          <w:color w:val="auto"/>
          <w:szCs w:val="24"/>
          <w:highlight w:val="none"/>
        </w:rPr>
      </w:pPr>
      <w:r>
        <w:rPr>
          <w:rFonts w:hint="eastAsia"/>
          <w:color w:val="auto"/>
          <w:highlight w:val="none"/>
        </w:rPr>
        <w:t>法定代表人或被授权人（签字或盖章）</w:t>
      </w:r>
      <w:r>
        <w:rPr>
          <w:rFonts w:hint="eastAsia" w:hAnsi="宋体"/>
          <w:color w:val="auto"/>
          <w:szCs w:val="24"/>
          <w:highlight w:val="none"/>
        </w:rPr>
        <w:t>:</w:t>
      </w:r>
    </w:p>
    <w:p w14:paraId="13677041">
      <w:pPr>
        <w:tabs>
          <w:tab w:val="left" w:pos="3045"/>
        </w:tabs>
        <w:spacing w:line="280" w:lineRule="exact"/>
        <w:rPr>
          <w:rFonts w:hAnsi="宋体"/>
          <w:color w:val="auto"/>
          <w:szCs w:val="24"/>
          <w:highlight w:val="none"/>
        </w:rPr>
      </w:pPr>
    </w:p>
    <w:p w14:paraId="541E7920">
      <w:pPr>
        <w:spacing w:line="280" w:lineRule="exact"/>
        <w:rPr>
          <w:rFonts w:hAnsi="宋体"/>
          <w:color w:val="auto"/>
          <w:szCs w:val="24"/>
          <w:highlight w:val="none"/>
        </w:rPr>
      </w:pPr>
    </w:p>
    <w:p w14:paraId="2C561A3F">
      <w:pPr>
        <w:spacing w:line="280" w:lineRule="exact"/>
        <w:ind w:firstLine="120" w:firstLineChars="50"/>
        <w:rPr>
          <w:rFonts w:hAnsi="宋体"/>
          <w:color w:val="auto"/>
          <w:szCs w:val="24"/>
          <w:highlight w:val="none"/>
        </w:rPr>
      </w:pPr>
      <w:r>
        <w:rPr>
          <w:rFonts w:hint="eastAsia" w:hAnsi="宋体"/>
          <w:color w:val="auto"/>
          <w:szCs w:val="24"/>
          <w:highlight w:val="none"/>
        </w:rPr>
        <w:t>公      章：</w:t>
      </w:r>
    </w:p>
    <w:p w14:paraId="1929540F">
      <w:pPr>
        <w:rPr>
          <w:rFonts w:hAnsi="宋体"/>
          <w:color w:val="auto"/>
          <w:szCs w:val="24"/>
          <w:highlight w:val="none"/>
        </w:rPr>
      </w:pPr>
    </w:p>
    <w:p w14:paraId="3DACE691">
      <w:pPr>
        <w:spacing w:line="360" w:lineRule="auto"/>
        <w:ind w:left="1560" w:hanging="1560" w:hangingChars="650"/>
        <w:rPr>
          <w:rFonts w:hAnsi="宋体"/>
          <w:color w:val="auto"/>
          <w:szCs w:val="24"/>
          <w:highlight w:val="none"/>
        </w:rPr>
      </w:pPr>
      <w:r>
        <w:rPr>
          <w:rFonts w:hint="eastAsia" w:hAnsi="宋体"/>
          <w:color w:val="auto"/>
          <w:szCs w:val="24"/>
          <w:highlight w:val="none"/>
        </w:rPr>
        <w:t>注:  1.  ☆1指</w:t>
      </w:r>
      <w:r>
        <w:rPr>
          <w:rFonts w:hint="eastAsia" w:hAnsi="宋体"/>
          <w:color w:val="auto"/>
          <w:szCs w:val="24"/>
          <w:highlight w:val="none"/>
          <w:lang w:val="en-US" w:eastAsia="zh-CN"/>
        </w:rPr>
        <w:t>磋商</w:t>
      </w:r>
      <w:r>
        <w:rPr>
          <w:rFonts w:hint="eastAsia" w:hAnsi="宋体"/>
          <w:color w:val="auto"/>
          <w:szCs w:val="24"/>
          <w:highlight w:val="none"/>
        </w:rPr>
        <w:t>文件中的技术规格(参数),</w:t>
      </w:r>
      <w:r>
        <w:rPr>
          <w:rFonts w:hint="eastAsia" w:hAnsi="宋体"/>
          <w:color w:val="auto"/>
          <w:szCs w:val="24"/>
          <w:highlight w:val="none"/>
          <w:lang w:val="en-US" w:eastAsia="zh-CN"/>
        </w:rPr>
        <w:t>供应商</w:t>
      </w:r>
      <w:r>
        <w:rPr>
          <w:rFonts w:hint="eastAsia" w:hAnsi="宋体"/>
          <w:color w:val="auto"/>
          <w:szCs w:val="24"/>
          <w:highlight w:val="none"/>
        </w:rPr>
        <w:t>应按照</w:t>
      </w:r>
      <w:r>
        <w:rPr>
          <w:rFonts w:hint="eastAsia" w:hAnsi="宋体"/>
          <w:color w:val="auto"/>
          <w:szCs w:val="24"/>
          <w:highlight w:val="none"/>
          <w:lang w:val="en-US" w:eastAsia="zh-CN"/>
        </w:rPr>
        <w:t>磋商</w:t>
      </w:r>
      <w:r>
        <w:rPr>
          <w:rFonts w:hint="eastAsia" w:hAnsi="宋体"/>
          <w:color w:val="auto"/>
          <w:szCs w:val="24"/>
          <w:highlight w:val="none"/>
        </w:rPr>
        <w:t>文件中的内容逐条抄写。</w:t>
      </w:r>
    </w:p>
    <w:p w14:paraId="3E65194E">
      <w:pPr>
        <w:spacing w:line="360" w:lineRule="auto"/>
        <w:ind w:left="1560" w:hanging="1560" w:hangingChars="650"/>
        <w:rPr>
          <w:rFonts w:hAnsi="宋体"/>
          <w:color w:val="auto"/>
          <w:szCs w:val="24"/>
          <w:highlight w:val="none"/>
        </w:rPr>
      </w:pPr>
      <w:r>
        <w:rPr>
          <w:rFonts w:hint="eastAsia" w:hAnsi="宋体"/>
          <w:color w:val="auto"/>
          <w:szCs w:val="24"/>
          <w:highlight w:val="none"/>
        </w:rPr>
        <w:t xml:space="preserve">     2.  ☆2指</w:t>
      </w:r>
      <w:r>
        <w:rPr>
          <w:rFonts w:hint="eastAsia" w:hAnsi="宋体"/>
          <w:color w:val="auto"/>
          <w:szCs w:val="24"/>
          <w:highlight w:val="none"/>
          <w:lang w:val="en-US" w:eastAsia="zh-CN"/>
        </w:rPr>
        <w:t>供应商</w:t>
      </w:r>
      <w:r>
        <w:rPr>
          <w:rFonts w:hint="eastAsia" w:hAnsi="宋体"/>
          <w:color w:val="auto"/>
          <w:szCs w:val="24"/>
          <w:highlight w:val="none"/>
        </w:rPr>
        <w:t>拟提供的招标产品的功能及技术规格(参数),</w:t>
      </w:r>
      <w:r>
        <w:rPr>
          <w:rFonts w:hint="eastAsia" w:hAnsi="宋体"/>
          <w:color w:val="auto"/>
          <w:szCs w:val="24"/>
          <w:highlight w:val="none"/>
          <w:lang w:val="en-US" w:eastAsia="zh-CN"/>
        </w:rPr>
        <w:t>供应商</w:t>
      </w:r>
      <w:r>
        <w:rPr>
          <w:rFonts w:hint="eastAsia" w:hAnsi="宋体"/>
          <w:color w:val="auto"/>
          <w:szCs w:val="24"/>
          <w:highlight w:val="none"/>
        </w:rPr>
        <w:t xml:space="preserve">应逐条如实填写并提供相应的支持文件。 </w:t>
      </w:r>
    </w:p>
    <w:p w14:paraId="06DBA2F9">
      <w:pPr>
        <w:rPr>
          <w:rFonts w:hAnsi="宋体"/>
          <w:color w:val="auto"/>
          <w:highlight w:val="none"/>
        </w:rPr>
      </w:pPr>
      <w:r>
        <w:rPr>
          <w:rFonts w:hint="eastAsia" w:hAnsi="宋体"/>
          <w:color w:val="auto"/>
          <w:szCs w:val="24"/>
          <w:highlight w:val="none"/>
        </w:rPr>
        <w:t xml:space="preserve">     </w:t>
      </w:r>
      <w:r>
        <w:rPr>
          <w:rFonts w:hint="eastAsia" w:hAnsi="宋体"/>
          <w:color w:val="auto"/>
          <w:highlight w:val="none"/>
        </w:rPr>
        <w:t>3.     偏离说明填写：优于、满足或低于。</w:t>
      </w:r>
    </w:p>
    <w:p w14:paraId="45D516BB">
      <w:pPr>
        <w:spacing w:line="480" w:lineRule="auto"/>
        <w:ind w:firstLine="482" w:firstLineChars="200"/>
        <w:jc w:val="center"/>
        <w:rPr>
          <w:rFonts w:hint="eastAsia" w:hAnsi="宋体" w:cs="宋体"/>
          <w:b/>
          <w:bCs/>
          <w:szCs w:val="24"/>
          <w:highlight w:val="none"/>
        </w:rPr>
      </w:pPr>
    </w:p>
    <w:p w14:paraId="75585238">
      <w:pPr>
        <w:rPr>
          <w:rFonts w:hint="eastAsia" w:hAnsi="宋体" w:cs="宋体"/>
          <w:b/>
          <w:bCs/>
          <w:sz w:val="32"/>
          <w:szCs w:val="32"/>
          <w:highlight w:val="none"/>
        </w:rPr>
      </w:pPr>
      <w:bookmarkStart w:id="141" w:name="_Toc21284"/>
      <w:bookmarkStart w:id="142" w:name="_Toc2621"/>
      <w:bookmarkStart w:id="143" w:name="_Toc9218"/>
      <w:bookmarkStart w:id="144" w:name="_Toc1379"/>
      <w:bookmarkStart w:id="145" w:name="_Toc23455"/>
      <w:bookmarkStart w:id="146" w:name="_Toc8845"/>
      <w:bookmarkStart w:id="147" w:name="_Toc5662"/>
      <w:bookmarkStart w:id="148" w:name="_Toc31151"/>
      <w:bookmarkStart w:id="149" w:name="_Toc15265"/>
    </w:p>
    <w:p w14:paraId="4969BB95">
      <w:pPr>
        <w:rPr>
          <w:rFonts w:hint="eastAsia" w:hAnsi="宋体" w:cs="宋体"/>
          <w:b/>
          <w:bCs/>
          <w:sz w:val="32"/>
          <w:szCs w:val="32"/>
          <w:highlight w:val="none"/>
        </w:rPr>
      </w:pPr>
      <w:r>
        <w:rPr>
          <w:rFonts w:hint="eastAsia" w:hAnsi="宋体" w:cs="宋体"/>
          <w:b/>
          <w:bCs/>
          <w:sz w:val="32"/>
          <w:szCs w:val="32"/>
          <w:highlight w:val="none"/>
        </w:rPr>
        <w:br w:type="page"/>
      </w:r>
    </w:p>
    <w:p w14:paraId="2E64FA4A">
      <w:pPr>
        <w:ind w:firstLine="161" w:firstLineChars="50"/>
        <w:jc w:val="center"/>
        <w:outlineLvl w:val="1"/>
        <w:rPr>
          <w:rFonts w:hAnsi="宋体" w:cs="宋体"/>
          <w:sz w:val="32"/>
          <w:szCs w:val="32"/>
          <w:highlight w:val="none"/>
        </w:rPr>
      </w:pPr>
      <w:r>
        <w:rPr>
          <w:rFonts w:hint="eastAsia" w:hAnsi="宋体" w:cs="宋体"/>
          <w:b/>
          <w:bCs/>
          <w:sz w:val="32"/>
          <w:szCs w:val="32"/>
          <w:highlight w:val="none"/>
        </w:rPr>
        <w:t>四、</w:t>
      </w:r>
      <w:bookmarkEnd w:id="141"/>
      <w:bookmarkEnd w:id="142"/>
      <w:bookmarkEnd w:id="143"/>
      <w:bookmarkEnd w:id="144"/>
      <w:bookmarkEnd w:id="145"/>
      <w:r>
        <w:rPr>
          <w:rFonts w:hint="eastAsia" w:hAnsi="宋体" w:cs="宋体"/>
          <w:b/>
          <w:bCs/>
          <w:sz w:val="32"/>
          <w:szCs w:val="32"/>
          <w:highlight w:val="none"/>
        </w:rPr>
        <w:t>商务条款偏离表</w:t>
      </w:r>
      <w:bookmarkEnd w:id="146"/>
      <w:bookmarkEnd w:id="147"/>
      <w:bookmarkEnd w:id="148"/>
      <w:bookmarkEnd w:id="149"/>
    </w:p>
    <w:p w14:paraId="5EA1B311">
      <w:pPr>
        <w:pStyle w:val="20"/>
        <w:widowControl w:val="0"/>
        <w:spacing w:before="0" w:beforeAutospacing="0" w:after="0" w:afterAutospacing="0"/>
        <w:jc w:val="both"/>
        <w:rPr>
          <w:rFonts w:cs="宋体"/>
          <w:highlight w:val="none"/>
        </w:rPr>
      </w:pPr>
    </w:p>
    <w:p w14:paraId="4F15801A">
      <w:pPr>
        <w:pStyle w:val="20"/>
        <w:widowControl w:val="0"/>
        <w:spacing w:before="156" w:beforeLines="50" w:beforeAutospacing="0" w:after="156" w:afterLines="50" w:afterAutospacing="0"/>
        <w:rPr>
          <w:rFonts w:cs="宋体"/>
          <w:highlight w:val="none"/>
        </w:rPr>
      </w:pPr>
      <w:r>
        <w:rPr>
          <w:rFonts w:hint="eastAsia" w:cs="宋体"/>
          <w:highlight w:val="none"/>
        </w:rPr>
        <w:t>项目编号：</w:t>
      </w:r>
    </w:p>
    <w:p w14:paraId="6B328B60">
      <w:pPr>
        <w:pStyle w:val="20"/>
        <w:widowControl w:val="0"/>
        <w:spacing w:before="156" w:beforeLines="50" w:beforeAutospacing="0" w:after="156" w:afterLines="50" w:afterAutospacing="0"/>
        <w:rPr>
          <w:rFonts w:cs="宋体"/>
          <w:highlight w:val="none"/>
        </w:rPr>
      </w:pPr>
      <w:r>
        <w:rPr>
          <w:rFonts w:hint="eastAsia" w:cs="宋体"/>
          <w:highlight w:val="none"/>
        </w:rPr>
        <w:t>项目名称：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14:paraId="5E39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584A63BF">
            <w:pPr>
              <w:pStyle w:val="20"/>
              <w:widowControl w:val="0"/>
              <w:spacing w:before="0" w:beforeAutospacing="0" w:after="0" w:afterAutospacing="0"/>
              <w:jc w:val="center"/>
              <w:rPr>
                <w:rFonts w:cs="宋体"/>
                <w:highlight w:val="none"/>
              </w:rPr>
            </w:pPr>
            <w:r>
              <w:rPr>
                <w:rFonts w:hint="eastAsia" w:cs="宋体"/>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14:paraId="3E4BECD9">
            <w:pPr>
              <w:pStyle w:val="20"/>
              <w:widowControl w:val="0"/>
              <w:spacing w:before="0" w:beforeAutospacing="0" w:after="0" w:afterAutospacing="0"/>
              <w:jc w:val="center"/>
              <w:rPr>
                <w:rFonts w:cs="宋体"/>
                <w:highlight w:val="none"/>
              </w:rPr>
            </w:pPr>
            <w:r>
              <w:rPr>
                <w:rFonts w:hint="eastAsia" w:cs="宋体"/>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vAlign w:val="center"/>
          </w:tcPr>
          <w:p w14:paraId="578A666B">
            <w:pPr>
              <w:pStyle w:val="20"/>
              <w:widowControl w:val="0"/>
              <w:spacing w:before="0" w:beforeAutospacing="0" w:after="0" w:afterAutospacing="0"/>
              <w:jc w:val="center"/>
              <w:rPr>
                <w:rFonts w:cs="宋体"/>
                <w:highlight w:val="none"/>
              </w:rPr>
            </w:pPr>
            <w:r>
              <w:rPr>
                <w:rFonts w:hint="eastAsia" w:cs="宋体"/>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vAlign w:val="center"/>
          </w:tcPr>
          <w:p w14:paraId="1DB18911">
            <w:pPr>
              <w:pStyle w:val="20"/>
              <w:widowControl w:val="0"/>
              <w:spacing w:before="0" w:beforeAutospacing="0" w:after="0" w:afterAutospacing="0"/>
              <w:jc w:val="center"/>
              <w:rPr>
                <w:rFonts w:cs="宋体"/>
                <w:highlight w:val="none"/>
              </w:rPr>
            </w:pPr>
            <w:r>
              <w:rPr>
                <w:rFonts w:hint="eastAsia" w:cs="宋体"/>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14:paraId="4C9753C3">
            <w:pPr>
              <w:pStyle w:val="20"/>
              <w:widowControl w:val="0"/>
              <w:spacing w:before="0" w:beforeAutospacing="0" w:after="0" w:afterAutospacing="0"/>
              <w:jc w:val="center"/>
              <w:rPr>
                <w:rFonts w:cs="宋体"/>
                <w:highlight w:val="none"/>
              </w:rPr>
            </w:pPr>
            <w:r>
              <w:rPr>
                <w:rFonts w:hint="eastAsia" w:cs="宋体"/>
                <w:highlight w:val="none"/>
              </w:rPr>
              <w:t>说明</w:t>
            </w:r>
          </w:p>
        </w:tc>
      </w:tr>
      <w:tr w14:paraId="589F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3AE4BEF4">
            <w:pPr>
              <w:pStyle w:val="20"/>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1D6C5DF4">
            <w:pPr>
              <w:pStyle w:val="20"/>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51C7D217">
            <w:pPr>
              <w:pStyle w:val="20"/>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689AA66">
            <w:pPr>
              <w:pStyle w:val="20"/>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3E64C947">
            <w:pPr>
              <w:pStyle w:val="20"/>
              <w:widowControl w:val="0"/>
              <w:spacing w:before="0" w:beforeAutospacing="0" w:after="0" w:afterAutospacing="0"/>
              <w:ind w:firstLine="480" w:firstLineChars="200"/>
              <w:jc w:val="center"/>
              <w:rPr>
                <w:rFonts w:cs="宋体"/>
                <w:highlight w:val="none"/>
              </w:rPr>
            </w:pPr>
          </w:p>
        </w:tc>
      </w:tr>
      <w:tr w14:paraId="1E5E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FD3FA57">
            <w:pPr>
              <w:pStyle w:val="20"/>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01F58EEA">
            <w:pPr>
              <w:pStyle w:val="20"/>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636BAF33">
            <w:pPr>
              <w:pStyle w:val="20"/>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04D9CC15">
            <w:pPr>
              <w:pStyle w:val="20"/>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76BE2D0F">
            <w:pPr>
              <w:pStyle w:val="20"/>
              <w:widowControl w:val="0"/>
              <w:spacing w:before="0" w:beforeAutospacing="0" w:after="0" w:afterAutospacing="0"/>
              <w:ind w:firstLine="480" w:firstLineChars="200"/>
              <w:jc w:val="center"/>
              <w:rPr>
                <w:rFonts w:cs="宋体"/>
                <w:highlight w:val="none"/>
              </w:rPr>
            </w:pPr>
          </w:p>
        </w:tc>
      </w:tr>
      <w:tr w14:paraId="0750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2AD74E04">
            <w:pPr>
              <w:pStyle w:val="20"/>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249BC288">
            <w:pPr>
              <w:pStyle w:val="20"/>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1F19698E">
            <w:pPr>
              <w:pStyle w:val="20"/>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404531E3">
            <w:pPr>
              <w:pStyle w:val="20"/>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591F4B47">
            <w:pPr>
              <w:pStyle w:val="20"/>
              <w:widowControl w:val="0"/>
              <w:spacing w:before="0" w:beforeAutospacing="0" w:after="0" w:afterAutospacing="0"/>
              <w:ind w:firstLine="480" w:firstLineChars="200"/>
              <w:jc w:val="center"/>
              <w:rPr>
                <w:rFonts w:cs="宋体"/>
                <w:highlight w:val="none"/>
              </w:rPr>
            </w:pPr>
          </w:p>
        </w:tc>
      </w:tr>
      <w:tr w14:paraId="5FED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ECEC54B">
            <w:pPr>
              <w:pStyle w:val="20"/>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6A45AF72">
            <w:pPr>
              <w:pStyle w:val="20"/>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716EB1EC">
            <w:pPr>
              <w:pStyle w:val="20"/>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FD1F57A">
            <w:pPr>
              <w:pStyle w:val="20"/>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2EA4BE2E">
            <w:pPr>
              <w:pStyle w:val="20"/>
              <w:widowControl w:val="0"/>
              <w:spacing w:before="0" w:beforeAutospacing="0" w:after="0" w:afterAutospacing="0"/>
              <w:ind w:firstLine="480" w:firstLineChars="200"/>
              <w:jc w:val="center"/>
              <w:rPr>
                <w:rFonts w:cs="宋体"/>
                <w:highlight w:val="none"/>
              </w:rPr>
            </w:pPr>
          </w:p>
        </w:tc>
      </w:tr>
      <w:tr w14:paraId="41F8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5908759D">
            <w:pPr>
              <w:pStyle w:val="20"/>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0EF7B276">
            <w:pPr>
              <w:pStyle w:val="20"/>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71345795">
            <w:pPr>
              <w:pStyle w:val="20"/>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B36A59C">
            <w:pPr>
              <w:pStyle w:val="20"/>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4AF31FCE">
            <w:pPr>
              <w:pStyle w:val="20"/>
              <w:widowControl w:val="0"/>
              <w:spacing w:before="0" w:beforeAutospacing="0" w:after="0" w:afterAutospacing="0"/>
              <w:ind w:firstLine="480" w:firstLineChars="200"/>
              <w:jc w:val="center"/>
              <w:rPr>
                <w:rFonts w:cs="宋体"/>
                <w:highlight w:val="none"/>
              </w:rPr>
            </w:pPr>
          </w:p>
        </w:tc>
      </w:tr>
      <w:tr w14:paraId="2D70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0E739BCC">
            <w:pPr>
              <w:pStyle w:val="20"/>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493C59B3">
            <w:pPr>
              <w:pStyle w:val="20"/>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30671F76">
            <w:pPr>
              <w:pStyle w:val="20"/>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EB2555C">
            <w:pPr>
              <w:pStyle w:val="20"/>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1AE21012">
            <w:pPr>
              <w:pStyle w:val="20"/>
              <w:widowControl w:val="0"/>
              <w:spacing w:before="0" w:beforeAutospacing="0" w:after="0" w:afterAutospacing="0"/>
              <w:ind w:firstLine="480" w:firstLineChars="200"/>
              <w:jc w:val="center"/>
              <w:rPr>
                <w:rFonts w:cs="宋体"/>
                <w:highlight w:val="none"/>
              </w:rPr>
            </w:pPr>
          </w:p>
        </w:tc>
      </w:tr>
      <w:tr w14:paraId="42851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FDD3C0E">
            <w:pPr>
              <w:pStyle w:val="20"/>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66279517">
            <w:pPr>
              <w:pStyle w:val="20"/>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176D88A1">
            <w:pPr>
              <w:pStyle w:val="20"/>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0CBF99A">
            <w:pPr>
              <w:pStyle w:val="20"/>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4DC0127D">
            <w:pPr>
              <w:pStyle w:val="20"/>
              <w:widowControl w:val="0"/>
              <w:spacing w:before="0" w:beforeAutospacing="0" w:after="0" w:afterAutospacing="0"/>
              <w:ind w:firstLine="480" w:firstLineChars="200"/>
              <w:jc w:val="center"/>
              <w:rPr>
                <w:rFonts w:cs="宋体"/>
                <w:highlight w:val="none"/>
              </w:rPr>
            </w:pPr>
          </w:p>
        </w:tc>
      </w:tr>
    </w:tbl>
    <w:p w14:paraId="7041A222">
      <w:pPr>
        <w:pStyle w:val="20"/>
        <w:widowControl w:val="0"/>
        <w:spacing w:before="0" w:beforeAutospacing="0" w:after="0" w:afterAutospacing="0"/>
        <w:rPr>
          <w:rFonts w:cs="宋体"/>
          <w:highlight w:val="none"/>
        </w:rPr>
      </w:pPr>
      <w:r>
        <w:rPr>
          <w:rFonts w:hint="eastAsia" w:cs="宋体"/>
          <w:highlight w:val="none"/>
        </w:rPr>
        <w:t>说明：</w:t>
      </w:r>
    </w:p>
    <w:p w14:paraId="28081757">
      <w:pPr>
        <w:pStyle w:val="20"/>
        <w:widowControl w:val="0"/>
        <w:spacing w:before="0" w:beforeAutospacing="0" w:after="0" w:afterAutospacing="0" w:line="360" w:lineRule="auto"/>
        <w:ind w:firstLine="480" w:firstLineChars="200"/>
        <w:jc w:val="both"/>
        <w:rPr>
          <w:rFonts w:cs="宋体"/>
          <w:highlight w:val="none"/>
        </w:rPr>
      </w:pPr>
      <w:r>
        <w:rPr>
          <w:rFonts w:hint="eastAsia" w:cs="宋体"/>
          <w:highlight w:val="none"/>
        </w:rPr>
        <w:t>1.参照第</w:t>
      </w:r>
      <w:r>
        <w:rPr>
          <w:rFonts w:hint="eastAsia" w:cs="宋体"/>
          <w:highlight w:val="none"/>
          <w:lang w:val="en-US" w:eastAsia="zh-CN"/>
        </w:rPr>
        <w:t>四</w:t>
      </w:r>
      <w:r>
        <w:rPr>
          <w:rFonts w:hint="eastAsia" w:cs="宋体"/>
          <w:highlight w:val="none"/>
        </w:rPr>
        <w:t>章合同条款要求内容进行响应。</w:t>
      </w:r>
    </w:p>
    <w:p w14:paraId="0CA81D71">
      <w:pPr>
        <w:pStyle w:val="20"/>
        <w:widowControl w:val="0"/>
        <w:spacing w:before="0" w:beforeAutospacing="0" w:after="0" w:afterAutospacing="0" w:line="360" w:lineRule="auto"/>
        <w:ind w:firstLine="480" w:firstLineChars="200"/>
        <w:jc w:val="both"/>
        <w:rPr>
          <w:rFonts w:cs="宋体"/>
          <w:highlight w:val="none"/>
        </w:rPr>
      </w:pPr>
      <w:r>
        <w:rPr>
          <w:rFonts w:hint="eastAsia" w:cs="宋体"/>
          <w:highlight w:val="none"/>
        </w:rPr>
        <w:t>2.本表只填写磋商响应文件中与磋商文件有偏离（包括正偏离和负偏离）的内容，磋商响应文件中商务响应与磋商文件要求完全一致的，不用在此表中列出，但必须提交空白表。</w:t>
      </w:r>
    </w:p>
    <w:p w14:paraId="7DEBD551">
      <w:pPr>
        <w:pStyle w:val="20"/>
        <w:widowControl w:val="0"/>
        <w:spacing w:before="0" w:beforeAutospacing="0" w:after="0" w:afterAutospacing="0" w:line="360" w:lineRule="auto"/>
        <w:ind w:firstLine="480" w:firstLineChars="200"/>
        <w:rPr>
          <w:rFonts w:cs="宋体"/>
          <w:highlight w:val="none"/>
        </w:rPr>
      </w:pPr>
      <w:r>
        <w:rPr>
          <w:rFonts w:hint="eastAsia" w:cs="宋体"/>
          <w:highlight w:val="none"/>
          <w:lang w:val="en-US" w:eastAsia="zh-CN"/>
        </w:rPr>
        <w:t>3</w:t>
      </w:r>
      <w:r>
        <w:rPr>
          <w:rFonts w:hint="eastAsia" w:cs="宋体"/>
          <w:highlight w:val="none"/>
        </w:rPr>
        <w:t>.供应商必须据实填写，不得虚假响应，否则将取消其磋商或成交资格，并按有关规定进处罚。</w:t>
      </w:r>
    </w:p>
    <w:p w14:paraId="1D88A838">
      <w:pPr>
        <w:pStyle w:val="20"/>
        <w:widowControl w:val="0"/>
        <w:spacing w:before="0" w:beforeAutospacing="0" w:after="0" w:afterAutospacing="0"/>
        <w:ind w:firstLine="480" w:firstLineChars="200"/>
        <w:jc w:val="center"/>
        <w:rPr>
          <w:rFonts w:cs="宋体"/>
          <w:highlight w:val="none"/>
        </w:rPr>
      </w:pPr>
    </w:p>
    <w:p w14:paraId="2CDB77F6">
      <w:pPr>
        <w:pStyle w:val="20"/>
        <w:widowControl w:val="0"/>
        <w:spacing w:before="0" w:beforeAutospacing="0" w:after="0" w:afterAutospacing="0"/>
        <w:ind w:firstLine="480" w:firstLineChars="200"/>
        <w:rPr>
          <w:rFonts w:cs="宋体"/>
          <w:highlight w:val="none"/>
        </w:rPr>
      </w:pPr>
      <w:r>
        <w:rPr>
          <w:rFonts w:hint="eastAsia" w:cs="宋体"/>
          <w:highlight w:val="none"/>
        </w:rPr>
        <w:t>供应商名称：</w:t>
      </w:r>
      <w:r>
        <w:rPr>
          <w:rFonts w:hint="eastAsia" w:cs="宋体"/>
          <w:highlight w:val="none"/>
          <w:u w:val="single"/>
        </w:rPr>
        <w:t xml:space="preserve">                       </w:t>
      </w:r>
      <w:r>
        <w:rPr>
          <w:rFonts w:hint="eastAsia" w:cs="宋体"/>
          <w:highlight w:val="none"/>
        </w:rPr>
        <w:t>（单位公章）</w:t>
      </w:r>
    </w:p>
    <w:p w14:paraId="4765C2CE">
      <w:pPr>
        <w:pStyle w:val="20"/>
        <w:widowControl w:val="0"/>
        <w:spacing w:before="0" w:beforeAutospacing="0" w:after="0" w:afterAutospacing="0"/>
        <w:ind w:firstLine="480" w:firstLineChars="200"/>
        <w:jc w:val="center"/>
        <w:rPr>
          <w:rFonts w:cs="宋体"/>
          <w:highlight w:val="none"/>
        </w:rPr>
      </w:pPr>
    </w:p>
    <w:p w14:paraId="5F138E9F">
      <w:pPr>
        <w:spacing w:line="400" w:lineRule="exact"/>
        <w:ind w:firstLine="480" w:firstLineChars="200"/>
        <w:rPr>
          <w:rFonts w:hAnsi="宋体" w:cs="宋体"/>
          <w:szCs w:val="24"/>
          <w:highlight w:val="none"/>
        </w:rPr>
      </w:pPr>
      <w:r>
        <w:rPr>
          <w:rFonts w:hint="eastAsia" w:hAnsi="宋体" w:cs="宋体"/>
          <w:highlight w:val="none"/>
        </w:rPr>
        <w:t>法定代表人或委托代理人：</w:t>
      </w:r>
      <w:r>
        <w:rPr>
          <w:rFonts w:hint="eastAsia" w:hAnsi="宋体" w:cs="宋体"/>
          <w:highlight w:val="none"/>
          <w:u w:val="single"/>
        </w:rPr>
        <w:t xml:space="preserve">              </w:t>
      </w:r>
      <w:r>
        <w:rPr>
          <w:rFonts w:hint="eastAsia" w:hAnsi="宋体" w:cs="宋体"/>
          <w:highlight w:val="none"/>
        </w:rPr>
        <w:t>（签字</w:t>
      </w:r>
      <w:r>
        <w:rPr>
          <w:rFonts w:hint="eastAsia" w:hAnsi="宋体" w:cs="宋体"/>
          <w:highlight w:val="none"/>
          <w:lang w:val="en-US" w:eastAsia="zh-CN"/>
        </w:rPr>
        <w:t>或盖章</w:t>
      </w:r>
      <w:r>
        <w:rPr>
          <w:rFonts w:hint="eastAsia" w:hAnsi="宋体" w:cs="宋体"/>
          <w:highlight w:val="none"/>
        </w:rPr>
        <w:t xml:space="preserve">） </w:t>
      </w:r>
    </w:p>
    <w:p w14:paraId="2821E4D7">
      <w:pPr>
        <w:spacing w:line="360" w:lineRule="auto"/>
        <w:ind w:left="600" w:leftChars="250"/>
        <w:rPr>
          <w:rFonts w:hAnsi="宋体" w:cs="宋体"/>
          <w:b/>
          <w:bCs/>
          <w:sz w:val="28"/>
          <w:szCs w:val="28"/>
          <w:highlight w:val="none"/>
        </w:rPr>
      </w:pPr>
    </w:p>
    <w:p w14:paraId="36B2374F">
      <w:pPr>
        <w:spacing w:line="440" w:lineRule="exact"/>
        <w:ind w:left="3725" w:leftChars="1552"/>
        <w:rPr>
          <w:rFonts w:hAnsi="宋体" w:cs="宋体"/>
          <w:szCs w:val="24"/>
          <w:highlight w:val="none"/>
        </w:rPr>
      </w:pPr>
    </w:p>
    <w:p w14:paraId="713FF89E">
      <w:pPr>
        <w:spacing w:line="440" w:lineRule="exact"/>
        <w:ind w:left="3725" w:leftChars="1552"/>
        <w:rPr>
          <w:rFonts w:hAnsi="宋体" w:cs="宋体"/>
          <w:szCs w:val="24"/>
          <w:highlight w:val="none"/>
        </w:rPr>
      </w:pPr>
    </w:p>
    <w:bookmarkEnd w:id="136"/>
    <w:p w14:paraId="5E7046F9">
      <w:pPr>
        <w:spacing w:line="360" w:lineRule="auto"/>
        <w:jc w:val="center"/>
        <w:outlineLvl w:val="1"/>
        <w:rPr>
          <w:rFonts w:hAnsi="宋体" w:cs="宋体"/>
          <w:b/>
          <w:bCs/>
          <w:sz w:val="30"/>
          <w:szCs w:val="30"/>
          <w:highlight w:val="none"/>
        </w:rPr>
      </w:pPr>
      <w:bookmarkStart w:id="150" w:name="_Toc363474033"/>
      <w:bookmarkStart w:id="151" w:name="_Toc403077656"/>
      <w:r>
        <w:rPr>
          <w:rFonts w:hint="eastAsia" w:hAnsi="宋体" w:cs="宋体"/>
          <w:b/>
          <w:bCs/>
          <w:sz w:val="30"/>
          <w:szCs w:val="30"/>
          <w:highlight w:val="none"/>
        </w:rPr>
        <w:br w:type="page"/>
      </w:r>
      <w:bookmarkStart w:id="152" w:name="_Toc1542"/>
      <w:bookmarkStart w:id="153" w:name="_Toc3386"/>
      <w:bookmarkStart w:id="154" w:name="_Toc27470"/>
      <w:bookmarkStart w:id="155" w:name="_Toc3253"/>
      <w:r>
        <w:rPr>
          <w:rFonts w:hint="eastAsia" w:hAnsi="宋体" w:cs="宋体"/>
          <w:b/>
          <w:bCs/>
          <w:sz w:val="30"/>
          <w:szCs w:val="30"/>
          <w:highlight w:val="none"/>
        </w:rPr>
        <w:t>五、陕西省政府采购供应商拒绝政府采购领域商业贿赂承诺书</w:t>
      </w:r>
      <w:bookmarkEnd w:id="150"/>
      <w:bookmarkEnd w:id="151"/>
      <w:bookmarkEnd w:id="152"/>
      <w:bookmarkEnd w:id="153"/>
      <w:bookmarkEnd w:id="154"/>
      <w:bookmarkEnd w:id="155"/>
    </w:p>
    <w:p w14:paraId="6326907E">
      <w:pPr>
        <w:spacing w:line="600" w:lineRule="exact"/>
        <w:ind w:firstLine="480" w:firstLineChars="200"/>
        <w:jc w:val="left"/>
        <w:rPr>
          <w:rFonts w:hAnsi="宋体" w:cs="宋体"/>
          <w:szCs w:val="24"/>
          <w:highlight w:val="none"/>
        </w:rPr>
      </w:pPr>
      <w:r>
        <w:rPr>
          <w:rFonts w:hint="eastAsia" w:hAnsi="宋体" w:cs="宋体"/>
          <w:szCs w:val="24"/>
          <w:highlight w:val="none"/>
        </w:rPr>
        <w:t>为响应党中央、国务院关于治理政府采购领域商业贿赂行为的号召，我公司在此庄严承诺：</w:t>
      </w:r>
    </w:p>
    <w:p w14:paraId="7244072A">
      <w:pPr>
        <w:spacing w:line="600" w:lineRule="exact"/>
        <w:ind w:firstLine="480" w:firstLineChars="200"/>
        <w:jc w:val="left"/>
        <w:rPr>
          <w:rFonts w:hAnsi="宋体" w:cs="宋体"/>
          <w:szCs w:val="24"/>
          <w:highlight w:val="none"/>
        </w:rPr>
      </w:pPr>
      <w:r>
        <w:rPr>
          <w:rFonts w:hint="eastAsia" w:hAnsi="宋体" w:cs="宋体"/>
          <w:szCs w:val="24"/>
          <w:highlight w:val="none"/>
        </w:rPr>
        <w:t>1、在参与政府采购活动中遵纪守法、诚信经营、公平竞标。</w:t>
      </w:r>
    </w:p>
    <w:p w14:paraId="469AD287">
      <w:pPr>
        <w:spacing w:line="600" w:lineRule="exact"/>
        <w:ind w:firstLine="480" w:firstLineChars="200"/>
        <w:jc w:val="left"/>
        <w:rPr>
          <w:rFonts w:hAnsi="宋体" w:cs="宋体"/>
          <w:szCs w:val="24"/>
          <w:highlight w:val="none"/>
        </w:rPr>
      </w:pPr>
      <w:r>
        <w:rPr>
          <w:rFonts w:hint="eastAsia" w:hAnsi="宋体" w:cs="宋体"/>
          <w:szCs w:val="24"/>
          <w:highlight w:val="none"/>
        </w:rPr>
        <w:t>2、不向政府采购人、采购代理机构和政府采购评审专家进行任何形式的商业贿赂以谋取交易机会。</w:t>
      </w:r>
    </w:p>
    <w:p w14:paraId="42E9B713">
      <w:pPr>
        <w:spacing w:line="600" w:lineRule="exact"/>
        <w:ind w:firstLine="480" w:firstLineChars="200"/>
        <w:jc w:val="left"/>
        <w:rPr>
          <w:rFonts w:hAnsi="宋体" w:cs="宋体"/>
          <w:szCs w:val="24"/>
          <w:highlight w:val="none"/>
        </w:rPr>
      </w:pPr>
      <w:r>
        <w:rPr>
          <w:rFonts w:hint="eastAsia" w:hAnsi="宋体" w:cs="宋体"/>
          <w:szCs w:val="24"/>
          <w:highlight w:val="none"/>
        </w:rPr>
        <w:t>3、不向政府采购代理机构和采购人提供虚假资质文件或采用虚假应标方式参与政府采购市场竞争并谋取中标、成交。</w:t>
      </w:r>
    </w:p>
    <w:p w14:paraId="2EEE42A1">
      <w:pPr>
        <w:spacing w:line="600" w:lineRule="exact"/>
        <w:ind w:firstLine="480" w:firstLineChars="200"/>
        <w:jc w:val="left"/>
        <w:rPr>
          <w:rFonts w:hAnsi="宋体" w:cs="宋体"/>
          <w:szCs w:val="24"/>
          <w:highlight w:val="none"/>
        </w:rPr>
      </w:pPr>
      <w:r>
        <w:rPr>
          <w:rFonts w:hint="eastAsia" w:hAnsi="宋体" w:cs="宋体"/>
          <w:szCs w:val="24"/>
          <w:highlight w:val="none"/>
        </w:rPr>
        <w:t>4、不采取“围标、陪标”等商业欺诈手段获得政府采购定单。</w:t>
      </w:r>
    </w:p>
    <w:p w14:paraId="265C787A">
      <w:pPr>
        <w:spacing w:line="600" w:lineRule="exact"/>
        <w:ind w:firstLine="480" w:firstLineChars="200"/>
        <w:jc w:val="left"/>
        <w:rPr>
          <w:rFonts w:hAnsi="宋体" w:cs="宋体"/>
          <w:szCs w:val="24"/>
          <w:highlight w:val="none"/>
        </w:rPr>
      </w:pPr>
      <w:r>
        <w:rPr>
          <w:rFonts w:hint="eastAsia" w:hAnsi="宋体" w:cs="宋体"/>
          <w:szCs w:val="24"/>
          <w:highlight w:val="none"/>
        </w:rPr>
        <w:t>5、不采取不正当手段诋毁、排挤其他供应商。</w:t>
      </w:r>
    </w:p>
    <w:p w14:paraId="401010AB">
      <w:pPr>
        <w:spacing w:line="600" w:lineRule="exact"/>
        <w:ind w:firstLine="480" w:firstLineChars="200"/>
        <w:jc w:val="left"/>
        <w:rPr>
          <w:rFonts w:hAnsi="宋体" w:cs="宋体"/>
          <w:szCs w:val="24"/>
          <w:highlight w:val="none"/>
        </w:rPr>
      </w:pPr>
      <w:r>
        <w:rPr>
          <w:rFonts w:hint="eastAsia" w:hAnsi="宋体" w:cs="宋体"/>
          <w:szCs w:val="24"/>
          <w:highlight w:val="none"/>
        </w:rPr>
        <w:t>6、不在提供商品和服务时“偷梁换柱、以次充好”损害采购人的合法权益。</w:t>
      </w:r>
    </w:p>
    <w:p w14:paraId="00ECFA9F">
      <w:pPr>
        <w:spacing w:line="600" w:lineRule="exact"/>
        <w:ind w:firstLine="480" w:firstLineChars="200"/>
        <w:jc w:val="left"/>
        <w:rPr>
          <w:rFonts w:hAnsi="宋体" w:cs="宋体"/>
          <w:szCs w:val="24"/>
          <w:highlight w:val="none"/>
        </w:rPr>
      </w:pPr>
      <w:r>
        <w:rPr>
          <w:rFonts w:hint="eastAsia" w:hAnsi="宋体" w:cs="宋体"/>
          <w:szCs w:val="24"/>
          <w:highlight w:val="none"/>
        </w:rPr>
        <w:t>7、不与采购人、采购代理机构政府采购评审专家或其它供应商恶意串通，进行质疑和投诉，维护政府采购市场秩序。</w:t>
      </w:r>
    </w:p>
    <w:p w14:paraId="339E1693">
      <w:pPr>
        <w:spacing w:line="600" w:lineRule="exact"/>
        <w:ind w:firstLine="480" w:firstLineChars="200"/>
        <w:jc w:val="left"/>
        <w:rPr>
          <w:rFonts w:hAnsi="宋体" w:cs="宋体"/>
          <w:szCs w:val="24"/>
          <w:highlight w:val="none"/>
        </w:rPr>
      </w:pPr>
      <w:r>
        <w:rPr>
          <w:rFonts w:hint="eastAsia" w:hAnsi="宋体" w:cs="宋体"/>
          <w:szCs w:val="24"/>
          <w:highlight w:val="none"/>
        </w:rPr>
        <w:t>8、尊重和接受政府采购监督管理部门的监督和政府采购代理机构招标采购要求，承担因违约行为给采购人造成的损失。</w:t>
      </w:r>
    </w:p>
    <w:p w14:paraId="0ED7E7BC">
      <w:pPr>
        <w:spacing w:line="600" w:lineRule="exact"/>
        <w:ind w:left="761" w:leftChars="267" w:hanging="120" w:hangingChars="50"/>
        <w:jc w:val="left"/>
        <w:rPr>
          <w:rFonts w:hAnsi="宋体" w:cs="宋体"/>
          <w:szCs w:val="24"/>
          <w:highlight w:val="none"/>
        </w:rPr>
      </w:pPr>
      <w:r>
        <w:rPr>
          <w:rFonts w:hint="eastAsia" w:hAnsi="宋体" w:cs="宋体"/>
          <w:szCs w:val="24"/>
          <w:highlight w:val="none"/>
        </w:rPr>
        <w:t>9、不发生其他有悖于政府采购公开、公平、公正和诚信原则的行为。</w:t>
      </w:r>
    </w:p>
    <w:p w14:paraId="0B22357F">
      <w:pPr>
        <w:spacing w:line="600" w:lineRule="exact"/>
        <w:ind w:firstLine="720" w:firstLineChars="300"/>
        <w:jc w:val="left"/>
        <w:rPr>
          <w:rFonts w:hAnsi="宋体" w:cs="宋体"/>
          <w:szCs w:val="24"/>
          <w:highlight w:val="none"/>
        </w:rPr>
      </w:pPr>
      <w:r>
        <w:rPr>
          <w:rFonts w:hint="eastAsia" w:hAnsi="宋体" w:cs="宋体"/>
          <w:szCs w:val="24"/>
          <w:highlight w:val="none"/>
        </w:rPr>
        <w:t>承诺单位（盖章）：</w:t>
      </w:r>
    </w:p>
    <w:p w14:paraId="5057B72B">
      <w:pPr>
        <w:spacing w:line="600" w:lineRule="exact"/>
        <w:ind w:firstLine="720" w:firstLineChars="300"/>
        <w:jc w:val="left"/>
        <w:rPr>
          <w:rFonts w:hAnsi="宋体" w:cs="宋体"/>
          <w:szCs w:val="24"/>
          <w:highlight w:val="none"/>
        </w:rPr>
      </w:pPr>
      <w:r>
        <w:rPr>
          <w:rFonts w:hint="eastAsia" w:hAnsi="宋体" w:cs="宋体"/>
          <w:szCs w:val="24"/>
          <w:highlight w:val="none"/>
        </w:rPr>
        <w:t>全权代表（签字）：</w:t>
      </w:r>
    </w:p>
    <w:p w14:paraId="751C118A">
      <w:pPr>
        <w:spacing w:line="600" w:lineRule="exact"/>
        <w:ind w:firstLine="720" w:firstLineChars="300"/>
        <w:rPr>
          <w:rFonts w:hAnsi="宋体" w:cs="宋体"/>
          <w:szCs w:val="24"/>
          <w:highlight w:val="none"/>
        </w:rPr>
      </w:pPr>
      <w:r>
        <w:rPr>
          <w:rFonts w:hint="eastAsia" w:hAnsi="宋体" w:cs="宋体"/>
          <w:szCs w:val="24"/>
          <w:highlight w:val="none"/>
        </w:rPr>
        <w:t xml:space="preserve">地    址：                                                       </w:t>
      </w:r>
    </w:p>
    <w:p w14:paraId="204EE20E">
      <w:pPr>
        <w:spacing w:line="600" w:lineRule="exact"/>
        <w:ind w:firstLine="720" w:firstLineChars="300"/>
        <w:rPr>
          <w:rFonts w:hAnsi="宋体" w:cs="宋体"/>
          <w:szCs w:val="24"/>
          <w:highlight w:val="none"/>
        </w:rPr>
      </w:pPr>
      <w:r>
        <w:rPr>
          <w:rFonts w:hint="eastAsia" w:hAnsi="宋体" w:cs="宋体"/>
          <w:szCs w:val="24"/>
          <w:highlight w:val="none"/>
        </w:rPr>
        <w:t xml:space="preserve">邮    编：                                                       </w:t>
      </w:r>
    </w:p>
    <w:p w14:paraId="53F0079A">
      <w:pPr>
        <w:spacing w:line="600" w:lineRule="exact"/>
        <w:ind w:left="240" w:leftChars="100" w:firstLine="480" w:firstLineChars="200"/>
        <w:rPr>
          <w:rFonts w:hAnsi="宋体" w:cs="宋体"/>
          <w:szCs w:val="24"/>
          <w:highlight w:val="none"/>
        </w:rPr>
      </w:pPr>
      <w:r>
        <w:rPr>
          <w:rFonts w:hint="eastAsia" w:hAnsi="宋体" w:cs="宋体"/>
          <w:szCs w:val="24"/>
          <w:highlight w:val="none"/>
        </w:rPr>
        <w:t xml:space="preserve">电    话：                                                       </w:t>
      </w:r>
    </w:p>
    <w:p w14:paraId="797C76E1">
      <w:pPr>
        <w:spacing w:line="600" w:lineRule="exact"/>
        <w:ind w:left="754" w:leftChars="314" w:firstLine="5280" w:firstLineChars="2200"/>
        <w:jc w:val="left"/>
        <w:rPr>
          <w:rFonts w:hAnsi="宋体" w:cs="宋体"/>
          <w:szCs w:val="24"/>
          <w:highlight w:val="none"/>
        </w:rPr>
      </w:pPr>
      <w:r>
        <w:rPr>
          <w:rFonts w:hint="eastAsia" w:hAnsi="宋体" w:cs="宋体"/>
          <w:szCs w:val="24"/>
          <w:highlight w:val="none"/>
        </w:rPr>
        <w:t>年    月    日</w:t>
      </w:r>
    </w:p>
    <w:p w14:paraId="19E69939">
      <w:pPr>
        <w:jc w:val="center"/>
        <w:outlineLvl w:val="1"/>
        <w:rPr>
          <w:rFonts w:hAnsi="宋体" w:cs="宋体"/>
          <w:highlight w:val="none"/>
          <w:shd w:val="clear" w:color="auto" w:fill="FFFFFF"/>
        </w:rPr>
      </w:pPr>
      <w:bookmarkStart w:id="156" w:name="_Toc363474034"/>
      <w:bookmarkStart w:id="157" w:name="_Toc403077657"/>
      <w:r>
        <w:rPr>
          <w:rFonts w:hint="eastAsia" w:hAnsi="宋体" w:cs="宋体"/>
          <w:b/>
          <w:bCs/>
          <w:sz w:val="30"/>
          <w:szCs w:val="30"/>
          <w:highlight w:val="none"/>
        </w:rPr>
        <w:br w:type="page"/>
      </w:r>
      <w:bookmarkStart w:id="158" w:name="_Toc32016"/>
      <w:bookmarkStart w:id="159" w:name="_Toc29285"/>
      <w:bookmarkStart w:id="160" w:name="_Toc7842"/>
      <w:bookmarkStart w:id="161" w:name="_Toc6273"/>
      <w:r>
        <w:rPr>
          <w:rFonts w:hint="eastAsia" w:hAnsi="宋体" w:cs="宋体"/>
          <w:b/>
          <w:bCs/>
          <w:sz w:val="30"/>
          <w:szCs w:val="30"/>
          <w:highlight w:val="none"/>
        </w:rPr>
        <w:t>六、特定资格证明文件</w:t>
      </w:r>
      <w:bookmarkEnd w:id="156"/>
      <w:bookmarkEnd w:id="157"/>
      <w:bookmarkEnd w:id="158"/>
      <w:bookmarkEnd w:id="159"/>
      <w:bookmarkEnd w:id="160"/>
      <w:bookmarkEnd w:id="161"/>
    </w:p>
    <w:p w14:paraId="3FC3AD84">
      <w:pPr>
        <w:spacing w:line="560" w:lineRule="exact"/>
        <w:rPr>
          <w:rFonts w:hAnsi="宋体" w:cs="宋体"/>
          <w:b/>
          <w:bCs/>
          <w:sz w:val="28"/>
          <w:szCs w:val="28"/>
          <w:highlight w:val="none"/>
        </w:rPr>
      </w:pPr>
      <w:r>
        <w:rPr>
          <w:rFonts w:hint="eastAsia" w:hAnsi="宋体" w:cs="宋体"/>
          <w:b/>
          <w:bCs/>
          <w:sz w:val="28"/>
          <w:szCs w:val="28"/>
          <w:highlight w:val="none"/>
        </w:rPr>
        <w:t>后附相关格式：</w:t>
      </w:r>
    </w:p>
    <w:p w14:paraId="2CD0BA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（1）具有独立承担民事责任能力的法人、其他组织或自然人，并出具合法有效的统一社会信用代码的营业执照或事业单位法人证书 等国家规定的相关证明，自然人参与的提供其身份证明； </w:t>
      </w:r>
    </w:p>
    <w:p w14:paraId="710156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（2）提供法定代表人授权书（附法定代表人、被授权人身份证复印件），法定代表人直接参加磋商，须提供法定代表人身份证明（ 附法定代表人身份证复印件）； </w:t>
      </w:r>
    </w:p>
    <w:p w14:paraId="027936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hAnsi="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（3）财务状况报告：提供</w:t>
      </w:r>
      <w:r>
        <w:rPr>
          <w:rFonts w:hint="eastAsia" w:hAnsi="宋体" w:cs="宋体"/>
          <w:i w:val="0"/>
          <w:iCs w:val="0"/>
          <w:caps w:val="0"/>
          <w:color w:val="333333"/>
          <w:spacing w:val="0"/>
          <w:kern w:val="0"/>
          <w:sz w:val="24"/>
          <w:szCs w:val="24"/>
          <w:highlight w:val="none"/>
          <w:shd w:val="clear" w:fill="FFFFFF"/>
          <w:vertAlign w:val="baseline"/>
          <w:lang w:val="en-US" w:eastAsia="zh-CN" w:bidi="ar-SA"/>
        </w:rPr>
        <w:t>2024年度</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的财务审计报告（成立时间至提交响应文件截止时间不足一年的可提供成立后任意时段的资产负债表），或开标时间前六个月内银行出具的资信证明； </w:t>
      </w:r>
      <w:r>
        <w:rPr>
          <w:rFonts w:hint="eastAsia" w:hAnsi="宋体" w:cs="宋体"/>
          <w:i w:val="0"/>
          <w:iCs w:val="0"/>
          <w:caps w:val="0"/>
          <w:color w:val="333333"/>
          <w:spacing w:val="0"/>
          <w:kern w:val="0"/>
          <w:sz w:val="24"/>
          <w:szCs w:val="24"/>
          <w:highlight w:val="none"/>
          <w:shd w:val="clear" w:fill="FFFFFF"/>
          <w:vertAlign w:val="baseline"/>
          <w:lang w:val="en-US" w:eastAsia="zh-CN" w:bidi="ar-SA"/>
        </w:rPr>
        <w:t xml:space="preserve"> </w:t>
      </w:r>
    </w:p>
    <w:p w14:paraId="076B6E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（4）</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税收缴纳证明：提供响应文件截止日前一年内已缴纳的至少一个月的纳税证明或完税证明（任意税种），依法免税的单位应提供相关证明材料</w:t>
      </w:r>
      <w:r>
        <w:rPr>
          <w:rFonts w:hint="eastAsia" w:hAnsi="宋体" w:cs="宋体"/>
          <w:i w:val="0"/>
          <w:iCs w:val="0"/>
          <w:caps w:val="0"/>
          <w:color w:val="333333"/>
          <w:spacing w:val="0"/>
          <w:kern w:val="0"/>
          <w:sz w:val="24"/>
          <w:szCs w:val="24"/>
          <w:highlight w:val="none"/>
          <w:shd w:val="clear" w:fill="FFFFFF"/>
          <w:vertAlign w:val="baseline"/>
          <w:lang w:val="en-US" w:eastAsia="zh-CN" w:bidi="ar-SA"/>
        </w:rPr>
        <w:t>；</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 </w:t>
      </w:r>
    </w:p>
    <w:p w14:paraId="395915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5）社会保障资金缴纳证明：提供响应文件截止日前一年内已缴存的至少一个月的社会保障资金缴存单据或社保机构开具的社会保险参保缴费情况证明，依法不需要缴纳社会保障资金的单位应提供相关证明材料； </w:t>
      </w:r>
    </w:p>
    <w:p w14:paraId="0DF1FB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6</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）提供具有履行本合同所必需的设备和专业技术能力的说明及承诺书； </w:t>
      </w:r>
    </w:p>
    <w:p w14:paraId="735442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7</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）供应商应通过</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信用中国</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网站</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(www.creditchina.gov.cn)</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、中国政府采购网</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(www.ccgp.gov.cn)</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查询相关主体信用记录； </w:t>
      </w:r>
    </w:p>
    <w:p w14:paraId="2467DB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8</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）参加政府采购活动前</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3</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年内，在经营活动中没有重大违法记录的书面声明； </w:t>
      </w:r>
    </w:p>
    <w:p w14:paraId="58B9BC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9</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供应商为生产厂家的须提供《食品生产许可证》，供应商为代理商的须提供《食品经营许可证》；</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 </w:t>
      </w:r>
    </w:p>
    <w:p w14:paraId="5F0AE0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10</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）本项目不接受联合体磋商（提供承诺书）。 </w:t>
      </w:r>
    </w:p>
    <w:p w14:paraId="533DB81B">
      <w:pPr>
        <w:jc w:val="center"/>
        <w:outlineLvl w:val="1"/>
        <w:rPr>
          <w:rFonts w:hAnsi="宋体" w:cs="宋体"/>
          <w:b/>
          <w:bCs/>
          <w:sz w:val="30"/>
          <w:szCs w:val="30"/>
          <w:highlight w:val="none"/>
        </w:rPr>
      </w:pPr>
      <w:r>
        <w:rPr>
          <w:rFonts w:hint="eastAsia" w:hAnsi="宋体" w:cs="宋体"/>
          <w:szCs w:val="24"/>
          <w:highlight w:val="none"/>
        </w:rPr>
        <w:br w:type="page"/>
      </w:r>
      <w:bookmarkStart w:id="162" w:name="_Toc6853"/>
      <w:bookmarkStart w:id="163" w:name="_Toc23859"/>
      <w:bookmarkStart w:id="164" w:name="_Toc19114"/>
      <w:bookmarkStart w:id="165" w:name="_Toc12717"/>
      <w:r>
        <w:rPr>
          <w:rFonts w:hint="eastAsia" w:hAnsi="宋体" w:cs="宋体"/>
          <w:b/>
          <w:bCs/>
          <w:sz w:val="30"/>
          <w:szCs w:val="30"/>
          <w:highlight w:val="none"/>
        </w:rPr>
        <w:t>七、其它</w:t>
      </w:r>
      <w:bookmarkEnd w:id="162"/>
      <w:bookmarkEnd w:id="163"/>
      <w:bookmarkEnd w:id="164"/>
      <w:bookmarkEnd w:id="165"/>
    </w:p>
    <w:p w14:paraId="14CAF258">
      <w:pPr>
        <w:pStyle w:val="10"/>
        <w:rPr>
          <w:rFonts w:ascii="宋体" w:hAnsi="宋体" w:cs="宋体"/>
          <w:sz w:val="24"/>
          <w:szCs w:val="24"/>
          <w:highlight w:val="none"/>
        </w:rPr>
      </w:pPr>
      <w:r>
        <w:rPr>
          <w:rFonts w:hint="eastAsia" w:ascii="宋体" w:hAnsi="宋体" w:cs="宋体"/>
          <w:sz w:val="24"/>
          <w:szCs w:val="24"/>
          <w:highlight w:val="none"/>
        </w:rPr>
        <w:t>1、依据竞争性磋商文件要求，供应商认为有必要说明的其他内容</w:t>
      </w:r>
    </w:p>
    <w:p w14:paraId="2D8513DF">
      <w:pPr>
        <w:pStyle w:val="10"/>
        <w:rPr>
          <w:rFonts w:ascii="宋体" w:hAnsi="宋体" w:cs="宋体"/>
          <w:sz w:val="24"/>
          <w:szCs w:val="24"/>
          <w:highlight w:val="none"/>
        </w:rPr>
      </w:pPr>
      <w:r>
        <w:rPr>
          <w:rFonts w:hint="eastAsia" w:ascii="宋体" w:hAnsi="宋体" w:cs="宋体"/>
          <w:sz w:val="24"/>
          <w:szCs w:val="24"/>
          <w:highlight w:val="none"/>
        </w:rPr>
        <w:t>2、其他可以证明供应商实力的文件。</w:t>
      </w:r>
    </w:p>
    <w:p w14:paraId="38000DFA">
      <w:pPr>
        <w:spacing w:before="156" w:beforeLines="50" w:after="156" w:afterLines="50" w:line="500" w:lineRule="exact"/>
        <w:outlineLvl w:val="2"/>
        <w:rPr>
          <w:rFonts w:hAnsi="宋体" w:cs="宋体"/>
          <w:b/>
          <w:sz w:val="28"/>
          <w:szCs w:val="28"/>
          <w:highlight w:val="none"/>
        </w:rPr>
      </w:pPr>
      <w:r>
        <w:rPr>
          <w:rFonts w:hint="eastAsia" w:hAnsi="宋体" w:cs="宋体"/>
          <w:szCs w:val="24"/>
          <w:highlight w:val="none"/>
        </w:rPr>
        <w:br w:type="page"/>
      </w:r>
      <w:bookmarkStart w:id="166" w:name="_Toc6055"/>
      <w:bookmarkStart w:id="167" w:name="_Toc17513"/>
      <w:bookmarkStart w:id="168" w:name="_Toc29387"/>
      <w:r>
        <w:rPr>
          <w:rFonts w:hint="eastAsia" w:hAnsi="宋体" w:cs="宋体"/>
          <w:b/>
          <w:sz w:val="28"/>
          <w:szCs w:val="28"/>
          <w:highlight w:val="none"/>
        </w:rPr>
        <w:t>附件1：法定代表人身份证明授权书</w:t>
      </w:r>
      <w:bookmarkEnd w:id="166"/>
      <w:bookmarkEnd w:id="167"/>
      <w:bookmarkEnd w:id="168"/>
    </w:p>
    <w:p w14:paraId="37461182">
      <w:pPr>
        <w:rPr>
          <w:rFonts w:hAnsi="宋体" w:cs="宋体"/>
          <w:b/>
          <w:bCs/>
          <w:szCs w:val="32"/>
          <w:highlight w:val="none"/>
        </w:rPr>
      </w:pPr>
      <w:r>
        <w:rPr>
          <w:rFonts w:hint="eastAsia" w:hAnsi="宋体" w:cs="宋体"/>
          <w:highlight w:val="none"/>
        </w:rPr>
        <w:t xml:space="preserve">      </w:t>
      </w:r>
      <w:r>
        <w:rPr>
          <w:rFonts w:hint="eastAsia" w:hAnsi="宋体" w:cs="宋体"/>
          <w:szCs w:val="32"/>
          <w:highlight w:val="none"/>
        </w:rPr>
        <w:t xml:space="preserve"> </w:t>
      </w:r>
    </w:p>
    <w:p w14:paraId="0FF3F286">
      <w:pPr>
        <w:pStyle w:val="10"/>
        <w:jc w:val="center"/>
        <w:rPr>
          <w:rFonts w:ascii="宋体" w:hAnsi="宋体" w:cs="宋体"/>
          <w:b/>
          <w:bCs/>
          <w:sz w:val="32"/>
          <w:szCs w:val="32"/>
          <w:highlight w:val="none"/>
        </w:rPr>
      </w:pPr>
      <w:r>
        <w:rPr>
          <w:rFonts w:hint="eastAsia" w:ascii="宋体" w:hAnsi="宋体" w:cs="宋体"/>
          <w:b/>
          <w:bCs/>
          <w:sz w:val="32"/>
          <w:szCs w:val="32"/>
          <w:highlight w:val="none"/>
        </w:rPr>
        <w:t>法定代表人身份证明</w:t>
      </w:r>
    </w:p>
    <w:p w14:paraId="0EBA723D">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供应商名称：</w:t>
      </w:r>
      <w:r>
        <w:rPr>
          <w:rFonts w:hint="eastAsia" w:hAnsi="宋体" w:cs="宋体"/>
          <w:highlight w:val="none"/>
          <w:u w:val="single"/>
        </w:rPr>
        <w:t xml:space="preserve">                  </w:t>
      </w:r>
      <w:r>
        <w:rPr>
          <w:rFonts w:hint="eastAsia" w:hAnsi="宋体" w:cs="宋体"/>
          <w:highlight w:val="none"/>
        </w:rPr>
        <w:t xml:space="preserve"> </w:t>
      </w:r>
    </w:p>
    <w:p w14:paraId="3BD08907">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统一社会信用代码：</w:t>
      </w:r>
      <w:r>
        <w:rPr>
          <w:rFonts w:hint="eastAsia" w:hAnsi="宋体" w:cs="宋体"/>
          <w:highlight w:val="none"/>
          <w:u w:val="single"/>
        </w:rPr>
        <w:t xml:space="preserve">                </w:t>
      </w:r>
    </w:p>
    <w:p w14:paraId="40D2E371">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注册地址：</w:t>
      </w:r>
      <w:r>
        <w:rPr>
          <w:rFonts w:hint="eastAsia" w:hAnsi="宋体" w:cs="宋体"/>
          <w:highlight w:val="none"/>
          <w:u w:val="single"/>
        </w:rPr>
        <w:t xml:space="preserve">                        </w:t>
      </w:r>
    </w:p>
    <w:p w14:paraId="29982FF1">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成立时间：</w:t>
      </w:r>
      <w:r>
        <w:rPr>
          <w:rFonts w:hint="eastAsia" w:hAnsi="宋体" w:cs="宋体"/>
          <w:highlight w:val="none"/>
          <w:u w:val="single"/>
        </w:rPr>
        <w:t xml:space="preserve">    </w:t>
      </w:r>
      <w:r>
        <w:rPr>
          <w:rFonts w:hint="eastAsia" w:hAnsi="宋体" w:cs="宋体"/>
          <w:highlight w:val="none"/>
        </w:rPr>
        <w:t xml:space="preserve">年 </w:t>
      </w:r>
      <w:r>
        <w:rPr>
          <w:rFonts w:hint="eastAsia" w:hAnsi="宋体" w:cs="宋体"/>
          <w:highlight w:val="none"/>
          <w:u w:val="single"/>
        </w:rPr>
        <w:t xml:space="preserve">  </w:t>
      </w:r>
      <w:r>
        <w:rPr>
          <w:rFonts w:hint="eastAsia" w:hAnsi="宋体" w:cs="宋体"/>
          <w:highlight w:val="none"/>
        </w:rPr>
        <w:t>月</w:t>
      </w:r>
      <w:r>
        <w:rPr>
          <w:rFonts w:hint="eastAsia" w:hAnsi="宋体" w:cs="宋体"/>
          <w:highlight w:val="none"/>
          <w:u w:val="single"/>
        </w:rPr>
        <w:t xml:space="preserve">  </w:t>
      </w:r>
      <w:r>
        <w:rPr>
          <w:rFonts w:hint="eastAsia" w:hAnsi="宋体" w:cs="宋体"/>
          <w:highlight w:val="none"/>
        </w:rPr>
        <w:t>日</w:t>
      </w:r>
    </w:p>
    <w:p w14:paraId="6444A754">
      <w:pPr>
        <w:autoSpaceDE w:val="0"/>
        <w:autoSpaceDN w:val="0"/>
        <w:adjustRightInd w:val="0"/>
        <w:snapToGrid w:val="0"/>
        <w:spacing w:before="156" w:beforeLines="50" w:line="360" w:lineRule="auto"/>
        <w:jc w:val="left"/>
        <w:rPr>
          <w:rFonts w:hAnsi="宋体" w:cs="宋体"/>
          <w:highlight w:val="none"/>
          <w:u w:val="single"/>
        </w:rPr>
      </w:pPr>
      <w:r>
        <w:rPr>
          <w:rFonts w:hint="eastAsia" w:hAnsi="宋体" w:cs="宋体"/>
          <w:highlight w:val="none"/>
        </w:rPr>
        <w:t>经营期限：</w:t>
      </w:r>
      <w:r>
        <w:rPr>
          <w:rFonts w:hint="eastAsia" w:hAnsi="宋体" w:cs="宋体"/>
          <w:highlight w:val="none"/>
          <w:u w:val="single"/>
        </w:rPr>
        <w:t xml:space="preserve">                  </w:t>
      </w:r>
    </w:p>
    <w:p w14:paraId="208994BD">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姓名：</w:t>
      </w:r>
      <w:r>
        <w:rPr>
          <w:rFonts w:hint="eastAsia" w:hAnsi="宋体" w:cs="宋体"/>
          <w:highlight w:val="none"/>
          <w:u w:val="single"/>
        </w:rPr>
        <w:t xml:space="preserve">      </w:t>
      </w:r>
      <w:r>
        <w:rPr>
          <w:rFonts w:hint="eastAsia" w:hAnsi="宋体" w:cs="宋体"/>
          <w:highlight w:val="none"/>
        </w:rPr>
        <w:t xml:space="preserve"> 性别：</w:t>
      </w:r>
      <w:r>
        <w:rPr>
          <w:rFonts w:hint="eastAsia" w:hAnsi="宋体" w:cs="宋体"/>
          <w:highlight w:val="none"/>
          <w:u w:val="single"/>
        </w:rPr>
        <w:t xml:space="preserve">  </w:t>
      </w:r>
      <w:r>
        <w:rPr>
          <w:rFonts w:hint="eastAsia" w:hAnsi="宋体" w:cs="宋体"/>
          <w:highlight w:val="none"/>
        </w:rPr>
        <w:t xml:space="preserve"> 年龄：</w:t>
      </w:r>
      <w:r>
        <w:rPr>
          <w:rFonts w:hint="eastAsia" w:hAnsi="宋体" w:cs="宋体"/>
          <w:highlight w:val="none"/>
          <w:u w:val="single"/>
        </w:rPr>
        <w:t xml:space="preserve">  </w:t>
      </w:r>
      <w:r>
        <w:rPr>
          <w:rFonts w:hint="eastAsia" w:hAnsi="宋体" w:cs="宋体"/>
          <w:highlight w:val="none"/>
        </w:rPr>
        <w:t xml:space="preserve"> 系</w:t>
      </w:r>
      <w:r>
        <w:rPr>
          <w:rFonts w:hint="eastAsia" w:hAnsi="宋体" w:cs="宋体"/>
          <w:highlight w:val="none"/>
          <w:u w:val="single"/>
        </w:rPr>
        <w:t xml:space="preserve">            </w:t>
      </w:r>
      <w:r>
        <w:rPr>
          <w:rFonts w:hint="eastAsia" w:hAnsi="宋体" w:cs="宋体"/>
          <w:highlight w:val="none"/>
        </w:rPr>
        <w:t>（供应商名称）的法定代表人。</w:t>
      </w:r>
    </w:p>
    <w:p w14:paraId="05941411">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特此证明。</w:t>
      </w:r>
    </w:p>
    <w:p w14:paraId="45D13B8C">
      <w:pPr>
        <w:autoSpaceDE w:val="0"/>
        <w:autoSpaceDN w:val="0"/>
        <w:adjustRightInd w:val="0"/>
        <w:snapToGrid w:val="0"/>
        <w:spacing w:before="156" w:beforeLines="50" w:line="360" w:lineRule="auto"/>
        <w:jc w:val="left"/>
        <w:rPr>
          <w:rFonts w:hAnsi="宋体" w:cs="宋体"/>
          <w:szCs w:val="21"/>
          <w:highlight w:val="none"/>
        </w:rPr>
      </w:pPr>
      <w:r>
        <w:rPr>
          <w:rFonts w:hint="eastAsia" w:hAnsi="宋体" w:cs="宋体"/>
          <w:szCs w:val="21"/>
          <w:highlight w:val="none"/>
        </w:rPr>
        <w:t>附：法定代表人身份证复印件</w:t>
      </w:r>
    </w:p>
    <w:tbl>
      <w:tblPr>
        <w:tblStyle w:val="22"/>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02DB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16266D02">
            <w:pPr>
              <w:snapToGrid w:val="0"/>
              <w:spacing w:line="480" w:lineRule="auto"/>
              <w:jc w:val="center"/>
              <w:rPr>
                <w:rFonts w:hAnsi="宋体" w:cs="宋体"/>
                <w:szCs w:val="21"/>
                <w:highlight w:val="none"/>
              </w:rPr>
            </w:pPr>
          </w:p>
          <w:p w14:paraId="261B4E84">
            <w:pPr>
              <w:snapToGrid w:val="0"/>
              <w:spacing w:line="480" w:lineRule="auto"/>
              <w:jc w:val="center"/>
              <w:rPr>
                <w:rFonts w:hAnsi="宋体" w:cs="宋体"/>
                <w:szCs w:val="21"/>
                <w:highlight w:val="none"/>
              </w:rPr>
            </w:pPr>
          </w:p>
          <w:p w14:paraId="400CC4B6">
            <w:pPr>
              <w:autoSpaceDE w:val="0"/>
              <w:autoSpaceDN w:val="0"/>
              <w:adjustRightInd w:val="0"/>
              <w:snapToGrid w:val="0"/>
              <w:spacing w:before="156" w:beforeLines="50" w:line="360" w:lineRule="auto"/>
              <w:jc w:val="center"/>
              <w:rPr>
                <w:rFonts w:hAnsi="宋体" w:cs="宋体"/>
                <w:szCs w:val="21"/>
                <w:highlight w:val="none"/>
              </w:rPr>
            </w:pPr>
            <w:r>
              <w:rPr>
                <w:rFonts w:hint="eastAsia" w:hAnsi="宋体" w:cs="宋体"/>
                <w:szCs w:val="21"/>
                <w:highlight w:val="none"/>
              </w:rPr>
              <w:t>法定代表人身份证复印件粘贴处</w:t>
            </w:r>
          </w:p>
          <w:p w14:paraId="0D6E5293">
            <w:pPr>
              <w:pStyle w:val="10"/>
              <w:jc w:val="center"/>
              <w:rPr>
                <w:rFonts w:ascii="宋体" w:hAnsi="宋体" w:cs="宋体"/>
                <w:highlight w:val="none"/>
              </w:rPr>
            </w:pPr>
            <w:r>
              <w:rPr>
                <w:rFonts w:hint="eastAsia" w:ascii="宋体" w:hAnsi="宋体" w:cs="宋体"/>
                <w:szCs w:val="21"/>
                <w:highlight w:val="none"/>
              </w:rPr>
              <w:t>（正反面）</w:t>
            </w:r>
          </w:p>
          <w:p w14:paraId="33A7540B">
            <w:pPr>
              <w:snapToGrid w:val="0"/>
              <w:spacing w:line="480" w:lineRule="auto"/>
              <w:jc w:val="center"/>
              <w:rPr>
                <w:rFonts w:hAnsi="宋体" w:cs="宋体"/>
                <w:szCs w:val="21"/>
                <w:highlight w:val="none"/>
              </w:rPr>
            </w:pPr>
          </w:p>
          <w:p w14:paraId="53639DF9">
            <w:pPr>
              <w:snapToGrid w:val="0"/>
              <w:spacing w:line="480" w:lineRule="auto"/>
              <w:jc w:val="center"/>
              <w:rPr>
                <w:rFonts w:hAnsi="宋体" w:cs="宋体"/>
                <w:szCs w:val="21"/>
                <w:highlight w:val="none"/>
              </w:rPr>
            </w:pPr>
          </w:p>
        </w:tc>
      </w:tr>
    </w:tbl>
    <w:p w14:paraId="7F27BDE2">
      <w:pPr>
        <w:snapToGrid w:val="0"/>
        <w:spacing w:line="480" w:lineRule="auto"/>
        <w:rPr>
          <w:rFonts w:hAnsi="宋体" w:cs="宋体"/>
          <w:szCs w:val="21"/>
          <w:highlight w:val="none"/>
        </w:rPr>
      </w:pPr>
    </w:p>
    <w:p w14:paraId="62A85A28">
      <w:pPr>
        <w:snapToGrid w:val="0"/>
        <w:rPr>
          <w:rFonts w:hAnsi="宋体" w:cs="宋体"/>
          <w:szCs w:val="21"/>
          <w:highlight w:val="none"/>
        </w:rPr>
      </w:pPr>
    </w:p>
    <w:p w14:paraId="5E2A93A6">
      <w:pPr>
        <w:snapToGrid w:val="0"/>
        <w:rPr>
          <w:rFonts w:hAnsi="宋体" w:cs="宋体"/>
          <w:szCs w:val="21"/>
          <w:highlight w:val="none"/>
        </w:rPr>
      </w:pPr>
    </w:p>
    <w:p w14:paraId="26044440">
      <w:pPr>
        <w:snapToGrid w:val="0"/>
        <w:rPr>
          <w:rFonts w:hAnsi="宋体" w:cs="宋体"/>
          <w:szCs w:val="21"/>
          <w:highlight w:val="none"/>
        </w:rPr>
      </w:pPr>
    </w:p>
    <w:p w14:paraId="55193FBB">
      <w:pPr>
        <w:snapToGrid w:val="0"/>
        <w:rPr>
          <w:rFonts w:hAnsi="宋体" w:cs="宋体"/>
          <w:szCs w:val="21"/>
          <w:highlight w:val="none"/>
        </w:rPr>
      </w:pPr>
    </w:p>
    <w:p w14:paraId="4C158038">
      <w:pPr>
        <w:adjustRightInd w:val="0"/>
        <w:snapToGrid w:val="0"/>
        <w:spacing w:line="360" w:lineRule="auto"/>
        <w:rPr>
          <w:rFonts w:hAnsi="宋体" w:cs="宋体"/>
          <w:highlight w:val="none"/>
        </w:rPr>
      </w:pPr>
    </w:p>
    <w:p w14:paraId="053550BB">
      <w:pPr>
        <w:adjustRightInd w:val="0"/>
        <w:snapToGrid w:val="0"/>
        <w:spacing w:line="360" w:lineRule="auto"/>
        <w:ind w:right="420"/>
        <w:rPr>
          <w:rFonts w:hAnsi="宋体" w:cs="宋体"/>
          <w:highlight w:val="none"/>
        </w:rPr>
      </w:pPr>
    </w:p>
    <w:p w14:paraId="7CB92E00">
      <w:pPr>
        <w:adjustRightInd w:val="0"/>
        <w:snapToGrid w:val="0"/>
        <w:spacing w:line="360" w:lineRule="auto"/>
        <w:ind w:right="420"/>
        <w:rPr>
          <w:rFonts w:hAnsi="宋体" w:cs="宋体"/>
          <w:highlight w:val="none"/>
        </w:rPr>
      </w:pPr>
    </w:p>
    <w:p w14:paraId="6B5E37F7">
      <w:pPr>
        <w:adjustRightInd w:val="0"/>
        <w:snapToGrid w:val="0"/>
        <w:spacing w:line="360" w:lineRule="auto"/>
        <w:ind w:right="420"/>
        <w:rPr>
          <w:rFonts w:hAnsi="宋体" w:cs="宋体"/>
          <w:highlight w:val="none"/>
        </w:rPr>
      </w:pPr>
    </w:p>
    <w:p w14:paraId="3410DB37">
      <w:pPr>
        <w:adjustRightInd w:val="0"/>
        <w:snapToGrid w:val="0"/>
        <w:spacing w:line="360" w:lineRule="auto"/>
        <w:ind w:right="420"/>
        <w:rPr>
          <w:rFonts w:hAnsi="宋体" w:cs="宋体"/>
          <w:highlight w:val="none"/>
        </w:rPr>
      </w:pPr>
    </w:p>
    <w:p w14:paraId="18342730">
      <w:pPr>
        <w:adjustRightInd w:val="0"/>
        <w:snapToGrid w:val="0"/>
        <w:spacing w:line="360" w:lineRule="auto"/>
        <w:ind w:right="420"/>
        <w:rPr>
          <w:rFonts w:hAnsi="宋体" w:cs="宋体"/>
          <w:highlight w:val="none"/>
        </w:rPr>
      </w:pPr>
      <w:r>
        <w:rPr>
          <w:rFonts w:hint="eastAsia" w:hAnsi="宋体" w:cs="宋体"/>
          <w:highlight w:val="none"/>
        </w:rPr>
        <w:t>供应商名称（公章）：</w:t>
      </w:r>
    </w:p>
    <w:p w14:paraId="0393E45C">
      <w:pPr>
        <w:adjustRightInd w:val="0"/>
        <w:snapToGrid w:val="0"/>
        <w:spacing w:line="360" w:lineRule="auto"/>
        <w:ind w:right="420"/>
        <w:rPr>
          <w:rFonts w:hAnsi="宋体" w:cs="宋体"/>
          <w:highlight w:val="none"/>
        </w:rPr>
      </w:pPr>
      <w:r>
        <w:rPr>
          <w:rFonts w:hint="eastAsia" w:hAnsi="宋体" w:cs="宋体"/>
          <w:highlight w:val="none"/>
        </w:rPr>
        <w:t>日期：    年  月  日</w:t>
      </w:r>
    </w:p>
    <w:p w14:paraId="6135A598">
      <w:pPr>
        <w:pStyle w:val="10"/>
        <w:rPr>
          <w:rFonts w:ascii="宋体" w:hAnsi="宋体" w:cs="宋体"/>
          <w:highlight w:val="none"/>
        </w:rPr>
      </w:pPr>
    </w:p>
    <w:p w14:paraId="2FA1E8B2">
      <w:pPr>
        <w:spacing w:line="360" w:lineRule="auto"/>
        <w:jc w:val="left"/>
        <w:rPr>
          <w:rFonts w:hAnsi="宋体" w:cs="宋体"/>
          <w:spacing w:val="4"/>
          <w:szCs w:val="24"/>
          <w:highlight w:val="none"/>
        </w:rPr>
      </w:pPr>
    </w:p>
    <w:p w14:paraId="328785D0">
      <w:pPr>
        <w:keepNext/>
        <w:spacing w:before="312" w:beforeLines="100"/>
        <w:jc w:val="center"/>
        <w:rPr>
          <w:rFonts w:hAnsi="宋体" w:cs="宋体"/>
          <w:b/>
          <w:bCs/>
          <w:sz w:val="32"/>
          <w:szCs w:val="32"/>
          <w:highlight w:val="none"/>
        </w:rPr>
      </w:pPr>
      <w:r>
        <w:rPr>
          <w:rFonts w:hint="eastAsia" w:hAnsi="宋体" w:cs="宋体"/>
          <w:b/>
          <w:bCs/>
          <w:sz w:val="32"/>
          <w:szCs w:val="32"/>
          <w:highlight w:val="none"/>
        </w:rPr>
        <w:t>法定代表人授权书</w:t>
      </w:r>
    </w:p>
    <w:p w14:paraId="226716CF">
      <w:pPr>
        <w:spacing w:line="500" w:lineRule="exact"/>
        <w:jc w:val="left"/>
        <w:rPr>
          <w:rFonts w:hAnsi="宋体" w:cs="宋体"/>
          <w:spacing w:val="4"/>
          <w:szCs w:val="24"/>
          <w:highlight w:val="none"/>
        </w:rPr>
      </w:pPr>
      <w:r>
        <w:rPr>
          <w:rFonts w:hint="eastAsia" w:hAnsi="宋体" w:cs="宋体"/>
          <w:spacing w:val="4"/>
          <w:szCs w:val="24"/>
          <w:highlight w:val="none"/>
        </w:rPr>
        <w:t>致：</w:t>
      </w:r>
      <w:r>
        <w:rPr>
          <w:rFonts w:hint="eastAsia" w:hAnsi="宋体" w:cs="宋体"/>
          <w:spacing w:val="4"/>
          <w:szCs w:val="24"/>
          <w:highlight w:val="none"/>
          <w:u w:val="single"/>
        </w:rPr>
        <w:t xml:space="preserve">陕西至诚项目管理集团有限公司 </w:t>
      </w:r>
    </w:p>
    <w:p w14:paraId="4133534D">
      <w:pPr>
        <w:spacing w:line="500" w:lineRule="exact"/>
        <w:ind w:firstLine="496" w:firstLineChars="200"/>
        <w:jc w:val="left"/>
        <w:rPr>
          <w:rFonts w:hint="eastAsia" w:hAnsi="宋体" w:eastAsia="宋体" w:cs="宋体"/>
          <w:spacing w:val="4"/>
          <w:szCs w:val="24"/>
          <w:highlight w:val="none"/>
          <w:lang w:eastAsia="zh-CN"/>
        </w:rPr>
      </w:pPr>
      <w:r>
        <w:rPr>
          <w:rFonts w:hint="eastAsia" w:hAnsi="宋体" w:cs="宋体"/>
          <w:spacing w:val="4"/>
          <w:szCs w:val="24"/>
          <w:highlight w:val="none"/>
          <w:u w:val="single"/>
        </w:rPr>
        <w:t>(供应商名称)</w:t>
      </w:r>
      <w:r>
        <w:rPr>
          <w:rFonts w:hint="eastAsia" w:hAnsi="宋体" w:cs="宋体"/>
          <w:spacing w:val="4"/>
          <w:szCs w:val="24"/>
          <w:highlight w:val="none"/>
        </w:rPr>
        <w:t>按中华人民共和国法律于</w:t>
      </w:r>
      <w:r>
        <w:rPr>
          <w:rFonts w:hint="eastAsia" w:hAnsi="宋体" w:cs="宋体"/>
          <w:spacing w:val="4"/>
          <w:szCs w:val="24"/>
          <w:highlight w:val="none"/>
          <w:u w:val="single"/>
        </w:rPr>
        <w:t>（  年  月  日 ）</w:t>
      </w:r>
      <w:r>
        <w:rPr>
          <w:rFonts w:hint="eastAsia" w:hAnsi="宋体" w:cs="宋体"/>
          <w:spacing w:val="4"/>
          <w:szCs w:val="24"/>
          <w:highlight w:val="none"/>
        </w:rPr>
        <w:t>成立。</w:t>
      </w:r>
      <w:r>
        <w:rPr>
          <w:rFonts w:hint="eastAsia" w:hAnsi="宋体" w:cs="宋体"/>
          <w:spacing w:val="4"/>
          <w:szCs w:val="24"/>
          <w:highlight w:val="none"/>
          <w:u w:val="single"/>
        </w:rPr>
        <w:t>(法定代表人姓名)</w:t>
      </w:r>
      <w:r>
        <w:rPr>
          <w:rFonts w:hint="eastAsia" w:hAnsi="宋体" w:cs="宋体"/>
          <w:spacing w:val="4"/>
          <w:szCs w:val="24"/>
          <w:highlight w:val="none"/>
        </w:rPr>
        <w:t>特授权</w:t>
      </w:r>
      <w:r>
        <w:rPr>
          <w:rFonts w:hint="eastAsia" w:hAnsi="宋体" w:cs="宋体"/>
          <w:spacing w:val="4"/>
          <w:szCs w:val="24"/>
          <w:highlight w:val="none"/>
          <w:u w:val="single"/>
        </w:rPr>
        <w:t xml:space="preserve">（ </w:t>
      </w:r>
      <w:r>
        <w:rPr>
          <w:rFonts w:hint="eastAsia" w:hAnsi="宋体" w:cs="宋体"/>
          <w:szCs w:val="24"/>
          <w:highlight w:val="none"/>
          <w:u w:val="single"/>
        </w:rPr>
        <w:t>授权代表</w:t>
      </w:r>
      <w:r>
        <w:rPr>
          <w:rFonts w:hint="eastAsia" w:hAnsi="宋体" w:cs="宋体"/>
          <w:spacing w:val="4"/>
          <w:szCs w:val="24"/>
          <w:highlight w:val="none"/>
          <w:u w:val="single"/>
        </w:rPr>
        <w:t>姓名 ）</w:t>
      </w:r>
      <w:r>
        <w:rPr>
          <w:rFonts w:hint="eastAsia" w:hAnsi="宋体" w:cs="宋体"/>
          <w:spacing w:val="4"/>
          <w:szCs w:val="24"/>
          <w:highlight w:val="none"/>
        </w:rPr>
        <w:t xml:space="preserve">代表我公司全权办理针对本次 </w:t>
      </w:r>
      <w:r>
        <w:rPr>
          <w:rFonts w:hint="eastAsia" w:hAnsi="宋体" w:cs="宋体"/>
          <w:spacing w:val="4"/>
          <w:szCs w:val="24"/>
          <w:highlight w:val="none"/>
          <w:u w:val="single"/>
        </w:rPr>
        <w:t>（项目编号</w:t>
      </w:r>
      <w:r>
        <w:rPr>
          <w:rFonts w:hint="eastAsia"/>
          <w:highlight w:val="none"/>
          <w:u w:val="single"/>
          <w:lang w:eastAsia="zh-CN"/>
        </w:rPr>
        <w:t>：</w:t>
      </w:r>
      <w:r>
        <w:rPr>
          <w:rFonts w:hint="eastAsia"/>
          <w:highlight w:val="none"/>
          <w:u w:val="single"/>
          <w:lang w:val="en-US" w:eastAsia="zh-CN"/>
        </w:rPr>
        <w:t xml:space="preserve">  </w:t>
      </w:r>
      <w:r>
        <w:rPr>
          <w:rFonts w:hint="eastAsia" w:hAnsi="宋体" w:cs="宋体"/>
          <w:spacing w:val="4"/>
          <w:szCs w:val="24"/>
          <w:highlight w:val="none"/>
          <w:u w:val="single"/>
        </w:rPr>
        <w:t xml:space="preserve"> ）</w:t>
      </w:r>
      <w:r>
        <w:rPr>
          <w:rFonts w:hint="eastAsia" w:hAnsi="宋体" w:cs="宋体"/>
          <w:spacing w:val="4"/>
          <w:szCs w:val="24"/>
          <w:highlight w:val="none"/>
        </w:rPr>
        <w:t>项目的磋商、签约等具体工作，并签署全部有关的文件、协议及合同</w:t>
      </w:r>
      <w:r>
        <w:rPr>
          <w:rFonts w:hint="eastAsia" w:hAnsi="宋体" w:cs="宋体"/>
          <w:spacing w:val="4"/>
          <w:szCs w:val="24"/>
          <w:highlight w:val="none"/>
          <w:lang w:eastAsia="zh-CN"/>
        </w:rPr>
        <w:t>。</w:t>
      </w:r>
    </w:p>
    <w:p w14:paraId="561EFB4B">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rPr>
        <w:t>我公司对</w:t>
      </w:r>
      <w:r>
        <w:rPr>
          <w:rFonts w:hint="eastAsia" w:hAnsi="宋体" w:cs="宋体"/>
          <w:szCs w:val="24"/>
          <w:highlight w:val="none"/>
        </w:rPr>
        <w:t>授权代表</w:t>
      </w:r>
      <w:r>
        <w:rPr>
          <w:rFonts w:hint="eastAsia" w:hAnsi="宋体" w:cs="宋体"/>
          <w:spacing w:val="4"/>
          <w:szCs w:val="24"/>
          <w:highlight w:val="none"/>
        </w:rPr>
        <w:t>的签名负全部责任。</w:t>
      </w:r>
    </w:p>
    <w:p w14:paraId="47675ACD">
      <w:pPr>
        <w:spacing w:line="500" w:lineRule="exact"/>
        <w:ind w:right="617" w:rightChars="257" w:firstLine="480" w:firstLineChars="200"/>
        <w:jc w:val="left"/>
        <w:rPr>
          <w:rFonts w:hAnsi="宋体" w:cs="宋体"/>
          <w:szCs w:val="24"/>
          <w:highlight w:val="none"/>
        </w:rPr>
      </w:pPr>
      <w:r>
        <w:rPr>
          <w:rFonts w:hint="eastAsia" w:hAnsi="宋体" w:cs="宋体"/>
          <w:szCs w:val="24"/>
          <w:highlight w:val="none"/>
        </w:rPr>
        <w:t>委托期限：</w:t>
      </w:r>
      <w:r>
        <w:rPr>
          <w:rFonts w:hint="eastAsia" w:hAnsi="宋体" w:cs="宋体"/>
          <w:szCs w:val="24"/>
          <w:highlight w:val="none"/>
          <w:lang w:val="zh-CN"/>
        </w:rPr>
        <w:t>自磋商之日起</w:t>
      </w:r>
      <w:r>
        <w:rPr>
          <w:rFonts w:hint="eastAsia" w:hAnsi="宋体" w:cs="宋体"/>
          <w:szCs w:val="24"/>
          <w:highlight w:val="none"/>
          <w:u w:val="single"/>
        </w:rPr>
        <w:t>90</w:t>
      </w:r>
      <w:r>
        <w:rPr>
          <w:rFonts w:hint="eastAsia" w:hAnsi="宋体" w:cs="宋体"/>
          <w:szCs w:val="24"/>
          <w:highlight w:val="none"/>
          <w:lang w:val="zh-CN"/>
        </w:rPr>
        <w:t>天。</w:t>
      </w:r>
    </w:p>
    <w:p w14:paraId="7DF40260">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rPr>
        <w:t>本授权书于</w:t>
      </w:r>
      <w:r>
        <w:rPr>
          <w:rFonts w:hint="eastAsia" w:hAnsi="宋体" w:cs="宋体"/>
          <w:spacing w:val="4"/>
          <w:szCs w:val="24"/>
          <w:highlight w:val="none"/>
          <w:u w:val="single"/>
        </w:rPr>
        <w:t xml:space="preserve">      年   月   日</w:t>
      </w:r>
      <w:r>
        <w:rPr>
          <w:rFonts w:hint="eastAsia" w:hAnsi="宋体" w:cs="宋体"/>
          <w:spacing w:val="4"/>
          <w:szCs w:val="24"/>
          <w:highlight w:val="none"/>
        </w:rPr>
        <w:t>签字生效，特此证明。</w:t>
      </w:r>
    </w:p>
    <w:p w14:paraId="4F9605D7">
      <w:pPr>
        <w:spacing w:line="360" w:lineRule="auto"/>
        <w:ind w:firstLine="496" w:firstLineChars="200"/>
        <w:jc w:val="left"/>
        <w:rPr>
          <w:rFonts w:hAnsi="宋体" w:cs="宋体"/>
          <w:spacing w:val="4"/>
          <w:szCs w:val="24"/>
          <w:highlight w:val="none"/>
        </w:rPr>
      </w:pPr>
    </w:p>
    <w:tbl>
      <w:tblPr>
        <w:tblStyle w:val="22"/>
        <w:tblW w:w="0" w:type="auto"/>
        <w:tblInd w:w="633" w:type="dxa"/>
        <w:tblLayout w:type="fixed"/>
        <w:tblCellMar>
          <w:top w:w="0" w:type="dxa"/>
          <w:left w:w="108" w:type="dxa"/>
          <w:bottom w:w="0" w:type="dxa"/>
          <w:right w:w="108" w:type="dxa"/>
        </w:tblCellMar>
      </w:tblPr>
      <w:tblGrid>
        <w:gridCol w:w="4200"/>
        <w:gridCol w:w="3990"/>
      </w:tblGrid>
      <w:tr w14:paraId="6DFC340E">
        <w:tblPrEx>
          <w:tblCellMar>
            <w:top w:w="0" w:type="dxa"/>
            <w:left w:w="108" w:type="dxa"/>
            <w:bottom w:w="0" w:type="dxa"/>
            <w:right w:w="108" w:type="dxa"/>
          </w:tblCellMar>
        </w:tblPrEx>
        <w:trPr>
          <w:trHeight w:val="600" w:hRule="atLeast"/>
        </w:trPr>
        <w:tc>
          <w:tcPr>
            <w:tcW w:w="4200" w:type="dxa"/>
          </w:tcPr>
          <w:p w14:paraId="143CA7C2">
            <w:pPr>
              <w:spacing w:line="360" w:lineRule="auto"/>
              <w:jc w:val="left"/>
              <w:rPr>
                <w:rFonts w:hAnsi="宋体" w:cs="宋体"/>
                <w:spacing w:val="4"/>
                <w:szCs w:val="24"/>
                <w:highlight w:val="none"/>
              </w:rPr>
            </w:pPr>
            <w:r>
              <w:rPr>
                <w:rFonts w:hint="eastAsia" w:hAnsi="宋体" w:cs="宋体"/>
                <w:spacing w:val="4"/>
                <w:szCs w:val="24"/>
                <w:highlight w:val="none"/>
              </w:rPr>
              <w:t>被授权人签字或盖章：</w:t>
            </w:r>
          </w:p>
        </w:tc>
        <w:tc>
          <w:tcPr>
            <w:tcW w:w="3990" w:type="dxa"/>
          </w:tcPr>
          <w:p w14:paraId="29BE82B7">
            <w:pPr>
              <w:spacing w:line="360" w:lineRule="auto"/>
              <w:jc w:val="left"/>
              <w:rPr>
                <w:rFonts w:hAnsi="宋体" w:cs="宋体"/>
                <w:spacing w:val="4"/>
                <w:szCs w:val="24"/>
                <w:highlight w:val="none"/>
              </w:rPr>
            </w:pPr>
            <w:r>
              <w:rPr>
                <w:rFonts w:hint="eastAsia" w:hAnsi="宋体" w:cs="宋体"/>
                <w:spacing w:val="4"/>
                <w:szCs w:val="24"/>
                <w:highlight w:val="none"/>
              </w:rPr>
              <w:t>法定代表人签字或盖章：</w:t>
            </w:r>
          </w:p>
        </w:tc>
      </w:tr>
      <w:tr w14:paraId="712E96F9">
        <w:tblPrEx>
          <w:tblCellMar>
            <w:top w:w="0" w:type="dxa"/>
            <w:left w:w="108" w:type="dxa"/>
            <w:bottom w:w="0" w:type="dxa"/>
            <w:right w:w="108" w:type="dxa"/>
          </w:tblCellMar>
        </w:tblPrEx>
        <w:trPr>
          <w:trHeight w:val="600" w:hRule="atLeast"/>
        </w:trPr>
        <w:tc>
          <w:tcPr>
            <w:tcW w:w="4200" w:type="dxa"/>
          </w:tcPr>
          <w:p w14:paraId="5D0CFBD1">
            <w:pPr>
              <w:spacing w:line="360" w:lineRule="auto"/>
              <w:jc w:val="left"/>
              <w:rPr>
                <w:rFonts w:hAnsi="宋体" w:cs="宋体"/>
                <w:spacing w:val="4"/>
                <w:szCs w:val="24"/>
                <w:highlight w:val="none"/>
              </w:rPr>
            </w:pPr>
            <w:r>
              <w:rPr>
                <w:rFonts w:hint="eastAsia" w:hAnsi="宋体" w:cs="宋体"/>
                <w:spacing w:val="4"/>
                <w:szCs w:val="24"/>
                <w:highlight w:val="none"/>
              </w:rPr>
              <w:t>职务：</w:t>
            </w:r>
          </w:p>
        </w:tc>
        <w:tc>
          <w:tcPr>
            <w:tcW w:w="3990" w:type="dxa"/>
          </w:tcPr>
          <w:p w14:paraId="7718B6D3">
            <w:pPr>
              <w:spacing w:line="360" w:lineRule="auto"/>
              <w:jc w:val="left"/>
              <w:rPr>
                <w:rFonts w:hAnsi="宋体" w:cs="宋体"/>
                <w:spacing w:val="4"/>
                <w:szCs w:val="24"/>
                <w:highlight w:val="none"/>
              </w:rPr>
            </w:pPr>
            <w:r>
              <w:rPr>
                <w:rFonts w:hint="eastAsia" w:hAnsi="宋体" w:cs="宋体"/>
                <w:spacing w:val="4"/>
                <w:szCs w:val="24"/>
                <w:highlight w:val="none"/>
              </w:rPr>
              <w:t>职务：</w:t>
            </w:r>
          </w:p>
        </w:tc>
      </w:tr>
      <w:tr w14:paraId="16E141E2">
        <w:tblPrEx>
          <w:tblCellMar>
            <w:top w:w="0" w:type="dxa"/>
            <w:left w:w="108" w:type="dxa"/>
            <w:bottom w:w="0" w:type="dxa"/>
            <w:right w:w="108" w:type="dxa"/>
          </w:tblCellMar>
        </w:tblPrEx>
        <w:trPr>
          <w:trHeight w:val="600" w:hRule="atLeast"/>
        </w:trPr>
        <w:tc>
          <w:tcPr>
            <w:tcW w:w="4200" w:type="dxa"/>
          </w:tcPr>
          <w:p w14:paraId="3C5E1882">
            <w:pPr>
              <w:spacing w:line="360" w:lineRule="auto"/>
              <w:jc w:val="left"/>
              <w:rPr>
                <w:rFonts w:hAnsi="宋体" w:cs="宋体"/>
                <w:spacing w:val="4"/>
                <w:szCs w:val="24"/>
                <w:highlight w:val="none"/>
              </w:rPr>
            </w:pPr>
            <w:r>
              <w:rPr>
                <w:rFonts w:hint="eastAsia" w:hAnsi="宋体" w:cs="宋体"/>
                <w:spacing w:val="4"/>
                <w:szCs w:val="24"/>
                <w:highlight w:val="none"/>
              </w:rPr>
              <w:t>身份证号：</w:t>
            </w:r>
          </w:p>
        </w:tc>
        <w:tc>
          <w:tcPr>
            <w:tcW w:w="3990" w:type="dxa"/>
          </w:tcPr>
          <w:p w14:paraId="6A0C282F">
            <w:pPr>
              <w:spacing w:line="360" w:lineRule="auto"/>
              <w:jc w:val="left"/>
              <w:rPr>
                <w:rFonts w:hAnsi="宋体" w:cs="宋体"/>
                <w:spacing w:val="4"/>
                <w:szCs w:val="24"/>
                <w:highlight w:val="none"/>
              </w:rPr>
            </w:pPr>
            <w:r>
              <w:rPr>
                <w:rFonts w:hint="eastAsia" w:hAnsi="宋体" w:cs="宋体"/>
                <w:spacing w:val="4"/>
                <w:szCs w:val="24"/>
                <w:highlight w:val="none"/>
              </w:rPr>
              <w:t>身份证号：</w:t>
            </w:r>
          </w:p>
        </w:tc>
      </w:tr>
      <w:tr w14:paraId="3C949439">
        <w:tblPrEx>
          <w:tblCellMar>
            <w:top w:w="0" w:type="dxa"/>
            <w:left w:w="108" w:type="dxa"/>
            <w:bottom w:w="0" w:type="dxa"/>
            <w:right w:w="108" w:type="dxa"/>
          </w:tblCellMar>
        </w:tblPrEx>
        <w:trPr>
          <w:trHeight w:val="600" w:hRule="atLeast"/>
        </w:trPr>
        <w:tc>
          <w:tcPr>
            <w:tcW w:w="4200" w:type="dxa"/>
          </w:tcPr>
          <w:p w14:paraId="3FD4CA39">
            <w:pPr>
              <w:spacing w:line="360" w:lineRule="auto"/>
              <w:jc w:val="left"/>
              <w:rPr>
                <w:rFonts w:hAnsi="宋体" w:cs="宋体"/>
                <w:spacing w:val="4"/>
                <w:szCs w:val="24"/>
                <w:highlight w:val="none"/>
              </w:rPr>
            </w:pPr>
            <w:r>
              <w:rPr>
                <w:rFonts w:hint="eastAsia" w:hAnsi="宋体" w:cs="宋体"/>
                <w:spacing w:val="4"/>
                <w:szCs w:val="24"/>
                <w:highlight w:val="none"/>
              </w:rPr>
              <w:t>所在部门：</w:t>
            </w:r>
          </w:p>
        </w:tc>
        <w:tc>
          <w:tcPr>
            <w:tcW w:w="3990" w:type="dxa"/>
          </w:tcPr>
          <w:p w14:paraId="145480F6">
            <w:pPr>
              <w:spacing w:line="360" w:lineRule="auto"/>
              <w:jc w:val="left"/>
              <w:rPr>
                <w:rFonts w:hAnsi="宋体" w:cs="宋体"/>
                <w:spacing w:val="4"/>
                <w:szCs w:val="24"/>
                <w:highlight w:val="none"/>
              </w:rPr>
            </w:pPr>
          </w:p>
        </w:tc>
      </w:tr>
    </w:tbl>
    <w:p w14:paraId="3300DB1C">
      <w:pPr>
        <w:spacing w:line="360" w:lineRule="auto"/>
        <w:ind w:firstLine="505" w:firstLineChars="204"/>
        <w:rPr>
          <w:rFonts w:hAnsi="宋体" w:cs="宋体"/>
          <w:spacing w:val="4"/>
          <w:szCs w:val="24"/>
          <w:highlight w:val="none"/>
        </w:rPr>
      </w:pPr>
      <w:r>
        <w:rPr>
          <w:rFonts w:hint="eastAsia" w:hAnsi="宋体" w:cs="宋体"/>
          <w:spacing w:val="4"/>
          <w:szCs w:val="24"/>
          <w:highlight w:val="none"/>
        </w:rPr>
        <w:t>附：法定代表人、被授权人身份证复印件</w:t>
      </w:r>
    </w:p>
    <w:p w14:paraId="3C2217EA">
      <w:pPr>
        <w:spacing w:line="360" w:lineRule="auto"/>
        <w:rPr>
          <w:rFonts w:hAnsi="宋体" w:cs="宋体"/>
          <w:spacing w:val="4"/>
          <w:szCs w:val="24"/>
          <w:highlight w:val="none"/>
        </w:rPr>
      </w:pPr>
    </w:p>
    <w:tbl>
      <w:tblPr>
        <w:tblStyle w:val="22"/>
        <w:tblW w:w="0" w:type="auto"/>
        <w:tblInd w:w="540" w:type="dxa"/>
        <w:tblLayout w:type="fixed"/>
        <w:tblCellMar>
          <w:top w:w="0" w:type="dxa"/>
          <w:left w:w="108" w:type="dxa"/>
          <w:bottom w:w="0" w:type="dxa"/>
          <w:right w:w="108" w:type="dxa"/>
        </w:tblCellMar>
      </w:tblPr>
      <w:tblGrid>
        <w:gridCol w:w="4246"/>
        <w:gridCol w:w="4111"/>
      </w:tblGrid>
      <w:tr w14:paraId="7974D0C8">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33E40746">
            <w:pPr>
              <w:spacing w:line="360" w:lineRule="auto"/>
              <w:jc w:val="center"/>
              <w:rPr>
                <w:rFonts w:hAnsi="宋体" w:cs="宋体"/>
                <w:szCs w:val="21"/>
                <w:highlight w:val="none"/>
                <w:lang w:val="zh-CN"/>
              </w:rPr>
            </w:pPr>
            <w:r>
              <w:rPr>
                <w:rFonts w:hint="eastAsia" w:hAnsi="宋体" w:cs="宋体"/>
                <w:szCs w:val="21"/>
                <w:highlight w:val="none"/>
                <w:lang w:val="zh-CN"/>
              </w:rPr>
              <w:t>法定代表人身份证复印件粘贴处</w:t>
            </w:r>
          </w:p>
          <w:p w14:paraId="234E0467">
            <w:pPr>
              <w:spacing w:line="360" w:lineRule="auto"/>
              <w:jc w:val="center"/>
              <w:rPr>
                <w:rFonts w:hAnsi="宋体" w:cs="宋体"/>
                <w:szCs w:val="21"/>
                <w:highlight w:val="none"/>
                <w:u w:val="single"/>
              </w:rPr>
            </w:pPr>
            <w:r>
              <w:rPr>
                <w:rFonts w:hint="eastAsia" w:hAnsi="宋体" w:cs="宋体"/>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4C3FAC75">
            <w:pPr>
              <w:spacing w:line="360" w:lineRule="auto"/>
              <w:jc w:val="center"/>
              <w:rPr>
                <w:rFonts w:hAnsi="宋体" w:cs="宋体"/>
                <w:szCs w:val="21"/>
                <w:highlight w:val="none"/>
                <w:lang w:val="zh-CN"/>
              </w:rPr>
            </w:pPr>
            <w:r>
              <w:rPr>
                <w:rFonts w:hint="eastAsia" w:hAnsi="宋体" w:cs="宋体"/>
                <w:szCs w:val="21"/>
                <w:highlight w:val="none"/>
                <w:lang w:val="zh-CN"/>
              </w:rPr>
              <w:t>授权代表身份证复印件粘贴处</w:t>
            </w:r>
          </w:p>
          <w:p w14:paraId="62C000FF">
            <w:pPr>
              <w:spacing w:line="360" w:lineRule="auto"/>
              <w:jc w:val="center"/>
              <w:rPr>
                <w:rFonts w:hAnsi="宋体" w:cs="宋体"/>
                <w:highlight w:val="none"/>
                <w:u w:val="single"/>
              </w:rPr>
            </w:pPr>
            <w:r>
              <w:rPr>
                <w:rFonts w:hint="eastAsia" w:hAnsi="宋体" w:cs="宋体"/>
                <w:szCs w:val="21"/>
                <w:highlight w:val="none"/>
                <w:lang w:val="zh-CN"/>
              </w:rPr>
              <w:t>（正反面）</w:t>
            </w:r>
          </w:p>
        </w:tc>
      </w:tr>
    </w:tbl>
    <w:p w14:paraId="4823542D">
      <w:pPr>
        <w:spacing w:line="360" w:lineRule="auto"/>
        <w:ind w:firstLine="510"/>
        <w:rPr>
          <w:rFonts w:hAnsi="宋体" w:cs="宋体"/>
          <w:spacing w:val="4"/>
          <w:szCs w:val="24"/>
          <w:highlight w:val="none"/>
        </w:rPr>
      </w:pPr>
    </w:p>
    <w:p w14:paraId="60DA9D0F">
      <w:pPr>
        <w:spacing w:before="156" w:beforeLines="50" w:after="156" w:afterLines="50" w:line="360" w:lineRule="auto"/>
        <w:rPr>
          <w:rFonts w:hAnsi="宋体" w:cs="宋体"/>
          <w:spacing w:val="4"/>
          <w:szCs w:val="24"/>
          <w:highlight w:val="none"/>
        </w:rPr>
      </w:pPr>
      <w:r>
        <w:rPr>
          <w:rFonts w:hint="eastAsia" w:hAnsi="宋体" w:cs="宋体"/>
          <w:spacing w:val="4"/>
          <w:szCs w:val="24"/>
          <w:highlight w:val="none"/>
        </w:rPr>
        <w:t>供应商名称：</w:t>
      </w:r>
      <w:r>
        <w:rPr>
          <w:rFonts w:hint="eastAsia" w:hAnsi="宋体" w:cs="宋体"/>
          <w:highlight w:val="none"/>
          <w:u w:val="single"/>
        </w:rPr>
        <w:t xml:space="preserve">      （加盖单位公章）       </w:t>
      </w:r>
    </w:p>
    <w:p w14:paraId="73686F33">
      <w:pPr>
        <w:spacing w:before="156" w:beforeLines="50" w:after="156" w:afterLines="50" w:line="360" w:lineRule="auto"/>
        <w:rPr>
          <w:rFonts w:hAnsi="宋体" w:cs="宋体"/>
          <w:spacing w:val="4"/>
          <w:szCs w:val="24"/>
          <w:highlight w:val="none"/>
        </w:rPr>
      </w:pPr>
      <w:r>
        <w:rPr>
          <w:rFonts w:hint="eastAsia" w:hAnsi="宋体" w:cs="宋体"/>
          <w:spacing w:val="4"/>
          <w:szCs w:val="24"/>
          <w:highlight w:val="none"/>
        </w:rPr>
        <w:t>日期：</w:t>
      </w:r>
    </w:p>
    <w:p w14:paraId="57D0A3BC">
      <w:pPr>
        <w:rPr>
          <w:rFonts w:hAnsi="宋体" w:cs="宋体"/>
          <w:spacing w:val="4"/>
          <w:szCs w:val="30"/>
          <w:highlight w:val="none"/>
        </w:rPr>
      </w:pPr>
      <w:r>
        <w:rPr>
          <w:rFonts w:hint="eastAsia" w:hAnsi="宋体" w:cs="宋体"/>
          <w:b/>
          <w:sz w:val="28"/>
          <w:szCs w:val="28"/>
          <w:highlight w:val="none"/>
        </w:rPr>
        <w:br w:type="page"/>
      </w:r>
      <w:bookmarkStart w:id="169" w:name="_Toc17295"/>
      <w:bookmarkStart w:id="170" w:name="_Toc11767"/>
    </w:p>
    <w:p w14:paraId="538DBF84">
      <w:pPr>
        <w:widowControl/>
        <w:spacing w:line="360" w:lineRule="auto"/>
        <w:ind w:left="1" w:firstLine="281" w:firstLineChars="100"/>
        <w:rPr>
          <w:rFonts w:hAnsi="宋体" w:cs="宋体"/>
          <w:b/>
          <w:sz w:val="28"/>
          <w:szCs w:val="28"/>
          <w:highlight w:val="none"/>
        </w:rPr>
      </w:pPr>
    </w:p>
    <w:p w14:paraId="6FBE75E9">
      <w:pPr>
        <w:widowControl/>
        <w:spacing w:line="360" w:lineRule="auto"/>
        <w:ind w:left="1" w:firstLine="281" w:firstLineChars="100"/>
        <w:jc w:val="center"/>
        <w:rPr>
          <w:rFonts w:hAnsi="宋体" w:cs="宋体"/>
          <w:b/>
          <w:sz w:val="28"/>
          <w:szCs w:val="28"/>
          <w:highlight w:val="none"/>
        </w:rPr>
      </w:pPr>
      <w:r>
        <w:rPr>
          <w:rFonts w:hint="eastAsia" w:hAnsi="宋体" w:cs="宋体"/>
          <w:b/>
          <w:sz w:val="28"/>
          <w:szCs w:val="28"/>
          <w:highlight w:val="none"/>
        </w:rPr>
        <w:t>参加政府采购活动前3年内在经营活动中没有重大违法纪录的书面声明</w:t>
      </w:r>
    </w:p>
    <w:p w14:paraId="1A548084">
      <w:pPr>
        <w:widowControl/>
        <w:spacing w:line="360" w:lineRule="auto"/>
        <w:ind w:left="1"/>
        <w:jc w:val="center"/>
        <w:rPr>
          <w:rFonts w:hAnsi="宋体" w:cs="宋体"/>
          <w:b/>
          <w:sz w:val="28"/>
          <w:szCs w:val="28"/>
          <w:highlight w:val="none"/>
        </w:rPr>
      </w:pPr>
      <w:r>
        <w:rPr>
          <w:rFonts w:hint="eastAsia" w:hAnsi="宋体" w:cs="宋体"/>
          <w:b/>
          <w:sz w:val="28"/>
          <w:szCs w:val="28"/>
          <w:highlight w:val="none"/>
        </w:rPr>
        <w:t>（格式）</w:t>
      </w:r>
    </w:p>
    <w:p w14:paraId="7FC3EF9C">
      <w:pPr>
        <w:pStyle w:val="20"/>
        <w:wordWrap w:val="0"/>
        <w:spacing w:beforeAutospacing="0" w:afterAutospacing="0" w:line="560" w:lineRule="exact"/>
        <w:rPr>
          <w:rFonts w:cs="宋体"/>
          <w:highlight w:val="none"/>
          <w:u w:val="single"/>
          <w:shd w:val="clear" w:color="auto" w:fill="FFFFFF"/>
        </w:rPr>
      </w:pPr>
      <w:r>
        <w:rPr>
          <w:rFonts w:hint="eastAsia" w:cs="宋体"/>
          <w:highlight w:val="none"/>
          <w:u w:val="single"/>
          <w:shd w:val="clear" w:color="auto" w:fill="FFFFFF"/>
        </w:rPr>
        <w:t xml:space="preserve">      （采购人）           ：</w:t>
      </w:r>
    </w:p>
    <w:p w14:paraId="76DC189A">
      <w:pPr>
        <w:pStyle w:val="20"/>
        <w:wordWrap w:val="0"/>
        <w:spacing w:beforeAutospacing="0" w:afterAutospacing="0" w:line="560" w:lineRule="exact"/>
        <w:ind w:firstLine="640"/>
        <w:rPr>
          <w:rFonts w:cs="宋体"/>
          <w:highlight w:val="none"/>
        </w:rPr>
      </w:pPr>
      <w:r>
        <w:rPr>
          <w:rFonts w:hint="eastAsia" w:cs="宋体"/>
          <w:highlight w:val="none"/>
          <w:shd w:val="clear" w:color="auto" w:fill="FFFFFF"/>
        </w:rPr>
        <w:t>我方作为项目名称</w:t>
      </w:r>
      <w:r>
        <w:rPr>
          <w:rFonts w:hint="eastAsia" w:cs="宋体"/>
          <w:highlight w:val="none"/>
          <w:u w:val="single"/>
          <w:shd w:val="clear" w:color="auto" w:fill="FFFFFF"/>
        </w:rPr>
        <w:t xml:space="preserve">             </w:t>
      </w:r>
      <w:r>
        <w:rPr>
          <w:rFonts w:hint="eastAsia" w:cs="宋体"/>
          <w:highlight w:val="none"/>
          <w:shd w:val="clear" w:color="auto" w:fill="FFFFFF"/>
        </w:rPr>
        <w:t>（项目编号：</w:t>
      </w:r>
      <w:r>
        <w:rPr>
          <w:rFonts w:hint="eastAsia" w:cs="宋体"/>
          <w:i/>
          <w:iCs/>
          <w:highlight w:val="none"/>
          <w:u w:val="single"/>
          <w:shd w:val="clear" w:color="auto" w:fill="FFFFFF"/>
        </w:rPr>
        <w:t xml:space="preserve">          </w:t>
      </w:r>
      <w:r>
        <w:rPr>
          <w:rFonts w:hint="eastAsia" w:cs="宋体"/>
          <w:highlight w:val="none"/>
          <w:shd w:val="clear" w:color="auto" w:fill="FFFFFF"/>
        </w:rPr>
        <w:t xml:space="preserve">）的供应商，在此郑重声明： </w:t>
      </w:r>
    </w:p>
    <w:p w14:paraId="1C3A94D9">
      <w:pPr>
        <w:pStyle w:val="20"/>
        <w:wordWrap w:val="0"/>
        <w:spacing w:beforeAutospacing="0" w:afterAutospacing="0" w:line="560" w:lineRule="exact"/>
        <w:ind w:firstLine="420"/>
        <w:rPr>
          <w:rFonts w:cs="宋体"/>
          <w:highlight w:val="none"/>
        </w:rPr>
      </w:pPr>
      <w:r>
        <w:rPr>
          <w:rFonts w:hint="eastAsia" w:cs="宋体"/>
          <w:highlight w:val="none"/>
          <w:shd w:val="clear" w:color="auto" w:fill="FFFFFF"/>
        </w:rPr>
        <w:t>在参加本次政府采购活动前3年内的经营活动中</w:t>
      </w:r>
      <w:r>
        <w:rPr>
          <w:rFonts w:hint="eastAsia" w:cs="宋体"/>
          <w:highlight w:val="none"/>
          <w:u w:val="single"/>
          <w:shd w:val="clear" w:color="auto" w:fill="FFFFFF"/>
        </w:rPr>
        <w:t xml:space="preserve">          </w:t>
      </w:r>
      <w:r>
        <w:rPr>
          <w:rFonts w:hint="eastAsia" w:cs="宋体"/>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167C7C8B">
      <w:pPr>
        <w:pStyle w:val="20"/>
        <w:wordWrap w:val="0"/>
        <w:spacing w:beforeAutospacing="0" w:afterAutospacing="0" w:line="560" w:lineRule="exact"/>
        <w:ind w:firstLine="420"/>
        <w:rPr>
          <w:rFonts w:cs="宋体"/>
          <w:highlight w:val="none"/>
        </w:rPr>
      </w:pPr>
      <w:r>
        <w:rPr>
          <w:rFonts w:hint="eastAsia" w:cs="宋体"/>
          <w:highlight w:val="none"/>
          <w:shd w:val="clear" w:color="auto" w:fill="FFFFFF"/>
        </w:rPr>
        <w:t>如有不实，我方将无条件地退出本项目的采购活动，并遵照《</w:t>
      </w:r>
      <w:r>
        <w:rPr>
          <w:rFonts w:hint="eastAsia" w:cs="宋体"/>
          <w:highlight w:val="none"/>
          <w:shd w:val="clear" w:color="auto" w:fill="FFFFFF"/>
        </w:rPr>
        <w:fldChar w:fldCharType="begin"/>
      </w:r>
      <w:r>
        <w:rPr>
          <w:rFonts w:hint="eastAsia" w:cs="宋体"/>
          <w:highlight w:val="none"/>
          <w:shd w:val="clear" w:color="auto" w:fill="FFFFFF"/>
        </w:rPr>
        <w:instrText xml:space="preserve"> HYPERLINK "https://www.ccgp-shaanxi.gov.cn/freecms/site/shaanxi/ggxx/info/oldweb/4028807e62394cf101623bd796a20016.html" \t "https://www.ccgp-shaanxi.gov.cn/cms-sx/site/shanxi/zcfg/_blank" </w:instrText>
      </w:r>
      <w:r>
        <w:rPr>
          <w:rFonts w:hint="eastAsia" w:cs="宋体"/>
          <w:highlight w:val="none"/>
          <w:shd w:val="clear" w:color="auto" w:fill="FFFFFF"/>
        </w:rPr>
        <w:fldChar w:fldCharType="separate"/>
      </w:r>
      <w:r>
        <w:rPr>
          <w:rFonts w:hint="eastAsia" w:cs="宋体"/>
          <w:highlight w:val="none"/>
          <w:shd w:val="clear" w:color="auto" w:fill="FFFFFF"/>
        </w:rPr>
        <w:t>中华人民共和国政府采购法</w:t>
      </w:r>
      <w:r>
        <w:rPr>
          <w:rFonts w:hint="eastAsia" w:cs="宋体"/>
          <w:highlight w:val="none"/>
          <w:shd w:val="clear" w:color="auto" w:fill="FFFFFF"/>
        </w:rPr>
        <w:fldChar w:fldCharType="end"/>
      </w:r>
      <w:r>
        <w:rPr>
          <w:rFonts w:hint="eastAsia" w:cs="宋体"/>
          <w:highlight w:val="none"/>
          <w:shd w:val="clear" w:color="auto" w:fill="FFFFFF"/>
        </w:rPr>
        <w:t xml:space="preserve">》有关“提供虚假材料的规定”接受处罚。 </w:t>
      </w:r>
    </w:p>
    <w:p w14:paraId="5ED101F1">
      <w:pPr>
        <w:pStyle w:val="20"/>
        <w:wordWrap w:val="0"/>
        <w:spacing w:beforeAutospacing="0" w:afterAutospacing="0" w:line="560" w:lineRule="exact"/>
        <w:ind w:firstLine="420"/>
        <w:rPr>
          <w:rFonts w:cs="宋体"/>
          <w:highlight w:val="none"/>
          <w:shd w:val="clear" w:color="auto" w:fill="FFFFFF"/>
        </w:rPr>
      </w:pPr>
      <w:r>
        <w:rPr>
          <w:rFonts w:hint="eastAsia" w:cs="宋体"/>
          <w:highlight w:val="none"/>
          <w:shd w:val="clear" w:color="auto" w:fill="FFFFFF"/>
        </w:rPr>
        <w:t>特此声明！</w:t>
      </w:r>
    </w:p>
    <w:p w14:paraId="72ED12AF">
      <w:pPr>
        <w:pStyle w:val="20"/>
        <w:wordWrap w:val="0"/>
        <w:spacing w:beforeAutospacing="0" w:afterAutospacing="0" w:line="560" w:lineRule="exact"/>
        <w:ind w:firstLine="420"/>
        <w:rPr>
          <w:rFonts w:cs="宋体"/>
          <w:highlight w:val="none"/>
          <w:shd w:val="clear" w:color="auto" w:fill="FFFFFF"/>
        </w:rPr>
      </w:pPr>
    </w:p>
    <w:p w14:paraId="7969BBA3">
      <w:pPr>
        <w:spacing w:line="480" w:lineRule="auto"/>
        <w:ind w:firstLine="3360" w:firstLineChars="1400"/>
        <w:rPr>
          <w:rFonts w:hAnsi="宋体" w:cs="宋体"/>
          <w:highlight w:val="none"/>
        </w:rPr>
      </w:pPr>
      <w:r>
        <w:rPr>
          <w:rFonts w:hint="eastAsia" w:hAnsi="宋体" w:cs="宋体"/>
          <w:highlight w:val="none"/>
          <w:lang w:val="en-US" w:eastAsia="zh-CN"/>
        </w:rPr>
        <w:t>供应商</w:t>
      </w:r>
      <w:r>
        <w:rPr>
          <w:rFonts w:hint="eastAsia" w:hAnsi="宋体" w:cs="宋体"/>
          <w:highlight w:val="none"/>
        </w:rPr>
        <w:t>名称：</w:t>
      </w:r>
      <w:r>
        <w:rPr>
          <w:rFonts w:hint="eastAsia" w:hAnsi="宋体" w:cs="宋体"/>
          <w:highlight w:val="none"/>
          <w:u w:val="single"/>
        </w:rPr>
        <w:t xml:space="preserve">               </w:t>
      </w:r>
      <w:r>
        <w:rPr>
          <w:rFonts w:hint="eastAsia" w:hAnsi="宋体" w:cs="宋体"/>
          <w:highlight w:val="none"/>
        </w:rPr>
        <w:t>（盖章）</w:t>
      </w:r>
    </w:p>
    <w:p w14:paraId="7E6D0C67">
      <w:pPr>
        <w:pStyle w:val="35"/>
        <w:spacing w:before="156" w:beforeLines="50"/>
        <w:ind w:firstLine="3360" w:firstLineChars="1400"/>
        <w:rPr>
          <w:rFonts w:ascii="宋体" w:hAnsi="宋体" w:cs="宋体"/>
          <w:szCs w:val="24"/>
          <w:highlight w:val="none"/>
        </w:rPr>
      </w:pPr>
      <w:r>
        <w:rPr>
          <w:rFonts w:hint="eastAsia" w:ascii="宋体" w:hAnsi="宋体" w:cs="宋体"/>
          <w:szCs w:val="24"/>
          <w:highlight w:val="none"/>
        </w:rPr>
        <w:t>日        期：</w:t>
      </w:r>
      <w:r>
        <w:rPr>
          <w:rFonts w:hint="eastAsia" w:ascii="宋体" w:hAnsi="宋体" w:cs="宋体"/>
          <w:szCs w:val="24"/>
          <w:highlight w:val="none"/>
          <w:u w:val="single"/>
        </w:rPr>
        <w:t xml:space="preserve">      </w:t>
      </w:r>
      <w:r>
        <w:rPr>
          <w:rFonts w:hint="eastAsia" w:ascii="宋体" w:hAnsi="宋体" w:cs="宋体"/>
          <w:szCs w:val="24"/>
          <w:highlight w:val="none"/>
        </w:rPr>
        <w:t>年</w:t>
      </w:r>
      <w:r>
        <w:rPr>
          <w:rFonts w:hint="eastAsia" w:ascii="宋体" w:hAnsi="宋体" w:cs="宋体"/>
          <w:szCs w:val="24"/>
          <w:highlight w:val="none"/>
          <w:u w:val="single"/>
        </w:rPr>
        <w:t xml:space="preserve">     </w:t>
      </w:r>
      <w:r>
        <w:rPr>
          <w:rFonts w:hint="eastAsia" w:ascii="宋体" w:hAnsi="宋体" w:cs="宋体"/>
          <w:szCs w:val="24"/>
          <w:highlight w:val="none"/>
        </w:rPr>
        <w:t>月</w:t>
      </w:r>
      <w:r>
        <w:rPr>
          <w:rFonts w:hint="eastAsia" w:ascii="宋体" w:hAnsi="宋体" w:cs="宋体"/>
          <w:szCs w:val="24"/>
          <w:highlight w:val="none"/>
          <w:u w:val="single"/>
        </w:rPr>
        <w:t xml:space="preserve">     </w:t>
      </w:r>
      <w:r>
        <w:rPr>
          <w:rFonts w:hint="eastAsia" w:ascii="宋体" w:hAnsi="宋体" w:cs="宋体"/>
          <w:szCs w:val="24"/>
          <w:highlight w:val="none"/>
        </w:rPr>
        <w:t>日</w:t>
      </w:r>
    </w:p>
    <w:p w14:paraId="7A3C6764">
      <w:pPr>
        <w:adjustRightInd w:val="0"/>
        <w:snapToGrid w:val="0"/>
        <w:spacing w:line="360" w:lineRule="auto"/>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14:paraId="214D6CE2">
      <w:pPr>
        <w:adjustRightInd w:val="0"/>
        <w:snapToGrid w:val="0"/>
        <w:spacing w:line="360" w:lineRule="auto"/>
        <w:jc w:val="center"/>
        <w:rPr>
          <w:rFonts w:asciiTheme="minorEastAsia" w:hAnsiTheme="minorEastAsia" w:eastAsiaTheme="minorEastAsia" w:cstheme="minorEastAsia"/>
          <w:b/>
          <w:sz w:val="28"/>
          <w:szCs w:val="28"/>
          <w:highlight w:val="none"/>
        </w:rPr>
      </w:pPr>
    </w:p>
    <w:p w14:paraId="49951BFD">
      <w:pPr>
        <w:adjustRightInd w:val="0"/>
        <w:snapToGrid w:val="0"/>
        <w:spacing w:line="360" w:lineRule="auto"/>
        <w:jc w:val="center"/>
        <w:rPr>
          <w:rFonts w:hAnsi="宋体" w:cs="宋体"/>
          <w:b/>
          <w:sz w:val="28"/>
          <w:szCs w:val="28"/>
          <w:highlight w:val="none"/>
        </w:rPr>
      </w:pPr>
      <w:r>
        <w:rPr>
          <w:rFonts w:hint="eastAsia" w:hAnsi="宋体" w:cs="宋体"/>
          <w:b/>
          <w:sz w:val="28"/>
          <w:szCs w:val="28"/>
          <w:highlight w:val="none"/>
        </w:rPr>
        <w:t>具有履行本合同所必需的设备和专业技术能力的书面声明</w:t>
      </w:r>
    </w:p>
    <w:p w14:paraId="1A13F17A">
      <w:pPr>
        <w:widowControl/>
        <w:spacing w:line="360" w:lineRule="auto"/>
        <w:ind w:left="1"/>
        <w:jc w:val="center"/>
        <w:rPr>
          <w:rFonts w:hAnsi="宋体" w:cs="宋体"/>
          <w:b/>
          <w:sz w:val="28"/>
          <w:szCs w:val="28"/>
          <w:highlight w:val="none"/>
        </w:rPr>
      </w:pPr>
      <w:r>
        <w:rPr>
          <w:rFonts w:hint="eastAsia" w:hAnsi="宋体" w:cs="宋体"/>
          <w:b/>
          <w:sz w:val="28"/>
          <w:szCs w:val="28"/>
          <w:highlight w:val="none"/>
        </w:rPr>
        <w:t>（格式）</w:t>
      </w:r>
    </w:p>
    <w:p w14:paraId="1C2E8F5A">
      <w:pPr>
        <w:rPr>
          <w:highlight w:val="none"/>
        </w:rPr>
      </w:pPr>
    </w:p>
    <w:p w14:paraId="53773966">
      <w:pPr>
        <w:pStyle w:val="14"/>
        <w:adjustRightInd w:val="0"/>
        <w:snapToGrid w:val="0"/>
        <w:spacing w:line="720" w:lineRule="exact"/>
        <w:jc w:val="center"/>
        <w:rPr>
          <w:rFonts w:hAnsi="宋体" w:cs="宋体"/>
          <w:b/>
          <w:sz w:val="28"/>
          <w:szCs w:val="28"/>
          <w:highlight w:val="none"/>
        </w:rPr>
      </w:pPr>
    </w:p>
    <w:p w14:paraId="3015D640">
      <w:pPr>
        <w:spacing w:line="720" w:lineRule="exact"/>
        <w:rPr>
          <w:rFonts w:hAnsi="宋体" w:cs="宋体"/>
          <w:spacing w:val="4"/>
          <w:highlight w:val="none"/>
          <w:u w:val="single"/>
        </w:rPr>
      </w:pPr>
      <w:r>
        <w:rPr>
          <w:rFonts w:hint="eastAsia" w:hAnsi="宋体" w:cs="宋体"/>
          <w:spacing w:val="4"/>
          <w:highlight w:val="none"/>
          <w:u w:val="single"/>
        </w:rPr>
        <w:t xml:space="preserve">     （采购人名称）    ：</w:t>
      </w:r>
    </w:p>
    <w:p w14:paraId="5EC58F23">
      <w:pPr>
        <w:pStyle w:val="14"/>
        <w:adjustRightInd w:val="0"/>
        <w:snapToGrid w:val="0"/>
        <w:spacing w:line="720" w:lineRule="exact"/>
        <w:rPr>
          <w:rFonts w:hAnsi="宋体" w:cs="宋体"/>
          <w:spacing w:val="4"/>
          <w:sz w:val="24"/>
          <w:szCs w:val="24"/>
          <w:highlight w:val="none"/>
        </w:rPr>
      </w:pPr>
      <w:r>
        <w:rPr>
          <w:rFonts w:hint="eastAsia" w:hAnsi="宋体" w:cs="宋体"/>
          <w:spacing w:val="4"/>
          <w:sz w:val="24"/>
          <w:szCs w:val="24"/>
          <w:highlight w:val="none"/>
        </w:rPr>
        <w:t xml:space="preserve">   </w:t>
      </w:r>
      <w:r>
        <w:rPr>
          <w:rFonts w:hint="eastAsia" w:hAnsi="宋体" w:cs="宋体"/>
          <w:spacing w:val="4"/>
          <w:sz w:val="24"/>
          <w:szCs w:val="24"/>
          <w:highlight w:val="none"/>
          <w:u w:val="single"/>
        </w:rPr>
        <w:t xml:space="preserve">      （供应商名称）    </w:t>
      </w:r>
      <w:r>
        <w:rPr>
          <w:rFonts w:hint="eastAsia" w:hAnsi="宋体" w:cs="宋体"/>
          <w:spacing w:val="4"/>
          <w:sz w:val="24"/>
          <w:szCs w:val="24"/>
          <w:highlight w:val="none"/>
        </w:rPr>
        <w:t xml:space="preserve"> 于</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年</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月</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日在中华人民共和国境内</w:t>
      </w:r>
      <w:r>
        <w:rPr>
          <w:rFonts w:hint="eastAsia" w:hAnsi="宋体" w:cs="宋体"/>
          <w:spacing w:val="4"/>
          <w:sz w:val="24"/>
          <w:szCs w:val="24"/>
          <w:highlight w:val="none"/>
          <w:u w:val="single"/>
        </w:rPr>
        <w:t xml:space="preserve">               （详细注册地址）     </w:t>
      </w:r>
      <w:r>
        <w:rPr>
          <w:rFonts w:hint="eastAsia" w:hAnsi="宋体" w:cs="宋体"/>
          <w:spacing w:val="4"/>
          <w:sz w:val="24"/>
          <w:szCs w:val="24"/>
          <w:highlight w:val="none"/>
        </w:rPr>
        <w:t>合法注册并经营，公司主营业务为</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w:t>
      </w:r>
    </w:p>
    <w:p w14:paraId="0E2F7E81">
      <w:pPr>
        <w:pStyle w:val="14"/>
        <w:adjustRightInd w:val="0"/>
        <w:snapToGrid w:val="0"/>
        <w:spacing w:line="720" w:lineRule="exact"/>
        <w:ind w:firstLine="550" w:firstLineChars="222"/>
        <w:rPr>
          <w:rFonts w:hAnsi="宋体" w:cs="宋体"/>
          <w:spacing w:val="4"/>
          <w:sz w:val="24"/>
          <w:szCs w:val="24"/>
          <w:highlight w:val="none"/>
        </w:rPr>
      </w:pPr>
      <w:r>
        <w:rPr>
          <w:rFonts w:hint="eastAsia" w:hAnsi="宋体" w:cs="宋体"/>
          <w:spacing w:val="4"/>
          <w:sz w:val="24"/>
          <w:szCs w:val="24"/>
          <w:highlight w:val="none"/>
        </w:rPr>
        <w:t>我公司郑重承诺，我公司具有履行本合同所必需的设备和专业技术能力，合同履约中将无条件增加相关设备、人员，直至满足项目需求。</w:t>
      </w:r>
    </w:p>
    <w:p w14:paraId="514057F9">
      <w:pPr>
        <w:pStyle w:val="14"/>
        <w:adjustRightInd w:val="0"/>
        <w:snapToGrid w:val="0"/>
        <w:spacing w:line="720" w:lineRule="exact"/>
        <w:rPr>
          <w:rFonts w:hAnsi="宋体" w:cs="宋体"/>
          <w:spacing w:val="4"/>
          <w:sz w:val="24"/>
          <w:szCs w:val="24"/>
          <w:highlight w:val="none"/>
        </w:rPr>
      </w:pPr>
    </w:p>
    <w:p w14:paraId="5CBBC02A">
      <w:pPr>
        <w:pStyle w:val="14"/>
        <w:adjustRightInd w:val="0"/>
        <w:snapToGrid w:val="0"/>
        <w:spacing w:line="720" w:lineRule="exact"/>
        <w:rPr>
          <w:rFonts w:hAnsi="宋体" w:cs="宋体"/>
          <w:spacing w:val="4"/>
          <w:sz w:val="24"/>
          <w:szCs w:val="24"/>
          <w:highlight w:val="none"/>
        </w:rPr>
      </w:pPr>
    </w:p>
    <w:p w14:paraId="2866D51E">
      <w:pPr>
        <w:pStyle w:val="14"/>
        <w:adjustRightInd w:val="0"/>
        <w:snapToGrid w:val="0"/>
        <w:spacing w:line="720" w:lineRule="exact"/>
        <w:rPr>
          <w:rFonts w:hAnsi="宋体" w:cs="宋体"/>
          <w:spacing w:val="4"/>
          <w:sz w:val="24"/>
          <w:szCs w:val="24"/>
          <w:highlight w:val="none"/>
        </w:rPr>
      </w:pPr>
    </w:p>
    <w:p w14:paraId="6B562C38">
      <w:pPr>
        <w:spacing w:line="480" w:lineRule="auto"/>
        <w:ind w:firstLine="3360" w:firstLineChars="1400"/>
        <w:rPr>
          <w:rFonts w:hAnsi="宋体" w:cs="宋体"/>
          <w:highlight w:val="none"/>
        </w:rPr>
      </w:pPr>
      <w:r>
        <w:rPr>
          <w:rFonts w:hint="eastAsia" w:hAnsi="宋体" w:cs="宋体"/>
          <w:highlight w:val="none"/>
        </w:rPr>
        <w:t>供应商名称：</w:t>
      </w:r>
      <w:r>
        <w:rPr>
          <w:rFonts w:hint="eastAsia" w:hAnsi="宋体" w:cs="宋体"/>
          <w:highlight w:val="none"/>
          <w:u w:val="single"/>
        </w:rPr>
        <w:t xml:space="preserve">               </w:t>
      </w:r>
      <w:r>
        <w:rPr>
          <w:rFonts w:hint="eastAsia" w:hAnsi="宋体" w:cs="宋体"/>
          <w:highlight w:val="none"/>
        </w:rPr>
        <w:t>（盖章）</w:t>
      </w:r>
    </w:p>
    <w:p w14:paraId="64845D1B">
      <w:pPr>
        <w:pStyle w:val="35"/>
        <w:spacing w:before="156" w:beforeLines="50"/>
        <w:ind w:firstLine="3360" w:firstLineChars="1400"/>
        <w:rPr>
          <w:rFonts w:ascii="宋体" w:hAnsi="宋体" w:cs="宋体"/>
          <w:szCs w:val="24"/>
          <w:highlight w:val="none"/>
        </w:rPr>
      </w:pPr>
      <w:r>
        <w:rPr>
          <w:rFonts w:hint="eastAsia" w:ascii="宋体" w:hAnsi="宋体" w:cs="宋体"/>
          <w:szCs w:val="24"/>
          <w:highlight w:val="none"/>
        </w:rPr>
        <w:t>日        期：</w:t>
      </w:r>
      <w:r>
        <w:rPr>
          <w:rFonts w:hint="eastAsia" w:ascii="宋体" w:hAnsi="宋体" w:cs="宋体"/>
          <w:szCs w:val="24"/>
          <w:highlight w:val="none"/>
          <w:u w:val="single"/>
        </w:rPr>
        <w:t xml:space="preserve">      </w:t>
      </w:r>
      <w:r>
        <w:rPr>
          <w:rFonts w:hint="eastAsia" w:ascii="宋体" w:hAnsi="宋体" w:cs="宋体"/>
          <w:szCs w:val="24"/>
          <w:highlight w:val="none"/>
        </w:rPr>
        <w:t>年</w:t>
      </w:r>
      <w:r>
        <w:rPr>
          <w:rFonts w:hint="eastAsia" w:ascii="宋体" w:hAnsi="宋体" w:cs="宋体"/>
          <w:szCs w:val="24"/>
          <w:highlight w:val="none"/>
          <w:u w:val="single"/>
        </w:rPr>
        <w:t xml:space="preserve">     </w:t>
      </w:r>
      <w:r>
        <w:rPr>
          <w:rFonts w:hint="eastAsia" w:ascii="宋体" w:hAnsi="宋体" w:cs="宋体"/>
          <w:szCs w:val="24"/>
          <w:highlight w:val="none"/>
        </w:rPr>
        <w:t>月</w:t>
      </w:r>
      <w:r>
        <w:rPr>
          <w:rFonts w:hint="eastAsia" w:ascii="宋体" w:hAnsi="宋体" w:cs="宋体"/>
          <w:szCs w:val="24"/>
          <w:highlight w:val="none"/>
          <w:u w:val="single"/>
        </w:rPr>
        <w:t xml:space="preserve">     </w:t>
      </w:r>
      <w:r>
        <w:rPr>
          <w:rFonts w:hint="eastAsia" w:ascii="宋体" w:hAnsi="宋体" w:cs="宋体"/>
          <w:szCs w:val="24"/>
          <w:highlight w:val="none"/>
        </w:rPr>
        <w:t>日</w:t>
      </w:r>
    </w:p>
    <w:p w14:paraId="404D9BB7">
      <w:pPr>
        <w:rPr>
          <w:rFonts w:hAnsi="宋体" w:cs="宋体"/>
          <w:spacing w:val="4"/>
          <w:szCs w:val="30"/>
          <w:highlight w:val="none"/>
        </w:rPr>
      </w:pPr>
      <w:r>
        <w:rPr>
          <w:rFonts w:hint="eastAsia" w:hAnsi="宋体" w:cs="宋体"/>
          <w:spacing w:val="4"/>
          <w:szCs w:val="30"/>
          <w:highlight w:val="none"/>
        </w:rPr>
        <w:br w:type="page"/>
      </w:r>
    </w:p>
    <w:p w14:paraId="725C9624">
      <w:pPr>
        <w:spacing w:before="100" w:beforeAutospacing="1" w:after="156" w:afterLines="50" w:line="360" w:lineRule="auto"/>
        <w:jc w:val="left"/>
        <w:outlineLvl w:val="2"/>
        <w:rPr>
          <w:rFonts w:hint="eastAsia" w:hAnsi="宋体" w:eastAsia="宋体" w:cs="宋体"/>
          <w:b/>
          <w:sz w:val="28"/>
          <w:szCs w:val="28"/>
          <w:highlight w:val="none"/>
          <w:lang w:eastAsia="zh-CN"/>
        </w:rPr>
      </w:pPr>
      <w:bookmarkStart w:id="171" w:name="_Toc29482"/>
      <w:r>
        <w:rPr>
          <w:rFonts w:hint="eastAsia" w:hAnsi="宋体" w:cs="宋体"/>
          <w:b/>
          <w:sz w:val="28"/>
          <w:szCs w:val="28"/>
          <w:highlight w:val="none"/>
        </w:rPr>
        <w:t>附件2：中小企业声明函</w:t>
      </w:r>
      <w:bookmarkEnd w:id="169"/>
      <w:bookmarkEnd w:id="170"/>
      <w:bookmarkEnd w:id="171"/>
      <w:r>
        <w:rPr>
          <w:rFonts w:hint="eastAsia" w:hAnsi="宋体" w:cs="宋体"/>
          <w:b/>
          <w:sz w:val="28"/>
          <w:szCs w:val="28"/>
          <w:highlight w:val="none"/>
          <w:lang w:eastAsia="zh-CN"/>
        </w:rPr>
        <w:t>（</w:t>
      </w:r>
      <w:r>
        <w:rPr>
          <w:rFonts w:hint="eastAsia" w:hAnsi="宋体" w:cs="宋体"/>
          <w:b/>
          <w:sz w:val="28"/>
          <w:szCs w:val="28"/>
          <w:highlight w:val="none"/>
          <w:lang w:val="en-US" w:eastAsia="zh-CN"/>
        </w:rPr>
        <w:t>如有</w:t>
      </w:r>
      <w:r>
        <w:rPr>
          <w:rFonts w:hint="eastAsia" w:hAnsi="宋体" w:cs="宋体"/>
          <w:b/>
          <w:sz w:val="28"/>
          <w:szCs w:val="28"/>
          <w:highlight w:val="none"/>
          <w:lang w:eastAsia="zh-CN"/>
        </w:rPr>
        <w:t>）</w:t>
      </w:r>
    </w:p>
    <w:p w14:paraId="4FEF5DB5">
      <w:pPr>
        <w:spacing w:before="156" w:beforeLines="50" w:after="156" w:afterLines="50" w:line="360" w:lineRule="auto"/>
        <w:jc w:val="center"/>
        <w:rPr>
          <w:rFonts w:hAnsi="宋体" w:cs="宋体"/>
          <w:b/>
          <w:sz w:val="28"/>
          <w:szCs w:val="28"/>
          <w:highlight w:val="none"/>
        </w:rPr>
      </w:pPr>
      <w:bookmarkStart w:id="172" w:name="_Toc13836"/>
    </w:p>
    <w:p w14:paraId="0B27FDAD">
      <w:pPr>
        <w:spacing w:before="156" w:beforeLines="50" w:after="156" w:afterLines="50" w:line="360" w:lineRule="auto"/>
        <w:jc w:val="center"/>
        <w:rPr>
          <w:rFonts w:hAnsi="宋体" w:cs="宋体"/>
          <w:szCs w:val="24"/>
          <w:highlight w:val="none"/>
        </w:rPr>
      </w:pPr>
      <w:r>
        <w:rPr>
          <w:rFonts w:hint="eastAsia" w:hAnsi="宋体" w:cs="宋体"/>
          <w:b/>
          <w:sz w:val="28"/>
          <w:szCs w:val="28"/>
          <w:highlight w:val="none"/>
        </w:rPr>
        <w:t>中小企业声明函</w:t>
      </w:r>
    </w:p>
    <w:p w14:paraId="29881B19">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本公司郑重声明，根据《政府采购促进中小企业发展管理办法》（财库﹝2020﹞46 号）的规定，本公司参加</w:t>
      </w:r>
      <w:r>
        <w:rPr>
          <w:rFonts w:hint="eastAsia" w:hAnsi="宋体" w:cs="宋体"/>
          <w:szCs w:val="24"/>
          <w:highlight w:val="none"/>
          <w:u w:val="single"/>
        </w:rPr>
        <w:t>（单位名称）</w:t>
      </w:r>
      <w:r>
        <w:rPr>
          <w:rFonts w:hint="eastAsia" w:hAnsi="宋体" w:cs="宋体"/>
          <w:szCs w:val="24"/>
          <w:highlight w:val="none"/>
        </w:rPr>
        <w:t>的</w:t>
      </w:r>
      <w:r>
        <w:rPr>
          <w:rFonts w:hint="eastAsia" w:hAnsi="宋体" w:cs="宋体"/>
          <w:szCs w:val="24"/>
          <w:highlight w:val="none"/>
          <w:u w:val="single"/>
        </w:rPr>
        <w:t>（项目名称）</w:t>
      </w:r>
      <w:r>
        <w:rPr>
          <w:rFonts w:hint="eastAsia" w:hAnsi="宋体" w:cs="宋体"/>
          <w:szCs w:val="24"/>
          <w:highlight w:val="none"/>
        </w:rPr>
        <w:t>采购活动，工程的施工单位全部为符合政策要求的中小企业（或者：服务全部由符合政策要求的中小企业承接）。相关企业的具体情况如下：</w:t>
      </w:r>
    </w:p>
    <w:p w14:paraId="6FB5A24D">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1.</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w:t>
      </w:r>
      <w:r>
        <w:rPr>
          <w:rFonts w:hint="eastAsia" w:hAnsi="宋体" w:cs="宋体"/>
          <w:szCs w:val="24"/>
          <w:highlight w:val="none"/>
          <w:u w:val="single"/>
        </w:rPr>
        <w:t xml:space="preserve">为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7B47A431">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2.</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u w:val="single"/>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018F0D60">
      <w:pPr>
        <w:tabs>
          <w:tab w:val="left" w:pos="1620"/>
          <w:tab w:val="left" w:pos="1800"/>
        </w:tabs>
        <w:spacing w:line="500" w:lineRule="exact"/>
        <w:rPr>
          <w:rFonts w:hAnsi="宋体" w:cs="宋体"/>
          <w:szCs w:val="24"/>
          <w:highlight w:val="none"/>
        </w:rPr>
      </w:pPr>
      <w:r>
        <w:rPr>
          <w:rFonts w:hint="eastAsia" w:hAnsi="宋体" w:cs="宋体"/>
          <w:szCs w:val="24"/>
          <w:highlight w:val="none"/>
        </w:rPr>
        <w:t>……</w:t>
      </w:r>
    </w:p>
    <w:p w14:paraId="6D482532">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以上企业，不属于大企业的分支机构，不存在控股股东为大企业的情形，也不存在与大企业的负责人为同一人的情形。</w:t>
      </w:r>
    </w:p>
    <w:p w14:paraId="07DFC584">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本企业对上述声明内容的真实性负责。如有虚假，将依法承担相应责任。</w:t>
      </w:r>
    </w:p>
    <w:p w14:paraId="0E16E9EB">
      <w:pPr>
        <w:tabs>
          <w:tab w:val="left" w:pos="1620"/>
          <w:tab w:val="left" w:pos="1800"/>
        </w:tabs>
        <w:spacing w:line="500" w:lineRule="exact"/>
        <w:rPr>
          <w:rFonts w:hAnsi="宋体" w:cs="宋体"/>
          <w:szCs w:val="24"/>
          <w:highlight w:val="none"/>
        </w:rPr>
      </w:pPr>
    </w:p>
    <w:p w14:paraId="5E5557F6">
      <w:pPr>
        <w:tabs>
          <w:tab w:val="left" w:pos="1620"/>
          <w:tab w:val="left" w:pos="1800"/>
        </w:tabs>
        <w:spacing w:line="500" w:lineRule="exact"/>
        <w:rPr>
          <w:rFonts w:hAnsi="宋体" w:cs="宋体"/>
          <w:szCs w:val="24"/>
          <w:highlight w:val="none"/>
        </w:rPr>
      </w:pPr>
    </w:p>
    <w:p w14:paraId="3E12A7D8">
      <w:pPr>
        <w:tabs>
          <w:tab w:val="left" w:pos="1620"/>
          <w:tab w:val="left" w:pos="1800"/>
        </w:tabs>
        <w:spacing w:line="500" w:lineRule="exact"/>
        <w:ind w:firstLine="4800" w:firstLineChars="2000"/>
        <w:rPr>
          <w:rFonts w:hAnsi="宋体" w:cs="宋体"/>
          <w:szCs w:val="24"/>
          <w:highlight w:val="none"/>
        </w:rPr>
      </w:pPr>
      <w:r>
        <w:rPr>
          <w:rFonts w:hint="eastAsia" w:hAnsi="宋体" w:cs="宋体"/>
          <w:szCs w:val="24"/>
          <w:highlight w:val="none"/>
        </w:rPr>
        <w:t>企业名称（盖章）：</w:t>
      </w:r>
    </w:p>
    <w:p w14:paraId="0C2F9AA4">
      <w:pPr>
        <w:tabs>
          <w:tab w:val="left" w:pos="1620"/>
          <w:tab w:val="left" w:pos="1800"/>
        </w:tabs>
        <w:spacing w:line="500" w:lineRule="exact"/>
        <w:ind w:firstLine="4800" w:firstLineChars="2000"/>
        <w:rPr>
          <w:rFonts w:hAnsi="宋体" w:cs="宋体"/>
          <w:szCs w:val="24"/>
          <w:highlight w:val="none"/>
        </w:rPr>
      </w:pPr>
      <w:r>
        <w:rPr>
          <w:rFonts w:hint="eastAsia" w:hAnsi="宋体" w:cs="宋体"/>
          <w:szCs w:val="24"/>
          <w:highlight w:val="none"/>
        </w:rPr>
        <w:t>日期：</w:t>
      </w:r>
    </w:p>
    <w:p w14:paraId="24FE5BA4">
      <w:pPr>
        <w:rPr>
          <w:rFonts w:hAnsi="宋体" w:cs="宋体"/>
          <w:b/>
          <w:sz w:val="28"/>
          <w:szCs w:val="28"/>
          <w:highlight w:val="none"/>
        </w:rPr>
      </w:pPr>
      <w:r>
        <w:rPr>
          <w:rFonts w:hint="eastAsia" w:hAnsi="宋体" w:cs="宋体"/>
          <w:b/>
          <w:sz w:val="28"/>
          <w:szCs w:val="28"/>
          <w:highlight w:val="none"/>
        </w:rPr>
        <w:br w:type="page"/>
      </w:r>
    </w:p>
    <w:bookmarkEnd w:id="172"/>
    <w:p w14:paraId="2E74E430">
      <w:pPr>
        <w:spacing w:before="100" w:beforeAutospacing="1" w:after="156" w:afterLines="50" w:line="360" w:lineRule="auto"/>
        <w:outlineLvl w:val="2"/>
        <w:rPr>
          <w:rFonts w:hAnsi="宋体" w:cs="宋体"/>
          <w:b/>
          <w:bCs/>
          <w:spacing w:val="6"/>
          <w:sz w:val="30"/>
          <w:szCs w:val="30"/>
          <w:highlight w:val="none"/>
        </w:rPr>
      </w:pPr>
      <w:bookmarkStart w:id="173" w:name="_Toc22425"/>
      <w:bookmarkStart w:id="174" w:name="_Toc11066"/>
      <w:bookmarkStart w:id="175" w:name="_Toc11235"/>
      <w:r>
        <w:rPr>
          <w:rFonts w:hint="eastAsia" w:hAnsi="宋体" w:cs="宋体"/>
          <w:b/>
          <w:bCs/>
          <w:spacing w:val="6"/>
          <w:sz w:val="30"/>
          <w:szCs w:val="30"/>
          <w:highlight w:val="none"/>
        </w:rPr>
        <w:t>附件3：残疾人福利性单位声明函（如有）</w:t>
      </w:r>
      <w:bookmarkEnd w:id="173"/>
      <w:bookmarkEnd w:id="174"/>
      <w:bookmarkEnd w:id="175"/>
    </w:p>
    <w:p w14:paraId="397050CB">
      <w:pPr>
        <w:spacing w:line="588" w:lineRule="exact"/>
        <w:jc w:val="center"/>
        <w:rPr>
          <w:rFonts w:hAnsi="宋体" w:cs="宋体"/>
          <w:b/>
          <w:spacing w:val="6"/>
          <w:sz w:val="32"/>
          <w:szCs w:val="32"/>
          <w:highlight w:val="none"/>
        </w:rPr>
      </w:pPr>
      <w:bookmarkStart w:id="176" w:name="OLE_LINK13"/>
      <w:bookmarkStart w:id="177" w:name="OLE_LINK14"/>
      <w:r>
        <w:rPr>
          <w:rFonts w:hint="eastAsia" w:hAnsi="宋体" w:cs="宋体"/>
          <w:b/>
          <w:spacing w:val="6"/>
          <w:sz w:val="32"/>
          <w:szCs w:val="32"/>
          <w:highlight w:val="none"/>
        </w:rPr>
        <w:t>残疾人福利性单位声明函</w:t>
      </w:r>
    </w:p>
    <w:bookmarkEnd w:id="176"/>
    <w:bookmarkEnd w:id="177"/>
    <w:p w14:paraId="45DA74CF">
      <w:pPr>
        <w:spacing w:line="588" w:lineRule="exact"/>
        <w:rPr>
          <w:rFonts w:hAnsi="宋体" w:cs="宋体"/>
          <w:b/>
          <w:spacing w:val="6"/>
          <w:sz w:val="30"/>
          <w:szCs w:val="30"/>
          <w:highlight w:val="none"/>
        </w:rPr>
      </w:pPr>
    </w:p>
    <w:p w14:paraId="352B8413">
      <w:pPr>
        <w:spacing w:line="588" w:lineRule="exact"/>
        <w:ind w:firstLine="504" w:firstLineChars="200"/>
        <w:rPr>
          <w:rFonts w:hAnsi="宋体" w:cs="宋体"/>
          <w:spacing w:val="6"/>
          <w:szCs w:val="24"/>
          <w:highlight w:val="none"/>
        </w:rPr>
      </w:pPr>
      <w:r>
        <w:rPr>
          <w:rFonts w:hint="eastAsia" w:hAnsi="宋体" w:cs="宋体"/>
          <w:spacing w:val="6"/>
          <w:szCs w:val="24"/>
          <w:highlight w:val="none"/>
        </w:rPr>
        <w:t>本单位郑重声明，根据《财政部 民政部 中国残疾人联合会关于促进残疾人就业政府采购政策的通知》（财库</w:t>
      </w:r>
      <w:r>
        <w:rPr>
          <w:rFonts w:hint="eastAsia" w:hAnsi="宋体" w:cs="宋体"/>
          <w:szCs w:val="24"/>
          <w:highlight w:val="none"/>
        </w:rPr>
        <w:t>〔2017〕 141</w:t>
      </w:r>
      <w:r>
        <w:rPr>
          <w:rFonts w:hint="eastAsia" w:hAnsi="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37A1D1F">
      <w:pPr>
        <w:spacing w:line="588" w:lineRule="exact"/>
        <w:ind w:firstLine="504" w:firstLineChars="200"/>
        <w:rPr>
          <w:rFonts w:hAnsi="宋体" w:cs="宋体"/>
          <w:spacing w:val="6"/>
          <w:szCs w:val="24"/>
          <w:highlight w:val="none"/>
        </w:rPr>
      </w:pPr>
      <w:r>
        <w:rPr>
          <w:rFonts w:hint="eastAsia" w:hAnsi="宋体" w:cs="宋体"/>
          <w:spacing w:val="6"/>
          <w:szCs w:val="24"/>
          <w:highlight w:val="none"/>
        </w:rPr>
        <w:t>本单位对上述声明的真实性负责。如有虚假，将依法承担相应责任。</w:t>
      </w:r>
    </w:p>
    <w:p w14:paraId="2D63F955">
      <w:pPr>
        <w:spacing w:line="588" w:lineRule="exact"/>
        <w:ind w:firstLine="504" w:firstLineChars="200"/>
        <w:rPr>
          <w:rFonts w:hAnsi="宋体" w:cs="宋体"/>
          <w:spacing w:val="6"/>
          <w:szCs w:val="24"/>
          <w:highlight w:val="none"/>
        </w:rPr>
      </w:pPr>
    </w:p>
    <w:p w14:paraId="48D68A40">
      <w:pPr>
        <w:spacing w:line="588" w:lineRule="exact"/>
        <w:ind w:firstLine="504" w:firstLineChars="200"/>
        <w:rPr>
          <w:rFonts w:hAnsi="宋体" w:cs="宋体"/>
          <w:spacing w:val="6"/>
          <w:szCs w:val="24"/>
          <w:highlight w:val="none"/>
        </w:rPr>
      </w:pPr>
    </w:p>
    <w:p w14:paraId="5FCE372B">
      <w:pPr>
        <w:spacing w:line="588" w:lineRule="exact"/>
        <w:ind w:firstLine="504" w:firstLineChars="200"/>
        <w:rPr>
          <w:rFonts w:hAnsi="宋体" w:cs="宋体"/>
          <w:spacing w:val="6"/>
          <w:szCs w:val="24"/>
          <w:highlight w:val="none"/>
        </w:rPr>
      </w:pPr>
    </w:p>
    <w:p w14:paraId="6BBE749A">
      <w:pPr>
        <w:spacing w:line="588" w:lineRule="exact"/>
        <w:ind w:firstLine="504" w:firstLineChars="200"/>
        <w:rPr>
          <w:rFonts w:hAnsi="宋体" w:cs="宋体"/>
          <w:spacing w:val="6"/>
          <w:szCs w:val="24"/>
          <w:highlight w:val="none"/>
        </w:rPr>
      </w:pPr>
    </w:p>
    <w:p w14:paraId="198CC1E0">
      <w:pPr>
        <w:tabs>
          <w:tab w:val="left" w:pos="4860"/>
        </w:tabs>
        <w:spacing w:line="588" w:lineRule="exact"/>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单位名称（盖章）：</w:t>
      </w:r>
    </w:p>
    <w:p w14:paraId="4F6EADB2">
      <w:pPr>
        <w:tabs>
          <w:tab w:val="left" w:pos="4860"/>
        </w:tabs>
        <w:spacing w:line="588" w:lineRule="exact"/>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日    期：</w:t>
      </w:r>
    </w:p>
    <w:p w14:paraId="08F41002">
      <w:pPr>
        <w:spacing w:line="360" w:lineRule="auto"/>
        <w:ind w:right="640"/>
        <w:rPr>
          <w:rFonts w:hAnsi="宋体" w:cs="宋体"/>
          <w:szCs w:val="24"/>
          <w:highlight w:val="none"/>
        </w:rPr>
      </w:pPr>
      <w:r>
        <w:rPr>
          <w:rFonts w:hint="eastAsia" w:hAnsi="宋体" w:cs="宋体"/>
          <w:highlight w:val="none"/>
        </w:rPr>
        <w:br w:type="page"/>
      </w:r>
    </w:p>
    <w:p w14:paraId="31D3A660">
      <w:pPr>
        <w:spacing w:line="360" w:lineRule="auto"/>
        <w:rPr>
          <w:rFonts w:hAnsi="宋体" w:cs="宋体"/>
          <w:szCs w:val="24"/>
          <w:highlight w:val="none"/>
        </w:rPr>
      </w:pPr>
    </w:p>
    <w:p w14:paraId="558787D1">
      <w:pPr>
        <w:spacing w:line="360" w:lineRule="auto"/>
        <w:outlineLvl w:val="2"/>
        <w:rPr>
          <w:rFonts w:hAnsi="宋体" w:cs="宋体"/>
          <w:b/>
          <w:sz w:val="28"/>
          <w:szCs w:val="28"/>
          <w:highlight w:val="none"/>
        </w:rPr>
      </w:pPr>
      <w:bookmarkStart w:id="178" w:name="_Toc2139"/>
      <w:bookmarkStart w:id="179" w:name="_Toc2119"/>
      <w:bookmarkStart w:id="180" w:name="_Toc29109"/>
      <w:r>
        <w:rPr>
          <w:rFonts w:hint="eastAsia" w:hAnsi="宋体" w:cs="宋体"/>
          <w:b/>
          <w:sz w:val="28"/>
          <w:szCs w:val="28"/>
          <w:highlight w:val="none"/>
        </w:rPr>
        <w:t>附件4：质疑函范本</w:t>
      </w:r>
      <w:bookmarkEnd w:id="178"/>
      <w:bookmarkEnd w:id="179"/>
      <w:bookmarkEnd w:id="180"/>
    </w:p>
    <w:p w14:paraId="5258451D">
      <w:pPr>
        <w:jc w:val="center"/>
        <w:rPr>
          <w:rFonts w:hAnsi="宋体" w:cs="宋体"/>
          <w:b/>
          <w:bCs/>
          <w:sz w:val="44"/>
          <w:szCs w:val="44"/>
          <w:highlight w:val="none"/>
        </w:rPr>
      </w:pPr>
      <w:r>
        <w:rPr>
          <w:rFonts w:hint="eastAsia" w:hAnsi="宋体" w:cs="宋体"/>
          <w:b/>
          <w:bCs/>
          <w:sz w:val="44"/>
          <w:szCs w:val="44"/>
          <w:highlight w:val="none"/>
        </w:rPr>
        <w:t>质疑函范本</w:t>
      </w:r>
    </w:p>
    <w:p w14:paraId="70236E5F">
      <w:pPr>
        <w:adjustRightInd w:val="0"/>
        <w:snapToGrid w:val="0"/>
        <w:spacing w:before="312" w:beforeLines="100" w:line="360" w:lineRule="auto"/>
        <w:rPr>
          <w:rFonts w:hAnsi="宋体" w:cs="宋体"/>
          <w:bCs/>
          <w:szCs w:val="24"/>
          <w:highlight w:val="none"/>
        </w:rPr>
      </w:pPr>
      <w:r>
        <w:rPr>
          <w:rFonts w:hint="eastAsia" w:hAnsi="宋体" w:cs="宋体"/>
          <w:bCs/>
          <w:szCs w:val="24"/>
          <w:highlight w:val="none"/>
        </w:rPr>
        <w:t>一、质疑供应商基本信息</w:t>
      </w:r>
    </w:p>
    <w:p w14:paraId="140736F3">
      <w:pPr>
        <w:adjustRightInd w:val="0"/>
        <w:snapToGrid w:val="0"/>
        <w:spacing w:line="360" w:lineRule="auto"/>
        <w:rPr>
          <w:rFonts w:hAnsi="宋体" w:cs="宋体"/>
          <w:szCs w:val="24"/>
          <w:highlight w:val="none"/>
          <w:u w:val="dotted"/>
        </w:rPr>
      </w:pPr>
      <w:r>
        <w:rPr>
          <w:rFonts w:hint="eastAsia" w:hAnsi="宋体" w:cs="宋体"/>
          <w:szCs w:val="24"/>
          <w:highlight w:val="none"/>
        </w:rPr>
        <w:t>质疑供应商：</w:t>
      </w:r>
      <w:r>
        <w:rPr>
          <w:rFonts w:hint="eastAsia" w:hAnsi="宋体" w:cs="宋体"/>
          <w:szCs w:val="24"/>
          <w:highlight w:val="none"/>
          <w:u w:val="dotted"/>
        </w:rPr>
        <w:t xml:space="preserve">                                        </w:t>
      </w:r>
    </w:p>
    <w:p w14:paraId="0BA35523">
      <w:pPr>
        <w:adjustRightInd w:val="0"/>
        <w:snapToGrid w:val="0"/>
        <w:spacing w:line="360" w:lineRule="auto"/>
        <w:rPr>
          <w:rFonts w:hAnsi="宋体" w:cs="宋体"/>
          <w:szCs w:val="24"/>
          <w:highlight w:val="none"/>
        </w:rPr>
      </w:pPr>
      <w:r>
        <w:rPr>
          <w:rFonts w:hint="eastAsia" w:hAnsi="宋体" w:cs="宋体"/>
          <w:szCs w:val="24"/>
          <w:highlight w:val="none"/>
        </w:rPr>
        <w:t>地址：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14DF9642">
      <w:pPr>
        <w:adjustRightInd w:val="0"/>
        <w:snapToGrid w:val="0"/>
        <w:spacing w:line="360" w:lineRule="auto"/>
        <w:rPr>
          <w:rFonts w:hAnsi="宋体" w:cs="宋体"/>
          <w:szCs w:val="24"/>
          <w:highlight w:val="non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72FE5051">
      <w:pPr>
        <w:adjustRightInd w:val="0"/>
        <w:snapToGrid w:val="0"/>
        <w:spacing w:line="360" w:lineRule="auto"/>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p>
    <w:p w14:paraId="432D9001">
      <w:pPr>
        <w:adjustRightInd w:val="0"/>
        <w:snapToGrid w:val="0"/>
        <w:spacing w:line="360" w:lineRule="auto"/>
        <w:rPr>
          <w:rFonts w:hAnsi="宋体" w:cs="宋体"/>
          <w:szCs w:val="24"/>
          <w:highlight w:val="none"/>
        </w:rPr>
      </w:pP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rPr>
        <w:t xml:space="preserve"> </w:t>
      </w:r>
    </w:p>
    <w:p w14:paraId="02C2BF53">
      <w:pPr>
        <w:adjustRightInd w:val="0"/>
        <w:snapToGrid w:val="0"/>
        <w:spacing w:line="360" w:lineRule="auto"/>
        <w:rPr>
          <w:rFonts w:hAnsi="宋体" w:cs="宋体"/>
          <w:szCs w:val="24"/>
          <w:highlight w:val="none"/>
        </w:rPr>
      </w:pPr>
      <w:r>
        <w:rPr>
          <w:rFonts w:hint="eastAsia" w:hAnsi="宋体" w:cs="宋体"/>
          <w:szCs w:val="24"/>
          <w:highlight w:val="none"/>
        </w:rPr>
        <w:t xml:space="preserve">地址： </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35AD68FC">
      <w:pPr>
        <w:adjustRightInd w:val="0"/>
        <w:snapToGrid w:val="0"/>
        <w:spacing w:line="360" w:lineRule="auto"/>
        <w:rPr>
          <w:rFonts w:hAnsi="宋体" w:cs="宋体"/>
          <w:bCs/>
          <w:szCs w:val="24"/>
          <w:highlight w:val="none"/>
        </w:rPr>
      </w:pPr>
      <w:r>
        <w:rPr>
          <w:rFonts w:hint="eastAsia" w:hAnsi="宋体" w:cs="宋体"/>
          <w:bCs/>
          <w:szCs w:val="24"/>
          <w:highlight w:val="none"/>
        </w:rPr>
        <w:t>二、质疑项目基本情况</w:t>
      </w:r>
    </w:p>
    <w:p w14:paraId="0821CE32">
      <w:pPr>
        <w:adjustRightInd w:val="0"/>
        <w:snapToGrid w:val="0"/>
        <w:spacing w:line="360" w:lineRule="auto"/>
        <w:rPr>
          <w:rFonts w:hAnsi="宋体" w:cs="宋体"/>
          <w:szCs w:val="24"/>
          <w:highlight w:val="none"/>
        </w:rPr>
      </w:pPr>
      <w:r>
        <w:rPr>
          <w:rFonts w:hint="eastAsia" w:hAnsi="宋体" w:cs="宋体"/>
          <w:szCs w:val="24"/>
          <w:highlight w:val="none"/>
        </w:rPr>
        <w:t>质疑项目的名称：</w:t>
      </w:r>
      <w:r>
        <w:rPr>
          <w:rFonts w:hint="eastAsia" w:hAnsi="宋体" w:cs="宋体"/>
          <w:szCs w:val="24"/>
          <w:highlight w:val="none"/>
          <w:u w:val="dotted"/>
        </w:rPr>
        <w:t xml:space="preserve">                                      </w:t>
      </w:r>
    </w:p>
    <w:p w14:paraId="3E97D7F7">
      <w:pPr>
        <w:adjustRightInd w:val="0"/>
        <w:snapToGrid w:val="0"/>
        <w:spacing w:line="360" w:lineRule="auto"/>
        <w:rPr>
          <w:rFonts w:hAnsi="宋体" w:cs="宋体"/>
          <w:szCs w:val="24"/>
          <w:highlight w:val="none"/>
        </w:rPr>
      </w:pPr>
      <w:r>
        <w:rPr>
          <w:rFonts w:hint="eastAsia" w:hAnsi="宋体" w:cs="宋体"/>
          <w:szCs w:val="24"/>
          <w:highlight w:val="none"/>
        </w:rPr>
        <w:t>质疑项目的编号：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09AC8BCC">
      <w:pPr>
        <w:adjustRightInd w:val="0"/>
        <w:snapToGrid w:val="0"/>
        <w:spacing w:line="360" w:lineRule="auto"/>
        <w:rPr>
          <w:rFonts w:hAnsi="宋体" w:cs="宋体"/>
          <w:szCs w:val="24"/>
          <w:highlight w:val="none"/>
          <w:u w:val="dotted"/>
        </w:rPr>
      </w:pPr>
      <w:r>
        <w:rPr>
          <w:rFonts w:hint="eastAsia" w:hAnsi="宋体" w:cs="宋体"/>
          <w:szCs w:val="24"/>
          <w:highlight w:val="none"/>
        </w:rPr>
        <w:t>采购人名称：</w:t>
      </w:r>
      <w:r>
        <w:rPr>
          <w:rFonts w:hint="eastAsia" w:hAnsi="宋体" w:cs="宋体"/>
          <w:szCs w:val="24"/>
          <w:highlight w:val="none"/>
          <w:u w:val="dotted"/>
        </w:rPr>
        <w:t xml:space="preserve">                                         </w:t>
      </w:r>
    </w:p>
    <w:p w14:paraId="6B9BEC69">
      <w:pPr>
        <w:adjustRightInd w:val="0"/>
        <w:snapToGrid w:val="0"/>
        <w:spacing w:line="360" w:lineRule="auto"/>
        <w:rPr>
          <w:rFonts w:hAnsi="宋体" w:cs="宋体"/>
          <w:szCs w:val="24"/>
          <w:highlight w:val="none"/>
        </w:rPr>
      </w:pPr>
      <w:r>
        <w:rPr>
          <w:rFonts w:hint="eastAsia" w:hAnsi="宋体" w:cs="宋体"/>
          <w:szCs w:val="24"/>
          <w:highlight w:val="none"/>
        </w:rPr>
        <w:t>采购文件获取日期：</w:t>
      </w:r>
      <w:r>
        <w:rPr>
          <w:rFonts w:hint="eastAsia" w:hAnsi="宋体" w:cs="宋体"/>
          <w:szCs w:val="24"/>
          <w:highlight w:val="none"/>
          <w:u w:val="dotted"/>
        </w:rPr>
        <w:t xml:space="preserve">                                           </w:t>
      </w:r>
    </w:p>
    <w:p w14:paraId="11612350">
      <w:pPr>
        <w:adjustRightInd w:val="0"/>
        <w:snapToGrid w:val="0"/>
        <w:spacing w:line="360" w:lineRule="auto"/>
        <w:rPr>
          <w:rFonts w:hAnsi="宋体" w:cs="宋体"/>
          <w:bCs/>
          <w:szCs w:val="24"/>
          <w:highlight w:val="none"/>
        </w:rPr>
      </w:pPr>
      <w:r>
        <w:rPr>
          <w:rFonts w:hint="eastAsia" w:hAnsi="宋体" w:cs="宋体"/>
          <w:bCs/>
          <w:szCs w:val="24"/>
          <w:highlight w:val="none"/>
        </w:rPr>
        <w:t>三、质疑事项具体内容</w:t>
      </w:r>
    </w:p>
    <w:p w14:paraId="2400377E">
      <w:pPr>
        <w:adjustRightInd w:val="0"/>
        <w:snapToGrid w:val="0"/>
        <w:spacing w:line="360" w:lineRule="auto"/>
        <w:rPr>
          <w:rFonts w:hAnsi="宋体" w:cs="宋体"/>
          <w:szCs w:val="24"/>
          <w:highlight w:val="none"/>
          <w:u w:val="dotted"/>
        </w:rPr>
      </w:pPr>
      <w:r>
        <w:rPr>
          <w:rFonts w:hint="eastAsia" w:hAnsi="宋体" w:cs="宋体"/>
          <w:szCs w:val="24"/>
          <w:highlight w:val="none"/>
        </w:rPr>
        <w:t>质疑事项1：</w:t>
      </w:r>
      <w:r>
        <w:rPr>
          <w:rFonts w:hint="eastAsia" w:hAnsi="宋体" w:cs="宋体"/>
          <w:szCs w:val="24"/>
          <w:highlight w:val="none"/>
          <w:u w:val="dotted"/>
        </w:rPr>
        <w:t xml:space="preserve">                                         </w:t>
      </w:r>
    </w:p>
    <w:p w14:paraId="142E8188">
      <w:pPr>
        <w:adjustRightInd w:val="0"/>
        <w:snapToGrid w:val="0"/>
        <w:spacing w:line="360" w:lineRule="auto"/>
        <w:rPr>
          <w:rFonts w:hAnsi="宋体" w:cs="宋体"/>
          <w:szCs w:val="24"/>
          <w:highlight w:val="none"/>
          <w:u w:val="dotted"/>
        </w:rPr>
      </w:pPr>
      <w:r>
        <w:rPr>
          <w:rFonts w:hint="eastAsia" w:hAnsi="宋体" w:cs="宋体"/>
          <w:szCs w:val="24"/>
          <w:highlight w:val="none"/>
        </w:rPr>
        <w:t>事实依据：</w:t>
      </w:r>
      <w:r>
        <w:rPr>
          <w:rFonts w:hint="eastAsia" w:hAnsi="宋体" w:cs="宋体"/>
          <w:szCs w:val="24"/>
          <w:highlight w:val="none"/>
          <w:u w:val="dotted"/>
        </w:rPr>
        <w:t xml:space="preserve">                                          </w:t>
      </w:r>
    </w:p>
    <w:p w14:paraId="1A3E1D09">
      <w:pPr>
        <w:adjustRightInd w:val="0"/>
        <w:snapToGrid w:val="0"/>
        <w:spacing w:line="360" w:lineRule="auto"/>
        <w:rPr>
          <w:rFonts w:hAnsi="宋体" w:cs="宋体"/>
          <w:szCs w:val="24"/>
          <w:highlight w:val="none"/>
        </w:rPr>
      </w:pPr>
      <w:r>
        <w:rPr>
          <w:rFonts w:hint="eastAsia" w:hAnsi="宋体" w:cs="宋体"/>
          <w:szCs w:val="24"/>
          <w:highlight w:val="none"/>
          <w:u w:val="dotted"/>
        </w:rPr>
        <w:t xml:space="preserve">                                                       </w:t>
      </w:r>
    </w:p>
    <w:p w14:paraId="4D92AA06">
      <w:pPr>
        <w:adjustRightInd w:val="0"/>
        <w:snapToGrid w:val="0"/>
        <w:spacing w:line="360" w:lineRule="auto"/>
        <w:rPr>
          <w:rFonts w:hAnsi="宋体" w:cs="宋体"/>
          <w:szCs w:val="24"/>
          <w:highlight w:val="none"/>
          <w:u w:val="dotted"/>
        </w:rPr>
      </w:pPr>
      <w:r>
        <w:rPr>
          <w:rFonts w:hint="eastAsia" w:hAnsi="宋体" w:cs="宋体"/>
          <w:szCs w:val="24"/>
          <w:highlight w:val="none"/>
        </w:rPr>
        <w:t>法律依据：</w:t>
      </w:r>
      <w:r>
        <w:rPr>
          <w:rFonts w:hint="eastAsia" w:hAnsi="宋体" w:cs="宋体"/>
          <w:szCs w:val="24"/>
          <w:highlight w:val="none"/>
          <w:u w:val="dotted"/>
        </w:rPr>
        <w:t xml:space="preserve">                                          </w:t>
      </w:r>
    </w:p>
    <w:p w14:paraId="6778E088">
      <w:pPr>
        <w:adjustRightInd w:val="0"/>
        <w:snapToGrid w:val="0"/>
        <w:spacing w:line="360" w:lineRule="auto"/>
        <w:rPr>
          <w:rFonts w:hAnsi="宋体" w:cs="宋体"/>
          <w:szCs w:val="24"/>
          <w:highlight w:val="none"/>
          <w:u w:val="dotted"/>
        </w:rPr>
      </w:pPr>
      <w:r>
        <w:rPr>
          <w:rFonts w:hint="eastAsia" w:hAnsi="宋体" w:cs="宋体"/>
          <w:szCs w:val="24"/>
          <w:highlight w:val="none"/>
          <w:u w:val="dotted"/>
        </w:rPr>
        <w:t xml:space="preserve">                                                     </w:t>
      </w:r>
    </w:p>
    <w:p w14:paraId="4B4362B3">
      <w:pPr>
        <w:adjustRightInd w:val="0"/>
        <w:snapToGrid w:val="0"/>
        <w:spacing w:line="360" w:lineRule="auto"/>
        <w:rPr>
          <w:rFonts w:hAnsi="宋体" w:cs="宋体"/>
          <w:szCs w:val="24"/>
          <w:highlight w:val="none"/>
          <w:u w:val="dotted"/>
        </w:rPr>
      </w:pPr>
      <w:r>
        <w:rPr>
          <w:rFonts w:hint="eastAsia" w:hAnsi="宋体" w:cs="宋体"/>
          <w:szCs w:val="24"/>
          <w:highlight w:val="none"/>
        </w:rPr>
        <w:t>质疑事项2</w:t>
      </w:r>
    </w:p>
    <w:p w14:paraId="27917F91">
      <w:pPr>
        <w:adjustRightInd w:val="0"/>
        <w:snapToGrid w:val="0"/>
        <w:spacing w:line="360" w:lineRule="auto"/>
        <w:rPr>
          <w:rFonts w:hAnsi="宋体" w:cs="宋体"/>
          <w:szCs w:val="24"/>
          <w:highlight w:val="none"/>
        </w:rPr>
      </w:pPr>
      <w:r>
        <w:rPr>
          <w:rFonts w:hint="eastAsia" w:hAnsi="宋体" w:cs="宋体"/>
          <w:szCs w:val="24"/>
          <w:highlight w:val="none"/>
        </w:rPr>
        <w:t>……</w:t>
      </w:r>
    </w:p>
    <w:p w14:paraId="02817705">
      <w:pPr>
        <w:adjustRightInd w:val="0"/>
        <w:snapToGrid w:val="0"/>
        <w:spacing w:line="360" w:lineRule="auto"/>
        <w:rPr>
          <w:rFonts w:hAnsi="宋体" w:cs="宋体"/>
          <w:bCs/>
          <w:szCs w:val="24"/>
          <w:highlight w:val="none"/>
        </w:rPr>
      </w:pPr>
      <w:r>
        <w:rPr>
          <w:rFonts w:hint="eastAsia" w:hAnsi="宋体" w:cs="宋体"/>
          <w:bCs/>
          <w:szCs w:val="24"/>
          <w:highlight w:val="none"/>
        </w:rPr>
        <w:t>四、与质疑事项相关的质疑请求</w:t>
      </w:r>
    </w:p>
    <w:p w14:paraId="540E9F35">
      <w:pPr>
        <w:adjustRightInd w:val="0"/>
        <w:snapToGrid w:val="0"/>
        <w:spacing w:line="360" w:lineRule="auto"/>
        <w:rPr>
          <w:rFonts w:hAnsi="宋体" w:cs="宋体"/>
          <w:szCs w:val="24"/>
          <w:highlight w:val="none"/>
          <w:u w:val="dotted"/>
        </w:rPr>
      </w:pPr>
      <w:r>
        <w:rPr>
          <w:rFonts w:hint="eastAsia" w:hAnsi="宋体" w:cs="宋体"/>
          <w:szCs w:val="24"/>
          <w:highlight w:val="none"/>
        </w:rPr>
        <w:t>请求：</w:t>
      </w:r>
      <w:r>
        <w:rPr>
          <w:rFonts w:hint="eastAsia" w:hAnsi="宋体" w:cs="宋体"/>
          <w:szCs w:val="24"/>
          <w:highlight w:val="none"/>
          <w:u w:val="dotted"/>
        </w:rPr>
        <w:t xml:space="preserve">                                               </w:t>
      </w:r>
    </w:p>
    <w:p w14:paraId="3C285C3A">
      <w:pPr>
        <w:rPr>
          <w:rFonts w:hAnsi="宋体" w:cs="宋体"/>
          <w:szCs w:val="24"/>
          <w:highlight w:val="none"/>
        </w:rPr>
      </w:pPr>
      <w:r>
        <w:rPr>
          <w:rFonts w:hint="eastAsia" w:hAnsi="宋体" w:cs="宋体"/>
          <w:szCs w:val="24"/>
          <w:highlight w:val="none"/>
        </w:rPr>
        <w:t xml:space="preserve">签字(签章)：                   公章：                      </w:t>
      </w:r>
    </w:p>
    <w:p w14:paraId="7FDB6837">
      <w:pPr>
        <w:rPr>
          <w:rFonts w:hAnsi="宋体" w:cs="宋体"/>
          <w:szCs w:val="24"/>
          <w:highlight w:val="none"/>
        </w:rPr>
      </w:pPr>
      <w:r>
        <w:rPr>
          <w:rFonts w:hint="eastAsia" w:hAnsi="宋体" w:cs="宋体"/>
          <w:szCs w:val="24"/>
          <w:highlight w:val="none"/>
        </w:rPr>
        <w:t xml:space="preserve">日期：    </w:t>
      </w:r>
    </w:p>
    <w:p w14:paraId="36060F6D">
      <w:pPr>
        <w:jc w:val="center"/>
        <w:rPr>
          <w:rFonts w:hAnsi="宋体" w:cs="宋体"/>
          <w:b/>
          <w:sz w:val="44"/>
          <w:szCs w:val="44"/>
          <w:highlight w:val="none"/>
        </w:rPr>
      </w:pPr>
    </w:p>
    <w:p w14:paraId="01DE9B82">
      <w:pPr>
        <w:jc w:val="center"/>
        <w:rPr>
          <w:rFonts w:hAnsi="宋体" w:cs="宋体"/>
          <w:b/>
          <w:sz w:val="44"/>
          <w:szCs w:val="44"/>
          <w:highlight w:val="none"/>
        </w:rPr>
      </w:pPr>
    </w:p>
    <w:p w14:paraId="224E6D94">
      <w:pPr>
        <w:jc w:val="center"/>
        <w:rPr>
          <w:rFonts w:hAnsi="宋体" w:cs="宋体"/>
          <w:b/>
          <w:sz w:val="44"/>
          <w:szCs w:val="44"/>
          <w:highlight w:val="none"/>
        </w:rPr>
      </w:pPr>
      <w:r>
        <w:rPr>
          <w:rFonts w:hint="eastAsia" w:hAnsi="宋体" w:cs="宋体"/>
          <w:b/>
          <w:sz w:val="44"/>
          <w:szCs w:val="44"/>
          <w:highlight w:val="none"/>
        </w:rPr>
        <w:t>投诉书范本</w:t>
      </w:r>
    </w:p>
    <w:p w14:paraId="11FA5357">
      <w:pPr>
        <w:rPr>
          <w:rFonts w:hAnsi="宋体" w:cs="宋体"/>
          <w:szCs w:val="24"/>
          <w:highlight w:val="none"/>
        </w:rPr>
      </w:pPr>
      <w:r>
        <w:rPr>
          <w:rFonts w:hint="eastAsia" w:hAnsi="宋体" w:cs="宋体"/>
          <w:szCs w:val="24"/>
          <w:highlight w:val="none"/>
        </w:rPr>
        <w:t>一、投诉相关主体基本情况</w:t>
      </w:r>
    </w:p>
    <w:p w14:paraId="7E216BD3">
      <w:pPr>
        <w:rPr>
          <w:rFonts w:hAnsi="宋体" w:cs="宋体"/>
          <w:szCs w:val="24"/>
          <w:highlight w:val="none"/>
          <w:u w:val="dotted"/>
        </w:rPr>
      </w:pPr>
      <w:r>
        <w:rPr>
          <w:rFonts w:hint="eastAsia" w:hAnsi="宋体" w:cs="宋体"/>
          <w:szCs w:val="24"/>
          <w:highlight w:val="none"/>
        </w:rPr>
        <w:t>投诉人：</w:t>
      </w:r>
      <w:r>
        <w:rPr>
          <w:rFonts w:hint="eastAsia" w:hAnsi="宋体" w:cs="宋体"/>
          <w:szCs w:val="24"/>
          <w:highlight w:val="none"/>
          <w:u w:val="dotted"/>
        </w:rPr>
        <w:t xml:space="preserve">                                               </w:t>
      </w:r>
    </w:p>
    <w:p w14:paraId="1134DCF8">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5F2B611C">
      <w:pPr>
        <w:tabs>
          <w:tab w:val="left" w:pos="6510"/>
        </w:tabs>
        <w:jc w:val="left"/>
        <w:rPr>
          <w:rFonts w:hAnsi="宋体" w:cs="宋体"/>
          <w:szCs w:val="24"/>
          <w:highlight w:val="none"/>
        </w:rPr>
      </w:pPr>
      <w:r>
        <w:rPr>
          <w:rFonts w:hint="eastAsia" w:hAnsi="宋体" w:cs="宋体"/>
          <w:szCs w:val="24"/>
          <w:highlight w:val="none"/>
        </w:rPr>
        <w:t>法定代表人/主要负责人：</w:t>
      </w:r>
      <w:r>
        <w:rPr>
          <w:rFonts w:hint="eastAsia" w:hAnsi="宋体" w:cs="宋体"/>
          <w:szCs w:val="24"/>
          <w:highlight w:val="none"/>
          <w:u w:val="dotted"/>
        </w:rPr>
        <w:t xml:space="preserve">                                   </w:t>
      </w:r>
      <w:r>
        <w:rPr>
          <w:rFonts w:hint="eastAsia" w:hAnsi="宋体" w:cs="宋体"/>
          <w:szCs w:val="24"/>
          <w:highlight w:val="none"/>
        </w:rPr>
        <w:t xml:space="preserve">  </w:t>
      </w:r>
    </w:p>
    <w:p w14:paraId="3DF0EE86">
      <w:pPr>
        <w:tabs>
          <w:tab w:val="left" w:pos="6510"/>
        </w:tabs>
        <w:rPr>
          <w:rFonts w:hAnsi="宋体" w:cs="宋体"/>
          <w:szCs w:val="24"/>
          <w:highlight w:val="none"/>
          <w:u w:val="dotted"/>
        </w:rPr>
      </w:pPr>
      <w:r>
        <w:rPr>
          <w:rFonts w:hint="eastAsia" w:hAnsi="宋体" w:cs="宋体"/>
          <w:szCs w:val="24"/>
          <w:highlight w:val="none"/>
        </w:rPr>
        <w:t>联系电话：</w:t>
      </w:r>
      <w:r>
        <w:rPr>
          <w:rFonts w:hint="eastAsia" w:hAnsi="宋体" w:cs="宋体"/>
          <w:szCs w:val="24"/>
          <w:highlight w:val="none"/>
          <w:u w:val="dotted"/>
        </w:rPr>
        <w:t xml:space="preserve">                                             </w:t>
      </w:r>
    </w:p>
    <w:p w14:paraId="76CF31EB">
      <w:pPr>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1D88911F">
      <w:pPr>
        <w:rPr>
          <w:rFonts w:hAnsi="宋体" w:cs="宋体"/>
          <w:szCs w:val="24"/>
          <w:highlight w:val="none"/>
          <w:u w:val="dotted"/>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r>
        <w:rPr>
          <w:rFonts w:hint="eastAsia" w:hAnsi="宋体" w:cs="宋体"/>
          <w:szCs w:val="24"/>
          <w:highlight w:val="none"/>
          <w:u w:val="dotted"/>
        </w:rPr>
        <w:t xml:space="preserve">                   </w:t>
      </w:r>
    </w:p>
    <w:p w14:paraId="75ADEB98">
      <w:pPr>
        <w:rPr>
          <w:rFonts w:hAnsi="宋体" w:cs="宋体"/>
          <w:szCs w:val="24"/>
          <w:highlight w:val="none"/>
          <w:u w:val="single"/>
        </w:rPr>
      </w:pPr>
      <w:r>
        <w:rPr>
          <w:rFonts w:hint="eastAsia" w:hAnsi="宋体" w:cs="宋体"/>
          <w:szCs w:val="24"/>
          <w:highlight w:val="none"/>
        </w:rPr>
        <w:t>被投诉人1：</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63DE0280">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56C53B8C">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FA31F2A">
      <w:pPr>
        <w:rPr>
          <w:rFonts w:hAnsi="宋体" w:cs="宋体"/>
          <w:szCs w:val="24"/>
          <w:highlight w:val="none"/>
        </w:rPr>
      </w:pPr>
      <w:r>
        <w:rPr>
          <w:rFonts w:hint="eastAsia" w:hAnsi="宋体" w:cs="宋体"/>
          <w:szCs w:val="24"/>
          <w:highlight w:val="none"/>
        </w:rPr>
        <w:t>被投诉人2</w:t>
      </w:r>
    </w:p>
    <w:p w14:paraId="150C1C1C">
      <w:pPr>
        <w:rPr>
          <w:rFonts w:hAnsi="宋体" w:cs="宋体"/>
          <w:szCs w:val="24"/>
          <w:highlight w:val="none"/>
          <w:u w:val="dotted"/>
        </w:rPr>
      </w:pPr>
      <w:r>
        <w:rPr>
          <w:rFonts w:hint="eastAsia" w:hAnsi="宋体" w:cs="宋体"/>
          <w:szCs w:val="24"/>
          <w:highlight w:val="none"/>
        </w:rPr>
        <w:t>……</w:t>
      </w:r>
    </w:p>
    <w:p w14:paraId="37F25DA4">
      <w:pPr>
        <w:rPr>
          <w:rFonts w:hAnsi="宋体" w:cs="宋体"/>
          <w:szCs w:val="24"/>
          <w:highlight w:val="none"/>
          <w:u w:val="single"/>
        </w:rPr>
      </w:pPr>
      <w:r>
        <w:rPr>
          <w:rFonts w:hint="eastAsia" w:hAnsi="宋体" w:cs="宋体"/>
          <w:szCs w:val="24"/>
          <w:highlight w:val="none"/>
        </w:rPr>
        <w:t>相关供应商：</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647074F4">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6A5A3738">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6354BE8">
      <w:pPr>
        <w:rPr>
          <w:rFonts w:hAnsi="宋体" w:cs="宋体"/>
          <w:szCs w:val="24"/>
          <w:highlight w:val="none"/>
        </w:rPr>
      </w:pPr>
      <w:r>
        <w:rPr>
          <w:rFonts w:hint="eastAsia" w:hAnsi="宋体" w:cs="宋体"/>
          <w:szCs w:val="24"/>
          <w:highlight w:val="none"/>
        </w:rPr>
        <w:t>二、投诉项目基本情况</w:t>
      </w:r>
    </w:p>
    <w:p w14:paraId="55835EB6">
      <w:pPr>
        <w:rPr>
          <w:rFonts w:hAnsi="宋体" w:cs="宋体"/>
          <w:szCs w:val="24"/>
          <w:highlight w:val="none"/>
          <w:u w:val="dotted"/>
        </w:rPr>
      </w:pPr>
      <w:r>
        <w:rPr>
          <w:rFonts w:hint="eastAsia" w:hAnsi="宋体" w:cs="宋体"/>
          <w:szCs w:val="24"/>
          <w:highlight w:val="none"/>
        </w:rPr>
        <w:t>采购项目名称：</w:t>
      </w:r>
      <w:r>
        <w:rPr>
          <w:rFonts w:hint="eastAsia" w:hAnsi="宋体" w:cs="宋体"/>
          <w:szCs w:val="24"/>
          <w:highlight w:val="none"/>
          <w:u w:val="dotted"/>
        </w:rPr>
        <w:t xml:space="preserve">                                        </w:t>
      </w:r>
    </w:p>
    <w:p w14:paraId="0C46093A">
      <w:pPr>
        <w:rPr>
          <w:rFonts w:hAnsi="宋体" w:cs="宋体"/>
          <w:szCs w:val="24"/>
          <w:highlight w:val="none"/>
          <w:u w:val="single"/>
        </w:rPr>
      </w:pPr>
      <w:r>
        <w:rPr>
          <w:rFonts w:hint="eastAsia" w:hAnsi="宋体" w:cs="宋体"/>
          <w:szCs w:val="24"/>
          <w:highlight w:val="none"/>
        </w:rPr>
        <w:t>采购项目编号：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51A239A4">
      <w:pPr>
        <w:rPr>
          <w:rFonts w:hAnsi="宋体" w:cs="宋体"/>
          <w:szCs w:val="24"/>
          <w:highlight w:val="none"/>
        </w:rPr>
      </w:pPr>
      <w:r>
        <w:rPr>
          <w:rFonts w:hint="eastAsia" w:hAnsi="宋体" w:cs="宋体"/>
          <w:szCs w:val="24"/>
          <w:highlight w:val="none"/>
        </w:rPr>
        <w:t>采购人名称：</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0BF5289D">
      <w:pPr>
        <w:rPr>
          <w:rFonts w:hAnsi="宋体" w:cs="宋体"/>
          <w:szCs w:val="24"/>
          <w:highlight w:val="none"/>
          <w:u w:val="single"/>
        </w:rPr>
      </w:pPr>
      <w:r>
        <w:rPr>
          <w:rFonts w:hint="eastAsia" w:hAnsi="宋体" w:cs="宋体"/>
          <w:szCs w:val="24"/>
          <w:highlight w:val="none"/>
        </w:rPr>
        <w:t>代理机构名称：</w:t>
      </w:r>
      <w:r>
        <w:rPr>
          <w:rFonts w:hint="eastAsia" w:hAnsi="宋体" w:cs="宋体"/>
          <w:szCs w:val="24"/>
          <w:highlight w:val="none"/>
          <w:u w:val="dotted"/>
        </w:rPr>
        <w:t xml:space="preserve">                                         </w:t>
      </w:r>
    </w:p>
    <w:p w14:paraId="35EBBC23">
      <w:pPr>
        <w:rPr>
          <w:rFonts w:hAnsi="宋体" w:cs="宋体"/>
          <w:szCs w:val="24"/>
          <w:highlight w:val="none"/>
          <w:u w:val="dotted"/>
        </w:rPr>
      </w:pPr>
      <w:r>
        <w:rPr>
          <w:rFonts w:hint="eastAsia" w:hAnsi="宋体" w:cs="宋体"/>
          <w:szCs w:val="24"/>
          <w:highlight w:val="none"/>
        </w:rPr>
        <w:t>采购文件公告: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1800892E">
      <w:pPr>
        <w:rPr>
          <w:rFonts w:hAnsi="宋体" w:cs="宋体"/>
          <w:szCs w:val="24"/>
          <w:highlight w:val="none"/>
          <w:u w:val="single"/>
        </w:rPr>
      </w:pPr>
      <w:r>
        <w:rPr>
          <w:rFonts w:hint="eastAsia" w:hAnsi="宋体" w:cs="宋体"/>
          <w:szCs w:val="24"/>
          <w:highlight w:val="none"/>
        </w:rPr>
        <w:t>采购结果公告: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5A3F1D22">
      <w:pPr>
        <w:rPr>
          <w:rFonts w:hAnsi="宋体" w:cs="宋体"/>
          <w:szCs w:val="24"/>
          <w:highlight w:val="none"/>
        </w:rPr>
      </w:pPr>
      <w:r>
        <w:rPr>
          <w:rFonts w:hint="eastAsia" w:hAnsi="宋体" w:cs="宋体"/>
          <w:szCs w:val="24"/>
          <w:highlight w:val="none"/>
        </w:rPr>
        <w:t>三、质疑基本情况</w:t>
      </w:r>
    </w:p>
    <w:p w14:paraId="3D994687">
      <w:pPr>
        <w:ind w:firstLine="480" w:firstLineChars="200"/>
        <w:rPr>
          <w:rFonts w:hAnsi="宋体" w:cs="宋体"/>
          <w:szCs w:val="24"/>
          <w:highlight w:val="none"/>
          <w:u w:val="dotted"/>
        </w:rPr>
      </w:pPr>
      <w:r>
        <w:rPr>
          <w:rFonts w:hint="eastAsia" w:hAnsi="宋体" w:cs="宋体"/>
          <w:szCs w:val="24"/>
          <w:highlight w:val="none"/>
        </w:rPr>
        <w:t>投诉人于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日,向</w:t>
      </w:r>
      <w:r>
        <w:rPr>
          <w:rFonts w:hint="eastAsia" w:hAnsi="宋体" w:cs="宋体"/>
          <w:szCs w:val="24"/>
          <w:highlight w:val="none"/>
          <w:u w:val="dotted"/>
        </w:rPr>
        <w:t xml:space="preserve">                   </w:t>
      </w:r>
      <w:r>
        <w:rPr>
          <w:rFonts w:hint="eastAsia" w:hAnsi="宋体" w:cs="宋体"/>
          <w:szCs w:val="24"/>
          <w:highlight w:val="none"/>
        </w:rPr>
        <w:t>提出质疑，质疑事项为：</w:t>
      </w:r>
      <w:r>
        <w:rPr>
          <w:rFonts w:hint="eastAsia" w:hAnsi="宋体" w:cs="宋体"/>
          <w:szCs w:val="24"/>
          <w:highlight w:val="none"/>
          <w:u w:val="dotted"/>
        </w:rPr>
        <w:t xml:space="preserve">                                </w:t>
      </w:r>
    </w:p>
    <w:p w14:paraId="690122E3">
      <w:pPr>
        <w:rPr>
          <w:rFonts w:hAnsi="宋体" w:cs="宋体"/>
          <w:szCs w:val="24"/>
          <w:highlight w:val="none"/>
          <w:u w:val="dotted"/>
        </w:rPr>
      </w:pPr>
      <w:r>
        <w:rPr>
          <w:rFonts w:hint="eastAsia" w:hAnsi="宋体" w:cs="宋体"/>
          <w:szCs w:val="24"/>
          <w:highlight w:val="none"/>
          <w:u w:val="dotted"/>
        </w:rPr>
        <w:t xml:space="preserve">                                                     </w:t>
      </w:r>
      <w:r>
        <w:rPr>
          <w:rFonts w:hint="eastAsia" w:hAnsi="宋体" w:cs="宋体"/>
          <w:szCs w:val="24"/>
          <w:highlight w:val="none"/>
        </w:rPr>
        <w:t xml:space="preserve">  </w:t>
      </w:r>
    </w:p>
    <w:p w14:paraId="25B78A10">
      <w:pPr>
        <w:ind w:firstLine="360" w:firstLineChars="150"/>
        <w:rPr>
          <w:rFonts w:hAnsi="宋体" w:cs="宋体"/>
          <w:szCs w:val="24"/>
          <w:highlight w:val="none"/>
        </w:rPr>
      </w:pPr>
      <w:r>
        <w:rPr>
          <w:rFonts w:hint="eastAsia" w:hAnsi="宋体" w:cs="宋体"/>
          <w:szCs w:val="24"/>
          <w:highlight w:val="none"/>
          <w:u w:val="dotted"/>
        </w:rPr>
        <w:t>采购人/代理机构</w:t>
      </w:r>
      <w:r>
        <w:rPr>
          <w:rFonts w:hint="eastAsia" w:hAnsi="宋体" w:cs="宋体"/>
          <w:szCs w:val="24"/>
          <w:highlight w:val="none"/>
        </w:rPr>
        <w:t>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日,就质疑事项作出了答复/没有在法定期限内作出答复。</w:t>
      </w:r>
    </w:p>
    <w:p w14:paraId="235F0B89">
      <w:pPr>
        <w:rPr>
          <w:rFonts w:hAnsi="宋体" w:cs="宋体"/>
          <w:szCs w:val="24"/>
          <w:highlight w:val="none"/>
        </w:rPr>
      </w:pPr>
      <w:r>
        <w:rPr>
          <w:rFonts w:hint="eastAsia" w:hAnsi="宋体" w:cs="宋体"/>
          <w:szCs w:val="24"/>
          <w:highlight w:val="none"/>
        </w:rPr>
        <w:t>四、投诉事项具体内容</w:t>
      </w:r>
    </w:p>
    <w:p w14:paraId="667075E5">
      <w:pPr>
        <w:rPr>
          <w:rFonts w:hAnsi="宋体" w:cs="宋体"/>
          <w:szCs w:val="24"/>
          <w:highlight w:val="none"/>
          <w:u w:val="single"/>
        </w:rPr>
      </w:pPr>
      <w:r>
        <w:rPr>
          <w:rFonts w:hint="eastAsia" w:hAnsi="宋体" w:cs="宋体"/>
          <w:szCs w:val="24"/>
          <w:highlight w:val="none"/>
        </w:rPr>
        <w:t>投诉事项 1：</w:t>
      </w:r>
      <w:r>
        <w:rPr>
          <w:rFonts w:hint="eastAsia" w:hAnsi="宋体" w:cs="宋体"/>
          <w:szCs w:val="24"/>
          <w:highlight w:val="none"/>
          <w:u w:val="dotted"/>
        </w:rPr>
        <w:t xml:space="preserve">                                       </w:t>
      </w:r>
    </w:p>
    <w:p w14:paraId="23C7A4A8">
      <w:pPr>
        <w:rPr>
          <w:rFonts w:hAnsi="宋体" w:cs="宋体"/>
          <w:szCs w:val="24"/>
          <w:highlight w:val="none"/>
        </w:rPr>
      </w:pPr>
      <w:r>
        <w:rPr>
          <w:rFonts w:hint="eastAsia" w:hAnsi="宋体" w:cs="宋体"/>
          <w:szCs w:val="24"/>
          <w:highlight w:val="none"/>
        </w:rPr>
        <w:t>事实依据：</w:t>
      </w:r>
      <w:r>
        <w:rPr>
          <w:rFonts w:hint="eastAsia" w:hAnsi="宋体" w:cs="宋体"/>
          <w:szCs w:val="24"/>
          <w:highlight w:val="none"/>
          <w:u w:val="dotted"/>
        </w:rPr>
        <w:t xml:space="preserve">                                         </w:t>
      </w:r>
    </w:p>
    <w:p w14:paraId="7B5EE324">
      <w:pPr>
        <w:rPr>
          <w:rFonts w:hAnsi="宋体" w:cs="宋体"/>
          <w:szCs w:val="24"/>
          <w:highlight w:val="none"/>
          <w:u w:val="dotted"/>
        </w:rPr>
      </w:pPr>
      <w:r>
        <w:rPr>
          <w:rFonts w:hint="eastAsia" w:hAnsi="宋体" w:cs="宋体"/>
          <w:szCs w:val="24"/>
          <w:highlight w:val="none"/>
          <w:u w:val="dotted"/>
        </w:rPr>
        <w:t xml:space="preserve">                                                      </w:t>
      </w:r>
    </w:p>
    <w:p w14:paraId="117644BB">
      <w:pPr>
        <w:rPr>
          <w:rFonts w:hAnsi="宋体" w:cs="宋体"/>
          <w:szCs w:val="24"/>
          <w:highlight w:val="none"/>
          <w:u w:val="single"/>
        </w:rPr>
      </w:pPr>
      <w:r>
        <w:rPr>
          <w:rFonts w:hint="eastAsia" w:hAnsi="宋体" w:cs="宋体"/>
          <w:szCs w:val="24"/>
          <w:highlight w:val="none"/>
        </w:rPr>
        <w:t>法律依据：</w:t>
      </w:r>
      <w:r>
        <w:rPr>
          <w:rFonts w:hint="eastAsia" w:hAnsi="宋体" w:cs="宋体"/>
          <w:szCs w:val="24"/>
          <w:highlight w:val="none"/>
          <w:u w:val="dotted"/>
        </w:rPr>
        <w:t xml:space="preserve">                                          </w:t>
      </w:r>
    </w:p>
    <w:p w14:paraId="4FE19645">
      <w:pPr>
        <w:rPr>
          <w:rFonts w:hAnsi="宋体" w:cs="宋体"/>
          <w:szCs w:val="24"/>
          <w:highlight w:val="none"/>
          <w:u w:val="dotted"/>
        </w:rPr>
      </w:pPr>
      <w:r>
        <w:rPr>
          <w:rFonts w:hint="eastAsia" w:hAnsi="宋体" w:cs="宋体"/>
          <w:szCs w:val="24"/>
          <w:highlight w:val="none"/>
          <w:u w:val="dotted"/>
        </w:rPr>
        <w:t xml:space="preserve">                                                      </w:t>
      </w:r>
    </w:p>
    <w:p w14:paraId="6323A4E4">
      <w:pPr>
        <w:rPr>
          <w:rFonts w:hAnsi="宋体" w:cs="宋体"/>
          <w:szCs w:val="24"/>
          <w:highlight w:val="none"/>
        </w:rPr>
      </w:pPr>
      <w:r>
        <w:rPr>
          <w:rFonts w:hint="eastAsia" w:hAnsi="宋体" w:cs="宋体"/>
          <w:szCs w:val="24"/>
          <w:highlight w:val="none"/>
        </w:rPr>
        <w:t>投诉事项2</w:t>
      </w:r>
    </w:p>
    <w:p w14:paraId="3A362A34">
      <w:pPr>
        <w:rPr>
          <w:rFonts w:hAnsi="宋体" w:cs="宋体"/>
          <w:szCs w:val="24"/>
          <w:highlight w:val="none"/>
          <w:u w:val="dotted"/>
        </w:rPr>
      </w:pPr>
      <w:r>
        <w:rPr>
          <w:rFonts w:hint="eastAsia" w:hAnsi="宋体" w:cs="宋体"/>
          <w:szCs w:val="24"/>
          <w:highlight w:val="none"/>
        </w:rPr>
        <w:t>……</w:t>
      </w:r>
    </w:p>
    <w:p w14:paraId="472ED00B">
      <w:pPr>
        <w:rPr>
          <w:rFonts w:hAnsi="宋体" w:cs="宋体"/>
          <w:szCs w:val="24"/>
          <w:highlight w:val="none"/>
        </w:rPr>
      </w:pPr>
      <w:r>
        <w:rPr>
          <w:rFonts w:hint="eastAsia" w:hAnsi="宋体" w:cs="宋体"/>
          <w:szCs w:val="24"/>
          <w:highlight w:val="none"/>
        </w:rPr>
        <w:t>五、与投诉事项相关的投诉请求</w:t>
      </w:r>
    </w:p>
    <w:p w14:paraId="3937DFC9">
      <w:pPr>
        <w:rPr>
          <w:rFonts w:hAnsi="宋体" w:cs="宋体"/>
          <w:szCs w:val="24"/>
          <w:highlight w:val="none"/>
        </w:rPr>
      </w:pPr>
      <w:r>
        <w:rPr>
          <w:rFonts w:hint="eastAsia" w:hAnsi="宋体" w:cs="宋体"/>
          <w:szCs w:val="24"/>
          <w:highlight w:val="none"/>
        </w:rPr>
        <w:t>请求：</w:t>
      </w:r>
      <w:r>
        <w:rPr>
          <w:rFonts w:hint="eastAsia" w:hAnsi="宋体" w:cs="宋体"/>
          <w:szCs w:val="24"/>
          <w:highlight w:val="none"/>
          <w:u w:val="dotted"/>
        </w:rPr>
        <w:t xml:space="preserve">                                              </w:t>
      </w:r>
      <w:r>
        <w:rPr>
          <w:rFonts w:hint="eastAsia" w:hAnsi="宋体" w:cs="宋体"/>
          <w:szCs w:val="24"/>
          <w:highlight w:val="none"/>
        </w:rPr>
        <w:t xml:space="preserve"> </w:t>
      </w:r>
    </w:p>
    <w:p w14:paraId="7F5B03E6">
      <w:pPr>
        <w:rPr>
          <w:rFonts w:hAnsi="宋体" w:cs="宋体"/>
          <w:szCs w:val="24"/>
          <w:highlight w:val="none"/>
          <w:u w:val="single"/>
        </w:rPr>
      </w:pPr>
      <w:r>
        <w:rPr>
          <w:rFonts w:hint="eastAsia" w:hAnsi="宋体" w:cs="宋体"/>
          <w:szCs w:val="24"/>
          <w:highlight w:val="none"/>
        </w:rPr>
        <w:t xml:space="preserve">                                                                                                    </w:t>
      </w:r>
    </w:p>
    <w:p w14:paraId="4B0948D0">
      <w:pPr>
        <w:rPr>
          <w:rFonts w:hAnsi="宋体" w:cs="宋体"/>
          <w:szCs w:val="24"/>
          <w:highlight w:val="none"/>
        </w:rPr>
      </w:pPr>
      <w:r>
        <w:rPr>
          <w:rFonts w:hint="eastAsia" w:hAnsi="宋体" w:cs="宋体"/>
          <w:szCs w:val="24"/>
          <w:highlight w:val="none"/>
        </w:rPr>
        <w:t xml:space="preserve">签字(签章)：                   公章：                      </w:t>
      </w:r>
    </w:p>
    <w:p w14:paraId="60A61DD4">
      <w:pPr>
        <w:spacing w:line="360" w:lineRule="auto"/>
        <w:rPr>
          <w:highlight w:val="none"/>
        </w:rPr>
      </w:pPr>
      <w:r>
        <w:rPr>
          <w:rFonts w:hint="eastAsia" w:hAnsi="宋体" w:cs="宋体"/>
          <w:szCs w:val="24"/>
          <w:highlight w:val="none"/>
        </w:rPr>
        <w:t xml:space="preserve">日期：   </w:t>
      </w:r>
      <w:r>
        <w:rPr>
          <w:rFonts w:hint="eastAsia" w:hAnsi="宋体" w:cs="宋体"/>
          <w:szCs w:val="24"/>
          <w:highlight w:val="none"/>
        </w:rPr>
        <w:tab/>
      </w:r>
    </w:p>
    <w:sectPr>
      <w:footerReference r:id="rId11" w:type="first"/>
      <w:footerReference r:id="rId10" w:type="default"/>
      <w:pgSz w:w="11906" w:h="16838"/>
      <w:pgMar w:top="1361" w:right="1304" w:bottom="1361"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GYXIQ+Frutiger-Cn">
    <w:altName w:val="宋体"/>
    <w:panose1 w:val="00000000000000000000"/>
    <w:charset w:val="86"/>
    <w:family w:val="swiss"/>
    <w:pitch w:val="default"/>
    <w:sig w:usb0="00000000" w:usb1="00000000" w:usb2="00000010" w:usb3="00000000" w:csb0="00040000" w:csb1="00000000"/>
  </w:font>
  <w:font w:name="AGYXIQ + Frutiger-C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918B9">
    <w:pPr>
      <w:pStyle w:val="15"/>
    </w:pPr>
    <w:r>
      <w:rPr>
        <w:rFonts w:hint="eastAsia"/>
      </w:rPr>
      <w:t xml:space="preserve">陕西至诚项目管理集团有限公司                         </w:t>
    </w:r>
    <w:r>
      <w:rPr>
        <w:rFonts w:hint="eastAsia"/>
      </w:rPr>
      <w:tab/>
    </w:r>
    <w:r>
      <w:rPr>
        <w:rFonts w:hint="eastAsia"/>
      </w:rPr>
      <w:t>地址：西安市陕西省西安市未央区未央路171-1 银池广场道拉斯财富中心21楼03室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C9425">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CE7D8">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F15A1A5">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ZKMrXAQAAs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VOyyMsw4yROU+/JiuN+nInu&#10;XXdGngMuREst7j8l+oNFvdPuLEZYjP1iHH1Qhx5bXufq4N8eIzaXe04VJljkmhycZGY9b11alb/9&#10;nPX4p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2GSjK1wEAALEDAAAOAAAAAAAAAAEA&#10;IAAAACIBAABkcnMvZTJvRG9jLnhtbFBLBQYAAAAABgAGAFkBAABrBQAAAAA=&#10;">
              <v:fill on="f" focussize="0,0"/>
              <v:stroke on="f" weight="1.25pt"/>
              <v:imagedata o:title=""/>
              <o:lock v:ext="edit" aspectratio="f"/>
              <v:textbox inset="0mm,0mm,0mm,0mm" style="mso-fit-shape-to-text:t;">
                <w:txbxContent>
                  <w:p w14:paraId="4F15A1A5">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r>
      <w:rPr>
        <w:rFonts w:hint="eastAsia"/>
      </w:rPr>
      <w:t xml:space="preserve">陕西至诚项目管理集团有限公司                         </w:t>
    </w:r>
    <w:r>
      <w:rPr>
        <w:rFonts w:hint="eastAsia"/>
      </w:rPr>
      <w:tab/>
    </w:r>
    <w:r>
      <w:rPr>
        <w:rFonts w:hint="eastAsia"/>
      </w:rPr>
      <w:t>地址：西安市陕西省西安市未央区未央路171-1 银池广场道拉斯财富中心21楼03室</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C188E">
    <w:pPr>
      <w:pStyle w:val="15"/>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4C05C0F">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eptLX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YcjL3N38B8OEYfLM6cOIyxyTQ6+ZGY9bV1alad+&#10;rnr80zb/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KHqbS1wEAALEDAAAOAAAAAAAAAAEA&#10;IAAAACIBAABkcnMvZTJvRG9jLnhtbFBLBQYAAAAABgAGAFkBAABrBQAAAAA=&#10;">
              <v:fill on="f" focussize="0,0"/>
              <v:stroke on="f" weight="1.25pt"/>
              <v:imagedata o:title=""/>
              <o:lock v:ext="edit" aspectratio="f"/>
              <v:textbox inset="0mm,0mm,0mm,0mm" style="mso-fit-shape-to-text:t;">
                <w:txbxContent>
                  <w:p w14:paraId="34C05C0F">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C2E8C">
    <w:pPr>
      <w:tabs>
        <w:tab w:val="left" w:pos="5646"/>
      </w:tabs>
      <w:rPr>
        <w:sz w:val="18"/>
        <w:szCs w:val="18"/>
      </w:rPr>
    </w:pPr>
  </w:p>
  <w:p w14:paraId="2D5C3621">
    <w:pPr>
      <w:pStyle w:val="15"/>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4445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B320EDC">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35pt;height:144pt;width:144pt;mso-position-horizontal:center;mso-position-horizontal-relative:margin;mso-wrap-style:none;z-index:251660288;mso-width-relative:page;mso-height-relative:page;" filled="f" stroked="f" coordsize="21600,21600" o:gfxdata="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yLjjXVAAAABQEAAA8AAAAAAAAAAQAg&#10;AAAAIgAAAGRycy9kb3ducmV2LnhtbFBLAQIUABQAAAAIAIdO4kDOFzT72AEAALEDAAAOAAAAAAAA&#10;AAEAIAAAACQBAABkcnMvZTJvRG9jLnhtbFBLBQYAAAAABgAGAFkBAABuBQAAAAA=&#10;">
              <v:fill on="f" focussize="0,0"/>
              <v:stroke on="f" weight="1.25pt"/>
              <v:imagedata o:title=""/>
              <o:lock v:ext="edit" aspectratio="f"/>
              <v:textbox inset="0mm,0mm,0mm,0mm" style="mso-fit-shape-to-text:t;">
                <w:txbxContent>
                  <w:p w14:paraId="7B320EDC">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0304E">
    <w:pPr>
      <w:pStyle w:val="15"/>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118717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7118717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03F21">
    <w:pPr>
      <w:spacing w:line="500" w:lineRule="exact"/>
      <w:ind w:left="1870" w:hanging="1870" w:hangingChars="850"/>
      <w:jc w:val="left"/>
      <w:rPr>
        <w:rFonts w:hAnsi="宋体" w:cs="宋体"/>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84CE6">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7E071">
    <w:pPr>
      <w:pStyle w:val="16"/>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69E7BF"/>
    <w:multiLevelType w:val="singleLevel"/>
    <w:tmpl w:val="3269E7BF"/>
    <w:lvl w:ilvl="0" w:tentative="0">
      <w:start w:val="4"/>
      <w:numFmt w:val="chineseCounting"/>
      <w:suff w:val="nothing"/>
      <w:lvlText w:val="%1、"/>
      <w:lvlJc w:val="left"/>
      <w:rPr>
        <w:rFonts w:hint="eastAsia"/>
      </w:rPr>
    </w:lvl>
  </w:abstractNum>
  <w:abstractNum w:abstractNumId="1">
    <w:nsid w:val="3345DCC0"/>
    <w:multiLevelType w:val="singleLevel"/>
    <w:tmpl w:val="3345DCC0"/>
    <w:lvl w:ilvl="0" w:tentative="0">
      <w:start w:val="1"/>
      <w:numFmt w:val="decimal"/>
      <w:suff w:val="nothing"/>
      <w:lvlText w:val="%1）"/>
      <w:lvlJc w:val="left"/>
    </w:lvl>
  </w:abstractNum>
  <w:abstractNum w:abstractNumId="2">
    <w:nsid w:val="33CEC18F"/>
    <w:multiLevelType w:val="singleLevel"/>
    <w:tmpl w:val="33CEC18F"/>
    <w:lvl w:ilvl="0" w:tentative="0">
      <w:start w:val="3"/>
      <w:numFmt w:val="chineseCounting"/>
      <w:suff w:val="space"/>
      <w:lvlText w:val="第%1章"/>
      <w:lvlJc w:val="left"/>
      <w:rPr>
        <w:rFonts w:hint="eastAsia"/>
      </w:rPr>
    </w:lvl>
  </w:abstractNum>
  <w:abstractNum w:abstractNumId="3">
    <w:nsid w:val="590049E8"/>
    <w:multiLevelType w:val="singleLevel"/>
    <w:tmpl w:val="590049E8"/>
    <w:lvl w:ilvl="0" w:tentative="0">
      <w:start w:val="30"/>
      <w:numFmt w:val="decimal"/>
      <w:suff w:val="nothing"/>
      <w:lvlText w:val="%1."/>
      <w:lvlJc w:val="left"/>
    </w:lvl>
  </w:abstractNum>
  <w:abstractNum w:abstractNumId="4">
    <w:nsid w:val="59B2460E"/>
    <w:multiLevelType w:val="singleLevel"/>
    <w:tmpl w:val="59B2460E"/>
    <w:lvl w:ilvl="0" w:tentative="0">
      <w:start w:val="2"/>
      <w:numFmt w:val="decimal"/>
      <w:suff w:val="nothing"/>
      <w:lvlText w:val="%1."/>
      <w:lvlJc w:val="left"/>
    </w:lvl>
  </w:abstractNum>
  <w:abstractNum w:abstractNumId="5">
    <w:nsid w:val="59CF0981"/>
    <w:multiLevelType w:val="singleLevel"/>
    <w:tmpl w:val="59CF0981"/>
    <w:lvl w:ilvl="0" w:tentative="0">
      <w:start w:val="1"/>
      <w:numFmt w:val="decimal"/>
      <w:suff w:val="nothing"/>
      <w:lvlText w:val="%1、"/>
      <w:lvlJc w:val="left"/>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2MTljMjQ2ZmM1YTViMzFmYmJjNDI2MjcxMWZiNWYifQ=="/>
  </w:docVars>
  <w:rsids>
    <w:rsidRoot w:val="000007BF"/>
    <w:rsid w:val="000007BF"/>
    <w:rsid w:val="000B4EEA"/>
    <w:rsid w:val="000C5DC1"/>
    <w:rsid w:val="00187FDF"/>
    <w:rsid w:val="001A3005"/>
    <w:rsid w:val="00210AF4"/>
    <w:rsid w:val="0025686E"/>
    <w:rsid w:val="003F27D8"/>
    <w:rsid w:val="0051172C"/>
    <w:rsid w:val="00674F9E"/>
    <w:rsid w:val="007E3EC7"/>
    <w:rsid w:val="00957719"/>
    <w:rsid w:val="009D35EB"/>
    <w:rsid w:val="00A96660"/>
    <w:rsid w:val="00AC22DF"/>
    <w:rsid w:val="00B850B3"/>
    <w:rsid w:val="00E1765B"/>
    <w:rsid w:val="00FE29D6"/>
    <w:rsid w:val="011E2CF5"/>
    <w:rsid w:val="01491172"/>
    <w:rsid w:val="01894FE5"/>
    <w:rsid w:val="02224F6F"/>
    <w:rsid w:val="02EA0A37"/>
    <w:rsid w:val="045E2D89"/>
    <w:rsid w:val="04F3344E"/>
    <w:rsid w:val="04FC5FE8"/>
    <w:rsid w:val="054F4610"/>
    <w:rsid w:val="06E7111E"/>
    <w:rsid w:val="072636A7"/>
    <w:rsid w:val="07534DB1"/>
    <w:rsid w:val="075753AA"/>
    <w:rsid w:val="07CE3B8A"/>
    <w:rsid w:val="07EC2E3C"/>
    <w:rsid w:val="09035A80"/>
    <w:rsid w:val="0A3A7ED6"/>
    <w:rsid w:val="0A7B73F3"/>
    <w:rsid w:val="0A9B03C3"/>
    <w:rsid w:val="0AC01C08"/>
    <w:rsid w:val="0B2608DC"/>
    <w:rsid w:val="0B7374F2"/>
    <w:rsid w:val="0C0C3791"/>
    <w:rsid w:val="0CB75121"/>
    <w:rsid w:val="0D9F1FC7"/>
    <w:rsid w:val="0EC42C1D"/>
    <w:rsid w:val="0FCB77DB"/>
    <w:rsid w:val="106320AA"/>
    <w:rsid w:val="10771710"/>
    <w:rsid w:val="107C6E8E"/>
    <w:rsid w:val="10C03B1A"/>
    <w:rsid w:val="114F16B3"/>
    <w:rsid w:val="11933EF1"/>
    <w:rsid w:val="11F823DD"/>
    <w:rsid w:val="124E6541"/>
    <w:rsid w:val="13055EFC"/>
    <w:rsid w:val="132A4818"/>
    <w:rsid w:val="1334275B"/>
    <w:rsid w:val="138A6B07"/>
    <w:rsid w:val="14726477"/>
    <w:rsid w:val="148B5F2F"/>
    <w:rsid w:val="14930090"/>
    <w:rsid w:val="14FF19C2"/>
    <w:rsid w:val="15454A62"/>
    <w:rsid w:val="16460527"/>
    <w:rsid w:val="17AA7A6C"/>
    <w:rsid w:val="18774565"/>
    <w:rsid w:val="18B43656"/>
    <w:rsid w:val="18DC6C36"/>
    <w:rsid w:val="18E436BB"/>
    <w:rsid w:val="190F1246"/>
    <w:rsid w:val="19371A3D"/>
    <w:rsid w:val="19392E92"/>
    <w:rsid w:val="1A7F74B5"/>
    <w:rsid w:val="1B051F7C"/>
    <w:rsid w:val="1BAE4D2B"/>
    <w:rsid w:val="1BED05D4"/>
    <w:rsid w:val="1BF20D44"/>
    <w:rsid w:val="1D811A56"/>
    <w:rsid w:val="1EB77460"/>
    <w:rsid w:val="1EC94B5F"/>
    <w:rsid w:val="1F104D6C"/>
    <w:rsid w:val="1F126C7C"/>
    <w:rsid w:val="20334DFA"/>
    <w:rsid w:val="20530343"/>
    <w:rsid w:val="20D64D51"/>
    <w:rsid w:val="21210A4D"/>
    <w:rsid w:val="21A15D2C"/>
    <w:rsid w:val="21C82376"/>
    <w:rsid w:val="22FC0750"/>
    <w:rsid w:val="244B7205"/>
    <w:rsid w:val="24C76862"/>
    <w:rsid w:val="24D93136"/>
    <w:rsid w:val="25107BC7"/>
    <w:rsid w:val="251A2FF7"/>
    <w:rsid w:val="255E3816"/>
    <w:rsid w:val="2587194A"/>
    <w:rsid w:val="26450D58"/>
    <w:rsid w:val="272C1927"/>
    <w:rsid w:val="275E6C94"/>
    <w:rsid w:val="279F5FDF"/>
    <w:rsid w:val="27DA394E"/>
    <w:rsid w:val="289A5B44"/>
    <w:rsid w:val="28DC0F6A"/>
    <w:rsid w:val="28EC39D0"/>
    <w:rsid w:val="296D0E83"/>
    <w:rsid w:val="297E4A9C"/>
    <w:rsid w:val="29962A80"/>
    <w:rsid w:val="29CD21FE"/>
    <w:rsid w:val="2AAB1038"/>
    <w:rsid w:val="2B2B3DF5"/>
    <w:rsid w:val="2B571043"/>
    <w:rsid w:val="2BE7592F"/>
    <w:rsid w:val="2D382CC6"/>
    <w:rsid w:val="2D3C1BE9"/>
    <w:rsid w:val="2D3C564F"/>
    <w:rsid w:val="2DA83DCF"/>
    <w:rsid w:val="2E4815E6"/>
    <w:rsid w:val="2EB7446F"/>
    <w:rsid w:val="2EBB4D79"/>
    <w:rsid w:val="2F02634B"/>
    <w:rsid w:val="2F031C3E"/>
    <w:rsid w:val="2F620668"/>
    <w:rsid w:val="30E43FCF"/>
    <w:rsid w:val="310F12A5"/>
    <w:rsid w:val="31C85DFF"/>
    <w:rsid w:val="31CE439C"/>
    <w:rsid w:val="31E24E52"/>
    <w:rsid w:val="329D1A99"/>
    <w:rsid w:val="33996076"/>
    <w:rsid w:val="34557684"/>
    <w:rsid w:val="34E3504C"/>
    <w:rsid w:val="353A5574"/>
    <w:rsid w:val="3787655B"/>
    <w:rsid w:val="391A7E65"/>
    <w:rsid w:val="39800255"/>
    <w:rsid w:val="3996367A"/>
    <w:rsid w:val="3A064C79"/>
    <w:rsid w:val="3AA06FEA"/>
    <w:rsid w:val="3AD061AD"/>
    <w:rsid w:val="3AF06488"/>
    <w:rsid w:val="3B663A4F"/>
    <w:rsid w:val="3B75216C"/>
    <w:rsid w:val="3BDE1F31"/>
    <w:rsid w:val="3BF43FDC"/>
    <w:rsid w:val="3C7D53DE"/>
    <w:rsid w:val="3CB61503"/>
    <w:rsid w:val="3CB6772C"/>
    <w:rsid w:val="3DA6256D"/>
    <w:rsid w:val="3E0F1745"/>
    <w:rsid w:val="3E273EB8"/>
    <w:rsid w:val="3E7C700F"/>
    <w:rsid w:val="3E965125"/>
    <w:rsid w:val="3EB05A68"/>
    <w:rsid w:val="3EB94D72"/>
    <w:rsid w:val="3F073C8D"/>
    <w:rsid w:val="3FEC672B"/>
    <w:rsid w:val="40145023"/>
    <w:rsid w:val="40334D77"/>
    <w:rsid w:val="414D28AA"/>
    <w:rsid w:val="41571F94"/>
    <w:rsid w:val="42B37C55"/>
    <w:rsid w:val="43B937F0"/>
    <w:rsid w:val="43DC21E6"/>
    <w:rsid w:val="446B5CB5"/>
    <w:rsid w:val="449564CD"/>
    <w:rsid w:val="449D0A3E"/>
    <w:rsid w:val="44C64A78"/>
    <w:rsid w:val="450B5884"/>
    <w:rsid w:val="45E16517"/>
    <w:rsid w:val="462F7E0C"/>
    <w:rsid w:val="474029EB"/>
    <w:rsid w:val="48623B31"/>
    <w:rsid w:val="48A976AB"/>
    <w:rsid w:val="48DC7D87"/>
    <w:rsid w:val="48FB28AB"/>
    <w:rsid w:val="48FB5FF1"/>
    <w:rsid w:val="494561BB"/>
    <w:rsid w:val="49BD79B3"/>
    <w:rsid w:val="49E53559"/>
    <w:rsid w:val="4A485DC2"/>
    <w:rsid w:val="4AE86ED3"/>
    <w:rsid w:val="4B2B0B52"/>
    <w:rsid w:val="4BA95660"/>
    <w:rsid w:val="4C755A0A"/>
    <w:rsid w:val="4C977834"/>
    <w:rsid w:val="4CFE682A"/>
    <w:rsid w:val="4D3038E5"/>
    <w:rsid w:val="4D596375"/>
    <w:rsid w:val="4D946928"/>
    <w:rsid w:val="4DD037D5"/>
    <w:rsid w:val="4EFB468B"/>
    <w:rsid w:val="4F43377D"/>
    <w:rsid w:val="4FCA5312"/>
    <w:rsid w:val="50863AEE"/>
    <w:rsid w:val="50A15412"/>
    <w:rsid w:val="50C70192"/>
    <w:rsid w:val="51F72A4C"/>
    <w:rsid w:val="52237471"/>
    <w:rsid w:val="528D20F2"/>
    <w:rsid w:val="52927B75"/>
    <w:rsid w:val="5295566F"/>
    <w:rsid w:val="52B435E1"/>
    <w:rsid w:val="52E15F9A"/>
    <w:rsid w:val="530A28E4"/>
    <w:rsid w:val="535661BA"/>
    <w:rsid w:val="54201323"/>
    <w:rsid w:val="5502352F"/>
    <w:rsid w:val="552C7A66"/>
    <w:rsid w:val="560E38A4"/>
    <w:rsid w:val="572E3B80"/>
    <w:rsid w:val="57877110"/>
    <w:rsid w:val="5892032C"/>
    <w:rsid w:val="59361347"/>
    <w:rsid w:val="596F02C5"/>
    <w:rsid w:val="59A66EED"/>
    <w:rsid w:val="59AB1B80"/>
    <w:rsid w:val="5A86434D"/>
    <w:rsid w:val="5A8D2322"/>
    <w:rsid w:val="5AA9763F"/>
    <w:rsid w:val="5BC07533"/>
    <w:rsid w:val="5CB5060B"/>
    <w:rsid w:val="5CE21551"/>
    <w:rsid w:val="5D5905FD"/>
    <w:rsid w:val="5D822C5A"/>
    <w:rsid w:val="5DB6074F"/>
    <w:rsid w:val="5DCC2606"/>
    <w:rsid w:val="5DDE730D"/>
    <w:rsid w:val="5E421FD0"/>
    <w:rsid w:val="5E503BBD"/>
    <w:rsid w:val="5F1C7961"/>
    <w:rsid w:val="5F983239"/>
    <w:rsid w:val="5FC62655"/>
    <w:rsid w:val="5FFA2097"/>
    <w:rsid w:val="60637039"/>
    <w:rsid w:val="60C56A63"/>
    <w:rsid w:val="60DD5FF3"/>
    <w:rsid w:val="61354B48"/>
    <w:rsid w:val="61397DAE"/>
    <w:rsid w:val="614F02B4"/>
    <w:rsid w:val="618F18CA"/>
    <w:rsid w:val="62704A45"/>
    <w:rsid w:val="630A5037"/>
    <w:rsid w:val="63DA4B97"/>
    <w:rsid w:val="64332630"/>
    <w:rsid w:val="64522C79"/>
    <w:rsid w:val="64EB3807"/>
    <w:rsid w:val="65F61D40"/>
    <w:rsid w:val="665D1ED0"/>
    <w:rsid w:val="679B47E6"/>
    <w:rsid w:val="67F26828"/>
    <w:rsid w:val="68A6624A"/>
    <w:rsid w:val="68D55492"/>
    <w:rsid w:val="68E22B8F"/>
    <w:rsid w:val="6906014B"/>
    <w:rsid w:val="69713A6A"/>
    <w:rsid w:val="69DE533E"/>
    <w:rsid w:val="69E15469"/>
    <w:rsid w:val="69F71FE5"/>
    <w:rsid w:val="6A7A48B2"/>
    <w:rsid w:val="6C851A4C"/>
    <w:rsid w:val="6F901D8A"/>
    <w:rsid w:val="6F995F63"/>
    <w:rsid w:val="6FC22B6C"/>
    <w:rsid w:val="702D5807"/>
    <w:rsid w:val="70406237"/>
    <w:rsid w:val="70766E7B"/>
    <w:rsid w:val="71C21CB8"/>
    <w:rsid w:val="721E7C6E"/>
    <w:rsid w:val="72252EC6"/>
    <w:rsid w:val="72C67F3E"/>
    <w:rsid w:val="735C067F"/>
    <w:rsid w:val="75102D70"/>
    <w:rsid w:val="751E7E24"/>
    <w:rsid w:val="7523099D"/>
    <w:rsid w:val="75CD391D"/>
    <w:rsid w:val="76047015"/>
    <w:rsid w:val="76832D41"/>
    <w:rsid w:val="76E06023"/>
    <w:rsid w:val="770D0429"/>
    <w:rsid w:val="77227763"/>
    <w:rsid w:val="782B5247"/>
    <w:rsid w:val="784B5870"/>
    <w:rsid w:val="78C642A1"/>
    <w:rsid w:val="797F4079"/>
    <w:rsid w:val="7A560E98"/>
    <w:rsid w:val="7B434EA7"/>
    <w:rsid w:val="7B4D24C9"/>
    <w:rsid w:val="7B955067"/>
    <w:rsid w:val="7BC41919"/>
    <w:rsid w:val="7C6B2167"/>
    <w:rsid w:val="7CDC740A"/>
    <w:rsid w:val="7D25618F"/>
    <w:rsid w:val="7D7F7E70"/>
    <w:rsid w:val="7DD256DA"/>
    <w:rsid w:val="7E2D16FC"/>
    <w:rsid w:val="7E31096D"/>
    <w:rsid w:val="7E330076"/>
    <w:rsid w:val="7E933C3C"/>
    <w:rsid w:val="7F0B6033"/>
    <w:rsid w:val="7F3C6C4B"/>
    <w:rsid w:val="7FC254E9"/>
    <w:rsid w:val="7FFD6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32"/>
    <w:autoRedefine/>
    <w:qFormat/>
    <w:uiPriority w:val="0"/>
    <w:pPr>
      <w:keepNext/>
      <w:outlineLvl w:val="0"/>
    </w:pPr>
    <w:rPr>
      <w:rFonts w:ascii="仿宋_GB2312" w:hAnsi="宋体" w:eastAsia="仿宋_GB2312"/>
      <w:b/>
      <w:kern w:val="2"/>
      <w:sz w:val="32"/>
    </w:rPr>
  </w:style>
  <w:style w:type="paragraph" w:styleId="3">
    <w:name w:val="heading 2"/>
    <w:basedOn w:val="1"/>
    <w:next w:val="1"/>
    <w:autoRedefine/>
    <w:qFormat/>
    <w:uiPriority w:val="9"/>
    <w:pPr>
      <w:keepNext/>
      <w:keepLines/>
      <w:widowControl/>
      <w:spacing w:before="260" w:after="260"/>
      <w:ind w:left="284"/>
      <w:jc w:val="left"/>
      <w:outlineLvl w:val="1"/>
    </w:pPr>
    <w:rPr>
      <w:rFonts w:ascii="Arial" w:hAnsi="Arial"/>
      <w:b/>
      <w:bCs/>
      <w:sz w:val="28"/>
      <w:szCs w:val="32"/>
    </w:rPr>
  </w:style>
  <w:style w:type="paragraph" w:styleId="4">
    <w:name w:val="heading 3"/>
    <w:basedOn w:val="1"/>
    <w:next w:val="1"/>
    <w:qFormat/>
    <w:uiPriority w:val="0"/>
    <w:pPr>
      <w:keepNext/>
      <w:keepLines/>
      <w:spacing w:before="260" w:after="260" w:line="415" w:lineRule="auto"/>
      <w:outlineLvl w:val="2"/>
    </w:pPr>
    <w:rPr>
      <w:b/>
      <w:sz w:val="32"/>
    </w:rPr>
  </w:style>
  <w:style w:type="paragraph" w:styleId="5">
    <w:name w:val="heading 4"/>
    <w:basedOn w:val="1"/>
    <w:next w:val="1"/>
    <w:autoRedefine/>
    <w:semiHidden/>
    <w:unhideWhenUsed/>
    <w:qFormat/>
    <w:uiPriority w:val="0"/>
    <w:pPr>
      <w:spacing w:beforeAutospacing="1" w:afterAutospacing="1"/>
      <w:jc w:val="left"/>
      <w:outlineLvl w:val="3"/>
    </w:pPr>
    <w:rPr>
      <w:rFonts w:hint="eastAsia" w:hAnsi="宋体"/>
      <w:b/>
      <w:bCs/>
      <w:szCs w:val="24"/>
    </w:rPr>
  </w:style>
  <w:style w:type="paragraph" w:styleId="6">
    <w:name w:val="heading 6"/>
    <w:basedOn w:val="1"/>
    <w:next w:val="1"/>
    <w:autoRedefine/>
    <w:semiHidden/>
    <w:unhideWhenUsed/>
    <w:qFormat/>
    <w:uiPriority w:val="0"/>
    <w:pPr>
      <w:spacing w:beforeAutospacing="1" w:afterAutospacing="1"/>
      <w:jc w:val="left"/>
      <w:outlineLvl w:val="5"/>
    </w:pPr>
    <w:rPr>
      <w:rFonts w:hint="eastAsia" w:hAnsi="宋体"/>
      <w:b/>
      <w:bCs/>
      <w:sz w:val="15"/>
      <w:szCs w:val="15"/>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1"/>
    <w:autoRedefine/>
    <w:qFormat/>
    <w:uiPriority w:val="0"/>
    <w:pPr>
      <w:spacing w:line="300" w:lineRule="auto"/>
      <w:ind w:firstLine="420" w:firstLineChars="200"/>
    </w:pPr>
    <w:rPr>
      <w:rFonts w:ascii="Calibri"/>
      <w:kern w:val="2"/>
      <w:sz w:val="21"/>
      <w:szCs w:val="24"/>
    </w:rPr>
  </w:style>
  <w:style w:type="paragraph" w:styleId="8">
    <w:name w:val="annotation text"/>
    <w:basedOn w:val="1"/>
    <w:autoRedefine/>
    <w:qFormat/>
    <w:uiPriority w:val="0"/>
    <w:pPr>
      <w:jc w:val="left"/>
    </w:pPr>
  </w:style>
  <w:style w:type="paragraph" w:styleId="9">
    <w:name w:val="Body Text 3"/>
    <w:basedOn w:val="1"/>
    <w:autoRedefine/>
    <w:qFormat/>
    <w:uiPriority w:val="0"/>
    <w:pPr>
      <w:jc w:val="center"/>
    </w:pPr>
    <w:rPr>
      <w:rFonts w:ascii="Times New Roman"/>
      <w:b/>
      <w:spacing w:val="-20"/>
      <w:w w:val="110"/>
      <w:kern w:val="2"/>
      <w:sz w:val="52"/>
    </w:rPr>
  </w:style>
  <w:style w:type="paragraph" w:styleId="10">
    <w:name w:val="Body Text"/>
    <w:basedOn w:val="1"/>
    <w:next w:val="1"/>
    <w:autoRedefine/>
    <w:qFormat/>
    <w:uiPriority w:val="0"/>
    <w:pPr>
      <w:spacing w:after="120"/>
    </w:pPr>
    <w:rPr>
      <w:rFonts w:ascii="Calibri"/>
      <w:kern w:val="2"/>
      <w:sz w:val="21"/>
    </w:rPr>
  </w:style>
  <w:style w:type="paragraph" w:styleId="11">
    <w:name w:val="Body Text Indent"/>
    <w:basedOn w:val="1"/>
    <w:next w:val="12"/>
    <w:autoRedefine/>
    <w:qFormat/>
    <w:uiPriority w:val="0"/>
    <w:pPr>
      <w:spacing w:line="380" w:lineRule="exact"/>
      <w:ind w:firstLine="420" w:firstLineChars="175"/>
    </w:pPr>
    <w:rPr>
      <w:rFonts w:ascii="宋体" w:hAnsi="宋体"/>
      <w:sz w:val="24"/>
    </w:rPr>
  </w:style>
  <w:style w:type="paragraph" w:styleId="12">
    <w:name w:val="Body Text First Indent 2"/>
    <w:basedOn w:val="11"/>
    <w:autoRedefine/>
    <w:qFormat/>
    <w:uiPriority w:val="0"/>
    <w:pPr>
      <w:spacing w:after="120" w:afterLines="0" w:line="240" w:lineRule="auto"/>
      <w:ind w:left="200" w:leftChars="200" w:firstLine="200" w:firstLineChars="200"/>
    </w:pPr>
  </w:style>
  <w:style w:type="paragraph" w:styleId="13">
    <w:name w:val="toc 3"/>
    <w:basedOn w:val="1"/>
    <w:next w:val="1"/>
    <w:autoRedefine/>
    <w:qFormat/>
    <w:uiPriority w:val="0"/>
    <w:pPr>
      <w:ind w:left="840" w:leftChars="400"/>
    </w:pPr>
  </w:style>
  <w:style w:type="paragraph" w:styleId="14">
    <w:name w:val="Plain Text"/>
    <w:basedOn w:val="1"/>
    <w:autoRedefine/>
    <w:qFormat/>
    <w:uiPriority w:val="0"/>
    <w:rPr>
      <w:rFonts w:hAnsi="Courier New"/>
      <w:kern w:val="2"/>
      <w:sz w:val="21"/>
    </w:rPr>
  </w:style>
  <w:style w:type="paragraph" w:styleId="15">
    <w:name w:val="footer"/>
    <w:basedOn w:val="1"/>
    <w:autoRedefine/>
    <w:qFormat/>
    <w:uiPriority w:val="99"/>
    <w:pPr>
      <w:tabs>
        <w:tab w:val="center" w:pos="4153"/>
        <w:tab w:val="right" w:pos="8306"/>
      </w:tabs>
      <w:snapToGrid w:val="0"/>
      <w:jc w:val="left"/>
    </w:pPr>
    <w:rPr>
      <w:rFonts w:ascii="Calibri"/>
      <w:kern w:val="2"/>
      <w:sz w:val="18"/>
      <w:szCs w:val="18"/>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7">
    <w:name w:val="toc 1"/>
    <w:basedOn w:val="1"/>
    <w:next w:val="1"/>
    <w:autoRedefine/>
    <w:unhideWhenUsed/>
    <w:qFormat/>
    <w:uiPriority w:val="39"/>
  </w:style>
  <w:style w:type="paragraph" w:styleId="18">
    <w:name w:val="Body Text Indent 3"/>
    <w:basedOn w:val="1"/>
    <w:autoRedefine/>
    <w:qFormat/>
    <w:uiPriority w:val="0"/>
    <w:pPr>
      <w:spacing w:line="410" w:lineRule="exact"/>
      <w:ind w:left="619" w:leftChars="295" w:firstLine="390" w:firstLineChars="179"/>
    </w:pPr>
    <w:rPr>
      <w:rFonts w:hAnsi="宋体"/>
      <w:spacing w:val="4"/>
      <w:kern w:val="2"/>
      <w:sz w:val="21"/>
    </w:rPr>
  </w:style>
  <w:style w:type="paragraph" w:styleId="19">
    <w:name w:val="toc 2"/>
    <w:basedOn w:val="1"/>
    <w:next w:val="1"/>
    <w:autoRedefine/>
    <w:unhideWhenUsed/>
    <w:qFormat/>
    <w:uiPriority w:val="39"/>
    <w:pPr>
      <w:ind w:left="420" w:leftChars="200"/>
    </w:pPr>
  </w:style>
  <w:style w:type="paragraph" w:styleId="20">
    <w:name w:val="Normal (Web)"/>
    <w:basedOn w:val="1"/>
    <w:autoRedefine/>
    <w:qFormat/>
    <w:uiPriority w:val="0"/>
    <w:pPr>
      <w:widowControl/>
      <w:spacing w:before="100" w:beforeAutospacing="1" w:after="100" w:afterAutospacing="1"/>
      <w:jc w:val="left"/>
    </w:pPr>
    <w:rPr>
      <w:rFonts w:hAnsi="宋体"/>
      <w:szCs w:val="24"/>
    </w:rPr>
  </w:style>
  <w:style w:type="paragraph" w:styleId="21">
    <w:name w:val="Body Text First Indent"/>
    <w:basedOn w:val="10"/>
    <w:next w:val="12"/>
    <w:qFormat/>
    <w:uiPriority w:val="99"/>
    <w:pPr>
      <w:ind w:firstLine="420" w:firstLineChars="100"/>
    </w:p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22"/>
    <w:rPr>
      <w:b/>
      <w:bCs/>
    </w:rPr>
  </w:style>
  <w:style w:type="character" w:styleId="26">
    <w:name w:val="Hyperlink"/>
    <w:basedOn w:val="24"/>
    <w:autoRedefine/>
    <w:qFormat/>
    <w:uiPriority w:val="0"/>
    <w:rPr>
      <w:color w:val="0000FF"/>
      <w:u w:val="single"/>
    </w:rPr>
  </w:style>
  <w:style w:type="paragraph" w:customStyle="1" w:styleId="27">
    <w:name w:val="MessageHeader"/>
    <w:basedOn w:val="1"/>
    <w:next w:val="28"/>
    <w:autoRedefine/>
    <w:qFormat/>
    <w:uiPriority w:val="0"/>
    <w:pPr>
      <w:pBdr>
        <w:top w:val="none" w:color="000000" w:sz="0" w:space="1"/>
        <w:left w:val="none" w:color="000000" w:sz="0" w:space="1"/>
        <w:bottom w:val="none" w:color="000000" w:sz="0" w:space="1"/>
        <w:right w:val="none" w:color="000000" w:sz="0" w:space="1"/>
      </w:pBdr>
      <w:snapToGrid w:val="0"/>
      <w:spacing w:line="360" w:lineRule="auto"/>
      <w:textAlignment w:val="baseline"/>
    </w:pPr>
    <w:rPr>
      <w:rFonts w:ascii="Arial" w:hAnsi="Arial"/>
      <w:kern w:val="2"/>
      <w:sz w:val="28"/>
    </w:rPr>
  </w:style>
  <w:style w:type="paragraph" w:customStyle="1" w:styleId="28">
    <w:name w:val="BodyText"/>
    <w:basedOn w:val="1"/>
    <w:next w:val="1"/>
    <w:autoRedefine/>
    <w:qFormat/>
    <w:uiPriority w:val="0"/>
    <w:pPr>
      <w:jc w:val="center"/>
      <w:textAlignment w:val="baseline"/>
    </w:pPr>
  </w:style>
  <w:style w:type="paragraph" w:customStyle="1" w:styleId="29">
    <w:name w:val="列表段落1"/>
    <w:basedOn w:val="1"/>
    <w:autoRedefine/>
    <w:qFormat/>
    <w:uiPriority w:val="34"/>
    <w:pPr>
      <w:ind w:firstLine="420" w:firstLineChars="200"/>
    </w:pPr>
  </w:style>
  <w:style w:type="paragraph" w:customStyle="1" w:styleId="30">
    <w:name w:val="Default"/>
    <w:next w:val="31"/>
    <w:autoRedefine/>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31">
    <w:name w:val="大标题"/>
    <w:basedOn w:val="1"/>
    <w:next w:val="12"/>
    <w:autoRedefine/>
    <w:qFormat/>
    <w:uiPriority w:val="0"/>
    <w:pPr>
      <w:jc w:val="center"/>
    </w:pPr>
    <w:rPr>
      <w:rFonts w:ascii="Arial" w:hAnsi="Arial" w:eastAsia="宋体"/>
      <w:b/>
      <w:sz w:val="28"/>
      <w:szCs w:val="24"/>
    </w:rPr>
  </w:style>
  <w:style w:type="character" w:customStyle="1" w:styleId="32">
    <w:name w:val="标题 1 字符"/>
    <w:link w:val="2"/>
    <w:autoRedefine/>
    <w:qFormat/>
    <w:uiPriority w:val="0"/>
    <w:rPr>
      <w:rFonts w:ascii="仿宋_GB2312" w:hAnsi="宋体" w:eastAsia="仿宋_GB2312"/>
      <w:b/>
      <w:kern w:val="2"/>
      <w:sz w:val="32"/>
    </w:rPr>
  </w:style>
  <w:style w:type="paragraph" w:customStyle="1" w:styleId="33">
    <w:name w:val="表格文字中"/>
    <w:basedOn w:val="1"/>
    <w:autoRedefine/>
    <w:qFormat/>
    <w:uiPriority w:val="0"/>
    <w:pPr>
      <w:adjustRightInd w:val="0"/>
      <w:snapToGrid w:val="0"/>
      <w:ind w:left="22" w:leftChars="8"/>
      <w:jc w:val="center"/>
    </w:pPr>
    <w:rPr>
      <w:szCs w:val="24"/>
    </w:rPr>
  </w:style>
  <w:style w:type="paragraph" w:customStyle="1" w:styleId="34">
    <w:name w:val="Char1"/>
    <w:basedOn w:val="1"/>
    <w:autoRedefine/>
    <w:qFormat/>
    <w:uiPriority w:val="0"/>
    <w:pPr>
      <w:tabs>
        <w:tab w:val="left" w:pos="360"/>
      </w:tabs>
      <w:ind w:left="360" w:hanging="360" w:hangingChars="200"/>
    </w:pPr>
    <w:rPr>
      <w:szCs w:val="24"/>
    </w:rPr>
  </w:style>
  <w:style w:type="paragraph" w:customStyle="1" w:styleId="35">
    <w:name w:val="列出段落11"/>
    <w:basedOn w:val="1"/>
    <w:autoRedefine/>
    <w:qFormat/>
    <w:uiPriority w:val="34"/>
    <w:pPr>
      <w:ind w:firstLine="420" w:firstLineChars="200"/>
    </w:pPr>
    <w:rPr>
      <w:rFonts w:ascii="Calibri" w:hAnsi="Calibri"/>
      <w:szCs w:val="22"/>
    </w:rPr>
  </w:style>
  <w:style w:type="character" w:customStyle="1" w:styleId="36">
    <w:name w:val="font21"/>
    <w:basedOn w:val="24"/>
    <w:autoRedefine/>
    <w:qFormat/>
    <w:uiPriority w:val="0"/>
    <w:rPr>
      <w:rFonts w:hint="eastAsia" w:ascii="宋体" w:hAnsi="宋体" w:eastAsia="宋体" w:cs="宋体"/>
      <w:color w:val="000000"/>
      <w:sz w:val="24"/>
      <w:szCs w:val="24"/>
      <w:u w:val="none"/>
    </w:rPr>
  </w:style>
  <w:style w:type="character" w:customStyle="1" w:styleId="37">
    <w:name w:val="font01"/>
    <w:basedOn w:val="24"/>
    <w:autoRedefine/>
    <w:qFormat/>
    <w:uiPriority w:val="0"/>
    <w:rPr>
      <w:rFonts w:hint="eastAsia" w:ascii="宋体" w:hAnsi="宋体" w:eastAsia="宋体" w:cs="宋体"/>
      <w:color w:val="000000"/>
      <w:sz w:val="24"/>
      <w:szCs w:val="24"/>
      <w:u w:val="none"/>
    </w:rPr>
  </w:style>
  <w:style w:type="character" w:customStyle="1" w:styleId="38">
    <w:name w:val="font31"/>
    <w:basedOn w:val="24"/>
    <w:autoRedefine/>
    <w:qFormat/>
    <w:uiPriority w:val="0"/>
    <w:rPr>
      <w:rFonts w:hint="default" w:ascii="AGYXIQ + Frutiger-Cn" w:hAnsi="AGYXIQ + Frutiger-Cn" w:eastAsia="AGYXIQ + Frutiger-Cn" w:cs="AGYXIQ + Frutiger-Cn"/>
      <w:color w:val="000000"/>
      <w:sz w:val="24"/>
      <w:szCs w:val="24"/>
      <w:u w:val="none"/>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character" w:customStyle="1" w:styleId="40">
    <w:name w:val="font11"/>
    <w:basedOn w:val="24"/>
    <w:qFormat/>
    <w:uiPriority w:val="0"/>
    <w:rPr>
      <w:rFonts w:hint="eastAsia" w:ascii="宋体" w:hAnsi="宋体" w:eastAsia="宋体" w:cs="宋体"/>
      <w:b/>
      <w:bCs/>
      <w:color w:val="000000"/>
      <w:sz w:val="22"/>
      <w:szCs w:val="22"/>
      <w:u w:val="none"/>
    </w:rPr>
  </w:style>
  <w:style w:type="character" w:customStyle="1" w:styleId="41">
    <w:name w:val="font41"/>
    <w:basedOn w:val="24"/>
    <w:qFormat/>
    <w:uiPriority w:val="0"/>
    <w:rPr>
      <w:rFonts w:ascii="宋体" w:hAnsi="宋体" w:eastAsia="宋体" w:cs="宋体"/>
      <w:b/>
      <w:bCs/>
      <w:color w:val="000000"/>
      <w:sz w:val="18"/>
      <w:szCs w:val="18"/>
      <w:u w:val="none"/>
    </w:rPr>
  </w:style>
  <w:style w:type="character" w:customStyle="1" w:styleId="42">
    <w:name w:val="font51"/>
    <w:basedOn w:val="24"/>
    <w:qFormat/>
    <w:uiPriority w:val="0"/>
    <w:rPr>
      <w:rFonts w:ascii="宋体" w:hAnsi="宋体" w:eastAsia="宋体" w:cs="宋体"/>
      <w:color w:val="000000"/>
      <w:sz w:val="12"/>
      <w:szCs w:val="12"/>
      <w:u w:val="none"/>
    </w:rPr>
  </w:style>
  <w:style w:type="character" w:customStyle="1" w:styleId="43">
    <w:name w:val="font61"/>
    <w:basedOn w:val="24"/>
    <w:qFormat/>
    <w:uiPriority w:val="0"/>
    <w:rPr>
      <w:rFonts w:ascii="宋体" w:hAnsi="宋体" w:eastAsia="宋体" w:cs="宋体"/>
      <w:b/>
      <w:bCs/>
      <w:color w:val="000000"/>
      <w:sz w:val="12"/>
      <w:szCs w:val="12"/>
      <w:u w:val="none"/>
    </w:rPr>
  </w:style>
  <w:style w:type="paragraph" w:customStyle="1" w:styleId="44">
    <w:name w:val="样式 标题 2 Char + (西文) 黑体 段前: 6 磅 段后: 0.5 行 行距: 1.5 倍行距"/>
    <w:basedOn w:val="3"/>
    <w:qFormat/>
    <w:uiPriority w:val="0"/>
    <w:pPr>
      <w:spacing w:line="360" w:lineRule="auto"/>
    </w:pPr>
    <w:rPr>
      <w:rFonts w:ascii="黑体" w:hAnsi="黑体" w:cs="宋体"/>
      <w:sz w:val="28"/>
      <w:szCs w:val="20"/>
    </w:rPr>
  </w:style>
  <w:style w:type="paragraph" w:customStyle="1" w:styleId="45">
    <w:name w:val="null3"/>
    <w:hidden/>
    <w:qFormat/>
    <w:uiPriority w:val="0"/>
    <w:rPr>
      <w:rFonts w:hint="eastAsia" w:asciiTheme="minorHAnsi" w:hAnsiTheme="minorHAnsi" w:eastAsiaTheme="minorEastAsia" w:cstheme="minorBidi"/>
      <w:lang w:val="en-US" w:eastAsia="zh-Hans"/>
    </w:rPr>
  </w:style>
  <w:style w:type="paragraph" w:customStyle="1" w:styleId="46">
    <w:name w:val="HTML Preformatted"/>
    <w:basedOn w:val="1"/>
    <w:qFormat/>
    <w:uiPriority w:val="0"/>
    <w:rPr>
      <w:rFonts w:ascii="Courier New" w:hAnsi="Courier New"/>
      <w:sz w:val="20"/>
    </w:rPr>
  </w:style>
  <w:style w:type="character" w:customStyle="1" w:styleId="47">
    <w:name w:val="NormalCharacter"/>
    <w:qFormat/>
    <w:uiPriority w:val="0"/>
  </w:style>
  <w:style w:type="paragraph" w:customStyle="1" w:styleId="48">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17536</Words>
  <Characters>19042</Characters>
  <Lines>240</Lines>
  <Paragraphs>67</Paragraphs>
  <TotalTime>9</TotalTime>
  <ScaleCrop>false</ScaleCrop>
  <LinksUpToDate>false</LinksUpToDate>
  <CharactersWithSpaces>19233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晓 </cp:lastModifiedBy>
  <dcterms:modified xsi:type="dcterms:W3CDTF">2025-09-05T06:23:20Z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72E86C72C07D4656A8CCF7E1A88934E3_13</vt:lpwstr>
  </property>
  <property fmtid="{D5CDD505-2E9C-101B-9397-08002B2CF9AE}" pid="4" name="KSOTemplateDocerSaveRecord">
    <vt:lpwstr>eyJoZGlkIjoiYjgyMjliNjk2ZmM2NTdhNDFlYjJkNjVkZjdlNTIyYWUiLCJ1c2VySWQiOiI2NzQ5OTQ4MDEifQ==</vt:lpwstr>
  </property>
</Properties>
</file>