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版本号：ZMZB2025GCDX-30920250827001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临潼校区部分建筑物消防设施改造及室外消防报警系统联动改造工程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ZMZB2025GCDX-309</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临潼校区部分建筑物消防设施改造及室外消防报警系统联动改造工程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ZMZB2025GCDX-309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临潼校区部分建筑物消防设施改造及室外消防报警系统联动改造工程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临潼校区部分建筑物消防设施改造及室外消防报警系统联动改造工程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采购包1（临潼校区部分建筑物消防设施改造及室外消防报警系统联动改造工程）：属于专门面向中小企业采购。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8、施工资质：具备消防设施工程专业承包二级及以上资质及有效的安全生产许可证</w:t>
      </w:r>
    </w:p>
    <w:p>
      <w:pPr>
        <w:pStyle w:val="null3"/>
      </w:pPr>
      <w:r>
        <w:rPr>
          <w:rFonts w:ascii="仿宋_GB2312" w:hAnsi="仿宋_GB2312" w:cs="仿宋_GB2312" w:eastAsia="仿宋_GB2312"/>
        </w:rPr>
        <w:t>9、外地企业备案：外地企业提供在“陕西省建筑市场监管与诚信信息一体化平台”上登记的基本信息界面截图</w:t>
      </w:r>
    </w:p>
    <w:p>
      <w:pPr>
        <w:pStyle w:val="null3"/>
      </w:pPr>
      <w:r>
        <w:rPr>
          <w:rFonts w:ascii="仿宋_GB2312" w:hAnsi="仿宋_GB2312" w:cs="仿宋_GB2312" w:eastAsia="仿宋_GB2312"/>
        </w:rPr>
        <w:t>10、项目经理：拟投入的项目经理须提供在本单位注册的机电工程专业贰级（含贰级）以上注册建造师证书及有效的安全生产考核合格证且无在建（提供承诺函）</w:t>
      </w:r>
    </w:p>
    <w:p>
      <w:pPr>
        <w:pStyle w:val="null3"/>
      </w:pPr>
      <w:r>
        <w:rPr>
          <w:rFonts w:ascii="仿宋_GB2312" w:hAnsi="仿宋_GB2312" w:cs="仿宋_GB2312" w:eastAsia="仿宋_GB2312"/>
        </w:rPr>
        <w:t>11、非联合体投标：提供非联合体投标声明函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采购包1：1,252,697.45元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中标通知书向采购人缴纳合同金额的5%作为履约保证金；履约保证金应使用人民币，可选择使用银行转账、支票、汇票、本票或者金融机构、担保机构出具的保函等非现金形式缴纳或提交；采购方验收合格后，供应商提出书面申请，采购方将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踏勘时间：2025-09-08 09:30:00</w:t>
            </w:r>
          </w:p>
          <w:p>
            <w:pPr>
              <w:pStyle w:val="null3"/>
              <w:ind w:firstLine="975"/>
            </w:pPr>
            <w:r>
              <w:rPr>
                <w:rFonts w:ascii="仿宋_GB2312" w:hAnsi="仿宋_GB2312" w:cs="仿宋_GB2312" w:eastAsia="仿宋_GB2312"/>
              </w:rPr>
              <w:t>踏勘地点：西安工程大学临潼校区北门广场</w:t>
            </w:r>
          </w:p>
          <w:p>
            <w:pPr>
              <w:pStyle w:val="null3"/>
              <w:ind w:firstLine="975"/>
            </w:pPr>
            <w:r>
              <w:rPr>
                <w:rFonts w:ascii="仿宋_GB2312" w:hAnsi="仿宋_GB2312" w:cs="仿宋_GB2312" w:eastAsia="仿宋_GB2312"/>
              </w:rPr>
              <w:t>联系人：董菊莉 马魏臣</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西安工程大学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1,252,697.45</w:t>
      </w:r>
    </w:p>
    <w:p>
      <w:pPr>
        <w:pStyle w:val="null3"/>
      </w:pPr>
      <w:r>
        <w:rPr>
          <w:rFonts w:ascii="仿宋_GB2312" w:hAnsi="仿宋_GB2312" w:cs="仿宋_GB2312" w:eastAsia="仿宋_GB2312"/>
        </w:rPr>
        <w:t>采购包最高限价（元）: 1,252,697.45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临潼校区部分建筑物消防设施改造及室外消防报警系统联动改造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1,252,697.45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标的名称：临潼校区部分建筑物消防设施改造及室外消防报警系统联动改造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1.项目概况:</w:t>
            </w:r>
          </w:p>
          <w:p>
            <w:pPr>
              <w:pStyle w:val="null3"/>
              <w:jc w:val="both"/>
            </w:pPr>
            <w:r>
              <w:rPr>
                <w:rFonts w:ascii="仿宋_GB2312" w:hAnsi="仿宋_GB2312" w:cs="仿宋_GB2312" w:eastAsia="仿宋_GB2312"/>
                <w:sz w:val="20"/>
              </w:rPr>
              <w:t>本项目位于西安市临潼区西安工程大学临潼校区内，建筑面积约</w:t>
            </w:r>
            <w:r>
              <w:rPr>
                <w:rFonts w:ascii="仿宋_GB2312" w:hAnsi="仿宋_GB2312" w:cs="仿宋_GB2312" w:eastAsia="仿宋_GB2312"/>
                <w:sz w:val="20"/>
              </w:rPr>
              <w:t>2.9178万平方米，最高层为6层。</w:t>
            </w:r>
          </w:p>
          <w:p>
            <w:pPr>
              <w:pStyle w:val="null3"/>
              <w:jc w:val="both"/>
            </w:pPr>
            <w:r>
              <w:rPr>
                <w:rFonts w:ascii="仿宋_GB2312" w:hAnsi="仿宋_GB2312" w:cs="仿宋_GB2312" w:eastAsia="仿宋_GB2312"/>
                <w:sz w:val="20"/>
              </w:rPr>
              <w:t>2.主要内容：</w:t>
            </w:r>
          </w:p>
          <w:p>
            <w:pPr>
              <w:pStyle w:val="null3"/>
              <w:jc w:val="both"/>
            </w:pPr>
            <w:r>
              <w:rPr>
                <w:rFonts w:ascii="仿宋_GB2312" w:hAnsi="仿宋_GB2312" w:cs="仿宋_GB2312" w:eastAsia="仿宋_GB2312"/>
                <w:sz w:val="20"/>
              </w:rPr>
              <w:t>本项目采购范围内主要施工改造内容有：</w:t>
            </w:r>
            <w:r>
              <w:rPr>
                <w:rFonts w:ascii="仿宋_GB2312" w:hAnsi="仿宋_GB2312" w:cs="仿宋_GB2312" w:eastAsia="仿宋_GB2312"/>
                <w:sz w:val="20"/>
              </w:rPr>
              <w:t>①对临潼校区电信理学院实验楼、行政楼内的消防设施进行更新改造，包括楼宇内的消火栓报警系统、应急照明及疏散指示系统、防火封堵等设施进行改造更新；拆除部分原有门、窗改为防火门，窗户处采用水泥压力板进行防火封堵；拆除部分房间门并用砌块墙封堵；新增加气混凝土防火隔墙刷并刷涂料；②对临潼校区室外室外原路面拆除及恢复、绿化带拆除及恢复以及新增手孔井等内容。具体内容详见工程量清单及设计施工图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本工程为包工包料、包工期、包质量、包安全、包文明施工的施工总承包。工程发包采用固定综合单价合同，投标综合单价在约定的范围内不变。招标范围内执行乙方中标综合单价，工程量据实结算。施工合同以外经发包方批准的工程价款确认办法：合同中已有适用于变更工程的价格，按合同已有价格；合同中没有适用的单价，由乙方提出变更认价报告，甲方对主材认价，相关取费参照</w:t>
            </w:r>
            <w:r>
              <w:rPr>
                <w:rFonts w:ascii="仿宋_GB2312" w:hAnsi="仿宋_GB2312" w:cs="仿宋_GB2312" w:eastAsia="仿宋_GB2312"/>
                <w:sz w:val="20"/>
              </w:rPr>
              <w:t>2025《陕西省建设工程费用规则》、2025《陕西省房屋建筑与装饰工程消耗量定额》、2025《陕西省通用安装工程消耗量定额》及其配套的 2025 基价表和学校相关规定执行</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b/>
              </w:rPr>
              <w:t>工程内容、数量及技术要求</w:t>
            </w:r>
          </w:p>
          <w:p>
            <w:pPr>
              <w:pStyle w:val="null3"/>
              <w:jc w:val="both"/>
            </w:pPr>
            <w:r>
              <w:rPr>
                <w:rFonts w:ascii="仿宋_GB2312" w:hAnsi="仿宋_GB2312" w:cs="仿宋_GB2312" w:eastAsia="仿宋_GB2312"/>
                <w:sz w:val="20"/>
              </w:rPr>
              <w:t>本项目位于西安市</w:t>
            </w:r>
            <w:r>
              <w:rPr>
                <w:rFonts w:ascii="仿宋_GB2312" w:hAnsi="仿宋_GB2312" w:cs="仿宋_GB2312" w:eastAsia="仿宋_GB2312"/>
                <w:sz w:val="20"/>
              </w:rPr>
              <w:t>临潼</w:t>
            </w:r>
            <w:r>
              <w:rPr>
                <w:rFonts w:ascii="仿宋_GB2312" w:hAnsi="仿宋_GB2312" w:cs="仿宋_GB2312" w:eastAsia="仿宋_GB2312"/>
                <w:sz w:val="20"/>
              </w:rPr>
              <w:t>区西安工程大学临潼校区内，建筑面积约</w:t>
            </w:r>
            <w:r>
              <w:rPr>
                <w:rFonts w:ascii="仿宋_GB2312" w:hAnsi="仿宋_GB2312" w:cs="仿宋_GB2312" w:eastAsia="仿宋_GB2312"/>
                <w:sz w:val="20"/>
              </w:rPr>
              <w:t>2.9178万平方米，最高层为6层。主要施工改造内容有①对临潼校区电信理学院实验楼、行政楼内的消防设施进行更新改造，包括楼宇内的消火栓报警系统、应急照明及疏散指示系统、防火封堵等设施进行改造更新；拆除部分原有门、窗改为防火门，窗户处采用水泥压力板进行防火封堵；拆除部分房间门并用砌块墙封堵；新增加气混凝土防火隔墙刷并刷涂料；②对临潼校区室外室外原路面拆除及恢复、绿化带拆除及恢复以及新增手孔井等内容。具体内容详见工程量清单及设计施工图纸。满足《关于开展排查化解高校校内建筑消防安全隐患专项行动的通知》和“已交楼未进行消防验收”三年攻坚行动工作的有关要求。</w:t>
            </w:r>
          </w:p>
          <w:p>
            <w:pPr>
              <w:pStyle w:val="null3"/>
              <w:jc w:val="both"/>
            </w:pPr>
            <w:r>
              <w:rPr>
                <w:rFonts w:ascii="仿宋_GB2312" w:hAnsi="仿宋_GB2312" w:cs="仿宋_GB2312" w:eastAsia="仿宋_GB2312"/>
                <w:sz w:val="20"/>
              </w:rPr>
              <w:t>供应商须提供消防验收承诺，要达到属地住建部门验收标准，建筑物改造完成后，应取得属地住建部门阶段性验收指导意见或相关文件。</w:t>
            </w:r>
          </w:p>
          <w:p>
            <w:pPr>
              <w:pStyle w:val="null3"/>
              <w:jc w:val="both"/>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1）招标工程量为暂定量，最终按照实际施工量据实结算。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2）因施工产生的建筑垃圾及清运均包含在综合单价内，不再另行计费。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3）所有分项工程施工工艺需由投标单位根据行业规范及现场实际情况科学组价，与施工相关的一切费用均包含在相关综合单价中，不再另行计费。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该工程中所用材料必须符合国家、行业标准，且均须采用国内知名品牌，投标单位在投标文件须注明品牌并随附相关产品检测报告。所有原材料进场前须由中标方提供样品，校方及监理方考察认质，认定样品质量后封存，大批量材料进场时比对查验，上述常规因素投标单位组价时须一并考虑。</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5）本项目若需到相应行政管理机关办理审批、备案手续的，由施工单位负责，由此发生的一切其他费用概由施工单位承担。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6）本项目内容包括二次深化设计，由此产生的一切其他费用均由施工单位承担。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7）本工程严格执行施工工期，每无故拖延一天，按照合同价的1%按天累计从工程款项中一次性扣除。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8）工程施工结算阶段，承包人应据实申报结算资料及组价，经审计后审减率超出10%（含10%）时，发生的审计成果费由承包人承担。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9）本工程所发生的水电费按工程审定造价的5‰（其中电费为3‰，水费为2‰）从工程款项中一次性扣除。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10）参考品牌如下：</w:t>
            </w:r>
          </w:p>
          <w:p>
            <w:pPr>
              <w:pStyle w:val="null3"/>
              <w:jc w:val="both"/>
            </w:pPr>
            <w:r>
              <w:rPr>
                <w:rFonts w:ascii="仿宋_GB2312" w:hAnsi="仿宋_GB2312" w:cs="仿宋_GB2312" w:eastAsia="仿宋_GB2312"/>
                <w:sz w:val="20"/>
              </w:rPr>
              <w:t>1.应急照明控制箱：敏华电工、雷龙消防、德力西</w:t>
            </w:r>
          </w:p>
          <w:p>
            <w:pPr>
              <w:pStyle w:val="null3"/>
              <w:jc w:val="both"/>
            </w:pPr>
            <w:r>
              <w:rPr>
                <w:rFonts w:ascii="仿宋_GB2312" w:hAnsi="仿宋_GB2312" w:cs="仿宋_GB2312" w:eastAsia="仿宋_GB2312"/>
                <w:sz w:val="20"/>
              </w:rPr>
              <w:t>2.消防应急照明灯具：泰和安、艺兴消防、皇驰</w:t>
            </w:r>
          </w:p>
          <w:p>
            <w:pPr>
              <w:pStyle w:val="null3"/>
              <w:jc w:val="both"/>
            </w:pPr>
            <w:r>
              <w:rPr>
                <w:rFonts w:ascii="仿宋_GB2312" w:hAnsi="仿宋_GB2312" w:cs="仿宋_GB2312" w:eastAsia="仿宋_GB2312"/>
                <w:sz w:val="20"/>
              </w:rPr>
              <w:t>3.疏散指示标志：泰和安、艺兴消防、皇驰</w:t>
            </w:r>
          </w:p>
          <w:p>
            <w:pPr>
              <w:pStyle w:val="null3"/>
              <w:jc w:val="both"/>
            </w:pPr>
            <w:r>
              <w:rPr>
                <w:rFonts w:ascii="仿宋_GB2312" w:hAnsi="仿宋_GB2312" w:cs="仿宋_GB2312" w:eastAsia="仿宋_GB2312"/>
                <w:sz w:val="20"/>
              </w:rPr>
              <w:t>4.薄型单阀单栓柜式消火栓：川消、百安消防、水力消防</w:t>
            </w:r>
          </w:p>
          <w:p>
            <w:pPr>
              <w:pStyle w:val="null3"/>
              <w:jc w:val="both"/>
            </w:pPr>
            <w:r>
              <w:rPr>
                <w:rFonts w:ascii="仿宋_GB2312" w:hAnsi="仿宋_GB2312" w:cs="仿宋_GB2312" w:eastAsia="仿宋_GB2312"/>
                <w:sz w:val="20"/>
              </w:rPr>
              <w:t>5.试验消火栓：川消、百安消防、水力消防</w:t>
            </w:r>
          </w:p>
          <w:p>
            <w:pPr>
              <w:pStyle w:val="null3"/>
              <w:jc w:val="both"/>
            </w:pPr>
            <w:r>
              <w:rPr>
                <w:rFonts w:ascii="仿宋_GB2312" w:hAnsi="仿宋_GB2312" w:cs="仿宋_GB2312" w:eastAsia="仿宋_GB2312"/>
                <w:sz w:val="20"/>
              </w:rPr>
              <w:t>6.钢质防火门：奥博森、益德、美心</w:t>
            </w:r>
          </w:p>
          <w:p>
            <w:pPr>
              <w:pStyle w:val="null3"/>
              <w:jc w:val="both"/>
            </w:pPr>
            <w:r>
              <w:rPr>
                <w:rFonts w:ascii="仿宋_GB2312" w:hAnsi="仿宋_GB2312" w:cs="仿宋_GB2312" w:eastAsia="仿宋_GB2312"/>
                <w:sz w:val="20"/>
              </w:rPr>
              <w:t>7.水泥压力板：诺德、勇士、鑫恩泽</w:t>
            </w:r>
          </w:p>
          <w:p>
            <w:pPr>
              <w:pStyle w:val="null3"/>
              <w:jc w:val="both"/>
            </w:pPr>
            <w:r>
              <w:rPr>
                <w:rFonts w:ascii="仿宋_GB2312" w:hAnsi="仿宋_GB2312" w:cs="仿宋_GB2312" w:eastAsia="仿宋_GB2312"/>
                <w:sz w:val="20"/>
              </w:rPr>
              <w:t>8.无机涂料：立邦、三棵树、科越</w:t>
            </w:r>
          </w:p>
          <w:p>
            <w:pPr>
              <w:pStyle w:val="null3"/>
              <w:jc w:val="both"/>
            </w:pPr>
            <w:r>
              <w:rPr>
                <w:rFonts w:ascii="仿宋_GB2312" w:hAnsi="仿宋_GB2312" w:cs="仿宋_GB2312" w:eastAsia="仿宋_GB2312"/>
                <w:sz w:val="20"/>
              </w:rPr>
              <w:t>注：参考品牌不是指定品牌，其目的是为了方便供应商直观和准确地把握相应材料的技术标准，不具指定或唯一的意思表示，供应商应当参考所列品牌的材料，提供档次、质量或相当于或高于这些品牌的产品。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rPr>
              <w:t>主要材料、设备规格型号及技术参数要求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144"/>
              <w:gridCol w:w="340"/>
              <w:gridCol w:w="331"/>
              <w:gridCol w:w="1012"/>
              <w:gridCol w:w="247"/>
              <w:gridCol w:w="233"/>
              <w:gridCol w:w="233"/>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材料（设备）名称</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规格型号</w:t>
                  </w:r>
                </w:p>
              </w:tc>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技术参数、性能指标及配置要求</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应急照明控制箱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740×480×210mm（高×宽×深） （参考尺寸）</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1、额定功率：1000W</w:t>
                  </w:r>
                </w:p>
                <w:p>
                  <w:pPr>
                    <w:pStyle w:val="null3"/>
                    <w:jc w:val="left"/>
                  </w:pPr>
                  <w:r>
                    <w:rPr>
                      <w:rFonts w:ascii="仿宋_GB2312" w:hAnsi="仿宋_GB2312" w:cs="仿宋_GB2312" w:eastAsia="仿宋_GB2312"/>
                      <w:sz w:val="20"/>
                    </w:rPr>
                    <w:t>2、输出电压：DC36V</w:t>
                  </w:r>
                </w:p>
                <w:p>
                  <w:pPr>
                    <w:pStyle w:val="null3"/>
                    <w:jc w:val="left"/>
                  </w:pPr>
                  <w:r>
                    <w:rPr>
                      <w:rFonts w:ascii="仿宋_GB2312" w:hAnsi="仿宋_GB2312" w:cs="仿宋_GB2312" w:eastAsia="仿宋_GB2312"/>
                      <w:sz w:val="20"/>
                    </w:rPr>
                    <w:t>3、输出支路：8回路</w:t>
                  </w:r>
                </w:p>
                <w:p>
                  <w:pPr>
                    <w:pStyle w:val="null3"/>
                    <w:jc w:val="left"/>
                  </w:pPr>
                  <w:r>
                    <w:rPr>
                      <w:rFonts w:ascii="仿宋_GB2312" w:hAnsi="仿宋_GB2312" w:cs="仿宋_GB2312" w:eastAsia="仿宋_GB2312"/>
                      <w:sz w:val="20"/>
                    </w:rPr>
                    <w:t>4、输出电流：单回路电流≤5A、总电流≤27.8A</w:t>
                  </w:r>
                </w:p>
                <w:p>
                  <w:pPr>
                    <w:pStyle w:val="null3"/>
                    <w:jc w:val="left"/>
                  </w:pPr>
                  <w:r>
                    <w:rPr>
                      <w:rFonts w:ascii="仿宋_GB2312" w:hAnsi="仿宋_GB2312" w:cs="仿宋_GB2312" w:eastAsia="仿宋_GB2312"/>
                      <w:sz w:val="20"/>
                    </w:rPr>
                    <w:t>5、额定输入电压：AC220V</w:t>
                  </w:r>
                </w:p>
                <w:p>
                  <w:pPr>
                    <w:pStyle w:val="null3"/>
                    <w:jc w:val="left"/>
                  </w:pPr>
                  <w:r>
                    <w:rPr>
                      <w:rFonts w:ascii="仿宋_GB2312" w:hAnsi="仿宋_GB2312" w:cs="仿宋_GB2312" w:eastAsia="仿宋_GB2312"/>
                      <w:sz w:val="20"/>
                    </w:rPr>
                    <w:t>6、市电频率：50Hz</w:t>
                  </w:r>
                </w:p>
                <w:p>
                  <w:pPr>
                    <w:pStyle w:val="null3"/>
                    <w:jc w:val="left"/>
                  </w:pPr>
                  <w:r>
                    <w:rPr>
                      <w:rFonts w:ascii="仿宋_GB2312" w:hAnsi="仿宋_GB2312" w:cs="仿宋_GB2312" w:eastAsia="仿宋_GB2312"/>
                      <w:sz w:val="20"/>
                    </w:rPr>
                    <w:t>7、电池类型：磷酸铁锂电池</w:t>
                  </w:r>
                </w:p>
                <w:p>
                  <w:pPr>
                    <w:pStyle w:val="null3"/>
                    <w:jc w:val="left"/>
                  </w:pPr>
                  <w:r>
                    <w:rPr>
                      <w:rFonts w:ascii="仿宋_GB2312" w:hAnsi="仿宋_GB2312" w:cs="仿宋_GB2312" w:eastAsia="仿宋_GB2312"/>
                      <w:sz w:val="20"/>
                    </w:rPr>
                    <w:t>8、电池组电压：38.4V</w:t>
                  </w:r>
                </w:p>
                <w:p>
                  <w:pPr>
                    <w:pStyle w:val="null3"/>
                    <w:jc w:val="left"/>
                  </w:pPr>
                  <w:r>
                    <w:rPr>
                      <w:rFonts w:ascii="仿宋_GB2312" w:hAnsi="仿宋_GB2312" w:cs="仿宋_GB2312" w:eastAsia="仿宋_GB2312"/>
                      <w:sz w:val="20"/>
                    </w:rPr>
                    <w:t>9、电池组容量：44Ah</w:t>
                  </w:r>
                </w:p>
                <w:p>
                  <w:pPr>
                    <w:pStyle w:val="null3"/>
                    <w:jc w:val="left"/>
                  </w:pPr>
                  <w:r>
                    <w:rPr>
                      <w:rFonts w:ascii="仿宋_GB2312" w:hAnsi="仿宋_GB2312" w:cs="仿宋_GB2312" w:eastAsia="仿宋_GB2312"/>
                      <w:sz w:val="20"/>
                    </w:rPr>
                    <w:t>10、电池组数：1组</w:t>
                  </w:r>
                </w:p>
                <w:p>
                  <w:pPr>
                    <w:pStyle w:val="null3"/>
                    <w:jc w:val="left"/>
                  </w:pPr>
                  <w:r>
                    <w:rPr>
                      <w:rFonts w:ascii="仿宋_GB2312" w:hAnsi="仿宋_GB2312" w:cs="仿宋_GB2312" w:eastAsia="仿宋_GB2312"/>
                      <w:sz w:val="20"/>
                    </w:rPr>
                    <w:t>11、防护等级：IP33</w:t>
                  </w:r>
                </w:p>
                <w:p>
                  <w:pPr>
                    <w:pStyle w:val="null3"/>
                    <w:jc w:val="left"/>
                  </w:pPr>
                  <w:r>
                    <w:rPr>
                      <w:rFonts w:ascii="仿宋_GB2312" w:hAnsi="仿宋_GB2312" w:cs="仿宋_GB2312" w:eastAsia="仿宋_GB2312"/>
                      <w:sz w:val="20"/>
                    </w:rPr>
                    <w:t>12、应急转换时间：≤0.1s</w:t>
                  </w:r>
                </w:p>
                <w:p>
                  <w:pPr>
                    <w:pStyle w:val="null3"/>
                    <w:jc w:val="left"/>
                  </w:pPr>
                  <w:r>
                    <w:rPr>
                      <w:rFonts w:ascii="仿宋_GB2312" w:hAnsi="仿宋_GB2312" w:cs="仿宋_GB2312" w:eastAsia="仿宋_GB2312"/>
                      <w:sz w:val="20"/>
                    </w:rPr>
                    <w:t>13、应急时间：≥90分钟</w:t>
                  </w:r>
                </w:p>
                <w:p>
                  <w:pPr>
                    <w:pStyle w:val="null3"/>
                    <w:jc w:val="left"/>
                  </w:pPr>
                  <w:r>
                    <w:rPr>
                      <w:rFonts w:ascii="仿宋_GB2312" w:hAnsi="仿宋_GB2312" w:cs="仿宋_GB2312" w:eastAsia="仿宋_GB2312"/>
                      <w:sz w:val="20"/>
                    </w:rPr>
                    <w:t>14、电池充电时间：≤24小时</w:t>
                  </w:r>
                </w:p>
                <w:p>
                  <w:pPr>
                    <w:pStyle w:val="null3"/>
                    <w:jc w:val="left"/>
                  </w:pPr>
                  <w:r>
                    <w:rPr>
                      <w:rFonts w:ascii="仿宋_GB2312" w:hAnsi="仿宋_GB2312" w:cs="仿宋_GB2312" w:eastAsia="仿宋_GB2312"/>
                      <w:sz w:val="20"/>
                    </w:rPr>
                    <w:t>15、保护功能：短路、开路、电池组过放</w:t>
                  </w:r>
                </w:p>
                <w:p>
                  <w:pPr>
                    <w:pStyle w:val="null3"/>
                    <w:jc w:val="left"/>
                  </w:pPr>
                  <w:r>
                    <w:rPr>
                      <w:rFonts w:ascii="仿宋_GB2312" w:hAnsi="仿宋_GB2312" w:cs="仿宋_GB2312" w:eastAsia="仿宋_GB2312"/>
                      <w:sz w:val="20"/>
                    </w:rPr>
                    <w:t>16、显示方式：LED运行状态显示、LCD汉字信息显示</w:t>
                  </w:r>
                </w:p>
                <w:p>
                  <w:pPr>
                    <w:pStyle w:val="null3"/>
                    <w:jc w:val="left"/>
                  </w:pPr>
                  <w:r>
                    <w:rPr>
                      <w:rFonts w:ascii="仿宋_GB2312" w:hAnsi="仿宋_GB2312" w:cs="仿宋_GB2312" w:eastAsia="仿宋_GB2312"/>
                      <w:sz w:val="20"/>
                    </w:rPr>
                    <w:t>17、远程通讯：通讯方式：KWIB</w:t>
                  </w:r>
                </w:p>
                <w:p>
                  <w:pPr>
                    <w:pStyle w:val="null3"/>
                    <w:jc w:val="left"/>
                  </w:pPr>
                  <w:r>
                    <w:rPr>
                      <w:rFonts w:ascii="仿宋_GB2312" w:hAnsi="仿宋_GB2312" w:cs="仿宋_GB2312" w:eastAsia="仿宋_GB2312"/>
                      <w:sz w:val="20"/>
                    </w:rPr>
                    <w:t>18、绝缘电阻：≥50MΩ</w:t>
                  </w:r>
                </w:p>
                <w:p>
                  <w:pPr>
                    <w:pStyle w:val="null3"/>
                    <w:jc w:val="left"/>
                  </w:pPr>
                  <w:r>
                    <w:rPr>
                      <w:rFonts w:ascii="仿宋_GB2312" w:hAnsi="仿宋_GB2312" w:cs="仿宋_GB2312" w:eastAsia="仿宋_GB2312"/>
                      <w:sz w:val="20"/>
                    </w:rPr>
                    <w:t>19、相对湿度：0〜90%不结露</w:t>
                  </w:r>
                </w:p>
                <w:p>
                  <w:pPr>
                    <w:pStyle w:val="null3"/>
                    <w:jc w:val="left"/>
                  </w:pPr>
                  <w:r>
                    <w:rPr>
                      <w:rFonts w:ascii="仿宋_GB2312" w:hAnsi="仿宋_GB2312" w:cs="仿宋_GB2312" w:eastAsia="仿宋_GB2312"/>
                      <w:sz w:val="20"/>
                    </w:rPr>
                    <w:t>20、环境温度：-10℃〜+55℃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消防应急照明灯具</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120mm×40 mm（参考尺寸）</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1、工作温度：-10~+55°C </w:t>
                  </w:r>
                </w:p>
                <w:p>
                  <w:pPr>
                    <w:pStyle w:val="null3"/>
                    <w:jc w:val="both"/>
                  </w:pPr>
                  <w:r>
                    <w:rPr>
                      <w:rFonts w:ascii="仿宋_GB2312" w:hAnsi="仿宋_GB2312" w:cs="仿宋_GB2312" w:eastAsia="仿宋_GB2312"/>
                      <w:sz w:val="20"/>
                    </w:rPr>
                    <w:t>2、贮存温度： -20~+65°C</w:t>
                  </w:r>
                </w:p>
                <w:p>
                  <w:pPr>
                    <w:pStyle w:val="null3"/>
                    <w:jc w:val="both"/>
                  </w:pPr>
                  <w:r>
                    <w:rPr>
                      <w:rFonts w:ascii="仿宋_GB2312" w:hAnsi="仿宋_GB2312" w:cs="仿宋_GB2312" w:eastAsia="仿宋_GB2312"/>
                      <w:sz w:val="20"/>
                    </w:rPr>
                    <w:t>3、工作相对湿度： &lt;90%（无凝露）</w:t>
                  </w:r>
                </w:p>
                <w:p>
                  <w:pPr>
                    <w:pStyle w:val="null3"/>
                    <w:jc w:val="both"/>
                  </w:pPr>
                  <w:r>
                    <w:rPr>
                      <w:rFonts w:ascii="仿宋_GB2312" w:hAnsi="仿宋_GB2312" w:cs="仿宋_GB2312" w:eastAsia="仿宋_GB2312"/>
                      <w:sz w:val="20"/>
                    </w:rPr>
                    <w:t>4、储存相对湿度：&lt;90%（无凝露）</w:t>
                  </w:r>
                </w:p>
                <w:p>
                  <w:pPr>
                    <w:pStyle w:val="null3"/>
                    <w:jc w:val="both"/>
                  </w:pPr>
                  <w:r>
                    <w:rPr>
                      <w:rFonts w:ascii="仿宋_GB2312" w:hAnsi="仿宋_GB2312" w:cs="仿宋_GB2312" w:eastAsia="仿宋_GB2312"/>
                      <w:sz w:val="20"/>
                    </w:rPr>
                    <w:t>5、 额定工作电压：DC36V</w:t>
                  </w:r>
                </w:p>
                <w:p>
                  <w:pPr>
                    <w:pStyle w:val="null3"/>
                    <w:jc w:val="both"/>
                  </w:pPr>
                  <w:r>
                    <w:rPr>
                      <w:rFonts w:ascii="仿宋_GB2312" w:hAnsi="仿宋_GB2312" w:cs="仿宋_GB2312" w:eastAsia="仿宋_GB2312"/>
                      <w:sz w:val="20"/>
                    </w:rPr>
                    <w:t>6、工作方式：非持续型</w:t>
                  </w:r>
                </w:p>
                <w:p>
                  <w:pPr>
                    <w:pStyle w:val="null3"/>
                    <w:jc w:val="both"/>
                  </w:pPr>
                  <w:r>
                    <w:rPr>
                      <w:rFonts w:ascii="仿宋_GB2312" w:hAnsi="仿宋_GB2312" w:cs="仿宋_GB2312" w:eastAsia="仿宋_GB2312"/>
                      <w:sz w:val="20"/>
                    </w:rPr>
                    <w:t>7、光源： 高亮、低功耗LED</w:t>
                  </w:r>
                </w:p>
                <w:p>
                  <w:pPr>
                    <w:pStyle w:val="null3"/>
                    <w:jc w:val="center"/>
                  </w:pPr>
                  <w:r>
                    <w:rPr>
                      <w:rFonts w:ascii="仿宋_GB2312" w:hAnsi="仿宋_GB2312" w:cs="仿宋_GB2312" w:eastAsia="仿宋_GB2312"/>
                      <w:sz w:val="20"/>
                    </w:rPr>
                    <w:t xml:space="preserve"> 应急时间 &gt;=90min</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378</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疏散指示标志</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w:t>
                  </w:r>
                  <w:r>
                    <w:rPr>
                      <w:rFonts w:ascii="仿宋_GB2312" w:hAnsi="仿宋_GB2312" w:cs="仿宋_GB2312" w:eastAsia="仿宋_GB2312"/>
                      <w:sz w:val="20"/>
                    </w:rPr>
                    <w:t>352×138×8mm（参考尺寸）</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1、功率：4W</w:t>
                  </w:r>
                </w:p>
                <w:p>
                  <w:pPr>
                    <w:pStyle w:val="null3"/>
                    <w:jc w:val="both"/>
                  </w:pPr>
                  <w:r>
                    <w:rPr>
                      <w:rFonts w:ascii="仿宋_GB2312" w:hAnsi="仿宋_GB2312" w:cs="仿宋_GB2312" w:eastAsia="仿宋_GB2312"/>
                      <w:sz w:val="20"/>
                    </w:rPr>
                    <w:t>2、应急时间：≥90min</w:t>
                  </w:r>
                </w:p>
                <w:p>
                  <w:pPr>
                    <w:pStyle w:val="null3"/>
                    <w:jc w:val="center"/>
                  </w:pPr>
                  <w:r>
                    <w:rPr>
                      <w:rFonts w:ascii="仿宋_GB2312" w:hAnsi="仿宋_GB2312" w:cs="仿宋_GB2312" w:eastAsia="仿宋_GB2312"/>
                      <w:sz w:val="20"/>
                    </w:rPr>
                    <w:t>3、电压：24V/36V/220V高低压通用</w:t>
                  </w:r>
                </w:p>
                <w:p>
                  <w:pPr>
                    <w:pStyle w:val="null3"/>
                    <w:jc w:val="both"/>
                  </w:pPr>
                  <w:r>
                    <w:rPr>
                      <w:rFonts w:ascii="仿宋_GB2312" w:hAnsi="仿宋_GB2312" w:cs="仿宋_GB2312" w:eastAsia="仿宋_GB2312"/>
                      <w:sz w:val="20"/>
                    </w:rPr>
                    <w:t>4、材质：不锈钢</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薄型单阀单栓柜式消火栓</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0"/>
                    </w:rPr>
                    <w:t>SG16E65Z-J(单栓)</w:t>
                  </w:r>
                </w:p>
                <w:p>
                  <w:pPr>
                    <w:pStyle w:val="null3"/>
                    <w:jc w:val="center"/>
                  </w:pPr>
                  <w:r>
                    <w:rPr>
                      <w:rFonts w:ascii="仿宋_GB2312" w:hAnsi="仿宋_GB2312" w:cs="仿宋_GB2312" w:eastAsia="仿宋_GB2312"/>
                      <w:sz w:val="20"/>
                    </w:rPr>
                    <w:t>1800x700x160mm</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试验消火栓</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SG24A65-J 800*650*240mm</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钢质防火门</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1.5*2.7</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甲级</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vertAlign w:val="superscript"/>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35.81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水泥压力板</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15mm厚</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vertAlign w:val="superscript"/>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无机涂料</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447.04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商务条款：</w:t>
            </w:r>
            <w:r>
              <w:rPr>
                <w:rFonts w:ascii="仿宋_GB2312" w:hAnsi="仿宋_GB2312" w:cs="仿宋_GB2312" w:eastAsia="仿宋_GB2312"/>
                <w:sz w:val="20"/>
              </w:rPr>
              <w:t>1.工期：</w:t>
            </w:r>
            <w:r>
              <w:rPr>
                <w:rFonts w:ascii="仿宋_GB2312" w:hAnsi="仿宋_GB2312" w:cs="仿宋_GB2312" w:eastAsia="仿宋_GB2312"/>
                <w:sz w:val="20"/>
              </w:rPr>
              <w:t>工期</w:t>
            </w:r>
            <w:r>
              <w:rPr>
                <w:rFonts w:ascii="仿宋_GB2312" w:hAnsi="仿宋_GB2312" w:cs="仿宋_GB2312" w:eastAsia="仿宋_GB2312"/>
                <w:sz w:val="20"/>
              </w:rPr>
              <w:t>20个日历日，具体开工日期以甲乙双方商定的时间为准。</w:t>
            </w:r>
          </w:p>
          <w:p>
            <w:pPr>
              <w:pStyle w:val="null3"/>
              <w:jc w:val="both"/>
            </w:pPr>
            <w:r>
              <w:rPr>
                <w:rFonts w:ascii="仿宋_GB2312" w:hAnsi="仿宋_GB2312" w:cs="仿宋_GB2312" w:eastAsia="仿宋_GB2312"/>
                <w:sz w:val="20"/>
              </w:rPr>
              <w:t>2.付款方式条件:</w:t>
            </w:r>
            <w:r>
              <w:rPr>
                <w:rFonts w:ascii="仿宋_GB2312" w:hAnsi="仿宋_GB2312" w:cs="仿宋_GB2312" w:eastAsia="仿宋_GB2312"/>
                <w:sz w:val="20"/>
              </w:rPr>
              <w:t>合同签订后，乙方向甲方提供预付款等额的银行、保险公司等金融机构出具的预付款保函或其他担保措施，甲方向乙方支付合同总价</w:t>
            </w:r>
            <w:r>
              <w:rPr>
                <w:rFonts w:ascii="仿宋_GB2312" w:hAnsi="仿宋_GB2312" w:cs="仿宋_GB2312" w:eastAsia="仿宋_GB2312"/>
                <w:sz w:val="20"/>
              </w:rPr>
              <w:t>40%的预付款；正式审计报告出具后甲方在办理完校内工程款支付审批手续后，支付至工程审定造价的95%；剩余5%余款在乙方履行保修义务无质量问题后支付。付款前，乙方需向甲方出具合法有效的等额增值税专用或普通发票。若因乙方未开具或逾期开具合法有效的发票，甲方有权顺延付款期限且不承担逾期付款责任</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履约保证金要求：供应商成交后凭中标通知书向采购人缴纳合同金额的5%作为履约保证金；履约保证金应使用人民币，可选择使用银行转账、支票、汇票、本票或者金融机构、担保机构出具的保函等非现金形式缴纳或提交；采购方验收合格后，供应商提出书面申请，采购方将履约保证金（无息）退还乙方。</w:t>
            </w:r>
          </w:p>
          <w:p>
            <w:pPr>
              <w:pStyle w:val="null3"/>
              <w:jc w:val="both"/>
            </w:pPr>
            <w:r>
              <w:rPr>
                <w:rFonts w:ascii="仿宋_GB2312" w:hAnsi="仿宋_GB2312" w:cs="仿宋_GB2312" w:eastAsia="仿宋_GB2312"/>
                <w:sz w:val="20"/>
              </w:rPr>
              <w:t>4.质量标准：</w:t>
            </w:r>
            <w:r>
              <w:rPr>
                <w:rFonts w:ascii="仿宋_GB2312" w:hAnsi="仿宋_GB2312" w:cs="仿宋_GB2312" w:eastAsia="仿宋_GB2312"/>
                <w:sz w:val="20"/>
              </w:rPr>
              <w:t>（</w:t>
            </w:r>
            <w:r>
              <w:rPr>
                <w:rFonts w:ascii="仿宋_GB2312" w:hAnsi="仿宋_GB2312" w:cs="仿宋_GB2312" w:eastAsia="仿宋_GB2312"/>
                <w:sz w:val="20"/>
              </w:rPr>
              <w:t>1）国家现行《建筑工程施工及验收规范》和相关技术规程；（2）国家现行《工程建设标准强制性条文》、《建筑工程施工质量及验收统一标准》；（3）工程所在地建设主管部门的标准、规范；（4）工程所在地行业的标准、规范;（5）发包人的具体要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5.质保期：</w:t>
            </w:r>
            <w:r>
              <w:rPr>
                <w:rFonts w:ascii="仿宋_GB2312" w:hAnsi="仿宋_GB2312" w:cs="仿宋_GB2312" w:eastAsia="仿宋_GB2312"/>
                <w:sz w:val="20"/>
              </w:rPr>
              <w:t>本项目竣工验收合格通过之日起贰年，供应商可在此基础上根据企业自身情况自主承诺予以延长。</w:t>
            </w:r>
          </w:p>
          <w:p>
            <w:pPr>
              <w:pStyle w:val="null3"/>
              <w:jc w:val="both"/>
            </w:pPr>
            <w:r>
              <w:rPr>
                <w:rFonts w:ascii="仿宋_GB2312" w:hAnsi="仿宋_GB2312" w:cs="仿宋_GB2312" w:eastAsia="仿宋_GB2312"/>
                <w:sz w:val="20"/>
              </w:rPr>
              <w:t>6.保修要求：</w:t>
            </w:r>
            <w:r>
              <w:rPr>
                <w:rFonts w:ascii="仿宋_GB2312" w:hAnsi="仿宋_GB2312" w:cs="仿宋_GB2312" w:eastAsia="仿宋_GB2312"/>
                <w:sz w:val="20"/>
              </w:rPr>
              <w:t>质保期内如因施工及设备质量问题需要维修，乙方应保证</w:t>
            </w:r>
            <w:r>
              <w:rPr>
                <w:rFonts w:ascii="仿宋_GB2312" w:hAnsi="仿宋_GB2312" w:cs="仿宋_GB2312" w:eastAsia="仿宋_GB2312"/>
                <w:sz w:val="20"/>
              </w:rPr>
              <w:t>48小时内提供维修方案，5天内完成维修，无条件免费维修，否则甲方有权另行委托他人完成，所发生的费用均由乙方承担</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注：商务条款不允许负偏离。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符合本工程磋商文件技术要求及国家、行业强制性标准，达到合格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 xml:space="preserve"> 1、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第一会议室)。若线上电子投标文件与纸质投标文件不一致的，以线上电子投标文件为准；若正本和副本不符，以正本为准。线下递交文件截止时间:详见本项目招标公告文件递交截止时间。 2、投标保证金以电子保函形式递交需在开标前给shanxizhuoming_zb@163.com发一份扫描件。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具备消防设施工程专业承包二级及以上资质及有效的安全生产许可证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外地企业备案</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拟投入的项目经理须提供在本单位注册的机电工程专业贰级（含贰级）以上注册建造师证书及有效的安全生产考核合格证且无在建（提供承诺函）</w:t>
            </w:r>
          </w:p>
        </w:tc>
        <w:tc>
          <w:tcPr>
            <w:tcW w:type="dxa" w:w="1661"/>
          </w:tcPr>
          <w:p>
            <w:pPr>
              <w:pStyle w:val="null3"/>
            </w:pPr>
            <w:r>
              <w:rPr>
                <w:rFonts w:ascii="仿宋_GB2312" w:hAnsi="仿宋_GB2312" w:cs="仿宋_GB2312" w:eastAsia="仿宋_GB2312"/>
              </w:rPr>
              <w:t>供应商资格要求.docx 项目管理机构组成表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响应报价未超过采购预算或最高限价（合格） 响应报价超过采购预算或最高限价（不合格）</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工期满足竞争性磋商文件要求（合格） 工期不满足竞争性磋商文件要求（不合格）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质保期满足竞争性磋商文件要求（合格） 质保期不满足竞争性磋商文件要求（不合格）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响应文件有效期达到竞争性磋商文件要求的（合格） 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响应文件未出现工程量漏项或工程量清单与要求符合的（合格） 响应文件出现工程量漏项或工程量清单与要求不符的（不合格）</w:t>
            </w:r>
          </w:p>
        </w:tc>
        <w:tc>
          <w:tcPr>
            <w:tcW w:type="dxa" w:w="1661"/>
          </w:tcPr>
          <w:p>
            <w:pPr>
              <w:pStyle w:val="null3"/>
            </w:pPr>
            <w:r>
              <w:rPr>
                <w:rFonts w:ascii="仿宋_GB2312" w:hAnsi="仿宋_GB2312" w:cs="仿宋_GB2312" w:eastAsia="仿宋_GB2312"/>
              </w:rPr>
              <w:t>已标价工程量清单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供应商认为有必要说明的其他问题.docx 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供应商认为有必要说明的其他问题.docx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（1）施工方案：内容完备、科学、合理、针对性强得4分；内容简单粗略、基本可行得2分；未提供的不计分。 (2)确保工程质量的技术组织措施：内容完备、科学、合理、针对性强得3分；内容简单粗略、基本可行得2分；未提供的不计分。 (3)确保安全生产的技术组织措施：内容完备、科学、合理、针对性强得3分；内容简单粗略、基本可行得2分；未提供的不计分。 (4)确保文明施工的技术组织措施及环境保护措施：内容完备、科学、合理、针对性强得3分；内容简单粗略、基本可行得2分；未提供的不计分。 (5)确保工期的技术组织措施：内容完备、科学、合理、针对性强得3分；内容简单粗略、基本可行得2分；未提供的不计分。 (6)施工机械配备和材料投入计划;内容完备、科学、合理、针对性强得3分；内容简单粗略、基本可行得2分；未提供的不计分。 (7)施工进度表或施工网络图:内容完备、科学、合理、针对性强得3分；内容简单粗略、基本可行得2分；未提供的不计分。 (8)除项目经理以外的人员劳动力安排计划:内容完备、科学、合理、针对性强得4分；内容简单粗略、基本可行得2分；未提供的不计分。 (9)施工总平面布置图:内容完备、科学、合理、针对性强得3分；内容简单粗略、基本可行得2分；未提供的不计分。 （10）新技术、新产品、新工艺、新材料应用、施工现场扬尘预防措施:内容完备、科学、合理、针对性强得3分；内容简单粗略、基本可行得2分；未提供的不计分。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主要材料选用情况</w:t>
            </w:r>
          </w:p>
        </w:tc>
        <w:tc>
          <w:tcPr>
            <w:tcW w:type="dxa" w:w="2492"/>
          </w:tcPr>
          <w:p>
            <w:pPr>
              <w:pStyle w:val="null3"/>
            </w:pPr>
            <w:r>
              <w:rPr>
                <w:rFonts w:ascii="仿宋_GB2312" w:hAnsi="仿宋_GB2312" w:cs="仿宋_GB2312" w:eastAsia="仿宋_GB2312"/>
              </w:rPr>
              <w:t>1.根据供应商针对本项目提供拟投入主要材料清单进行评审： 拟投的主要材料清单合理完整，实用性强，完整性强，完全满足本项目需求得7分； 拟投的主要材料清单基本合理，实用性较强，较完整，基本满足本项目需求得5分； 拟投的主要材料清单不合理，不完整，不满足本项目需求得3分； 未提供的得0分； 2.根据供应商针对本项目拟投入主要材料的产品选型情况、材料品质进行评审：主要材料的市场应用比例高与本次项目契合度高、为主流产品且符合相关环保要求，相关证明材料完整、清晰的得8分； 主要材料的市场应用比例较高与本次项目契合度一般、为一般产品，可以达到相关环保要求，相关证明材料基本完整的得5分； 主要材料的市场占有率一般，相关证明材料不完整，缺失严重的得2分； 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主要材料选用情况.docx</w:t>
            </w:r>
          </w:p>
        </w:tc>
      </w:tr>
      <w:tr>
        <w:tc>
          <w:tcPr>
            <w:tcW w:type="dxa" w:w="831"/>
            <w:vMerge/>
          </w:tcPr>
          <w:p/>
        </w:tc>
        <w:tc>
          <w:tcPr>
            <w:tcW w:type="dxa" w:w="1661"/>
          </w:tcPr>
          <w:p>
            <w:pPr>
              <w:pStyle w:val="null3"/>
            </w:pPr>
            <w:r>
              <w:rPr>
                <w:rFonts w:ascii="仿宋_GB2312" w:hAnsi="仿宋_GB2312" w:cs="仿宋_GB2312" w:eastAsia="仿宋_GB2312"/>
              </w:rPr>
              <w:t>难点分析及技术措施</w:t>
            </w:r>
          </w:p>
        </w:tc>
        <w:tc>
          <w:tcPr>
            <w:tcW w:type="dxa" w:w="2492"/>
          </w:tcPr>
          <w:p>
            <w:pPr>
              <w:pStyle w:val="null3"/>
            </w:pPr>
            <w:r>
              <w:rPr>
                <w:rFonts w:ascii="仿宋_GB2312" w:hAnsi="仿宋_GB2312" w:cs="仿宋_GB2312" w:eastAsia="仿宋_GB2312"/>
              </w:rPr>
              <w:t>1、对项目实施的现场情况、难易程度、历史资料匹配、成品保护等重点、难点进行分析；根据对项目整体理解内容全面，可实施性强得4分；内容无缺项漏项，基本可行计2分；未提供不计分。 2、对易发生质量通病、易出现安全问题、施工难度大、技术含量高的分项工程等进行说明并给出施工保障措施和专项技术方案（含主要施工工法、组织措施、检验手段等）；内容完备、科学、合理、针对性强得3分；内容简单粗略、基本可行得2分；未提供的不计分。 3、影响本项目的外在因素和可能出现的问题进行分析，并制定相关应急预案或保证措施。内容完备、科学、合理、针对性强得3分；内容简单粗略、基本可行、针对性较弱得2分；未提供的不计分。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难点分析及技术措施.docx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根据供应商针对本项目提供相关工程质量保修承诺进行评审，其中： （1）质量保证期内的保障工作服务方案及工作计划，内容完善、科学合理，针对性强、服务承诺明确，计2分，内容一般、基本可行、特点和承诺不明确，计1分，未提供不计分。 （2）维修保养服务内容及相关标准，内容完善、科学合理，针对性强、服务承诺明确，计2分，内容一般、基本可行、特点和承诺不明确，计1分，未提供不计分。 （3）有巡查或复查计划及质量保障措施，内容完善、科学合理，针对性强、服务承诺明确，计2分，内容一般、基本可行、特点和承诺不明确，计1分，未提供不计分。 （4）对工程维修服务响应时限有明确的承诺，内容完善、科学合理，针对性强、服务承诺明确，计2分，内容一般、基本可行、特点和承诺不明确，计1分，未提供不计分。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根据供应商提供的2022年1月1日至今承担类似项目业绩（以合同签订日期为准，仅限供应商本身，提供合同复印件加盖公章）进行评定，每份计1分，最高计5分。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满足磋商文件要求且最后的磋商报价最低的投标价为评审基准价，其价格分为满分。磋商报价得分＝（评标基准价/磋商最后报价）×30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详见附件：主要材料选用情况.docx</w:t>
      </w:r>
    </w:p>
    <w:p>
      <w:pPr>
        <w:pStyle w:val="null3"/>
        <w:ind w:firstLine="960"/>
      </w:pPr>
      <w:r>
        <w:rPr>
          <w:rFonts w:ascii="仿宋_GB2312" w:hAnsi="仿宋_GB2312" w:cs="仿宋_GB2312" w:eastAsia="仿宋_GB2312"/>
        </w:rPr>
        <w:t>详见附件：难点分析及技术措施.docx</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