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8EAF3">
      <w:pPr>
        <w:pStyle w:val="2"/>
        <w:rPr>
          <w:rFonts w:hint="eastAsia" w:cs="宋体"/>
          <w:color w:val="auto"/>
          <w:highlight w:val="none"/>
        </w:rPr>
      </w:pPr>
      <w:bookmarkStart w:id="3" w:name="_GoBack"/>
      <w:bookmarkEnd w:id="3"/>
      <w:bookmarkStart w:id="0" w:name="_Toc26104"/>
      <w:r>
        <w:rPr>
          <w:rFonts w:hint="eastAsia" w:cs="宋体"/>
          <w:color w:val="auto"/>
          <w:highlight w:val="none"/>
        </w:rPr>
        <w:t>采购内容及要求</w:t>
      </w:r>
      <w:bookmarkEnd w:id="0"/>
    </w:p>
    <w:p w14:paraId="4F7CAC8B">
      <w:pPr>
        <w:pStyle w:val="4"/>
        <w:rPr>
          <w:rFonts w:hint="eastAsia"/>
          <w:color w:val="auto"/>
          <w:highlight w:val="none"/>
        </w:rPr>
      </w:pPr>
      <w:r>
        <w:rPr>
          <w:rFonts w:hint="eastAsia"/>
          <w:color w:val="auto"/>
          <w:highlight w:val="none"/>
          <w:lang w:val="en-US" w:eastAsia="zh-CN"/>
        </w:rPr>
        <w:t>一</w:t>
      </w:r>
      <w:r>
        <w:rPr>
          <w:rFonts w:hint="eastAsia"/>
          <w:color w:val="auto"/>
          <w:highlight w:val="none"/>
        </w:rPr>
        <w:t>、技术要求</w:t>
      </w:r>
    </w:p>
    <w:p w14:paraId="4FF3BEE3">
      <w:pPr>
        <w:pStyle w:val="5"/>
        <w:bidi w:val="0"/>
        <w:rPr>
          <w:rFonts w:hint="eastAsia"/>
          <w:color w:val="auto"/>
        </w:rPr>
      </w:pPr>
      <w:r>
        <w:rPr>
          <w:rFonts w:hint="eastAsia"/>
          <w:color w:val="auto"/>
          <w:lang w:val="zh-CN"/>
        </w:rPr>
        <w:t>（</w:t>
      </w:r>
      <w:r>
        <w:rPr>
          <w:rFonts w:hint="eastAsia"/>
          <w:color w:val="auto"/>
          <w:lang w:val="en-US" w:eastAsia="zh-CN"/>
        </w:rPr>
        <w:t>一</w:t>
      </w:r>
      <w:r>
        <w:rPr>
          <w:rFonts w:hint="eastAsia"/>
          <w:color w:val="auto"/>
          <w:lang w:val="zh-CN"/>
        </w:rPr>
        <w:t>）</w:t>
      </w:r>
      <w:bookmarkStart w:id="1" w:name="_Toc5112"/>
      <w:bookmarkStart w:id="2" w:name="_Toc282764236"/>
      <w:r>
        <w:rPr>
          <w:rFonts w:hint="eastAsia"/>
          <w:color w:val="auto"/>
        </w:rPr>
        <w:t>依据《陕西省消防维护保养执业导则（试行）》（陕消〔2024〕175号）及相关法律法规、国家、地方标准开展消防设施设备维保活动。包括但不限于《自动喷水灭火系统施工及验收规范》GB50261、《消防给水及消火栓系统技术规范》GB50974、《建筑防烟排烟系统技术标准》GB51251、《气体灭火系统施工及验收规范》GB50263、《火灾自动报警系统施工及验收标准》GB50166、《消防应急照明和疏散指示系统技术标准》GB51309、《泡沫灭火系统技术标准》GB50151、《自动跟踪定位射流灭火系统技术标准》GB51427、《建筑消防设施的维护管理》GB25201等</w:t>
      </w:r>
      <w:r>
        <w:rPr>
          <w:rFonts w:hint="eastAsia"/>
          <w:color w:val="auto"/>
          <w:lang w:val="en-US" w:eastAsia="zh-CN"/>
        </w:rPr>
        <w:t>的相应版本</w:t>
      </w:r>
      <w:r>
        <w:rPr>
          <w:rFonts w:hint="eastAsia"/>
          <w:color w:val="auto"/>
        </w:rPr>
        <w:t>。</w:t>
      </w:r>
      <w:bookmarkEnd w:id="1"/>
      <w:bookmarkEnd w:id="2"/>
    </w:p>
    <w:p w14:paraId="499AA142">
      <w:pPr>
        <w:pStyle w:val="5"/>
        <w:bidi w:val="0"/>
        <w:rPr>
          <w:rFonts w:hint="eastAsia"/>
          <w:color w:val="auto"/>
          <w:lang w:val="zh-CN"/>
        </w:rPr>
      </w:pPr>
      <w:r>
        <w:rPr>
          <w:rFonts w:hint="eastAsia"/>
          <w:color w:val="auto"/>
          <w:lang w:val="en-US" w:eastAsia="zh-CN"/>
        </w:rPr>
        <w:t>（二）</w:t>
      </w:r>
      <w:r>
        <w:rPr>
          <w:rFonts w:hint="eastAsia"/>
          <w:color w:val="auto"/>
          <w:lang w:val="zh-CN"/>
        </w:rPr>
        <w:t>成交供应商应给采购人设定一组固定维护专业人员，</w:t>
      </w:r>
      <w:r>
        <w:rPr>
          <w:rFonts w:hint="eastAsia"/>
          <w:color w:val="auto"/>
        </w:rPr>
        <w:t>项目负责人、技术负责人资质应符合国家相关资格要求，操作</w:t>
      </w:r>
      <w:r>
        <w:rPr>
          <w:rFonts w:hint="eastAsia"/>
          <w:color w:val="auto"/>
          <w:lang w:val="zh-CN"/>
        </w:rPr>
        <w:t>人员必须具有</w:t>
      </w:r>
      <w:r>
        <w:rPr>
          <w:rFonts w:hint="eastAsia"/>
          <w:color w:val="auto"/>
        </w:rPr>
        <w:t>相应系统的操作证书，人员名单</w:t>
      </w:r>
      <w:r>
        <w:rPr>
          <w:rFonts w:hint="eastAsia"/>
          <w:color w:val="auto"/>
          <w:lang w:val="zh-CN"/>
        </w:rPr>
        <w:t>提供采购人备案，以备采购人和相关部门核对检查。</w:t>
      </w:r>
    </w:p>
    <w:p w14:paraId="483F08DA">
      <w:pPr>
        <w:pStyle w:val="5"/>
        <w:bidi w:val="0"/>
        <w:rPr>
          <w:rFonts w:hint="eastAsia"/>
          <w:color w:val="auto"/>
          <w:lang w:val="en-US" w:eastAsia="zh-CN"/>
        </w:rPr>
      </w:pPr>
      <w:r>
        <w:rPr>
          <w:rFonts w:hint="eastAsia"/>
          <w:color w:val="auto"/>
          <w:lang w:val="zh-CN"/>
        </w:rPr>
        <w:t>（</w:t>
      </w:r>
      <w:r>
        <w:rPr>
          <w:rFonts w:hint="eastAsia"/>
          <w:color w:val="auto"/>
          <w:lang w:val="en-US" w:eastAsia="zh-CN"/>
        </w:rPr>
        <w:t>三</w:t>
      </w:r>
      <w:r>
        <w:rPr>
          <w:rFonts w:hint="eastAsia"/>
          <w:color w:val="auto"/>
          <w:lang w:val="zh-CN"/>
        </w:rPr>
        <w:t>）</w:t>
      </w:r>
      <w:r>
        <w:rPr>
          <w:rFonts w:hint="eastAsia"/>
          <w:color w:val="auto"/>
        </w:rPr>
        <w:t>功能性故障2小时内必须到场（例如总线故障、多线故障、系统故障、主设备运行故障等）。</w:t>
      </w:r>
      <w:r>
        <w:rPr>
          <w:rFonts w:hint="eastAsia"/>
          <w:color w:val="auto"/>
          <w:lang w:val="en-US" w:eastAsia="zh-CN"/>
        </w:rPr>
        <w:t>一般</w:t>
      </w:r>
      <w:r>
        <w:rPr>
          <w:rFonts w:hint="eastAsia"/>
          <w:color w:val="auto"/>
        </w:rPr>
        <w:t>维保按周展开，原则每周不少于1天，每天不少于2人（</w:t>
      </w:r>
      <w:r>
        <w:rPr>
          <w:rFonts w:hint="eastAsia"/>
          <w:color w:val="auto"/>
          <w:lang w:eastAsia="zh-CN"/>
        </w:rPr>
        <w:t>原则上每周三实施</w:t>
      </w:r>
      <w:r>
        <w:rPr>
          <w:rFonts w:hint="eastAsia"/>
          <w:color w:val="auto"/>
        </w:rPr>
        <w:t>）。月</w:t>
      </w:r>
      <w:r>
        <w:rPr>
          <w:rFonts w:hint="eastAsia"/>
          <w:color w:val="auto"/>
          <w:lang w:val="en-US" w:eastAsia="zh-CN"/>
        </w:rPr>
        <w:t>维保</w:t>
      </w:r>
      <w:r>
        <w:rPr>
          <w:rFonts w:hint="eastAsia"/>
          <w:color w:val="auto"/>
        </w:rPr>
        <w:t>每月不少于2天，每天不少于3人。每月总人工不少于18人天。</w:t>
      </w:r>
      <w:r>
        <w:rPr>
          <w:rFonts w:hint="eastAsia"/>
          <w:color w:val="auto"/>
          <w:lang w:val="en-US" w:eastAsia="zh-CN"/>
        </w:rPr>
        <w:t>季度、年度维保人员配置不得低于月度。</w:t>
      </w:r>
    </w:p>
    <w:p w14:paraId="6FC6B911">
      <w:pPr>
        <w:pStyle w:val="5"/>
        <w:bidi w:val="0"/>
        <w:rPr>
          <w:rFonts w:hint="eastAsia"/>
          <w:color w:val="auto"/>
          <w:lang w:val="zh-CN"/>
        </w:rPr>
      </w:pPr>
      <w:r>
        <w:rPr>
          <w:rFonts w:hint="eastAsia"/>
          <w:color w:val="auto"/>
          <w:lang w:val="en-US" w:eastAsia="zh-CN"/>
        </w:rPr>
        <w:t>（四）</w:t>
      </w:r>
      <w:r>
        <w:rPr>
          <w:rFonts w:hint="eastAsia"/>
          <w:color w:val="auto"/>
        </w:rPr>
        <w:t>每周工作内容为处理非紧急故障，</w:t>
      </w:r>
      <w:r>
        <w:rPr>
          <w:rFonts w:hint="eastAsia"/>
          <w:color w:val="auto"/>
          <w:lang w:val="en-US" w:eastAsia="zh-CN"/>
        </w:rPr>
        <w:t>及</w:t>
      </w:r>
      <w:r>
        <w:rPr>
          <w:rFonts w:hint="eastAsia"/>
          <w:color w:val="auto"/>
        </w:rPr>
        <w:t>风机、报警阀、排烟阀</w:t>
      </w:r>
      <w:r>
        <w:rPr>
          <w:rFonts w:hint="eastAsia"/>
          <w:color w:val="auto"/>
          <w:lang w:eastAsia="zh-CN"/>
        </w:rPr>
        <w:t>、</w:t>
      </w:r>
      <w:r>
        <w:rPr>
          <w:rFonts w:hint="eastAsia"/>
          <w:color w:val="auto"/>
        </w:rPr>
        <w:t>送风阀、防火卷帘</w:t>
      </w:r>
      <w:r>
        <w:rPr>
          <w:rFonts w:hint="eastAsia"/>
          <w:color w:val="auto"/>
          <w:lang w:eastAsia="zh-CN"/>
        </w:rPr>
        <w:t>（</w:t>
      </w:r>
      <w:r>
        <w:rPr>
          <w:rFonts w:hint="eastAsia"/>
          <w:color w:val="auto"/>
          <w:lang w:val="en-US" w:eastAsia="zh-CN"/>
        </w:rPr>
        <w:t>按验收标准</w:t>
      </w:r>
      <w:r>
        <w:rPr>
          <w:rFonts w:hint="eastAsia"/>
          <w:color w:val="auto"/>
          <w:lang w:eastAsia="zh-CN"/>
        </w:rPr>
        <w:t>）</w:t>
      </w:r>
      <w:r>
        <w:rPr>
          <w:rFonts w:hint="eastAsia"/>
          <w:color w:val="auto"/>
        </w:rPr>
        <w:t>、防火门</w:t>
      </w:r>
      <w:r>
        <w:rPr>
          <w:rFonts w:hint="eastAsia"/>
          <w:color w:val="auto"/>
          <w:lang w:eastAsia="zh-CN"/>
        </w:rPr>
        <w:t>（</w:t>
      </w:r>
      <w:r>
        <w:rPr>
          <w:rFonts w:hint="eastAsia"/>
          <w:color w:val="auto"/>
          <w:lang w:val="en-US" w:eastAsia="zh-CN"/>
        </w:rPr>
        <w:t>按验收标准</w:t>
      </w:r>
      <w:r>
        <w:rPr>
          <w:rFonts w:hint="eastAsia"/>
          <w:color w:val="auto"/>
          <w:lang w:eastAsia="zh-CN"/>
        </w:rPr>
        <w:t>）</w:t>
      </w:r>
      <w:r>
        <w:rPr>
          <w:rFonts w:hint="eastAsia"/>
          <w:color w:val="auto"/>
        </w:rPr>
        <w:t>的</w:t>
      </w:r>
      <w:r>
        <w:rPr>
          <w:rFonts w:hint="eastAsia"/>
          <w:color w:val="auto"/>
          <w:lang w:val="en-US" w:eastAsia="zh-CN"/>
        </w:rPr>
        <w:t>维护保养</w:t>
      </w:r>
      <w:r>
        <w:rPr>
          <w:rFonts w:hint="eastAsia"/>
          <w:color w:val="auto"/>
        </w:rPr>
        <w:t>。同时完成</w:t>
      </w:r>
      <w:r>
        <w:rPr>
          <w:rFonts w:hint="eastAsia"/>
          <w:color w:val="auto"/>
          <w:lang w:eastAsia="zh-CN"/>
        </w:rPr>
        <w:t>采购人</w:t>
      </w:r>
      <w:r>
        <w:rPr>
          <w:rFonts w:hint="eastAsia"/>
          <w:color w:val="auto"/>
        </w:rPr>
        <w:t>交办的其他任务。</w:t>
      </w:r>
      <w:r>
        <w:rPr>
          <w:rFonts w:hint="eastAsia"/>
          <w:color w:val="auto"/>
          <w:lang w:val="en-US" w:eastAsia="zh-CN"/>
        </w:rPr>
        <w:t>每月完成小蜜蜂下发必测项目。</w:t>
      </w:r>
      <w:r>
        <w:rPr>
          <w:rFonts w:hint="eastAsia"/>
          <w:color w:val="auto"/>
        </w:rPr>
        <w:t>年度、半年度和季度维保依据各消防设施设备相关国家规范及标准要求开展。其他消防设施设备，依据国家相关规范执行。</w:t>
      </w:r>
      <w:r>
        <w:rPr>
          <w:rFonts w:hint="eastAsia"/>
          <w:color w:val="auto"/>
          <w:lang w:val="en-US" w:eastAsia="zh-CN"/>
        </w:rPr>
        <w:t>月度维保</w:t>
      </w:r>
      <w:r>
        <w:rPr>
          <w:rFonts w:hint="eastAsia"/>
          <w:color w:val="auto"/>
          <w:lang w:val="zh-CN"/>
        </w:rPr>
        <w:t>在每月月底完成，</w:t>
      </w:r>
      <w:r>
        <w:rPr>
          <w:rFonts w:hint="eastAsia"/>
          <w:color w:val="auto"/>
          <w:lang w:val="en-US" w:eastAsia="zh-CN"/>
        </w:rPr>
        <w:t>季度维保在</w:t>
      </w:r>
      <w:r>
        <w:rPr>
          <w:rFonts w:hint="eastAsia"/>
          <w:color w:val="auto"/>
          <w:lang w:val="zh-CN"/>
        </w:rPr>
        <w:t>当季度末最后一天前完成，</w:t>
      </w:r>
      <w:r>
        <w:rPr>
          <w:rFonts w:hint="eastAsia"/>
          <w:color w:val="auto"/>
          <w:lang w:val="en-US" w:eastAsia="zh-CN"/>
        </w:rPr>
        <w:t>年度维保</w:t>
      </w:r>
      <w:r>
        <w:rPr>
          <w:rFonts w:hint="eastAsia"/>
          <w:color w:val="auto"/>
          <w:lang w:val="zh-CN"/>
        </w:rPr>
        <w:t>须在当年</w:t>
      </w:r>
      <w:r>
        <w:rPr>
          <w:rFonts w:hint="eastAsia"/>
          <w:color w:val="auto"/>
        </w:rPr>
        <w:t>合同期结束</w:t>
      </w:r>
      <w:r>
        <w:rPr>
          <w:rFonts w:hint="eastAsia"/>
          <w:color w:val="auto"/>
          <w:lang w:val="zh-CN"/>
        </w:rPr>
        <w:t>前完成。</w:t>
      </w:r>
    </w:p>
    <w:p w14:paraId="36306835">
      <w:pPr>
        <w:pStyle w:val="5"/>
        <w:bidi w:val="0"/>
        <w:rPr>
          <w:rFonts w:hint="eastAsia"/>
          <w:color w:val="auto"/>
          <w:lang w:val="zh-CN"/>
        </w:rPr>
      </w:pPr>
      <w:r>
        <w:rPr>
          <w:rFonts w:hint="eastAsia"/>
          <w:color w:val="auto"/>
          <w:lang w:val="zh-CN"/>
        </w:rPr>
        <w:t>（</w:t>
      </w:r>
      <w:r>
        <w:rPr>
          <w:rFonts w:hint="eastAsia"/>
          <w:color w:val="auto"/>
          <w:lang w:val="en-US" w:eastAsia="zh-CN"/>
        </w:rPr>
        <w:t>五</w:t>
      </w:r>
      <w:r>
        <w:rPr>
          <w:rFonts w:hint="eastAsia"/>
          <w:color w:val="auto"/>
          <w:lang w:val="zh-CN"/>
        </w:rPr>
        <w:t>）</w:t>
      </w:r>
      <w:r>
        <w:rPr>
          <w:rFonts w:hint="eastAsia"/>
          <w:color w:val="auto"/>
        </w:rPr>
        <w:t>每月除小蜜蜂系统下发必测项目外，还应增加气体灭火系统防护区模拟启动，每年做到全覆盖</w:t>
      </w:r>
      <w:r>
        <w:rPr>
          <w:rFonts w:hint="eastAsia"/>
          <w:color w:val="auto"/>
          <w:lang w:eastAsia="zh-CN"/>
        </w:rPr>
        <w:t>。</w:t>
      </w:r>
      <w:r>
        <w:rPr>
          <w:rFonts w:hint="eastAsia"/>
          <w:color w:val="auto"/>
        </w:rPr>
        <w:t>火灾自动报警系统点位测试要求每回路、每建筑区域（房间、走道、设备间、电井等区域）全覆盖。</w:t>
      </w:r>
    </w:p>
    <w:p w14:paraId="0F0A4FAE">
      <w:pPr>
        <w:pStyle w:val="5"/>
        <w:bidi w:val="0"/>
        <w:rPr>
          <w:rFonts w:hint="eastAsia"/>
          <w:color w:val="auto"/>
          <w:lang w:val="zh-CN"/>
        </w:rPr>
      </w:pPr>
      <w:r>
        <w:rPr>
          <w:rFonts w:hint="eastAsia"/>
          <w:color w:val="auto"/>
          <w:lang w:eastAsia="zh-CN"/>
        </w:rPr>
        <w:t>（</w:t>
      </w:r>
      <w:r>
        <w:rPr>
          <w:rFonts w:hint="eastAsia"/>
          <w:color w:val="auto"/>
          <w:lang w:val="en-US" w:eastAsia="zh-CN"/>
        </w:rPr>
        <w:t>六</w:t>
      </w:r>
      <w:r>
        <w:rPr>
          <w:rFonts w:hint="eastAsia"/>
          <w:color w:val="auto"/>
          <w:lang w:eastAsia="zh-CN"/>
        </w:rPr>
        <w:t>）</w:t>
      </w:r>
      <w:r>
        <w:rPr>
          <w:rFonts w:hint="eastAsia"/>
          <w:color w:val="auto"/>
        </w:rPr>
        <w:t>应急维修</w:t>
      </w:r>
      <w:r>
        <w:rPr>
          <w:rFonts w:hint="eastAsia"/>
          <w:color w:val="auto"/>
          <w:lang w:val="en-US" w:eastAsia="zh-CN"/>
        </w:rPr>
        <w:t>应有明确</w:t>
      </w:r>
      <w:r>
        <w:rPr>
          <w:rFonts w:hint="eastAsia"/>
          <w:color w:val="auto"/>
        </w:rPr>
        <w:t>方案及预案，确保医院正常就医秩序不受影响。</w:t>
      </w:r>
      <w:r>
        <w:rPr>
          <w:rFonts w:hint="eastAsia"/>
          <w:color w:val="auto"/>
          <w:lang w:val="zh-CN"/>
        </w:rPr>
        <w:t>当成交供应商检测、调试或维修保养消防系统将可能影响到采购人工作人员的日常生产办公时，将提前报请采购人批准后方可进行。</w:t>
      </w:r>
    </w:p>
    <w:p w14:paraId="0907B8F1">
      <w:pPr>
        <w:pStyle w:val="5"/>
        <w:bidi w:val="0"/>
        <w:rPr>
          <w:rFonts w:hint="eastAsia"/>
          <w:color w:val="auto"/>
          <w:lang w:val="zh-CN"/>
        </w:rPr>
      </w:pPr>
      <w:r>
        <w:rPr>
          <w:rFonts w:hint="eastAsia"/>
          <w:color w:val="auto"/>
          <w:lang w:val="zh-CN"/>
        </w:rPr>
        <w:t>（</w:t>
      </w:r>
      <w:r>
        <w:rPr>
          <w:rFonts w:hint="eastAsia"/>
          <w:color w:val="auto"/>
          <w:lang w:val="en-US" w:eastAsia="zh-CN"/>
        </w:rPr>
        <w:t>七</w:t>
      </w:r>
      <w:r>
        <w:rPr>
          <w:rFonts w:hint="eastAsia"/>
          <w:color w:val="auto"/>
          <w:lang w:val="zh-CN"/>
        </w:rPr>
        <w:t>）成交供应商在每次技术服务完毕后应及时、据实填写《建筑消防设施故障维修记录表》、《建筑消防设施维护保养反馈表》、《维保项目重大安全隐患反馈表》、</w:t>
      </w:r>
      <w:r>
        <w:rPr>
          <w:rFonts w:hint="eastAsia"/>
          <w:color w:val="auto"/>
        </w:rPr>
        <w:t>《维保问题汇总表》</w:t>
      </w:r>
      <w:r>
        <w:rPr>
          <w:rFonts w:hint="eastAsia"/>
          <w:color w:val="auto"/>
          <w:lang w:eastAsia="zh-CN"/>
        </w:rPr>
        <w:t>，</w:t>
      </w:r>
      <w:r>
        <w:rPr>
          <w:rFonts w:hint="eastAsia"/>
          <w:color w:val="auto"/>
          <w:lang w:val="en-US" w:eastAsia="zh-CN"/>
        </w:rPr>
        <w:t>出具《消防设施维保工作报告》</w:t>
      </w:r>
      <w:r>
        <w:rPr>
          <w:rFonts w:hint="eastAsia"/>
          <w:color w:val="auto"/>
          <w:lang w:val="zh-CN"/>
        </w:rPr>
        <w:t>等</w:t>
      </w:r>
      <w:r>
        <w:rPr>
          <w:rFonts w:hint="eastAsia"/>
          <w:color w:val="auto"/>
        </w:rPr>
        <w:t>作为交接台账，</w:t>
      </w:r>
      <w:r>
        <w:rPr>
          <w:rFonts w:hint="eastAsia"/>
          <w:color w:val="auto"/>
          <w:lang w:val="zh-CN"/>
        </w:rPr>
        <w:t>采购人代表应审核签字，</w:t>
      </w:r>
      <w:r>
        <w:rPr>
          <w:rFonts w:hint="eastAsia"/>
          <w:color w:val="auto"/>
          <w:lang w:val="en-US" w:eastAsia="zh-CN"/>
        </w:rPr>
        <w:t>双方各留一份</w:t>
      </w:r>
      <w:r>
        <w:rPr>
          <w:rFonts w:hint="eastAsia"/>
          <w:color w:val="auto"/>
        </w:rPr>
        <w:t>，</w:t>
      </w:r>
      <w:r>
        <w:rPr>
          <w:rFonts w:hint="eastAsia"/>
          <w:color w:val="auto"/>
          <w:lang w:val="zh-CN"/>
        </w:rPr>
        <w:t>建立保养、维修相对独立的档案台账</w:t>
      </w:r>
      <w:r>
        <w:rPr>
          <w:rFonts w:hint="eastAsia"/>
          <w:color w:val="auto"/>
        </w:rPr>
        <w:t>。对发现的故障问题协助医院提出解决方案和初步预算</w:t>
      </w:r>
      <w:r>
        <w:rPr>
          <w:rFonts w:hint="eastAsia"/>
          <w:color w:val="auto"/>
          <w:lang w:eastAsia="zh-CN"/>
        </w:rPr>
        <w:t>，</w:t>
      </w:r>
      <w:r>
        <w:rPr>
          <w:rFonts w:hint="eastAsia"/>
          <w:color w:val="auto"/>
        </w:rPr>
        <w:t>每月汇报</w:t>
      </w:r>
      <w:r>
        <w:rPr>
          <w:rFonts w:hint="eastAsia"/>
          <w:color w:val="auto"/>
          <w:lang w:val="en-US" w:eastAsia="zh-CN"/>
        </w:rPr>
        <w:t>上月工作情况</w:t>
      </w:r>
      <w:r>
        <w:rPr>
          <w:rFonts w:hint="eastAsia"/>
          <w:color w:val="auto"/>
          <w:lang w:val="zh-CN"/>
        </w:rPr>
        <w:t>。</w:t>
      </w:r>
    </w:p>
    <w:p w14:paraId="518A5186">
      <w:pPr>
        <w:pStyle w:val="5"/>
        <w:bidi w:val="0"/>
        <w:rPr>
          <w:rFonts w:hint="eastAsia"/>
          <w:color w:val="auto"/>
          <w:lang w:val="zh-CN"/>
        </w:rPr>
      </w:pPr>
      <w:r>
        <w:rPr>
          <w:rFonts w:hint="eastAsia"/>
          <w:color w:val="auto"/>
          <w:lang w:eastAsia="zh-CN"/>
        </w:rPr>
        <w:t>（</w:t>
      </w:r>
      <w:r>
        <w:rPr>
          <w:rFonts w:hint="eastAsia"/>
          <w:color w:val="auto"/>
          <w:lang w:val="en-US" w:eastAsia="zh-CN"/>
        </w:rPr>
        <w:t>八</w:t>
      </w:r>
      <w:r>
        <w:rPr>
          <w:rFonts w:hint="eastAsia"/>
          <w:color w:val="auto"/>
          <w:lang w:eastAsia="zh-CN"/>
        </w:rPr>
        <w:t>）</w:t>
      </w:r>
      <w:r>
        <w:rPr>
          <w:rFonts w:hint="eastAsia"/>
          <w:color w:val="auto"/>
        </w:rPr>
        <w:t>配合</w:t>
      </w:r>
      <w:r>
        <w:rPr>
          <w:rFonts w:hint="eastAsia"/>
          <w:color w:val="auto"/>
          <w:lang w:eastAsia="zh-CN"/>
        </w:rPr>
        <w:t>采购人</w:t>
      </w:r>
      <w:r>
        <w:rPr>
          <w:rFonts w:hint="eastAsia"/>
          <w:color w:val="auto"/>
        </w:rPr>
        <w:t>上级机关、业务主管部门等迎检、综合性演练等任务。</w:t>
      </w:r>
      <w:r>
        <w:rPr>
          <w:rFonts w:hint="eastAsia"/>
          <w:color w:val="auto"/>
          <w:lang w:val="zh-CN"/>
        </w:rPr>
        <w:t>重大事件（</w:t>
      </w:r>
      <w:r>
        <w:rPr>
          <w:rFonts w:hint="eastAsia"/>
          <w:color w:val="auto"/>
        </w:rPr>
        <w:t>节假日</w:t>
      </w:r>
      <w:r>
        <w:rPr>
          <w:rFonts w:hint="eastAsia"/>
          <w:color w:val="auto"/>
          <w:lang w:val="zh-CN"/>
        </w:rPr>
        <w:t>）之前对消防系统进行常规检查，每次检查时间为1天，采购人接到相关部门对消防系统检查时，成交供应商应在检查组到达现场前到达现场配合检查。</w:t>
      </w:r>
    </w:p>
    <w:p w14:paraId="37A526CB">
      <w:pPr>
        <w:pStyle w:val="5"/>
        <w:bidi w:val="0"/>
        <w:rPr>
          <w:rFonts w:hint="eastAsia"/>
          <w:color w:val="auto"/>
          <w:lang w:val="zh-CN"/>
        </w:rPr>
      </w:pPr>
      <w:r>
        <w:rPr>
          <w:rFonts w:hint="eastAsia"/>
          <w:color w:val="auto"/>
          <w:lang w:val="zh-CN"/>
        </w:rPr>
        <w:t>（</w:t>
      </w:r>
      <w:r>
        <w:rPr>
          <w:rFonts w:hint="eastAsia"/>
          <w:color w:val="auto"/>
          <w:lang w:val="en-US" w:eastAsia="zh-CN"/>
        </w:rPr>
        <w:t>九</w:t>
      </w:r>
      <w:r>
        <w:rPr>
          <w:rFonts w:hint="eastAsia"/>
          <w:color w:val="auto"/>
          <w:lang w:val="zh-CN"/>
        </w:rPr>
        <w:t>）</w:t>
      </w:r>
      <w:r>
        <w:rPr>
          <w:rFonts w:hint="eastAsia"/>
          <w:color w:val="auto"/>
          <w:lang w:val="en-US" w:eastAsia="zh-CN"/>
        </w:rPr>
        <w:t>每季度开展一次</w:t>
      </w:r>
      <w:r>
        <w:rPr>
          <w:rFonts w:hint="eastAsia"/>
          <w:color w:val="auto"/>
        </w:rPr>
        <w:t>消防技能培训</w:t>
      </w:r>
      <w:r>
        <w:rPr>
          <w:rFonts w:hint="eastAsia"/>
          <w:color w:val="auto"/>
          <w:lang w:eastAsia="zh-CN"/>
        </w:rPr>
        <w:t>，</w:t>
      </w:r>
      <w:r>
        <w:rPr>
          <w:rFonts w:hint="eastAsia"/>
          <w:color w:val="auto"/>
          <w:lang w:val="en-US" w:eastAsia="zh-CN"/>
        </w:rPr>
        <w:t>初步计划以</w:t>
      </w:r>
      <w:r>
        <w:rPr>
          <w:rFonts w:hint="eastAsia"/>
          <w:color w:val="auto"/>
        </w:rPr>
        <w:t>应急预案实施（</w:t>
      </w:r>
      <w:r>
        <w:rPr>
          <w:rFonts w:hint="eastAsia"/>
          <w:color w:val="auto"/>
          <w:lang w:val="en-US" w:eastAsia="zh-CN"/>
        </w:rPr>
        <w:t>由</w:t>
      </w:r>
      <w:r>
        <w:rPr>
          <w:rFonts w:hint="eastAsia"/>
          <w:color w:val="auto"/>
        </w:rPr>
        <w:t>相关领域专家</w:t>
      </w:r>
      <w:r>
        <w:rPr>
          <w:rFonts w:hint="eastAsia"/>
          <w:color w:val="auto"/>
          <w:lang w:val="en-US" w:eastAsia="zh-CN"/>
        </w:rPr>
        <w:t>实施</w:t>
      </w:r>
      <w:r>
        <w:rPr>
          <w:rFonts w:hint="eastAsia"/>
          <w:color w:val="auto"/>
        </w:rPr>
        <w:t>）、隐患排查（</w:t>
      </w:r>
      <w:r>
        <w:rPr>
          <w:rFonts w:hint="eastAsia"/>
          <w:color w:val="auto"/>
          <w:lang w:val="en-US" w:eastAsia="zh-CN"/>
        </w:rPr>
        <w:t>由有经验的</w:t>
      </w:r>
      <w:r>
        <w:rPr>
          <w:rFonts w:hint="eastAsia"/>
          <w:color w:val="auto"/>
        </w:rPr>
        <w:t>一级消防工程师</w:t>
      </w:r>
      <w:r>
        <w:rPr>
          <w:rFonts w:hint="eastAsia"/>
          <w:color w:val="auto"/>
          <w:lang w:val="en-US" w:eastAsia="zh-CN"/>
        </w:rPr>
        <w:t>实施</w:t>
      </w:r>
      <w:r>
        <w:rPr>
          <w:rFonts w:hint="eastAsia"/>
          <w:color w:val="auto"/>
        </w:rPr>
        <w:t>）、设施设备操作（</w:t>
      </w:r>
      <w:r>
        <w:rPr>
          <w:rFonts w:hint="eastAsia"/>
          <w:color w:val="auto"/>
          <w:lang w:val="en-US" w:eastAsia="zh-CN"/>
        </w:rPr>
        <w:t>由</w:t>
      </w:r>
      <w:r>
        <w:rPr>
          <w:rFonts w:hint="eastAsia"/>
          <w:color w:val="auto"/>
        </w:rPr>
        <w:t>消防培训专业讲师</w:t>
      </w:r>
      <w:r>
        <w:rPr>
          <w:rFonts w:hint="eastAsia"/>
          <w:color w:val="auto"/>
          <w:lang w:val="en-US" w:eastAsia="zh-CN"/>
        </w:rPr>
        <w:t>实施</w:t>
      </w:r>
      <w:r>
        <w:rPr>
          <w:rFonts w:hint="eastAsia"/>
          <w:color w:val="auto"/>
        </w:rPr>
        <w:t>）、简单故障处理（</w:t>
      </w:r>
      <w:r>
        <w:rPr>
          <w:rFonts w:hint="eastAsia"/>
          <w:color w:val="auto"/>
          <w:lang w:val="en-US" w:eastAsia="zh-CN"/>
        </w:rPr>
        <w:t>成交供应商自行指派有技术和经验的工程师</w:t>
      </w:r>
      <w:r>
        <w:rPr>
          <w:rFonts w:hint="eastAsia"/>
          <w:color w:val="auto"/>
        </w:rPr>
        <w:t>）</w:t>
      </w:r>
      <w:r>
        <w:rPr>
          <w:rFonts w:hint="eastAsia"/>
          <w:color w:val="auto"/>
          <w:lang w:val="en-US" w:eastAsia="zh-CN"/>
        </w:rPr>
        <w:t>为</w:t>
      </w:r>
      <w:r>
        <w:rPr>
          <w:rFonts w:hint="eastAsia"/>
          <w:color w:val="auto"/>
        </w:rPr>
        <w:t>主题</w:t>
      </w:r>
      <w:r>
        <w:rPr>
          <w:rFonts w:hint="eastAsia"/>
          <w:color w:val="auto"/>
          <w:lang w:eastAsia="zh-CN"/>
        </w:rPr>
        <w:t>，</w:t>
      </w:r>
      <w:r>
        <w:rPr>
          <w:rFonts w:hint="eastAsia"/>
          <w:color w:val="auto"/>
          <w:lang w:val="en-US" w:eastAsia="zh-CN"/>
        </w:rPr>
        <w:t>具体方案与采购人协商确定</w:t>
      </w:r>
      <w:r>
        <w:rPr>
          <w:rFonts w:hint="eastAsia"/>
          <w:color w:val="auto"/>
        </w:rPr>
        <w:t>。</w:t>
      </w:r>
    </w:p>
    <w:p w14:paraId="6807A4A2">
      <w:pPr>
        <w:pStyle w:val="5"/>
        <w:bidi w:val="0"/>
        <w:rPr>
          <w:rFonts w:hint="eastAsia"/>
          <w:color w:val="auto"/>
        </w:rPr>
      </w:pPr>
      <w:r>
        <w:rPr>
          <w:rFonts w:hint="eastAsia"/>
          <w:color w:val="auto"/>
          <w:lang w:val="en-US" w:eastAsia="zh-CN"/>
        </w:rPr>
        <w:t>（十）建立</w:t>
      </w:r>
      <w:r>
        <w:rPr>
          <w:rFonts w:hint="eastAsia"/>
          <w:color w:val="auto"/>
        </w:rPr>
        <w:t>设施设备统计</w:t>
      </w:r>
      <w:r>
        <w:rPr>
          <w:rFonts w:hint="eastAsia"/>
          <w:color w:val="auto"/>
          <w:lang w:val="zh-CN"/>
        </w:rPr>
        <w:t>维保设施数量</w:t>
      </w:r>
      <w:r>
        <w:rPr>
          <w:rFonts w:hint="eastAsia"/>
          <w:color w:val="auto"/>
        </w:rPr>
        <w:t>，并建立设施设备档案归</w:t>
      </w:r>
      <w:r>
        <w:rPr>
          <w:rFonts w:hint="eastAsia"/>
          <w:color w:val="auto"/>
          <w:lang w:eastAsia="zh-CN"/>
        </w:rPr>
        <w:t>采购人</w:t>
      </w:r>
      <w:r>
        <w:rPr>
          <w:rFonts w:hint="eastAsia"/>
          <w:color w:val="auto"/>
        </w:rPr>
        <w:t>核对。</w:t>
      </w:r>
    </w:p>
    <w:p w14:paraId="527ED1D7">
      <w:pPr>
        <w:pStyle w:val="5"/>
        <w:bidi w:val="0"/>
        <w:rPr>
          <w:rFonts w:hint="eastAsia"/>
          <w:color w:val="auto"/>
          <w:lang w:val="zh-CN"/>
        </w:rPr>
      </w:pPr>
      <w:r>
        <w:rPr>
          <w:rFonts w:hint="eastAsia"/>
          <w:color w:val="auto"/>
          <w:lang w:val="en-US" w:eastAsia="zh-CN"/>
        </w:rPr>
        <w:t>（十一）</w:t>
      </w:r>
      <w:r>
        <w:rPr>
          <w:rFonts w:hint="eastAsia"/>
          <w:color w:val="auto"/>
          <w:lang w:val="zh-CN"/>
        </w:rPr>
        <w:t>招标单位</w:t>
      </w:r>
      <w:r>
        <w:rPr>
          <w:rFonts w:hint="eastAsia"/>
          <w:color w:val="auto"/>
        </w:rPr>
        <w:t>的新增楼宇、</w:t>
      </w:r>
      <w:r>
        <w:rPr>
          <w:rFonts w:hint="eastAsia"/>
          <w:color w:val="auto"/>
          <w:lang w:val="zh-CN"/>
        </w:rPr>
        <w:t>改造施工，成交供应商应负责施工期间的消防报警系统</w:t>
      </w:r>
      <w:r>
        <w:rPr>
          <w:rFonts w:hint="eastAsia"/>
          <w:color w:val="auto"/>
        </w:rPr>
        <w:t>施工</w:t>
      </w:r>
      <w:r>
        <w:rPr>
          <w:rFonts w:hint="eastAsia"/>
          <w:color w:val="auto"/>
          <w:lang w:val="zh-CN"/>
        </w:rPr>
        <w:t>的监督、指导、验收，验收后纳入整体技术服务范围。</w:t>
      </w:r>
    </w:p>
    <w:p w14:paraId="2BB83209">
      <w:pPr>
        <w:pStyle w:val="5"/>
        <w:bidi w:val="0"/>
        <w:rPr>
          <w:rFonts w:hint="default" w:eastAsia="宋体"/>
          <w:color w:val="auto"/>
          <w:lang w:val="en-US" w:eastAsia="zh-CN"/>
        </w:rPr>
      </w:pPr>
      <w:r>
        <w:rPr>
          <w:rFonts w:hint="default" w:eastAsia="宋体"/>
          <w:color w:val="auto"/>
          <w:lang w:val="en-US" w:eastAsia="zh-CN"/>
        </w:rPr>
        <w:t>（十二）完成全院所有消防设备型号、安装年限、使用年限等资料的统计，建立台账。</w:t>
      </w:r>
    </w:p>
    <w:p w14:paraId="0069EA9D">
      <w:pPr>
        <w:pStyle w:val="5"/>
        <w:bidi w:val="0"/>
        <w:rPr>
          <w:rFonts w:hint="default" w:eastAsia="宋体"/>
          <w:color w:val="auto"/>
          <w:lang w:val="en-US" w:eastAsia="zh-CN"/>
        </w:rPr>
      </w:pPr>
      <w:r>
        <w:rPr>
          <w:rFonts w:hint="default" w:eastAsia="宋体"/>
          <w:color w:val="auto"/>
          <w:lang w:val="en-US" w:eastAsia="zh-CN"/>
        </w:rPr>
        <w:t>（十三）供应商为本项目提供：维保实施方案、人员配置及责任制度、拟投入设备、售后服务、维保工作记录表格等。</w:t>
      </w:r>
    </w:p>
    <w:p w14:paraId="31FA87D5">
      <w:pPr>
        <w:spacing w:line="360" w:lineRule="auto"/>
        <w:rPr>
          <w:rFonts w:hint="eastAsia" w:ascii="宋体" w:hAnsi="宋体" w:cs="宋体"/>
          <w:color w:val="auto"/>
          <w:sz w:val="24"/>
          <w:szCs w:val="24"/>
          <w:highlight w:val="none"/>
        </w:rPr>
      </w:pPr>
    </w:p>
    <w:p w14:paraId="1189594C">
      <w:pPr>
        <w:pStyle w:val="4"/>
        <w:numPr>
          <w:ilvl w:val="0"/>
          <w:numId w:val="0"/>
        </w:numPr>
        <w:rPr>
          <w:rStyle w:val="9"/>
          <w:rFonts w:hint="eastAsia" w:ascii="宋体" w:hAnsi="宋体" w:cs="宋体"/>
          <w:b/>
          <w:color w:val="auto"/>
          <w:sz w:val="28"/>
          <w:highlight w:val="none"/>
        </w:rPr>
      </w:pPr>
      <w:r>
        <w:rPr>
          <w:rFonts w:hint="eastAsia" w:ascii="宋体" w:hAnsi="宋体" w:eastAsia="宋体" w:cs="宋体"/>
          <w:b/>
          <w:bCs/>
          <w:color w:val="auto"/>
          <w:kern w:val="0"/>
          <w:sz w:val="28"/>
          <w:szCs w:val="28"/>
          <w:lang w:val="en-US" w:eastAsia="zh-CN" w:bidi="ar-SA"/>
        </w:rPr>
        <w:t>二、</w:t>
      </w:r>
      <w:r>
        <w:rPr>
          <w:rStyle w:val="9"/>
          <w:rFonts w:hint="eastAsia" w:ascii="宋体" w:hAnsi="宋体" w:cs="宋体"/>
          <w:b/>
          <w:color w:val="auto"/>
          <w:sz w:val="28"/>
          <w:highlight w:val="none"/>
        </w:rPr>
        <w:t>商务要求</w:t>
      </w:r>
    </w:p>
    <w:tbl>
      <w:tblPr>
        <w:tblStyle w:val="7"/>
        <w:tblW w:w="917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1258"/>
        <w:gridCol w:w="7163"/>
      </w:tblGrid>
      <w:tr w14:paraId="52DC477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68" w:hRule="exact"/>
          <w:jc w:val="center"/>
        </w:trPr>
        <w:tc>
          <w:tcPr>
            <w:tcW w:w="752" w:type="dxa"/>
            <w:noWrap w:val="0"/>
            <w:vAlign w:val="center"/>
          </w:tcPr>
          <w:p w14:paraId="4ADE353E">
            <w:pPr>
              <w:pStyle w:val="10"/>
              <w:rPr>
                <w:rFonts w:hint="eastAsia"/>
                <w:b/>
                <w:bCs/>
                <w:color w:val="auto"/>
                <w:szCs w:val="24"/>
                <w:highlight w:val="none"/>
              </w:rPr>
            </w:pPr>
            <w:r>
              <w:rPr>
                <w:rFonts w:hint="eastAsia"/>
                <w:b/>
                <w:bCs/>
                <w:color w:val="auto"/>
                <w:szCs w:val="24"/>
                <w:highlight w:val="none"/>
              </w:rPr>
              <w:t>序号</w:t>
            </w:r>
          </w:p>
        </w:tc>
        <w:tc>
          <w:tcPr>
            <w:tcW w:w="1258" w:type="dxa"/>
            <w:noWrap w:val="0"/>
            <w:vAlign w:val="center"/>
          </w:tcPr>
          <w:p w14:paraId="2E9233E4">
            <w:pPr>
              <w:pStyle w:val="10"/>
              <w:rPr>
                <w:rFonts w:hint="eastAsia"/>
                <w:b/>
                <w:bCs/>
                <w:color w:val="auto"/>
                <w:szCs w:val="24"/>
                <w:highlight w:val="none"/>
              </w:rPr>
            </w:pPr>
            <w:r>
              <w:rPr>
                <w:rFonts w:hint="eastAsia"/>
                <w:b/>
                <w:bCs/>
                <w:color w:val="auto"/>
                <w:szCs w:val="24"/>
                <w:highlight w:val="none"/>
              </w:rPr>
              <w:t>名称</w:t>
            </w:r>
          </w:p>
        </w:tc>
        <w:tc>
          <w:tcPr>
            <w:tcW w:w="7163" w:type="dxa"/>
            <w:noWrap w:val="0"/>
            <w:vAlign w:val="center"/>
          </w:tcPr>
          <w:p w14:paraId="5DEFE3A5">
            <w:pPr>
              <w:pStyle w:val="10"/>
              <w:rPr>
                <w:rFonts w:hint="eastAsia"/>
                <w:b/>
                <w:bCs/>
                <w:color w:val="auto"/>
                <w:szCs w:val="24"/>
                <w:highlight w:val="none"/>
              </w:rPr>
            </w:pPr>
            <w:r>
              <w:rPr>
                <w:rFonts w:hint="eastAsia"/>
                <w:b/>
                <w:bCs/>
                <w:color w:val="auto"/>
                <w:szCs w:val="24"/>
                <w:highlight w:val="none"/>
              </w:rPr>
              <w:t>具体要求</w:t>
            </w:r>
          </w:p>
        </w:tc>
      </w:tr>
      <w:tr w14:paraId="3B1A8B9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56A26454">
            <w:pPr>
              <w:pStyle w:val="10"/>
              <w:rPr>
                <w:rFonts w:hint="eastAsia" w:eastAsia="宋体"/>
                <w:color w:val="auto"/>
                <w:szCs w:val="24"/>
                <w:highlight w:val="none"/>
                <w:lang w:val="en-US" w:eastAsia="zh-CN"/>
              </w:rPr>
            </w:pPr>
            <w:r>
              <w:rPr>
                <w:rFonts w:hint="eastAsia"/>
                <w:color w:val="auto"/>
                <w:szCs w:val="24"/>
                <w:highlight w:val="none"/>
                <w:lang w:val="en-US" w:eastAsia="zh-CN"/>
              </w:rPr>
              <w:t>1</w:t>
            </w:r>
          </w:p>
        </w:tc>
        <w:tc>
          <w:tcPr>
            <w:tcW w:w="1258" w:type="dxa"/>
            <w:noWrap w:val="0"/>
            <w:vAlign w:val="center"/>
          </w:tcPr>
          <w:p w14:paraId="4099D8A7">
            <w:pPr>
              <w:pStyle w:val="10"/>
              <w:spacing w:line="312" w:lineRule="auto"/>
              <w:rPr>
                <w:rFonts w:hint="eastAsia"/>
                <w:color w:val="auto"/>
                <w:highlight w:val="none"/>
              </w:rPr>
            </w:pPr>
            <w:r>
              <w:rPr>
                <w:rFonts w:hint="eastAsia"/>
                <w:color w:val="auto"/>
                <w:highlight w:val="none"/>
              </w:rPr>
              <w:t>采购内容</w:t>
            </w:r>
          </w:p>
        </w:tc>
        <w:tc>
          <w:tcPr>
            <w:tcW w:w="7163" w:type="dxa"/>
            <w:noWrap w:val="0"/>
            <w:vAlign w:val="center"/>
          </w:tcPr>
          <w:p w14:paraId="262162AB">
            <w:pPr>
              <w:pStyle w:val="10"/>
              <w:jc w:val="left"/>
              <w:rPr>
                <w:rFonts w:hint="eastAsia" w:ascii="宋体" w:hAnsi="宋体" w:cs="宋体"/>
                <w:color w:val="auto"/>
                <w:sz w:val="24"/>
                <w:highlight w:val="none"/>
              </w:rPr>
            </w:pPr>
            <w:r>
              <w:rPr>
                <w:rFonts w:hint="eastAsia"/>
                <w:color w:val="auto"/>
                <w:szCs w:val="24"/>
                <w:highlight w:val="none"/>
              </w:rPr>
              <w:t>陕西省人民医院主院区消防维保服务采购项目，维保面积：315000平方米；维保范围：院区内所有消防。</w:t>
            </w:r>
          </w:p>
        </w:tc>
      </w:tr>
      <w:tr w14:paraId="4295612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752" w:type="dxa"/>
            <w:noWrap w:val="0"/>
            <w:vAlign w:val="center"/>
          </w:tcPr>
          <w:p w14:paraId="48D145E0">
            <w:pPr>
              <w:pStyle w:val="10"/>
              <w:rPr>
                <w:rFonts w:hint="eastAsia" w:eastAsia="宋体"/>
                <w:color w:val="auto"/>
                <w:szCs w:val="24"/>
                <w:highlight w:val="none"/>
                <w:lang w:val="en-US" w:eastAsia="zh-CN"/>
              </w:rPr>
            </w:pPr>
            <w:r>
              <w:rPr>
                <w:rFonts w:hint="eastAsia"/>
                <w:color w:val="auto"/>
                <w:szCs w:val="24"/>
                <w:highlight w:val="none"/>
                <w:lang w:val="en-US" w:eastAsia="zh-CN"/>
              </w:rPr>
              <w:t>2</w:t>
            </w:r>
          </w:p>
        </w:tc>
        <w:tc>
          <w:tcPr>
            <w:tcW w:w="1258" w:type="dxa"/>
            <w:noWrap w:val="0"/>
            <w:vAlign w:val="center"/>
          </w:tcPr>
          <w:p w14:paraId="729CB892">
            <w:pPr>
              <w:pStyle w:val="10"/>
              <w:spacing w:line="312" w:lineRule="auto"/>
              <w:rPr>
                <w:rFonts w:hint="eastAsia"/>
                <w:color w:val="auto"/>
                <w:szCs w:val="24"/>
                <w:highlight w:val="none"/>
              </w:rPr>
            </w:pPr>
            <w:r>
              <w:rPr>
                <w:rFonts w:hint="eastAsia"/>
                <w:color w:val="auto"/>
                <w:highlight w:val="none"/>
              </w:rPr>
              <w:t>服务期</w:t>
            </w:r>
          </w:p>
        </w:tc>
        <w:tc>
          <w:tcPr>
            <w:tcW w:w="7163" w:type="dxa"/>
            <w:noWrap w:val="0"/>
            <w:vAlign w:val="center"/>
          </w:tcPr>
          <w:p w14:paraId="7849BE30">
            <w:pPr>
              <w:pStyle w:val="11"/>
              <w:spacing w:line="312" w:lineRule="auto"/>
              <w:ind w:firstLine="0" w:firstLineChars="0"/>
              <w:rPr>
                <w:rFonts w:hint="eastAsia"/>
                <w:color w:val="auto"/>
                <w:szCs w:val="24"/>
                <w:highlight w:val="none"/>
              </w:rPr>
            </w:pPr>
            <w:r>
              <w:rPr>
                <w:rFonts w:hint="eastAsia" w:ascii="宋体" w:hAnsi="宋体" w:cs="宋体"/>
                <w:color w:val="auto"/>
                <w:sz w:val="24"/>
                <w:szCs w:val="24"/>
                <w:highlight w:val="none"/>
                <w:lang w:val="en-US" w:eastAsia="zh-CN"/>
              </w:rPr>
              <w:t>项目服务期三年（合同一年一签，每年考核一次，采购人依据考核结果决定是否续签下一年服务合同，最多续签两次）</w:t>
            </w:r>
          </w:p>
        </w:tc>
      </w:tr>
      <w:tr w14:paraId="7132761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7BB95121">
            <w:pPr>
              <w:pStyle w:val="10"/>
              <w:rPr>
                <w:rFonts w:hint="eastAsia" w:eastAsia="宋体"/>
                <w:color w:val="auto"/>
                <w:szCs w:val="24"/>
                <w:highlight w:val="none"/>
                <w:lang w:val="en-US" w:eastAsia="zh-CN"/>
              </w:rPr>
            </w:pPr>
            <w:r>
              <w:rPr>
                <w:rFonts w:hint="eastAsia"/>
                <w:color w:val="auto"/>
                <w:szCs w:val="24"/>
                <w:highlight w:val="none"/>
                <w:lang w:val="en-US" w:eastAsia="zh-CN"/>
              </w:rPr>
              <w:t>3</w:t>
            </w:r>
          </w:p>
        </w:tc>
        <w:tc>
          <w:tcPr>
            <w:tcW w:w="1258" w:type="dxa"/>
            <w:noWrap w:val="0"/>
            <w:vAlign w:val="center"/>
          </w:tcPr>
          <w:p w14:paraId="494E4B08">
            <w:pPr>
              <w:pStyle w:val="10"/>
              <w:spacing w:line="312" w:lineRule="auto"/>
              <w:rPr>
                <w:rFonts w:hint="eastAsia" w:hAnsi="宋体" w:cs="宋体"/>
                <w:color w:val="auto"/>
                <w:szCs w:val="24"/>
                <w:highlight w:val="none"/>
              </w:rPr>
            </w:pPr>
            <w:r>
              <w:rPr>
                <w:rFonts w:hint="eastAsia"/>
                <w:color w:val="auto"/>
                <w:highlight w:val="none"/>
              </w:rPr>
              <w:t>服务地点</w:t>
            </w:r>
          </w:p>
        </w:tc>
        <w:tc>
          <w:tcPr>
            <w:tcW w:w="7163" w:type="dxa"/>
            <w:noWrap w:val="0"/>
            <w:vAlign w:val="center"/>
          </w:tcPr>
          <w:p w14:paraId="222BCCB3">
            <w:pPr>
              <w:pStyle w:val="10"/>
              <w:spacing w:line="312" w:lineRule="auto"/>
              <w:jc w:val="left"/>
              <w:rPr>
                <w:rFonts w:hint="eastAsia" w:ascii="宋体" w:hAnsi="宋体" w:cs="宋体"/>
                <w:color w:val="auto"/>
                <w:sz w:val="24"/>
                <w:szCs w:val="24"/>
                <w:highlight w:val="none"/>
              </w:rPr>
            </w:pPr>
            <w:r>
              <w:rPr>
                <w:rFonts w:hint="eastAsia"/>
                <w:color w:val="auto"/>
                <w:highlight w:val="none"/>
                <w:lang w:val="en-US" w:eastAsia="zh-CN"/>
              </w:rPr>
              <w:t>西安市碑林区友谊西路256号陕西省人民医院主院区</w:t>
            </w:r>
          </w:p>
        </w:tc>
      </w:tr>
      <w:tr w14:paraId="43CC6BA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752" w:type="dxa"/>
            <w:noWrap w:val="0"/>
            <w:vAlign w:val="center"/>
          </w:tcPr>
          <w:p w14:paraId="6C38536F">
            <w:pPr>
              <w:pStyle w:val="10"/>
              <w:rPr>
                <w:rFonts w:hint="eastAsia" w:eastAsia="宋体"/>
                <w:color w:val="auto"/>
                <w:szCs w:val="24"/>
                <w:highlight w:val="none"/>
                <w:lang w:val="en-US" w:eastAsia="zh-CN"/>
              </w:rPr>
            </w:pPr>
            <w:r>
              <w:rPr>
                <w:rFonts w:hint="eastAsia"/>
                <w:color w:val="auto"/>
                <w:szCs w:val="24"/>
                <w:highlight w:val="none"/>
                <w:lang w:val="en-US" w:eastAsia="zh-CN"/>
              </w:rPr>
              <w:t>4</w:t>
            </w:r>
          </w:p>
        </w:tc>
        <w:tc>
          <w:tcPr>
            <w:tcW w:w="1258" w:type="dxa"/>
            <w:noWrap w:val="0"/>
            <w:vAlign w:val="center"/>
          </w:tcPr>
          <w:p w14:paraId="56C670CA">
            <w:pPr>
              <w:pStyle w:val="6"/>
              <w:spacing w:line="360" w:lineRule="auto"/>
              <w:jc w:val="center"/>
              <w:rPr>
                <w:rFonts w:hint="eastAsia"/>
                <w:color w:val="auto"/>
                <w:highlight w:val="none"/>
              </w:rPr>
            </w:pPr>
            <w:r>
              <w:rPr>
                <w:rFonts w:hint="eastAsia" w:hAnsi="宋体" w:cs="宋体"/>
                <w:color w:val="auto"/>
                <w:sz w:val="24"/>
                <w:szCs w:val="24"/>
                <w:highlight w:val="none"/>
              </w:rPr>
              <w:t>质量要求</w:t>
            </w:r>
          </w:p>
        </w:tc>
        <w:tc>
          <w:tcPr>
            <w:tcW w:w="7163" w:type="dxa"/>
            <w:noWrap w:val="0"/>
            <w:vAlign w:val="center"/>
          </w:tcPr>
          <w:p w14:paraId="0F3042CD">
            <w:pPr>
              <w:spacing w:line="360" w:lineRule="auto"/>
              <w:ind w:left="360" w:leftChars="0" w:hanging="360" w:firstLineChars="0"/>
              <w:rPr>
                <w:rFonts w:hint="eastAsia"/>
                <w:color w:val="auto"/>
                <w:highlight w:val="none"/>
              </w:rPr>
            </w:pPr>
            <w:r>
              <w:rPr>
                <w:rFonts w:hint="eastAsia" w:ascii="宋体" w:hAnsi="宋体" w:cs="宋体"/>
                <w:color w:val="auto"/>
                <w:sz w:val="24"/>
                <w:szCs w:val="24"/>
                <w:highlight w:val="none"/>
                <w:lang w:eastAsia="zh-CN"/>
              </w:rPr>
              <w:t>合格</w:t>
            </w:r>
          </w:p>
        </w:tc>
      </w:tr>
      <w:tr w14:paraId="27E52E3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19C50467">
            <w:pPr>
              <w:pStyle w:val="10"/>
              <w:rPr>
                <w:rFonts w:hint="eastAsia" w:eastAsia="宋体"/>
                <w:color w:val="auto"/>
                <w:szCs w:val="24"/>
                <w:highlight w:val="none"/>
                <w:lang w:val="en-US" w:eastAsia="zh-CN"/>
              </w:rPr>
            </w:pPr>
            <w:r>
              <w:rPr>
                <w:rFonts w:hint="eastAsia"/>
                <w:color w:val="auto"/>
                <w:szCs w:val="24"/>
                <w:highlight w:val="none"/>
                <w:lang w:val="en-US" w:eastAsia="zh-CN"/>
              </w:rPr>
              <w:t>5</w:t>
            </w:r>
          </w:p>
        </w:tc>
        <w:tc>
          <w:tcPr>
            <w:tcW w:w="1258" w:type="dxa"/>
            <w:noWrap w:val="0"/>
            <w:vAlign w:val="center"/>
          </w:tcPr>
          <w:p w14:paraId="46F48882">
            <w:pPr>
              <w:pStyle w:val="10"/>
              <w:spacing w:line="312" w:lineRule="auto"/>
              <w:rPr>
                <w:rFonts w:hint="eastAsia"/>
                <w:color w:val="auto"/>
                <w:highlight w:val="none"/>
              </w:rPr>
            </w:pPr>
            <w:r>
              <w:rPr>
                <w:rFonts w:hint="eastAsia"/>
                <w:color w:val="auto"/>
                <w:highlight w:val="none"/>
              </w:rPr>
              <w:t>付款方式</w:t>
            </w:r>
          </w:p>
        </w:tc>
        <w:tc>
          <w:tcPr>
            <w:tcW w:w="7163" w:type="dxa"/>
            <w:noWrap w:val="0"/>
            <w:vAlign w:val="center"/>
          </w:tcPr>
          <w:p w14:paraId="1423FFFD">
            <w:pPr>
              <w:pStyle w:val="10"/>
              <w:numPr>
                <w:ilvl w:val="0"/>
                <w:numId w:val="0"/>
              </w:numPr>
              <w:spacing w:line="312" w:lineRule="auto"/>
              <w:jc w:val="left"/>
              <w:rPr>
                <w:rFonts w:hint="eastAsia"/>
                <w:color w:val="auto"/>
                <w:highlight w:val="none"/>
              </w:rPr>
            </w:pPr>
            <w:r>
              <w:rPr>
                <w:rFonts w:hint="eastAsia" w:ascii="宋体" w:hAnsi="宋体" w:eastAsia="宋体" w:cs="宋体"/>
                <w:color w:val="auto"/>
                <w:kern w:val="2"/>
                <w:sz w:val="24"/>
                <w:szCs w:val="22"/>
                <w:lang w:val="en-US" w:eastAsia="zh-CN" w:bidi="ar-SA"/>
              </w:rPr>
              <w:t>1.</w:t>
            </w:r>
            <w:r>
              <w:rPr>
                <w:rFonts w:hint="eastAsia"/>
                <w:color w:val="auto"/>
                <w:highlight w:val="none"/>
              </w:rPr>
              <w:t>结算要求：验收合格。</w:t>
            </w:r>
          </w:p>
          <w:p w14:paraId="6FB2508D">
            <w:pPr>
              <w:pStyle w:val="10"/>
              <w:numPr>
                <w:ilvl w:val="0"/>
                <w:numId w:val="0"/>
              </w:numPr>
              <w:spacing w:line="312" w:lineRule="auto"/>
              <w:jc w:val="left"/>
              <w:rPr>
                <w:rFonts w:hint="eastAsia"/>
                <w:color w:val="auto"/>
                <w:highlight w:val="none"/>
                <w:lang w:val="en-US" w:eastAsia="zh-CN"/>
              </w:rPr>
            </w:pPr>
            <w:r>
              <w:rPr>
                <w:rFonts w:hint="eastAsia"/>
                <w:color w:val="auto"/>
                <w:highlight w:val="none"/>
                <w:lang w:val="en-US" w:eastAsia="zh-CN"/>
              </w:rPr>
              <w:t>2.付款方式：按每半年平均付款。</w:t>
            </w:r>
          </w:p>
          <w:p w14:paraId="4C427C43">
            <w:pPr>
              <w:pStyle w:val="10"/>
              <w:numPr>
                <w:ilvl w:val="0"/>
                <w:numId w:val="0"/>
              </w:numPr>
              <w:spacing w:line="312" w:lineRule="auto"/>
              <w:ind w:firstLine="480" w:firstLineChars="200"/>
              <w:jc w:val="left"/>
              <w:rPr>
                <w:rFonts w:hint="eastAsia" w:ascii="宋体" w:hAnsi="宋体" w:eastAsia="宋体"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年维保服务费的按半年平均支付。在付款前，须采购人考核合格，供应商必须开具符合税务规定的足额增值税发票给采购人，否则，采购人有权拒绝付款，无需承担任何责任，且供应商不得以此为由拒绝履行合同义务。在合同执行过程中如出现违约或处罚事项（详见违约责任），则直接在付费时从总费用中扣除。</w:t>
            </w:r>
          </w:p>
          <w:p w14:paraId="2F4596D4">
            <w:pPr>
              <w:pStyle w:val="10"/>
              <w:numPr>
                <w:ilvl w:val="0"/>
                <w:numId w:val="0"/>
              </w:numPr>
              <w:spacing w:line="312" w:lineRule="auto"/>
              <w:ind w:firstLine="480" w:firstLineChars="200"/>
              <w:jc w:val="left"/>
              <w:rPr>
                <w:rFonts w:hint="eastAsia" w:ascii="宋体" w:hAnsi="宋体" w:eastAsia="宋体"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（2）</w:t>
            </w:r>
            <w:r>
              <w:rPr>
                <w:rFonts w:hint="eastAsia" w:ascii="宋体" w:hAnsi="宋体" w:eastAsia="宋体" w:cs="宋体"/>
                <w:color w:val="auto"/>
                <w:kern w:val="2"/>
                <w:sz w:val="24"/>
                <w:szCs w:val="22"/>
                <w:highlight w:val="none"/>
                <w:lang w:val="en-US" w:eastAsia="zh-CN" w:bidi="ar-SA"/>
              </w:rPr>
              <w:t>支付时间为考核合格、采购人接收到供应商发票后45个日历日内。</w:t>
            </w:r>
          </w:p>
          <w:p w14:paraId="4CD00D61">
            <w:pPr>
              <w:pStyle w:val="10"/>
              <w:spacing w:line="312" w:lineRule="auto"/>
              <w:ind w:firstLine="480" w:firstLineChars="200"/>
              <w:jc w:val="left"/>
              <w:rPr>
                <w:rFonts w:hint="eastAsia" w:ascii="宋体" w:hAnsi="宋体" w:eastAsia="宋体"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（3）</w:t>
            </w:r>
            <w:r>
              <w:rPr>
                <w:rFonts w:hint="eastAsia" w:ascii="宋体" w:hAnsi="宋体" w:eastAsia="宋体" w:cs="宋体"/>
                <w:color w:val="auto"/>
                <w:kern w:val="2"/>
                <w:sz w:val="24"/>
                <w:szCs w:val="22"/>
                <w:highlight w:val="none"/>
                <w:lang w:val="en-US" w:eastAsia="zh-CN" w:bidi="ar-SA"/>
              </w:rPr>
              <w:t>供应商在保养期须承担所有劳务费、车旅费、误餐费等其他费用已包含在合同总价内。</w:t>
            </w:r>
          </w:p>
          <w:p w14:paraId="19CFDB7C">
            <w:pPr>
              <w:pStyle w:val="10"/>
              <w:spacing w:line="312" w:lineRule="auto"/>
              <w:ind w:firstLine="480" w:firstLineChars="200"/>
              <w:jc w:val="left"/>
              <w:rPr>
                <w:rFonts w:hint="eastAsia"/>
                <w:bCs/>
                <w:color w:val="auto"/>
                <w:szCs w:val="24"/>
                <w:highlight w:val="none"/>
              </w:rPr>
            </w:pPr>
            <w:r>
              <w:rPr>
                <w:rFonts w:hint="eastAsia" w:cs="宋体"/>
                <w:color w:val="auto"/>
                <w:kern w:val="2"/>
                <w:sz w:val="24"/>
                <w:szCs w:val="22"/>
                <w:highlight w:val="none"/>
                <w:lang w:val="en-US" w:eastAsia="zh-CN" w:bidi="ar-SA"/>
              </w:rPr>
              <w:t>（4）</w:t>
            </w:r>
            <w:r>
              <w:rPr>
                <w:rFonts w:hint="eastAsia" w:ascii="宋体" w:hAnsi="宋体" w:eastAsia="宋体" w:cs="宋体"/>
                <w:color w:val="auto"/>
                <w:kern w:val="2"/>
                <w:sz w:val="24"/>
                <w:szCs w:val="22"/>
                <w:highlight w:val="none"/>
                <w:lang w:val="en-US" w:eastAsia="zh-CN" w:bidi="ar-SA"/>
              </w:rPr>
              <w:t>考核标准分为：合格、不合格（按月考核、第一次考核不合格警告，并扣减5%维保费、第二次考核不合格，</w:t>
            </w:r>
            <w:r>
              <w:rPr>
                <w:rFonts w:hint="eastAsia" w:cs="宋体"/>
                <w:color w:val="auto"/>
                <w:kern w:val="2"/>
                <w:sz w:val="24"/>
                <w:szCs w:val="22"/>
                <w:highlight w:val="none"/>
                <w:lang w:val="en-US" w:eastAsia="zh-CN" w:bidi="ar-SA"/>
              </w:rPr>
              <w:t>采购人</w:t>
            </w:r>
            <w:r>
              <w:rPr>
                <w:rFonts w:hint="eastAsia" w:ascii="宋体" w:hAnsi="宋体" w:eastAsia="宋体" w:cs="宋体"/>
                <w:color w:val="auto"/>
                <w:kern w:val="2"/>
                <w:sz w:val="24"/>
                <w:szCs w:val="22"/>
                <w:highlight w:val="none"/>
                <w:lang w:val="en-US" w:eastAsia="zh-CN" w:bidi="ar-SA"/>
              </w:rPr>
              <w:t>有权终止合同、并解除合同。）</w:t>
            </w:r>
          </w:p>
        </w:tc>
      </w:tr>
      <w:tr w14:paraId="76CCD21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0270B8DB">
            <w:pPr>
              <w:pStyle w:val="10"/>
              <w:rPr>
                <w:rFonts w:hint="eastAsia" w:eastAsia="宋体"/>
                <w:color w:val="auto"/>
                <w:szCs w:val="24"/>
                <w:highlight w:val="none"/>
                <w:lang w:val="en-US" w:eastAsia="zh-CN"/>
              </w:rPr>
            </w:pPr>
            <w:r>
              <w:rPr>
                <w:rFonts w:hint="eastAsia"/>
                <w:color w:val="auto"/>
                <w:szCs w:val="24"/>
                <w:highlight w:val="none"/>
                <w:lang w:val="en-US" w:eastAsia="zh-CN"/>
              </w:rPr>
              <w:t>6</w:t>
            </w:r>
          </w:p>
        </w:tc>
        <w:tc>
          <w:tcPr>
            <w:tcW w:w="1258" w:type="dxa"/>
            <w:noWrap w:val="0"/>
            <w:vAlign w:val="center"/>
          </w:tcPr>
          <w:p w14:paraId="5A8FE946">
            <w:pPr>
              <w:pStyle w:val="10"/>
              <w:spacing w:line="312" w:lineRule="auto"/>
              <w:rPr>
                <w:rFonts w:hint="eastAsia"/>
                <w:color w:val="auto"/>
                <w:highlight w:val="none"/>
              </w:rPr>
            </w:pPr>
            <w:r>
              <w:rPr>
                <w:rFonts w:hint="eastAsia"/>
                <w:color w:val="auto"/>
                <w:highlight w:val="none"/>
              </w:rPr>
              <w:t>违约责任</w:t>
            </w:r>
          </w:p>
        </w:tc>
        <w:tc>
          <w:tcPr>
            <w:tcW w:w="7163" w:type="dxa"/>
            <w:noWrap w:val="0"/>
            <w:vAlign w:val="center"/>
          </w:tcPr>
          <w:p w14:paraId="73AAC9FB">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供应商在维保时，出现以下情形，采购人发现后情节较轻的，罚款100-500元人民币；情节较重的，采购人出具书面通知，并给予501-5000元人民币的经济处罚；情节特别严重的，采购人有权提前终止合同，同时扣除供应商合同总金额的10%~20%的违约金，并视情节追究供应商承担民事或刑事责任。以上所列罚款均从合同总金额中扣除。</w:t>
            </w:r>
          </w:p>
          <w:p w14:paraId="7F9D531F">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1.对于违反商务或技术要求的行为，采购人应先予约谈，二次及以上不改采购人有权无责解除合同。</w:t>
            </w:r>
          </w:p>
          <w:p w14:paraId="031FA7EA">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2.若供应商出具虚假的维保报告，则采购人有权立即无责解除合同，并拒绝支付合同款，由此产生的责任由供应商承担。</w:t>
            </w:r>
          </w:p>
          <w:p w14:paraId="4F683F86">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3.若供应商每次维保到场人员与响应文件中人员配置不一致，采购人有权要求立即整改，若整改不到位，则采购人有权立即解除合同，并拒绝支付合同款，由此产生的责任由供应商承担。</w:t>
            </w:r>
          </w:p>
          <w:p w14:paraId="4F43E1E6">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4.维保技术人员没有在规定的时间节点（签订合同的当月、季、半年内）完成维保任务的，以采购人收到的维保报告日期为准，每超过一天对供应商处罚200元；</w:t>
            </w:r>
          </w:p>
          <w:p w14:paraId="0531DC44">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5.维保技术人员不遵守采购人各项施工安全管理制度或规定，视情节每次对供应商处罚500-5000元人民币罚款。</w:t>
            </w:r>
          </w:p>
          <w:p w14:paraId="72EA9F50">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6.维保技术人员不遵守采购人各项施工管理规定和安全管理制度进行安全作业、文明作业的，视情节每次对供应商处罚500-5000元人民币罚款。</w:t>
            </w:r>
          </w:p>
          <w:p w14:paraId="1D550C40">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7.未经采购人书面同意，私自更换项目经理及维保技术人员的，或维保技术人员无证上岗的，对供应商处以500-2000元人民币的罚款。</w:t>
            </w:r>
          </w:p>
          <w:p w14:paraId="5E382115">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8.工程技术维修人员未按合同规定的维修时间抵达指定地点进行维修、抢修的，对供应商处以500-2000元人民币的罚款。</w:t>
            </w:r>
          </w:p>
          <w:p w14:paraId="6951197F">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9.维保技术人员未按合同规定的月、季、半年、年维保计划，按时进行维保的，对供应商处以500-2000元人民币的罚款；</w:t>
            </w:r>
          </w:p>
          <w:p w14:paraId="38614B4C">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10.在维保时，因供应商人员在技术操作时出现失误造成消防设施设备器材等损坏的，由供应商负责两日内免费修复或更换。如两日内不能及时修复或更换设备，不能恢复设施设备器材为正常状态的，根据供应商损坏的设施设备器材价值从供应商合同款中扣除相关费用（包含但不限于设施设备仪器、辅材、人工费、税费、管理费等），由采购人请第三方来予以维修，对供应商处以2000元罚款并考虑与供应商终止合同。</w:t>
            </w:r>
          </w:p>
          <w:p w14:paraId="1669EFC2">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11.供应商维保不到位或维保过的消防设施设备器材，存在严重故障、安全隐患或其他问题，以及系统不能正常运行的，经采购人、消防、安检部门或检测、评估公司在检查、检测时发生失灵、失去原有功能或效果的，采购人有权终止合同，并对供应商处以5000元-50000元人民币的罚款。消防、安检等相关部门对采购人的罚款，所罚款项全部由供应商负责，从合同款中扣除。</w:t>
            </w:r>
          </w:p>
          <w:p w14:paraId="4B36094D">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12.当出现重大问题时，采购人有权请第三方论证，根据论证结果由供应商承担相应的责任。因供应商责任而造成严重后果或社会影响的，采购人有权终止合同，并扣除供应商合同总金额20%的违约金，同时，供应商还必须承担相应的民事赔偿责任或刑事责任，并承担一切损失及后果。</w:t>
            </w:r>
          </w:p>
          <w:p w14:paraId="2B82C7D9">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13.成交供应商保证消防系统原设计所有功能正常，若因成交供应商维保不到位或维保过失，造成事故的，由成交供应商负责，其他原因造成事故的，由消防部门进行裁定，由责任方负责。</w:t>
            </w:r>
          </w:p>
          <w:p w14:paraId="5642669E">
            <w:pPr>
              <w:pStyle w:val="10"/>
              <w:spacing w:line="312" w:lineRule="auto"/>
              <w:ind w:firstLine="480" w:firstLineChars="200"/>
              <w:jc w:val="left"/>
              <w:rPr>
                <w:rFonts w:hint="eastAsia" w:cs="宋体"/>
                <w:color w:val="auto"/>
                <w:kern w:val="2"/>
                <w:sz w:val="24"/>
                <w:szCs w:val="22"/>
                <w:highlight w:val="none"/>
                <w:lang w:val="en-US" w:eastAsia="zh-CN" w:bidi="ar-SA"/>
              </w:rPr>
            </w:pPr>
            <w:r>
              <w:rPr>
                <w:rFonts w:hint="eastAsia" w:cs="宋体"/>
                <w:color w:val="auto"/>
                <w:kern w:val="2"/>
                <w:sz w:val="24"/>
                <w:szCs w:val="22"/>
                <w:highlight w:val="none"/>
                <w:lang w:val="en-US" w:eastAsia="zh-CN" w:bidi="ar-SA"/>
              </w:rPr>
              <w:t>14.成交供应商维保工作人员将遵守采购人电气的管理制度，听从采购人有关人员的正确指挥，严格按照操作规程作业，确保施工安全，因操作不当导致事故，成交供应商应承担全部责任。成交供应商工作人员人身安全保险由成交供应商自理。</w:t>
            </w:r>
          </w:p>
          <w:p w14:paraId="56E77E7E">
            <w:pPr>
              <w:pStyle w:val="10"/>
              <w:spacing w:line="312" w:lineRule="auto"/>
              <w:ind w:firstLine="480" w:firstLineChars="200"/>
              <w:jc w:val="left"/>
              <w:rPr>
                <w:rFonts w:hint="eastAsia"/>
                <w:bCs/>
                <w:color w:val="auto"/>
                <w:szCs w:val="24"/>
                <w:highlight w:val="none"/>
              </w:rPr>
            </w:pPr>
            <w:r>
              <w:rPr>
                <w:rFonts w:hint="eastAsia" w:cs="宋体"/>
                <w:color w:val="auto"/>
                <w:kern w:val="2"/>
                <w:sz w:val="24"/>
                <w:szCs w:val="22"/>
                <w:highlight w:val="none"/>
                <w:lang w:val="en-US" w:eastAsia="zh-CN" w:bidi="ar-SA"/>
              </w:rPr>
              <w:t>15.维保公司所出具的报告等对采购人负责，除采购人要求的工作外，不得与和采购人有其它消防业务的公司（包括且不限于消防检测公司）私下往来。一经发现，采购人有权立即终止合同，并根据事件情节追究供应商法律责任和经济赔偿责任。</w:t>
            </w:r>
          </w:p>
        </w:tc>
      </w:tr>
      <w:tr w14:paraId="59E76CA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1FDC3B89">
            <w:pPr>
              <w:pStyle w:val="10"/>
              <w:rPr>
                <w:rFonts w:hint="eastAsia" w:eastAsia="宋体"/>
                <w:color w:val="auto"/>
                <w:szCs w:val="24"/>
                <w:highlight w:val="none"/>
                <w:lang w:val="en-US" w:eastAsia="zh-CN"/>
              </w:rPr>
            </w:pPr>
            <w:r>
              <w:rPr>
                <w:rFonts w:hint="eastAsia"/>
                <w:color w:val="auto"/>
                <w:szCs w:val="24"/>
                <w:highlight w:val="none"/>
                <w:lang w:val="en-US" w:eastAsia="zh-CN"/>
              </w:rPr>
              <w:t>7</w:t>
            </w:r>
          </w:p>
        </w:tc>
        <w:tc>
          <w:tcPr>
            <w:tcW w:w="1258" w:type="dxa"/>
            <w:noWrap w:val="0"/>
            <w:vAlign w:val="center"/>
          </w:tcPr>
          <w:p w14:paraId="6CC0D2FD">
            <w:pPr>
              <w:pStyle w:val="10"/>
              <w:spacing w:line="312" w:lineRule="auto"/>
              <w:rPr>
                <w:rFonts w:hint="eastAsia"/>
                <w:color w:val="auto"/>
                <w:highlight w:val="none"/>
              </w:rPr>
            </w:pPr>
            <w:r>
              <w:rPr>
                <w:rFonts w:hint="eastAsia"/>
                <w:color w:val="auto"/>
                <w:highlight w:val="none"/>
              </w:rPr>
              <w:t>履约保证金</w:t>
            </w:r>
          </w:p>
        </w:tc>
        <w:tc>
          <w:tcPr>
            <w:tcW w:w="7163" w:type="dxa"/>
            <w:noWrap w:val="0"/>
            <w:vAlign w:val="center"/>
          </w:tcPr>
          <w:p w14:paraId="4E701B25">
            <w:pPr>
              <w:pStyle w:val="10"/>
              <w:spacing w:line="312" w:lineRule="auto"/>
              <w:jc w:val="left"/>
              <w:rPr>
                <w:rFonts w:hint="eastAsia"/>
                <w:bCs/>
                <w:color w:val="auto"/>
                <w:szCs w:val="24"/>
                <w:highlight w:val="none"/>
              </w:rPr>
            </w:pPr>
            <w:r>
              <w:rPr>
                <w:rFonts w:hint="eastAsia"/>
                <w:color w:val="auto"/>
                <w:highlight w:val="none"/>
              </w:rPr>
              <w:t>不要求提供</w:t>
            </w:r>
          </w:p>
        </w:tc>
      </w:tr>
      <w:tr w14:paraId="7339EEA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3ADA0616">
            <w:pPr>
              <w:pStyle w:val="10"/>
              <w:rPr>
                <w:rFonts w:hint="eastAsia" w:eastAsia="宋体"/>
                <w:color w:val="auto"/>
                <w:szCs w:val="24"/>
                <w:highlight w:val="none"/>
                <w:lang w:val="en-US" w:eastAsia="zh-CN"/>
              </w:rPr>
            </w:pPr>
            <w:r>
              <w:rPr>
                <w:rFonts w:hint="eastAsia"/>
                <w:color w:val="auto"/>
                <w:szCs w:val="24"/>
                <w:highlight w:val="none"/>
                <w:lang w:val="en-US" w:eastAsia="zh-CN"/>
              </w:rPr>
              <w:t>8</w:t>
            </w:r>
          </w:p>
        </w:tc>
        <w:tc>
          <w:tcPr>
            <w:tcW w:w="1258" w:type="dxa"/>
            <w:noWrap w:val="0"/>
            <w:vAlign w:val="center"/>
          </w:tcPr>
          <w:p w14:paraId="1FAC9D55">
            <w:pPr>
              <w:pStyle w:val="10"/>
              <w:spacing w:line="312" w:lineRule="auto"/>
              <w:rPr>
                <w:rFonts w:hint="eastAsia"/>
                <w:color w:val="auto"/>
                <w:highlight w:val="none"/>
              </w:rPr>
            </w:pPr>
            <w:r>
              <w:rPr>
                <w:rFonts w:hint="eastAsia"/>
                <w:color w:val="auto"/>
                <w:szCs w:val="21"/>
                <w:highlight w:val="none"/>
              </w:rPr>
              <w:t>履约验收</w:t>
            </w:r>
          </w:p>
        </w:tc>
        <w:tc>
          <w:tcPr>
            <w:tcW w:w="7163" w:type="dxa"/>
            <w:noWrap w:val="0"/>
            <w:vAlign w:val="center"/>
          </w:tcPr>
          <w:p w14:paraId="1A22AE7C">
            <w:pPr>
              <w:pStyle w:val="10"/>
              <w:spacing w:line="312" w:lineRule="auto"/>
              <w:jc w:val="left"/>
              <w:rPr>
                <w:rFonts w:hint="eastAsia"/>
                <w:color w:val="auto"/>
                <w:szCs w:val="21"/>
                <w:highlight w:val="none"/>
              </w:rPr>
            </w:pPr>
            <w:r>
              <w:rPr>
                <w:rFonts w:hint="eastAsia"/>
                <w:color w:val="auto"/>
                <w:szCs w:val="21"/>
                <w:highlight w:val="none"/>
                <w:lang w:val="en-US" w:eastAsia="zh-CN"/>
              </w:rPr>
              <w:t>1.</w:t>
            </w:r>
            <w:r>
              <w:rPr>
                <w:rFonts w:hint="eastAsia"/>
                <w:color w:val="auto"/>
                <w:szCs w:val="21"/>
                <w:highlight w:val="none"/>
              </w:rPr>
              <w:t>验收组织单位：陕西省人民医院保卫处。</w:t>
            </w:r>
          </w:p>
          <w:p w14:paraId="79B6826A">
            <w:pPr>
              <w:pStyle w:val="10"/>
              <w:spacing w:line="312" w:lineRule="auto"/>
              <w:jc w:val="left"/>
              <w:rPr>
                <w:rFonts w:hint="eastAsia"/>
                <w:color w:val="auto"/>
                <w:szCs w:val="32"/>
                <w:highlight w:val="none"/>
              </w:rPr>
            </w:pPr>
            <w:r>
              <w:rPr>
                <w:rFonts w:hint="eastAsia"/>
                <w:color w:val="auto"/>
                <w:szCs w:val="21"/>
                <w:highlight w:val="none"/>
                <w:lang w:val="en-US" w:eastAsia="zh-CN"/>
              </w:rPr>
              <w:t>2.</w:t>
            </w:r>
            <w:r>
              <w:rPr>
                <w:rFonts w:hint="eastAsia"/>
                <w:color w:val="auto"/>
                <w:szCs w:val="21"/>
                <w:highlight w:val="none"/>
              </w:rPr>
              <w:t>履约验收方案：</w:t>
            </w:r>
            <w:r>
              <w:rPr>
                <w:rFonts w:hint="eastAsia"/>
                <w:color w:val="auto"/>
                <w:sz w:val="24"/>
                <w:szCs w:val="32"/>
                <w:vertAlign w:val="baseline"/>
                <w:lang w:val="en-US" w:eastAsia="zh-CN"/>
              </w:rPr>
              <w:t>保卫处自行验收。</w:t>
            </w:r>
          </w:p>
          <w:p w14:paraId="0A569020">
            <w:pPr>
              <w:pStyle w:val="10"/>
              <w:spacing w:line="312" w:lineRule="auto"/>
              <w:jc w:val="left"/>
              <w:rPr>
                <w:rFonts w:hint="eastAsia"/>
                <w:color w:val="auto"/>
                <w:szCs w:val="32"/>
                <w:highlight w:val="none"/>
              </w:rPr>
            </w:pPr>
            <w:r>
              <w:rPr>
                <w:rFonts w:hint="eastAsia"/>
                <w:color w:val="auto"/>
                <w:szCs w:val="32"/>
                <w:highlight w:val="none"/>
                <w:lang w:val="en-US" w:eastAsia="zh-CN"/>
              </w:rPr>
              <w:t>3</w:t>
            </w:r>
            <w:r>
              <w:rPr>
                <w:rFonts w:hint="eastAsia"/>
                <w:color w:val="auto"/>
                <w:szCs w:val="32"/>
                <w:highlight w:val="none"/>
              </w:rPr>
              <w:t>.</w:t>
            </w:r>
            <w:r>
              <w:rPr>
                <w:rFonts w:hint="eastAsia"/>
                <w:color w:val="auto"/>
                <w:szCs w:val="21"/>
                <w:highlight w:val="none"/>
              </w:rPr>
              <w:t>履约</w:t>
            </w:r>
            <w:r>
              <w:rPr>
                <w:rFonts w:hint="eastAsia"/>
                <w:color w:val="auto"/>
                <w:szCs w:val="32"/>
                <w:highlight w:val="none"/>
              </w:rPr>
              <w:t>验收形式：</w:t>
            </w:r>
            <w:r>
              <w:rPr>
                <w:rFonts w:hint="eastAsia" w:ascii="宋体" w:hAnsi="宋体" w:eastAsia="宋体" w:cs="宋体"/>
                <w:color w:val="auto"/>
                <w:spacing w:val="-3"/>
                <w:sz w:val="24"/>
                <w:szCs w:val="24"/>
                <w:lang w:val="en-US" w:eastAsia="zh-CN"/>
              </w:rPr>
              <w:t>现场验收</w:t>
            </w:r>
            <w:r>
              <w:rPr>
                <w:rFonts w:hint="eastAsia"/>
                <w:color w:val="auto"/>
                <w:szCs w:val="32"/>
                <w:highlight w:val="none"/>
              </w:rPr>
              <w:t>。</w:t>
            </w:r>
          </w:p>
          <w:p w14:paraId="2753DB03">
            <w:pPr>
              <w:pStyle w:val="10"/>
              <w:spacing w:line="312" w:lineRule="auto"/>
              <w:jc w:val="left"/>
              <w:rPr>
                <w:rFonts w:hint="eastAsia"/>
                <w:color w:val="auto"/>
                <w:szCs w:val="32"/>
                <w:highlight w:val="none"/>
              </w:rPr>
            </w:pPr>
            <w:r>
              <w:rPr>
                <w:rFonts w:hint="eastAsia"/>
                <w:color w:val="auto"/>
                <w:szCs w:val="32"/>
                <w:highlight w:val="none"/>
                <w:lang w:val="en-US" w:eastAsia="zh-CN"/>
              </w:rPr>
              <w:t>4</w:t>
            </w:r>
            <w:r>
              <w:rPr>
                <w:rFonts w:hint="eastAsia"/>
                <w:color w:val="auto"/>
                <w:szCs w:val="32"/>
                <w:highlight w:val="none"/>
              </w:rPr>
              <w:t>.</w:t>
            </w:r>
            <w:r>
              <w:rPr>
                <w:rFonts w:hint="eastAsia"/>
                <w:color w:val="auto"/>
                <w:szCs w:val="21"/>
                <w:highlight w:val="none"/>
              </w:rPr>
              <w:t>履约</w:t>
            </w:r>
            <w:r>
              <w:rPr>
                <w:rFonts w:hint="eastAsia"/>
                <w:color w:val="auto"/>
                <w:szCs w:val="32"/>
                <w:highlight w:val="none"/>
              </w:rPr>
              <w:t>验收标准：</w:t>
            </w:r>
            <w:r>
              <w:rPr>
                <w:rFonts w:hint="eastAsia"/>
                <w:color w:val="auto"/>
                <w:szCs w:val="32"/>
                <w:highlight w:val="none"/>
                <w:lang w:val="en-US" w:eastAsia="zh-CN"/>
              </w:rPr>
              <w:t>依据国家相关规定验收。</w:t>
            </w:r>
          </w:p>
          <w:p w14:paraId="65DEF954">
            <w:pPr>
              <w:pStyle w:val="10"/>
              <w:spacing w:line="312" w:lineRule="auto"/>
              <w:jc w:val="left"/>
              <w:rPr>
                <w:rFonts w:hint="eastAsia"/>
                <w:bCs/>
                <w:color w:val="auto"/>
                <w:szCs w:val="24"/>
                <w:highlight w:val="none"/>
              </w:rPr>
            </w:pPr>
            <w:r>
              <w:rPr>
                <w:rFonts w:hint="eastAsia"/>
                <w:color w:val="auto"/>
                <w:szCs w:val="32"/>
                <w:highlight w:val="none"/>
                <w:lang w:val="en-US" w:eastAsia="zh-CN"/>
              </w:rPr>
              <w:t>5.</w:t>
            </w:r>
            <w:r>
              <w:rPr>
                <w:rFonts w:hint="eastAsia"/>
                <w:color w:val="auto"/>
                <w:szCs w:val="21"/>
                <w:highlight w:val="none"/>
              </w:rPr>
              <w:t>履约</w:t>
            </w:r>
            <w:r>
              <w:rPr>
                <w:rFonts w:hint="eastAsia"/>
                <w:color w:val="auto"/>
                <w:szCs w:val="32"/>
                <w:highlight w:val="none"/>
              </w:rPr>
              <w:t>验收方法</w:t>
            </w:r>
            <w:r>
              <w:rPr>
                <w:rFonts w:hint="eastAsia"/>
                <w:color w:val="auto"/>
                <w:szCs w:val="32"/>
                <w:highlight w:val="none"/>
                <w:lang w:eastAsia="zh-CN"/>
              </w:rPr>
              <w:t>：</w:t>
            </w:r>
            <w:r>
              <w:rPr>
                <w:rFonts w:hint="eastAsia"/>
                <w:color w:val="auto"/>
                <w:szCs w:val="32"/>
                <w:highlight w:val="none"/>
                <w:lang w:val="en-US" w:eastAsia="zh-CN"/>
              </w:rPr>
              <w:t>现场实地检查</w:t>
            </w:r>
            <w:r>
              <w:rPr>
                <w:rFonts w:hint="eastAsia"/>
                <w:color w:val="auto"/>
                <w:szCs w:val="32"/>
                <w:highlight w:val="none"/>
              </w:rPr>
              <w:t>。</w:t>
            </w:r>
          </w:p>
        </w:tc>
      </w:tr>
      <w:tr w14:paraId="12F8791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52" w:type="dxa"/>
            <w:noWrap w:val="0"/>
            <w:vAlign w:val="center"/>
          </w:tcPr>
          <w:p w14:paraId="4FE01C03">
            <w:pPr>
              <w:pStyle w:val="10"/>
              <w:rPr>
                <w:rFonts w:hint="eastAsia" w:eastAsia="宋体"/>
                <w:color w:val="auto"/>
                <w:szCs w:val="24"/>
                <w:highlight w:val="none"/>
                <w:lang w:val="en-US" w:eastAsia="zh-CN"/>
              </w:rPr>
            </w:pPr>
            <w:r>
              <w:rPr>
                <w:rFonts w:hint="eastAsia"/>
                <w:color w:val="auto"/>
                <w:szCs w:val="24"/>
                <w:highlight w:val="none"/>
                <w:lang w:val="en-US" w:eastAsia="zh-CN"/>
              </w:rPr>
              <w:t>9</w:t>
            </w:r>
          </w:p>
        </w:tc>
        <w:tc>
          <w:tcPr>
            <w:tcW w:w="1258" w:type="dxa"/>
            <w:noWrap w:val="0"/>
            <w:vAlign w:val="center"/>
          </w:tcPr>
          <w:p w14:paraId="608FA041">
            <w:pPr>
              <w:pStyle w:val="10"/>
              <w:spacing w:line="312" w:lineRule="auto"/>
              <w:rPr>
                <w:rFonts w:hint="eastAsia"/>
                <w:color w:val="auto"/>
                <w:highlight w:val="none"/>
              </w:rPr>
            </w:pPr>
            <w:r>
              <w:rPr>
                <w:rFonts w:hint="eastAsia"/>
                <w:color w:val="auto"/>
                <w:szCs w:val="21"/>
                <w:highlight w:val="none"/>
                <w:lang w:val="en-US" w:eastAsia="zh-CN"/>
              </w:rPr>
              <w:t>其他要求</w:t>
            </w:r>
          </w:p>
        </w:tc>
        <w:tc>
          <w:tcPr>
            <w:tcW w:w="7163" w:type="dxa"/>
            <w:noWrap w:val="0"/>
            <w:vAlign w:val="center"/>
          </w:tcPr>
          <w:p w14:paraId="350F93E9">
            <w:pPr>
              <w:pStyle w:val="10"/>
              <w:spacing w:line="312" w:lineRule="auto"/>
              <w:jc w:val="left"/>
              <w:rPr>
                <w:rFonts w:hint="eastAsia"/>
                <w:color w:val="auto"/>
                <w:szCs w:val="32"/>
                <w:highlight w:val="none"/>
                <w:lang w:val="en-US" w:eastAsia="zh-CN"/>
              </w:rPr>
            </w:pPr>
            <w:r>
              <w:rPr>
                <w:rFonts w:hint="eastAsia"/>
                <w:color w:val="auto"/>
                <w:szCs w:val="32"/>
                <w:highlight w:val="none"/>
                <w:lang w:val="en-US" w:eastAsia="zh-CN"/>
              </w:rPr>
              <w:t>供应商在保养期中如发现消防系统需要更换零配件，应及时向采购人提出更换配件清单，经采购人同意后，供应商可进行更换。</w:t>
            </w:r>
          </w:p>
          <w:p w14:paraId="1A4E61C4">
            <w:pPr>
              <w:pStyle w:val="10"/>
              <w:numPr>
                <w:ilvl w:val="0"/>
                <w:numId w:val="0"/>
              </w:numPr>
              <w:spacing w:line="312" w:lineRule="auto"/>
              <w:ind w:firstLine="480" w:firstLineChars="200"/>
              <w:jc w:val="left"/>
              <w:rPr>
                <w:rFonts w:hint="eastAsia"/>
                <w:color w:val="auto"/>
                <w:szCs w:val="32"/>
                <w:highlight w:val="none"/>
                <w:lang w:val="en-US" w:eastAsia="zh-CN"/>
              </w:rPr>
            </w:pPr>
            <w:r>
              <w:rPr>
                <w:rFonts w:hint="eastAsia" w:ascii="宋体" w:hAnsi="宋体" w:eastAsia="宋体" w:cs="宋体"/>
                <w:color w:val="auto"/>
                <w:kern w:val="2"/>
                <w:sz w:val="24"/>
                <w:szCs w:val="32"/>
                <w:lang w:val="en-US" w:eastAsia="zh-CN" w:bidi="ar-SA"/>
              </w:rPr>
              <w:t>（1）</w:t>
            </w:r>
            <w:r>
              <w:rPr>
                <w:rFonts w:hint="eastAsia"/>
                <w:color w:val="auto"/>
                <w:szCs w:val="32"/>
                <w:highlight w:val="none"/>
                <w:lang w:val="en-US" w:eastAsia="zh-CN"/>
              </w:rPr>
              <w:t>更换日常保养耗材由供应商承担，零配件单件单价在人民币500元以下（累计10000元以下）（设备单价限价见本章附件1），由供应商提出书面报备，采购人确认后，方可进行更换，费用供应商自行承担。</w:t>
            </w:r>
          </w:p>
          <w:p w14:paraId="7CD8C104">
            <w:pPr>
              <w:pStyle w:val="10"/>
              <w:numPr>
                <w:ilvl w:val="0"/>
                <w:numId w:val="0"/>
              </w:numPr>
              <w:spacing w:line="312" w:lineRule="auto"/>
              <w:ind w:firstLine="480" w:firstLineChars="200"/>
              <w:jc w:val="left"/>
              <w:rPr>
                <w:rFonts w:hint="eastAsia"/>
                <w:color w:val="auto"/>
                <w:szCs w:val="32"/>
                <w:highlight w:val="none"/>
                <w:lang w:val="en-US" w:eastAsia="zh-CN"/>
              </w:rPr>
            </w:pPr>
            <w:r>
              <w:rPr>
                <w:rFonts w:hint="eastAsia"/>
                <w:color w:val="auto"/>
                <w:szCs w:val="32"/>
                <w:highlight w:val="none"/>
                <w:lang w:val="en-US" w:eastAsia="zh-CN"/>
              </w:rPr>
              <w:t>（2）更换的零配件费用超过10000元，由供应商提出配件清单即市场报价，交由采购人审批同意配件费用由采购人承担，采购人保留在第三方采购配件的权利。</w:t>
            </w:r>
          </w:p>
          <w:p w14:paraId="568566A5">
            <w:pPr>
              <w:pStyle w:val="10"/>
              <w:numPr>
                <w:ilvl w:val="0"/>
                <w:numId w:val="0"/>
              </w:numPr>
              <w:spacing w:line="312" w:lineRule="auto"/>
              <w:ind w:firstLine="480" w:firstLineChars="200"/>
              <w:jc w:val="left"/>
              <w:rPr>
                <w:rFonts w:hint="eastAsia"/>
                <w:color w:val="auto"/>
                <w:szCs w:val="32"/>
                <w:highlight w:val="none"/>
                <w:lang w:val="en-US" w:eastAsia="zh-CN"/>
              </w:rPr>
            </w:pPr>
            <w:r>
              <w:rPr>
                <w:rFonts w:hint="eastAsia"/>
                <w:color w:val="auto"/>
                <w:szCs w:val="32"/>
                <w:highlight w:val="none"/>
                <w:lang w:val="en-US" w:eastAsia="zh-CN"/>
              </w:rPr>
              <w:t>（3）单件单价在人民币500元以上的，供应商须向采购人提供更换零配件报告，经审批同意确认后，方可进行更换</w:t>
            </w:r>
            <w:r>
              <w:rPr>
                <w:rFonts w:hint="eastAsia"/>
                <w:color w:val="auto"/>
                <w:lang w:eastAsia="zh-CN"/>
              </w:rPr>
              <w:t>，</w:t>
            </w:r>
            <w:r>
              <w:rPr>
                <w:rFonts w:hint="eastAsia"/>
                <w:color w:val="auto"/>
                <w:lang w:val="en-US" w:eastAsia="zh-CN"/>
              </w:rPr>
              <w:t>配件费用由采购人承担，</w:t>
            </w:r>
            <w:r>
              <w:rPr>
                <w:rFonts w:hint="eastAsia"/>
                <w:color w:val="auto"/>
                <w:szCs w:val="32"/>
                <w:highlight w:val="none"/>
                <w:lang w:val="en-US" w:eastAsia="zh-CN"/>
              </w:rPr>
              <w:t>采购人</w:t>
            </w:r>
            <w:r>
              <w:rPr>
                <w:rFonts w:hint="eastAsia" w:cs="宋体"/>
                <w:color w:val="auto"/>
                <w:kern w:val="2"/>
                <w:sz w:val="24"/>
                <w:szCs w:val="22"/>
                <w:highlight w:val="none"/>
                <w:lang w:val="en-US" w:eastAsia="zh-CN" w:bidi="ar-SA"/>
              </w:rPr>
              <w:t>保留在第三方采购配件的权利</w:t>
            </w:r>
            <w:r>
              <w:rPr>
                <w:rFonts w:hint="eastAsia"/>
                <w:color w:val="auto"/>
                <w:szCs w:val="32"/>
                <w:highlight w:val="none"/>
                <w:lang w:val="en-US" w:eastAsia="zh-CN"/>
              </w:rPr>
              <w:t>。</w:t>
            </w:r>
          </w:p>
          <w:p w14:paraId="6185277C">
            <w:pPr>
              <w:pStyle w:val="10"/>
              <w:numPr>
                <w:ilvl w:val="0"/>
                <w:numId w:val="0"/>
              </w:numPr>
              <w:spacing w:line="312" w:lineRule="auto"/>
              <w:ind w:firstLine="480" w:firstLineChars="200"/>
              <w:jc w:val="left"/>
              <w:rPr>
                <w:rFonts w:hint="eastAsia"/>
                <w:bCs/>
                <w:color w:val="auto"/>
                <w:szCs w:val="24"/>
                <w:highlight w:val="none"/>
              </w:rPr>
            </w:pPr>
            <w:r>
              <w:rPr>
                <w:rFonts w:hint="eastAsia"/>
                <w:color w:val="auto"/>
                <w:szCs w:val="32"/>
                <w:highlight w:val="none"/>
                <w:lang w:val="en-US" w:eastAsia="zh-CN"/>
              </w:rPr>
              <w:t>（4）所有更换件应是全新且合格产品。</w:t>
            </w:r>
          </w:p>
        </w:tc>
      </w:tr>
      <w:tr w14:paraId="2C85DD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752" w:type="dxa"/>
            <w:noWrap w:val="0"/>
            <w:vAlign w:val="center"/>
          </w:tcPr>
          <w:p w14:paraId="5863FDA0">
            <w:pPr>
              <w:pStyle w:val="10"/>
              <w:rPr>
                <w:rFonts w:hint="eastAsia"/>
                <w:color w:val="auto"/>
                <w:szCs w:val="24"/>
                <w:highlight w:val="none"/>
              </w:rPr>
            </w:pPr>
            <w:r>
              <w:rPr>
                <w:rFonts w:hint="eastAsia"/>
                <w:b/>
                <w:bCs/>
                <w:color w:val="auto"/>
                <w:highlight w:val="none"/>
              </w:rPr>
              <w:t>备注</w:t>
            </w:r>
          </w:p>
        </w:tc>
        <w:tc>
          <w:tcPr>
            <w:tcW w:w="8421" w:type="dxa"/>
            <w:gridSpan w:val="2"/>
            <w:noWrap w:val="0"/>
            <w:vAlign w:val="center"/>
          </w:tcPr>
          <w:p w14:paraId="23B15C0B">
            <w:pPr>
              <w:pStyle w:val="10"/>
              <w:jc w:val="left"/>
              <w:rPr>
                <w:rFonts w:hint="eastAsia"/>
                <w:color w:val="auto"/>
                <w:highlight w:val="none"/>
              </w:rPr>
            </w:pPr>
            <w:r>
              <w:rPr>
                <w:rFonts w:hint="eastAsia"/>
                <w:b/>
                <w:bCs/>
                <w:color w:val="auto"/>
                <w:highlight w:val="none"/>
              </w:rPr>
              <w:t>以上商务要求为必须满足的条款，任意一条不满足，视为重大偏离，按无效响应处理。</w:t>
            </w:r>
          </w:p>
        </w:tc>
      </w:tr>
    </w:tbl>
    <w:p w14:paraId="7B384F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84FCA"/>
    <w:rsid w:val="13D8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pageBreakBefore/>
      <w:adjustRightInd w:val="0"/>
      <w:snapToGrid w:val="0"/>
      <w:spacing w:before="140" w:beforeLines="0" w:beforeAutospacing="0" w:after="130" w:afterLines="0" w:afterAutospacing="0" w:line="360" w:lineRule="auto"/>
      <w:jc w:val="center"/>
      <w:outlineLvl w:val="0"/>
    </w:pPr>
    <w:rPr>
      <w:rFonts w:ascii="宋体" w:hAnsi="宋体"/>
      <w:b/>
      <w:kern w:val="44"/>
      <w:sz w:val="32"/>
      <w:szCs w:val="20"/>
    </w:rPr>
  </w:style>
  <w:style w:type="paragraph" w:styleId="3">
    <w:name w:val="heading 2"/>
    <w:basedOn w:val="1"/>
    <w:next w:val="1"/>
    <w:link w:val="9"/>
    <w:qFormat/>
    <w:uiPriority w:val="0"/>
    <w:pPr>
      <w:keepNext/>
      <w:keepLines/>
      <w:pageBreakBefore w:val="0"/>
      <w:spacing w:before="260" w:beforeLines="0" w:beforeAutospacing="0" w:after="260" w:afterLines="0" w:afterAutospacing="0" w:line="240" w:lineRule="auto"/>
      <w:jc w:val="center"/>
      <w:outlineLvl w:val="1"/>
    </w:pPr>
    <w:rPr>
      <w:rFonts w:ascii="仿宋" w:hAnsi="仿宋"/>
      <w:b/>
      <w:kern w:val="0"/>
      <w:sz w:val="30"/>
      <w:szCs w:val="20"/>
    </w:rPr>
  </w:style>
  <w:style w:type="paragraph" w:styleId="4">
    <w:name w:val="heading 4"/>
    <w:basedOn w:val="1"/>
    <w:next w:val="1"/>
    <w:qFormat/>
    <w:uiPriority w:val="9"/>
    <w:pPr>
      <w:keepNext/>
      <w:keepLines/>
      <w:adjustRightInd w:val="0"/>
      <w:snapToGrid w:val="0"/>
      <w:spacing w:line="360" w:lineRule="auto"/>
      <w:jc w:val="left"/>
      <w:outlineLvl w:val="3"/>
    </w:pPr>
    <w:rPr>
      <w:rFonts w:ascii="宋体" w:hAnsi="宋体" w:eastAsia="宋体" w:cs="宋体"/>
      <w:b/>
      <w:bCs/>
      <w:kern w:val="0"/>
      <w:sz w:val="24"/>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Normal Indent"/>
    <w:basedOn w:val="1"/>
    <w:uiPriority w:val="0"/>
    <w:pPr>
      <w:adjustRightInd w:val="0"/>
      <w:snapToGrid w:val="0"/>
      <w:spacing w:line="360" w:lineRule="auto"/>
      <w:ind w:firstLine="602" w:firstLineChars="200"/>
    </w:pPr>
    <w:rPr>
      <w:rFonts w:ascii="宋体" w:hAnsi="宋体"/>
      <w:kern w:val="0"/>
      <w:sz w:val="24"/>
      <w:szCs w:val="20"/>
    </w:rPr>
  </w:style>
  <w:style w:type="paragraph" w:styleId="6">
    <w:name w:val="Plain Text"/>
    <w:basedOn w:val="1"/>
    <w:qFormat/>
    <w:uiPriority w:val="99"/>
    <w:rPr>
      <w:rFonts w:ascii="宋体" w:hAnsi="Courier New"/>
      <w:szCs w:val="21"/>
    </w:rPr>
  </w:style>
  <w:style w:type="character" w:customStyle="1" w:styleId="9">
    <w:name w:val="标题 2 字符"/>
    <w:link w:val="3"/>
    <w:uiPriority w:val="0"/>
    <w:rPr>
      <w:rFonts w:ascii="仿宋" w:hAnsi="仿宋"/>
      <w:b/>
      <w:kern w:val="0"/>
      <w:sz w:val="30"/>
      <w:szCs w:val="20"/>
    </w:rPr>
  </w:style>
  <w:style w:type="paragraph" w:customStyle="1" w:styleId="10">
    <w:name w:val="表格"/>
    <w:basedOn w:val="1"/>
    <w:uiPriority w:val="0"/>
    <w:pPr>
      <w:spacing w:line="360" w:lineRule="auto"/>
      <w:jc w:val="center"/>
    </w:pPr>
    <w:rPr>
      <w:rFonts w:ascii="宋体" w:hAnsi="宋体" w:eastAsia="宋体" w:cs="宋体"/>
      <w:sz w:val="24"/>
    </w:rPr>
  </w:style>
  <w:style w:type="paragraph" w:customStyle="1" w:styleId="11">
    <w:name w:val="正文内容"/>
    <w:basedOn w:val="1"/>
    <w:qFormat/>
    <w:uiPriority w:val="0"/>
    <w:pPr>
      <w:spacing w:line="400" w:lineRule="exact"/>
      <w:ind w:firstLine="420" w:firstLineChars="200"/>
      <w:jc w:val="left"/>
    </w:pPr>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2025-09-23T07:36:00Z</dcterms:created>
  <dc:creator>好好的</dc:creator>
  <cp:lastModifiedBy>好好的</cp:lastModifiedBy>
  <dcterms:modified xsi:type="dcterms:W3CDTF">2025-09-23T07:36:28Z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3EC4CFDF032C4987B00F8B0F5C1CC81D_11</vt:lpwstr>
  </property>
  <property fmtid="{D5CDD505-2E9C-101B-9397-08002B2CF9AE}" pid="4" name="KSOTemplateDocerSaveRecord">
    <vt:lpwstr>eyJoZGlkIjoiNGI5OTM1M2UwMTUxOGI1ZjZmZGRiNjY2YjkzZTljYmIiLCJ1c2VySWQiOiIzMzEzMzk0MDUifQ==</vt:lpwstr>
  </property>
</Properties>
</file>