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bookmarkStart w:id="20" w:name="_GoBack"/>
      <w:bookmarkEnd w:id="20"/>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6"/>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4"/>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pPr>
        <w:widowControl w:val="0"/>
        <w:topLinePunct/>
        <w:spacing w:line="360" w:lineRule="auto"/>
        <w:jc w:val="center"/>
        <w:rPr>
          <w:rFonts w:eastAsia="宋体" w:cs="Tahoma"/>
          <w:sz w:val="36"/>
          <w:szCs w:val="36"/>
        </w:rPr>
      </w:pPr>
    </w:p>
    <w:p>
      <w:pPr>
        <w:pStyle w:val="37"/>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cs="Tahoma" w:asciiTheme="minorHAnsi" w:hAnsiTheme="minorHAnsi"/>
          <w:color w:val="C00000"/>
        </w:rPr>
        <w:t>西安市公安局2025年市局机关（西大街办公区）及驻外单位物业管理服务项目</w:t>
      </w:r>
    </w:p>
    <w:p>
      <w:pPr>
        <w:pStyle w:val="37"/>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XCZX2025-0109-2</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5"/>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2025年9月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20"/>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"_Toc205281597" </w:instrText>
      </w:r>
      <w:r>
        <w:fldChar w:fldCharType="separate"/>
      </w:r>
      <w:r>
        <w:rPr>
          <w:rStyle w:val="32"/>
          <w:rFonts w:hint="eastAsia"/>
        </w:rPr>
        <w:t>第一章　投标邀请函</w:t>
      </w:r>
      <w:r>
        <w:tab/>
      </w:r>
      <w:r>
        <w:fldChar w:fldCharType="begin"/>
      </w:r>
      <w:r>
        <w:instrText xml:space="preserve"> PAGEREF _Toc205281597 \h </w:instrText>
      </w:r>
      <w:r>
        <w:fldChar w:fldCharType="separate"/>
      </w:r>
      <w:r>
        <w:t>1</w:t>
      </w:r>
      <w:r>
        <w:fldChar w:fldCharType="end"/>
      </w:r>
      <w:r>
        <w:fldChar w:fldCharType="end"/>
      </w:r>
    </w:p>
    <w:p>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"_Toc205281598" </w:instrText>
      </w:r>
      <w:r>
        <w:fldChar w:fldCharType="separate"/>
      </w:r>
      <w:r>
        <w:rPr>
          <w:rStyle w:val="32"/>
          <w:rFonts w:hint="eastAsia"/>
        </w:rPr>
        <w:t>第二章　供应商须知</w:t>
      </w:r>
      <w:r>
        <w:tab/>
      </w:r>
      <w:r>
        <w:fldChar w:fldCharType="begin"/>
      </w:r>
      <w:r>
        <w:instrText xml:space="preserve"> PAGEREF _Toc205281598 \h </w:instrText>
      </w:r>
      <w:r>
        <w:fldChar w:fldCharType="separate"/>
      </w:r>
      <w:r>
        <w:t>4</w:t>
      </w:r>
      <w:r>
        <w:fldChar w:fldCharType="end"/>
      </w:r>
      <w:r>
        <w:fldChar w:fldCharType="end"/>
      </w:r>
    </w:p>
    <w:p>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"_Toc205281599" </w:instrText>
      </w:r>
      <w:r>
        <w:fldChar w:fldCharType="separate"/>
      </w:r>
      <w:r>
        <w:rPr>
          <w:rStyle w:val="32"/>
          <w:rFonts w:hint="eastAsia"/>
        </w:rPr>
        <w:t>第三章　招标内容及要求</w:t>
      </w:r>
      <w:r>
        <w:tab/>
      </w:r>
      <w:r>
        <w:fldChar w:fldCharType="begin"/>
      </w:r>
      <w:r>
        <w:instrText xml:space="preserve"> PAGEREF _Toc205281599 \h </w:instrText>
      </w:r>
      <w:r>
        <w:fldChar w:fldCharType="separate"/>
      </w:r>
      <w:r>
        <w:t>36</w:t>
      </w:r>
      <w:r>
        <w:fldChar w:fldCharType="end"/>
      </w:r>
      <w:r>
        <w:fldChar w:fldCharType="end"/>
      </w:r>
    </w:p>
    <w:p>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"_Toc205281600" </w:instrText>
      </w:r>
      <w:r>
        <w:fldChar w:fldCharType="separate"/>
      </w:r>
      <w:r>
        <w:rPr>
          <w:rStyle w:val="32"/>
          <w:rFonts w:hint="eastAsia"/>
        </w:rPr>
        <w:t>第四章　合同文本</w:t>
      </w:r>
      <w:r>
        <w:tab/>
      </w:r>
      <w:r>
        <w:fldChar w:fldCharType="begin"/>
      </w:r>
      <w:r>
        <w:instrText xml:space="preserve"> PAGEREF _Toc205281600 \h </w:instrText>
      </w:r>
      <w:r>
        <w:fldChar w:fldCharType="separate"/>
      </w:r>
      <w:r>
        <w:t>61</w:t>
      </w:r>
      <w:r>
        <w:fldChar w:fldCharType="end"/>
      </w:r>
      <w:r>
        <w:fldChar w:fldCharType="end"/>
      </w:r>
    </w:p>
    <w:p>
      <w:pPr>
        <w:pStyle w:val="20"/>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"_Toc205281601" </w:instrText>
      </w:r>
      <w:r>
        <w:fldChar w:fldCharType="separate"/>
      </w:r>
      <w:r>
        <w:rPr>
          <w:rStyle w:val="32"/>
          <w:rFonts w:hint="eastAsia"/>
        </w:rPr>
        <w:t>第五章　投标文件构成及格式</w:t>
      </w:r>
      <w:r>
        <w:tab/>
      </w:r>
      <w:r>
        <w:fldChar w:fldCharType="begin"/>
      </w:r>
      <w:r>
        <w:instrText xml:space="preserve"> PAGEREF _Toc205281601 \h </w:instrText>
      </w:r>
      <w:r>
        <w:fldChar w:fldCharType="separate"/>
      </w:r>
      <w:r>
        <w:t>65</w:t>
      </w:r>
      <w:r>
        <w:fldChar w:fldCharType="end"/>
      </w:r>
      <w:r>
        <w:fldChar w:fldCharType="end"/>
      </w:r>
    </w:p>
    <w:p>
      <w:pPr>
        <w:pStyle w:val="20"/>
        <w:tabs>
          <w:tab w:val="right" w:leader="dot" w:pos="8890"/>
        </w:tabs>
        <w:spacing w:before="460" w:after="460"/>
        <w:rPr>
          <w:rFonts w:cstheme="minorHAnsi"/>
          <w:sz w:val="36"/>
          <w:szCs w:val="36"/>
        </w:rPr>
      </w:pP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pPr>
        <w:pStyle w:val="2"/>
        <w:spacing w:beforeLines="0" w:afterLines="0"/>
      </w:pPr>
      <w:bookmarkStart w:id="0" w:name="_Toc205281597"/>
      <w:r>
        <w:rPr>
          <w:rFonts w:hint="eastAsia"/>
        </w:rPr>
        <w:t>第一章　投标邀请函</w:t>
      </w:r>
      <w:bookmarkEnd w:id="0"/>
    </w:p>
    <w:p>
      <w:pPr>
        <w:widowControl w:val="0"/>
        <w:topLinePunct/>
        <w:ind w:firstLine="480" w:firstLineChars="200"/>
        <w:jc w:val="both"/>
      </w:pPr>
      <w:r>
        <w:rPr>
          <w:rFonts w:hint="eastAsia"/>
        </w:rPr>
        <w:t>西安市市级单位政府采购中心受</w:t>
      </w:r>
      <w:r>
        <w:rPr>
          <w:rFonts w:hint="eastAsia"/>
          <w:color w:val="C00000"/>
        </w:rPr>
        <w:t>西安市公安局</w:t>
      </w:r>
      <w:r>
        <w:rPr>
          <w:rFonts w:hint="eastAsia"/>
        </w:rPr>
        <w:t>的委托，经政府采购监管部门批准，按照政府采购程序，对</w:t>
      </w:r>
      <w:r>
        <w:rPr>
          <w:rFonts w:hint="eastAsia"/>
          <w:color w:val="C00000"/>
        </w:rPr>
        <w:t>西安市公安局2025年市局机关（西大街办公区）及驻外单位物业管理服务项目</w:t>
      </w:r>
      <w:r>
        <w:rPr>
          <w:rFonts w:hint="eastAsia"/>
        </w:rPr>
        <w:t>进行公开招标，欢迎符合资格条件的、有能力提供本项目所需服务的供应商参加投标。</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r>
        <w:rPr>
          <w:rFonts w:hint="eastAsia"/>
          <w:color w:val="C00000"/>
        </w:rPr>
        <w:t>西安市公安局2025年市局机关（西大街办公区）及驻外单位物业管理服务项目</w:t>
      </w:r>
    </w:p>
    <w:p>
      <w:pPr>
        <w:widowControl w:val="0"/>
        <w:topLinePunct/>
        <w:ind w:firstLine="480" w:firstLineChars="200"/>
        <w:jc w:val="both"/>
      </w:pPr>
      <w:r>
        <w:rPr>
          <w:rFonts w:hint="eastAsia"/>
        </w:rPr>
        <w:t>项目编号：</w:t>
      </w:r>
      <w:r>
        <w:rPr>
          <w:rFonts w:hint="eastAsia"/>
          <w:color w:val="C00000"/>
        </w:rPr>
        <w:t>XCZX2025-0109-2</w:t>
      </w:r>
    </w:p>
    <w:p>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2025-0</w:t>
      </w:r>
      <w:r>
        <w:rPr>
          <w:color w:val="C00000"/>
        </w:rPr>
        <w:t>3387</w:t>
      </w:r>
    </w:p>
    <w:p>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p>
      <w:pPr>
        <w:widowControl w:val="0"/>
        <w:topLinePunct/>
        <w:ind w:firstLine="480" w:firstLineChars="200"/>
        <w:jc w:val="both"/>
        <w:rPr>
          <w:color w:val="C00000"/>
        </w:rPr>
      </w:pPr>
      <w:r>
        <w:rPr>
          <w:rFonts w:hint="eastAsia"/>
          <w:b/>
        </w:rPr>
        <w:t>三、采购预算：</w:t>
      </w:r>
      <w:r>
        <w:rPr>
          <w:rFonts w:hint="eastAsia"/>
          <w:color w:val="C00000"/>
        </w:rPr>
        <w:t>8</w:t>
      </w:r>
      <w:r>
        <w:rPr>
          <w:color w:val="C00000"/>
        </w:rPr>
        <w:t>10.00</w:t>
      </w:r>
      <w:r>
        <w:rPr>
          <w:rFonts w:hint="eastAsia"/>
          <w:color w:val="C00000"/>
        </w:rPr>
        <w:t>万元（最高限价8</w:t>
      </w:r>
      <w:r>
        <w:rPr>
          <w:color w:val="C00000"/>
        </w:rPr>
        <w:t>10.00</w:t>
      </w:r>
      <w:r>
        <w:rPr>
          <w:rFonts w:hint="eastAsia"/>
          <w:color w:val="C00000"/>
        </w:rPr>
        <w:t>万元）</w:t>
      </w:r>
    </w:p>
    <w:p>
      <w:pPr>
        <w:widowControl w:val="0"/>
        <w:topLinePunct/>
        <w:ind w:firstLine="480" w:firstLineChars="200"/>
        <w:jc w:val="both"/>
      </w:pPr>
      <w:r>
        <w:rPr>
          <w:b/>
        </w:rPr>
        <w:t>四、采购</w:t>
      </w:r>
      <w:r>
        <w:rPr>
          <w:rFonts w:hint="eastAsia"/>
          <w:b/>
        </w:rPr>
        <w:t>内容和要求：</w:t>
      </w:r>
    </w:p>
    <w:p>
      <w:pPr>
        <w:widowControl w:val="0"/>
        <w:topLinePunct/>
        <w:ind w:firstLine="480" w:firstLineChars="200"/>
        <w:jc w:val="both"/>
      </w:pPr>
      <w:r>
        <w:rPr>
          <w:rFonts w:hint="eastAsia"/>
        </w:rPr>
        <w:t>详见第三章「招标内容及要求」。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七、获取招标文件的时间及方式：</w:t>
      </w:r>
    </w:p>
    <w:p>
      <w:pPr>
        <w:widowControl w:val="0"/>
        <w:topLinePunct/>
        <w:ind w:firstLine="480" w:firstLineChars="200"/>
        <w:jc w:val="both"/>
      </w:pPr>
      <w:r>
        <w:rPr>
          <w:rFonts w:hint="eastAsia"/>
        </w:rPr>
        <w:t>1．获取时间：自招标公告发布之日起5个工作日内。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2"/>
          <w:rFonts w:hint="eastAsia"/>
        </w:rPr>
        <w:t>http://sxggzyjy.xa.gov.cn/</w:t>
      </w:r>
      <w:r>
        <w:rPr>
          <w:rStyle w:val="32"/>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pPr>
        <w:widowControl w:val="0"/>
        <w:topLinePunct/>
        <w:ind w:firstLine="480" w:firstLineChars="200"/>
        <w:jc w:val="both"/>
        <w:rPr>
          <w:b/>
        </w:rPr>
      </w:pPr>
      <w:r>
        <w:rPr>
          <w:rFonts w:hint="eastAsia"/>
          <w:b/>
        </w:rPr>
        <w:t>八、提交投标文件截止时间及方式：</w:t>
      </w:r>
    </w:p>
    <w:p>
      <w:pPr>
        <w:widowControl w:val="0"/>
        <w:topLinePunct/>
        <w:ind w:firstLine="480" w:firstLineChars="200"/>
        <w:jc w:val="both"/>
      </w:pPr>
      <w:r>
        <w:rPr>
          <w:rFonts w:hint="eastAsia"/>
        </w:rPr>
        <w:t>1．提交投标文件截止时间：2</w:t>
      </w:r>
      <w:r>
        <w:t>025</w:t>
      </w:r>
      <w:r>
        <w:rPr>
          <w:rFonts w:hint="eastAsia"/>
        </w:rPr>
        <w:t>年</w:t>
      </w:r>
      <w:r>
        <w:t>9</w:t>
      </w:r>
      <w:r>
        <w:rPr>
          <w:rFonts w:hint="eastAsia"/>
        </w:rPr>
        <w:t>月</w:t>
      </w:r>
      <w:r>
        <w:t>19</w:t>
      </w:r>
      <w:r>
        <w:rPr>
          <w:rFonts w:hint="eastAsia"/>
        </w:rPr>
        <w:t>日10:30，逾期提交的，系统将拒绝接收。</w:t>
      </w:r>
    </w:p>
    <w:p>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pPr>
        <w:widowControl w:val="0"/>
        <w:topLinePunct/>
        <w:ind w:firstLine="480" w:firstLineChars="200"/>
        <w:jc w:val="both"/>
      </w:pPr>
      <w:r>
        <w:rPr>
          <w:rFonts w:hint="eastAsia"/>
          <w:b/>
        </w:rPr>
        <w:t>九、开标时间、地点及形式：</w:t>
      </w:r>
    </w:p>
    <w:p>
      <w:pPr>
        <w:widowControl w:val="0"/>
        <w:topLinePunct/>
        <w:ind w:firstLine="480" w:firstLineChars="200"/>
        <w:jc w:val="both"/>
      </w:pPr>
      <w:r>
        <w:t>1</w:t>
      </w:r>
      <w:r>
        <w:rPr>
          <w:rFonts w:hint="eastAsia"/>
        </w:rPr>
        <w:t>．开标时间：2</w:t>
      </w:r>
      <w:r>
        <w:t>025</w:t>
      </w:r>
      <w:r>
        <w:rPr>
          <w:rFonts w:hint="eastAsia"/>
        </w:rPr>
        <w:t>年</w:t>
      </w:r>
      <w:r>
        <w:t>9</w:t>
      </w:r>
      <w:r>
        <w:rPr>
          <w:rFonts w:hint="eastAsia"/>
        </w:rPr>
        <w:t>月</w:t>
      </w:r>
      <w:r>
        <w:t>19</w:t>
      </w:r>
      <w:r>
        <w:rPr>
          <w:rFonts w:hint="eastAsia"/>
        </w:rPr>
        <w:t>日10:30</w:t>
      </w:r>
    </w:p>
    <w:p>
      <w:pPr>
        <w:widowControl w:val="0"/>
        <w:topLinePunct/>
        <w:ind w:firstLine="480" w:firstLineChars="200"/>
        <w:jc w:val="both"/>
      </w:pPr>
      <w:r>
        <w:rPr>
          <w:rFonts w:hint="eastAsia"/>
        </w:rPr>
        <w:t>2．</w:t>
      </w:r>
      <w:r>
        <w:t>开标</w:t>
      </w:r>
      <w:r>
        <w:rPr>
          <w:rFonts w:hint="eastAsia"/>
        </w:rPr>
        <w:t>地点：本集采机构虚拟开标室</w:t>
      </w:r>
      <w:r>
        <w:t>4</w:t>
      </w:r>
    </w:p>
    <w:p>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pPr>
      <w:r>
        <w:rPr>
          <w:rFonts w:hint="eastAsia"/>
        </w:rPr>
        <w:t>1．采购人：</w:t>
      </w:r>
      <w:bookmarkStart w:id="1" w:name="OLE_LINK1"/>
      <w:bookmarkStart w:id="2" w:name="OLE_LINK2"/>
      <w:r>
        <w:rPr>
          <w:rFonts w:hint="eastAsia"/>
        </w:rPr>
        <w:t>西安市公安局</w:t>
      </w:r>
      <w:bookmarkEnd w:id="1"/>
      <w:bookmarkEnd w:id="2"/>
    </w:p>
    <w:p>
      <w:pPr>
        <w:widowControl w:val="0"/>
        <w:topLinePunct/>
        <w:ind w:firstLine="480" w:firstLineChars="200"/>
        <w:jc w:val="both"/>
      </w:pPr>
      <w:r>
        <w:rPr>
          <w:rFonts w:hint="eastAsia"/>
        </w:rPr>
        <w:t>地址：西安市莲湖区西大街63号</w:t>
      </w:r>
    </w:p>
    <w:p>
      <w:pPr>
        <w:widowControl w:val="0"/>
        <w:topLinePunct/>
        <w:ind w:firstLine="480" w:firstLineChars="200"/>
        <w:jc w:val="both"/>
      </w:pPr>
      <w:r>
        <w:rPr>
          <w:rFonts w:hint="eastAsia"/>
        </w:rPr>
        <w:t>联系人：张警官</w:t>
      </w:r>
    </w:p>
    <w:p>
      <w:pPr>
        <w:widowControl w:val="0"/>
        <w:topLinePunct/>
        <w:ind w:firstLine="480" w:firstLineChars="200"/>
        <w:jc w:val="both"/>
      </w:pPr>
      <w:r>
        <w:rPr>
          <w:rFonts w:hint="eastAsia"/>
        </w:rPr>
        <w:t>联系电话：0</w:t>
      </w:r>
      <w:r>
        <w:t>29-86751412</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标书联系人及分机号：李老师（</w:t>
      </w:r>
      <w:r>
        <w:t>80858</w:t>
      </w:r>
      <w:r>
        <w:rPr>
          <w:rFonts w:hint="eastAsia"/>
        </w:rPr>
        <w:t>）</w:t>
      </w:r>
    </w:p>
    <w:p>
      <w:pPr>
        <w:widowControl w:val="0"/>
        <w:topLinePunct/>
        <w:ind w:firstLine="480" w:firstLineChars="200"/>
        <w:jc w:val="both"/>
      </w:pPr>
      <w:r>
        <w:rPr>
          <w:rFonts w:hint="eastAsia"/>
        </w:rPr>
        <w:t>开标联系人及分机号：王老师（</w:t>
      </w:r>
      <w:r>
        <w:t>80807</w:t>
      </w:r>
      <w:r>
        <w:rPr>
          <w:rFonts w:hint="eastAsia"/>
        </w:rPr>
        <w:t>）</w:t>
      </w:r>
    </w:p>
    <w:p>
      <w:pPr>
        <w:widowControl w:val="0"/>
        <w:topLinePunct/>
        <w:jc w:val="both"/>
      </w:pPr>
    </w:p>
    <w:p>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pPr>
        <w:pStyle w:val="2"/>
        <w:spacing w:before="230" w:after="230"/>
      </w:pPr>
      <w:bookmarkStart w:id="3" w:name="_Toc534656409"/>
      <w:bookmarkStart w:id="4" w:name="_Toc445407251"/>
      <w:bookmarkStart w:id="5" w:name="_Toc533363235"/>
      <w:bookmarkStart w:id="6" w:name="_Toc498349068"/>
      <w:bookmarkStart w:id="7" w:name="_Toc533363262"/>
      <w:bookmarkStart w:id="8" w:name="_Toc205281598"/>
      <w:bookmarkStart w:id="9" w:name="_Toc97563329"/>
      <w:bookmarkStart w:id="10" w:name="_Toc534656414"/>
      <w:r>
        <w:t>第二章</w:t>
      </w:r>
      <w:r>
        <w:rPr>
          <w:rFonts w:hint="eastAsia"/>
        </w:rPr>
        <w:t>　</w:t>
      </w:r>
      <w:r>
        <w:t>供应商须知</w:t>
      </w:r>
      <w:bookmarkEnd w:id="3"/>
      <w:bookmarkEnd w:id="4"/>
      <w:bookmarkEnd w:id="5"/>
      <w:bookmarkEnd w:id="6"/>
      <w:bookmarkEnd w:id="7"/>
      <w:bookmarkEnd w:id="8"/>
      <w:bookmarkEnd w:id="9"/>
      <w:bookmarkEnd w:id="10"/>
    </w:p>
    <w:p>
      <w:pPr>
        <w:jc w:val="center"/>
        <w:outlineLvl w:val="2"/>
        <w:rPr>
          <w:rFonts w:cstheme="minorHAnsi"/>
        </w:rPr>
      </w:pPr>
      <w:r>
        <w:rPr>
          <w:rFonts w:hint="eastAsia" w:ascii="黑体" w:hAnsi="黑体" w:eastAsia="黑体" w:cstheme="minorHAnsi"/>
          <w:color w:val="0070C0"/>
          <w:sz w:val="32"/>
          <w:szCs w:val="32"/>
        </w:rPr>
        <w:t>『前附表』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西安市公安局2025年市局机关（西大街办公区）及驻外单位物业管理服务项目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XCZX2025-0109-2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rPr>
              <w:t>810.00万元（最高限价810.00万元）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供应商的法定代表人或其授权代表应当持有效身份证件在提交投标文件截止时间前抵达开标现场，并签到确认。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依据工业和信息化部、国家统计局、国家发展和改革委员会、财政部《关于印发中小企业划型标准规定的通知》（工信部联企业〔2011〕300号），本项目物业</w:t>
            </w:r>
            <w:r>
              <w:rPr>
                <w:rFonts w:ascii="Calibri" w:hAnsi="宋体" w:eastAsia="宋体" w:cstheme="minorHAnsi"/>
                <w:sz w:val="21"/>
              </w:rPr>
              <w:t>服务</w:t>
            </w:r>
            <w:r>
              <w:rPr>
                <w:rFonts w:hint="eastAsia" w:ascii="Calibri" w:hAnsi="宋体" w:eastAsia="宋体" w:cstheme="minorHAnsi"/>
                <w:sz w:val="21"/>
              </w:rPr>
              <w:t>对应的中小企业划分标准所属行业为</w:t>
            </w:r>
            <w:r>
              <w:rPr>
                <w:color w:val="7030A0"/>
                <w:sz w:val="21"/>
                <w:szCs w:val="21"/>
                <w:u w:val="single"/>
              </w:rPr>
              <w:t>物业管理</w:t>
            </w:r>
            <w:r>
              <w:rPr>
                <w:rFonts w:hint="eastAsia" w:ascii="Calibri" w:hAnsi="宋体" w:eastAsia="宋体" w:cstheme="minorHAnsi"/>
                <w:sz w:val="21"/>
              </w:rPr>
              <w:t>；餐饮</w:t>
            </w:r>
            <w:r>
              <w:rPr>
                <w:rFonts w:ascii="Calibri" w:hAnsi="宋体" w:eastAsia="宋体" w:cstheme="minorHAnsi"/>
                <w:sz w:val="21"/>
              </w:rPr>
              <w:t>服务</w:t>
            </w:r>
            <w:r>
              <w:rPr>
                <w:rFonts w:hint="eastAsia" w:ascii="Calibri" w:hAnsi="宋体" w:eastAsia="宋体" w:cstheme="minorHAnsi"/>
                <w:sz w:val="21"/>
              </w:rPr>
              <w:t>对应的中小企业划分标准所属行业为</w:t>
            </w:r>
            <w:r>
              <w:rPr>
                <w:rFonts w:hint="eastAsia"/>
                <w:color w:val="7030A0"/>
                <w:sz w:val="21"/>
                <w:szCs w:val="21"/>
                <w:u w:val="single"/>
              </w:rPr>
              <w:t>餐饮业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69"/>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r>
        <w:br w:type="page"/>
      </w:r>
    </w:p>
    <w:p>
      <w:pPr>
        <w:pStyle w:val="3"/>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2"/>
          <w:rFonts w:hint="eastAsia" w:cstheme="minorHAnsi"/>
        </w:rPr>
        <w:t>http</w:t>
      </w:r>
      <w:r>
        <w:rPr>
          <w:rStyle w:val="32"/>
          <w:rFonts w:cstheme="minorHAnsi"/>
        </w:rPr>
        <w:t>://sxggzyjy.xa.gov.cn</w:t>
      </w:r>
      <w:r>
        <w:rPr>
          <w:rStyle w:val="32"/>
          <w:rFonts w:hint="eastAsia" w:cstheme="minorHAnsi"/>
        </w:rPr>
        <w:t>/</w:t>
      </w:r>
      <w:r>
        <w:rPr>
          <w:rStyle w:val="32"/>
          <w:rFonts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2"/>
          <w:rFonts w:cstheme="minorHAnsi"/>
        </w:rPr>
        <w:t>http://www.sxggzyjy.cn:9002/TPBidder/memberLogin</w:t>
      </w:r>
      <w:r>
        <w:rPr>
          <w:rStyle w:val="32"/>
          <w:rFonts w:cstheme="minorHAnsi"/>
        </w:rPr>
        <w:fldChar w:fldCharType="end"/>
      </w:r>
      <w:r>
        <w:rPr>
          <w:rFonts w:hint="eastAsia" w:cstheme="minorHAnsi"/>
        </w:rPr>
        <w:t>。</w:t>
      </w:r>
    </w:p>
    <w:p>
      <w:pPr>
        <w:pStyle w:val="3"/>
        <w:jc w:val="both"/>
      </w:pPr>
      <w:r>
        <w:t>二、供应商注意事项</w:t>
      </w:r>
    </w:p>
    <w:p>
      <w:pPr>
        <w:pStyle w:val="4"/>
        <w:ind w:firstLine="482"/>
        <w:jc w:val="both"/>
      </w:pPr>
      <w:r>
        <w:rPr>
          <w:rFonts w:hint="eastAsia"/>
        </w:rPr>
        <w:t>（一）供应商投</w:t>
      </w:r>
      <w:r>
        <w:rPr>
          <w:rFonts w:hint="eastAsia"/>
          <w:w w:val="1"/>
        </w:rPr>
        <w:t xml:space="preserve"> </w:t>
      </w:r>
      <w:r>
        <w:rPr>
          <w:rFonts w:hint="eastAsia"/>
        </w:rPr>
        <w:t>标流程</w:t>
      </w:r>
    </w:p>
    <w:p>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制作电子投标文件</w:t>
      </w:r>
      <w:r>
        <w:rPr>
          <w:rFonts w:cstheme="minorHAnsi"/>
        </w:rPr>
        <w:t>：详见本章「</w:t>
      </w:r>
      <w:r>
        <w:rPr>
          <w:rFonts w:hint="eastAsia" w:cstheme="minorHAnsi"/>
        </w:rPr>
        <w:t>投标文件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提交电子投标文件</w:t>
      </w:r>
      <w:r>
        <w:rPr>
          <w:rFonts w:cstheme="minorHAnsi"/>
        </w:rPr>
        <w:t>：详见本章「</w:t>
      </w:r>
      <w:r>
        <w:rPr>
          <w:rFonts w:hint="eastAsia" w:cstheme="minorHAnsi"/>
        </w:rPr>
        <w:t>投标文件</w:t>
      </w:r>
      <w:r>
        <w:rPr>
          <w:rFonts w:cstheme="minorHAnsi"/>
        </w:rPr>
        <w:t>」一节相关内容。</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ind w:firstLine="482"/>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2"/>
        </w:rPr>
        <w:t>http://download.ccgp.gov.cn/2018/zhiyihanfanben.zip</w:t>
      </w:r>
      <w:r>
        <w:rPr>
          <w:rStyle w:val="32"/>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2"/>
          <w:rFonts w:cstheme="minorHAnsi"/>
          <w:color w:val="0070C0"/>
        </w:rPr>
        <w:t>http://download.ccgp.gov.cn/2018/tousushufanben.zip</w:t>
      </w:r>
      <w:r>
        <w:rPr>
          <w:rStyle w:val="32"/>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ind w:firstLine="482"/>
      </w:pPr>
      <w:r>
        <w:t>（</w:t>
      </w:r>
      <w:r>
        <w:rPr>
          <w:rFonts w:hint="eastAsia"/>
        </w:rPr>
        <w:t>三</w:t>
      </w:r>
      <w:r>
        <w:t>）</w:t>
      </w:r>
      <w:r>
        <w:rPr>
          <w:rFonts w:hint="eastAsia"/>
        </w:rPr>
        <w:t>关于</w:t>
      </w:r>
      <w:r>
        <w:t>保证金</w:t>
      </w:r>
    </w:p>
    <w:p>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ordWrap w:val="0"/>
        <w:ind w:firstLine="480" w:firstLineChars="200"/>
        <w:jc w:val="both"/>
      </w:pPr>
      <w:r>
        <w:rPr>
          <w:rFonts w:hint="eastAsia"/>
        </w:rPr>
        <w:t>（</w:t>
      </w:r>
      <w:r>
        <w:t>3</w:t>
      </w:r>
      <w:r>
        <w:rPr>
          <w:rFonts w:hint="eastAsia"/>
        </w:rPr>
        <w:t>）采用履约保函形式时应注意以下事项：</w:t>
      </w:r>
    </w:p>
    <w:p>
      <w:pPr>
        <w:wordWrap w:val="0"/>
        <w:ind w:firstLine="480" w:firstLineChars="200"/>
        <w:jc w:val="both"/>
      </w:pPr>
      <w:r>
        <w:rPr>
          <w:rFonts w:hint="eastAsia"/>
        </w:rPr>
        <w:t>① 履约保函的受益人为采购人，供应商未能按合同规定履行其义务时，采购人有权从履约保证金中取得补偿。</w:t>
      </w:r>
    </w:p>
    <w:p>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ind w:firstLine="482"/>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pPr>
        <w:pStyle w:val="4"/>
        <w:ind w:firstLine="482"/>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pPr>
        <w:wordWrap w:val="0"/>
        <w:ind w:firstLine="480" w:firstLineChars="200"/>
        <w:jc w:val="both"/>
        <w:rPr>
          <w:rStyle w:val="32"/>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2"/>
          <w:rFonts w:cstheme="minorHAnsi"/>
          <w:color w:val="0070C0"/>
        </w:rPr>
        <w:t>http://www.ccgp-shaanxi.gov.cn/zcdservice/zcd/shanxi/</w:t>
      </w:r>
    </w:p>
    <w:p>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2"/>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pPr>
        <w:pStyle w:val="4"/>
        <w:ind w:firstLine="482"/>
      </w:pPr>
      <w:r>
        <w:rPr>
          <w:rFonts w:hint="eastAsia"/>
        </w:rPr>
        <w:t>（六）</w:t>
      </w:r>
      <w:r>
        <w:t>关于同一品牌产品的处理</w:t>
      </w:r>
    </w:p>
    <w:p>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pPr>
        <w:pStyle w:val="4"/>
        <w:ind w:firstLine="482"/>
      </w:pPr>
      <w:r>
        <w:t>（七）</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ind w:firstLine="482"/>
      </w:pPr>
      <w:r>
        <w:t>（八）关于信用记录的查询和使用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2"/>
          <w:rFonts w:eastAsiaTheme="majorEastAsia" w:cstheme="minorHAnsi"/>
          <w:color w:val="0070C0"/>
        </w:rPr>
        <w:t>https://www.creditchina.gov.cn</w:t>
      </w:r>
      <w:r>
        <w:rPr>
          <w:rStyle w:val="32"/>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2"/>
          <w:rFonts w:eastAsiaTheme="majorEastAsia" w:cstheme="minorHAnsi"/>
          <w:color w:val="0070C0"/>
        </w:rPr>
        <w:t>http://www.ccgp.gov.cn/</w:t>
      </w:r>
      <w:r>
        <w:rPr>
          <w:rStyle w:val="32"/>
          <w:rFonts w:eastAsiaTheme="majorEastAsia" w:cstheme="minorHAnsi"/>
        </w:rPr>
        <w:t>）</w:t>
      </w:r>
      <w:r>
        <w:rPr>
          <w:rStyle w:val="32"/>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pPr>
      <w:r>
        <w:t>（九）</w:t>
      </w:r>
      <w:r>
        <w:rPr>
          <w:rFonts w:hint="eastAsia"/>
        </w:rPr>
        <w:t>关于现场踏勘和集中答疑</w:t>
      </w:r>
    </w:p>
    <w:p>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pPr>
        <w:pStyle w:val="4"/>
      </w:pPr>
      <w:r>
        <w:t>（十）关于联合体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7．联合体出现下列情形之一的，投标无效：</w:t>
      </w:r>
    </w:p>
    <w:p>
      <w:pPr>
        <w:ind w:firstLine="480" w:firstLineChars="200"/>
        <w:jc w:val="both"/>
      </w:pPr>
      <w:r>
        <w:rPr>
          <w:rFonts w:hint="eastAsia"/>
        </w:rPr>
        <w:t>（1）联合体没有提交有效的联合协议的；</w:t>
      </w:r>
    </w:p>
    <w:p>
      <w:pPr>
        <w:ind w:firstLine="480" w:firstLineChars="200"/>
        <w:jc w:val="both"/>
      </w:pPr>
      <w:r>
        <w:rPr>
          <w:rFonts w:hint="eastAsia"/>
        </w:rPr>
        <w:t>（2）进行资格预审的项目，资格预审后联合体增减、更换成员的；</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ind w:firstLine="482"/>
      </w:pPr>
      <w:r>
        <w:t>（十一）</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pPr>
      <w:r>
        <w:t>三、招标文件</w:t>
      </w:r>
    </w:p>
    <w:p>
      <w:pPr>
        <w:pStyle w:val="4"/>
        <w:ind w:firstLine="482"/>
      </w:pPr>
      <w:r>
        <w:t>（一）招标</w:t>
      </w:r>
      <w:r>
        <w:rPr>
          <w:rFonts w:hint="eastAsia"/>
        </w:rPr>
        <w:t>文件的解释权</w:t>
      </w:r>
    </w:p>
    <w:p>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pPr>
        <w:pStyle w:val="4"/>
        <w:ind w:firstLine="482"/>
      </w:pPr>
      <w:r>
        <w:t>（二）招标文件主要内容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pPr>
        <w:pStyle w:val="4"/>
        <w:ind w:firstLine="482"/>
      </w:pPr>
      <w:r>
        <w:t>（三）招标文件的检查及阅读</w:t>
      </w:r>
    </w:p>
    <w:p>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pPr>
        <w:pStyle w:val="4"/>
        <w:ind w:firstLine="482"/>
      </w:pPr>
      <w:r>
        <w:t>（四）招标文件的修改、澄清</w:t>
      </w:r>
    </w:p>
    <w:p>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2"/>
          <w:color w:val="0070C0"/>
        </w:rPr>
        <w:t>http://www.ccgp-shaanxi.gov.cn/</w:t>
      </w:r>
      <w:r>
        <w:rPr>
          <w:rStyle w:val="32"/>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2"/>
          <w:rFonts w:hint="eastAsia"/>
          <w:color w:val="0070C0"/>
        </w:rPr>
        <w:t>http://</w:t>
      </w:r>
      <w:r>
        <w:rPr>
          <w:rStyle w:val="32"/>
          <w:color w:val="0070C0"/>
        </w:rPr>
        <w:t>sxggzyjy.xa.gov.cn/</w:t>
      </w:r>
      <w:r>
        <w:rPr>
          <w:rStyle w:val="32"/>
          <w:color w:val="0070C0"/>
        </w:rPr>
        <w:fldChar w:fldCharType="end"/>
      </w:r>
      <w:r>
        <w:t>）中的〖首页·〉交易大厅·〉政府采购〗。</w:t>
      </w:r>
    </w:p>
    <w:p>
      <w:pPr>
        <w:pStyle w:val="3"/>
      </w:pPr>
      <w:r>
        <w:t>四、投标文件</w:t>
      </w:r>
    </w:p>
    <w:p>
      <w:pPr>
        <w:pStyle w:val="4"/>
        <w:ind w:firstLine="482"/>
      </w:pPr>
      <w:r>
        <w:rPr>
          <w:rFonts w:hint="eastAsia"/>
        </w:rPr>
        <w:t>（一）投标文件</w:t>
      </w:r>
      <w:r>
        <w:t>的式样</w:t>
      </w:r>
    </w:p>
    <w:p>
      <w:pPr>
        <w:pStyle w:val="82"/>
        <w:ind w:firstLine="480"/>
      </w:pPr>
      <w:r>
        <w:t>1</w:t>
      </w:r>
      <w:r>
        <w:rPr>
          <w:rFonts w:hint="eastAsia"/>
          <w:color w:val="auto"/>
        </w:rPr>
        <w:t>．</w:t>
      </w:r>
      <w:r>
        <w:rPr>
          <w:rFonts w:hint="eastAsia"/>
        </w:rPr>
        <w:t>组成</w:t>
      </w:r>
      <w:r>
        <w:t>及格式</w:t>
      </w:r>
    </w:p>
    <w:p>
      <w:pPr>
        <w:pStyle w:val="82"/>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pPr>
        <w:pStyle w:val="82"/>
        <w:ind w:firstLine="480"/>
      </w:pPr>
      <w:r>
        <w:rPr>
          <w:rFonts w:hint="eastAsia"/>
        </w:rPr>
        <w:t>2</w:t>
      </w:r>
      <w:r>
        <w:rPr>
          <w:rFonts w:hint="eastAsia"/>
          <w:color w:val="auto"/>
        </w:rPr>
        <w:t>．</w:t>
      </w:r>
      <w:r>
        <w:rPr>
          <w:rFonts w:hint="eastAsia"/>
        </w:rPr>
        <w:t>语言</w:t>
      </w:r>
    </w:p>
    <w:p>
      <w:pPr>
        <w:pStyle w:val="82"/>
        <w:ind w:firstLine="480"/>
      </w:pPr>
      <w:r>
        <w:rPr>
          <w:rFonts w:hint="eastAsia"/>
        </w:rPr>
        <w:t>招标活动的所有文件、资料、函电文字均使用简体中文，确需提交用其他语言形成的资料，必须翻译成简体中文，如有差异，以简体中文为准。</w:t>
      </w:r>
    </w:p>
    <w:p>
      <w:pPr>
        <w:pStyle w:val="82"/>
        <w:ind w:firstLine="480"/>
      </w:pPr>
      <w:r>
        <w:rPr>
          <w:rFonts w:hint="eastAsia"/>
        </w:rPr>
        <w:t>3</w:t>
      </w:r>
      <w:r>
        <w:rPr>
          <w:rFonts w:hint="eastAsia"/>
          <w:color w:val="auto"/>
        </w:rPr>
        <w:t>．</w:t>
      </w:r>
      <w:r>
        <w:t>计量单位</w:t>
      </w:r>
    </w:p>
    <w:p>
      <w:pPr>
        <w:pStyle w:val="82"/>
        <w:ind w:firstLine="480"/>
      </w:pPr>
      <w:r>
        <w:rPr>
          <w:rFonts w:hint="eastAsia"/>
        </w:rPr>
        <w:t>投标文件的计量单位应使用中华人民共和国法定计量单位，但招标文件另有规定的除外。</w:t>
      </w:r>
    </w:p>
    <w:p>
      <w:pPr>
        <w:pStyle w:val="4"/>
        <w:ind w:firstLine="482"/>
      </w:pPr>
      <w:r>
        <w:rPr>
          <w:rFonts w:hint="eastAsia"/>
        </w:rPr>
        <w:t>（二）投标文件</w:t>
      </w:r>
      <w:r>
        <w:t>的有效期</w:t>
      </w:r>
    </w:p>
    <w:p>
      <w:pPr>
        <w:pStyle w:val="82"/>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pPr>
        <w:pStyle w:val="4"/>
        <w:ind w:firstLine="482"/>
      </w:pPr>
      <w:r>
        <w:rPr>
          <w:rFonts w:hint="eastAsia"/>
        </w:rPr>
        <w:t>（三）投标</w:t>
      </w:r>
      <w:r>
        <w:t>报价</w:t>
      </w:r>
    </w:p>
    <w:p>
      <w:pPr>
        <w:pStyle w:val="82"/>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82"/>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pPr>
        <w:pStyle w:val="82"/>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pPr>
        <w:pStyle w:val="82"/>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pPr>
        <w:pStyle w:val="82"/>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pPr>
        <w:pStyle w:val="4"/>
        <w:ind w:firstLine="482"/>
      </w:pPr>
      <w:r>
        <w:rPr>
          <w:rFonts w:hint="eastAsia"/>
        </w:rPr>
        <w:t>（四）电子投标文件</w:t>
      </w:r>
      <w:r>
        <w:t>的</w:t>
      </w:r>
      <w:r>
        <w:rPr>
          <w:rFonts w:hint="eastAsia"/>
        </w:rPr>
        <w:t>制作、</w:t>
      </w:r>
      <w:r>
        <w:t>签章及加密</w:t>
      </w:r>
    </w:p>
    <w:p>
      <w:pPr>
        <w:pStyle w:val="82"/>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82"/>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2"/>
          <w:rFonts w:asciiTheme="minorHAnsi" w:hAnsiTheme="minorHAnsi" w:eastAsiaTheme="minorEastAsia"/>
          <w:color w:val="0070C0"/>
        </w:rPr>
        <w:t>http://sxggzyjy.xa.gov.cn/fwzn/004003/20181115/4d59c184-e8f6-4d5a-a416-c2f6b0601e66.html</w:t>
      </w:r>
      <w:r>
        <w:rPr>
          <w:rStyle w:val="32"/>
          <w:rFonts w:asciiTheme="minorHAnsi" w:hAnsiTheme="minorHAnsi" w:eastAsiaTheme="minorEastAsia"/>
          <w:color w:val="0070C0"/>
        </w:rPr>
        <w:fldChar w:fldCharType="end"/>
      </w:r>
    </w:p>
    <w:p>
      <w:pPr>
        <w:pStyle w:val="82"/>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pPr>
        <w:pStyle w:val="82"/>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pPr>
        <w:pStyle w:val="82"/>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2"/>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w:t>
      </w:r>
      <w:r>
        <w:rPr>
          <w:rFonts w:hint="eastAsia"/>
        </w:rPr>
        <w:t>电子化交易系统技术支持</w:t>
      </w:r>
      <w:r>
        <w:t>。</w:t>
      </w:r>
    </w:p>
    <w:p>
      <w:pPr>
        <w:pStyle w:val="82"/>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pPr>
        <w:pStyle w:val="4"/>
        <w:ind w:firstLine="482"/>
      </w:pPr>
      <w:r>
        <w:rPr>
          <w:rFonts w:hint="eastAsia"/>
        </w:rPr>
        <w:t>（五）电子投标文件</w:t>
      </w:r>
      <w:r>
        <w:t>的提交</w:t>
      </w:r>
    </w:p>
    <w:p>
      <w:pPr>
        <w:pStyle w:val="82"/>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pPr>
        <w:pStyle w:val="82"/>
        <w:ind w:firstLine="480"/>
      </w:pPr>
      <w:r>
        <w:t>出现下述情形的，电子投标文件将被系统拒收：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逾期提交电子投标文件的；</w:t>
      </w:r>
    </w:p>
    <w:p>
      <w:pPr>
        <w:pStyle w:val="82"/>
        <w:ind w:firstLine="480"/>
      </w:pPr>
      <w:r>
        <w:t>3</w:t>
      </w:r>
      <w:r>
        <w:rPr>
          <w:rFonts w:hint="eastAsia"/>
        </w:rPr>
        <w:t>．使用旧版电子招标文件制作电子投标文件的。</w:t>
      </w:r>
    </w:p>
    <w:p>
      <w:pPr>
        <w:pStyle w:val="4"/>
        <w:ind w:firstLine="482"/>
      </w:pPr>
      <w:r>
        <w:t>（</w:t>
      </w:r>
      <w:r>
        <w:rPr>
          <w:rFonts w:hint="eastAsia"/>
        </w:rPr>
        <w:t>六</w:t>
      </w:r>
      <w:r>
        <w:t>）电子</w:t>
      </w:r>
      <w:r>
        <w:rPr>
          <w:rFonts w:hint="eastAsia"/>
        </w:rPr>
        <w:t>投标</w:t>
      </w:r>
      <w:r>
        <w:t>文件的撤回、补充及修改</w:t>
      </w:r>
    </w:p>
    <w:p>
      <w:pPr>
        <w:pStyle w:val="82"/>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pPr>
        <w:pStyle w:val="82"/>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pPr>
        <w:pStyle w:val="4"/>
        <w:ind w:firstLine="482"/>
      </w:pPr>
      <w:r>
        <w:rPr>
          <w:rFonts w:hint="eastAsia"/>
        </w:rPr>
        <w:t>（七）关于电子投标文件的雷同性分析</w:t>
      </w:r>
    </w:p>
    <w:p>
      <w:pPr>
        <w:pStyle w:val="82"/>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pPr>
        <w:pStyle w:val="82"/>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82"/>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pPr>
        <w:pStyle w:val="82"/>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pPr>
        <w:pStyle w:val="4"/>
        <w:ind w:firstLine="482"/>
      </w:pPr>
      <w:r>
        <w:rPr>
          <w:rFonts w:hint="eastAsia"/>
        </w:rPr>
        <w:t>（八）投标文件出现下列情形时，视同供应商串通投标，其投标无效：</w:t>
      </w:r>
    </w:p>
    <w:p>
      <w:pPr>
        <w:pStyle w:val="82"/>
        <w:ind w:firstLine="480"/>
      </w:pPr>
      <w:r>
        <w:rPr>
          <w:rFonts w:hint="eastAsia"/>
        </w:rPr>
        <w:t>1．不同供应商的投标文件由同一单位或者个人编制的；</w:t>
      </w:r>
    </w:p>
    <w:p>
      <w:pPr>
        <w:pStyle w:val="82"/>
        <w:ind w:firstLine="480"/>
      </w:pPr>
      <w:r>
        <w:rPr>
          <w:rFonts w:hint="eastAsia"/>
        </w:rPr>
        <w:t>2．不同供应商委托同一单位或者个人办理投标事宜的；</w:t>
      </w:r>
    </w:p>
    <w:p>
      <w:pPr>
        <w:pStyle w:val="82"/>
        <w:ind w:firstLine="480"/>
      </w:pPr>
      <w:r>
        <w:rPr>
          <w:rFonts w:hint="eastAsia"/>
        </w:rPr>
        <w:t>3．不同供应商的投标文件载明的项目管理成员或者联系人员为同一人的；</w:t>
      </w:r>
    </w:p>
    <w:p>
      <w:pPr>
        <w:pStyle w:val="82"/>
        <w:ind w:firstLine="480"/>
      </w:pPr>
      <w:r>
        <w:rPr>
          <w:rFonts w:hint="eastAsia"/>
        </w:rPr>
        <w:t>4．不同供应商的投标文件异常一致或者投标报价呈规律性差异的。</w:t>
      </w:r>
    </w:p>
    <w:p>
      <w:pPr>
        <w:pStyle w:val="82"/>
        <w:ind w:firstLine="480"/>
      </w:pPr>
      <w:r>
        <w:rPr>
          <w:rFonts w:hint="eastAsia"/>
        </w:rPr>
        <w:t>5．不同供应商的投标文件相互混编或混装的。</w:t>
      </w:r>
    </w:p>
    <w:p>
      <w:pPr>
        <w:pStyle w:val="3"/>
      </w:pPr>
      <w:r>
        <w:rPr>
          <w:rFonts w:hint="eastAsia"/>
        </w:rPr>
        <w:t>五</w:t>
      </w:r>
      <w:r>
        <w:t>、开标</w:t>
      </w:r>
      <w:r>
        <w:rPr>
          <w:rFonts w:hint="eastAsia"/>
        </w:rPr>
        <w:t>程序</w:t>
      </w:r>
    </w:p>
    <w:p>
      <w:pPr>
        <w:pStyle w:val="82"/>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pPr>
        <w:pStyle w:val="82"/>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82"/>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2"/>
          <w:rFonts w:hint="eastAsia"/>
          <w:color w:val="0070C0"/>
        </w:rPr>
        <w:t>http://sxggzyjy.xa.gov.cn/fwzn/004003/20200426/bc8b2c1e-abe2-4168-913c-68ff93345faf.html</w:t>
      </w:r>
      <w:r>
        <w:rPr>
          <w:rStyle w:val="32"/>
          <w:rFonts w:hint="eastAsia"/>
          <w:color w:val="0070C0"/>
        </w:rPr>
        <w:fldChar w:fldCharType="end"/>
      </w:r>
    </w:p>
    <w:p>
      <w:pPr>
        <w:pStyle w:val="4"/>
        <w:ind w:firstLine="482"/>
      </w:pPr>
      <w:r>
        <w:rPr>
          <w:rFonts w:hint="eastAsia"/>
        </w:rPr>
        <w:t>（一）基本流程</w:t>
      </w:r>
    </w:p>
    <w:p>
      <w:pPr>
        <w:pStyle w:val="82"/>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pPr>
        <w:pStyle w:val="82"/>
        <w:ind w:firstLine="480"/>
      </w:pPr>
      <w:r>
        <w:rPr>
          <w:rFonts w:hint="eastAsia"/>
        </w:rPr>
        <w:t>2</w:t>
      </w:r>
      <w:r>
        <w:rPr>
          <w:rFonts w:hint="eastAsia"/>
          <w:color w:val="auto"/>
        </w:rPr>
        <w:t>．</w:t>
      </w:r>
      <w:r>
        <w:rPr>
          <w:rFonts w:hint="eastAsia"/>
        </w:rPr>
        <w:t>主持人宣布开标：提交投标文件截止时间过后，系统将不再接收任何投标文件。</w:t>
      </w:r>
    </w:p>
    <w:p>
      <w:pPr>
        <w:pStyle w:val="82"/>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pPr>
        <w:pStyle w:val="82"/>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pPr>
        <w:pStyle w:val="82"/>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pPr>
        <w:pStyle w:val="4"/>
        <w:ind w:firstLine="480" w:firstLineChars="200"/>
      </w:pPr>
      <w:r>
        <w:rPr>
          <w:rFonts w:hint="eastAsia"/>
        </w:rPr>
        <w:t>（二）开标环节出现以下情形之一的，投标文件将被视为无效：</w:t>
      </w:r>
    </w:p>
    <w:p>
      <w:pPr>
        <w:pStyle w:val="82"/>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pPr>
        <w:pStyle w:val="82"/>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pPr>
        <w:pStyle w:val="82"/>
        <w:ind w:firstLine="480"/>
        <w:rPr>
          <w:color w:val="auto"/>
        </w:rPr>
      </w:pPr>
      <w:r>
        <w:rPr>
          <w:rFonts w:hint="eastAsia"/>
          <w:color w:val="auto"/>
        </w:rPr>
        <w:t>3．上传</w:t>
      </w:r>
      <w:r>
        <w:rPr>
          <w:color w:val="auto"/>
        </w:rPr>
        <w:t>的电子投标文件无法正常打开的；</w:t>
      </w:r>
    </w:p>
    <w:p>
      <w:pPr>
        <w:pStyle w:val="82"/>
        <w:ind w:firstLine="480"/>
        <w:rPr>
          <w:color w:val="auto"/>
        </w:rPr>
      </w:pPr>
      <w:r>
        <w:rPr>
          <w:rFonts w:hint="eastAsia"/>
          <w:color w:val="auto"/>
        </w:rPr>
        <w:t>4．</w:t>
      </w:r>
      <w:r>
        <w:rPr>
          <w:color w:val="auto"/>
        </w:rPr>
        <w:t>政府采购法律法规规定的其他无效情形。</w:t>
      </w:r>
    </w:p>
    <w:p>
      <w:pPr>
        <w:pStyle w:val="4"/>
        <w:ind w:firstLine="482"/>
      </w:pPr>
      <w:r>
        <w:rPr>
          <w:rFonts w:hint="eastAsia"/>
        </w:rPr>
        <w:t>（</w:t>
      </w:r>
      <w:r>
        <w:t>三</w:t>
      </w:r>
      <w:r>
        <w:rPr>
          <w:rFonts w:hint="eastAsia"/>
        </w:rPr>
        <w:t>）突发状况的应急处置</w:t>
      </w:r>
    </w:p>
    <w:p>
      <w:pPr>
        <w:pStyle w:val="82"/>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pPr>
        <w:pStyle w:val="3"/>
      </w:pPr>
      <w:r>
        <w:t>六、资格审查</w:t>
      </w:r>
    </w:p>
    <w:p>
      <w:pPr>
        <w:pStyle w:val="82"/>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pPr>
        <w:pStyle w:val="82"/>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pPr>
        <w:pStyle w:val="82"/>
        <w:ind w:firstLine="480"/>
      </w:pPr>
      <w:r>
        <w:rPr>
          <w:rFonts w:hint="eastAsia"/>
        </w:rPr>
        <w:t>（1）不具备招标文件中规定的资格要求的；</w:t>
      </w:r>
    </w:p>
    <w:p>
      <w:pPr>
        <w:pStyle w:val="82"/>
        <w:ind w:firstLine="480"/>
      </w:pPr>
      <w:r>
        <w:rPr>
          <w:rFonts w:hint="eastAsia"/>
        </w:rPr>
        <w:t>（2）未按招标文件要求提供资格证明文件，或资格证明文件未按招标文件要求签字、盖章的；</w:t>
      </w:r>
    </w:p>
    <w:p>
      <w:pPr>
        <w:pStyle w:val="82"/>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pPr>
        <w:pStyle w:val="82"/>
        <w:ind w:firstLine="480"/>
      </w:pPr>
      <w:r>
        <w:rPr>
          <w:rFonts w:hint="eastAsia"/>
        </w:rPr>
        <w:t>（4）法律法规规定的其他无效情形。</w:t>
      </w:r>
    </w:p>
    <w:p>
      <w:pPr>
        <w:pStyle w:val="82"/>
        <w:ind w:firstLine="480"/>
      </w:pPr>
      <w:r>
        <w:t>资格审查结束后，资格审查小组成员应当对审查结果进行签字确认；</w:t>
      </w:r>
      <w:r>
        <w:rPr>
          <w:rFonts w:hint="eastAsia"/>
        </w:rPr>
        <w:t>对未通过资格审查的供应商，资格审查小组应</w:t>
      </w:r>
      <w:r>
        <w:t>当场告知其未通过的原因。</w:t>
      </w:r>
    </w:p>
    <w:p>
      <w:pPr>
        <w:pStyle w:val="82"/>
        <w:ind w:firstLine="480"/>
      </w:pPr>
      <w:r>
        <w:t>合格供应商不足3家的，</w:t>
      </w:r>
      <w:r>
        <w:rPr>
          <w:rFonts w:hint="eastAsia"/>
        </w:rPr>
        <w:t>应予以废标。</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5"/>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7</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联合协议书</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以联合体形式参加的，提供联合协议书。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w:t>
            </w:r>
          </w:p>
        </w:tc>
        <w:tc>
          <w:tcPr>
            <w:tcW w:w="5846" w:type="dxa"/>
            <w:vAlign w:val="center"/>
          </w:tcPr>
          <w:p>
            <w:pPr>
              <w:spacing w:line="400" w:lineRule="exact"/>
              <w:jc w:val="both"/>
              <w:rPr>
                <w:rFonts w:ascii="Calibri" w:hAnsi="宋体" w:eastAsia="宋体" w:cstheme="minorHAnsi"/>
                <w:bCs/>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保安服务</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（1）自行招用保安员的供应商，出具承诺书（承诺书形式不限），承诺自承接本项目之日起30日内向采购人所在地设区的市级人民政府公安机关备案。</w:t>
            </w:r>
          </w:p>
          <w:p>
            <w:pPr>
              <w:spacing w:line="400" w:lineRule="exact"/>
              <w:jc w:val="both"/>
              <w:rPr>
                <w:rFonts w:ascii="Calibri" w:hAnsi="宋体" w:eastAsia="宋体" w:cstheme="minorHAnsi"/>
                <w:bCs/>
                <w:sz w:val="21"/>
              </w:rPr>
            </w:pPr>
            <w:r>
              <w:rPr>
                <w:rFonts w:hint="eastAsia" w:ascii="Calibri" w:hAnsi="宋体" w:eastAsia="宋体" w:cstheme="minorHAnsi"/>
                <w:bCs/>
                <w:sz w:val="21"/>
              </w:rPr>
              <w:t>（2）从保安服务公司购买保安服务的供应商，提供该</w:t>
            </w:r>
            <w:r>
              <w:rPr>
                <w:rFonts w:ascii="Calibri" w:hAnsi="宋体" w:eastAsia="宋体" w:cstheme="minorHAnsi"/>
                <w:bCs/>
                <w:sz w:val="21"/>
              </w:rPr>
              <w:t>保安公司的《</w:t>
            </w:r>
            <w:r>
              <w:rPr>
                <w:rFonts w:hint="eastAsia" w:ascii="Calibri" w:hAnsi="宋体" w:eastAsia="宋体" w:cstheme="minorHAnsi"/>
                <w:bCs/>
                <w:sz w:val="21"/>
              </w:rPr>
              <w:t>保安服务</w:t>
            </w:r>
            <w:r>
              <w:rPr>
                <w:rFonts w:ascii="Calibri" w:hAnsi="宋体" w:eastAsia="宋体" w:cstheme="minorHAnsi"/>
                <w:bCs/>
                <w:sz w:val="21"/>
              </w:rPr>
              <w:t>许可证》</w:t>
            </w:r>
            <w:r>
              <w:rPr>
                <w:rFonts w:hint="eastAsia" w:ascii="Calibri" w:hAnsi="宋体" w:eastAsia="宋体" w:cstheme="minorHAnsi"/>
                <w:bCs/>
                <w:sz w:val="21"/>
              </w:rPr>
              <w:t>及供应商与保安服务公司签订的保安服务合同，明确规定服务的项目、内容以及双方的权利义务。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ascii="Calibri" w:hAnsi="宋体" w:eastAsia="宋体" w:cstheme="minorHAnsi"/>
                <w:bCs/>
                <w:sz w:val="21"/>
              </w:rPr>
              <w:t>食品经营许可证</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有效的《食品经营许可证》（经营项目应至少包含餐饮服务管理）。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6．</w:t>
            </w:r>
            <w:r>
              <w:rPr>
                <w:rFonts w:hint="eastAsia" w:ascii="Calibri" w:hAnsi="宋体" w:eastAsia="宋体" w:cstheme="minorHAnsi"/>
                <w:bCs/>
                <w:sz w:val="21"/>
              </w:rPr>
              <w:t>以联合体形式参加政府采购活动的，联合体各方均应具备基本资格条件前五项要求，第六项要求由牵头方填写。对于特定资格条件，按照联合协议承担特定工作的供应商应具备对应的资质；联合体中有同类资质的供应商按照联合体分工承担相同工作的，按照资质等级较低的供应商确定资质等级。</w:t>
            </w:r>
          </w:p>
        </w:tc>
      </w:tr>
    </w:tbl>
    <w:p>
      <w:pPr>
        <w:pStyle w:val="3"/>
      </w:pPr>
      <w:r>
        <w:t>七、评审方法和程序</w:t>
      </w:r>
    </w:p>
    <w:p>
      <w:pPr>
        <w:pStyle w:val="4"/>
        <w:ind w:firstLine="482"/>
      </w:pPr>
      <w:r>
        <w:t>（一）评标方法</w:t>
      </w:r>
    </w:p>
    <w:p>
      <w:pPr>
        <w:pStyle w:val="82"/>
        <w:ind w:firstLine="480"/>
      </w:pPr>
      <w:r>
        <w:t>本项目采用</w:t>
      </w:r>
      <w:r>
        <w:rPr>
          <w:color w:val="C00000"/>
        </w:rPr>
        <w:t>综合评分法</w:t>
      </w:r>
      <w:r>
        <w:rPr>
          <w:rFonts w:hint="eastAsia"/>
          <w:color w:val="C00000"/>
        </w:rPr>
        <w:t>。</w:t>
      </w:r>
    </w:p>
    <w:p>
      <w:pPr>
        <w:pStyle w:val="82"/>
        <w:ind w:firstLine="480"/>
      </w:pPr>
      <w:r>
        <w:rPr>
          <w:rFonts w:hint="eastAsia"/>
        </w:rPr>
        <w:t>评标方法分为最低评标价法和综合评分法。</w:t>
      </w:r>
    </w:p>
    <w:p>
      <w:pPr>
        <w:pStyle w:val="82"/>
        <w:ind w:firstLine="480"/>
      </w:pPr>
      <w:r>
        <w:rPr>
          <w:rFonts w:hint="eastAsia"/>
        </w:rPr>
        <w:t>1、最低评标价法，是指投标文件满足招标文件全部实质性要求，且投标报价最低的供应商为中标候选人的评标方法。</w:t>
      </w:r>
    </w:p>
    <w:p>
      <w:pPr>
        <w:pStyle w:val="82"/>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pPr>
        <w:pStyle w:val="4"/>
        <w:ind w:firstLine="482"/>
      </w:pPr>
      <w:r>
        <w:t>（二）评标形式</w:t>
      </w:r>
    </w:p>
    <w:p>
      <w:pPr>
        <w:pStyle w:val="82"/>
        <w:ind w:firstLine="480"/>
      </w:pPr>
      <w:r>
        <w:rPr>
          <w:rFonts w:hint="eastAsia"/>
        </w:rPr>
        <w:t>1．关于技术标“暗标盲评”</w:t>
      </w:r>
    </w:p>
    <w:p>
      <w:pPr>
        <w:pStyle w:val="82"/>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pPr>
        <w:pStyle w:val="82"/>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pPr>
        <w:pStyle w:val="82"/>
        <w:ind w:firstLine="480"/>
      </w:pPr>
      <w:r>
        <w:rPr>
          <w:rFonts w:hint="eastAsia"/>
        </w:rPr>
        <w:t>2．“暗标盲评部分”编制要求</w:t>
      </w:r>
    </w:p>
    <w:p>
      <w:pPr>
        <w:pStyle w:val="82"/>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pPr>
        <w:pStyle w:val="82"/>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pPr>
        <w:pStyle w:val="82"/>
        <w:ind w:firstLine="480"/>
        <w:rPr>
          <w:color w:val="C00000"/>
        </w:rPr>
      </w:pPr>
      <w:r>
        <w:rPr>
          <w:rFonts w:hint="eastAsia"/>
          <w:color w:val="C00000"/>
        </w:rPr>
        <w:t>（2）签章要求：暗标部分不得进行签章。</w:t>
      </w:r>
    </w:p>
    <w:p>
      <w:pPr>
        <w:pStyle w:val="82"/>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pPr>
        <w:pStyle w:val="4"/>
        <w:ind w:firstLine="482"/>
      </w:pPr>
      <w:r>
        <w:t>（三）评标程序</w:t>
      </w:r>
    </w:p>
    <w:p>
      <w:pPr>
        <w:pStyle w:val="82"/>
        <w:ind w:firstLine="482"/>
        <w:rPr>
          <w:b/>
        </w:rPr>
      </w:pPr>
      <w:r>
        <w:rPr>
          <w:rFonts w:hint="eastAsia"/>
          <w:b/>
        </w:rPr>
        <w:t>1</w:t>
      </w:r>
      <w:r>
        <w:rPr>
          <w:rFonts w:hint="eastAsia"/>
          <w:b/>
          <w:color w:val="auto"/>
        </w:rPr>
        <w:t>．</w:t>
      </w:r>
      <w:r>
        <w:rPr>
          <w:rFonts w:hint="eastAsia"/>
          <w:b/>
        </w:rPr>
        <w:t>组建评标委员会</w:t>
      </w:r>
    </w:p>
    <w:p>
      <w:pPr>
        <w:pStyle w:val="82"/>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pPr>
        <w:pStyle w:val="82"/>
        <w:ind w:firstLine="480"/>
      </w:pPr>
      <w:r>
        <w:rPr>
          <w:rFonts w:hint="eastAsia"/>
        </w:rPr>
        <w:t>由采购代理机构组织评标委员会推选评标组长，采购人代表不得担任组长。</w:t>
      </w:r>
    </w:p>
    <w:p>
      <w:pPr>
        <w:pStyle w:val="82"/>
        <w:ind w:firstLine="482"/>
        <w:rPr>
          <w:b/>
        </w:rPr>
      </w:pPr>
      <w:r>
        <w:rPr>
          <w:rFonts w:hint="eastAsia"/>
          <w:b/>
        </w:rPr>
        <w:t>2</w:t>
      </w:r>
      <w:r>
        <w:rPr>
          <w:rFonts w:hint="eastAsia"/>
          <w:b/>
          <w:color w:val="auto"/>
        </w:rPr>
        <w:t>．</w:t>
      </w:r>
      <w:r>
        <w:rPr>
          <w:b/>
        </w:rPr>
        <w:t>投标文件的符合性审查</w:t>
      </w:r>
    </w:p>
    <w:p>
      <w:pPr>
        <w:pStyle w:val="82"/>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pPr>
        <w:pStyle w:val="82"/>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5"/>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rPr>
              <w:t>注意：暗标部分不得进行签章</w:t>
            </w:r>
            <w:r>
              <w:rPr>
                <w:rFonts w:ascii="Calibri" w:hAnsi="宋体" w:eastAsia="宋体" w:cstheme="minorHAnsi"/>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11</w:t>
            </w:r>
          </w:p>
        </w:tc>
        <w:tc>
          <w:tcPr>
            <w:tcW w:w="2141"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保密承诺书</w:t>
            </w:r>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完全理解并响应招标文件第</w:t>
            </w:r>
            <w:r>
              <w:rPr>
                <w:rFonts w:ascii="Calibri" w:hAnsi="宋体" w:eastAsia="宋体" w:cstheme="minorHAnsi"/>
                <w:sz w:val="21"/>
                <w:szCs w:val="21"/>
              </w:rPr>
              <w:t>五章</w:t>
            </w:r>
            <w:r>
              <w:rPr>
                <w:rFonts w:hint="eastAsia" w:ascii="Calibri" w:hAnsi="宋体" w:eastAsia="宋体" w:cstheme="minorHAnsi"/>
                <w:sz w:val="21"/>
                <w:szCs w:val="21"/>
              </w:rPr>
              <w:t xml:space="preserve"> “3</w:t>
            </w:r>
            <w:r>
              <w:rPr>
                <w:rFonts w:ascii="Calibri" w:hAnsi="宋体" w:eastAsia="宋体" w:cstheme="minorHAnsi"/>
                <w:sz w:val="21"/>
                <w:szCs w:val="21"/>
              </w:rPr>
              <w:t>.</w:t>
            </w:r>
            <w:r>
              <w:rPr>
                <w:rFonts w:hint="eastAsia" w:ascii="Calibri" w:hAnsi="宋体" w:eastAsia="宋体" w:cstheme="minorHAnsi"/>
                <w:sz w:val="21"/>
                <w:szCs w:val="21"/>
              </w:rPr>
              <w:t>保密承诺</w:t>
            </w:r>
            <w:r>
              <w:rPr>
                <w:rFonts w:ascii="Calibri" w:hAnsi="宋体" w:eastAsia="宋体" w:cstheme="minorHAnsi"/>
                <w:sz w:val="21"/>
                <w:szCs w:val="21"/>
              </w:rPr>
              <w:t>书</w:t>
            </w:r>
            <w:r>
              <w:rPr>
                <w:rFonts w:hint="eastAsia" w:ascii="Calibri" w:hAnsi="宋体" w:eastAsia="宋体" w:cstheme="minorHAnsi"/>
                <w:sz w:val="21"/>
                <w:szCs w:val="21"/>
              </w:rPr>
              <w:t>”要求，提供内容完备并按要求</w:t>
            </w:r>
            <w:r>
              <w:rPr>
                <w:rFonts w:ascii="Calibri" w:hAnsi="宋体" w:eastAsia="宋体" w:cstheme="minorHAnsi"/>
                <w:sz w:val="21"/>
                <w:szCs w:val="21"/>
              </w:rPr>
              <w:t>签</w:t>
            </w:r>
            <w:r>
              <w:rPr>
                <w:rFonts w:hint="eastAsia" w:ascii="Calibri" w:hAnsi="宋体" w:eastAsia="宋体" w:cstheme="minorHAnsi"/>
                <w:sz w:val="21"/>
                <w:szCs w:val="21"/>
              </w:rPr>
              <w:t>章的《保密承诺书》文件。</w:t>
            </w:r>
          </w:p>
        </w:tc>
      </w:tr>
    </w:tbl>
    <w:p>
      <w:pPr>
        <w:pStyle w:val="82"/>
        <w:ind w:firstLine="482"/>
        <w:rPr>
          <w:b/>
        </w:rPr>
      </w:pPr>
      <w:r>
        <w:rPr>
          <w:b/>
        </w:rPr>
        <w:t>3</w:t>
      </w:r>
      <w:r>
        <w:rPr>
          <w:rFonts w:hint="eastAsia"/>
          <w:b/>
          <w:color w:val="auto"/>
        </w:rPr>
        <w:t>．投标</w:t>
      </w:r>
      <w:r>
        <w:rPr>
          <w:rFonts w:hint="eastAsia"/>
          <w:b/>
        </w:rPr>
        <w:t>文件的澄清</w:t>
      </w:r>
    </w:p>
    <w:p>
      <w:pPr>
        <w:pStyle w:val="82"/>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pPr>
        <w:pStyle w:val="82"/>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pPr>
        <w:pStyle w:val="82"/>
        <w:ind w:firstLine="482"/>
        <w:rPr>
          <w:b/>
        </w:rPr>
      </w:pPr>
      <w:r>
        <w:rPr>
          <w:rFonts w:hint="eastAsia"/>
          <w:b/>
        </w:rPr>
        <w:t>4．</w:t>
      </w:r>
      <w:r>
        <w:rPr>
          <w:b/>
        </w:rPr>
        <w:t>综合比较与评价</w:t>
      </w:r>
    </w:p>
    <w:p>
      <w:pPr>
        <w:pStyle w:val="82"/>
        <w:ind w:firstLine="480"/>
      </w:pPr>
      <w:r>
        <w:rPr>
          <w:rFonts w:hint="eastAsia"/>
        </w:rPr>
        <w:t>采用最低评标价法的，评标委员会对通过符合性审查的投标文件的投标报价由低到高顺序排列。</w:t>
      </w:r>
    </w:p>
    <w:p>
      <w:pPr>
        <w:pStyle w:val="82"/>
        <w:ind w:firstLine="480"/>
      </w:pPr>
      <w:r>
        <w:rPr>
          <w:rFonts w:hint="eastAsia"/>
        </w:rPr>
        <w:t>采用综合评分法的，</w:t>
      </w:r>
      <w:r>
        <w:t>评标委员会按「评审要素及分值一览表」中规定的评标方法和标准，对通过符合性审查的投标文件进行商务和技术评估，综合比较与评价。</w:t>
      </w:r>
    </w:p>
    <w:p>
      <w:pPr>
        <w:pStyle w:val="82"/>
        <w:ind w:firstLine="480"/>
        <w:rPr>
          <w:color w:val="C00000"/>
        </w:rPr>
      </w:pPr>
      <w:r>
        <w:rPr>
          <w:color w:val="C00000"/>
        </w:rPr>
        <w:t>出现下列情形的，供应商投标无效：</w:t>
      </w:r>
    </w:p>
    <w:p>
      <w:pPr>
        <w:pStyle w:val="82"/>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hint="eastAsia" w:ascii="华文仿宋" w:hAnsi="华文仿宋" w:cs="华文仿宋"/>
          <w:color w:val="C00000"/>
        </w:rPr>
        <w:t>通过电子交易平台或电子邮件等形式</w:t>
      </w:r>
      <w:r>
        <w:rPr>
          <w:color w:val="C00000"/>
        </w:rPr>
        <w:t>提供书面说明</w:t>
      </w:r>
      <w:r>
        <w:rPr>
          <w:rFonts w:hint="eastAsia" w:ascii="华文仿宋" w:hAnsi="华文仿宋" w:cs="华文仿宋"/>
          <w:color w:val="C00000"/>
        </w:rPr>
        <w:t>（必要时提交相关证明材料）</w:t>
      </w:r>
      <w:r>
        <w:rPr>
          <w:color w:val="C00000"/>
        </w:rPr>
        <w:t>，供应商不能证明其报价合理性的。</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5"/>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5692"/>
        <w:gridCol w:w="153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总分值</w:t>
            </w:r>
          </w:p>
        </w:tc>
        <w:tc>
          <w:tcPr>
            <w:tcW w:w="5692"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ind w:firstLine="420" w:firstLineChars="200"/>
              <w:jc w:val="center"/>
              <w:rPr>
                <w:rFonts w:asciiTheme="minorEastAsia" w:hAnsiTheme="minorEastAsia" w:cstheme="minorHAnsi"/>
                <w:b/>
                <w:bCs/>
                <w:sz w:val="21"/>
                <w:szCs w:val="21"/>
              </w:rPr>
            </w:pPr>
            <w:r>
              <w:rPr>
                <w:rFonts w:hint="eastAsia" w:asciiTheme="minorEastAsia" w:hAnsiTheme="minorEastAsia" w:cstheme="minorHAnsi"/>
                <w:b/>
                <w:bCs/>
                <w:sz w:val="21"/>
                <w:szCs w:val="21"/>
              </w:rPr>
              <w:t>评审</w:t>
            </w:r>
            <w:r>
              <w:rPr>
                <w:rFonts w:asciiTheme="minorEastAsia" w:hAnsiTheme="minorEastAsia" w:cstheme="minorHAnsi"/>
                <w:b/>
                <w:bCs/>
                <w:sz w:val="21"/>
                <w:szCs w:val="21"/>
              </w:rPr>
              <w:t>要素</w:t>
            </w:r>
          </w:p>
        </w:tc>
        <w:tc>
          <w:tcPr>
            <w:tcW w:w="1535"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Theme="minorEastAsia" w:hAnsiTheme="minorEastAsia"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Theme="minorEastAsia" w:hAnsiTheme="minorEastAsia" w:cstheme="minorHAnsi"/>
                <w:b/>
                <w:bCs/>
                <w:sz w:val="21"/>
                <w:szCs w:val="21"/>
              </w:rPr>
            </w:pPr>
            <w:r>
              <w:rPr>
                <w:rFonts w:asciiTheme="minorEastAsia" w:hAnsiTheme="minorEastAsia" w:cstheme="minorHAnsi"/>
                <w:b/>
                <w:bCs/>
                <w:sz w:val="21"/>
                <w:szCs w:val="21"/>
              </w:rPr>
              <w:t>分项最高分值</w:t>
            </w:r>
          </w:p>
        </w:tc>
        <w:tc>
          <w:tcPr>
            <w:tcW w:w="5692"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ind w:firstLine="420" w:firstLineChars="200"/>
              <w:jc w:val="both"/>
              <w:rPr>
                <w:rFonts w:asciiTheme="minorEastAsia" w:hAnsiTheme="minorEastAsia" w:cstheme="minorHAnsi"/>
                <w:bCs/>
                <w:sz w:val="21"/>
                <w:szCs w:val="21"/>
              </w:rPr>
            </w:pPr>
          </w:p>
        </w:tc>
        <w:tc>
          <w:tcPr>
            <w:tcW w:w="1535"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Theme="minorEastAsia" w:hAnsiTheme="minorEastAsia"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pPr>
              <w:spacing w:line="400" w:lineRule="exact"/>
              <w:jc w:val="center"/>
              <w:rPr>
                <w:rFonts w:cs="宋体" w:asciiTheme="minorEastAsia" w:hAnsiTheme="minorEastAsia"/>
                <w:bCs/>
                <w:sz w:val="21"/>
                <w:szCs w:val="21"/>
              </w:rPr>
            </w:pPr>
            <w:r>
              <w:rPr>
                <w:rFonts w:hint="eastAsia" w:cs="宋体" w:asciiTheme="minorEastAsia" w:hAnsiTheme="minorEastAsia"/>
                <w:b/>
                <w:sz w:val="21"/>
                <w:szCs w:val="21"/>
              </w:rPr>
              <w:t>价格</w:t>
            </w:r>
          </w:p>
        </w:tc>
        <w:tc>
          <w:tcPr>
            <w:tcW w:w="640" w:type="dxa"/>
            <w:tcBorders>
              <w:top w:val="single" w:color="auto" w:sz="2" w:space="0"/>
            </w:tcBorders>
            <w:shd w:val="clear" w:color="auto" w:fill="auto"/>
            <w:vAlign w:val="center"/>
          </w:tcPr>
          <w:p>
            <w:pPr>
              <w:spacing w:line="400" w:lineRule="exact"/>
              <w:jc w:val="center"/>
              <w:rPr>
                <w:rFonts w:cs="宋体" w:asciiTheme="minorEastAsia" w:hAnsiTheme="minorEastAsia"/>
                <w:bCs/>
                <w:sz w:val="21"/>
                <w:szCs w:val="21"/>
              </w:rPr>
            </w:pPr>
            <w:r>
              <w:rPr>
                <w:rFonts w:cs="宋体" w:asciiTheme="minorEastAsia" w:hAnsiTheme="minorEastAsia"/>
                <w:bCs/>
                <w:sz w:val="21"/>
                <w:szCs w:val="21"/>
              </w:rPr>
              <w:t>10</w:t>
            </w: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cs="宋体" w:asciiTheme="minorEastAsia" w:hAnsiTheme="minorEastAsia"/>
                <w:bCs/>
                <w:sz w:val="21"/>
                <w:szCs w:val="21"/>
              </w:rPr>
              <w:t>10</w:t>
            </w:r>
          </w:p>
        </w:tc>
        <w:tc>
          <w:tcPr>
            <w:tcW w:w="5692" w:type="dxa"/>
            <w:tcBorders>
              <w:top w:val="single" w:color="auto" w:sz="2" w:space="0"/>
            </w:tcBorders>
            <w:shd w:val="clear" w:color="auto" w:fill="auto"/>
            <w:vAlign w:val="center"/>
          </w:tcPr>
          <w:p>
            <w:pPr>
              <w:tabs>
                <w:tab w:val="left" w:pos="547"/>
              </w:tabs>
              <w:spacing w:line="40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有效供应商最低报价为基准价，各供应商的报价得分按下列公式计算：（基准价/投标报价）×</w:t>
            </w:r>
            <w:r>
              <w:rPr>
                <w:rFonts w:cs="宋体" w:asciiTheme="minorEastAsia" w:hAnsiTheme="minorEastAsia"/>
                <w:sz w:val="21"/>
                <w:szCs w:val="21"/>
              </w:rPr>
              <w:t>1</w:t>
            </w:r>
            <w:r>
              <w:rPr>
                <w:rFonts w:hint="eastAsia" w:cs="宋体" w:asciiTheme="minorEastAsia" w:hAnsiTheme="minorEastAsia"/>
                <w:sz w:val="21"/>
                <w:szCs w:val="21"/>
              </w:rPr>
              <w:t>0%×100分</w:t>
            </w:r>
          </w:p>
        </w:tc>
        <w:tc>
          <w:tcPr>
            <w:tcW w:w="1535" w:type="dxa"/>
            <w:tcBorders>
              <w:top w:val="single" w:color="auto" w:sz="2" w:space="0"/>
            </w:tcBorders>
            <w:shd w:val="clear" w:color="auto" w:fill="auto"/>
            <w:vAlign w:val="center"/>
          </w:tcPr>
          <w:p>
            <w:pPr>
              <w:spacing w:line="400" w:lineRule="exact"/>
              <w:jc w:val="center"/>
              <w:rPr>
                <w:rFonts w:cs="宋体" w:asciiTheme="minorEastAsia" w:hAnsiTheme="minorEastAsia"/>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pPr>
              <w:spacing w:line="400" w:lineRule="exact"/>
              <w:jc w:val="center"/>
              <w:rPr>
                <w:rFonts w:cs="宋体" w:asciiTheme="minorEastAsia" w:hAnsiTheme="minorEastAsia"/>
                <w:b/>
                <w:sz w:val="21"/>
                <w:szCs w:val="21"/>
              </w:rPr>
            </w:pPr>
            <w:r>
              <w:rPr>
                <w:rFonts w:hint="eastAsia" w:asciiTheme="minorEastAsia" w:hAnsiTheme="minorEastAsia"/>
                <w:color w:val="000000" w:themeColor="text1"/>
                <w:szCs w:val="21"/>
                <w14:textFill>
                  <w14:solidFill>
                    <w14:schemeClr w14:val="tx1"/>
                  </w14:solidFill>
                </w14:textFill>
              </w:rPr>
              <w:t>技术（服务</w:t>
            </w:r>
            <w:r>
              <w:rPr>
                <w:rFonts w:asciiTheme="minorEastAsia" w:hAnsiTheme="minorEastAsia"/>
                <w:color w:val="000000" w:themeColor="text1"/>
                <w:szCs w:val="21"/>
                <w14:textFill>
                  <w14:solidFill>
                    <w14:schemeClr w14:val="tx1"/>
                  </w14:solidFill>
                </w14:textFill>
              </w:rPr>
              <w:t>）暗标盲评</w:t>
            </w:r>
            <w:r>
              <w:rPr>
                <w:rFonts w:hint="eastAsia" w:asciiTheme="minorEastAsia" w:hAnsiTheme="minorEastAsia"/>
                <w:color w:val="000000" w:themeColor="text1"/>
                <w:szCs w:val="21"/>
                <w14:textFill>
                  <w14:solidFill>
                    <w14:schemeClr w14:val="tx1"/>
                  </w14:solidFill>
                </w14:textFill>
              </w:rPr>
              <w:t>部分</w:t>
            </w:r>
          </w:p>
        </w:tc>
        <w:tc>
          <w:tcPr>
            <w:tcW w:w="640" w:type="dxa"/>
            <w:vMerge w:val="restart"/>
            <w:tcBorders>
              <w:top w:val="single" w:color="auto" w:sz="2" w:space="0"/>
            </w:tcBorders>
            <w:shd w:val="clear" w:color="auto" w:fill="auto"/>
            <w:vAlign w:val="center"/>
          </w:tcPr>
          <w:p>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39</w:t>
            </w: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cs="宋体" w:asciiTheme="minorEastAsia" w:hAnsiTheme="minorEastAsia"/>
                <w:bCs/>
                <w:sz w:val="21"/>
                <w:szCs w:val="21"/>
              </w:rPr>
              <w:t>4.5</w:t>
            </w:r>
          </w:p>
        </w:tc>
        <w:tc>
          <w:tcPr>
            <w:tcW w:w="5692" w:type="dxa"/>
            <w:tcBorders>
              <w:top w:val="single" w:color="auto" w:sz="2" w:space="0"/>
            </w:tcBorders>
            <w:shd w:val="clear" w:color="auto" w:fill="auto"/>
          </w:tcPr>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物业服务方案：</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一、评审内容</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供应商提供针对本项目的物业服务方案，方案内容包含：①服务管理工作目标；②本项目的分析定位</w:t>
            </w:r>
            <w:r>
              <w:rPr>
                <w:rFonts w:hint="eastAsia" w:asciiTheme="minorEastAsia" w:hAnsiTheme="minorEastAsia" w:eastAsiaTheme="minorEastAsia"/>
                <w:sz w:val="21"/>
                <w:szCs w:val="21"/>
                <w:lang w:eastAsia="zh-CN"/>
              </w:rPr>
              <w:t>及</w:t>
            </w:r>
            <w:r>
              <w:rPr>
                <w:rFonts w:asciiTheme="minorEastAsia" w:hAnsiTheme="minorEastAsia" w:eastAsiaTheme="minorEastAsia"/>
                <w:sz w:val="21"/>
                <w:szCs w:val="21"/>
                <w:lang w:eastAsia="zh-CN"/>
              </w:rPr>
              <w:t>重点、难点把控；③本项目的实施方案</w:t>
            </w:r>
            <w:r>
              <w:rPr>
                <w:rFonts w:hint="eastAsia" w:asciiTheme="minorEastAsia" w:hAnsiTheme="minorEastAsia" w:eastAsiaTheme="minorEastAsia"/>
                <w:sz w:val="21"/>
                <w:szCs w:val="21"/>
                <w:lang w:eastAsia="zh-CN"/>
              </w:rPr>
              <w:t>。</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二、评审标准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1、完整性：方案须详细全面，表述清晰完整，完全满足招标文件要求；</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2、可实施性：切合本项目实际情况，实施步骤清晰、合理；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3、针对性：方案能够紧扣项目实际情况，内容科学合理。</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三、赋分标准（满分4.5分）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①服务管理工作目标：每完全满足一项评审标准得0.5分，满分</w:t>
            </w:r>
            <w:r>
              <w:rPr>
                <w:rFonts w:hint="eastAsia" w:asciiTheme="minorEastAsia" w:hAnsiTheme="minorEastAsia" w:eastAsiaTheme="minorEastAsia"/>
                <w:sz w:val="21"/>
                <w:szCs w:val="21"/>
                <w:lang w:eastAsia="zh-CN"/>
              </w:rPr>
              <w:t>1</w:t>
            </w:r>
            <w:r>
              <w:rPr>
                <w:rFonts w:asciiTheme="minorEastAsia" w:hAnsiTheme="minorEastAsia" w:eastAsiaTheme="minorEastAsia"/>
                <w:sz w:val="21"/>
                <w:szCs w:val="21"/>
                <w:lang w:eastAsia="zh-CN"/>
              </w:rPr>
              <w:t>.5分；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②本项目的分析定位</w:t>
            </w:r>
            <w:r>
              <w:rPr>
                <w:rFonts w:hint="eastAsia" w:asciiTheme="minorEastAsia" w:hAnsiTheme="minorEastAsia" w:eastAsiaTheme="minorEastAsia"/>
                <w:sz w:val="21"/>
                <w:szCs w:val="21"/>
                <w:lang w:eastAsia="zh-CN"/>
              </w:rPr>
              <w:t>及</w:t>
            </w:r>
            <w:r>
              <w:rPr>
                <w:rFonts w:asciiTheme="minorEastAsia" w:hAnsiTheme="minorEastAsia" w:eastAsiaTheme="minorEastAsia"/>
                <w:sz w:val="21"/>
                <w:szCs w:val="21"/>
                <w:lang w:eastAsia="zh-CN"/>
              </w:rPr>
              <w:t>重点、难点把控：每完全满足一项评审标准得0.5分，满分</w:t>
            </w:r>
            <w:r>
              <w:rPr>
                <w:rFonts w:hint="eastAsia" w:asciiTheme="minorEastAsia" w:hAnsiTheme="minorEastAsia" w:eastAsiaTheme="minorEastAsia"/>
                <w:sz w:val="21"/>
                <w:szCs w:val="21"/>
                <w:lang w:eastAsia="zh-CN"/>
              </w:rPr>
              <w:t>1</w:t>
            </w:r>
            <w:r>
              <w:rPr>
                <w:rFonts w:asciiTheme="minorEastAsia" w:hAnsiTheme="minorEastAsia" w:eastAsiaTheme="minorEastAsia"/>
                <w:sz w:val="21"/>
                <w:szCs w:val="21"/>
                <w:lang w:eastAsia="zh-CN"/>
              </w:rPr>
              <w:t>.5分；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③本项目重点、难点把控：每完全满足一项评审标准得0.5分，满分</w:t>
            </w:r>
            <w:r>
              <w:rPr>
                <w:rFonts w:hint="eastAsia" w:asciiTheme="minorEastAsia" w:hAnsiTheme="minorEastAsia" w:eastAsiaTheme="minorEastAsia"/>
                <w:sz w:val="21"/>
                <w:szCs w:val="21"/>
                <w:lang w:eastAsia="zh-CN"/>
              </w:rPr>
              <w:t>1</w:t>
            </w:r>
            <w:r>
              <w:rPr>
                <w:rFonts w:asciiTheme="minorEastAsia" w:hAnsiTheme="minorEastAsia" w:eastAsiaTheme="minorEastAsia"/>
                <w:sz w:val="21"/>
                <w:szCs w:val="21"/>
                <w:lang w:eastAsia="zh-CN"/>
              </w:rPr>
              <w:t>.5分。</w:t>
            </w:r>
          </w:p>
        </w:tc>
        <w:tc>
          <w:tcPr>
            <w:tcW w:w="1535" w:type="dxa"/>
            <w:vMerge w:val="restart"/>
            <w:tcBorders>
              <w:top w:val="single" w:color="auto" w:sz="2" w:space="0"/>
            </w:tcBorders>
            <w:shd w:val="clear" w:color="auto" w:fill="auto"/>
            <w:vAlign w:val="center"/>
          </w:tcPr>
          <w:p>
            <w:pPr>
              <w:spacing w:line="400" w:lineRule="exact"/>
              <w:jc w:val="center"/>
              <w:rPr>
                <w:rFonts w:cs="宋体" w:asciiTheme="minorEastAsia" w:hAnsiTheme="minorEastAsia"/>
                <w:bCs/>
                <w:color w:val="FF0000"/>
                <w:sz w:val="21"/>
                <w:szCs w:val="21"/>
              </w:rPr>
            </w:pPr>
            <w:r>
              <w:rPr>
                <w:rFonts w:hint="eastAsia" w:cs="宋体" w:asciiTheme="minorEastAsia" w:hAnsiTheme="minorEastAsia"/>
                <w:bCs/>
                <w:color w:val="FF0000"/>
                <w:sz w:val="21"/>
                <w:szCs w:val="21"/>
              </w:rPr>
              <w:t>违反第二章第七部分“二、评标形式”中的“暗标盲评部分”编制要求的，其投标视为无效。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cs="宋体" w:asciiTheme="minorEastAsia" w:hAnsiTheme="minorEastAsia"/>
                <w:b/>
                <w:sz w:val="21"/>
                <w:szCs w:val="21"/>
              </w:rPr>
            </w:pPr>
          </w:p>
        </w:tc>
        <w:tc>
          <w:tcPr>
            <w:tcW w:w="640"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cs="宋体" w:asciiTheme="minorEastAsia" w:hAnsiTheme="minorEastAsia"/>
                <w:bCs/>
                <w:sz w:val="21"/>
                <w:szCs w:val="21"/>
              </w:rPr>
              <w:t>4.5</w:t>
            </w:r>
          </w:p>
        </w:tc>
        <w:tc>
          <w:tcPr>
            <w:tcW w:w="5692" w:type="dxa"/>
            <w:tcBorders>
              <w:top w:val="single" w:color="auto" w:sz="2" w:space="0"/>
            </w:tcBorders>
            <w:shd w:val="clear" w:color="auto" w:fill="auto"/>
          </w:tcPr>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机构和制度建设：</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一、评审内容</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供应商提供针对本项目的机构和制度建设，包含：①管理机构、工作职能组织运行图；②日常管理制度</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岗位职责制度；③考核办法。</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二、评审标准</w:t>
            </w:r>
          </w:p>
          <w:p>
            <w:pPr>
              <w:tabs>
                <w:tab w:val="left" w:pos="547"/>
              </w:tabs>
              <w:spacing w:line="320" w:lineRule="exact"/>
              <w:ind w:firstLine="420" w:firstLineChars="200"/>
              <w:jc w:val="both"/>
              <w:rPr>
                <w:rFonts w:cs="宋体" w:asciiTheme="minorEastAsia" w:hAnsiTheme="minorEastAsia"/>
                <w:sz w:val="21"/>
                <w:szCs w:val="21"/>
              </w:rPr>
            </w:pPr>
            <w:r>
              <w:rPr>
                <w:rFonts w:cs="宋体" w:asciiTheme="minorEastAsia" w:hAnsiTheme="minorEastAsia"/>
                <w:sz w:val="21"/>
                <w:szCs w:val="21"/>
              </w:rPr>
              <w:t>1、完整性：方案须详细全面，表述清晰完整，完全满足招标文件要求；</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2、可实施性：切合本项目实际情况，实施步骤清晰、合理；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3、针对性：方案能够紧扣项目实际情况，内容科学合理。</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三、赋分标准（满分4.5分）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①管理机构、工作职能组织运行图：每完全满足一项评审标准得0.5分，满分</w:t>
            </w:r>
            <w:r>
              <w:rPr>
                <w:rFonts w:hint="eastAsia" w:asciiTheme="minorEastAsia" w:hAnsiTheme="minorEastAsia" w:eastAsiaTheme="minorEastAsia"/>
                <w:sz w:val="21"/>
                <w:szCs w:val="21"/>
                <w:lang w:eastAsia="zh-CN"/>
              </w:rPr>
              <w:t>1</w:t>
            </w:r>
            <w:r>
              <w:rPr>
                <w:rFonts w:asciiTheme="minorEastAsia" w:hAnsiTheme="minorEastAsia" w:eastAsiaTheme="minorEastAsia"/>
                <w:sz w:val="21"/>
                <w:szCs w:val="21"/>
                <w:lang w:eastAsia="zh-CN"/>
              </w:rPr>
              <w:t>.5分；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②日常管理制度</w:t>
            </w:r>
            <w:r>
              <w:rPr>
                <w:rFonts w:hint="eastAsia" w:asciiTheme="minorEastAsia" w:hAnsiTheme="minorEastAsia" w:eastAsiaTheme="minorEastAsia"/>
                <w:sz w:val="21"/>
                <w:szCs w:val="21"/>
                <w:lang w:eastAsia="zh-CN"/>
              </w:rPr>
              <w:t>、</w:t>
            </w:r>
            <w:r>
              <w:rPr>
                <w:rFonts w:asciiTheme="minorEastAsia" w:hAnsiTheme="minorEastAsia" w:eastAsiaTheme="minorEastAsia"/>
                <w:sz w:val="21"/>
                <w:szCs w:val="21"/>
                <w:lang w:eastAsia="zh-CN"/>
              </w:rPr>
              <w:t>岗位职责制度：每完全满足一项评审标准得0.5分，满分</w:t>
            </w:r>
            <w:r>
              <w:rPr>
                <w:rFonts w:hint="eastAsia" w:asciiTheme="minorEastAsia" w:hAnsiTheme="minorEastAsia" w:eastAsiaTheme="minorEastAsia"/>
                <w:sz w:val="21"/>
                <w:szCs w:val="21"/>
                <w:lang w:eastAsia="zh-CN"/>
              </w:rPr>
              <w:t>1</w:t>
            </w:r>
            <w:r>
              <w:rPr>
                <w:rFonts w:asciiTheme="minorEastAsia" w:hAnsiTheme="minorEastAsia" w:eastAsiaTheme="minorEastAsia"/>
                <w:sz w:val="21"/>
                <w:szCs w:val="21"/>
                <w:lang w:eastAsia="zh-CN"/>
              </w:rPr>
              <w:t>.5分。</w:t>
            </w:r>
          </w:p>
          <w:p>
            <w:pPr>
              <w:pStyle w:val="100"/>
              <w:spacing w:line="320" w:lineRule="exact"/>
              <w:ind w:firstLine="420" w:firstLineChars="200"/>
              <w:jc w:val="both"/>
              <w:rPr>
                <w:rFonts w:asciiTheme="minorEastAsia" w:hAnsiTheme="minorEastAsia"/>
                <w:sz w:val="21"/>
                <w:szCs w:val="21"/>
                <w:lang w:eastAsia="zh-CN"/>
              </w:rPr>
            </w:pPr>
            <w:r>
              <w:rPr>
                <w:rFonts w:asciiTheme="minorEastAsia" w:hAnsiTheme="minorEastAsia" w:eastAsiaTheme="minorEastAsia"/>
                <w:sz w:val="21"/>
                <w:szCs w:val="21"/>
                <w:lang w:eastAsia="zh-CN"/>
              </w:rPr>
              <w:t>③</w:t>
            </w:r>
            <w:r>
              <w:rPr>
                <w:rFonts w:asciiTheme="minorEastAsia" w:hAnsiTheme="minorEastAsia"/>
                <w:sz w:val="21"/>
                <w:szCs w:val="21"/>
                <w:lang w:eastAsia="zh-CN"/>
              </w:rPr>
              <w:t>考核办法</w:t>
            </w:r>
            <w:r>
              <w:rPr>
                <w:rFonts w:asciiTheme="minorEastAsia" w:hAnsiTheme="minorEastAsia" w:eastAsiaTheme="minorEastAsia"/>
                <w:sz w:val="21"/>
                <w:szCs w:val="21"/>
                <w:lang w:eastAsia="zh-CN"/>
              </w:rPr>
              <w:t>：每完全满足一项评审标准得0.5分，满分</w:t>
            </w:r>
            <w:r>
              <w:rPr>
                <w:rFonts w:hint="eastAsia" w:asciiTheme="minorEastAsia" w:hAnsiTheme="minorEastAsia" w:eastAsiaTheme="minorEastAsia"/>
                <w:sz w:val="21"/>
                <w:szCs w:val="21"/>
                <w:lang w:eastAsia="zh-CN"/>
              </w:rPr>
              <w:t>1</w:t>
            </w:r>
            <w:r>
              <w:rPr>
                <w:rFonts w:asciiTheme="minorEastAsia" w:hAnsiTheme="minorEastAsia" w:eastAsiaTheme="minorEastAsia"/>
                <w:sz w:val="21"/>
                <w:szCs w:val="21"/>
                <w:lang w:eastAsia="zh-CN"/>
              </w:rPr>
              <w:t>.5分</w:t>
            </w:r>
            <w:r>
              <w:rPr>
                <w:rFonts w:hint="eastAsia" w:asciiTheme="minorEastAsia" w:hAnsiTheme="minorEastAsia" w:eastAsiaTheme="minorEastAsia"/>
                <w:sz w:val="21"/>
                <w:szCs w:val="21"/>
                <w:lang w:eastAsia="zh-CN"/>
              </w:rPr>
              <w:t>。</w:t>
            </w:r>
          </w:p>
        </w:tc>
        <w:tc>
          <w:tcPr>
            <w:tcW w:w="1535" w:type="dxa"/>
            <w:vMerge w:val="continue"/>
            <w:shd w:val="clear" w:color="auto" w:fill="auto"/>
            <w:vAlign w:val="center"/>
          </w:tcPr>
          <w:p>
            <w:pPr>
              <w:spacing w:line="400" w:lineRule="exact"/>
              <w:jc w:val="center"/>
              <w:rPr>
                <w:rFonts w:cs="宋体" w:asciiTheme="minorEastAsia" w:hAnsiTheme="minorEastAsia"/>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cs="宋体" w:asciiTheme="minorEastAsia" w:hAnsiTheme="minorEastAsia"/>
                <w:b/>
                <w:sz w:val="21"/>
                <w:szCs w:val="21"/>
              </w:rPr>
            </w:pPr>
          </w:p>
        </w:tc>
        <w:tc>
          <w:tcPr>
            <w:tcW w:w="640"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3</w:t>
            </w:r>
          </w:p>
        </w:tc>
        <w:tc>
          <w:tcPr>
            <w:tcW w:w="5692" w:type="dxa"/>
            <w:tcBorders>
              <w:top w:val="single" w:color="auto" w:sz="2" w:space="0"/>
            </w:tcBorders>
            <w:shd w:val="clear" w:color="auto" w:fill="auto"/>
          </w:tcPr>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秩序维护服务方案：</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一、评审内容</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供应商提供针对本项目的秩序维护服务方案，方案包含：①安防、消防服务方案；②停车场服务方案。</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二、评审标准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1、完整性：方案须全面，对评审内容中的各项要求有详细描述及说明；</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2、可实施性：切合本项目实际情况，实施步骤清晰、合理；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3、针对性：方案能够紧扣项目实际情况，内容科学合理。</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三、赋分标准（满分3分）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①安防、消防服务方案：每完全满足一项评审标准得1分，满分1.5分；</w:t>
            </w:r>
          </w:p>
          <w:p>
            <w:pPr>
              <w:tabs>
                <w:tab w:val="left" w:pos="547"/>
              </w:tabs>
              <w:spacing w:line="320" w:lineRule="exact"/>
              <w:ind w:firstLine="420" w:firstLineChars="200"/>
              <w:jc w:val="both"/>
              <w:rPr>
                <w:rFonts w:cs="宋体" w:asciiTheme="minorEastAsia" w:hAnsiTheme="minorEastAsia"/>
                <w:sz w:val="21"/>
                <w:szCs w:val="21"/>
              </w:rPr>
            </w:pPr>
            <w:r>
              <w:rPr>
                <w:rFonts w:cs="宋体" w:asciiTheme="minorEastAsia" w:hAnsiTheme="minorEastAsia"/>
                <w:sz w:val="21"/>
                <w:szCs w:val="21"/>
              </w:rPr>
              <w:t>②停车场服务方案：每完全满足一项评审标准得1分，满分</w:t>
            </w:r>
            <w:r>
              <w:rPr>
                <w:rFonts w:hint="eastAsia" w:cs="宋体" w:asciiTheme="minorEastAsia" w:hAnsiTheme="minorEastAsia"/>
                <w:sz w:val="21"/>
                <w:szCs w:val="21"/>
              </w:rPr>
              <w:t>1.5</w:t>
            </w:r>
            <w:r>
              <w:rPr>
                <w:rFonts w:cs="宋体" w:asciiTheme="minorEastAsia" w:hAnsiTheme="minorEastAsia"/>
                <w:sz w:val="21"/>
                <w:szCs w:val="21"/>
              </w:rPr>
              <w:t>分。</w:t>
            </w:r>
          </w:p>
        </w:tc>
        <w:tc>
          <w:tcPr>
            <w:tcW w:w="1535" w:type="dxa"/>
            <w:vMerge w:val="continue"/>
            <w:shd w:val="clear" w:color="auto" w:fill="auto"/>
            <w:vAlign w:val="center"/>
          </w:tcPr>
          <w:p>
            <w:pPr>
              <w:spacing w:line="400" w:lineRule="exact"/>
              <w:jc w:val="center"/>
              <w:rPr>
                <w:rFonts w:cs="宋体" w:asciiTheme="minorEastAsia" w:hAnsiTheme="minorEastAsia"/>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640"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3</w:t>
            </w:r>
          </w:p>
        </w:tc>
        <w:tc>
          <w:tcPr>
            <w:tcW w:w="5692" w:type="dxa"/>
            <w:shd w:val="clear" w:color="auto" w:fill="auto"/>
          </w:tcPr>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保洁绿化服务方案：</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一、评审内容</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供应商提供针对本项目的保洁服务方案，方案内容包含：①保洁服方案；②绿化服务方案。</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二、评审标准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1、完整性：方案须详细全面，表述清晰完整，完全满足招标文件要求；</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2、可实施性：切合本项目实际情况，实施步骤清晰、合理；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3、针对性：方案能够紧扣项目实际情况，内容科学合理。</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三、赋分标准（满分</w:t>
            </w:r>
            <w:r>
              <w:rPr>
                <w:rFonts w:hint="eastAsia" w:asciiTheme="minorEastAsia" w:hAnsiTheme="minorEastAsia" w:eastAsiaTheme="minorEastAsia"/>
                <w:b/>
                <w:sz w:val="21"/>
                <w:szCs w:val="21"/>
                <w:lang w:eastAsia="zh-CN"/>
              </w:rPr>
              <w:t>3</w:t>
            </w:r>
            <w:r>
              <w:rPr>
                <w:rFonts w:asciiTheme="minorEastAsia" w:hAnsiTheme="minorEastAsia" w:eastAsiaTheme="minorEastAsia"/>
                <w:b/>
                <w:sz w:val="21"/>
                <w:szCs w:val="21"/>
                <w:lang w:eastAsia="zh-CN"/>
              </w:rPr>
              <w:t>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①保洁服务方案：每完全满足一项评审标准得0.5分，满分</w:t>
            </w:r>
            <w:r>
              <w:rPr>
                <w:rFonts w:hint="eastAsia" w:asciiTheme="minorEastAsia" w:hAnsiTheme="minorEastAsia" w:eastAsiaTheme="minorEastAsia"/>
                <w:sz w:val="21"/>
                <w:szCs w:val="21"/>
                <w:lang w:eastAsia="zh-CN"/>
              </w:rPr>
              <w:t>1.5</w:t>
            </w:r>
            <w:r>
              <w:rPr>
                <w:rFonts w:asciiTheme="minorEastAsia" w:hAnsiTheme="minorEastAsia" w:eastAsiaTheme="minorEastAsia"/>
                <w:sz w:val="21"/>
                <w:szCs w:val="21"/>
                <w:lang w:eastAsia="zh-CN"/>
              </w:rPr>
              <w:t>分；</w:t>
            </w:r>
          </w:p>
          <w:p>
            <w:pPr>
              <w:tabs>
                <w:tab w:val="left" w:pos="547"/>
              </w:tabs>
              <w:spacing w:line="320" w:lineRule="exact"/>
              <w:ind w:firstLine="420" w:firstLineChars="200"/>
              <w:jc w:val="both"/>
              <w:rPr>
                <w:rFonts w:cs="宋体" w:asciiTheme="minorEastAsia" w:hAnsiTheme="minorEastAsia"/>
                <w:sz w:val="21"/>
                <w:szCs w:val="21"/>
              </w:rPr>
            </w:pPr>
            <w:r>
              <w:rPr>
                <w:rFonts w:cs="宋体" w:asciiTheme="minorEastAsia" w:hAnsiTheme="minorEastAsia"/>
                <w:sz w:val="21"/>
                <w:szCs w:val="21"/>
              </w:rPr>
              <w:t>②绿化服务方案：每完全满足一项评审标准得0.5分，满分</w:t>
            </w:r>
            <w:r>
              <w:rPr>
                <w:rFonts w:hint="eastAsia" w:cs="宋体" w:asciiTheme="minorEastAsia" w:hAnsiTheme="minorEastAsia"/>
                <w:sz w:val="21"/>
                <w:szCs w:val="21"/>
              </w:rPr>
              <w:t>1.5</w:t>
            </w:r>
            <w:r>
              <w:rPr>
                <w:rFonts w:cs="宋体" w:asciiTheme="minorEastAsia" w:hAnsiTheme="minorEastAsia"/>
                <w:sz w:val="21"/>
                <w:szCs w:val="21"/>
              </w:rPr>
              <w:t>分。</w:t>
            </w:r>
          </w:p>
        </w:tc>
        <w:tc>
          <w:tcPr>
            <w:tcW w:w="1535" w:type="dxa"/>
            <w:vMerge w:val="continue"/>
            <w:shd w:val="clear" w:color="auto" w:fill="auto"/>
            <w:vAlign w:val="center"/>
          </w:tcPr>
          <w:p>
            <w:pPr>
              <w:spacing w:line="400" w:lineRule="exact"/>
              <w:jc w:val="center"/>
              <w:rPr>
                <w:rFonts w:cs="宋体" w:asciiTheme="minorEastAsia" w:hAnsiTheme="minorEastAsia"/>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640"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4.5</w:t>
            </w:r>
          </w:p>
        </w:tc>
        <w:tc>
          <w:tcPr>
            <w:tcW w:w="5692" w:type="dxa"/>
            <w:shd w:val="clear" w:color="auto" w:fill="auto"/>
          </w:tcPr>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工程管理方案：</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一、评审内容</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供应商提供针对本项目的工程管理方案，方案内容包含：①专业办公楼设施设备的维修养护；②运行管理服务方案；③节能降耗方案。</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二、评审标准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1、完整性：方案须详细全面，表述清晰完整，完全满足招标文件要求；</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2、可实施性：切合本项目实际情况，实施步骤清晰、合理；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3、针对性：方案能够紧扣项目实际情况，内容科学合理。</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三、赋分标准（满分</w:t>
            </w:r>
            <w:r>
              <w:rPr>
                <w:rFonts w:hint="eastAsia" w:asciiTheme="minorEastAsia" w:hAnsiTheme="minorEastAsia" w:eastAsiaTheme="minorEastAsia"/>
                <w:b/>
                <w:sz w:val="21"/>
                <w:szCs w:val="21"/>
                <w:lang w:eastAsia="zh-CN"/>
              </w:rPr>
              <w:t>4.5</w:t>
            </w:r>
            <w:r>
              <w:rPr>
                <w:rFonts w:asciiTheme="minorEastAsia" w:hAnsiTheme="minorEastAsia" w:eastAsiaTheme="minorEastAsia"/>
                <w:b/>
                <w:sz w:val="21"/>
                <w:szCs w:val="21"/>
                <w:lang w:eastAsia="zh-CN"/>
              </w:rPr>
              <w:t>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①专业办公楼设施设备的维修养护：每完全满足一项评审标准得0.5分，满分1.5分；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②运行管理服务方案：每完全满足一项评审标准得0.5分，满分</w:t>
            </w:r>
            <w:r>
              <w:rPr>
                <w:rFonts w:hint="eastAsia" w:asciiTheme="minorEastAsia" w:hAnsiTheme="minorEastAsia" w:eastAsiaTheme="minorEastAsia"/>
                <w:sz w:val="21"/>
                <w:szCs w:val="21"/>
                <w:lang w:eastAsia="zh-CN"/>
              </w:rPr>
              <w:t>1.5</w:t>
            </w:r>
            <w:r>
              <w:rPr>
                <w:rFonts w:asciiTheme="minorEastAsia" w:hAnsiTheme="minorEastAsia" w:eastAsiaTheme="minorEastAsia"/>
                <w:sz w:val="21"/>
                <w:szCs w:val="21"/>
                <w:lang w:eastAsia="zh-CN"/>
              </w:rPr>
              <w:t>分；</w:t>
            </w:r>
          </w:p>
          <w:p>
            <w:pPr>
              <w:spacing w:line="320" w:lineRule="exact"/>
              <w:ind w:firstLine="420" w:firstLineChars="200"/>
              <w:jc w:val="both"/>
              <w:rPr>
                <w:rFonts w:cs="宋体" w:asciiTheme="minorEastAsia" w:hAnsiTheme="minorEastAsia"/>
                <w:sz w:val="21"/>
                <w:szCs w:val="21"/>
              </w:rPr>
            </w:pPr>
            <w:r>
              <w:rPr>
                <w:rFonts w:cs="宋体" w:asciiTheme="minorEastAsia" w:hAnsiTheme="minorEastAsia"/>
                <w:sz w:val="21"/>
                <w:szCs w:val="21"/>
              </w:rPr>
              <w:t>③节能降耗方案：每完全满足一项评审标准得0.5分，满分1.5分。</w:t>
            </w:r>
          </w:p>
        </w:tc>
        <w:tc>
          <w:tcPr>
            <w:tcW w:w="1535" w:type="dxa"/>
            <w:vMerge w:val="continue"/>
            <w:shd w:val="clear" w:color="auto" w:fill="auto"/>
            <w:vAlign w:val="center"/>
          </w:tcPr>
          <w:p>
            <w:pPr>
              <w:spacing w:line="400" w:lineRule="exact"/>
              <w:jc w:val="center"/>
              <w:rPr>
                <w:rFonts w:cs="宋体" w:asciiTheme="minorEastAsia" w:hAnsiTheme="minorEastAsia"/>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640"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3</w:t>
            </w:r>
          </w:p>
        </w:tc>
        <w:tc>
          <w:tcPr>
            <w:tcW w:w="5692" w:type="dxa"/>
            <w:shd w:val="clear" w:color="auto" w:fill="auto"/>
            <w:vAlign w:val="center"/>
          </w:tcPr>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会务服务方案：</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一、评审内容</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供应商提供针对本项目的会务服务方案，方案内容包含：①会前、会中、会后服务方案；②会议服务标准。</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二、评审标准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1、完整性：方案须详细全面，表述清晰完整，完全满足招标文件要求；</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2、可实施性：切合本项目实际情况，实施步骤清晰、合理；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3、针对性：方案能够紧扣项目实际情况，内容科学合理。</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三、赋分标准（满分</w:t>
            </w:r>
            <w:r>
              <w:rPr>
                <w:rFonts w:hint="eastAsia" w:asciiTheme="minorEastAsia" w:hAnsiTheme="minorEastAsia" w:eastAsiaTheme="minorEastAsia"/>
                <w:b/>
                <w:sz w:val="21"/>
                <w:szCs w:val="21"/>
                <w:lang w:eastAsia="zh-CN"/>
              </w:rPr>
              <w:t>3</w:t>
            </w:r>
            <w:r>
              <w:rPr>
                <w:rFonts w:asciiTheme="minorEastAsia" w:hAnsiTheme="minorEastAsia" w:eastAsiaTheme="minorEastAsia"/>
                <w:b/>
                <w:sz w:val="21"/>
                <w:szCs w:val="21"/>
                <w:lang w:eastAsia="zh-CN"/>
              </w:rPr>
              <w:t>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①会前、会中、会后服务方案：每完全满足一个评审标准得0.5分，满分</w:t>
            </w:r>
            <w:r>
              <w:rPr>
                <w:rFonts w:hint="eastAsia" w:asciiTheme="minorEastAsia" w:hAnsiTheme="minorEastAsia" w:eastAsiaTheme="minorEastAsia"/>
                <w:sz w:val="21"/>
                <w:szCs w:val="21"/>
                <w:lang w:eastAsia="zh-CN"/>
              </w:rPr>
              <w:t>1.5</w:t>
            </w:r>
            <w:r>
              <w:rPr>
                <w:rFonts w:asciiTheme="minorEastAsia" w:hAnsiTheme="minorEastAsia" w:eastAsiaTheme="minorEastAsia"/>
                <w:sz w:val="21"/>
                <w:szCs w:val="21"/>
                <w:lang w:eastAsia="zh-CN"/>
              </w:rPr>
              <w:t>分；</w:t>
            </w:r>
          </w:p>
          <w:p>
            <w:pPr>
              <w:spacing w:line="320" w:lineRule="exact"/>
              <w:ind w:firstLine="420" w:firstLineChars="200"/>
              <w:jc w:val="both"/>
              <w:rPr>
                <w:rFonts w:cs="宋体" w:asciiTheme="minorEastAsia" w:hAnsiTheme="minorEastAsia"/>
                <w:sz w:val="21"/>
                <w:szCs w:val="21"/>
              </w:rPr>
            </w:pPr>
            <w:r>
              <w:rPr>
                <w:rFonts w:cs="宋体" w:asciiTheme="minorEastAsia" w:hAnsiTheme="minorEastAsia"/>
                <w:sz w:val="21"/>
                <w:szCs w:val="21"/>
              </w:rPr>
              <w:t>②会议服务标准：每完全满足一个评审标准得0.5分，满分</w:t>
            </w:r>
            <w:r>
              <w:rPr>
                <w:rFonts w:hint="eastAsia" w:cs="宋体" w:asciiTheme="minorEastAsia" w:hAnsiTheme="minorEastAsia"/>
                <w:sz w:val="21"/>
                <w:szCs w:val="21"/>
              </w:rPr>
              <w:t>1.5</w:t>
            </w:r>
            <w:r>
              <w:rPr>
                <w:rFonts w:cs="宋体" w:asciiTheme="minorEastAsia" w:hAnsiTheme="minorEastAsia"/>
                <w:sz w:val="21"/>
                <w:szCs w:val="21"/>
              </w:rPr>
              <w:t>分。</w:t>
            </w:r>
          </w:p>
        </w:tc>
        <w:tc>
          <w:tcPr>
            <w:tcW w:w="1535" w:type="dxa"/>
            <w:vMerge w:val="continue"/>
            <w:shd w:val="clear" w:color="auto" w:fill="auto"/>
            <w:vAlign w:val="center"/>
          </w:tcPr>
          <w:p>
            <w:pPr>
              <w:spacing w:line="400" w:lineRule="exact"/>
              <w:jc w:val="center"/>
              <w:rPr>
                <w:rFonts w:cs="宋体" w:asciiTheme="minorEastAsia" w:hAnsiTheme="minorEastAsia"/>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640"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4.5</w:t>
            </w:r>
          </w:p>
        </w:tc>
        <w:tc>
          <w:tcPr>
            <w:tcW w:w="5692" w:type="dxa"/>
            <w:shd w:val="clear" w:color="auto" w:fill="auto"/>
            <w:vAlign w:val="center"/>
          </w:tcPr>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餐饮服务方案</w:t>
            </w:r>
            <w:r>
              <w:rPr>
                <w:rFonts w:hint="eastAsia" w:asciiTheme="minorEastAsia" w:hAnsiTheme="minorEastAsia" w:eastAsiaTheme="minorEastAsia"/>
                <w:b/>
                <w:sz w:val="21"/>
                <w:szCs w:val="21"/>
                <w:lang w:eastAsia="zh-CN"/>
              </w:rPr>
              <w:t>：</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一、评审内容</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供应商提供</w:t>
            </w:r>
            <w:r>
              <w:rPr>
                <w:rFonts w:hint="eastAsia" w:asciiTheme="minorEastAsia" w:hAnsiTheme="minorEastAsia" w:eastAsiaTheme="minorEastAsia"/>
                <w:sz w:val="21"/>
                <w:szCs w:val="21"/>
                <w:lang w:eastAsia="zh-CN"/>
              </w:rPr>
              <w:t>针对本项目提出食堂餐饮服务方案，方案内容包含①管理：餐厅管理措施、卫生管理方案及反食品浪费方案；②质量控制：服务质量控制方案及食品质量控制方案③其他：库房管理及设施设备管理。</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二、评审标准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1、完整性：方案须全面，对评审内容中的各项要求有详细描述及说明；</w:t>
            </w:r>
          </w:p>
          <w:p>
            <w:pPr>
              <w:pStyle w:val="100"/>
              <w:spacing w:line="32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2、可实施性：切合本项目实际情况，实施步骤清晰、合理；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3、针对性：方案能够紧扣项目实际情况，内容科学合理。</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三、赋分标准（满分4.5分）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①管理：每完全满足一项评审标准得0.5分，满分1.5分；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②质量控制：每完全满足一项评审标准得0.5分，满分1.5分；</w:t>
            </w:r>
          </w:p>
          <w:p>
            <w:pPr>
              <w:spacing w:line="32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③其他：每完全满足一项评审标准得0.5分，满分1.5分。</w:t>
            </w:r>
          </w:p>
        </w:tc>
        <w:tc>
          <w:tcPr>
            <w:tcW w:w="1535" w:type="dxa"/>
            <w:vMerge w:val="continue"/>
            <w:shd w:val="clear" w:color="auto" w:fill="auto"/>
            <w:vAlign w:val="center"/>
          </w:tcPr>
          <w:p>
            <w:pPr>
              <w:spacing w:line="400" w:lineRule="exact"/>
              <w:jc w:val="center"/>
              <w:rPr>
                <w:rFonts w:cs="宋体" w:asciiTheme="minorEastAsia" w:hAnsiTheme="minorEastAsia"/>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640"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cs="宋体" w:asciiTheme="minorEastAsia" w:hAnsiTheme="minorEastAsia"/>
                <w:bCs/>
                <w:sz w:val="21"/>
                <w:szCs w:val="21"/>
              </w:rPr>
              <w:t>9</w:t>
            </w:r>
          </w:p>
        </w:tc>
        <w:tc>
          <w:tcPr>
            <w:tcW w:w="5692" w:type="dxa"/>
            <w:shd w:val="clear" w:color="auto" w:fill="auto"/>
            <w:vAlign w:val="center"/>
          </w:tcPr>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应急预案：</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一、评审内容</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供应商提供针对本项目的应急预案，内容包含：上访处置预案、安全防范预案、防疫预案、突发情况处置、防汛、公共卫生、除雪、停水停电、火灾等应急预案。</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二、评审标准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1、完整性：方案须全面，对评审内容中的各项要求有详细描述；</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2、可实施性：各项内容切合本项目实际情况，实施步骤清晰、合理；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3、针对性：方案能够紧扣项目实际情况，内容科学合理。</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三、赋分标准（满分9分）</w:t>
            </w:r>
          </w:p>
          <w:p>
            <w:pPr>
              <w:spacing w:line="320" w:lineRule="exact"/>
              <w:ind w:firstLine="420" w:firstLineChars="200"/>
              <w:jc w:val="both"/>
              <w:rPr>
                <w:rFonts w:cs="宋体" w:asciiTheme="minorEastAsia" w:hAnsiTheme="minorEastAsia"/>
                <w:sz w:val="21"/>
                <w:szCs w:val="21"/>
              </w:rPr>
            </w:pPr>
            <w:r>
              <w:rPr>
                <w:rFonts w:cs="宋体" w:asciiTheme="minorEastAsia" w:hAnsiTheme="minorEastAsia"/>
                <w:sz w:val="21"/>
                <w:szCs w:val="21"/>
              </w:rPr>
              <w:t>应急预案：每完全满足一项评审标准得3分，满分9分。</w:t>
            </w:r>
          </w:p>
        </w:tc>
        <w:tc>
          <w:tcPr>
            <w:tcW w:w="1535" w:type="dxa"/>
            <w:vMerge w:val="continue"/>
            <w:shd w:val="clear" w:color="auto" w:fill="auto"/>
            <w:vAlign w:val="center"/>
          </w:tcPr>
          <w:p>
            <w:pPr>
              <w:spacing w:line="400" w:lineRule="exact"/>
              <w:jc w:val="center"/>
              <w:rPr>
                <w:rFonts w:cs="宋体" w:asciiTheme="minorEastAsia" w:hAnsiTheme="minorEastAsia"/>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640"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3</w:t>
            </w:r>
          </w:p>
        </w:tc>
        <w:tc>
          <w:tcPr>
            <w:tcW w:w="5692" w:type="dxa"/>
            <w:shd w:val="clear" w:color="auto" w:fill="auto"/>
            <w:vAlign w:val="center"/>
          </w:tcPr>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特色管理服务及服务优化方案：</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一、评审内容</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供应商提供针对本项目的特色管理服务及服务优化方案物业管理方案，方案内容包含：①服务目标及计划安排；②增值服务。</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二、评审标准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1、完整性：方案须详细全面，表述清晰完整，完全满足招标文件要求；</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2、可实施性：切合本项目实际情况，实施步骤清晰、合理；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3、针对性：方案能够紧扣项目实际情况，内容科学合理。</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三、赋分标准（满分3分）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①服务目标及计划安排：每完全满足一项评审标准得</w:t>
            </w:r>
            <w:r>
              <w:rPr>
                <w:rFonts w:hint="eastAsia" w:asciiTheme="minorEastAsia" w:hAnsiTheme="minorEastAsia" w:eastAsiaTheme="minorEastAsia"/>
                <w:sz w:val="21"/>
                <w:szCs w:val="21"/>
                <w:lang w:eastAsia="zh-CN"/>
              </w:rPr>
              <w:t>0.5</w:t>
            </w:r>
            <w:r>
              <w:rPr>
                <w:rFonts w:asciiTheme="minorEastAsia" w:hAnsiTheme="minorEastAsia" w:eastAsiaTheme="minorEastAsia"/>
                <w:sz w:val="21"/>
                <w:szCs w:val="21"/>
                <w:lang w:eastAsia="zh-CN"/>
              </w:rPr>
              <w:t>分，满分</w:t>
            </w:r>
            <w:r>
              <w:rPr>
                <w:rFonts w:hint="eastAsia" w:asciiTheme="minorEastAsia" w:hAnsiTheme="minorEastAsia" w:eastAsiaTheme="minorEastAsia"/>
                <w:sz w:val="21"/>
                <w:szCs w:val="21"/>
                <w:lang w:eastAsia="zh-CN"/>
              </w:rPr>
              <w:t>1.5</w:t>
            </w:r>
            <w:r>
              <w:rPr>
                <w:rFonts w:asciiTheme="minorEastAsia" w:hAnsiTheme="minorEastAsia" w:eastAsiaTheme="minorEastAsia"/>
                <w:sz w:val="21"/>
                <w:szCs w:val="21"/>
                <w:lang w:eastAsia="zh-CN"/>
              </w:rPr>
              <w:t>分。</w:t>
            </w:r>
          </w:p>
          <w:p>
            <w:pPr>
              <w:spacing w:line="320" w:lineRule="exact"/>
              <w:ind w:firstLine="420" w:firstLineChars="200"/>
              <w:jc w:val="both"/>
              <w:rPr>
                <w:rFonts w:cs="宋体" w:asciiTheme="minorEastAsia" w:hAnsiTheme="minorEastAsia"/>
                <w:sz w:val="21"/>
                <w:szCs w:val="21"/>
              </w:rPr>
            </w:pPr>
            <w:r>
              <w:rPr>
                <w:rFonts w:cs="宋体" w:asciiTheme="minorEastAsia" w:hAnsiTheme="minorEastAsia"/>
                <w:sz w:val="21"/>
                <w:szCs w:val="21"/>
              </w:rPr>
              <w:t>②增值服务：每完全满足一项评审标准得</w:t>
            </w:r>
            <w:r>
              <w:rPr>
                <w:rFonts w:hint="eastAsia" w:cs="宋体" w:asciiTheme="minorEastAsia" w:hAnsiTheme="minorEastAsia"/>
                <w:sz w:val="21"/>
                <w:szCs w:val="21"/>
              </w:rPr>
              <w:t>0.5</w:t>
            </w:r>
            <w:r>
              <w:rPr>
                <w:rFonts w:cs="宋体" w:asciiTheme="minorEastAsia" w:hAnsiTheme="minorEastAsia"/>
                <w:sz w:val="21"/>
                <w:szCs w:val="21"/>
              </w:rPr>
              <w:t>分，满分</w:t>
            </w:r>
            <w:r>
              <w:rPr>
                <w:rFonts w:hint="eastAsia" w:cs="宋体" w:asciiTheme="minorEastAsia" w:hAnsiTheme="minorEastAsia"/>
                <w:sz w:val="21"/>
                <w:szCs w:val="21"/>
              </w:rPr>
              <w:t>1</w:t>
            </w:r>
            <w:r>
              <w:rPr>
                <w:rFonts w:cs="宋体" w:asciiTheme="minorEastAsia" w:hAnsiTheme="minorEastAsia"/>
                <w:sz w:val="21"/>
                <w:szCs w:val="21"/>
              </w:rPr>
              <w:t>.5分。</w:t>
            </w:r>
          </w:p>
        </w:tc>
        <w:tc>
          <w:tcPr>
            <w:tcW w:w="1535" w:type="dxa"/>
            <w:vMerge w:val="continue"/>
            <w:shd w:val="clear" w:color="auto" w:fill="auto"/>
            <w:vAlign w:val="center"/>
          </w:tcPr>
          <w:p>
            <w:pPr>
              <w:spacing w:line="400" w:lineRule="exact"/>
              <w:jc w:val="center"/>
              <w:rPr>
                <w:rFonts w:cs="宋体" w:asciiTheme="minorEastAsia" w:hAnsiTheme="minorEastAsia"/>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商务部分</w:t>
            </w:r>
          </w:p>
        </w:tc>
        <w:tc>
          <w:tcPr>
            <w:tcW w:w="640" w:type="dxa"/>
            <w:vMerge w:val="restart"/>
            <w:shd w:val="clear" w:color="auto" w:fill="auto"/>
            <w:vAlign w:val="center"/>
          </w:tcPr>
          <w:p>
            <w:pPr>
              <w:spacing w:line="400" w:lineRule="exact"/>
              <w:jc w:val="center"/>
              <w:rPr>
                <w:rFonts w:cs="宋体" w:asciiTheme="minorEastAsia" w:hAnsiTheme="minorEastAsia"/>
                <w:bCs/>
                <w:sz w:val="21"/>
                <w:szCs w:val="21"/>
              </w:rPr>
            </w:pPr>
            <w:r>
              <w:rPr>
                <w:rFonts w:cs="宋体" w:asciiTheme="minorEastAsia" w:hAnsiTheme="minorEastAsia"/>
                <w:bCs/>
                <w:sz w:val="21"/>
                <w:szCs w:val="21"/>
              </w:rPr>
              <w:t>51</w:t>
            </w: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7</w:t>
            </w:r>
          </w:p>
        </w:tc>
        <w:tc>
          <w:tcPr>
            <w:tcW w:w="5692" w:type="dxa"/>
            <w:shd w:val="clear" w:color="auto" w:fill="auto"/>
          </w:tcPr>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项目经理</w:t>
            </w:r>
            <w:r>
              <w:rPr>
                <w:rFonts w:hint="eastAsia" w:asciiTheme="minorEastAsia" w:hAnsiTheme="minorEastAsia" w:eastAsiaTheme="minorEastAsia"/>
                <w:b/>
                <w:sz w:val="21"/>
                <w:szCs w:val="21"/>
                <w:lang w:eastAsia="zh-CN"/>
              </w:rPr>
              <w:t>:</w:t>
            </w:r>
          </w:p>
          <w:p>
            <w:pPr>
              <w:spacing w:line="32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①拟派项目经理1名，</w:t>
            </w:r>
            <w:r>
              <w:rPr>
                <w:rFonts w:cs="宋体" w:asciiTheme="minorEastAsia" w:hAnsiTheme="minorEastAsia"/>
                <w:sz w:val="21"/>
                <w:szCs w:val="21"/>
              </w:rPr>
              <w:t>项目经理</w:t>
            </w:r>
            <w:r>
              <w:rPr>
                <w:rFonts w:hint="eastAsia" w:cs="宋体" w:asciiTheme="minorEastAsia" w:hAnsiTheme="minorEastAsia"/>
                <w:sz w:val="21"/>
                <w:szCs w:val="21"/>
              </w:rPr>
              <w:t>具有全日制本科及以上学历，得2分；</w:t>
            </w:r>
          </w:p>
          <w:p>
            <w:pPr>
              <w:spacing w:line="320" w:lineRule="exact"/>
              <w:ind w:firstLine="420" w:firstLineChars="200"/>
              <w:jc w:val="both"/>
              <w:rPr>
                <w:rFonts w:cs="宋体" w:asciiTheme="minorEastAsia" w:hAnsiTheme="minorEastAsia"/>
                <w:sz w:val="21"/>
                <w:szCs w:val="21"/>
              </w:rPr>
            </w:pPr>
            <w:r>
              <w:rPr>
                <w:rFonts w:cs="宋体" w:asciiTheme="minorEastAsia" w:hAnsiTheme="minorEastAsia"/>
                <w:sz w:val="21"/>
                <w:szCs w:val="21"/>
              </w:rPr>
              <w:t>赋分依据：提供</w:t>
            </w:r>
            <w:r>
              <w:rPr>
                <w:rFonts w:hint="eastAsia" w:cs="宋体" w:asciiTheme="minorEastAsia" w:hAnsiTheme="minorEastAsia"/>
                <w:sz w:val="21"/>
                <w:szCs w:val="21"/>
              </w:rPr>
              <w:t>身份证</w:t>
            </w:r>
            <w:r>
              <w:rPr>
                <w:rFonts w:cs="宋体" w:asciiTheme="minorEastAsia" w:hAnsiTheme="minorEastAsia"/>
                <w:sz w:val="21"/>
                <w:szCs w:val="21"/>
              </w:rPr>
              <w:t>扫描件及学信网经查证的《教育部学历证书电子注册备案表》，不提供或不满足学历要求不得分。</w:t>
            </w:r>
          </w:p>
          <w:p>
            <w:pPr>
              <w:spacing w:line="32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②</w:t>
            </w:r>
            <w:r>
              <w:rPr>
                <w:rFonts w:cs="宋体" w:asciiTheme="minorEastAsia" w:hAnsiTheme="minorEastAsia"/>
                <w:sz w:val="21"/>
                <w:szCs w:val="21"/>
              </w:rPr>
              <w:t>拟派项目经理</w:t>
            </w:r>
            <w:r>
              <w:rPr>
                <w:rFonts w:hint="eastAsia" w:cs="宋体" w:asciiTheme="minorEastAsia" w:hAnsiTheme="minorEastAsia"/>
                <w:sz w:val="21"/>
                <w:szCs w:val="21"/>
              </w:rPr>
              <w:t>满足5年及以上类似物业项目管理经验，得2分；该管理经验每增加一年加1分，满分5分。</w:t>
            </w:r>
          </w:p>
          <w:p>
            <w:pPr>
              <w:spacing w:line="320" w:lineRule="exact"/>
              <w:ind w:firstLine="420" w:firstLineChars="200"/>
              <w:jc w:val="both"/>
              <w:rPr>
                <w:rFonts w:cs="宋体" w:asciiTheme="minorEastAsia" w:hAnsiTheme="minorEastAsia"/>
                <w:sz w:val="21"/>
                <w:szCs w:val="21"/>
              </w:rPr>
            </w:pPr>
            <w:r>
              <w:rPr>
                <w:rFonts w:cs="宋体" w:asciiTheme="minorEastAsia" w:hAnsiTheme="minorEastAsia"/>
                <w:b/>
                <w:sz w:val="21"/>
                <w:szCs w:val="21"/>
              </w:rPr>
              <w:t>赋分依据：</w:t>
            </w:r>
            <w:r>
              <w:rPr>
                <w:rFonts w:cs="宋体" w:asciiTheme="minorEastAsia" w:hAnsiTheme="minorEastAsia"/>
                <w:sz w:val="21"/>
                <w:szCs w:val="21"/>
              </w:rPr>
              <w:t>提供被服务单位加盖公章的证明材料，不提供或缺漏项不得分。</w:t>
            </w:r>
          </w:p>
          <w:p>
            <w:pPr>
              <w:tabs>
                <w:tab w:val="left" w:pos="547"/>
              </w:tabs>
              <w:spacing w:line="320" w:lineRule="exact"/>
              <w:ind w:firstLine="420" w:firstLineChars="200"/>
              <w:jc w:val="both"/>
              <w:rPr>
                <w:rFonts w:cs="宋体" w:asciiTheme="minorEastAsia" w:hAnsiTheme="minorEastAsia"/>
                <w:sz w:val="21"/>
                <w:szCs w:val="21"/>
              </w:rPr>
            </w:pPr>
            <w:r>
              <w:rPr>
                <w:rFonts w:hint="eastAsia" w:cs="宋体" w:asciiTheme="minorEastAsia" w:hAnsiTheme="minorEastAsia"/>
                <w:sz w:val="21"/>
                <w:szCs w:val="21"/>
              </w:rPr>
              <w:t>注：提供2024年1月1日起供应商为其缴纳的不少于1年的社保缴纳证明，否则以上各项均不计分。</w:t>
            </w:r>
          </w:p>
        </w:tc>
        <w:tc>
          <w:tcPr>
            <w:tcW w:w="1535" w:type="dxa"/>
            <w:shd w:val="clear" w:color="auto" w:fill="auto"/>
            <w:vAlign w:val="center"/>
          </w:tcPr>
          <w:p>
            <w:pPr>
              <w:spacing w:line="400" w:lineRule="exact"/>
              <w:jc w:val="center"/>
              <w:rPr>
                <w:rFonts w:cs="宋体" w:asciiTheme="minorEastAsia" w:hAnsiTheme="minorEastAsia"/>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640"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11</w:t>
            </w:r>
          </w:p>
        </w:tc>
        <w:tc>
          <w:tcPr>
            <w:tcW w:w="5692" w:type="dxa"/>
            <w:shd w:val="clear" w:color="auto" w:fill="auto"/>
          </w:tcPr>
          <w:p>
            <w:pPr>
              <w:pStyle w:val="100"/>
              <w:spacing w:line="320" w:lineRule="exact"/>
              <w:ind w:firstLine="420" w:firstLineChars="200"/>
              <w:jc w:val="both"/>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其他人员：</w:t>
            </w:r>
          </w:p>
          <w:p>
            <w:pPr>
              <w:pStyle w:val="100"/>
              <w:spacing w:line="32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1、配备1名中式</w:t>
            </w:r>
            <w:r>
              <w:rPr>
                <w:rFonts w:asciiTheme="minorEastAsia" w:hAnsiTheme="minorEastAsia" w:eastAsiaTheme="minorEastAsia"/>
                <w:sz w:val="21"/>
                <w:szCs w:val="21"/>
                <w:lang w:eastAsia="zh-CN"/>
              </w:rPr>
              <w:t>烹调师（</w:t>
            </w:r>
            <w:r>
              <w:rPr>
                <w:rFonts w:hint="eastAsia" w:asciiTheme="minorEastAsia" w:hAnsiTheme="minorEastAsia" w:eastAsiaTheme="minorEastAsia"/>
                <w:sz w:val="21"/>
                <w:szCs w:val="21"/>
                <w:lang w:eastAsia="zh-CN"/>
              </w:rPr>
              <w:t>高级技师/一级</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或者西式</w:t>
            </w:r>
            <w:r>
              <w:rPr>
                <w:rFonts w:asciiTheme="minorEastAsia" w:hAnsiTheme="minorEastAsia" w:eastAsiaTheme="minorEastAsia"/>
                <w:sz w:val="21"/>
                <w:szCs w:val="21"/>
                <w:lang w:eastAsia="zh-CN"/>
              </w:rPr>
              <w:t>烹调师（</w:t>
            </w:r>
            <w:r>
              <w:rPr>
                <w:rFonts w:hint="eastAsia" w:asciiTheme="minorEastAsia" w:hAnsiTheme="minorEastAsia" w:eastAsiaTheme="minorEastAsia"/>
                <w:sz w:val="21"/>
                <w:szCs w:val="21"/>
                <w:lang w:eastAsia="zh-CN"/>
              </w:rPr>
              <w:t>高级技师/一级</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得1分。本项最高3分；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2、配备1名高级营养师得3分；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3、配备1名食品安全管理师得3分；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4、配备1名有害生物防治员（高级）得2分。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注：以上人员提供职业资格证书扫描件以及2024年1月1日起供应商为其缴纳的不少于6个月的社保缴纳证明，否则以上各项均不计分。</w:t>
            </w:r>
          </w:p>
        </w:tc>
        <w:tc>
          <w:tcPr>
            <w:tcW w:w="1535" w:type="dxa"/>
            <w:shd w:val="clear" w:color="auto" w:fill="auto"/>
            <w:vAlign w:val="center"/>
          </w:tcPr>
          <w:p>
            <w:pPr>
              <w:spacing w:line="400" w:lineRule="exact"/>
              <w:jc w:val="center"/>
              <w:rPr>
                <w:rFonts w:cs="宋体" w:asciiTheme="minorEastAsia" w:hAnsiTheme="minorEastAsia"/>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640"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cs="宋体" w:asciiTheme="minorEastAsia" w:hAnsiTheme="minorEastAsia"/>
                <w:bCs/>
                <w:sz w:val="21"/>
                <w:szCs w:val="21"/>
              </w:rPr>
              <w:t>9</w:t>
            </w:r>
          </w:p>
        </w:tc>
        <w:tc>
          <w:tcPr>
            <w:tcW w:w="5692" w:type="dxa"/>
            <w:shd w:val="clear" w:color="auto" w:fill="auto"/>
          </w:tcPr>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人员配置:</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一、评审内容</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供应商提供针对本项目的人员配置方案，方案内容包含:①人员组织架构、内部分工；②素质标准（主要表现为职业技能水平）。</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二、评审标准</w:t>
            </w:r>
          </w:p>
          <w:p>
            <w:pPr>
              <w:tabs>
                <w:tab w:val="left" w:pos="547"/>
              </w:tabs>
              <w:autoSpaceDE w:val="0"/>
              <w:autoSpaceDN w:val="0"/>
              <w:adjustRightInd w:val="0"/>
              <w:snapToGrid w:val="0"/>
              <w:spacing w:line="320" w:lineRule="exact"/>
              <w:ind w:firstLine="420" w:firstLineChars="200"/>
              <w:rPr>
                <w:rFonts w:ascii="宋体" w:hAnsi="宋体" w:eastAsia="宋体" w:cs="宋体"/>
                <w:sz w:val="21"/>
                <w:szCs w:val="21"/>
              </w:rPr>
            </w:pPr>
            <w:r>
              <w:rPr>
                <w:rFonts w:hint="eastAsia" w:ascii="宋体" w:hAnsi="宋体" w:eastAsia="宋体" w:cs="宋体"/>
                <w:sz w:val="21"/>
                <w:szCs w:val="21"/>
              </w:rPr>
              <w:t>①完整性：内容须全面，对评审内容中的各项要求有详细描述及说明；</w:t>
            </w:r>
          </w:p>
          <w:p>
            <w:pPr>
              <w:tabs>
                <w:tab w:val="left" w:pos="547"/>
              </w:tabs>
              <w:autoSpaceDE w:val="0"/>
              <w:autoSpaceDN w:val="0"/>
              <w:adjustRightInd w:val="0"/>
              <w:snapToGrid w:val="0"/>
              <w:spacing w:line="320" w:lineRule="exact"/>
              <w:ind w:firstLine="420" w:firstLineChars="200"/>
              <w:rPr>
                <w:rFonts w:ascii="宋体" w:hAnsi="宋体" w:eastAsia="宋体" w:cs="宋体"/>
                <w:sz w:val="21"/>
                <w:szCs w:val="21"/>
              </w:rPr>
            </w:pPr>
            <w:r>
              <w:rPr>
                <w:rFonts w:hint="eastAsia" w:ascii="宋体" w:hAnsi="宋体" w:eastAsia="宋体" w:cs="宋体"/>
                <w:sz w:val="21"/>
                <w:szCs w:val="21"/>
              </w:rPr>
              <w:t>②专业</w:t>
            </w:r>
            <w:r>
              <w:rPr>
                <w:rFonts w:ascii="宋体" w:hAnsi="宋体" w:eastAsia="宋体" w:cs="宋体"/>
                <w:sz w:val="21"/>
                <w:szCs w:val="21"/>
              </w:rPr>
              <w:t>性</w:t>
            </w:r>
            <w:r>
              <w:rPr>
                <w:rFonts w:hint="eastAsia" w:ascii="宋体" w:hAnsi="宋体" w:eastAsia="宋体" w:cs="宋体"/>
                <w:sz w:val="21"/>
                <w:szCs w:val="21"/>
              </w:rPr>
              <w:t>：人员相关岗位</w:t>
            </w:r>
            <w:r>
              <w:rPr>
                <w:rFonts w:ascii="宋体" w:hAnsi="宋体" w:eastAsia="宋体" w:cs="宋体"/>
                <w:sz w:val="21"/>
                <w:szCs w:val="21"/>
              </w:rPr>
              <w:t>经验丰富，切合本项目实际情况</w:t>
            </w:r>
            <w:r>
              <w:rPr>
                <w:rFonts w:hint="eastAsia" w:ascii="宋体" w:hAnsi="宋体" w:eastAsia="宋体" w:cs="宋体"/>
                <w:sz w:val="21"/>
                <w:szCs w:val="21"/>
              </w:rPr>
              <w:t>。</w:t>
            </w:r>
          </w:p>
          <w:p>
            <w:pPr>
              <w:spacing w:line="320" w:lineRule="exact"/>
              <w:ind w:firstLine="420" w:firstLineChars="200"/>
              <w:rPr>
                <w:rFonts w:ascii="宋体" w:hAnsi="宋体" w:eastAsia="宋体" w:cs="宋体"/>
                <w:sz w:val="21"/>
                <w:szCs w:val="21"/>
              </w:rPr>
            </w:pPr>
            <w:r>
              <w:rPr>
                <w:rFonts w:hint="eastAsia" w:ascii="宋体" w:hAnsi="宋体" w:eastAsia="宋体" w:cs="宋体"/>
                <w:sz w:val="21"/>
                <w:szCs w:val="21"/>
              </w:rPr>
              <w:t>③针对性：人员数量</w:t>
            </w:r>
            <w:r>
              <w:rPr>
                <w:rFonts w:ascii="宋体" w:hAnsi="宋体" w:eastAsia="宋体" w:cs="宋体"/>
                <w:sz w:val="21"/>
                <w:szCs w:val="21"/>
              </w:rPr>
              <w:t>充足，人员资格、年龄等符合招标文件要求。</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三、赋分标准（满分9分）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①人员组织架构、内部分工：每完全满足一个评审标准得1.5分，满分4.5分；</w:t>
            </w:r>
          </w:p>
          <w:p>
            <w:pPr>
              <w:spacing w:line="320" w:lineRule="exact"/>
              <w:ind w:firstLine="420" w:firstLineChars="200"/>
              <w:jc w:val="both"/>
              <w:rPr>
                <w:rFonts w:cs="宋体" w:asciiTheme="minorEastAsia" w:hAnsiTheme="minorEastAsia"/>
                <w:sz w:val="21"/>
                <w:szCs w:val="21"/>
              </w:rPr>
            </w:pPr>
            <w:r>
              <w:rPr>
                <w:rFonts w:cs="宋体" w:asciiTheme="minorEastAsia" w:hAnsiTheme="minorEastAsia"/>
                <w:sz w:val="21"/>
                <w:szCs w:val="21"/>
              </w:rPr>
              <w:t>②素质标准：每完全满足一个评审标准得1.5分，满分4.5分。</w:t>
            </w:r>
          </w:p>
        </w:tc>
        <w:tc>
          <w:tcPr>
            <w:tcW w:w="1535" w:type="dxa"/>
            <w:shd w:val="clear" w:color="auto" w:fill="auto"/>
            <w:vAlign w:val="center"/>
          </w:tcPr>
          <w:p>
            <w:pPr>
              <w:spacing w:line="400" w:lineRule="exact"/>
              <w:jc w:val="center"/>
              <w:rPr>
                <w:rFonts w:cs="宋体" w:asciiTheme="minorEastAsia" w:hAnsiTheme="minorEastAsia"/>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640"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cs="宋体" w:asciiTheme="minorEastAsia" w:hAnsiTheme="minorEastAsia"/>
                <w:bCs/>
                <w:sz w:val="21"/>
                <w:szCs w:val="21"/>
              </w:rPr>
              <w:t>5</w:t>
            </w:r>
          </w:p>
        </w:tc>
        <w:tc>
          <w:tcPr>
            <w:tcW w:w="5692" w:type="dxa"/>
            <w:shd w:val="clear" w:color="auto" w:fill="auto"/>
          </w:tcPr>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保密部门业务培训：</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1、供应商曾参加过政府部门组织的相关保密业务培训。提供相关证明材料得</w:t>
            </w:r>
            <w:r>
              <w:rPr>
                <w:rFonts w:hint="eastAsia" w:asciiTheme="minorEastAsia" w:hAnsiTheme="minorEastAsia" w:eastAsiaTheme="minorEastAsia"/>
                <w:sz w:val="21"/>
                <w:szCs w:val="21"/>
                <w:lang w:eastAsia="zh-CN"/>
              </w:rPr>
              <w:t>3</w:t>
            </w:r>
            <w:r>
              <w:rPr>
                <w:rFonts w:asciiTheme="minorEastAsia" w:hAnsiTheme="minorEastAsia" w:eastAsiaTheme="minorEastAsia"/>
                <w:sz w:val="21"/>
                <w:szCs w:val="21"/>
                <w:lang w:eastAsia="zh-CN"/>
              </w:rPr>
              <w:t>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w:t>
            </w:r>
            <w:r>
              <w:rPr>
                <w:rFonts w:hint="eastAsia" w:asciiTheme="minorEastAsia" w:hAnsiTheme="minorEastAsia" w:eastAsiaTheme="minorEastAsia"/>
                <w:sz w:val="21"/>
                <w:szCs w:val="21"/>
                <w:lang w:eastAsia="zh-CN"/>
              </w:rPr>
              <w:t>主要骨干员工(会服、班长及以上岗位)曾参加过保密培训，提供保密部门成绩单。每具有一人得0.2分，本项最高得2分。</w:t>
            </w:r>
          </w:p>
          <w:p>
            <w:pPr>
              <w:spacing w:line="320" w:lineRule="exact"/>
              <w:ind w:firstLine="420" w:firstLineChars="200"/>
              <w:jc w:val="both"/>
              <w:rPr>
                <w:rFonts w:cs="宋体" w:asciiTheme="minorEastAsia" w:hAnsiTheme="minorEastAsia"/>
                <w:sz w:val="21"/>
                <w:szCs w:val="21"/>
              </w:rPr>
            </w:pPr>
            <w:r>
              <w:rPr>
                <w:rFonts w:cs="宋体" w:asciiTheme="minorEastAsia" w:hAnsiTheme="minorEastAsia"/>
                <w:b/>
                <w:sz w:val="21"/>
                <w:szCs w:val="21"/>
              </w:rPr>
              <w:t>赋分依据：</w:t>
            </w:r>
            <w:r>
              <w:rPr>
                <w:rFonts w:cs="宋体" w:asciiTheme="minorEastAsia" w:hAnsiTheme="minorEastAsia"/>
                <w:sz w:val="21"/>
                <w:szCs w:val="21"/>
              </w:rPr>
              <w:t>提供相关政府保密培训证明材料并加盖公章。</w:t>
            </w:r>
          </w:p>
        </w:tc>
        <w:tc>
          <w:tcPr>
            <w:tcW w:w="1535" w:type="dxa"/>
            <w:shd w:val="clear" w:color="auto" w:fill="auto"/>
            <w:vAlign w:val="center"/>
          </w:tcPr>
          <w:p>
            <w:pPr>
              <w:spacing w:line="400" w:lineRule="exact"/>
              <w:jc w:val="center"/>
              <w:rPr>
                <w:rFonts w:cs="宋体" w:asciiTheme="minorEastAsia" w:hAnsiTheme="minorEastAsia"/>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640"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cs="宋体" w:asciiTheme="minorEastAsia" w:hAnsiTheme="minorEastAsia"/>
                <w:bCs/>
                <w:sz w:val="21"/>
                <w:szCs w:val="21"/>
              </w:rPr>
              <w:t>6</w:t>
            </w:r>
          </w:p>
        </w:tc>
        <w:tc>
          <w:tcPr>
            <w:tcW w:w="5692" w:type="dxa"/>
            <w:shd w:val="clear" w:color="auto" w:fill="auto"/>
          </w:tcPr>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员工管理：</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一、评审内容</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针对本项目提出管理及培训制度，制度内容包含：员工招募、培训上岗、日常教育、日常管理、奖惩制度等制度健全，方案切实可行。</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二、评审标准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1、完整性：方案须详细全面，表述清晰完整，完全满足招标文件要求；</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2、可实施性：切合本项目实际情况，实施步骤清晰、合理；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3、针对性：方案能够紧扣项目实际情况，内容科学合理。</w:t>
            </w:r>
          </w:p>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三、赋分标准（满分6分）</w:t>
            </w:r>
          </w:p>
          <w:p>
            <w:pPr>
              <w:spacing w:line="320" w:lineRule="exact"/>
              <w:ind w:firstLine="420" w:firstLineChars="200"/>
              <w:jc w:val="both"/>
              <w:rPr>
                <w:rFonts w:cs="宋体" w:asciiTheme="minorEastAsia" w:hAnsiTheme="minorEastAsia"/>
                <w:sz w:val="21"/>
                <w:szCs w:val="21"/>
              </w:rPr>
            </w:pPr>
            <w:r>
              <w:rPr>
                <w:rFonts w:cs="宋体" w:asciiTheme="minorEastAsia" w:hAnsiTheme="minorEastAsia"/>
                <w:sz w:val="21"/>
                <w:szCs w:val="21"/>
              </w:rPr>
              <w:t>管理及培训制度：每完全满足一项评审标准得2分，满分6</w:t>
            </w:r>
            <w:r>
              <w:rPr>
                <w:rFonts w:hint="eastAsia" w:cs="宋体" w:asciiTheme="minorEastAsia" w:hAnsiTheme="minorEastAsia"/>
                <w:sz w:val="21"/>
                <w:szCs w:val="21"/>
              </w:rPr>
              <w:t>分</w:t>
            </w:r>
            <w:r>
              <w:rPr>
                <w:rFonts w:cs="宋体" w:asciiTheme="minorEastAsia" w:hAnsiTheme="minorEastAsia"/>
                <w:sz w:val="21"/>
                <w:szCs w:val="21"/>
              </w:rPr>
              <w:t>。</w:t>
            </w:r>
          </w:p>
        </w:tc>
        <w:tc>
          <w:tcPr>
            <w:tcW w:w="1535" w:type="dxa"/>
            <w:shd w:val="clear" w:color="auto" w:fill="auto"/>
            <w:vAlign w:val="center"/>
          </w:tcPr>
          <w:p>
            <w:pPr>
              <w:spacing w:line="400" w:lineRule="exact"/>
              <w:jc w:val="center"/>
              <w:rPr>
                <w:rFonts w:cs="宋体" w:asciiTheme="minorEastAsia" w:hAnsiTheme="minorEastAsia"/>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640"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hint="eastAsia" w:cs="宋体" w:asciiTheme="minorEastAsia" w:hAnsiTheme="minorEastAsia"/>
                <w:bCs/>
                <w:sz w:val="21"/>
                <w:szCs w:val="21"/>
              </w:rPr>
              <w:t>3</w:t>
            </w:r>
          </w:p>
        </w:tc>
        <w:tc>
          <w:tcPr>
            <w:tcW w:w="5692" w:type="dxa"/>
            <w:shd w:val="clear" w:color="auto" w:fill="auto"/>
          </w:tcPr>
          <w:p>
            <w:pPr>
              <w:pStyle w:val="100"/>
              <w:spacing w:line="320" w:lineRule="exact"/>
              <w:ind w:firstLine="420" w:firstLineChars="200"/>
              <w:jc w:val="both"/>
              <w:rPr>
                <w:rFonts w:asciiTheme="minorEastAsia" w:hAnsiTheme="minorEastAsia" w:eastAsiaTheme="minorEastAsia"/>
                <w:b/>
                <w:sz w:val="21"/>
                <w:szCs w:val="21"/>
                <w:lang w:eastAsia="zh-CN"/>
              </w:rPr>
            </w:pPr>
            <w:r>
              <w:rPr>
                <w:rFonts w:hint="eastAsia" w:asciiTheme="minorEastAsia" w:hAnsiTheme="minorEastAsia" w:eastAsiaTheme="minorEastAsia"/>
                <w:b/>
                <w:sz w:val="21"/>
                <w:szCs w:val="21"/>
                <w:lang w:eastAsia="zh-CN"/>
              </w:rPr>
              <w:t>管理体系</w:t>
            </w:r>
            <w:r>
              <w:rPr>
                <w:rFonts w:asciiTheme="minorEastAsia" w:hAnsiTheme="minorEastAsia" w:eastAsiaTheme="minorEastAsia"/>
                <w:b/>
                <w:sz w:val="21"/>
                <w:szCs w:val="21"/>
                <w:lang w:eastAsia="zh-CN"/>
              </w:rPr>
              <w:t>：</w:t>
            </w:r>
          </w:p>
          <w:p>
            <w:pPr>
              <w:pStyle w:val="100"/>
              <w:spacing w:line="32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供应商具有有效的质量管理体系认证证书、环境管理体系认证证书、职业健康安全管理体系认证证书。</w:t>
            </w:r>
          </w:p>
          <w:p>
            <w:pPr>
              <w:pStyle w:val="100"/>
              <w:spacing w:line="32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提供证书扫描件加盖公章，并附国家市场监督管理总局全国认证认可信息公共服务平台查询截图的，全部符合计3分，提供</w:t>
            </w:r>
            <w:r>
              <w:rPr>
                <w:rFonts w:asciiTheme="minorEastAsia" w:hAnsiTheme="minorEastAsia" w:eastAsiaTheme="minorEastAsia"/>
                <w:sz w:val="21"/>
                <w:szCs w:val="21"/>
                <w:lang w:eastAsia="zh-CN"/>
              </w:rPr>
              <w:t>不全或者</w:t>
            </w:r>
            <w:r>
              <w:rPr>
                <w:rFonts w:hint="eastAsia" w:asciiTheme="minorEastAsia" w:hAnsiTheme="minorEastAsia" w:eastAsiaTheme="minorEastAsia"/>
                <w:sz w:val="21"/>
                <w:szCs w:val="21"/>
                <w:lang w:eastAsia="zh-CN"/>
              </w:rPr>
              <w:t>不提供计0分。</w:t>
            </w:r>
          </w:p>
        </w:tc>
        <w:tc>
          <w:tcPr>
            <w:tcW w:w="1535" w:type="dxa"/>
            <w:shd w:val="clear" w:color="auto" w:fill="auto"/>
            <w:vAlign w:val="center"/>
          </w:tcPr>
          <w:p>
            <w:pPr>
              <w:spacing w:line="400" w:lineRule="exact"/>
              <w:jc w:val="center"/>
              <w:rPr>
                <w:rFonts w:cs="宋体" w:asciiTheme="minorEastAsia" w:hAnsiTheme="minorEastAsia"/>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640" w:type="dxa"/>
            <w:vMerge w:val="continue"/>
            <w:shd w:val="clear" w:color="auto" w:fill="auto"/>
            <w:vAlign w:val="center"/>
          </w:tcPr>
          <w:p>
            <w:pPr>
              <w:spacing w:line="400" w:lineRule="exact"/>
              <w:jc w:val="center"/>
              <w:rPr>
                <w:rFonts w:cs="宋体" w:asciiTheme="minorEastAsia" w:hAnsiTheme="minorEastAsia"/>
                <w:bCs/>
                <w:sz w:val="21"/>
                <w:szCs w:val="21"/>
              </w:rPr>
            </w:pPr>
          </w:p>
        </w:tc>
        <w:tc>
          <w:tcPr>
            <w:tcW w:w="860" w:type="dxa"/>
            <w:shd w:val="clear" w:color="auto" w:fill="auto"/>
            <w:vAlign w:val="center"/>
          </w:tcPr>
          <w:p>
            <w:pPr>
              <w:spacing w:line="400" w:lineRule="exact"/>
              <w:jc w:val="center"/>
              <w:rPr>
                <w:rFonts w:cs="宋体" w:asciiTheme="minorEastAsia" w:hAnsiTheme="minorEastAsia"/>
                <w:bCs/>
                <w:sz w:val="21"/>
                <w:szCs w:val="21"/>
              </w:rPr>
            </w:pPr>
            <w:r>
              <w:rPr>
                <w:rFonts w:cs="宋体" w:asciiTheme="minorEastAsia" w:hAnsiTheme="minorEastAsia"/>
                <w:bCs/>
                <w:sz w:val="21"/>
                <w:szCs w:val="21"/>
              </w:rPr>
              <w:t>10</w:t>
            </w:r>
          </w:p>
        </w:tc>
        <w:tc>
          <w:tcPr>
            <w:tcW w:w="5692" w:type="dxa"/>
            <w:shd w:val="clear" w:color="auto" w:fill="auto"/>
          </w:tcPr>
          <w:p>
            <w:pPr>
              <w:pStyle w:val="100"/>
              <w:spacing w:line="320" w:lineRule="exact"/>
              <w:ind w:firstLine="420" w:firstLineChars="200"/>
              <w:jc w:val="both"/>
              <w:rPr>
                <w:rFonts w:asciiTheme="minorEastAsia" w:hAnsiTheme="minorEastAsia" w:eastAsiaTheme="minorEastAsia"/>
                <w:b/>
                <w:sz w:val="21"/>
                <w:szCs w:val="21"/>
                <w:lang w:eastAsia="zh-CN"/>
              </w:rPr>
            </w:pPr>
            <w:r>
              <w:rPr>
                <w:rFonts w:asciiTheme="minorEastAsia" w:hAnsiTheme="minorEastAsia" w:eastAsiaTheme="minorEastAsia"/>
                <w:b/>
                <w:sz w:val="21"/>
                <w:szCs w:val="21"/>
                <w:lang w:eastAsia="zh-CN"/>
              </w:rPr>
              <w:t>业绩：</w:t>
            </w:r>
          </w:p>
          <w:p>
            <w:pPr>
              <w:pStyle w:val="100"/>
              <w:spacing w:line="32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提供2022年1月1日（以合同签订时间为准）起类似项目业绩(非住宅类）证明</w:t>
            </w:r>
            <w:r>
              <w:rPr>
                <w:rFonts w:asciiTheme="minorEastAsia" w:hAnsiTheme="minorEastAsia" w:eastAsiaTheme="minorEastAsia"/>
                <w:sz w:val="21"/>
                <w:szCs w:val="21"/>
                <w:lang w:eastAsia="zh-CN"/>
              </w:rPr>
              <w:t>文件</w:t>
            </w:r>
            <w:r>
              <w:rPr>
                <w:rFonts w:hint="eastAsia" w:asciiTheme="minorEastAsia" w:hAnsiTheme="minorEastAsia" w:eastAsiaTheme="minorEastAsia"/>
                <w:sz w:val="21"/>
                <w:szCs w:val="21"/>
                <w:lang w:eastAsia="zh-CN"/>
              </w:rPr>
              <w:t>（包括</w:t>
            </w:r>
            <w:r>
              <w:rPr>
                <w:rFonts w:asciiTheme="minorEastAsia" w:hAnsiTheme="minorEastAsia" w:eastAsiaTheme="minorEastAsia"/>
                <w:sz w:val="21"/>
                <w:szCs w:val="21"/>
                <w:lang w:eastAsia="zh-CN"/>
              </w:rPr>
              <w:t>合</w:t>
            </w:r>
            <w:r>
              <w:rPr>
                <w:rFonts w:hint="eastAsia" w:asciiTheme="minorEastAsia" w:hAnsiTheme="minorEastAsia" w:eastAsiaTheme="minorEastAsia"/>
                <w:sz w:val="21"/>
                <w:szCs w:val="21"/>
                <w:lang w:eastAsia="zh-CN"/>
              </w:rPr>
              <w:t>同、服务评价书、及服务期内任意一张服务费用发票，三者同时出具方为有效。</w:t>
            </w:r>
            <w:r>
              <w:rPr>
                <w:rFonts w:asciiTheme="minorEastAsia" w:hAnsiTheme="minorEastAsia" w:eastAsiaTheme="minorEastAsia"/>
                <w:sz w:val="21"/>
                <w:szCs w:val="21"/>
                <w:lang w:eastAsia="zh-CN"/>
              </w:rPr>
              <w:t>）</w:t>
            </w:r>
            <w:r>
              <w:rPr>
                <w:rFonts w:hint="eastAsia" w:asciiTheme="minorEastAsia" w:hAnsiTheme="minorEastAsia" w:eastAsiaTheme="minorEastAsia"/>
                <w:sz w:val="21"/>
                <w:szCs w:val="21"/>
                <w:lang w:eastAsia="zh-CN"/>
              </w:rPr>
              <w:t>评审时以投标文件中的扫描件加盖公章为计分依据，每出具一份业绩证明文件得1分，满分1</w:t>
            </w:r>
            <w:r>
              <w:rPr>
                <w:rFonts w:asciiTheme="minorEastAsia" w:hAnsiTheme="minorEastAsia" w:eastAsiaTheme="minorEastAsia"/>
                <w:sz w:val="21"/>
                <w:szCs w:val="21"/>
                <w:lang w:eastAsia="zh-CN"/>
              </w:rPr>
              <w:t>0</w:t>
            </w:r>
            <w:r>
              <w:rPr>
                <w:rFonts w:hint="eastAsia" w:asciiTheme="minorEastAsia" w:hAnsiTheme="minorEastAsia" w:eastAsiaTheme="minorEastAsia"/>
                <w:sz w:val="21"/>
                <w:szCs w:val="21"/>
                <w:lang w:eastAsia="zh-CN"/>
              </w:rPr>
              <w:t>分。</w:t>
            </w:r>
          </w:p>
          <w:p>
            <w:pPr>
              <w:pStyle w:val="100"/>
              <w:spacing w:line="32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注：1、供应商需提供合同完整扫描件。</w:t>
            </w:r>
          </w:p>
          <w:p>
            <w:pPr>
              <w:pStyle w:val="100"/>
              <w:spacing w:line="320" w:lineRule="exact"/>
              <w:ind w:firstLine="420" w:firstLineChars="200"/>
              <w:jc w:val="both"/>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2、服务评价书需被服务单位加盖公章。</w:t>
            </w:r>
          </w:p>
          <w:p>
            <w:pPr>
              <w:pStyle w:val="100"/>
              <w:spacing w:line="320" w:lineRule="exact"/>
              <w:ind w:firstLine="420" w:firstLineChars="200"/>
              <w:jc w:val="both"/>
              <w:rPr>
                <w:rFonts w:asciiTheme="minorEastAsia" w:hAnsiTheme="minorEastAsia" w:eastAsiaTheme="minorEastAsia"/>
                <w:sz w:val="21"/>
                <w:szCs w:val="21"/>
                <w:lang w:eastAsia="zh-CN"/>
              </w:rPr>
            </w:pPr>
            <w:r>
              <w:rPr>
                <w:rFonts w:asciiTheme="minorEastAsia" w:hAnsiTheme="minorEastAsia" w:eastAsiaTheme="minorEastAsia"/>
                <w:sz w:val="21"/>
                <w:szCs w:val="21"/>
                <w:lang w:eastAsia="zh-CN"/>
              </w:rPr>
              <w:t>3</w:t>
            </w:r>
            <w:r>
              <w:rPr>
                <w:rFonts w:hint="eastAsia" w:asciiTheme="minorEastAsia" w:hAnsiTheme="minorEastAsia" w:eastAsiaTheme="minorEastAsia"/>
                <w:sz w:val="21"/>
                <w:szCs w:val="21"/>
                <w:lang w:eastAsia="zh-CN"/>
              </w:rPr>
              <w:t>、业绩发票开具时间为投标截止日前30日内的不予认可；同时提供在国家税务总局全国增值税发票查验平台https://inv-veri.chinatax.gov.cn/index.html的查询截图，查询截图查询日期为本项目公告发出之日以后）。</w:t>
            </w:r>
          </w:p>
        </w:tc>
        <w:tc>
          <w:tcPr>
            <w:tcW w:w="1535" w:type="dxa"/>
            <w:shd w:val="clear" w:color="auto" w:fill="auto"/>
            <w:vAlign w:val="center"/>
          </w:tcPr>
          <w:p>
            <w:pPr>
              <w:spacing w:line="400" w:lineRule="exact"/>
              <w:jc w:val="center"/>
              <w:rPr>
                <w:rFonts w:cs="宋体" w:asciiTheme="minorEastAsia" w:hAnsiTheme="minorEastAsia"/>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pPr>
              <w:spacing w:line="400" w:lineRule="exact"/>
              <w:jc w:val="center"/>
              <w:rPr>
                <w:rFonts w:cs="宋体" w:asciiTheme="minorEastAsia" w:hAnsiTheme="minorEastAsia"/>
                <w:bCs/>
                <w:sz w:val="21"/>
                <w:szCs w:val="21"/>
              </w:rPr>
            </w:pPr>
            <w:r>
              <w:rPr>
                <w:rFonts w:cs="宋体" w:asciiTheme="minorEastAsia" w:hAnsiTheme="minorEastAsia"/>
                <w:bCs/>
                <w:sz w:val="21"/>
                <w:szCs w:val="21"/>
              </w:rPr>
              <w:t>说明</w:t>
            </w:r>
          </w:p>
        </w:tc>
        <w:tc>
          <w:tcPr>
            <w:tcW w:w="8727" w:type="dxa"/>
            <w:gridSpan w:val="4"/>
            <w:shd w:val="clear" w:color="auto" w:fill="auto"/>
            <w:vAlign w:val="center"/>
          </w:tcPr>
          <w:p>
            <w:pPr>
              <w:spacing w:line="400" w:lineRule="exact"/>
              <w:ind w:firstLine="420" w:firstLineChars="200"/>
              <w:jc w:val="both"/>
              <w:rPr>
                <w:rFonts w:cs="宋体" w:asciiTheme="minorEastAsia" w:hAnsiTheme="minorEastAsia"/>
                <w:bCs/>
                <w:sz w:val="21"/>
                <w:szCs w:val="21"/>
              </w:rPr>
            </w:pPr>
            <w:r>
              <w:rPr>
                <w:rFonts w:hint="eastAsia" w:cs="宋体" w:asciiTheme="minorEastAsia" w:hAnsiTheme="minorEastAsia"/>
                <w:bCs/>
                <w:sz w:val="21"/>
                <w:szCs w:val="21"/>
              </w:rPr>
              <w:t>1．评标委员会成员必须按照本评审要素据实打分，各类数字计算均按“四舍五入”保留小数点后两位。</w:t>
            </w:r>
          </w:p>
          <w:p>
            <w:pPr>
              <w:spacing w:line="400" w:lineRule="exact"/>
              <w:ind w:firstLine="420" w:firstLineChars="200"/>
              <w:jc w:val="both"/>
              <w:rPr>
                <w:rFonts w:cs="宋体" w:asciiTheme="minorEastAsia" w:hAnsiTheme="minorEastAsia"/>
                <w:bCs/>
                <w:color w:val="FF0000"/>
                <w:sz w:val="21"/>
                <w:szCs w:val="21"/>
              </w:rPr>
            </w:pPr>
            <w:r>
              <w:rPr>
                <w:rFonts w:cs="宋体" w:asciiTheme="minorEastAsia" w:hAnsiTheme="minorEastAsia"/>
                <w:bCs/>
                <w:sz w:val="21"/>
                <w:szCs w:val="21"/>
              </w:rPr>
              <w:t>2．价格评审优惠：</w:t>
            </w:r>
            <w:r>
              <w:rPr>
                <w:rFonts w:hint="eastAsia" w:cs="宋体" w:asciiTheme="minorEastAsia" w:hAnsiTheme="minorEastAsia"/>
                <w:bCs/>
                <w:sz w:val="21"/>
                <w:szCs w:val="21"/>
              </w:rPr>
              <w:t>对符合政府采购优惠政策的小型和微型企业制造的货物、承接的服务的报价给予</w:t>
            </w:r>
            <w:r>
              <w:rPr>
                <w:rFonts w:hint="eastAsia" w:cs="宋体" w:asciiTheme="minorEastAsia" w:hAnsiTheme="minorEastAsia"/>
                <w:bCs/>
                <w:sz w:val="21"/>
                <w:szCs w:val="21"/>
                <w:u w:val="single"/>
              </w:rPr>
              <w:t>10%</w:t>
            </w:r>
            <w:r>
              <w:rPr>
                <w:rFonts w:hint="eastAsia" w:cs="宋体" w:asciiTheme="minorEastAsia" w:hAnsiTheme="minorEastAsia"/>
                <w:bCs/>
                <w:sz w:val="21"/>
                <w:szCs w:val="21"/>
              </w:rPr>
              <w:t>的扣除，用扣除后的价格参加评审；</w:t>
            </w:r>
            <w:r>
              <w:rPr>
                <w:rFonts w:eastAsiaTheme="majorEastAsia" w:cstheme="minorHAnsi"/>
                <w:sz w:val="21"/>
                <w:szCs w:val="21"/>
              </w:rPr>
              <w:t>小型、微型企业的协议合同金额占到联合体协议合同总金额30%以上的，</w:t>
            </w:r>
            <w:r>
              <w:rPr>
                <w:rFonts w:hint="eastAsia" w:eastAsiaTheme="majorEastAsia" w:cstheme="minorHAnsi"/>
                <w:sz w:val="21"/>
                <w:szCs w:val="21"/>
              </w:rPr>
              <w:t>对</w:t>
            </w:r>
            <w:r>
              <w:rPr>
                <w:rFonts w:eastAsiaTheme="majorEastAsia" w:cstheme="minorHAnsi"/>
                <w:sz w:val="21"/>
                <w:szCs w:val="21"/>
              </w:rPr>
              <w:t>联合体</w:t>
            </w:r>
            <w:r>
              <w:rPr>
                <w:rFonts w:hint="eastAsia" w:eastAsiaTheme="majorEastAsia" w:cstheme="minorHAnsi"/>
                <w:sz w:val="21"/>
                <w:szCs w:val="21"/>
              </w:rPr>
              <w:t>的报价</w:t>
            </w:r>
            <w:r>
              <w:rPr>
                <w:rFonts w:eastAsiaTheme="majorEastAsia" w:cstheme="minorHAnsi"/>
                <w:sz w:val="21"/>
                <w:szCs w:val="21"/>
              </w:rPr>
              <w:t>给予</w:t>
            </w:r>
            <w:r>
              <w:rPr>
                <w:rFonts w:eastAsiaTheme="majorEastAsia" w:cstheme="minorHAnsi"/>
                <w:sz w:val="21"/>
                <w:szCs w:val="21"/>
                <w:u w:val="single"/>
              </w:rPr>
              <w:t>4%</w:t>
            </w:r>
            <w:r>
              <w:rPr>
                <w:rFonts w:eastAsiaTheme="majorEastAsia" w:cstheme="minorHAnsi"/>
                <w:sz w:val="21"/>
                <w:szCs w:val="21"/>
              </w:rPr>
              <w:t>的扣除，用扣除后的价格参</w:t>
            </w:r>
            <w:r>
              <w:rPr>
                <w:rFonts w:hint="eastAsia" w:eastAsiaTheme="majorEastAsia" w:cstheme="minorHAnsi"/>
                <w:sz w:val="21"/>
                <w:szCs w:val="21"/>
              </w:rPr>
              <w:t>加</w:t>
            </w:r>
            <w:r>
              <w:rPr>
                <w:rFonts w:eastAsiaTheme="majorEastAsia" w:cstheme="minorHAnsi"/>
                <w:sz w:val="21"/>
                <w:szCs w:val="21"/>
              </w:rPr>
              <w:t>评审</w:t>
            </w:r>
            <w:r>
              <w:rPr>
                <w:rFonts w:hint="eastAsia" w:eastAsiaTheme="majorEastAsia" w:cstheme="minorHAnsi"/>
                <w:sz w:val="21"/>
                <w:szCs w:val="21"/>
              </w:rPr>
              <w:t>。</w:t>
            </w:r>
            <w:r>
              <w:rPr>
                <w:rFonts w:hint="eastAsia" w:cs="宋体" w:asciiTheme="minorEastAsia" w:hAnsiTheme="minorEastAsia"/>
                <w:bCs/>
                <w:sz w:val="21"/>
                <w:szCs w:val="21"/>
              </w:rPr>
              <w:t>未提供中小企业声明函的不享受价格扣除优惠政策；供应商所供货物并非全部由小型或微型企业生产的，不享受价格扣除优惠政策。</w:t>
            </w:r>
          </w:p>
        </w:tc>
      </w:tr>
    </w:tbl>
    <w:p>
      <w:pPr>
        <w:pStyle w:val="82"/>
        <w:ind w:firstLine="482"/>
        <w:rPr>
          <w:b/>
        </w:rPr>
      </w:pPr>
      <w:r>
        <w:rPr>
          <w:b/>
        </w:rPr>
        <w:t>5</w:t>
      </w:r>
      <w:r>
        <w:rPr>
          <w:rFonts w:hint="eastAsia"/>
          <w:b/>
          <w:color w:val="auto"/>
        </w:rPr>
        <w:t>．</w:t>
      </w:r>
      <w:r>
        <w:rPr>
          <w:b/>
        </w:rPr>
        <w:t>推荐中标候选人</w:t>
      </w:r>
    </w:p>
    <w:p>
      <w:pPr>
        <w:pStyle w:val="82"/>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pPr>
        <w:pStyle w:val="82"/>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82"/>
        <w:ind w:firstLine="482"/>
        <w:rPr>
          <w:b/>
        </w:rPr>
      </w:pPr>
      <w:r>
        <w:rPr>
          <w:b/>
        </w:rPr>
        <w:t>6</w:t>
      </w:r>
      <w:r>
        <w:rPr>
          <w:rFonts w:hint="eastAsia"/>
          <w:b/>
          <w:color w:val="auto"/>
        </w:rPr>
        <w:t>．</w:t>
      </w:r>
      <w:r>
        <w:rPr>
          <w:b/>
        </w:rPr>
        <w:t>编写评审报告</w:t>
      </w:r>
    </w:p>
    <w:p>
      <w:pPr>
        <w:pStyle w:val="82"/>
        <w:ind w:firstLine="480"/>
        <w:rPr>
          <w:rFonts w:hAnsi="华文仿宋"/>
        </w:rPr>
      </w:pPr>
      <w:r>
        <w:rPr>
          <w:rFonts w:hint="eastAsia" w:hAnsi="华文仿宋"/>
        </w:rPr>
        <w:t>评审报告是评标委员会根据全体评标成员签字的原始评标记录和评标结果编写的报告。</w:t>
      </w:r>
    </w:p>
    <w:p>
      <w:pPr>
        <w:pStyle w:val="82"/>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4"/>
        <w:ind w:firstLine="482"/>
      </w:pPr>
      <w:r>
        <w:t>（四）</w:t>
      </w:r>
      <w:r>
        <w:rPr>
          <w:rFonts w:hint="eastAsia"/>
        </w:rPr>
        <w:t>评标争议处理规则</w:t>
      </w:r>
    </w:p>
    <w:p>
      <w:pPr>
        <w:pStyle w:val="82"/>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4"/>
        <w:ind w:firstLine="482"/>
      </w:pPr>
      <w:r>
        <w:t>（五）评审现场人员的保密责任</w:t>
      </w:r>
    </w:p>
    <w:p>
      <w:pPr>
        <w:pStyle w:val="82"/>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4"/>
        <w:ind w:firstLine="482"/>
      </w:pPr>
      <w:r>
        <w:t>（六）出现下列情形时，视同供应商串通投标，其投标无效：</w:t>
      </w:r>
    </w:p>
    <w:p>
      <w:pPr>
        <w:pStyle w:val="82"/>
        <w:ind w:firstLine="480"/>
      </w:pPr>
      <w:r>
        <w:t>1</w:t>
      </w:r>
      <w:r>
        <w:rPr>
          <w:rFonts w:hint="eastAsia"/>
          <w:color w:val="auto"/>
        </w:rPr>
        <w:t>．</w:t>
      </w:r>
      <w:r>
        <w:t>不同供应商的投标文件由同一单位或者个人编制；</w:t>
      </w:r>
    </w:p>
    <w:p>
      <w:pPr>
        <w:pStyle w:val="82"/>
        <w:ind w:firstLine="480"/>
      </w:pPr>
      <w:r>
        <w:t>2</w:t>
      </w:r>
      <w:r>
        <w:rPr>
          <w:rFonts w:hint="eastAsia"/>
          <w:color w:val="auto"/>
        </w:rPr>
        <w:t>．</w:t>
      </w:r>
      <w:r>
        <w:t>不同供应商委托同一单位或者个人办理投标事宜；</w:t>
      </w:r>
    </w:p>
    <w:p>
      <w:pPr>
        <w:pStyle w:val="82"/>
        <w:ind w:firstLine="480"/>
      </w:pPr>
      <w:r>
        <w:t>3</w:t>
      </w:r>
      <w:r>
        <w:rPr>
          <w:rFonts w:hint="eastAsia"/>
          <w:color w:val="auto"/>
        </w:rPr>
        <w:t>．</w:t>
      </w:r>
      <w:r>
        <w:t>不同供应商的投标文件载明的项目管理成员或者联系人员为同一人；</w:t>
      </w:r>
    </w:p>
    <w:p>
      <w:pPr>
        <w:pStyle w:val="82"/>
        <w:ind w:firstLine="480"/>
        <w:rPr>
          <w:strike/>
        </w:rPr>
      </w:pPr>
      <w:r>
        <w:t>4</w:t>
      </w:r>
      <w:r>
        <w:rPr>
          <w:rFonts w:hint="eastAsia"/>
          <w:color w:val="auto"/>
        </w:rPr>
        <w:t>．</w:t>
      </w:r>
      <w:r>
        <w:t>不同供应商的投标文件异常一致或者投标报价呈规律性差异。</w:t>
      </w:r>
    </w:p>
    <w:p>
      <w:pPr>
        <w:pStyle w:val="3"/>
      </w:pPr>
      <w:r>
        <w:t>八、中标</w:t>
      </w:r>
    </w:p>
    <w:p>
      <w:pPr>
        <w:pStyle w:val="82"/>
        <w:ind w:firstLine="480"/>
      </w:pPr>
      <w:r>
        <w:rPr>
          <w:rFonts w:hint="eastAsia"/>
        </w:rPr>
        <w:t>1</w:t>
      </w:r>
      <w:r>
        <w:rPr>
          <w:rFonts w:hint="eastAsia"/>
          <w:color w:val="auto"/>
        </w:rPr>
        <w:t>．</w:t>
      </w:r>
      <w:r>
        <w:t>采购代理机构在评标工作结束后2个工作日内将评审报告送采购人。</w:t>
      </w:r>
    </w:p>
    <w:p>
      <w:pPr>
        <w:pStyle w:val="82"/>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82"/>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2"/>
          <w:color w:val="auto"/>
        </w:rPr>
        <w:t>】</w:t>
      </w:r>
      <w:r>
        <w:t>（</w:t>
      </w:r>
      <w:r>
        <w:fldChar w:fldCharType="begin"/>
      </w:r>
      <w:r>
        <w:instrText xml:space="preserve"> HYPERLINK "http://www.ccgp-shaanxi.gov.cn/" </w:instrText>
      </w:r>
      <w:r>
        <w:fldChar w:fldCharType="separate"/>
      </w:r>
      <w:r>
        <w:rPr>
          <w:rStyle w:val="32"/>
          <w:color w:val="0070C0"/>
        </w:rPr>
        <w:t>http://www.ccgp-shaanxi.gov.cn</w:t>
      </w:r>
      <w:r>
        <w:rPr>
          <w:rStyle w:val="32"/>
          <w:rFonts w:hint="eastAsia"/>
          <w:color w:val="0070C0"/>
        </w:rPr>
        <w:t>/</w:t>
      </w:r>
      <w:r>
        <w:rPr>
          <w:rStyle w:val="32"/>
          <w:rFonts w:hint="eastAsia"/>
          <w:color w:val="0070C0"/>
        </w:rPr>
        <w:fldChar w:fldCharType="end"/>
      </w:r>
      <w:r>
        <w:t>）上公布中标结果。中标公告期限为1个工作日。</w:t>
      </w:r>
    </w:p>
    <w:p>
      <w:pPr>
        <w:pStyle w:val="82"/>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pPr>
        <w:pStyle w:val="82"/>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pPr>
        <w:pStyle w:val="82"/>
        <w:ind w:firstLine="480"/>
      </w:pPr>
      <w:r>
        <w:rPr>
          <w:rFonts w:hint="eastAsia"/>
        </w:rPr>
        <w:t>6</w:t>
      </w:r>
      <w:r>
        <w:rPr>
          <w:rFonts w:hint="eastAsia"/>
          <w:color w:val="auto"/>
        </w:rPr>
        <w:t>．</w:t>
      </w:r>
      <w:r>
        <w:rPr>
          <w:rFonts w:hint="eastAsia"/>
        </w:rPr>
        <w:t>采购代理机构按照相关规定将评审报告送同级政府采购监管部门备案。</w:t>
      </w:r>
    </w:p>
    <w:p>
      <w:pPr>
        <w:pStyle w:val="3"/>
      </w:pPr>
      <w:r>
        <w:t>九、合同签订、履行及验收</w:t>
      </w:r>
    </w:p>
    <w:p>
      <w:pPr>
        <w:pStyle w:val="82"/>
        <w:ind w:firstLine="480"/>
      </w:pPr>
      <w:r>
        <w:t>招标文件、投标文件、澄清、补充合同等为政府采购合同的组成部分，具有同等法律效力。</w:t>
      </w:r>
    </w:p>
    <w:p>
      <w:pPr>
        <w:pStyle w:val="4"/>
        <w:ind w:firstLine="482"/>
      </w:pPr>
      <w:r>
        <w:t>（一）签订政府采购合同</w:t>
      </w:r>
    </w:p>
    <w:p>
      <w:pPr>
        <w:pStyle w:val="82"/>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pPr>
        <w:pStyle w:val="82"/>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pPr>
        <w:pStyle w:val="82"/>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82"/>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pPr>
        <w:pStyle w:val="4"/>
        <w:ind w:firstLine="482"/>
      </w:pPr>
      <w:r>
        <w:t>（二）合同公示</w:t>
      </w:r>
    </w:p>
    <w:p>
      <w:pPr>
        <w:pStyle w:val="82"/>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2"/>
        </w:rPr>
        <w:t>http://www.ccgp-shaanxi.gov.cn/</w:t>
      </w:r>
      <w:r>
        <w:rPr>
          <w:rStyle w:val="32"/>
        </w:rPr>
        <w:fldChar w:fldCharType="end"/>
      </w:r>
      <w:r>
        <w:rPr>
          <w:rFonts w:hint="eastAsia"/>
        </w:rPr>
        <w:t>）对合同进行公示，但政府采购合同中涉及国家秘密、商业秘密的内容除外。</w:t>
      </w:r>
    </w:p>
    <w:p>
      <w:pPr>
        <w:pStyle w:val="4"/>
        <w:ind w:firstLine="482"/>
      </w:pPr>
      <w:r>
        <w:t>（三）合同履行</w:t>
      </w:r>
    </w:p>
    <w:p>
      <w:pPr>
        <w:pStyle w:val="82"/>
        <w:ind w:firstLine="480"/>
      </w:pPr>
      <w:r>
        <w:rPr>
          <w:rFonts w:hint="eastAsia"/>
        </w:rPr>
        <w:t>1</w:t>
      </w:r>
      <w:r>
        <w:rPr>
          <w:rFonts w:hint="eastAsia"/>
          <w:color w:val="auto"/>
        </w:rPr>
        <w:t>．</w:t>
      </w:r>
      <w:r>
        <w:rPr>
          <w:rFonts w:hint="eastAsia"/>
        </w:rPr>
        <w:t>合同一经签订，双方应严格履行合同规定的义务。</w:t>
      </w:r>
    </w:p>
    <w:p>
      <w:pPr>
        <w:pStyle w:val="82"/>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pPr>
        <w:pStyle w:val="4"/>
        <w:ind w:firstLine="482"/>
      </w:pPr>
      <w:r>
        <w:t>（四）验收或考核</w:t>
      </w:r>
    </w:p>
    <w:p>
      <w:pPr>
        <w:pStyle w:val="82"/>
        <w:ind w:firstLine="480"/>
      </w:pPr>
      <w:r>
        <w:rPr>
          <w:rFonts w:hint="eastAsia"/>
        </w:rPr>
        <w:t>1</w:t>
      </w:r>
      <w:r>
        <w:rPr>
          <w:rFonts w:hint="eastAsia"/>
          <w:color w:val="auto"/>
        </w:rPr>
        <w:t>．</w:t>
      </w:r>
      <w:r>
        <w:rPr>
          <w:rFonts w:hint="eastAsia"/>
        </w:rPr>
        <w:t>采购人严格按照国家相关法律法规的要求及招标文件的要求组织验收或考核。</w:t>
      </w:r>
    </w:p>
    <w:p>
      <w:pPr>
        <w:pStyle w:val="82"/>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pPr>
        <w:pStyle w:val="3"/>
      </w:pPr>
      <w:r>
        <w:t>十、其他</w:t>
      </w:r>
    </w:p>
    <w:p>
      <w:pPr>
        <w:pStyle w:val="82"/>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pPr>
        <w:pStyle w:val="82"/>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82"/>
        <w:ind w:firstLine="480"/>
      </w:pPr>
      <w:r>
        <w:t>3</w:t>
      </w:r>
      <w:r>
        <w:rPr>
          <w:rFonts w:hint="eastAsia"/>
          <w:color w:val="auto"/>
        </w:rPr>
        <w:t>．</w:t>
      </w:r>
      <w:r>
        <w:t>根据《政府采购法》第三十六条规定，在招标采购中，出现下列情形之一的，本项目按废标处理：</w:t>
      </w:r>
    </w:p>
    <w:p>
      <w:pPr>
        <w:pStyle w:val="82"/>
        <w:ind w:firstLine="480"/>
      </w:pPr>
      <w:r>
        <w:t>（</w:t>
      </w:r>
      <w:r>
        <w:rPr>
          <w:rFonts w:hint="eastAsia"/>
        </w:rPr>
        <w:t>1</w:t>
      </w:r>
      <w:r>
        <w:t>）出现影响采购公正的违法、违规行为的；</w:t>
      </w:r>
    </w:p>
    <w:p>
      <w:pPr>
        <w:pStyle w:val="82"/>
        <w:ind w:firstLine="480"/>
      </w:pPr>
      <w:r>
        <w:t>（</w:t>
      </w:r>
      <w:r>
        <w:rPr>
          <w:rFonts w:hint="eastAsia"/>
        </w:rPr>
        <w:t>2</w:t>
      </w:r>
      <w:r>
        <w:t>）供应商的报价均超过了采购预算，采购人不能支付的；</w:t>
      </w:r>
    </w:p>
    <w:p>
      <w:pPr>
        <w:pStyle w:val="82"/>
        <w:ind w:firstLine="480"/>
      </w:pPr>
      <w:r>
        <w:t>（</w:t>
      </w:r>
      <w:r>
        <w:rPr>
          <w:rFonts w:hint="eastAsia"/>
        </w:rPr>
        <w:t>3</w:t>
      </w:r>
      <w:r>
        <w:t>）因重大变故，采购任务取消的。</w:t>
      </w:r>
    </w:p>
    <w:p>
      <w:pPr>
        <w:pStyle w:val="82"/>
        <w:ind w:firstLine="480"/>
      </w:pPr>
      <w:r>
        <w:t>废标后，除采购任务取消外，本项目将重新组织招标。</w:t>
      </w:r>
    </w:p>
    <w:p>
      <w:pPr>
        <w:pStyle w:val="82"/>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82"/>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82"/>
        <w:ind w:firstLine="480"/>
        <w:sectPr>
          <w:footerReference r:id="rId11" w:type="default"/>
          <w:footerReference r:id="rId12"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pPr>
        <w:pStyle w:val="2"/>
        <w:spacing w:before="230" w:after="230"/>
      </w:pPr>
      <w:bookmarkStart w:id="11" w:name="_Toc205281599"/>
      <w:r>
        <w:rPr>
          <w:rFonts w:hint="eastAsia"/>
        </w:rPr>
        <w:t>第三章　招标内容及要求</w:t>
      </w:r>
      <w:bookmarkEnd w:id="11"/>
    </w:p>
    <w:p>
      <w:pPr>
        <w:jc w:val="center"/>
        <w:rPr>
          <w:color w:val="C00000"/>
        </w:rPr>
      </w:pPr>
      <w:r>
        <w:rPr>
          <w:color w:val="C00000"/>
        </w:rPr>
        <w:t>（标注</w:t>
      </w:r>
      <w:r>
        <w:rPr>
          <w:rFonts w:ascii="Segoe UI Symbol" w:hAnsi="Segoe UI Symbol" w:cs="Segoe UI Symbol"/>
          <w:color w:val="C00000"/>
        </w:rPr>
        <w:t>★的为实质性条款</w:t>
      </w:r>
      <w:r>
        <w:rPr>
          <w:color w:val="C00000"/>
        </w:rPr>
        <w:t>）</w:t>
      </w:r>
    </w:p>
    <w:p>
      <w:pPr>
        <w:pStyle w:val="3"/>
        <w:jc w:val="both"/>
      </w:pPr>
      <w:r>
        <w:rPr>
          <w:rFonts w:hint="eastAsia"/>
        </w:rPr>
        <w:t>一、项目概况</w:t>
      </w:r>
    </w:p>
    <w:p>
      <w:pPr>
        <w:ind w:firstLine="480" w:firstLineChars="200"/>
      </w:pPr>
      <w:r>
        <w:rPr>
          <w:rFonts w:hint="eastAsia"/>
        </w:rPr>
        <w:t>西安市公安局机关位于西安市莲湖区西大街63号，内含治安管理支队等单位营区物业服务。</w:t>
      </w:r>
    </w:p>
    <w:p>
      <w:pPr>
        <w:ind w:firstLine="480" w:firstLineChars="200"/>
        <w:outlineLvl w:val="2"/>
        <w:rPr>
          <w:b/>
        </w:rPr>
      </w:pPr>
      <w:r>
        <w:rPr>
          <w:rFonts w:hint="eastAsia"/>
          <w:b/>
        </w:rPr>
        <w:t>1</w:t>
      </w:r>
      <w:r>
        <w:rPr>
          <w:b/>
        </w:rPr>
        <w:t xml:space="preserve">. </w:t>
      </w:r>
      <w:r>
        <w:rPr>
          <w:rFonts w:hint="eastAsia"/>
          <w:b/>
        </w:rPr>
        <w:t>物业管理（建筑物）</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556"/>
        <w:gridCol w:w="4312"/>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6" w:type="dxa"/>
            <w:gridSpan w:val="2"/>
            <w:tcBorders>
              <w:tl2br w:val="nil"/>
              <w:tr2bl w:val="nil"/>
            </w:tcBorders>
            <w:vAlign w:val="center"/>
          </w:tcPr>
          <w:p>
            <w:pPr>
              <w:widowControl w:val="0"/>
              <w:snapToGrid w:val="0"/>
              <w:spacing w:line="300" w:lineRule="auto"/>
              <w:jc w:val="center"/>
              <w:rPr>
                <w:rFonts w:cs="宋体" w:asciiTheme="minorEastAsia" w:hAnsiTheme="minorEastAsia"/>
                <w:b/>
                <w:bCs/>
                <w:sz w:val="21"/>
                <w:szCs w:val="21"/>
              </w:rPr>
            </w:pPr>
            <w:r>
              <w:rPr>
                <w:rFonts w:hint="eastAsia" w:cs="宋体" w:asciiTheme="minorEastAsia" w:hAnsiTheme="minorEastAsia"/>
                <w:b/>
                <w:bCs/>
                <w:sz w:val="21"/>
                <w:szCs w:val="21"/>
              </w:rPr>
              <w:t>名称</w:t>
            </w:r>
          </w:p>
        </w:tc>
        <w:tc>
          <w:tcPr>
            <w:tcW w:w="4129" w:type="dxa"/>
            <w:tcBorders>
              <w:tl2br w:val="nil"/>
              <w:tr2bl w:val="nil"/>
            </w:tcBorders>
            <w:vAlign w:val="center"/>
          </w:tcPr>
          <w:p>
            <w:pPr>
              <w:widowControl w:val="0"/>
              <w:snapToGrid w:val="0"/>
              <w:spacing w:line="300" w:lineRule="auto"/>
              <w:jc w:val="center"/>
              <w:rPr>
                <w:rFonts w:cs="宋体" w:asciiTheme="minorEastAsia" w:hAnsiTheme="minorEastAsia"/>
                <w:b/>
                <w:bCs/>
                <w:sz w:val="21"/>
                <w:szCs w:val="21"/>
              </w:rPr>
            </w:pPr>
            <w:r>
              <w:rPr>
                <w:rFonts w:hint="eastAsia" w:cs="宋体" w:asciiTheme="minorEastAsia" w:hAnsiTheme="minorEastAsia"/>
                <w:b/>
                <w:bCs/>
                <w:sz w:val="21"/>
                <w:szCs w:val="21"/>
              </w:rPr>
              <w:t>明细</w:t>
            </w:r>
          </w:p>
        </w:tc>
        <w:tc>
          <w:tcPr>
            <w:tcW w:w="2556" w:type="dxa"/>
            <w:tcBorders>
              <w:tl2br w:val="nil"/>
              <w:tr2bl w:val="nil"/>
            </w:tcBorders>
            <w:vAlign w:val="center"/>
          </w:tcPr>
          <w:p>
            <w:pPr>
              <w:widowControl w:val="0"/>
              <w:snapToGrid w:val="0"/>
              <w:spacing w:line="300" w:lineRule="auto"/>
              <w:jc w:val="center"/>
              <w:rPr>
                <w:rFonts w:cs="宋体" w:asciiTheme="minorEastAsia" w:hAnsiTheme="minorEastAsia"/>
                <w:b/>
                <w:bCs/>
                <w:sz w:val="21"/>
                <w:szCs w:val="21"/>
              </w:rPr>
            </w:pPr>
            <w:r>
              <w:rPr>
                <w:rFonts w:hint="eastAsia" w:cs="宋体" w:asciiTheme="minorEastAsia" w:hAnsiTheme="minorEastAsia"/>
                <w:b/>
                <w:bCs/>
                <w:sz w:val="21"/>
                <w:szCs w:val="21"/>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06" w:type="dxa"/>
            <w:gridSpan w:val="2"/>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建筑名称</w:t>
            </w:r>
          </w:p>
        </w:tc>
        <w:tc>
          <w:tcPr>
            <w:tcW w:w="4129"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1号楼至8号楼、工会楼及卫生所</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Merge w:val="restart"/>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总面积</w:t>
            </w:r>
          </w:p>
        </w:tc>
        <w:tc>
          <w:tcPr>
            <w:tcW w:w="1490"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建筑面积（㎡）</w:t>
            </w:r>
          </w:p>
        </w:tc>
        <w:tc>
          <w:tcPr>
            <w:tcW w:w="4129"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约29349.44</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见“2.5保安服务”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tcBorders>
              <w:tl2br w:val="nil"/>
              <w:tr2bl w:val="nil"/>
            </w:tcBorders>
            <w:vAlign w:val="center"/>
          </w:tcPr>
          <w:p>
            <w:pPr>
              <w:rPr>
                <w:rFonts w:asciiTheme="minorEastAsia" w:hAnsiTheme="minorEastAsia"/>
                <w:sz w:val="21"/>
                <w:szCs w:val="21"/>
              </w:rPr>
            </w:pPr>
          </w:p>
        </w:tc>
        <w:tc>
          <w:tcPr>
            <w:tcW w:w="1490"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需保洁面积（㎡）</w:t>
            </w:r>
          </w:p>
        </w:tc>
        <w:tc>
          <w:tcPr>
            <w:tcW w:w="4129"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29349.44</w:t>
            </w:r>
          </w:p>
        </w:tc>
        <w:tc>
          <w:tcPr>
            <w:tcW w:w="2556"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kern w:val="2"/>
                <w:sz w:val="21"/>
                <w:szCs w:val="21"/>
              </w:rPr>
              <w:t>见“2.3保洁服务”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门窗</w:t>
            </w:r>
          </w:p>
        </w:tc>
        <w:tc>
          <w:tcPr>
            <w:tcW w:w="1490"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门窗总数量（个）及总面积（㎡）</w:t>
            </w:r>
          </w:p>
        </w:tc>
        <w:tc>
          <w:tcPr>
            <w:tcW w:w="4129"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cs="宋体" w:asciiTheme="minorEastAsia" w:hAnsiTheme="minorEastAsia"/>
                <w:sz w:val="21"/>
                <w:szCs w:val="21"/>
              </w:rPr>
              <w:t>单元楼宇内共19个大门，总面积约150平米；窗户共980个，</w:t>
            </w:r>
            <w:r>
              <w:rPr>
                <w:rFonts w:hint="eastAsia" w:cs="宋体" w:asciiTheme="minorEastAsia" w:hAnsiTheme="minorEastAsia"/>
                <w:sz w:val="21"/>
                <w:szCs w:val="21"/>
              </w:rPr>
              <w:t>总面积</w:t>
            </w:r>
            <w:r>
              <w:rPr>
                <w:rFonts w:cs="宋体" w:asciiTheme="minorEastAsia" w:hAnsiTheme="minorEastAsia"/>
                <w:sz w:val="21"/>
                <w:szCs w:val="21"/>
              </w:rPr>
              <w:t>约3000平米</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kern w:val="2"/>
                <w:sz w:val="21"/>
                <w:szCs w:val="21"/>
              </w:rPr>
              <w:t>见“2.3保洁服务”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71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地面</w:t>
            </w:r>
          </w:p>
        </w:tc>
        <w:tc>
          <w:tcPr>
            <w:tcW w:w="1490"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地面各材质及总面积（㎡）</w:t>
            </w:r>
          </w:p>
        </w:tc>
        <w:tc>
          <w:tcPr>
            <w:tcW w:w="4129"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瓷砖总面积</w:t>
            </w:r>
            <w:r>
              <w:rPr>
                <w:rFonts w:cs="宋体" w:asciiTheme="minorEastAsia" w:hAnsiTheme="minorEastAsia"/>
                <w:sz w:val="21"/>
                <w:szCs w:val="21"/>
              </w:rPr>
              <w:t>约1100平米</w:t>
            </w:r>
            <w:r>
              <w:rPr>
                <w:rFonts w:hint="eastAsia" w:cs="宋体" w:asciiTheme="minorEastAsia" w:hAnsiTheme="minorEastAsia"/>
                <w:sz w:val="21"/>
                <w:szCs w:val="21"/>
              </w:rPr>
              <w:t>、水磨石总面积</w:t>
            </w:r>
            <w:r>
              <w:rPr>
                <w:rFonts w:cs="宋体" w:asciiTheme="minorEastAsia" w:hAnsiTheme="minorEastAsia"/>
                <w:sz w:val="21"/>
                <w:szCs w:val="21"/>
              </w:rPr>
              <w:t>约3300平米</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kern w:val="2"/>
                <w:sz w:val="21"/>
                <w:szCs w:val="21"/>
              </w:rPr>
              <w:t>见“2.3保洁服务”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dxa"/>
            <w:vMerge w:val="restart"/>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会议室</w:t>
            </w:r>
          </w:p>
        </w:tc>
        <w:tc>
          <w:tcPr>
            <w:tcW w:w="1490"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室内设施说明</w:t>
            </w:r>
          </w:p>
        </w:tc>
        <w:tc>
          <w:tcPr>
            <w:tcW w:w="4129"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会议桌160个、会议椅320个、话筒33个</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kern w:val="2"/>
                <w:sz w:val="21"/>
                <w:szCs w:val="21"/>
              </w:rPr>
              <w:t>见“2.3保洁服务”“2.6会议服务”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tcBorders>
              <w:tl2br w:val="nil"/>
              <w:tr2bl w:val="nil"/>
            </w:tcBorders>
            <w:vAlign w:val="center"/>
          </w:tcPr>
          <w:p>
            <w:pPr>
              <w:rPr>
                <w:rFonts w:asciiTheme="minorEastAsia" w:hAnsiTheme="minorEastAsia"/>
                <w:sz w:val="21"/>
                <w:szCs w:val="21"/>
              </w:rPr>
            </w:pPr>
          </w:p>
        </w:tc>
        <w:tc>
          <w:tcPr>
            <w:tcW w:w="1490"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会议室数量（个）及总面积（㎡）</w:t>
            </w:r>
          </w:p>
        </w:tc>
        <w:tc>
          <w:tcPr>
            <w:tcW w:w="4129"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多功能会议室1个、视频会议室1个</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kern w:val="2"/>
                <w:sz w:val="21"/>
                <w:szCs w:val="21"/>
              </w:rPr>
              <w:t>见“2.3保洁服务”“2.6会议服务”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dxa"/>
            <w:tcBorders>
              <w:tl2br w:val="nil"/>
              <w:tr2bl w:val="nil"/>
            </w:tcBorders>
            <w:vAlign w:val="center"/>
          </w:tcPr>
          <w:p>
            <w:pPr>
              <w:widowControl w:val="0"/>
              <w:snapToGrid w:val="0"/>
              <w:spacing w:line="300" w:lineRule="auto"/>
              <w:jc w:val="both"/>
              <w:rPr>
                <w:rFonts w:cs="宋体" w:asciiTheme="minorEastAsia" w:hAnsiTheme="minorEastAsia"/>
                <w:sz w:val="21"/>
                <w:szCs w:val="21"/>
              </w:rPr>
            </w:pPr>
            <w:r>
              <w:rPr>
                <w:rFonts w:hint="eastAsia" w:cs="宋体" w:asciiTheme="minorEastAsia" w:hAnsiTheme="minorEastAsia"/>
                <w:sz w:val="21"/>
                <w:szCs w:val="21"/>
              </w:rPr>
              <w:t>卫生间</w:t>
            </w:r>
          </w:p>
        </w:tc>
        <w:tc>
          <w:tcPr>
            <w:tcW w:w="1490"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卫生间数量（个）及总面积（㎡）</w:t>
            </w:r>
          </w:p>
        </w:tc>
        <w:tc>
          <w:tcPr>
            <w:tcW w:w="4129"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cs="宋体" w:asciiTheme="minorEastAsia" w:hAnsiTheme="minorEastAsia"/>
                <w:sz w:val="21"/>
                <w:szCs w:val="21"/>
              </w:rPr>
              <w:t>院内56个，540平米；院外8个，85平米</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kern w:val="2"/>
                <w:sz w:val="21"/>
                <w:szCs w:val="21"/>
              </w:rPr>
              <w:t>见“2.3保洁服务”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dxa"/>
            <w:tcBorders>
              <w:tl2br w:val="nil"/>
              <w:tr2bl w:val="nil"/>
            </w:tcBorders>
            <w:vAlign w:val="center"/>
          </w:tcPr>
          <w:p>
            <w:pPr>
              <w:widowControl w:val="0"/>
              <w:snapToGrid w:val="0"/>
              <w:spacing w:line="300" w:lineRule="auto"/>
              <w:jc w:val="both"/>
              <w:rPr>
                <w:rFonts w:cs="宋体" w:asciiTheme="minorEastAsia" w:hAnsiTheme="minorEastAsia"/>
                <w:sz w:val="21"/>
                <w:szCs w:val="21"/>
              </w:rPr>
            </w:pPr>
            <w:r>
              <w:rPr>
                <w:rFonts w:hint="eastAsia" w:cs="宋体" w:asciiTheme="minorEastAsia" w:hAnsiTheme="minorEastAsia"/>
                <w:sz w:val="21"/>
                <w:szCs w:val="21"/>
              </w:rPr>
              <w:t>垃圾存放点</w:t>
            </w:r>
          </w:p>
        </w:tc>
        <w:tc>
          <w:tcPr>
            <w:tcW w:w="1490"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各垃圾存放点位置、面积（㎡）及数量（个）</w:t>
            </w:r>
          </w:p>
        </w:tc>
        <w:tc>
          <w:tcPr>
            <w:tcW w:w="4129"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cs="宋体" w:asciiTheme="minorEastAsia" w:hAnsiTheme="minorEastAsia"/>
                <w:sz w:val="21"/>
                <w:szCs w:val="21"/>
              </w:rPr>
              <w:t>1个垃圾存放点，</w:t>
            </w:r>
            <w:r>
              <w:rPr>
                <w:rFonts w:hint="eastAsia" w:cs="宋体" w:asciiTheme="minorEastAsia" w:hAnsiTheme="minorEastAsia"/>
                <w:sz w:val="21"/>
                <w:szCs w:val="21"/>
              </w:rPr>
              <w:t>位于院内东南角，</w:t>
            </w:r>
            <w:r>
              <w:rPr>
                <w:rFonts w:cs="宋体" w:asciiTheme="minorEastAsia" w:hAnsiTheme="minorEastAsia"/>
                <w:sz w:val="21"/>
                <w:szCs w:val="21"/>
              </w:rPr>
              <w:t>36平米</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kern w:val="2"/>
                <w:sz w:val="21"/>
                <w:szCs w:val="21"/>
              </w:rPr>
              <w:t>见“2.3保洁服务”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dxa"/>
            <w:vMerge w:val="restart"/>
            <w:tcBorders>
              <w:tl2br w:val="nil"/>
              <w:tr2bl w:val="nil"/>
            </w:tcBorders>
            <w:vAlign w:val="center"/>
          </w:tcPr>
          <w:p>
            <w:pPr>
              <w:widowControl w:val="0"/>
              <w:snapToGrid w:val="0"/>
              <w:spacing w:line="300" w:lineRule="auto"/>
              <w:jc w:val="both"/>
              <w:rPr>
                <w:rFonts w:cs="宋体" w:asciiTheme="minorEastAsia" w:hAnsiTheme="minorEastAsia"/>
                <w:sz w:val="21"/>
                <w:szCs w:val="21"/>
              </w:rPr>
            </w:pPr>
            <w:r>
              <w:rPr>
                <w:rFonts w:hint="eastAsia" w:cs="宋体" w:asciiTheme="minorEastAsia" w:hAnsiTheme="minorEastAsia"/>
                <w:sz w:val="21"/>
                <w:szCs w:val="21"/>
              </w:rPr>
              <w:t>车位数</w:t>
            </w:r>
          </w:p>
        </w:tc>
        <w:tc>
          <w:tcPr>
            <w:tcW w:w="1490" w:type="dxa"/>
            <w:tcBorders>
              <w:tl2br w:val="nil"/>
              <w:tr2bl w:val="nil"/>
            </w:tcBorders>
            <w:vAlign w:val="center"/>
          </w:tcPr>
          <w:p>
            <w:pPr>
              <w:widowControl w:val="0"/>
              <w:snapToGrid w:val="0"/>
              <w:spacing w:line="300" w:lineRule="auto"/>
              <w:jc w:val="both"/>
              <w:rPr>
                <w:rFonts w:cs="宋体" w:asciiTheme="minorEastAsia" w:hAnsiTheme="minorEastAsia"/>
                <w:kern w:val="2"/>
                <w:sz w:val="21"/>
                <w:szCs w:val="21"/>
              </w:rPr>
            </w:pPr>
            <w:r>
              <w:rPr>
                <w:rFonts w:hint="eastAsia" w:cs="宋体" w:asciiTheme="minorEastAsia" w:hAnsiTheme="minorEastAsia"/>
                <w:sz w:val="21"/>
                <w:szCs w:val="21"/>
              </w:rPr>
              <w:t>地下车位数</w:t>
            </w:r>
          </w:p>
        </w:tc>
        <w:tc>
          <w:tcPr>
            <w:tcW w:w="4129"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现场无地下车位</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见“2.5保安服务”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tcBorders>
              <w:tl2br w:val="nil"/>
              <w:tr2bl w:val="nil"/>
            </w:tcBorders>
            <w:vAlign w:val="center"/>
          </w:tcPr>
          <w:p>
            <w:pPr>
              <w:rPr>
                <w:rFonts w:asciiTheme="minorEastAsia" w:hAnsiTheme="minorEastAsia"/>
                <w:sz w:val="21"/>
                <w:szCs w:val="21"/>
              </w:rPr>
            </w:pPr>
          </w:p>
        </w:tc>
        <w:tc>
          <w:tcPr>
            <w:tcW w:w="1490" w:type="dxa"/>
            <w:tcBorders>
              <w:tl2br w:val="nil"/>
              <w:tr2bl w:val="nil"/>
            </w:tcBorders>
            <w:vAlign w:val="center"/>
          </w:tcPr>
          <w:p>
            <w:pPr>
              <w:widowControl w:val="0"/>
              <w:snapToGrid w:val="0"/>
              <w:spacing w:line="300" w:lineRule="auto"/>
              <w:jc w:val="both"/>
              <w:rPr>
                <w:rFonts w:cs="宋体" w:asciiTheme="minorEastAsia" w:hAnsiTheme="minorEastAsia"/>
                <w:kern w:val="2"/>
                <w:sz w:val="21"/>
                <w:szCs w:val="21"/>
              </w:rPr>
            </w:pPr>
            <w:r>
              <w:rPr>
                <w:rFonts w:hint="eastAsia" w:cs="宋体" w:asciiTheme="minorEastAsia" w:hAnsiTheme="minorEastAsia"/>
                <w:sz w:val="21"/>
                <w:szCs w:val="21"/>
              </w:rPr>
              <w:t>地面车位数</w:t>
            </w:r>
          </w:p>
        </w:tc>
        <w:tc>
          <w:tcPr>
            <w:tcW w:w="4129"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院内车位176个、西车场118个</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见“2.5保安服务”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dxa"/>
            <w:vMerge w:val="restart"/>
            <w:tcBorders>
              <w:tl2br w:val="nil"/>
              <w:tr2bl w:val="nil"/>
            </w:tcBorders>
            <w:vAlign w:val="center"/>
          </w:tcPr>
          <w:p>
            <w:pPr>
              <w:widowControl w:val="0"/>
              <w:snapToGrid w:val="0"/>
              <w:spacing w:line="300" w:lineRule="auto"/>
              <w:jc w:val="both"/>
              <w:rPr>
                <w:rFonts w:cs="宋体" w:asciiTheme="minorEastAsia" w:hAnsiTheme="minorEastAsia"/>
                <w:sz w:val="21"/>
                <w:szCs w:val="21"/>
              </w:rPr>
            </w:pPr>
            <w:r>
              <w:rPr>
                <w:rFonts w:hint="eastAsia" w:cs="宋体" w:asciiTheme="minorEastAsia" w:hAnsiTheme="minorEastAsia"/>
                <w:sz w:val="21"/>
                <w:szCs w:val="21"/>
              </w:rPr>
              <w:t>车行/人行口</w:t>
            </w:r>
          </w:p>
        </w:tc>
        <w:tc>
          <w:tcPr>
            <w:tcW w:w="1490" w:type="dxa"/>
            <w:tcBorders>
              <w:tl2br w:val="nil"/>
              <w:tr2bl w:val="nil"/>
            </w:tcBorders>
            <w:vAlign w:val="center"/>
          </w:tcPr>
          <w:p>
            <w:pPr>
              <w:widowControl w:val="0"/>
              <w:snapToGrid w:val="0"/>
              <w:spacing w:line="300" w:lineRule="auto"/>
              <w:jc w:val="both"/>
              <w:rPr>
                <w:rFonts w:cs="宋体" w:asciiTheme="minorEastAsia" w:hAnsiTheme="minorEastAsia"/>
                <w:kern w:val="2"/>
                <w:sz w:val="21"/>
                <w:szCs w:val="21"/>
              </w:rPr>
            </w:pPr>
            <w:r>
              <w:rPr>
                <w:rFonts w:hint="eastAsia" w:cs="宋体" w:asciiTheme="minorEastAsia" w:hAnsiTheme="minorEastAsia"/>
                <w:sz w:val="21"/>
                <w:szCs w:val="21"/>
              </w:rPr>
              <w:t>车行口</w:t>
            </w:r>
          </w:p>
        </w:tc>
        <w:tc>
          <w:tcPr>
            <w:tcW w:w="4129"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1个</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见“2.5保安服务”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tcBorders>
              <w:tl2br w:val="nil"/>
              <w:tr2bl w:val="nil"/>
            </w:tcBorders>
            <w:vAlign w:val="center"/>
          </w:tcPr>
          <w:p>
            <w:pPr>
              <w:rPr>
                <w:rFonts w:asciiTheme="minorEastAsia" w:hAnsiTheme="minorEastAsia"/>
                <w:sz w:val="21"/>
                <w:szCs w:val="21"/>
              </w:rPr>
            </w:pPr>
          </w:p>
        </w:tc>
        <w:tc>
          <w:tcPr>
            <w:tcW w:w="1490" w:type="dxa"/>
            <w:tcBorders>
              <w:tl2br w:val="nil"/>
              <w:tr2bl w:val="nil"/>
            </w:tcBorders>
            <w:vAlign w:val="center"/>
          </w:tcPr>
          <w:p>
            <w:pPr>
              <w:widowControl w:val="0"/>
              <w:snapToGrid w:val="0"/>
              <w:spacing w:line="300" w:lineRule="auto"/>
              <w:jc w:val="both"/>
              <w:rPr>
                <w:rFonts w:cs="宋体" w:asciiTheme="minorEastAsia" w:hAnsiTheme="minorEastAsia"/>
                <w:sz w:val="21"/>
                <w:szCs w:val="21"/>
              </w:rPr>
            </w:pPr>
            <w:r>
              <w:rPr>
                <w:rFonts w:hint="eastAsia" w:cs="宋体" w:asciiTheme="minorEastAsia" w:hAnsiTheme="minorEastAsia"/>
                <w:sz w:val="21"/>
                <w:szCs w:val="21"/>
              </w:rPr>
              <w:t>人行口</w:t>
            </w:r>
          </w:p>
        </w:tc>
        <w:tc>
          <w:tcPr>
            <w:tcW w:w="4129"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1个</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见“2.5保安服务”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6" w:type="dxa"/>
            <w:vMerge w:val="restart"/>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设施设备（可另行附表）</w:t>
            </w:r>
          </w:p>
          <w:p>
            <w:pPr>
              <w:widowControl w:val="0"/>
              <w:snapToGrid w:val="0"/>
              <w:spacing w:line="300" w:lineRule="auto"/>
              <w:rPr>
                <w:rFonts w:cs="宋体" w:asciiTheme="minorEastAsia" w:hAnsiTheme="minorEastAsia"/>
                <w:sz w:val="21"/>
                <w:szCs w:val="21"/>
              </w:rPr>
            </w:pPr>
          </w:p>
        </w:tc>
        <w:tc>
          <w:tcPr>
            <w:tcW w:w="1490"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空调系统</w:t>
            </w:r>
          </w:p>
        </w:tc>
        <w:tc>
          <w:tcPr>
            <w:tcW w:w="4129"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多联式空调系统;总功率200千瓦；部分已过质保期（定期检测维护）</w:t>
            </w:r>
          </w:p>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壁挂式单元式空调750台、总功率826千瓦、部分已过质保期（定期检测维护）</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见“2.5保安服务”“2.2公用设施设备维护服务”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tcBorders>
              <w:tl2br w:val="nil"/>
              <w:tr2bl w:val="nil"/>
            </w:tcBorders>
            <w:vAlign w:val="center"/>
          </w:tcPr>
          <w:p>
            <w:pPr>
              <w:rPr>
                <w:rFonts w:asciiTheme="minorEastAsia" w:hAnsiTheme="minorEastAsia"/>
                <w:sz w:val="21"/>
                <w:szCs w:val="21"/>
              </w:rPr>
            </w:pPr>
          </w:p>
        </w:tc>
        <w:tc>
          <w:tcPr>
            <w:tcW w:w="1490"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采暖系统</w:t>
            </w:r>
          </w:p>
        </w:tc>
        <w:tc>
          <w:tcPr>
            <w:tcW w:w="4129"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采用散热片进行供暖；</w:t>
            </w:r>
          </w:p>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以天然气燃气锅炉供暖为主；</w:t>
            </w:r>
          </w:p>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共有锅炉3台，总功率为4200千瓦，已过质保期（定期检测维护）</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见“2.5保安服务”“2.2公用设施设备维护服务”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73" w:type="dxa"/>
            <w:vMerge w:val="continue"/>
            <w:tcBorders>
              <w:tl2br w:val="nil"/>
              <w:tr2bl w:val="nil"/>
            </w:tcBorders>
            <w:vAlign w:val="center"/>
          </w:tcPr>
          <w:p>
            <w:pPr>
              <w:rPr>
                <w:rFonts w:asciiTheme="minorEastAsia" w:hAnsiTheme="minorEastAsia"/>
                <w:sz w:val="21"/>
                <w:szCs w:val="21"/>
              </w:rPr>
            </w:pPr>
          </w:p>
        </w:tc>
        <w:tc>
          <w:tcPr>
            <w:tcW w:w="1490"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给排水系统</w:t>
            </w:r>
          </w:p>
        </w:tc>
        <w:tc>
          <w:tcPr>
            <w:tcW w:w="4129"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市政统一供水、排污</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见“2.5保安服务”“2.2公用设施设备维护服务”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1173" w:type="dxa"/>
            <w:vMerge w:val="continue"/>
            <w:tcBorders>
              <w:tl2br w:val="nil"/>
              <w:tr2bl w:val="nil"/>
            </w:tcBorders>
            <w:vAlign w:val="center"/>
          </w:tcPr>
          <w:p>
            <w:pPr>
              <w:rPr>
                <w:rFonts w:asciiTheme="minorEastAsia" w:hAnsiTheme="minorEastAsia"/>
                <w:sz w:val="21"/>
                <w:szCs w:val="21"/>
              </w:rPr>
            </w:pPr>
          </w:p>
        </w:tc>
        <w:tc>
          <w:tcPr>
            <w:tcW w:w="1490"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消防系统</w:t>
            </w:r>
          </w:p>
        </w:tc>
        <w:tc>
          <w:tcPr>
            <w:tcW w:w="4129"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cs="宋体" w:asciiTheme="minorEastAsia" w:hAnsiTheme="minorEastAsia"/>
                <w:sz w:val="21"/>
                <w:szCs w:val="21"/>
              </w:rPr>
              <w:t>现场配备4KG干粉灭火器200具</w:t>
            </w:r>
            <w:r>
              <w:rPr>
                <w:rFonts w:hint="eastAsia" w:cs="宋体" w:asciiTheme="minorEastAsia" w:hAnsiTheme="minorEastAsia"/>
                <w:sz w:val="21"/>
                <w:szCs w:val="21"/>
              </w:rPr>
              <w:t>、</w:t>
            </w:r>
            <w:r>
              <w:rPr>
                <w:rFonts w:cs="宋体" w:asciiTheme="minorEastAsia" w:hAnsiTheme="minorEastAsia"/>
                <w:sz w:val="21"/>
                <w:szCs w:val="21"/>
              </w:rPr>
              <w:t>8KG干粉灭火器62具</w:t>
            </w:r>
            <w:r>
              <w:rPr>
                <w:rFonts w:hint="eastAsia" w:cs="宋体" w:asciiTheme="minorEastAsia" w:hAnsiTheme="minorEastAsia"/>
                <w:sz w:val="21"/>
                <w:szCs w:val="21"/>
              </w:rPr>
              <w:t>、</w:t>
            </w:r>
            <w:r>
              <w:rPr>
                <w:rFonts w:cs="宋体" w:asciiTheme="minorEastAsia" w:hAnsiTheme="minorEastAsia"/>
                <w:sz w:val="21"/>
                <w:szCs w:val="21"/>
              </w:rPr>
              <w:t>35KG干粉灭火器16具</w:t>
            </w:r>
            <w:r>
              <w:rPr>
                <w:rFonts w:hint="eastAsia" w:cs="宋体" w:asciiTheme="minorEastAsia" w:hAnsiTheme="minorEastAsia"/>
                <w:sz w:val="21"/>
                <w:szCs w:val="21"/>
              </w:rPr>
              <w:t>、</w:t>
            </w:r>
            <w:r>
              <w:rPr>
                <w:rFonts w:cs="宋体" w:asciiTheme="minorEastAsia" w:hAnsiTheme="minorEastAsia"/>
                <w:sz w:val="21"/>
                <w:szCs w:val="21"/>
              </w:rPr>
              <w:t>2KG二氧化碳灭火器27具</w:t>
            </w:r>
            <w:r>
              <w:rPr>
                <w:rFonts w:hint="eastAsia" w:cs="宋体" w:asciiTheme="minorEastAsia" w:hAnsiTheme="minorEastAsia"/>
                <w:sz w:val="21"/>
                <w:szCs w:val="21"/>
              </w:rPr>
              <w:t>、</w:t>
            </w:r>
            <w:r>
              <w:rPr>
                <w:rFonts w:cs="宋体" w:asciiTheme="minorEastAsia" w:hAnsiTheme="minorEastAsia"/>
                <w:sz w:val="21"/>
                <w:szCs w:val="21"/>
              </w:rPr>
              <w:t>3KG二氧化碳灭火器53具、5KG干粉灭火器2具</w:t>
            </w:r>
            <w:r>
              <w:rPr>
                <w:rFonts w:hint="eastAsia" w:cs="宋体" w:asciiTheme="minorEastAsia" w:hAnsiTheme="minorEastAsia"/>
                <w:sz w:val="21"/>
                <w:szCs w:val="21"/>
              </w:rPr>
              <w:t>（定期检测维护）</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见“2.5保安服务”“2.2公用设施设备维护服务”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tcBorders>
              <w:tl2br w:val="nil"/>
              <w:tr2bl w:val="nil"/>
            </w:tcBorders>
            <w:vAlign w:val="center"/>
          </w:tcPr>
          <w:p>
            <w:pPr>
              <w:rPr>
                <w:rFonts w:asciiTheme="minorEastAsia" w:hAnsiTheme="minorEastAsia"/>
                <w:sz w:val="21"/>
                <w:szCs w:val="21"/>
              </w:rPr>
            </w:pPr>
          </w:p>
        </w:tc>
        <w:tc>
          <w:tcPr>
            <w:tcW w:w="1490"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锅炉设备</w:t>
            </w:r>
          </w:p>
        </w:tc>
        <w:tc>
          <w:tcPr>
            <w:tcW w:w="4129"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主要由锅炉间、锅炉操作间、交换间、水处理间构成；共有锅炉3台；总功率4200千瓦，已过质保期（定期检测维护）</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见“2.5保安服务”“2.2公用设施设备维护服务”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tcBorders>
              <w:tl2br w:val="nil"/>
              <w:tr2bl w:val="nil"/>
            </w:tcBorders>
            <w:vAlign w:val="center"/>
          </w:tcPr>
          <w:p>
            <w:pPr>
              <w:rPr>
                <w:rFonts w:asciiTheme="minorEastAsia" w:hAnsiTheme="minorEastAsia"/>
                <w:sz w:val="21"/>
                <w:szCs w:val="21"/>
              </w:rPr>
            </w:pPr>
          </w:p>
        </w:tc>
        <w:tc>
          <w:tcPr>
            <w:tcW w:w="1490"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安防系统</w:t>
            </w:r>
          </w:p>
        </w:tc>
        <w:tc>
          <w:tcPr>
            <w:tcW w:w="4129"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由巡更打点系统及外围防护网组成，已过质保期（定期检测维护）</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见“2.5保安服务”“2.2公用设施设备维护服务”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3" w:type="dxa"/>
            <w:vMerge w:val="continue"/>
            <w:tcBorders>
              <w:tl2br w:val="nil"/>
              <w:tr2bl w:val="nil"/>
            </w:tcBorders>
            <w:vAlign w:val="center"/>
          </w:tcPr>
          <w:p>
            <w:pPr>
              <w:rPr>
                <w:rFonts w:asciiTheme="minorEastAsia" w:hAnsiTheme="minorEastAsia"/>
                <w:sz w:val="21"/>
                <w:szCs w:val="21"/>
              </w:rPr>
            </w:pPr>
          </w:p>
        </w:tc>
        <w:tc>
          <w:tcPr>
            <w:tcW w:w="1490"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照明系统</w:t>
            </w:r>
          </w:p>
        </w:tc>
        <w:tc>
          <w:tcPr>
            <w:tcW w:w="4129" w:type="dxa"/>
            <w:tcBorders>
              <w:tl2br w:val="nil"/>
              <w:tr2bl w:val="nil"/>
            </w:tcBorders>
            <w:vAlign w:val="center"/>
          </w:tcPr>
          <w:p>
            <w:pPr>
              <w:widowControl w:val="0"/>
              <w:snapToGrid w:val="0"/>
              <w:spacing w:line="300" w:lineRule="auto"/>
              <w:rPr>
                <w:rFonts w:cs="宋体" w:asciiTheme="minorEastAsia" w:hAnsiTheme="minorEastAsia"/>
                <w:kern w:val="2"/>
                <w:sz w:val="21"/>
                <w:szCs w:val="21"/>
              </w:rPr>
            </w:pPr>
            <w:r>
              <w:rPr>
                <w:rFonts w:hint="eastAsia" w:cs="宋体" w:asciiTheme="minorEastAsia" w:hAnsiTheme="minorEastAsia"/>
                <w:sz w:val="21"/>
                <w:szCs w:val="21"/>
              </w:rPr>
              <w:t>室外公区照明以户外LED路灯为主，共有50个；室内公区照明为球泡灯55个、荧光灯260个、LED吸顶灯220个、LED平板灯110套</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见“2.5保安服务”“2.2公用设施设备维护服务”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3" w:type="dxa"/>
            <w:vMerge w:val="continue"/>
            <w:tcBorders>
              <w:tl2br w:val="nil"/>
              <w:tr2bl w:val="nil"/>
            </w:tcBorders>
            <w:vAlign w:val="center"/>
          </w:tcPr>
          <w:p>
            <w:pPr>
              <w:rPr>
                <w:rFonts w:asciiTheme="minorEastAsia" w:hAnsiTheme="minorEastAsia"/>
                <w:sz w:val="21"/>
                <w:szCs w:val="21"/>
              </w:rPr>
            </w:pPr>
          </w:p>
        </w:tc>
        <w:tc>
          <w:tcPr>
            <w:tcW w:w="1490"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供配电系统</w:t>
            </w:r>
          </w:p>
        </w:tc>
        <w:tc>
          <w:tcPr>
            <w:tcW w:w="4129"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高压柜6个、低压柜17个；总功率3000千伏安</w:t>
            </w:r>
          </w:p>
        </w:tc>
        <w:tc>
          <w:tcPr>
            <w:tcW w:w="2556" w:type="dxa"/>
            <w:tcBorders>
              <w:tl2br w:val="nil"/>
              <w:tr2bl w:val="nil"/>
            </w:tcBorders>
            <w:vAlign w:val="center"/>
          </w:tcPr>
          <w:p>
            <w:pPr>
              <w:widowControl w:val="0"/>
              <w:snapToGrid w:val="0"/>
              <w:spacing w:line="300" w:lineRule="auto"/>
              <w:rPr>
                <w:rFonts w:cs="宋体" w:asciiTheme="minorEastAsia" w:hAnsiTheme="minorEastAsia"/>
                <w:sz w:val="21"/>
                <w:szCs w:val="21"/>
              </w:rPr>
            </w:pPr>
            <w:r>
              <w:rPr>
                <w:rFonts w:hint="eastAsia" w:cs="宋体" w:asciiTheme="minorEastAsia" w:hAnsiTheme="minorEastAsia"/>
                <w:sz w:val="21"/>
                <w:szCs w:val="21"/>
              </w:rPr>
              <w:t>见“2.2公用设施设备维护服务”</w:t>
            </w:r>
          </w:p>
        </w:tc>
      </w:tr>
    </w:tbl>
    <w:p>
      <w:pPr>
        <w:pStyle w:val="4"/>
        <w:ind w:firstLine="482"/>
        <w:rPr>
          <w:rFonts w:ascii="宋体" w:hAnsi="宋体" w:cs="宋体"/>
          <w:szCs w:val="24"/>
        </w:rPr>
      </w:pPr>
      <w:r>
        <w:rPr>
          <w:rFonts w:hint="eastAsia" w:ascii="宋体" w:hAnsi="宋体" w:cs="宋体"/>
          <w:szCs w:val="24"/>
        </w:rPr>
        <w:t>2</w:t>
      </w:r>
      <w:r>
        <w:rPr>
          <w:rFonts w:ascii="宋体" w:hAnsi="宋体" w:cs="宋体"/>
          <w:szCs w:val="24"/>
        </w:rPr>
        <w:t xml:space="preserve">. </w:t>
      </w:r>
      <w:r>
        <w:rPr>
          <w:rFonts w:hint="eastAsia" w:ascii="宋体" w:hAnsi="宋体" w:cs="宋体"/>
          <w:szCs w:val="24"/>
        </w:rPr>
        <w:t>物业管理（室外）</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3379"/>
        <w:gridCol w:w="4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4" w:type="dxa"/>
            <w:tcBorders>
              <w:tl2br w:val="nil"/>
              <w:tr2bl w:val="nil"/>
            </w:tcBorders>
            <w:vAlign w:val="center"/>
          </w:tcPr>
          <w:p>
            <w:pPr>
              <w:widowControl w:val="0"/>
              <w:snapToGrid w:val="0"/>
              <w:spacing w:line="300" w:lineRule="auto"/>
              <w:jc w:val="center"/>
              <w:rPr>
                <w:rFonts w:ascii="宋体" w:hAnsi="宋体" w:cs="宋体"/>
                <w:b/>
                <w:bCs/>
                <w:kern w:val="2"/>
                <w:sz w:val="21"/>
                <w:szCs w:val="21"/>
              </w:rPr>
            </w:pPr>
            <w:r>
              <w:rPr>
                <w:rFonts w:hint="eastAsia" w:ascii="宋体" w:hAnsi="宋体" w:cs="宋体"/>
                <w:b/>
                <w:bCs/>
                <w:sz w:val="21"/>
                <w:szCs w:val="21"/>
              </w:rPr>
              <w:t>名称</w:t>
            </w:r>
          </w:p>
        </w:tc>
        <w:tc>
          <w:tcPr>
            <w:tcW w:w="3236" w:type="dxa"/>
            <w:tcBorders>
              <w:tl2br w:val="nil"/>
              <w:tr2bl w:val="nil"/>
            </w:tcBorders>
            <w:vAlign w:val="center"/>
          </w:tcPr>
          <w:p>
            <w:pPr>
              <w:widowControl w:val="0"/>
              <w:snapToGrid w:val="0"/>
              <w:spacing w:line="300" w:lineRule="auto"/>
              <w:jc w:val="center"/>
              <w:rPr>
                <w:rFonts w:ascii="宋体" w:hAnsi="宋体" w:cs="宋体"/>
                <w:b/>
                <w:bCs/>
                <w:kern w:val="2"/>
                <w:sz w:val="21"/>
                <w:szCs w:val="21"/>
              </w:rPr>
            </w:pPr>
            <w:r>
              <w:rPr>
                <w:rFonts w:hint="eastAsia" w:ascii="宋体" w:hAnsi="宋体" w:cs="宋体"/>
                <w:b/>
                <w:bCs/>
                <w:sz w:val="21"/>
                <w:szCs w:val="21"/>
              </w:rPr>
              <w:t>明细</w:t>
            </w:r>
          </w:p>
        </w:tc>
        <w:tc>
          <w:tcPr>
            <w:tcW w:w="4047" w:type="dxa"/>
            <w:tcBorders>
              <w:tl2br w:val="nil"/>
              <w:tr2bl w:val="nil"/>
            </w:tcBorders>
            <w:vAlign w:val="center"/>
          </w:tcPr>
          <w:p>
            <w:pPr>
              <w:widowControl w:val="0"/>
              <w:snapToGrid w:val="0"/>
              <w:spacing w:line="300" w:lineRule="auto"/>
              <w:jc w:val="center"/>
              <w:rPr>
                <w:rFonts w:ascii="宋体" w:hAnsi="宋体" w:cs="宋体"/>
                <w:b/>
                <w:bCs/>
                <w:sz w:val="21"/>
                <w:szCs w:val="21"/>
              </w:rPr>
            </w:pPr>
            <w:r>
              <w:rPr>
                <w:rFonts w:hint="eastAsia" w:ascii="宋体" w:hAnsi="宋体" w:cs="宋体"/>
                <w:b/>
                <w:bCs/>
                <w:sz w:val="21"/>
                <w:szCs w:val="21"/>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4" w:type="dxa"/>
            <w:tcBorders>
              <w:tl2br w:val="nil"/>
              <w:tr2bl w:val="nil"/>
            </w:tcBorders>
            <w:vAlign w:val="center"/>
          </w:tcPr>
          <w:p>
            <w:pPr>
              <w:jc w:val="both"/>
              <w:rPr>
                <w:rFonts w:ascii="宋体" w:hAnsi="宋体" w:cs="宋体"/>
                <w:sz w:val="21"/>
                <w:szCs w:val="21"/>
              </w:rPr>
            </w:pPr>
            <w:r>
              <w:rPr>
                <w:rFonts w:hint="eastAsia" w:ascii="宋体" w:hAnsi="宋体" w:cs="宋体"/>
                <w:sz w:val="21"/>
                <w:szCs w:val="21"/>
              </w:rPr>
              <w:t>室外面积</w:t>
            </w:r>
          </w:p>
        </w:tc>
        <w:tc>
          <w:tcPr>
            <w:tcW w:w="3236" w:type="dxa"/>
            <w:tcBorders>
              <w:tl2br w:val="nil"/>
              <w:tr2bl w:val="nil"/>
            </w:tcBorders>
            <w:vAlign w:val="center"/>
          </w:tcPr>
          <w:p>
            <w:pPr>
              <w:jc w:val="both"/>
              <w:rPr>
                <w:rFonts w:ascii="宋体" w:hAnsi="宋体" w:cs="宋体"/>
                <w:sz w:val="21"/>
                <w:szCs w:val="21"/>
              </w:rPr>
            </w:pPr>
            <w:r>
              <w:rPr>
                <w:rFonts w:ascii="宋体" w:hAnsi="宋体" w:cs="宋体"/>
                <w:sz w:val="21"/>
                <w:szCs w:val="21"/>
              </w:rPr>
              <w:t>约</w:t>
            </w:r>
            <w:r>
              <w:rPr>
                <w:rFonts w:hint="eastAsia" w:ascii="宋体" w:hAnsi="宋体" w:cs="宋体"/>
                <w:sz w:val="21"/>
                <w:szCs w:val="21"/>
              </w:rPr>
              <w:t>12000平米</w:t>
            </w:r>
          </w:p>
        </w:tc>
        <w:tc>
          <w:tcPr>
            <w:tcW w:w="4047" w:type="dxa"/>
            <w:tcBorders>
              <w:tl2br w:val="nil"/>
              <w:tr2bl w:val="nil"/>
            </w:tcBorders>
            <w:vAlign w:val="center"/>
          </w:tcPr>
          <w:p>
            <w:pPr>
              <w:jc w:val="both"/>
              <w:rPr>
                <w:rFonts w:ascii="宋体" w:hAnsi="宋体" w:cs="宋体"/>
                <w:sz w:val="21"/>
                <w:szCs w:val="21"/>
              </w:rPr>
            </w:pPr>
            <w:r>
              <w:rPr>
                <w:rFonts w:hint="eastAsia" w:ascii="宋体" w:hAnsi="宋体" w:cs="宋体"/>
                <w:kern w:val="2"/>
                <w:sz w:val="21"/>
                <w:szCs w:val="21"/>
              </w:rPr>
              <w:t>见“2.3保洁服务”</w:t>
            </w:r>
            <w:r>
              <w:rPr>
                <w:rFonts w:hint="eastAsia" w:ascii="宋体" w:hAnsi="宋体" w:cs="宋体"/>
                <w:sz w:val="21"/>
                <w:szCs w:val="21"/>
              </w:rPr>
              <w:t>“2.5保安服务”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4" w:type="dxa"/>
            <w:tcBorders>
              <w:tl2br w:val="nil"/>
              <w:tr2bl w:val="nil"/>
            </w:tcBorders>
            <w:vAlign w:val="center"/>
          </w:tcPr>
          <w:p>
            <w:pPr>
              <w:jc w:val="both"/>
              <w:rPr>
                <w:rFonts w:ascii="宋体" w:hAnsi="宋体" w:cs="宋体"/>
                <w:sz w:val="21"/>
                <w:szCs w:val="21"/>
              </w:rPr>
            </w:pPr>
            <w:r>
              <w:rPr>
                <w:rFonts w:hint="eastAsia" w:ascii="宋体" w:hAnsi="宋体" w:cs="宋体"/>
                <w:sz w:val="21"/>
                <w:szCs w:val="21"/>
              </w:rPr>
              <w:t>绿化</w:t>
            </w:r>
          </w:p>
        </w:tc>
        <w:tc>
          <w:tcPr>
            <w:tcW w:w="3236" w:type="dxa"/>
            <w:tcBorders>
              <w:tl2br w:val="nil"/>
              <w:tr2bl w:val="nil"/>
            </w:tcBorders>
            <w:vAlign w:val="center"/>
          </w:tcPr>
          <w:p>
            <w:pPr>
              <w:jc w:val="both"/>
              <w:rPr>
                <w:rFonts w:ascii="宋体" w:hAnsi="宋体" w:cs="宋体"/>
                <w:sz w:val="21"/>
                <w:szCs w:val="21"/>
              </w:rPr>
            </w:pPr>
            <w:r>
              <w:rPr>
                <w:rFonts w:ascii="宋体" w:hAnsi="宋体" w:cs="宋体"/>
                <w:sz w:val="21"/>
                <w:szCs w:val="21"/>
              </w:rPr>
              <w:t>约</w:t>
            </w:r>
            <w:r>
              <w:rPr>
                <w:rFonts w:hint="eastAsia" w:ascii="宋体" w:hAnsi="宋体" w:cs="宋体"/>
                <w:sz w:val="21"/>
                <w:szCs w:val="21"/>
              </w:rPr>
              <w:t>5800平米</w:t>
            </w:r>
          </w:p>
        </w:tc>
        <w:tc>
          <w:tcPr>
            <w:tcW w:w="4047" w:type="dxa"/>
            <w:tcBorders>
              <w:tl2br w:val="nil"/>
              <w:tr2bl w:val="nil"/>
            </w:tcBorders>
            <w:vAlign w:val="center"/>
          </w:tcPr>
          <w:p>
            <w:pPr>
              <w:jc w:val="both"/>
              <w:rPr>
                <w:rFonts w:ascii="宋体" w:hAnsi="宋体" w:cs="宋体"/>
                <w:sz w:val="21"/>
                <w:szCs w:val="21"/>
              </w:rPr>
            </w:pPr>
            <w:r>
              <w:rPr>
                <w:rFonts w:hint="eastAsia" w:ascii="宋体" w:hAnsi="宋体" w:cs="宋体"/>
                <w:kern w:val="2"/>
                <w:sz w:val="21"/>
                <w:szCs w:val="21"/>
              </w:rPr>
              <w:t>见“2.3保洁服务”“2.4绿化服务”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4" w:type="dxa"/>
            <w:tcBorders>
              <w:tl2br w:val="nil"/>
              <w:tr2bl w:val="nil"/>
            </w:tcBorders>
            <w:vAlign w:val="center"/>
          </w:tcPr>
          <w:p>
            <w:pPr>
              <w:jc w:val="both"/>
              <w:rPr>
                <w:rFonts w:ascii="宋体" w:hAnsi="宋体" w:cs="宋体"/>
                <w:sz w:val="21"/>
                <w:szCs w:val="21"/>
              </w:rPr>
            </w:pPr>
            <w:r>
              <w:rPr>
                <w:rFonts w:hint="eastAsia" w:ascii="宋体" w:hAnsi="宋体" w:cs="宋体"/>
                <w:sz w:val="21"/>
                <w:szCs w:val="21"/>
              </w:rPr>
              <w:t>路灯、草坪灯、音箱</w:t>
            </w:r>
          </w:p>
        </w:tc>
        <w:tc>
          <w:tcPr>
            <w:tcW w:w="3236" w:type="dxa"/>
            <w:tcBorders>
              <w:tl2br w:val="nil"/>
              <w:tr2bl w:val="nil"/>
            </w:tcBorders>
            <w:vAlign w:val="center"/>
          </w:tcPr>
          <w:p>
            <w:pPr>
              <w:jc w:val="both"/>
              <w:rPr>
                <w:rFonts w:ascii="宋体" w:hAnsi="宋体" w:cs="宋体"/>
                <w:sz w:val="21"/>
                <w:szCs w:val="21"/>
              </w:rPr>
            </w:pPr>
            <w:r>
              <w:rPr>
                <w:rFonts w:hint="eastAsia" w:ascii="宋体" w:hAnsi="宋体" w:cs="宋体"/>
                <w:sz w:val="21"/>
                <w:szCs w:val="21"/>
              </w:rPr>
              <w:t>路灯50个、草坪灯50个、音箱130个</w:t>
            </w:r>
          </w:p>
        </w:tc>
        <w:tc>
          <w:tcPr>
            <w:tcW w:w="4047" w:type="dxa"/>
            <w:tcBorders>
              <w:tl2br w:val="nil"/>
              <w:tr2bl w:val="nil"/>
            </w:tcBorders>
            <w:vAlign w:val="center"/>
          </w:tcPr>
          <w:p>
            <w:pPr>
              <w:jc w:val="both"/>
              <w:rPr>
                <w:rFonts w:ascii="宋体" w:hAnsi="宋体" w:cs="宋体"/>
                <w:sz w:val="21"/>
                <w:szCs w:val="21"/>
              </w:rPr>
            </w:pPr>
            <w:r>
              <w:rPr>
                <w:rFonts w:hint="eastAsia" w:ascii="宋体" w:hAnsi="宋体" w:cs="宋体"/>
                <w:kern w:val="2"/>
                <w:sz w:val="21"/>
                <w:szCs w:val="21"/>
              </w:rPr>
              <w:t>见“2.3保洁服务”</w:t>
            </w:r>
            <w:r>
              <w:rPr>
                <w:rFonts w:hint="eastAsia" w:ascii="宋体" w:hAnsi="宋体" w:cs="宋体"/>
                <w:sz w:val="21"/>
                <w:szCs w:val="21"/>
              </w:rPr>
              <w:t>“2.2公用设施设备维护服务”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4" w:type="dxa"/>
            <w:tcBorders>
              <w:tl2br w:val="nil"/>
              <w:tr2bl w:val="nil"/>
            </w:tcBorders>
            <w:vAlign w:val="center"/>
          </w:tcPr>
          <w:p>
            <w:pPr>
              <w:jc w:val="both"/>
              <w:rPr>
                <w:rFonts w:ascii="宋体" w:hAnsi="宋体" w:cs="宋体"/>
                <w:sz w:val="21"/>
                <w:szCs w:val="21"/>
              </w:rPr>
            </w:pPr>
            <w:r>
              <w:rPr>
                <w:rFonts w:hint="eastAsia" w:ascii="宋体" w:hAnsi="宋体" w:cs="宋体"/>
                <w:sz w:val="21"/>
                <w:szCs w:val="21"/>
              </w:rPr>
              <w:t>消防栓</w:t>
            </w:r>
          </w:p>
        </w:tc>
        <w:tc>
          <w:tcPr>
            <w:tcW w:w="3236" w:type="dxa"/>
            <w:tcBorders>
              <w:tl2br w:val="nil"/>
              <w:tr2bl w:val="nil"/>
            </w:tcBorders>
            <w:vAlign w:val="center"/>
          </w:tcPr>
          <w:p>
            <w:pPr>
              <w:jc w:val="both"/>
              <w:rPr>
                <w:rFonts w:ascii="宋体" w:hAnsi="宋体" w:cs="宋体"/>
                <w:sz w:val="21"/>
                <w:szCs w:val="21"/>
              </w:rPr>
            </w:pPr>
            <w:r>
              <w:rPr>
                <w:rFonts w:ascii="宋体" w:hAnsi="宋体" w:cs="宋体"/>
                <w:sz w:val="21"/>
                <w:szCs w:val="21"/>
              </w:rPr>
              <w:t>25个</w:t>
            </w:r>
          </w:p>
        </w:tc>
        <w:tc>
          <w:tcPr>
            <w:tcW w:w="4047" w:type="dxa"/>
            <w:tcBorders>
              <w:tl2br w:val="nil"/>
              <w:tr2bl w:val="nil"/>
            </w:tcBorders>
            <w:vAlign w:val="center"/>
          </w:tcPr>
          <w:p>
            <w:pPr>
              <w:jc w:val="both"/>
              <w:rPr>
                <w:rFonts w:ascii="宋体" w:hAnsi="宋体" w:cs="宋体"/>
                <w:sz w:val="21"/>
                <w:szCs w:val="21"/>
              </w:rPr>
            </w:pPr>
            <w:r>
              <w:rPr>
                <w:rFonts w:hint="eastAsia" w:ascii="宋体" w:hAnsi="宋体" w:cs="宋体"/>
                <w:kern w:val="2"/>
                <w:sz w:val="21"/>
                <w:szCs w:val="21"/>
              </w:rPr>
              <w:t>见“2.3保洁服务”</w:t>
            </w:r>
            <w:r>
              <w:rPr>
                <w:rFonts w:hint="eastAsia" w:ascii="宋体" w:hAnsi="宋体" w:cs="宋体"/>
                <w:sz w:val="21"/>
                <w:szCs w:val="21"/>
              </w:rPr>
              <w:t>“2.2公用设施设备维护服务”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4" w:type="dxa"/>
            <w:tcBorders>
              <w:tl2br w:val="nil"/>
              <w:tr2bl w:val="nil"/>
            </w:tcBorders>
            <w:vAlign w:val="center"/>
          </w:tcPr>
          <w:p>
            <w:pPr>
              <w:jc w:val="both"/>
              <w:rPr>
                <w:rFonts w:ascii="宋体" w:hAnsi="宋体" w:cs="宋体"/>
                <w:sz w:val="21"/>
                <w:szCs w:val="21"/>
              </w:rPr>
            </w:pPr>
            <w:r>
              <w:rPr>
                <w:rFonts w:hint="eastAsia" w:ascii="宋体" w:hAnsi="宋体" w:cs="宋体"/>
                <w:sz w:val="21"/>
                <w:szCs w:val="21"/>
              </w:rPr>
              <w:t>垃圾箱</w:t>
            </w:r>
          </w:p>
        </w:tc>
        <w:tc>
          <w:tcPr>
            <w:tcW w:w="3236" w:type="dxa"/>
            <w:tcBorders>
              <w:tl2br w:val="nil"/>
              <w:tr2bl w:val="nil"/>
            </w:tcBorders>
            <w:vAlign w:val="center"/>
          </w:tcPr>
          <w:p>
            <w:pPr>
              <w:jc w:val="both"/>
              <w:rPr>
                <w:rFonts w:ascii="宋体" w:hAnsi="宋体" w:cs="宋体"/>
                <w:sz w:val="21"/>
                <w:szCs w:val="21"/>
              </w:rPr>
            </w:pPr>
            <w:r>
              <w:rPr>
                <w:rFonts w:ascii="宋体" w:hAnsi="宋体" w:cs="宋体"/>
                <w:sz w:val="21"/>
                <w:szCs w:val="21"/>
              </w:rPr>
              <w:t>23个室外垃圾箱</w:t>
            </w:r>
          </w:p>
        </w:tc>
        <w:tc>
          <w:tcPr>
            <w:tcW w:w="4047" w:type="dxa"/>
            <w:tcBorders>
              <w:tl2br w:val="nil"/>
              <w:tr2bl w:val="nil"/>
            </w:tcBorders>
            <w:vAlign w:val="center"/>
          </w:tcPr>
          <w:p>
            <w:pPr>
              <w:jc w:val="both"/>
              <w:rPr>
                <w:rFonts w:ascii="宋体" w:hAnsi="宋体" w:cs="宋体"/>
                <w:sz w:val="21"/>
                <w:szCs w:val="21"/>
              </w:rPr>
            </w:pPr>
            <w:r>
              <w:rPr>
                <w:rFonts w:hint="eastAsia" w:ascii="宋体" w:hAnsi="宋体" w:cs="宋体"/>
                <w:kern w:val="2"/>
                <w:sz w:val="21"/>
                <w:szCs w:val="21"/>
              </w:rPr>
              <w:t>见“2.3保洁服务”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4" w:type="dxa"/>
            <w:tcBorders>
              <w:tl2br w:val="nil"/>
              <w:tr2bl w:val="nil"/>
            </w:tcBorders>
            <w:vAlign w:val="center"/>
          </w:tcPr>
          <w:p>
            <w:pPr>
              <w:jc w:val="both"/>
              <w:rPr>
                <w:rFonts w:ascii="宋体" w:hAnsi="宋体" w:cs="宋体"/>
                <w:sz w:val="21"/>
                <w:szCs w:val="21"/>
              </w:rPr>
            </w:pPr>
            <w:r>
              <w:rPr>
                <w:rFonts w:hint="eastAsia" w:ascii="宋体" w:hAnsi="宋体" w:cs="宋体"/>
                <w:sz w:val="21"/>
                <w:szCs w:val="21"/>
              </w:rPr>
              <w:t>露台</w:t>
            </w:r>
          </w:p>
        </w:tc>
        <w:tc>
          <w:tcPr>
            <w:tcW w:w="3236" w:type="dxa"/>
            <w:tcBorders>
              <w:tl2br w:val="nil"/>
              <w:tr2bl w:val="nil"/>
            </w:tcBorders>
            <w:vAlign w:val="center"/>
          </w:tcPr>
          <w:p>
            <w:pPr>
              <w:jc w:val="both"/>
              <w:rPr>
                <w:rFonts w:ascii="宋体" w:hAnsi="宋体" w:cs="宋体"/>
                <w:sz w:val="21"/>
                <w:szCs w:val="21"/>
              </w:rPr>
            </w:pPr>
            <w:r>
              <w:rPr>
                <w:rFonts w:ascii="宋体" w:hAnsi="宋体" w:cs="宋体"/>
                <w:sz w:val="21"/>
                <w:szCs w:val="21"/>
              </w:rPr>
              <w:t>80平米</w:t>
            </w:r>
          </w:p>
        </w:tc>
        <w:tc>
          <w:tcPr>
            <w:tcW w:w="4047" w:type="dxa"/>
            <w:tcBorders>
              <w:tl2br w:val="nil"/>
              <w:tr2bl w:val="nil"/>
            </w:tcBorders>
            <w:vAlign w:val="center"/>
          </w:tcPr>
          <w:p>
            <w:pPr>
              <w:jc w:val="both"/>
              <w:rPr>
                <w:rFonts w:ascii="宋体" w:hAnsi="宋体" w:cs="宋体"/>
                <w:sz w:val="21"/>
                <w:szCs w:val="21"/>
              </w:rPr>
            </w:pPr>
            <w:r>
              <w:rPr>
                <w:rFonts w:hint="eastAsia" w:ascii="宋体" w:hAnsi="宋体" w:cs="宋体"/>
                <w:kern w:val="2"/>
                <w:sz w:val="21"/>
                <w:szCs w:val="21"/>
              </w:rPr>
              <w:t>见“2.3保洁服务”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4" w:type="dxa"/>
            <w:tcBorders>
              <w:tl2br w:val="nil"/>
              <w:tr2bl w:val="nil"/>
            </w:tcBorders>
            <w:vAlign w:val="center"/>
          </w:tcPr>
          <w:p>
            <w:pPr>
              <w:jc w:val="both"/>
              <w:rPr>
                <w:rFonts w:ascii="宋体" w:hAnsi="宋体" w:cs="宋体"/>
                <w:sz w:val="21"/>
                <w:szCs w:val="21"/>
              </w:rPr>
            </w:pPr>
            <w:r>
              <w:rPr>
                <w:rFonts w:hint="eastAsia" w:ascii="宋体" w:hAnsi="宋体" w:cs="宋体"/>
                <w:sz w:val="21"/>
                <w:szCs w:val="21"/>
              </w:rPr>
              <w:t>监控</w:t>
            </w:r>
          </w:p>
        </w:tc>
        <w:tc>
          <w:tcPr>
            <w:tcW w:w="3236" w:type="dxa"/>
            <w:tcBorders>
              <w:tl2br w:val="nil"/>
              <w:tr2bl w:val="nil"/>
            </w:tcBorders>
            <w:vAlign w:val="center"/>
          </w:tcPr>
          <w:p>
            <w:pPr>
              <w:jc w:val="both"/>
              <w:rPr>
                <w:rFonts w:ascii="宋体" w:hAnsi="宋体" w:cs="宋体"/>
                <w:sz w:val="21"/>
                <w:szCs w:val="21"/>
              </w:rPr>
            </w:pPr>
            <w:r>
              <w:rPr>
                <w:rFonts w:ascii="宋体" w:hAnsi="宋体" w:cs="宋体"/>
                <w:sz w:val="21"/>
                <w:szCs w:val="21"/>
              </w:rPr>
              <w:t>约90个监控点</w:t>
            </w:r>
          </w:p>
        </w:tc>
        <w:tc>
          <w:tcPr>
            <w:tcW w:w="4047" w:type="dxa"/>
            <w:tcBorders>
              <w:tl2br w:val="nil"/>
              <w:tr2bl w:val="nil"/>
            </w:tcBorders>
            <w:vAlign w:val="center"/>
          </w:tcPr>
          <w:p>
            <w:pPr>
              <w:jc w:val="both"/>
              <w:rPr>
                <w:rFonts w:ascii="宋体" w:hAnsi="宋体" w:cs="宋体"/>
                <w:sz w:val="21"/>
                <w:szCs w:val="21"/>
              </w:rPr>
            </w:pPr>
            <w:r>
              <w:rPr>
                <w:rFonts w:hint="eastAsia" w:ascii="宋体" w:hAnsi="宋体" w:cs="宋体"/>
                <w:kern w:val="2"/>
                <w:sz w:val="21"/>
                <w:szCs w:val="21"/>
              </w:rPr>
              <w:t>见“2.3保洁服务”</w:t>
            </w:r>
            <w:r>
              <w:rPr>
                <w:rFonts w:hint="eastAsia" w:ascii="宋体" w:hAnsi="宋体" w:cs="宋体"/>
                <w:sz w:val="21"/>
                <w:szCs w:val="21"/>
              </w:rPr>
              <w:t>“2.2公用设施设备维护服务”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04" w:type="dxa"/>
            <w:tcBorders>
              <w:tl2br w:val="nil"/>
              <w:tr2bl w:val="nil"/>
            </w:tcBorders>
            <w:vAlign w:val="center"/>
          </w:tcPr>
          <w:p>
            <w:pPr>
              <w:jc w:val="both"/>
              <w:rPr>
                <w:rFonts w:ascii="宋体" w:hAnsi="宋体" w:cs="宋体"/>
                <w:sz w:val="21"/>
                <w:szCs w:val="21"/>
              </w:rPr>
            </w:pPr>
            <w:r>
              <w:rPr>
                <w:rFonts w:hint="eastAsia" w:ascii="宋体" w:hAnsi="宋体" w:cs="宋体"/>
                <w:sz w:val="21"/>
                <w:szCs w:val="21"/>
              </w:rPr>
              <w:t>指示牌、显示屏</w:t>
            </w:r>
          </w:p>
        </w:tc>
        <w:tc>
          <w:tcPr>
            <w:tcW w:w="3236" w:type="dxa"/>
            <w:tcBorders>
              <w:tl2br w:val="nil"/>
              <w:tr2bl w:val="nil"/>
            </w:tcBorders>
            <w:vAlign w:val="center"/>
          </w:tcPr>
          <w:p>
            <w:pPr>
              <w:jc w:val="both"/>
              <w:rPr>
                <w:rFonts w:ascii="宋体" w:hAnsi="宋体" w:cs="宋体"/>
                <w:sz w:val="21"/>
                <w:szCs w:val="21"/>
              </w:rPr>
            </w:pPr>
            <w:r>
              <w:rPr>
                <w:rFonts w:hint="eastAsia" w:ascii="宋体" w:hAnsi="宋体" w:cs="宋体"/>
                <w:sz w:val="21"/>
                <w:szCs w:val="21"/>
              </w:rPr>
              <w:t>无指示牌、显示屏2个</w:t>
            </w:r>
          </w:p>
        </w:tc>
        <w:tc>
          <w:tcPr>
            <w:tcW w:w="4047" w:type="dxa"/>
            <w:tcBorders>
              <w:tl2br w:val="nil"/>
              <w:tr2bl w:val="nil"/>
            </w:tcBorders>
            <w:vAlign w:val="center"/>
          </w:tcPr>
          <w:p>
            <w:pPr>
              <w:jc w:val="both"/>
              <w:rPr>
                <w:rFonts w:ascii="宋体" w:hAnsi="宋体" w:cs="宋体"/>
                <w:sz w:val="21"/>
                <w:szCs w:val="21"/>
              </w:rPr>
            </w:pPr>
            <w:r>
              <w:rPr>
                <w:rFonts w:hint="eastAsia" w:ascii="宋体" w:hAnsi="宋体" w:cs="宋体"/>
                <w:kern w:val="2"/>
                <w:sz w:val="21"/>
                <w:szCs w:val="21"/>
              </w:rPr>
              <w:t>见“2.3保洁服务”</w:t>
            </w:r>
            <w:r>
              <w:rPr>
                <w:rFonts w:hint="eastAsia" w:ascii="宋体" w:hAnsi="宋体" w:cs="宋体"/>
                <w:sz w:val="21"/>
                <w:szCs w:val="21"/>
              </w:rPr>
              <w:t>“2.2公用设施设备维护服务”</w:t>
            </w:r>
          </w:p>
        </w:tc>
      </w:tr>
    </w:tbl>
    <w:p>
      <w:pPr>
        <w:pStyle w:val="3"/>
        <w:jc w:val="both"/>
      </w:pPr>
      <w:r>
        <w:rPr>
          <w:rFonts w:hint="eastAsia"/>
        </w:rPr>
        <w:t>二、</w:t>
      </w:r>
      <w:r>
        <w:rPr>
          <w:rFonts w:hint="eastAsia" w:ascii="黑体" w:hAnsi="黑体" w:cs="黑体"/>
          <w:bCs w:val="0"/>
        </w:rPr>
        <w:t>技术</w:t>
      </w:r>
      <w:r>
        <w:rPr>
          <w:rFonts w:ascii="黑体" w:hAnsi="黑体" w:cs="黑体"/>
          <w:bCs w:val="0"/>
        </w:rPr>
        <w:t>（</w:t>
      </w:r>
      <w:r>
        <w:rPr>
          <w:rFonts w:hint="eastAsia" w:ascii="黑体" w:hAnsi="黑体" w:cs="黑体"/>
          <w:bCs w:val="0"/>
        </w:rPr>
        <w:t>服务</w:t>
      </w:r>
      <w:r>
        <w:rPr>
          <w:rFonts w:ascii="黑体" w:hAnsi="黑体" w:cs="黑体"/>
          <w:bCs w:val="0"/>
        </w:rPr>
        <w:t>）要求</w:t>
      </w:r>
    </w:p>
    <w:p>
      <w:pPr>
        <w:widowControl w:val="0"/>
        <w:snapToGrid w:val="0"/>
        <w:spacing w:line="300" w:lineRule="auto"/>
        <w:ind w:firstLine="480" w:firstLineChars="200"/>
        <w:rPr>
          <w:rFonts w:cs="Calibri"/>
          <w:kern w:val="2"/>
        </w:rPr>
      </w:pPr>
      <w:r>
        <w:rPr>
          <w:rFonts w:hint="eastAsia" w:eastAsia="宋体" w:cs="Calibri"/>
          <w:kern w:val="2"/>
        </w:rPr>
        <w:t>本项目服务内容包括基本服务、</w:t>
      </w:r>
      <w:r>
        <w:rPr>
          <w:rFonts w:hint="eastAsia" w:cs="Calibri"/>
          <w:kern w:val="2"/>
        </w:rPr>
        <w:t>公用设施</w:t>
      </w:r>
      <w:r>
        <w:rPr>
          <w:rFonts w:hint="eastAsia" w:eastAsia="宋体" w:cs="Calibri"/>
          <w:kern w:val="2"/>
        </w:rPr>
        <w:t>设备维护服务、保洁服务、绿化服务、保安服务、会议服务以及餐饮服务。</w:t>
      </w:r>
    </w:p>
    <w:p>
      <w:pPr>
        <w:pStyle w:val="4"/>
        <w:numPr>
          <w:ilvl w:val="2"/>
          <w:numId w:val="4"/>
        </w:numPr>
        <w:ind w:firstLine="480" w:firstLineChars="200"/>
        <w:rPr>
          <w:rFonts w:ascii="宋体" w:hAnsi="宋体" w:cs="宋体"/>
          <w:kern w:val="2"/>
          <w:szCs w:val="24"/>
        </w:rPr>
      </w:pPr>
      <w:bookmarkStart w:id="12" w:name="_Toc26485"/>
      <w:bookmarkStart w:id="13" w:name="_Toc10498"/>
      <w:bookmarkStart w:id="14" w:name="_Toc26156"/>
      <w:r>
        <w:rPr>
          <w:rFonts w:hint="eastAsia" w:ascii="宋体" w:hAnsi="宋体" w:cs="宋体"/>
          <w:szCs w:val="24"/>
        </w:rPr>
        <w:t>2.</w:t>
      </w:r>
      <w:bookmarkEnd w:id="12"/>
      <w:bookmarkEnd w:id="13"/>
      <w:bookmarkEnd w:id="14"/>
      <w:r>
        <w:rPr>
          <w:rFonts w:hint="eastAsia" w:ascii="宋体" w:hAnsi="宋体" w:cs="宋体"/>
          <w:kern w:val="2"/>
          <w:szCs w:val="24"/>
        </w:rPr>
        <w:t>1基本服务</w:t>
      </w:r>
    </w:p>
    <w:tbl>
      <w:tblPr>
        <w:tblStyle w:val="25"/>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102"/>
        <w:gridCol w:w="6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tcBorders>
              <w:tl2br w:val="nil"/>
              <w:tr2bl w:val="nil"/>
            </w:tcBorders>
            <w:vAlign w:val="center"/>
          </w:tcPr>
          <w:p>
            <w:pPr>
              <w:snapToGrid w:val="0"/>
              <w:spacing w:line="300" w:lineRule="auto"/>
              <w:jc w:val="center"/>
              <w:rPr>
                <w:rFonts w:cs="Calibri" w:asciiTheme="minorEastAsia" w:hAnsiTheme="minorEastAsia"/>
                <w:b/>
                <w:bCs/>
                <w:sz w:val="21"/>
                <w:szCs w:val="21"/>
              </w:rPr>
            </w:pPr>
            <w:r>
              <w:rPr>
                <w:rFonts w:cs="Calibri" w:asciiTheme="minorEastAsia" w:hAnsiTheme="minorEastAsia"/>
                <w:b/>
                <w:bCs/>
                <w:sz w:val="21"/>
                <w:szCs w:val="21"/>
              </w:rPr>
              <w:t>序号</w:t>
            </w:r>
          </w:p>
        </w:tc>
        <w:tc>
          <w:tcPr>
            <w:tcW w:w="2013" w:type="dxa"/>
            <w:tcBorders>
              <w:tl2br w:val="nil"/>
              <w:tr2bl w:val="nil"/>
            </w:tcBorders>
            <w:vAlign w:val="center"/>
          </w:tcPr>
          <w:p>
            <w:pPr>
              <w:snapToGrid w:val="0"/>
              <w:spacing w:line="300" w:lineRule="auto"/>
              <w:jc w:val="center"/>
              <w:rPr>
                <w:rFonts w:cs="Calibri" w:asciiTheme="minorEastAsia" w:hAnsiTheme="minorEastAsia"/>
                <w:b/>
                <w:bCs/>
                <w:sz w:val="21"/>
                <w:szCs w:val="21"/>
              </w:rPr>
            </w:pPr>
            <w:r>
              <w:rPr>
                <w:rFonts w:cs="Calibri" w:asciiTheme="minorEastAsia" w:hAnsiTheme="minorEastAsia"/>
                <w:b/>
                <w:bCs/>
                <w:sz w:val="21"/>
                <w:szCs w:val="21"/>
              </w:rPr>
              <w:t>服务内容</w:t>
            </w:r>
          </w:p>
        </w:tc>
        <w:tc>
          <w:tcPr>
            <w:tcW w:w="6116" w:type="dxa"/>
            <w:tcBorders>
              <w:tl2br w:val="nil"/>
              <w:tr2bl w:val="nil"/>
            </w:tcBorders>
            <w:vAlign w:val="center"/>
          </w:tcPr>
          <w:p>
            <w:pPr>
              <w:snapToGrid w:val="0"/>
              <w:spacing w:line="300" w:lineRule="auto"/>
              <w:ind w:firstLine="420" w:firstLineChars="200"/>
              <w:jc w:val="center"/>
              <w:rPr>
                <w:rFonts w:cs="Calibri" w:asciiTheme="minorEastAsia" w:hAnsiTheme="minorEastAsia"/>
                <w:b/>
                <w:bCs/>
                <w:sz w:val="21"/>
                <w:szCs w:val="21"/>
              </w:rPr>
            </w:pPr>
            <w:r>
              <w:rPr>
                <w:rFonts w:cs="Calibri" w:asciiTheme="minorEastAsia" w:hAnsiTheme="minorEastAsia"/>
                <w:b/>
                <w:bCs/>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tcBorders>
              <w:tl2br w:val="nil"/>
              <w:tr2bl w:val="nil"/>
            </w:tcBorders>
            <w:vAlign w:val="center"/>
          </w:tcPr>
          <w:p>
            <w:pPr>
              <w:snapToGrid w:val="0"/>
              <w:spacing w:line="300" w:lineRule="auto"/>
              <w:jc w:val="center"/>
              <w:rPr>
                <w:rFonts w:cs="Calibri" w:asciiTheme="minorEastAsia" w:hAnsiTheme="minorEastAsia"/>
                <w:sz w:val="21"/>
                <w:szCs w:val="21"/>
              </w:rPr>
            </w:pPr>
            <w:r>
              <w:rPr>
                <w:rFonts w:cs="Calibri" w:asciiTheme="minorEastAsia" w:hAnsiTheme="minorEastAsia"/>
                <w:sz w:val="21"/>
                <w:szCs w:val="21"/>
              </w:rPr>
              <w:t>1</w:t>
            </w:r>
          </w:p>
        </w:tc>
        <w:tc>
          <w:tcPr>
            <w:tcW w:w="2013" w:type="dxa"/>
            <w:tcBorders>
              <w:tl2br w:val="nil"/>
              <w:tr2bl w:val="nil"/>
            </w:tcBorders>
            <w:vAlign w:val="center"/>
          </w:tcPr>
          <w:p>
            <w:pPr>
              <w:snapToGrid w:val="0"/>
              <w:spacing w:line="300" w:lineRule="auto"/>
              <w:rPr>
                <w:rFonts w:cs="Calibri" w:asciiTheme="minorEastAsia" w:hAnsiTheme="minorEastAsia"/>
                <w:sz w:val="21"/>
                <w:szCs w:val="21"/>
              </w:rPr>
            </w:pPr>
            <w:r>
              <w:rPr>
                <w:rFonts w:cs="Calibri" w:asciiTheme="minorEastAsia" w:hAnsiTheme="minorEastAsia"/>
                <w:sz w:val="21"/>
                <w:szCs w:val="21"/>
              </w:rPr>
              <w:t>目标与责任</w:t>
            </w: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cs="Calibri" w:asciiTheme="minorEastAsia" w:hAnsiTheme="minorEastAsia"/>
                <w:sz w:val="21"/>
                <w:szCs w:val="21"/>
              </w:rPr>
              <w:t>结合采购人要求及物业服务实际情况，制定年度管理目标，明确责任分工，并制定配套实施方案。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Merge w:val="restart"/>
            <w:tcBorders>
              <w:tl2br w:val="nil"/>
              <w:tr2bl w:val="nil"/>
            </w:tcBorders>
            <w:vAlign w:val="center"/>
          </w:tcPr>
          <w:p>
            <w:pPr>
              <w:snapToGrid w:val="0"/>
              <w:spacing w:line="300" w:lineRule="auto"/>
              <w:jc w:val="center"/>
              <w:rPr>
                <w:rFonts w:cs="Calibri" w:asciiTheme="minorEastAsia" w:hAnsiTheme="minorEastAsia"/>
                <w:sz w:val="21"/>
                <w:szCs w:val="21"/>
              </w:rPr>
            </w:pPr>
            <w:r>
              <w:rPr>
                <w:rFonts w:cs="Calibri" w:asciiTheme="minorEastAsia" w:hAnsiTheme="minorEastAsia"/>
                <w:sz w:val="21"/>
                <w:szCs w:val="21"/>
              </w:rPr>
              <w:t>2</w:t>
            </w:r>
          </w:p>
        </w:tc>
        <w:tc>
          <w:tcPr>
            <w:tcW w:w="2013" w:type="dxa"/>
            <w:vMerge w:val="restart"/>
            <w:tcBorders>
              <w:tl2br w:val="nil"/>
              <w:tr2bl w:val="nil"/>
            </w:tcBorders>
            <w:vAlign w:val="center"/>
          </w:tcPr>
          <w:p>
            <w:pPr>
              <w:snapToGrid w:val="0"/>
              <w:spacing w:line="300" w:lineRule="auto"/>
              <w:rPr>
                <w:rFonts w:cs="Calibri" w:asciiTheme="minorEastAsia" w:hAnsiTheme="minorEastAsia"/>
                <w:sz w:val="21"/>
                <w:szCs w:val="21"/>
              </w:rPr>
            </w:pPr>
            <w:r>
              <w:rPr>
                <w:rFonts w:cs="Calibri" w:asciiTheme="minorEastAsia" w:hAnsiTheme="minorEastAsia"/>
                <w:sz w:val="21"/>
                <w:szCs w:val="21"/>
              </w:rPr>
              <w:t>服务人员要求</w:t>
            </w: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（1）</w:t>
            </w:r>
            <w:r>
              <w:rPr>
                <w:rFonts w:cs="Calibri" w:asciiTheme="minorEastAsia" w:hAnsiTheme="minorEastAsia"/>
                <w:sz w:val="21"/>
                <w:szCs w:val="21"/>
              </w:rPr>
              <w:t>每季度至少开展1次岗位技能、职业素质、服务知识、客户文化、绿色节能环保等教育培训，并进行适当形式的考核。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（2）</w:t>
            </w:r>
            <w:r>
              <w:rPr>
                <w:rFonts w:cs="Calibri" w:asciiTheme="minorEastAsia" w:hAnsiTheme="minorEastAsia"/>
                <w:sz w:val="21"/>
                <w:szCs w:val="21"/>
              </w:rPr>
              <w:t>根据采购人要求对服务人员进行从业资格审查，审查结果向采购人报备。</w:t>
            </w:r>
            <w:r>
              <w:rPr>
                <w:rFonts w:hint="eastAsia" w:cs="Calibri" w:asciiTheme="minorEastAsia" w:hAnsiTheme="minorEastAsia"/>
                <w:sz w:val="21"/>
                <w:szCs w:val="21"/>
              </w:rPr>
              <w:t>对于采购人考核结果为年度优秀的人员，供应商应优先录取。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（3）</w:t>
            </w:r>
            <w:r>
              <w:rPr>
                <w:rFonts w:cs="Calibri" w:asciiTheme="minorEastAsia" w:hAnsiTheme="minorEastAsia"/>
                <w:bCs/>
                <w:sz w:val="21"/>
                <w:szCs w:val="21"/>
              </w:rPr>
              <w:t>服务人员的年龄、学历、工作经验及资格条件</w:t>
            </w:r>
            <w:r>
              <w:rPr>
                <w:rFonts w:hint="eastAsia" w:cs="Calibri" w:asciiTheme="minorEastAsia" w:hAnsiTheme="minorEastAsia"/>
                <w:bCs/>
                <w:sz w:val="21"/>
                <w:szCs w:val="21"/>
              </w:rPr>
              <w:t>应当</w:t>
            </w:r>
            <w:r>
              <w:rPr>
                <w:rFonts w:cs="Calibri" w:asciiTheme="minorEastAsia" w:hAnsiTheme="minorEastAsia"/>
                <w:bCs/>
                <w:sz w:val="21"/>
                <w:szCs w:val="21"/>
              </w:rPr>
              <w:t>与所在岗位能力要求相匹配，到岗前</w:t>
            </w:r>
            <w:r>
              <w:rPr>
                <w:rFonts w:hint="eastAsia" w:cs="Calibri" w:asciiTheme="minorEastAsia" w:hAnsiTheme="minorEastAsia"/>
                <w:bCs/>
                <w:sz w:val="21"/>
                <w:szCs w:val="21"/>
              </w:rPr>
              <w:t>应当</w:t>
            </w:r>
            <w:r>
              <w:rPr>
                <w:rFonts w:cs="Calibri" w:asciiTheme="minorEastAsia" w:hAnsiTheme="minorEastAsia"/>
                <w:bCs/>
                <w:sz w:val="21"/>
                <w:szCs w:val="21"/>
              </w:rPr>
              <w:t>经过必要的岗前培训以达到岗位能力要求，国家、行业规定应</w:t>
            </w:r>
            <w:r>
              <w:rPr>
                <w:rFonts w:hint="eastAsia" w:cs="Calibri" w:asciiTheme="minorEastAsia" w:hAnsiTheme="minorEastAsia"/>
                <w:bCs/>
                <w:sz w:val="21"/>
                <w:szCs w:val="21"/>
              </w:rPr>
              <w:t>当</w:t>
            </w:r>
            <w:r>
              <w:rPr>
                <w:rFonts w:cs="Calibri" w:asciiTheme="minorEastAsia" w:hAnsiTheme="minorEastAsia"/>
                <w:bCs/>
                <w:sz w:val="21"/>
                <w:szCs w:val="21"/>
              </w:rPr>
              <w:t>取得职业资格证书或特种作业证书的，应</w:t>
            </w:r>
            <w:r>
              <w:rPr>
                <w:rFonts w:hint="eastAsia" w:cs="Calibri" w:asciiTheme="minorEastAsia" w:hAnsiTheme="minorEastAsia"/>
                <w:bCs/>
                <w:sz w:val="21"/>
                <w:szCs w:val="21"/>
              </w:rPr>
              <w:t>当</w:t>
            </w:r>
            <w:r>
              <w:rPr>
                <w:rFonts w:cs="Calibri" w:asciiTheme="minorEastAsia" w:hAnsiTheme="minorEastAsia"/>
                <w:bCs/>
                <w:sz w:val="21"/>
                <w:szCs w:val="21"/>
              </w:rPr>
              <w:t>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（4）</w:t>
            </w:r>
            <w:r>
              <w:rPr>
                <w:rFonts w:cs="Calibri" w:asciiTheme="minorEastAsia" w:hAnsiTheme="minorEastAsia"/>
                <w:bCs/>
                <w:sz w:val="21"/>
                <w:szCs w:val="21"/>
              </w:rPr>
              <w:t>如采购人认为服务人员不适应岗位要求或存在其他影响工作的，可要求供应商进行</w:t>
            </w:r>
            <w:r>
              <w:rPr>
                <w:rFonts w:hint="eastAsia" w:cs="Calibri" w:asciiTheme="minorEastAsia" w:hAnsiTheme="minorEastAsia"/>
                <w:bCs/>
                <w:sz w:val="21"/>
                <w:szCs w:val="21"/>
              </w:rPr>
              <w:t>调换</w:t>
            </w:r>
            <w:r>
              <w:rPr>
                <w:rFonts w:cs="Calibri" w:asciiTheme="minorEastAsia" w:hAnsiTheme="minorEastAsia"/>
                <w:bCs/>
                <w:sz w:val="21"/>
                <w:szCs w:val="21"/>
              </w:rPr>
              <w:t>。如因供应商原因对服务人员进行</w:t>
            </w:r>
            <w:r>
              <w:rPr>
                <w:rFonts w:hint="eastAsia" w:cs="Calibri" w:asciiTheme="minorEastAsia" w:hAnsiTheme="minorEastAsia"/>
                <w:bCs/>
                <w:sz w:val="21"/>
                <w:szCs w:val="21"/>
              </w:rPr>
              <w:t>调换</w:t>
            </w:r>
            <w:r>
              <w:rPr>
                <w:rFonts w:cs="Calibri" w:asciiTheme="minorEastAsia" w:hAnsiTheme="minorEastAsia"/>
                <w:bCs/>
                <w:sz w:val="21"/>
                <w:szCs w:val="21"/>
              </w:rPr>
              <w:t>，</w:t>
            </w:r>
            <w:r>
              <w:rPr>
                <w:rFonts w:hint="eastAsia" w:cs="Calibri" w:asciiTheme="minorEastAsia" w:hAnsiTheme="minorEastAsia"/>
                <w:bCs/>
                <w:sz w:val="21"/>
                <w:szCs w:val="21"/>
              </w:rPr>
              <w:t>应当</w:t>
            </w:r>
            <w:r>
              <w:rPr>
                <w:rFonts w:cs="Calibri" w:asciiTheme="minorEastAsia" w:hAnsiTheme="minorEastAsia"/>
                <w:bCs/>
                <w:sz w:val="21"/>
                <w:szCs w:val="21"/>
              </w:rPr>
              <w:t>经采购人同意</w:t>
            </w:r>
            <w:r>
              <w:rPr>
                <w:rFonts w:hint="eastAsia" w:cs="Calibri" w:asciiTheme="minorEastAsia" w:hAnsiTheme="minorEastAsia"/>
                <w:bCs/>
                <w:sz w:val="21"/>
                <w:szCs w:val="21"/>
              </w:rPr>
              <w:t>。</w:t>
            </w:r>
            <w:r>
              <w:rPr>
                <w:rFonts w:cs="Calibri" w:asciiTheme="minorEastAsia" w:hAnsiTheme="minorEastAsia"/>
                <w:bCs/>
                <w:sz w:val="21"/>
                <w:szCs w:val="21"/>
              </w:rPr>
              <w:t>本项目服务人员不得在其他项目兼职。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（5）由供应商提供分类统一着装，</w:t>
            </w:r>
            <w:r>
              <w:rPr>
                <w:rFonts w:cs="Calibri" w:asciiTheme="minorEastAsia" w:hAnsiTheme="minorEastAsia"/>
                <w:sz w:val="21"/>
                <w:szCs w:val="21"/>
              </w:rPr>
              <w:t>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Merge w:val="restart"/>
            <w:tcBorders>
              <w:tl2br w:val="nil"/>
              <w:tr2bl w:val="nil"/>
            </w:tcBorders>
            <w:vAlign w:val="center"/>
          </w:tcPr>
          <w:p>
            <w:pPr>
              <w:snapToGrid w:val="0"/>
              <w:spacing w:line="300" w:lineRule="auto"/>
              <w:jc w:val="center"/>
              <w:rPr>
                <w:rFonts w:cs="Calibri" w:asciiTheme="minorEastAsia" w:hAnsiTheme="minorEastAsia"/>
                <w:sz w:val="21"/>
                <w:szCs w:val="21"/>
              </w:rPr>
            </w:pPr>
            <w:r>
              <w:rPr>
                <w:rFonts w:cs="Calibri" w:asciiTheme="minorEastAsia" w:hAnsiTheme="minorEastAsia"/>
                <w:sz w:val="21"/>
                <w:szCs w:val="21"/>
              </w:rPr>
              <w:t>3</w:t>
            </w:r>
          </w:p>
        </w:tc>
        <w:tc>
          <w:tcPr>
            <w:tcW w:w="2013" w:type="dxa"/>
            <w:vMerge w:val="restart"/>
            <w:tcBorders>
              <w:tl2br w:val="nil"/>
              <w:tr2bl w:val="nil"/>
            </w:tcBorders>
            <w:vAlign w:val="center"/>
          </w:tcPr>
          <w:p>
            <w:pPr>
              <w:snapToGrid w:val="0"/>
              <w:spacing w:line="300" w:lineRule="auto"/>
              <w:rPr>
                <w:rFonts w:cs="Calibri" w:asciiTheme="minorEastAsia" w:hAnsiTheme="minorEastAsia"/>
                <w:sz w:val="21"/>
                <w:szCs w:val="21"/>
              </w:rPr>
            </w:pPr>
            <w:r>
              <w:rPr>
                <w:rFonts w:cs="Calibri" w:asciiTheme="minorEastAsia" w:hAnsiTheme="minorEastAsia"/>
                <w:sz w:val="21"/>
                <w:szCs w:val="21"/>
              </w:rPr>
              <w:t>保密和</w:t>
            </w:r>
            <w:r>
              <w:rPr>
                <w:rFonts w:hint="eastAsia" w:cs="Calibri" w:asciiTheme="minorEastAsia" w:hAnsiTheme="minorEastAsia"/>
                <w:sz w:val="21"/>
                <w:szCs w:val="21"/>
              </w:rPr>
              <w:t>思想政治</w:t>
            </w:r>
            <w:r>
              <w:rPr>
                <w:rFonts w:cs="Calibri" w:asciiTheme="minorEastAsia" w:hAnsiTheme="minorEastAsia"/>
                <w:sz w:val="21"/>
                <w:szCs w:val="21"/>
              </w:rPr>
              <w:t>教育</w:t>
            </w: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（1）</w:t>
            </w:r>
            <w:r>
              <w:rPr>
                <w:rFonts w:cs="Calibri" w:asciiTheme="minorEastAsia" w:hAnsiTheme="minorEastAsia"/>
                <w:sz w:val="21"/>
                <w:szCs w:val="21"/>
              </w:rPr>
              <w:t>建立保密管理制度。制度内容应</w:t>
            </w:r>
            <w:r>
              <w:rPr>
                <w:rFonts w:hint="eastAsia" w:cs="Calibri" w:asciiTheme="minorEastAsia" w:hAnsiTheme="minorEastAsia"/>
                <w:sz w:val="21"/>
                <w:szCs w:val="21"/>
              </w:rPr>
              <w:t>当</w:t>
            </w:r>
            <w:r>
              <w:rPr>
                <w:rFonts w:cs="Calibri" w:asciiTheme="minorEastAsia" w:hAnsiTheme="minorEastAsia"/>
                <w:sz w:val="21"/>
                <w:szCs w:val="21"/>
              </w:rPr>
              <w:t>包括但不限于：①明确重点要害岗位保密职责。②对涉密工作岗位的保密要求。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（2）</w:t>
            </w:r>
            <w:r>
              <w:rPr>
                <w:rFonts w:cs="Calibri" w:asciiTheme="minorEastAsia" w:hAnsiTheme="minorEastAsia"/>
                <w:sz w:val="21"/>
                <w:szCs w:val="21"/>
              </w:rPr>
              <w:t>根据采购人要求与涉密工作岗位的服务人员签订保密协议。保密协议应</w:t>
            </w:r>
            <w:r>
              <w:rPr>
                <w:rFonts w:hint="eastAsia" w:cs="Calibri" w:asciiTheme="minorEastAsia" w:hAnsiTheme="minorEastAsia"/>
                <w:sz w:val="21"/>
                <w:szCs w:val="21"/>
              </w:rPr>
              <w:t>当</w:t>
            </w:r>
            <w:r>
              <w:rPr>
                <w:rFonts w:cs="Calibri" w:asciiTheme="minorEastAsia" w:hAnsiTheme="minorEastAsia"/>
                <w:sz w:val="21"/>
                <w:szCs w:val="21"/>
              </w:rPr>
              <w:t>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（3）</w:t>
            </w:r>
            <w:r>
              <w:rPr>
                <w:rFonts w:cs="Calibri" w:asciiTheme="minorEastAsia" w:hAnsiTheme="minorEastAsia"/>
                <w:sz w:val="21"/>
                <w:szCs w:val="21"/>
              </w:rPr>
              <w:t>每季度至少</w:t>
            </w:r>
            <w:r>
              <w:rPr>
                <w:rFonts w:hint="eastAsia" w:cs="Calibri" w:asciiTheme="minorEastAsia" w:hAnsiTheme="minorEastAsia"/>
                <w:sz w:val="21"/>
                <w:szCs w:val="21"/>
              </w:rPr>
              <w:t>开展</w:t>
            </w:r>
            <w:r>
              <w:rPr>
                <w:rFonts w:cs="Calibri" w:asciiTheme="minorEastAsia" w:hAnsiTheme="minorEastAsia"/>
                <w:sz w:val="21"/>
                <w:szCs w:val="21"/>
              </w:rPr>
              <w:t>1次对服务人员进行保密、思想政治教育</w:t>
            </w:r>
            <w:r>
              <w:rPr>
                <w:rFonts w:hint="eastAsia" w:cs="Calibri" w:asciiTheme="minorEastAsia" w:hAnsiTheme="minorEastAsia"/>
                <w:sz w:val="21"/>
                <w:szCs w:val="21"/>
              </w:rPr>
              <w:t>的</w:t>
            </w:r>
            <w:r>
              <w:rPr>
                <w:rFonts w:cs="Calibri" w:asciiTheme="minorEastAsia" w:hAnsiTheme="minorEastAsia"/>
                <w:sz w:val="21"/>
                <w:szCs w:val="21"/>
              </w:rPr>
              <w:t>培训，</w:t>
            </w:r>
            <w:r>
              <w:rPr>
                <w:rFonts w:hint="eastAsia" w:cs="Calibri" w:asciiTheme="minorEastAsia" w:hAnsiTheme="minorEastAsia"/>
                <w:sz w:val="21"/>
                <w:szCs w:val="21"/>
              </w:rPr>
              <w:t>提高</w:t>
            </w:r>
            <w:r>
              <w:rPr>
                <w:rFonts w:cs="Calibri" w:asciiTheme="minorEastAsia" w:hAnsiTheme="minorEastAsia"/>
                <w:sz w:val="21"/>
                <w:szCs w:val="21"/>
              </w:rPr>
              <w:t>服务人员保密意识和思想政治意识。新入职员工应</w:t>
            </w:r>
            <w:r>
              <w:rPr>
                <w:rFonts w:hint="eastAsia" w:cs="Calibri" w:asciiTheme="minorEastAsia" w:hAnsiTheme="minorEastAsia"/>
                <w:sz w:val="21"/>
                <w:szCs w:val="21"/>
              </w:rPr>
              <w:t>当</w:t>
            </w:r>
            <w:r>
              <w:rPr>
                <w:rFonts w:cs="Calibri" w:asciiTheme="minorEastAsia" w:hAnsiTheme="minorEastAsia"/>
                <w:sz w:val="21"/>
                <w:szCs w:val="21"/>
              </w:rPr>
              <w:t>接受保密、思想政治教育培训，进行必要的</w:t>
            </w:r>
            <w:r>
              <w:rPr>
                <w:rFonts w:hint="eastAsia" w:cs="Calibri" w:asciiTheme="minorEastAsia" w:hAnsiTheme="minorEastAsia"/>
                <w:sz w:val="21"/>
                <w:szCs w:val="21"/>
              </w:rPr>
              <w:t>人员经历</w:t>
            </w:r>
            <w:r>
              <w:rPr>
                <w:rFonts w:cs="Calibri" w:asciiTheme="minorEastAsia" w:hAnsiTheme="minorEastAsia"/>
                <w:sz w:val="21"/>
                <w:szCs w:val="21"/>
              </w:rPr>
              <w:t>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（4）</w:t>
            </w:r>
            <w:r>
              <w:rPr>
                <w:rFonts w:cs="Calibri" w:asciiTheme="minorEastAsia" w:hAnsiTheme="minorEastAsia"/>
                <w:sz w:val="21"/>
                <w:szCs w:val="21"/>
              </w:rPr>
              <w:t>发现服务人员</w:t>
            </w:r>
            <w:r>
              <w:rPr>
                <w:rFonts w:hint="eastAsia" w:cs="Calibri" w:asciiTheme="minorEastAsia" w:hAnsiTheme="minorEastAsia"/>
                <w:sz w:val="21"/>
                <w:szCs w:val="21"/>
              </w:rPr>
              <w:t>违法违规或</w:t>
            </w:r>
            <w:r>
              <w:rPr>
                <w:rFonts w:cs="Calibri" w:asciiTheme="minorEastAsia" w:hAnsiTheme="minorEastAsia"/>
                <w:sz w:val="21"/>
                <w:szCs w:val="21"/>
              </w:rPr>
              <w:t>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Merge w:val="restart"/>
            <w:tcBorders>
              <w:tl2br w:val="nil"/>
              <w:tr2bl w:val="nil"/>
            </w:tcBorders>
            <w:vAlign w:val="center"/>
          </w:tcPr>
          <w:p>
            <w:pPr>
              <w:snapToGrid w:val="0"/>
              <w:spacing w:line="300" w:lineRule="auto"/>
              <w:jc w:val="center"/>
              <w:rPr>
                <w:rFonts w:cs="Calibri" w:asciiTheme="minorEastAsia" w:hAnsiTheme="minorEastAsia"/>
                <w:sz w:val="21"/>
                <w:szCs w:val="21"/>
              </w:rPr>
            </w:pPr>
            <w:r>
              <w:rPr>
                <w:rFonts w:cs="Calibri" w:asciiTheme="minorEastAsia" w:hAnsiTheme="minorEastAsia"/>
                <w:sz w:val="21"/>
                <w:szCs w:val="21"/>
              </w:rPr>
              <w:t>4</w:t>
            </w:r>
          </w:p>
        </w:tc>
        <w:tc>
          <w:tcPr>
            <w:tcW w:w="2013" w:type="dxa"/>
            <w:vMerge w:val="restart"/>
            <w:tcBorders>
              <w:tl2br w:val="nil"/>
              <w:tr2bl w:val="nil"/>
            </w:tcBorders>
            <w:vAlign w:val="center"/>
          </w:tcPr>
          <w:p>
            <w:pPr>
              <w:snapToGrid w:val="0"/>
              <w:spacing w:line="300" w:lineRule="auto"/>
              <w:rPr>
                <w:rFonts w:cs="Calibri" w:asciiTheme="minorEastAsia" w:hAnsiTheme="minorEastAsia"/>
                <w:sz w:val="21"/>
                <w:szCs w:val="21"/>
              </w:rPr>
            </w:pPr>
            <w:r>
              <w:rPr>
                <w:rFonts w:cs="Calibri" w:asciiTheme="minorEastAsia" w:hAnsiTheme="minorEastAsia"/>
                <w:sz w:val="21"/>
                <w:szCs w:val="21"/>
              </w:rPr>
              <w:t>档案管理</w:t>
            </w: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（1）</w:t>
            </w:r>
            <w:r>
              <w:rPr>
                <w:rFonts w:cs="Calibri" w:asciiTheme="minorEastAsia" w:hAnsiTheme="minorEastAsia"/>
                <w:sz w:val="21"/>
                <w:szCs w:val="21"/>
              </w:rPr>
              <w:t>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（2）</w:t>
            </w:r>
            <w:r>
              <w:rPr>
                <w:rFonts w:cs="Calibri" w:asciiTheme="minorEastAsia" w:hAnsiTheme="minorEastAsia"/>
                <w:sz w:val="21"/>
                <w:szCs w:val="21"/>
              </w:rPr>
              <w:t>档案和记录齐全，包括但不限于：①</w:t>
            </w:r>
            <w:r>
              <w:rPr>
                <w:rFonts w:hint="eastAsia" w:cs="Calibri" w:asciiTheme="minorEastAsia" w:hAnsiTheme="minorEastAsia"/>
                <w:sz w:val="21"/>
                <w:szCs w:val="21"/>
              </w:rPr>
              <w:t>采购人</w:t>
            </w:r>
            <w:r>
              <w:rPr>
                <w:rFonts w:cs="Calibri" w:asciiTheme="minorEastAsia" w:hAnsiTheme="minorEastAsia"/>
                <w:sz w:val="21"/>
                <w:szCs w:val="21"/>
              </w:rPr>
              <w:t>建议与投诉等。教育培训和考核记录。保密、思想政治教育培训记录。②</w:t>
            </w:r>
            <w:r>
              <w:rPr>
                <w:rFonts w:hint="eastAsia" w:cs="Calibri" w:asciiTheme="minorEastAsia" w:hAnsiTheme="minorEastAsia"/>
                <w:sz w:val="21"/>
                <w:szCs w:val="21"/>
              </w:rPr>
              <w:t>公用设施</w:t>
            </w:r>
            <w:r>
              <w:rPr>
                <w:rFonts w:cs="Calibri" w:asciiTheme="minorEastAsia" w:hAnsiTheme="minorEastAsia"/>
                <w:sz w:val="21"/>
                <w:szCs w:val="21"/>
              </w:rPr>
              <w:t>设备维护服务：设备台账、设备卡、使用说明、维保记录</w:t>
            </w:r>
            <w:r>
              <w:rPr>
                <w:rFonts w:hint="eastAsia" w:cs="Calibri" w:asciiTheme="minorEastAsia" w:hAnsiTheme="minorEastAsia"/>
                <w:sz w:val="21"/>
                <w:szCs w:val="21"/>
              </w:rPr>
              <w:t>、巡查记录、</w:t>
            </w:r>
            <w:r>
              <w:rPr>
                <w:rFonts w:hint="eastAsia" w:asciiTheme="minorEastAsia" w:hAnsiTheme="minorEastAsia"/>
                <w:sz w:val="21"/>
                <w:szCs w:val="21"/>
              </w:rPr>
              <w:t>设施设备安全运行、设施设备定期巡检、维护保养、维修档案</w:t>
            </w:r>
            <w:r>
              <w:rPr>
                <w:rFonts w:cs="Calibri" w:asciiTheme="minorEastAsia" w:hAnsiTheme="minorEastAsia"/>
                <w:sz w:val="21"/>
                <w:szCs w:val="21"/>
              </w:rPr>
              <w:t>等。③</w:t>
            </w:r>
            <w:r>
              <w:rPr>
                <w:rFonts w:hint="eastAsia" w:cs="Calibri" w:asciiTheme="minorEastAsia" w:hAnsiTheme="minorEastAsia"/>
                <w:sz w:val="21"/>
                <w:szCs w:val="21"/>
              </w:rPr>
              <w:t>保安服务</w:t>
            </w:r>
            <w:r>
              <w:rPr>
                <w:rFonts w:cs="Calibri" w:asciiTheme="minorEastAsia" w:hAnsiTheme="minorEastAsia"/>
                <w:sz w:val="21"/>
                <w:szCs w:val="21"/>
              </w:rPr>
              <w:t>：监控记录、突发事件演习与处置记录等。④保洁服务：工作日志、清洁检查表、用品清单、客户反馈表等。⑤绿化服务：绿化总平面图、清洁整改记录、消杀记录等。⑥其他：财务明细、合同协议</w:t>
            </w:r>
            <w:r>
              <w:rPr>
                <w:rFonts w:hint="eastAsia" w:cs="Calibri" w:asciiTheme="minorEastAsia" w:hAnsiTheme="minorEastAsia"/>
                <w:sz w:val="21"/>
                <w:szCs w:val="21"/>
              </w:rPr>
              <w:t>、大件物品进出登记</w:t>
            </w:r>
            <w:r>
              <w:rPr>
                <w:rFonts w:cs="Calibri" w:asciiTheme="minorEastAsia" w:hAnsiTheme="minorEastAsia"/>
                <w:sz w:val="2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（3）</w:t>
            </w:r>
            <w:r>
              <w:rPr>
                <w:rFonts w:cs="Calibri" w:asciiTheme="minorEastAsia" w:hAnsiTheme="minorEastAsia"/>
                <w:sz w:val="21"/>
                <w:szCs w:val="21"/>
              </w:rPr>
              <w:t>遵守采购人的信息、档案资料保密要求，未经许可，不得将</w:t>
            </w:r>
            <w:r>
              <w:rPr>
                <w:rFonts w:hint="eastAsia" w:cs="Calibri" w:asciiTheme="minorEastAsia" w:hAnsiTheme="minorEastAsia"/>
                <w:sz w:val="21"/>
                <w:szCs w:val="21"/>
              </w:rPr>
              <w:t>建筑物平面图等</w:t>
            </w:r>
            <w:r>
              <w:rPr>
                <w:rFonts w:cs="Calibri" w:asciiTheme="minorEastAsia" w:hAnsiTheme="minorEastAsia"/>
                <w:sz w:val="21"/>
                <w:szCs w:val="21"/>
              </w:rPr>
              <w:t>资料转作其他用途</w:t>
            </w:r>
            <w:r>
              <w:rPr>
                <w:rFonts w:hint="eastAsia" w:cs="Calibri" w:asciiTheme="minorEastAsia" w:hAnsiTheme="minorEastAsia"/>
                <w:sz w:val="21"/>
                <w:szCs w:val="21"/>
              </w:rPr>
              <w:t>或向其他单位、个人提供</w:t>
            </w:r>
            <w:r>
              <w:rPr>
                <w:rFonts w:cs="Calibri" w:asciiTheme="minorEastAsia" w:hAnsi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（4）履约结束后，相关资料交还采购人，采购人按政府采购相关规定存档。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Merge w:val="restart"/>
            <w:tcBorders>
              <w:tl2br w:val="nil"/>
              <w:tr2bl w:val="nil"/>
            </w:tcBorders>
            <w:vAlign w:val="center"/>
          </w:tcPr>
          <w:p>
            <w:pPr>
              <w:snapToGrid w:val="0"/>
              <w:spacing w:line="300" w:lineRule="auto"/>
              <w:jc w:val="center"/>
              <w:rPr>
                <w:rFonts w:cs="Calibri" w:asciiTheme="minorEastAsia" w:hAnsiTheme="minorEastAsia"/>
                <w:sz w:val="21"/>
                <w:szCs w:val="21"/>
              </w:rPr>
            </w:pPr>
            <w:r>
              <w:rPr>
                <w:rFonts w:cs="Calibri" w:asciiTheme="minorEastAsia" w:hAnsiTheme="minorEastAsia"/>
                <w:sz w:val="21"/>
                <w:szCs w:val="21"/>
              </w:rPr>
              <w:t>5</w:t>
            </w:r>
          </w:p>
        </w:tc>
        <w:tc>
          <w:tcPr>
            <w:tcW w:w="2013" w:type="dxa"/>
            <w:vMerge w:val="restart"/>
            <w:tcBorders>
              <w:tl2br w:val="nil"/>
              <w:tr2bl w:val="nil"/>
            </w:tcBorders>
            <w:vAlign w:val="center"/>
          </w:tcPr>
          <w:p>
            <w:pPr>
              <w:snapToGrid w:val="0"/>
              <w:spacing w:line="300" w:lineRule="auto"/>
              <w:rPr>
                <w:rFonts w:cs="Calibri" w:asciiTheme="minorEastAsia" w:hAnsiTheme="minorEastAsia"/>
                <w:sz w:val="21"/>
                <w:szCs w:val="21"/>
              </w:rPr>
            </w:pPr>
            <w:r>
              <w:rPr>
                <w:rFonts w:cs="Calibri" w:asciiTheme="minorEastAsia" w:hAnsiTheme="minorEastAsia"/>
                <w:sz w:val="21"/>
                <w:szCs w:val="21"/>
              </w:rPr>
              <w:t>服务改进</w:t>
            </w: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（1）</w:t>
            </w:r>
            <w:r>
              <w:rPr>
                <w:rFonts w:cs="Calibri" w:asciiTheme="minorEastAsia" w:hAnsiTheme="minorEastAsia"/>
                <w:sz w:val="21"/>
                <w:szCs w:val="21"/>
              </w:rPr>
              <w:t>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（2）</w:t>
            </w:r>
            <w:r>
              <w:rPr>
                <w:rFonts w:cs="Calibri" w:asciiTheme="minorEastAsia" w:hAnsiTheme="minorEastAsia"/>
                <w:sz w:val="21"/>
                <w:szCs w:val="21"/>
              </w:rPr>
              <w:t>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（3）</w:t>
            </w:r>
            <w:r>
              <w:rPr>
                <w:rFonts w:cs="Calibri" w:asciiTheme="minorEastAsia" w:hAnsiTheme="minorEastAsia"/>
                <w:sz w:val="21"/>
                <w:szCs w:val="21"/>
              </w:rPr>
              <w:t>需整改问题</w:t>
            </w:r>
            <w:r>
              <w:rPr>
                <w:rFonts w:hint="eastAsia" w:cs="Calibri" w:asciiTheme="minorEastAsia" w:hAnsiTheme="minorEastAsia"/>
                <w:sz w:val="21"/>
                <w:szCs w:val="21"/>
              </w:rPr>
              <w:t>及时</w:t>
            </w:r>
            <w:r>
              <w:rPr>
                <w:rFonts w:cs="Calibri" w:asciiTheme="minorEastAsia" w:hAnsiTheme="minorEastAsia"/>
                <w:sz w:val="21"/>
                <w:szCs w:val="21"/>
              </w:rPr>
              <w:t>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Merge w:val="restart"/>
            <w:tcBorders>
              <w:tl2br w:val="nil"/>
              <w:tr2bl w:val="nil"/>
            </w:tcBorders>
            <w:vAlign w:val="center"/>
          </w:tcPr>
          <w:p>
            <w:pPr>
              <w:snapToGrid w:val="0"/>
              <w:spacing w:line="300" w:lineRule="auto"/>
              <w:jc w:val="center"/>
              <w:rPr>
                <w:rFonts w:cs="Calibri" w:asciiTheme="minorEastAsia" w:hAnsiTheme="minorEastAsia"/>
                <w:sz w:val="21"/>
                <w:szCs w:val="21"/>
              </w:rPr>
            </w:pPr>
            <w:r>
              <w:rPr>
                <w:rFonts w:cs="Calibri" w:asciiTheme="minorEastAsia" w:hAnsiTheme="minorEastAsia"/>
                <w:sz w:val="21"/>
                <w:szCs w:val="21"/>
              </w:rPr>
              <w:t>6</w:t>
            </w:r>
          </w:p>
        </w:tc>
        <w:tc>
          <w:tcPr>
            <w:tcW w:w="2013" w:type="dxa"/>
            <w:vMerge w:val="restart"/>
            <w:tcBorders>
              <w:tl2br w:val="nil"/>
              <w:tr2bl w:val="nil"/>
            </w:tcBorders>
            <w:vAlign w:val="center"/>
          </w:tcPr>
          <w:p>
            <w:pPr>
              <w:snapToGrid w:val="0"/>
              <w:spacing w:line="300" w:lineRule="auto"/>
              <w:jc w:val="both"/>
              <w:rPr>
                <w:rFonts w:cs="Calibri" w:asciiTheme="minorEastAsia" w:hAnsiTheme="minorEastAsia"/>
                <w:sz w:val="21"/>
                <w:szCs w:val="21"/>
              </w:rPr>
            </w:pPr>
            <w:r>
              <w:rPr>
                <w:rFonts w:cs="Calibri" w:asciiTheme="minorEastAsia" w:hAnsiTheme="minorEastAsia"/>
                <w:sz w:val="21"/>
                <w:szCs w:val="21"/>
              </w:rPr>
              <w:t>重大活动后勤保障</w:t>
            </w: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（1）</w:t>
            </w:r>
            <w:r>
              <w:rPr>
                <w:rFonts w:cs="Calibri" w:asciiTheme="minorEastAsia" w:hAnsiTheme="minorEastAsia"/>
                <w:sz w:val="21"/>
                <w:szCs w:val="21"/>
              </w:rPr>
              <w:t>制订流程。配合采购人制订重大活动后勤保障工作流程，需对任务进行详细了解，并根据工作安排制定详细的后勤保障计划。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（2）</w:t>
            </w:r>
            <w:r>
              <w:rPr>
                <w:rFonts w:cs="Calibri" w:asciiTheme="minorEastAsia" w:hAnsiTheme="minorEastAsia"/>
                <w:sz w:val="21"/>
                <w:szCs w:val="21"/>
              </w:rPr>
              <w:t>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（3）</w:t>
            </w:r>
            <w:r>
              <w:rPr>
                <w:rFonts w:cs="Calibri" w:asciiTheme="minorEastAsia" w:hAnsiTheme="minorEastAsia"/>
                <w:sz w:val="21"/>
                <w:szCs w:val="21"/>
              </w:rPr>
              <w:t>收尾工作。对现场进行检查，做好清理工作。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Merge w:val="restart"/>
            <w:tcBorders>
              <w:tl2br w:val="nil"/>
              <w:tr2bl w:val="nil"/>
            </w:tcBorders>
            <w:vAlign w:val="center"/>
          </w:tcPr>
          <w:p>
            <w:pPr>
              <w:snapToGrid w:val="0"/>
              <w:spacing w:line="300" w:lineRule="auto"/>
              <w:jc w:val="center"/>
              <w:rPr>
                <w:rFonts w:cs="Calibri" w:asciiTheme="minorEastAsia" w:hAnsiTheme="minorEastAsia"/>
                <w:sz w:val="21"/>
                <w:szCs w:val="21"/>
              </w:rPr>
            </w:pPr>
            <w:r>
              <w:rPr>
                <w:rFonts w:cs="Calibri" w:asciiTheme="minorEastAsia" w:hAnsiTheme="minorEastAsia"/>
                <w:sz w:val="21"/>
                <w:szCs w:val="21"/>
              </w:rPr>
              <w:t>7</w:t>
            </w:r>
          </w:p>
        </w:tc>
        <w:tc>
          <w:tcPr>
            <w:tcW w:w="2013" w:type="dxa"/>
            <w:vMerge w:val="restart"/>
            <w:tcBorders>
              <w:tl2br w:val="nil"/>
              <w:tr2bl w:val="nil"/>
            </w:tcBorders>
            <w:vAlign w:val="center"/>
          </w:tcPr>
          <w:p>
            <w:pPr>
              <w:snapToGrid w:val="0"/>
              <w:spacing w:line="300" w:lineRule="auto"/>
              <w:jc w:val="both"/>
              <w:rPr>
                <w:rFonts w:cs="Calibri" w:asciiTheme="minorEastAsia" w:hAnsiTheme="minorEastAsia"/>
                <w:sz w:val="21"/>
                <w:szCs w:val="21"/>
              </w:rPr>
            </w:pPr>
            <w:r>
              <w:rPr>
                <w:rFonts w:cs="Calibri" w:asciiTheme="minorEastAsia" w:hAnsiTheme="minorEastAsia"/>
                <w:sz w:val="21"/>
                <w:szCs w:val="21"/>
              </w:rPr>
              <w:t>应急保障预案</w:t>
            </w: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（1）</w:t>
            </w:r>
            <w:r>
              <w:rPr>
                <w:rFonts w:cs="Calibri" w:asciiTheme="minorEastAsia" w:hAnsiTheme="minorEastAsia"/>
                <w:sz w:val="21"/>
                <w:szCs w:val="21"/>
              </w:rPr>
              <w:t>重点区域及安全隐患排查。结合项目的实际情况，对重点部位及危险隐患进行排查，并建立清单/台账；应</w:t>
            </w:r>
            <w:r>
              <w:rPr>
                <w:rFonts w:hint="eastAsia" w:cs="Calibri" w:asciiTheme="minorEastAsia" w:hAnsiTheme="minorEastAsia"/>
                <w:sz w:val="21"/>
                <w:szCs w:val="21"/>
              </w:rPr>
              <w:t>当</w:t>
            </w:r>
            <w:r>
              <w:rPr>
                <w:rFonts w:cs="Calibri" w:asciiTheme="minorEastAsia" w:hAnsiTheme="minorEastAsia"/>
                <w:sz w:val="21"/>
                <w:szCs w:val="21"/>
              </w:rPr>
              <w:t>对危险隐患进行风险分析，制定相应措施进行控制或整改并定期监控；随着设施设备、服务内容的变化，及时更新清单/台账，使风险隐患始终处于受控状态</w:t>
            </w:r>
            <w:r>
              <w:rPr>
                <w:rFonts w:hint="eastAsia" w:cs="Calibri" w:asciiTheme="minorEastAsia" w:hAnsi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（2）</w:t>
            </w:r>
            <w:r>
              <w:rPr>
                <w:rFonts w:cs="Calibri" w:asciiTheme="minorEastAsia" w:hAnsiTheme="minorEastAsia"/>
                <w:sz w:val="21"/>
                <w:szCs w:val="21"/>
              </w:rPr>
              <w:t>应急预案的建立。根据办公楼隐患排查的结果和实际情况，制定专项预案，包括但不限于：火情火警紧急处理应急预案、紧急疏散应急预案、</w:t>
            </w:r>
            <w:r>
              <w:rPr>
                <w:rFonts w:hint="eastAsia" w:cs="Calibri" w:asciiTheme="minorEastAsia" w:hAnsiTheme="minorEastAsia"/>
                <w:sz w:val="21"/>
                <w:szCs w:val="21"/>
              </w:rPr>
              <w:t>停水</w:t>
            </w:r>
            <w:r>
              <w:rPr>
                <w:rFonts w:cs="Calibri" w:asciiTheme="minorEastAsia" w:hAnsiTheme="minorEastAsia"/>
                <w:sz w:val="21"/>
                <w:szCs w:val="21"/>
              </w:rPr>
              <w:t>停电应急预案、有限空间救援应急预案、高空作业救援应急预案、恶劣天气应对应急预案等</w:t>
            </w:r>
            <w:r>
              <w:rPr>
                <w:rFonts w:hint="eastAsia" w:cs="Calibri" w:asciiTheme="minorEastAsia" w:hAnsi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（3）</w:t>
            </w:r>
            <w:r>
              <w:rPr>
                <w:rFonts w:cs="Calibri" w:asciiTheme="minorEastAsia" w:hAnsiTheme="minorEastAsia"/>
                <w:sz w:val="21"/>
                <w:szCs w:val="21"/>
              </w:rPr>
              <w:t>应急预案的培训和演练。应急预案定期培训和演练，组织相关岗位每半年至少开展一次专项应急预案演练；留存培训及演练记录和影像资料，并对预案进行评价，确保与实际情况相结合</w:t>
            </w:r>
            <w:r>
              <w:rPr>
                <w:rFonts w:hint="eastAsia" w:cs="Calibri" w:asciiTheme="minorEastAsia" w:hAnsi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（4）</w:t>
            </w:r>
            <w:r>
              <w:rPr>
                <w:rFonts w:cs="Calibri" w:asciiTheme="minorEastAsia" w:hAnsiTheme="minorEastAsia"/>
                <w:sz w:val="21"/>
                <w:szCs w:val="21"/>
              </w:rPr>
              <w:t>应急物资的管理。根据专项预案中的应对需要</w:t>
            </w:r>
            <w:r>
              <w:rPr>
                <w:rFonts w:hint="eastAsia" w:cs="Calibri" w:asciiTheme="minorEastAsia" w:hAnsiTheme="minorEastAsia"/>
                <w:sz w:val="21"/>
                <w:szCs w:val="21"/>
              </w:rPr>
              <w:t>、</w:t>
            </w:r>
            <w:r>
              <w:rPr>
                <w:rFonts w:cs="Calibri" w:asciiTheme="minorEastAsia" w:hAnsiTheme="minorEastAsia"/>
                <w:sz w:val="21"/>
                <w:szCs w:val="21"/>
              </w:rPr>
              <w:t>必要的应急物资，建立清单或台账，并由专人定期对应急物资进行检查，</w:t>
            </w:r>
            <w:r>
              <w:rPr>
                <w:rFonts w:hint="eastAsia" w:cs="Calibri" w:asciiTheme="minorEastAsia" w:hAnsiTheme="minorEastAsia"/>
                <w:sz w:val="21"/>
                <w:szCs w:val="21"/>
              </w:rPr>
              <w:t>如有应急物资不足，及时通知采购人购置齐全，</w:t>
            </w:r>
            <w:r>
              <w:rPr>
                <w:rFonts w:cs="Calibri" w:asciiTheme="minorEastAsia" w:hAnsiTheme="minorEastAsia"/>
                <w:sz w:val="21"/>
                <w:szCs w:val="21"/>
              </w:rPr>
              <w:t>确保能够随时正常使用。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Merge w:val="restart"/>
            <w:tcBorders>
              <w:tl2br w:val="nil"/>
              <w:tr2bl w:val="nil"/>
            </w:tcBorders>
            <w:vAlign w:val="center"/>
          </w:tcPr>
          <w:p>
            <w:pPr>
              <w:snapToGrid w:val="0"/>
              <w:spacing w:line="300" w:lineRule="auto"/>
              <w:jc w:val="center"/>
              <w:rPr>
                <w:rFonts w:cs="Calibri" w:asciiTheme="minorEastAsia" w:hAnsiTheme="minorEastAsia"/>
                <w:sz w:val="21"/>
                <w:szCs w:val="21"/>
              </w:rPr>
            </w:pPr>
            <w:r>
              <w:rPr>
                <w:rFonts w:cs="Calibri" w:asciiTheme="minorEastAsia" w:hAnsiTheme="minorEastAsia"/>
                <w:sz w:val="21"/>
                <w:szCs w:val="21"/>
              </w:rPr>
              <w:t>8</w:t>
            </w:r>
          </w:p>
        </w:tc>
        <w:tc>
          <w:tcPr>
            <w:tcW w:w="2013" w:type="dxa"/>
            <w:vMerge w:val="restart"/>
            <w:tcBorders>
              <w:tl2br w:val="nil"/>
              <w:tr2bl w:val="nil"/>
            </w:tcBorders>
            <w:vAlign w:val="center"/>
          </w:tcPr>
          <w:p>
            <w:pPr>
              <w:snapToGrid w:val="0"/>
              <w:spacing w:line="300" w:lineRule="auto"/>
              <w:jc w:val="both"/>
              <w:rPr>
                <w:rFonts w:cs="Calibri" w:asciiTheme="minorEastAsia" w:hAnsiTheme="minorEastAsia"/>
                <w:sz w:val="21"/>
                <w:szCs w:val="21"/>
              </w:rPr>
            </w:pPr>
            <w:r>
              <w:rPr>
                <w:rFonts w:cs="Calibri" w:asciiTheme="minorEastAsia" w:hAnsiTheme="minorEastAsia"/>
                <w:sz w:val="21"/>
                <w:szCs w:val="21"/>
              </w:rPr>
              <w:t>服务方案</w:t>
            </w:r>
            <w:r>
              <w:rPr>
                <w:rFonts w:hint="eastAsia" w:cs="Calibri" w:asciiTheme="minorEastAsia" w:hAnsiTheme="minorEastAsia"/>
                <w:sz w:val="21"/>
                <w:szCs w:val="21"/>
              </w:rPr>
              <w:t>及工作制度</w:t>
            </w: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bCs/>
                <w:sz w:val="21"/>
                <w:szCs w:val="21"/>
              </w:rPr>
            </w:pPr>
            <w:r>
              <w:rPr>
                <w:rFonts w:hint="eastAsia" w:cs="Calibri" w:asciiTheme="minorEastAsia" w:hAnsiTheme="minorEastAsia"/>
                <w:sz w:val="21"/>
                <w:szCs w:val="21"/>
              </w:rPr>
              <w:t>（1）制定工作制度，</w:t>
            </w:r>
            <w:r>
              <w:rPr>
                <w:rFonts w:hint="eastAsia" w:cs="Calibri" w:asciiTheme="minorEastAsia" w:hAnsiTheme="minorEastAsia"/>
                <w:bCs/>
                <w:sz w:val="21"/>
                <w:szCs w:val="21"/>
              </w:rPr>
              <w:t>主要</w:t>
            </w:r>
            <w:r>
              <w:rPr>
                <w:rFonts w:cs="Calibri" w:asciiTheme="minorEastAsia" w:hAnsiTheme="minorEastAsia"/>
                <w:bCs/>
                <w:sz w:val="21"/>
                <w:szCs w:val="21"/>
              </w:rPr>
              <w:t>包括：</w:t>
            </w:r>
            <w:r>
              <w:rPr>
                <w:rFonts w:hint="eastAsia" w:cs="Calibri" w:asciiTheme="minorEastAsia" w:hAnsiTheme="minorEastAsia"/>
                <w:bCs/>
                <w:sz w:val="21"/>
                <w:szCs w:val="21"/>
              </w:rPr>
              <w:t>人员录用制度、</w:t>
            </w:r>
            <w:r>
              <w:rPr>
                <w:rFonts w:cs="Calibri" w:asciiTheme="minorEastAsia" w:hAnsiTheme="minorEastAsia"/>
                <w:sz w:val="21"/>
                <w:szCs w:val="21"/>
              </w:rPr>
              <w:t>档案管理制度</w:t>
            </w:r>
            <w:r>
              <w:rPr>
                <w:rFonts w:hint="eastAsia" w:cs="Calibri" w:asciiTheme="minorEastAsia" w:hAnsiTheme="minorEastAsia"/>
                <w:sz w:val="21"/>
                <w:szCs w:val="21"/>
              </w:rPr>
              <w:t>、</w:t>
            </w:r>
            <w:r>
              <w:rPr>
                <w:rFonts w:cs="Calibri" w:asciiTheme="minorEastAsia" w:hAnsiTheme="minorEastAsia"/>
                <w:bCs/>
                <w:sz w:val="21"/>
                <w:szCs w:val="21"/>
              </w:rPr>
              <w:t>物业服务管理制度</w:t>
            </w:r>
            <w:r>
              <w:rPr>
                <w:rFonts w:hint="eastAsia" w:cs="Calibri" w:asciiTheme="minorEastAsia" w:hAnsiTheme="minorEastAsia"/>
                <w:bCs/>
                <w:sz w:val="21"/>
                <w:szCs w:val="21"/>
              </w:rPr>
              <w:t>、</w:t>
            </w:r>
            <w:r>
              <w:rPr>
                <w:rFonts w:hint="eastAsia" w:cs="Calibri" w:asciiTheme="minorEastAsia" w:hAnsiTheme="minorEastAsia"/>
                <w:sz w:val="21"/>
                <w:szCs w:val="21"/>
              </w:rPr>
              <w:t>公用设施设备相关管理制度等</w:t>
            </w:r>
            <w:r>
              <w:rPr>
                <w:rFonts w:hint="eastAsia" w:cs="Calibri" w:asciiTheme="minorEastAsia" w:hAnsiTheme="minorEastAsia"/>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（2）制定</w:t>
            </w:r>
            <w:r>
              <w:rPr>
                <w:rFonts w:cs="Calibri" w:asciiTheme="minorEastAsia" w:hAnsiTheme="minorEastAsia"/>
                <w:bCs/>
                <w:sz w:val="21"/>
                <w:szCs w:val="21"/>
              </w:rPr>
              <w:t>项目实施方案</w:t>
            </w:r>
            <w:r>
              <w:rPr>
                <w:rFonts w:hint="eastAsia" w:cs="Calibri" w:asciiTheme="minorEastAsia" w:hAnsiTheme="minorEastAsia"/>
                <w:bCs/>
                <w:sz w:val="21"/>
                <w:szCs w:val="21"/>
              </w:rPr>
              <w:t>，主要</w:t>
            </w:r>
            <w:r>
              <w:rPr>
                <w:rFonts w:cs="Calibri" w:asciiTheme="minorEastAsia" w:hAnsiTheme="minorEastAsia"/>
                <w:bCs/>
                <w:sz w:val="21"/>
                <w:szCs w:val="21"/>
              </w:rPr>
              <w:t>包括：</w:t>
            </w:r>
            <w:r>
              <w:rPr>
                <w:rFonts w:hint="eastAsia" w:cs="Calibri" w:asciiTheme="minorEastAsia" w:hAnsiTheme="minorEastAsia"/>
                <w:bCs/>
                <w:sz w:val="21"/>
                <w:szCs w:val="21"/>
              </w:rPr>
              <w:t>交接</w:t>
            </w:r>
            <w:r>
              <w:rPr>
                <w:rFonts w:cs="Calibri" w:asciiTheme="minorEastAsia" w:hAnsiTheme="minorEastAsia"/>
                <w:bCs/>
                <w:sz w:val="21"/>
                <w:szCs w:val="21"/>
              </w:rPr>
              <w:t>方案、人员培训方案、人员稳定性方案、保密方案</w:t>
            </w:r>
            <w:r>
              <w:rPr>
                <w:rFonts w:hint="eastAsia" w:cs="Calibri" w:asciiTheme="minorEastAsia" w:hAnsiTheme="minorEastAsia"/>
                <w:bCs/>
                <w:sz w:val="21"/>
                <w:szCs w:val="21"/>
              </w:rPr>
              <w:t>等</w:t>
            </w:r>
            <w:r>
              <w:rPr>
                <w:rFonts w:cs="Calibri" w:asciiTheme="minorEastAsia" w:hAnsiTheme="minorEastAsia"/>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（3）制定</w:t>
            </w:r>
            <w:r>
              <w:rPr>
                <w:rFonts w:cs="Calibri" w:asciiTheme="minorEastAsia" w:hAnsiTheme="minorEastAsia"/>
                <w:bCs/>
                <w:sz w:val="21"/>
                <w:szCs w:val="21"/>
              </w:rPr>
              <w:t>物业服务方案</w:t>
            </w:r>
            <w:r>
              <w:rPr>
                <w:rFonts w:hint="eastAsia" w:cs="Calibri" w:asciiTheme="minorEastAsia" w:hAnsiTheme="minorEastAsia"/>
                <w:bCs/>
                <w:sz w:val="21"/>
                <w:szCs w:val="21"/>
              </w:rPr>
              <w:t>，主要</w:t>
            </w:r>
            <w:r>
              <w:rPr>
                <w:rFonts w:cs="Calibri" w:asciiTheme="minorEastAsia" w:hAnsiTheme="minorEastAsia"/>
                <w:bCs/>
                <w:sz w:val="21"/>
                <w:szCs w:val="21"/>
              </w:rPr>
              <w:t>包括：</w:t>
            </w:r>
            <w:r>
              <w:rPr>
                <w:rFonts w:hint="eastAsia" w:cs="Calibri" w:asciiTheme="minorEastAsia" w:hAnsiTheme="minorEastAsia"/>
                <w:bCs/>
                <w:sz w:val="21"/>
                <w:szCs w:val="21"/>
              </w:rPr>
              <w:t>房屋维护服务方案、公用设施设备维护服务方案、</w:t>
            </w:r>
            <w:r>
              <w:rPr>
                <w:rFonts w:cs="Calibri" w:asciiTheme="minorEastAsia" w:hAnsiTheme="minorEastAsia"/>
                <w:bCs/>
                <w:sz w:val="21"/>
                <w:szCs w:val="21"/>
              </w:rPr>
              <w:t>绿化服务方案</w:t>
            </w:r>
            <w:r>
              <w:rPr>
                <w:rFonts w:hint="eastAsia" w:cs="Calibri" w:asciiTheme="minorEastAsia" w:hAnsiTheme="minorEastAsia"/>
                <w:bCs/>
                <w:sz w:val="21"/>
                <w:szCs w:val="21"/>
              </w:rPr>
              <w:t>、</w:t>
            </w:r>
            <w:r>
              <w:rPr>
                <w:rFonts w:cs="Calibri" w:asciiTheme="minorEastAsia" w:hAnsiTheme="minorEastAsia"/>
                <w:bCs/>
                <w:sz w:val="21"/>
                <w:szCs w:val="21"/>
              </w:rPr>
              <w:t>保洁服务方案、</w:t>
            </w:r>
            <w:r>
              <w:rPr>
                <w:rFonts w:hint="eastAsia" w:cs="Calibri" w:asciiTheme="minorEastAsia" w:hAnsiTheme="minorEastAsia"/>
                <w:bCs/>
                <w:sz w:val="21"/>
                <w:szCs w:val="21"/>
              </w:rPr>
              <w:t>保安</w:t>
            </w:r>
            <w:r>
              <w:rPr>
                <w:rFonts w:cs="Calibri" w:asciiTheme="minorEastAsia" w:hAnsiTheme="minorEastAsia"/>
                <w:bCs/>
                <w:sz w:val="21"/>
                <w:szCs w:val="21"/>
              </w:rPr>
              <w:t>服务方案、会议服务方案</w:t>
            </w:r>
            <w:r>
              <w:rPr>
                <w:rFonts w:hint="eastAsia" w:cs="Calibri" w:asciiTheme="minorEastAsia" w:hAnsiTheme="minorEastAsia"/>
                <w:bCs/>
                <w:sz w:val="21"/>
                <w:szCs w:val="21"/>
              </w:rPr>
              <w:t>等</w:t>
            </w:r>
            <w:r>
              <w:rPr>
                <w:rFonts w:cs="Calibri" w:asciiTheme="minorEastAsia" w:hAnsiTheme="minorEastAsia"/>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Merge w:val="restart"/>
            <w:tcBorders>
              <w:tl2br w:val="nil"/>
              <w:tr2bl w:val="nil"/>
            </w:tcBorders>
            <w:vAlign w:val="center"/>
          </w:tcPr>
          <w:p>
            <w:pPr>
              <w:snapToGrid w:val="0"/>
              <w:spacing w:line="300" w:lineRule="auto"/>
              <w:jc w:val="center"/>
              <w:rPr>
                <w:rFonts w:cs="Calibri" w:asciiTheme="minorEastAsia" w:hAnsiTheme="minorEastAsia"/>
                <w:sz w:val="21"/>
                <w:szCs w:val="21"/>
              </w:rPr>
            </w:pPr>
            <w:r>
              <w:rPr>
                <w:rFonts w:cs="Calibri" w:asciiTheme="minorEastAsia" w:hAnsiTheme="minorEastAsia"/>
                <w:sz w:val="21"/>
                <w:szCs w:val="21"/>
              </w:rPr>
              <w:t>9</w:t>
            </w:r>
          </w:p>
        </w:tc>
        <w:tc>
          <w:tcPr>
            <w:tcW w:w="2013" w:type="dxa"/>
            <w:vMerge w:val="restart"/>
            <w:tcBorders>
              <w:tl2br w:val="nil"/>
              <w:tr2bl w:val="nil"/>
            </w:tcBorders>
            <w:vAlign w:val="center"/>
          </w:tcPr>
          <w:p>
            <w:pPr>
              <w:snapToGrid w:val="0"/>
              <w:spacing w:line="300" w:lineRule="auto"/>
              <w:jc w:val="both"/>
              <w:rPr>
                <w:rFonts w:asciiTheme="minorEastAsia" w:hAnsiTheme="minorEastAsia"/>
                <w:sz w:val="21"/>
                <w:szCs w:val="21"/>
              </w:rPr>
            </w:pPr>
            <w:r>
              <w:rPr>
                <w:rFonts w:asciiTheme="minorEastAsia" w:hAnsiTheme="minorEastAsia"/>
                <w:sz w:val="21"/>
                <w:szCs w:val="21"/>
              </w:rPr>
              <w:t>信报服务</w:t>
            </w: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（1）对邮件、包裹和挂号信等进行正确分理、安全检查和防疫卫生检查。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（2）及时投送或通知收件人领取。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（3）</w:t>
            </w:r>
            <w:r>
              <w:rPr>
                <w:rFonts w:cs="Calibri" w:asciiTheme="minorEastAsia" w:hAnsiTheme="minorEastAsia"/>
                <w:sz w:val="21"/>
                <w:szCs w:val="21"/>
              </w:rPr>
              <w:t>大件物品出入</w:t>
            </w:r>
            <w:r>
              <w:rPr>
                <w:rFonts w:hint="eastAsia" w:cs="Calibri" w:asciiTheme="minorEastAsia" w:hAnsiTheme="minorEastAsia"/>
                <w:sz w:val="21"/>
                <w:szCs w:val="21"/>
              </w:rPr>
              <w:t>向采购人报告，待采购人确认无误后放行。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1" w:type="dxa"/>
            <w:vMerge w:val="restart"/>
            <w:tcBorders>
              <w:tl2br w:val="nil"/>
              <w:tr2bl w:val="nil"/>
            </w:tcBorders>
            <w:vAlign w:val="center"/>
          </w:tcPr>
          <w:p>
            <w:pPr>
              <w:snapToGrid w:val="0"/>
              <w:spacing w:line="300" w:lineRule="auto"/>
              <w:jc w:val="center"/>
              <w:rPr>
                <w:rFonts w:cs="Calibri" w:asciiTheme="minorEastAsia" w:hAnsiTheme="minorEastAsia"/>
                <w:sz w:val="21"/>
                <w:szCs w:val="21"/>
              </w:rPr>
            </w:pPr>
            <w:r>
              <w:rPr>
                <w:rFonts w:hint="eastAsia" w:cs="Calibri" w:asciiTheme="minorEastAsia" w:hAnsiTheme="minorEastAsia"/>
                <w:sz w:val="21"/>
                <w:szCs w:val="21"/>
              </w:rPr>
              <w:t>1</w:t>
            </w:r>
            <w:r>
              <w:rPr>
                <w:rFonts w:cs="Calibri" w:asciiTheme="minorEastAsia" w:hAnsiTheme="minorEastAsia"/>
                <w:sz w:val="21"/>
                <w:szCs w:val="21"/>
              </w:rPr>
              <w:t>0</w:t>
            </w:r>
          </w:p>
        </w:tc>
        <w:tc>
          <w:tcPr>
            <w:tcW w:w="2013" w:type="dxa"/>
            <w:vMerge w:val="restart"/>
            <w:tcBorders>
              <w:tl2br w:val="nil"/>
              <w:tr2bl w:val="nil"/>
            </w:tcBorders>
            <w:vAlign w:val="center"/>
          </w:tcPr>
          <w:p>
            <w:pPr>
              <w:snapToGrid w:val="0"/>
              <w:spacing w:line="300" w:lineRule="auto"/>
              <w:jc w:val="both"/>
              <w:rPr>
                <w:rFonts w:asciiTheme="minorEastAsia" w:hAnsiTheme="minorEastAsia"/>
                <w:sz w:val="21"/>
                <w:szCs w:val="21"/>
              </w:rPr>
            </w:pPr>
            <w:r>
              <w:rPr>
                <w:rFonts w:asciiTheme="minorEastAsia" w:hAnsiTheme="minorEastAsia"/>
                <w:sz w:val="21"/>
                <w:szCs w:val="21"/>
              </w:rPr>
              <w:t>服务</w:t>
            </w:r>
            <w:r>
              <w:rPr>
                <w:rFonts w:hint="eastAsia" w:asciiTheme="minorEastAsia" w:hAnsiTheme="minorEastAsia"/>
                <w:sz w:val="21"/>
                <w:szCs w:val="21"/>
              </w:rPr>
              <w:t>热线及紧急维修</w:t>
            </w: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（1）设置24小时报修服务热线。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30" w:type="dxa"/>
            <w:vMerge w:val="continue"/>
            <w:tcBorders>
              <w:tl2br w:val="nil"/>
              <w:tr2bl w:val="nil"/>
            </w:tcBorders>
            <w:vAlign w:val="center"/>
          </w:tcPr>
          <w:p>
            <w:pPr>
              <w:rPr>
                <w:rFonts w:asciiTheme="minorEastAsia" w:hAnsiTheme="minorEastAsia"/>
                <w:sz w:val="21"/>
                <w:szCs w:val="21"/>
              </w:rPr>
            </w:pPr>
          </w:p>
        </w:tc>
        <w:tc>
          <w:tcPr>
            <w:tcW w:w="3297" w:type="dxa"/>
            <w:vMerge w:val="continue"/>
            <w:tcBorders>
              <w:tl2br w:val="nil"/>
              <w:tr2bl w:val="nil"/>
            </w:tcBorders>
            <w:vAlign w:val="center"/>
          </w:tcPr>
          <w:p>
            <w:pPr>
              <w:rPr>
                <w:rFonts w:asciiTheme="minorEastAsia" w:hAnsiTheme="minorEastAsia"/>
                <w:sz w:val="21"/>
                <w:szCs w:val="21"/>
              </w:rPr>
            </w:pPr>
          </w:p>
        </w:tc>
        <w:tc>
          <w:tcPr>
            <w:tcW w:w="6116" w:type="dxa"/>
            <w:tcBorders>
              <w:tl2br w:val="nil"/>
              <w:tr2bl w:val="nil"/>
            </w:tcBorders>
            <w:vAlign w:val="center"/>
          </w:tcPr>
          <w:p>
            <w:pPr>
              <w:snapToGrid w:val="0"/>
              <w:spacing w:line="300" w:lineRule="auto"/>
              <w:ind w:firstLine="420" w:firstLineChars="200"/>
              <w:jc w:val="both"/>
              <w:rPr>
                <w:rFonts w:cs="Calibri" w:asciiTheme="minorEastAsia" w:hAnsiTheme="minorEastAsia"/>
                <w:sz w:val="21"/>
                <w:szCs w:val="21"/>
              </w:rPr>
            </w:pPr>
            <w:r>
              <w:rPr>
                <w:rFonts w:hint="eastAsia" w:cs="Calibri" w:asciiTheme="minorEastAsia" w:hAnsiTheme="minorEastAsia"/>
                <w:sz w:val="21"/>
                <w:szCs w:val="21"/>
              </w:rPr>
              <w:t>（2）</w:t>
            </w:r>
            <w:r>
              <w:rPr>
                <w:rFonts w:cs="Calibri" w:asciiTheme="minorEastAsia" w:hAnsiTheme="minorEastAsia"/>
                <w:sz w:val="21"/>
                <w:szCs w:val="21"/>
              </w:rPr>
              <w:t>紧急维修</w:t>
            </w:r>
            <w:r>
              <w:rPr>
                <w:rFonts w:hint="eastAsia" w:cs="Calibri" w:asciiTheme="minorEastAsia" w:hAnsiTheme="minorEastAsia"/>
                <w:sz w:val="21"/>
                <w:szCs w:val="21"/>
              </w:rPr>
              <w:t>应当</w:t>
            </w:r>
            <w:r>
              <w:rPr>
                <w:rFonts w:cs="Calibri" w:asciiTheme="minorEastAsia" w:hAnsiTheme="minorEastAsia"/>
                <w:sz w:val="21"/>
                <w:szCs w:val="21"/>
              </w:rPr>
              <w:t>15分钟内到达现场</w:t>
            </w:r>
            <w:r>
              <w:rPr>
                <w:rFonts w:hint="eastAsia" w:cs="Calibri" w:asciiTheme="minorEastAsia" w:hAnsiTheme="minorEastAsia"/>
                <w:sz w:val="21"/>
                <w:szCs w:val="21"/>
              </w:rPr>
              <w:t>，不间断维修直至修复。</w:t>
            </w:r>
          </w:p>
        </w:tc>
      </w:tr>
    </w:tbl>
    <w:p>
      <w:pPr>
        <w:pStyle w:val="4"/>
        <w:numPr>
          <w:ilvl w:val="2"/>
          <w:numId w:val="4"/>
        </w:numPr>
        <w:ind w:firstLine="480" w:firstLineChars="200"/>
        <w:rPr>
          <w:rFonts w:ascii="宋体" w:hAnsi="宋体" w:cs="宋体"/>
          <w:szCs w:val="24"/>
        </w:rPr>
      </w:pPr>
      <w:r>
        <w:rPr>
          <w:rFonts w:hint="eastAsia" w:ascii="宋体" w:hAnsi="宋体" w:cs="宋体"/>
          <w:szCs w:val="24"/>
        </w:rPr>
        <w:t>2.2公用设施设备维护服务</w:t>
      </w:r>
    </w:p>
    <w:tbl>
      <w:tblPr>
        <w:tblStyle w:val="25"/>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83"/>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tcBorders>
              <w:tl2br w:val="nil"/>
              <w:tr2bl w:val="nil"/>
            </w:tcBorders>
            <w:vAlign w:val="center"/>
          </w:tcPr>
          <w:p>
            <w:pPr>
              <w:snapToGrid w:val="0"/>
              <w:spacing w:line="300" w:lineRule="auto"/>
              <w:jc w:val="center"/>
              <w:rPr>
                <w:rFonts w:cs="Calibri"/>
                <w:b/>
                <w:bCs/>
                <w:sz w:val="21"/>
                <w:szCs w:val="21"/>
              </w:rPr>
            </w:pPr>
            <w:r>
              <w:rPr>
                <w:rFonts w:hint="eastAsia" w:cs="Calibri"/>
                <w:b/>
                <w:bCs/>
                <w:sz w:val="21"/>
                <w:szCs w:val="21"/>
              </w:rPr>
              <w:t>序号</w:t>
            </w:r>
          </w:p>
        </w:tc>
        <w:tc>
          <w:tcPr>
            <w:tcW w:w="2044" w:type="dxa"/>
            <w:tcBorders>
              <w:tl2br w:val="nil"/>
              <w:tr2bl w:val="nil"/>
            </w:tcBorders>
            <w:vAlign w:val="center"/>
          </w:tcPr>
          <w:p>
            <w:pPr>
              <w:snapToGrid w:val="0"/>
              <w:spacing w:line="300" w:lineRule="auto"/>
              <w:jc w:val="center"/>
              <w:rPr>
                <w:rFonts w:cs="Calibri"/>
                <w:b/>
                <w:bCs/>
                <w:sz w:val="21"/>
                <w:szCs w:val="21"/>
              </w:rPr>
            </w:pPr>
            <w:r>
              <w:rPr>
                <w:rFonts w:ascii="Calibri" w:hAnsi="Calibri" w:eastAsia="宋体" w:cs="Calibri"/>
                <w:b/>
                <w:bCs/>
                <w:sz w:val="21"/>
                <w:szCs w:val="21"/>
              </w:rPr>
              <w:t>服务内容</w:t>
            </w:r>
          </w:p>
        </w:tc>
        <w:tc>
          <w:tcPr>
            <w:tcW w:w="6118" w:type="dxa"/>
            <w:tcBorders>
              <w:tl2br w:val="nil"/>
              <w:tr2bl w:val="nil"/>
            </w:tcBorders>
            <w:vAlign w:val="center"/>
          </w:tcPr>
          <w:p>
            <w:pPr>
              <w:snapToGrid w:val="0"/>
              <w:spacing w:line="300" w:lineRule="auto"/>
              <w:jc w:val="center"/>
              <w:rPr>
                <w:rFonts w:cs="Calibri"/>
                <w:b/>
                <w:bCs/>
                <w:sz w:val="21"/>
                <w:szCs w:val="21"/>
              </w:rPr>
            </w:pPr>
            <w:r>
              <w:rPr>
                <w:rFonts w:hint="eastAsia" w:cs="Calibri"/>
                <w:b/>
                <w:bCs/>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vMerge w:val="restart"/>
            <w:tcBorders>
              <w:tl2br w:val="nil"/>
              <w:tr2bl w:val="nil"/>
            </w:tcBorders>
            <w:vAlign w:val="center"/>
          </w:tcPr>
          <w:p>
            <w:pPr>
              <w:snapToGrid w:val="0"/>
              <w:spacing w:line="300" w:lineRule="auto"/>
              <w:jc w:val="center"/>
              <w:rPr>
                <w:sz w:val="21"/>
                <w:szCs w:val="21"/>
              </w:rPr>
            </w:pPr>
            <w:r>
              <w:rPr>
                <w:rFonts w:hint="eastAsia"/>
                <w:sz w:val="21"/>
                <w:szCs w:val="21"/>
              </w:rPr>
              <w:t>1</w:t>
            </w:r>
          </w:p>
        </w:tc>
        <w:tc>
          <w:tcPr>
            <w:tcW w:w="2044" w:type="dxa"/>
            <w:vMerge w:val="restart"/>
            <w:tcBorders>
              <w:tl2br w:val="nil"/>
              <w:tr2bl w:val="nil"/>
            </w:tcBorders>
            <w:vAlign w:val="center"/>
          </w:tcPr>
          <w:p>
            <w:pPr>
              <w:snapToGrid w:val="0"/>
              <w:spacing w:line="300" w:lineRule="auto"/>
              <w:rPr>
                <w:sz w:val="21"/>
                <w:szCs w:val="21"/>
              </w:rPr>
            </w:pPr>
            <w:r>
              <w:rPr>
                <w:sz w:val="21"/>
                <w:szCs w:val="21"/>
              </w:rPr>
              <w:t>基本要求</w:t>
            </w: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（1）在保证</w:t>
            </w:r>
            <w:r>
              <w:rPr>
                <w:rFonts w:cs="Calibri"/>
                <w:sz w:val="21"/>
                <w:szCs w:val="21"/>
              </w:rPr>
              <w:t>不低于国家及行业相关</w:t>
            </w:r>
            <w:r>
              <w:rPr>
                <w:rFonts w:hint="eastAsia" w:cs="Calibri"/>
                <w:sz w:val="21"/>
                <w:szCs w:val="21"/>
              </w:rPr>
              <w:t>规范</w:t>
            </w:r>
            <w:r>
              <w:rPr>
                <w:rFonts w:cs="Calibri"/>
                <w:sz w:val="21"/>
                <w:szCs w:val="21"/>
              </w:rPr>
              <w:t>前提下，</w:t>
            </w:r>
            <w:r>
              <w:rPr>
                <w:rFonts w:hint="eastAsia" w:cs="Calibri"/>
                <w:sz w:val="21"/>
                <w:szCs w:val="21"/>
              </w:rPr>
              <w:t>遇</w:t>
            </w:r>
            <w:r>
              <w:rPr>
                <w:rFonts w:hint="eastAsia" w:ascii="Calibri" w:hAnsi="Calibri" w:eastAsia="宋体" w:cs="Calibri"/>
                <w:sz w:val="21"/>
                <w:szCs w:val="21"/>
              </w:rPr>
              <w:t>重大节假日及恶劣天气前后，组织系统巡检1次</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（2）</w:t>
            </w:r>
            <w:r>
              <w:rPr>
                <w:rFonts w:hint="eastAsia" w:ascii="Calibri" w:hAnsi="Calibri" w:eastAsia="宋体" w:cs="Calibri"/>
                <w:sz w:val="21"/>
                <w:szCs w:val="21"/>
              </w:rPr>
              <w:t>具备设施设备安全、稳定运行的环境和场所</w:t>
            </w:r>
            <w:r>
              <w:rPr>
                <w:rFonts w:hint="eastAsia" w:eastAsia="宋体" w:cs="Calibri"/>
                <w:sz w:val="21"/>
                <w:szCs w:val="21"/>
              </w:rPr>
              <w:t>（</w:t>
            </w:r>
            <w:r>
              <w:rPr>
                <w:rFonts w:hint="eastAsia" w:ascii="Calibri" w:hAnsi="Calibri" w:eastAsia="宋体" w:cs="Calibri"/>
                <w:sz w:val="21"/>
                <w:szCs w:val="21"/>
              </w:rPr>
              <w:t>含有限空间</w:t>
            </w:r>
            <w:r>
              <w:rPr>
                <w:rFonts w:hint="eastAsia" w:eastAsia="宋体" w:cs="Calibri"/>
                <w:sz w:val="21"/>
                <w:szCs w:val="21"/>
              </w:rPr>
              <w:t>）</w:t>
            </w:r>
            <w:r>
              <w:rPr>
                <w:rFonts w:hint="eastAsia" w:ascii="Calibri" w:hAnsi="Calibri" w:eastAsia="宋体" w:cs="Calibri"/>
                <w:sz w:val="21"/>
                <w:szCs w:val="21"/>
              </w:rPr>
              <w:t>，温湿度、照度、粉尘和烟雾浓度等符合相关安全规范</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vMerge w:val="restart"/>
            <w:tcBorders>
              <w:tl2br w:val="nil"/>
              <w:tr2bl w:val="nil"/>
            </w:tcBorders>
            <w:vAlign w:val="center"/>
          </w:tcPr>
          <w:p>
            <w:pPr>
              <w:snapToGrid w:val="0"/>
              <w:spacing w:line="300" w:lineRule="auto"/>
              <w:jc w:val="center"/>
              <w:rPr>
                <w:sz w:val="21"/>
                <w:szCs w:val="21"/>
              </w:rPr>
            </w:pPr>
            <w:r>
              <w:rPr>
                <w:rFonts w:hint="eastAsia"/>
                <w:sz w:val="21"/>
                <w:szCs w:val="21"/>
              </w:rPr>
              <w:t>2</w:t>
            </w:r>
          </w:p>
        </w:tc>
        <w:tc>
          <w:tcPr>
            <w:tcW w:w="2044" w:type="dxa"/>
            <w:vMerge w:val="restart"/>
            <w:tcBorders>
              <w:tl2br w:val="nil"/>
              <w:tr2bl w:val="nil"/>
            </w:tcBorders>
            <w:vAlign w:val="center"/>
          </w:tcPr>
          <w:p>
            <w:pPr>
              <w:snapToGrid w:val="0"/>
              <w:spacing w:line="300" w:lineRule="auto"/>
              <w:rPr>
                <w:sz w:val="21"/>
                <w:szCs w:val="21"/>
              </w:rPr>
            </w:pPr>
            <w:r>
              <w:rPr>
                <w:sz w:val="21"/>
                <w:szCs w:val="21"/>
              </w:rPr>
              <w:t>设备机房</w:t>
            </w: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（1）</w:t>
            </w:r>
            <w:r>
              <w:rPr>
                <w:rFonts w:hint="eastAsia" w:ascii="Calibri" w:hAnsi="Calibri" w:eastAsia="宋体" w:cs="Calibri"/>
                <w:sz w:val="21"/>
                <w:szCs w:val="21"/>
              </w:rPr>
              <w:t>设备机房门口有机房类别及安全标志。落实各类机房责任人、督查人，且设备系统图、应急预案流程图</w:t>
            </w:r>
            <w:r>
              <w:rPr>
                <w:rFonts w:hint="eastAsia" w:cs="Calibri"/>
                <w:sz w:val="21"/>
                <w:szCs w:val="21"/>
              </w:rPr>
              <w:t>、</w:t>
            </w:r>
            <w:r>
              <w:rPr>
                <w:rFonts w:hint="eastAsia" w:ascii="Calibri" w:hAnsi="Calibri" w:eastAsia="宋体" w:cs="Calibri"/>
                <w:sz w:val="21"/>
                <w:szCs w:val="21"/>
              </w:rPr>
              <w:t>管理制度、特种作业人员资格证书等上墙文件或证书符合</w:t>
            </w:r>
            <w:r>
              <w:rPr>
                <w:rFonts w:hint="eastAsia" w:cs="Calibri"/>
                <w:sz w:val="21"/>
                <w:szCs w:val="21"/>
              </w:rPr>
              <w:t>各设备机房国家标准</w:t>
            </w:r>
            <w:r>
              <w:rPr>
                <w:rFonts w:hint="eastAsia" w:ascii="Calibri" w:hAnsi="Calibri" w:eastAsia="宋体" w:cs="Calibri"/>
                <w:sz w:val="21"/>
                <w:szCs w:val="21"/>
              </w:rPr>
              <w:t>规范要求，机房巡视及外来人员记录清晰完整，标识统一</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（2）设备机房</w:t>
            </w:r>
            <w:r>
              <w:rPr>
                <w:rFonts w:hint="eastAsia" w:ascii="Calibri" w:hAnsi="Calibri" w:eastAsia="宋体" w:cs="Calibri"/>
                <w:sz w:val="21"/>
                <w:szCs w:val="21"/>
              </w:rPr>
              <w:t>门窗、锁具应</w:t>
            </w:r>
            <w:r>
              <w:rPr>
                <w:rFonts w:hint="eastAsia" w:cs="Calibri"/>
                <w:sz w:val="21"/>
                <w:szCs w:val="21"/>
              </w:rPr>
              <w:t>当</w:t>
            </w:r>
            <w:r>
              <w:rPr>
                <w:rFonts w:hint="eastAsia" w:ascii="Calibri" w:hAnsi="Calibri" w:eastAsia="宋体" w:cs="Calibri"/>
                <w:sz w:val="21"/>
                <w:szCs w:val="21"/>
              </w:rPr>
              <w:t>完好、有效</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（3）</w:t>
            </w:r>
            <w:r>
              <w:rPr>
                <w:rFonts w:hint="eastAsia" w:ascii="Calibri" w:hAnsi="Calibri" w:eastAsia="宋体" w:cs="Calibri"/>
                <w:sz w:val="21"/>
                <w:szCs w:val="21"/>
              </w:rPr>
              <w:t>每半月至少</w:t>
            </w:r>
            <w:r>
              <w:rPr>
                <w:rFonts w:hint="eastAsia" w:cs="Calibri"/>
                <w:sz w:val="21"/>
                <w:szCs w:val="21"/>
              </w:rPr>
              <w:t>开展</w:t>
            </w:r>
            <w:r>
              <w:rPr>
                <w:rFonts w:hint="eastAsia" w:ascii="Calibri" w:hAnsi="Calibri" w:eastAsia="宋体" w:cs="Calibri"/>
                <w:sz w:val="21"/>
                <w:szCs w:val="21"/>
              </w:rPr>
              <w:t>1次清洁，整洁有序、无杂物、无积尘、无鼠、无虫害，温湿度符合设备运行要求</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（4）</w:t>
            </w:r>
            <w:r>
              <w:rPr>
                <w:rFonts w:hint="eastAsia" w:ascii="Calibri" w:hAnsi="Calibri" w:eastAsia="宋体" w:cs="Calibri"/>
                <w:sz w:val="21"/>
                <w:szCs w:val="21"/>
              </w:rPr>
              <w:t>按</w:t>
            </w:r>
            <w:r>
              <w:rPr>
                <w:rFonts w:hint="eastAsia" w:cs="Calibri"/>
                <w:sz w:val="21"/>
                <w:szCs w:val="21"/>
              </w:rPr>
              <w:t>各设备机房国家标准</w:t>
            </w:r>
            <w:r>
              <w:rPr>
                <w:rFonts w:hint="eastAsia" w:ascii="Calibri" w:hAnsi="Calibri" w:eastAsia="宋体" w:cs="Calibri"/>
                <w:sz w:val="21"/>
                <w:szCs w:val="21"/>
              </w:rPr>
              <w:t>规范规定</w:t>
            </w:r>
            <w:r>
              <w:rPr>
                <w:rFonts w:hint="eastAsia" w:cs="Calibri"/>
                <w:sz w:val="21"/>
                <w:szCs w:val="21"/>
              </w:rPr>
              <w:t>维护/保管</w:t>
            </w:r>
            <w:r>
              <w:rPr>
                <w:rFonts w:hint="eastAsia" w:ascii="Calibri" w:hAnsi="Calibri" w:eastAsia="宋体" w:cs="Calibri"/>
                <w:sz w:val="21"/>
                <w:szCs w:val="21"/>
              </w:rPr>
              <w:t>消防、通风、应急照明</w:t>
            </w:r>
            <w:r>
              <w:rPr>
                <w:rFonts w:hint="eastAsia" w:cs="Calibri"/>
                <w:sz w:val="21"/>
                <w:szCs w:val="21"/>
              </w:rPr>
              <w:t>，</w:t>
            </w:r>
            <w:r>
              <w:rPr>
                <w:rFonts w:hint="eastAsia" w:ascii="Calibri" w:hAnsi="Calibri" w:eastAsia="宋体" w:cs="Calibri"/>
                <w:sz w:val="21"/>
                <w:szCs w:val="21"/>
              </w:rPr>
              <w:t>防止小动物进入</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（5）</w:t>
            </w:r>
            <w:r>
              <w:rPr>
                <w:rFonts w:hint="eastAsia" w:ascii="Calibri" w:hAnsi="Calibri" w:eastAsia="宋体" w:cs="Calibri"/>
                <w:sz w:val="21"/>
                <w:szCs w:val="21"/>
              </w:rPr>
              <w:t>安全防护用具配置齐全，检验合格</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（6）</w:t>
            </w:r>
            <w:r>
              <w:rPr>
                <w:rFonts w:hint="eastAsia" w:ascii="Calibri" w:hAnsi="Calibri" w:eastAsia="宋体" w:cs="Calibri"/>
                <w:sz w:val="21"/>
                <w:szCs w:val="21"/>
              </w:rPr>
              <w:t>应急设施设备用品应</w:t>
            </w:r>
            <w:r>
              <w:rPr>
                <w:rFonts w:hint="eastAsia" w:cs="Calibri"/>
                <w:sz w:val="21"/>
                <w:szCs w:val="21"/>
              </w:rPr>
              <w:t>当</w:t>
            </w:r>
            <w:r>
              <w:rPr>
                <w:rFonts w:hint="eastAsia" w:ascii="Calibri" w:hAnsi="Calibri" w:eastAsia="宋体" w:cs="Calibri"/>
                <w:sz w:val="21"/>
                <w:szCs w:val="21"/>
              </w:rPr>
              <w:t>齐全、完备，可随时启用</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vMerge w:val="restart"/>
            <w:tcBorders>
              <w:tl2br w:val="nil"/>
              <w:tr2bl w:val="nil"/>
            </w:tcBorders>
            <w:vAlign w:val="center"/>
          </w:tcPr>
          <w:p>
            <w:pPr>
              <w:snapToGrid w:val="0"/>
              <w:spacing w:line="300" w:lineRule="auto"/>
              <w:jc w:val="center"/>
              <w:rPr>
                <w:sz w:val="21"/>
                <w:szCs w:val="21"/>
              </w:rPr>
            </w:pPr>
            <w:r>
              <w:rPr>
                <w:rFonts w:hint="eastAsia"/>
                <w:sz w:val="21"/>
                <w:szCs w:val="21"/>
              </w:rPr>
              <w:t>3</w:t>
            </w:r>
          </w:p>
        </w:tc>
        <w:tc>
          <w:tcPr>
            <w:tcW w:w="2044" w:type="dxa"/>
            <w:vMerge w:val="restart"/>
            <w:tcBorders>
              <w:tl2br w:val="nil"/>
              <w:tr2bl w:val="nil"/>
            </w:tcBorders>
            <w:vAlign w:val="center"/>
          </w:tcPr>
          <w:p>
            <w:pPr>
              <w:snapToGrid w:val="0"/>
              <w:spacing w:line="300" w:lineRule="auto"/>
              <w:rPr>
                <w:sz w:val="21"/>
                <w:szCs w:val="21"/>
              </w:rPr>
            </w:pPr>
            <w:r>
              <w:rPr>
                <w:sz w:val="21"/>
                <w:szCs w:val="21"/>
              </w:rPr>
              <w:t>给排水系统</w:t>
            </w: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（1）</w:t>
            </w:r>
            <w:r>
              <w:rPr>
                <w:rFonts w:hint="eastAsia" w:ascii="Calibri" w:hAnsi="Calibri" w:eastAsia="宋体" w:cs="Calibri"/>
                <w:sz w:val="21"/>
                <w:szCs w:val="21"/>
              </w:rPr>
              <w:t>生活饮用水卫生符合</w:t>
            </w:r>
            <w:r>
              <w:rPr>
                <w:rFonts w:hint="eastAsia" w:cs="Calibri"/>
                <w:sz w:val="21"/>
                <w:szCs w:val="21"/>
              </w:rPr>
              <w:t>《</w:t>
            </w:r>
            <w:r>
              <w:rPr>
                <w:rFonts w:hint="eastAsia"/>
                <w:sz w:val="21"/>
                <w:szCs w:val="21"/>
              </w:rPr>
              <w:t>生活饮用水卫生标准</w:t>
            </w:r>
            <w:r>
              <w:rPr>
                <w:rFonts w:hint="eastAsia" w:cs="Calibri"/>
                <w:sz w:val="21"/>
                <w:szCs w:val="21"/>
              </w:rPr>
              <w:t>》（</w:t>
            </w:r>
            <w:r>
              <w:rPr>
                <w:rFonts w:hint="eastAsia" w:ascii="Calibri" w:hAnsi="Calibri" w:eastAsia="宋体" w:cs="Calibri"/>
                <w:sz w:val="21"/>
                <w:szCs w:val="21"/>
              </w:rPr>
              <w:t>GB5749</w:t>
            </w:r>
            <w:r>
              <w:rPr>
                <w:rFonts w:hint="eastAsia" w:cs="Calibri"/>
                <w:sz w:val="21"/>
                <w:szCs w:val="21"/>
              </w:rPr>
              <w:t>）</w:t>
            </w:r>
            <w:r>
              <w:rPr>
                <w:rFonts w:hint="eastAsia" w:ascii="Calibri" w:hAnsi="Calibri" w:eastAsia="宋体" w:cs="Calibri"/>
                <w:sz w:val="21"/>
                <w:szCs w:val="21"/>
              </w:rPr>
              <w:t>的相关要求</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（2）</w:t>
            </w:r>
            <w:r>
              <w:rPr>
                <w:rFonts w:hint="eastAsia" w:ascii="Calibri" w:hAnsi="Calibri" w:eastAsia="宋体" w:cs="Calibri"/>
                <w:sz w:val="21"/>
                <w:szCs w:val="21"/>
              </w:rPr>
              <w:t>二次供水卫生符合</w:t>
            </w:r>
            <w:r>
              <w:rPr>
                <w:rFonts w:hint="eastAsia" w:cs="Calibri"/>
                <w:sz w:val="21"/>
                <w:szCs w:val="21"/>
              </w:rPr>
              <w:t>《二次供水设施卫生规范》（</w:t>
            </w:r>
            <w:r>
              <w:rPr>
                <w:rFonts w:hint="eastAsia" w:ascii="Calibri" w:hAnsi="Calibri" w:eastAsia="宋体" w:cs="Calibri"/>
                <w:sz w:val="21"/>
                <w:szCs w:val="21"/>
              </w:rPr>
              <w:t>GB17051</w:t>
            </w:r>
            <w:r>
              <w:rPr>
                <w:rFonts w:hint="eastAsia" w:cs="Calibri"/>
                <w:sz w:val="21"/>
                <w:szCs w:val="21"/>
              </w:rPr>
              <w:t>）</w:t>
            </w:r>
            <w:r>
              <w:rPr>
                <w:rFonts w:hint="eastAsia" w:ascii="Calibri" w:hAnsi="Calibri" w:eastAsia="宋体" w:cs="Calibri"/>
                <w:sz w:val="21"/>
                <w:szCs w:val="21"/>
              </w:rPr>
              <w:t>的相关要求</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（3）</w:t>
            </w:r>
            <w:r>
              <w:rPr>
                <w:rFonts w:hint="eastAsia" w:ascii="Calibri" w:hAnsi="Calibri" w:eastAsia="宋体" w:cs="Calibri"/>
                <w:sz w:val="21"/>
                <w:szCs w:val="21"/>
              </w:rPr>
              <w:t>设施设备、阀门、管道等运行正常，无跑、冒、滴、漏现象</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（4）</w:t>
            </w:r>
            <w:r>
              <w:rPr>
                <w:rFonts w:hint="eastAsia" w:ascii="Calibri" w:hAnsi="Calibri" w:eastAsia="宋体" w:cs="Calibri"/>
                <w:sz w:val="21"/>
                <w:szCs w:val="21"/>
              </w:rPr>
              <w:t>有水泵房、水箱间的，每日至少巡视1次。每年至少养护1次水泵</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（5）</w:t>
            </w:r>
            <w:r>
              <w:rPr>
                <w:rFonts w:hint="eastAsia" w:ascii="Calibri" w:hAnsi="Calibri" w:eastAsia="宋体" w:cs="Calibri"/>
                <w:sz w:val="21"/>
                <w:szCs w:val="21"/>
              </w:rPr>
              <w:t>遇供水单位限水、停水，按规定时间通知</w:t>
            </w:r>
            <w:r>
              <w:rPr>
                <w:rFonts w:hint="eastAsia" w:eastAsia="宋体" w:cs="Calibri"/>
                <w:sz w:val="21"/>
                <w:szCs w:val="21"/>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（6）</w:t>
            </w:r>
            <w:r>
              <w:rPr>
                <w:rFonts w:hint="eastAsia" w:ascii="Calibri" w:hAnsi="Calibri" w:eastAsia="宋体" w:cs="Calibri"/>
                <w:sz w:val="21"/>
                <w:szCs w:val="21"/>
              </w:rPr>
              <w:t>每季度至少</w:t>
            </w:r>
            <w:r>
              <w:rPr>
                <w:rFonts w:hint="eastAsia" w:cs="Calibri"/>
                <w:sz w:val="21"/>
                <w:szCs w:val="21"/>
              </w:rPr>
              <w:t>开展</w:t>
            </w:r>
            <w:r>
              <w:rPr>
                <w:rFonts w:hint="eastAsia" w:ascii="Calibri" w:hAnsi="Calibri" w:eastAsia="宋体" w:cs="Calibri"/>
                <w:sz w:val="21"/>
                <w:szCs w:val="21"/>
              </w:rPr>
              <w:t>1次对排水管</w:t>
            </w:r>
            <w:r>
              <w:rPr>
                <w:rFonts w:hint="eastAsia" w:cs="Calibri"/>
                <w:sz w:val="21"/>
                <w:szCs w:val="21"/>
              </w:rPr>
              <w:t>、电缆沟</w:t>
            </w:r>
            <w:r>
              <w:rPr>
                <w:rFonts w:hint="eastAsia" w:ascii="Calibri" w:hAnsi="Calibri" w:eastAsia="宋体" w:cs="Calibri"/>
                <w:sz w:val="21"/>
                <w:szCs w:val="21"/>
              </w:rPr>
              <w:t>进行疏通、清污，保证室内外排水系统通畅</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vMerge w:val="restart"/>
            <w:tcBorders>
              <w:tl2br w:val="nil"/>
              <w:tr2bl w:val="nil"/>
            </w:tcBorders>
            <w:vAlign w:val="center"/>
          </w:tcPr>
          <w:p>
            <w:pPr>
              <w:snapToGrid w:val="0"/>
              <w:spacing w:line="300" w:lineRule="auto"/>
              <w:jc w:val="center"/>
              <w:rPr>
                <w:sz w:val="21"/>
                <w:szCs w:val="21"/>
              </w:rPr>
            </w:pPr>
            <w:r>
              <w:rPr>
                <w:rFonts w:eastAsia="宋体"/>
                <w:sz w:val="21"/>
                <w:szCs w:val="21"/>
              </w:rPr>
              <w:t>4</w:t>
            </w:r>
          </w:p>
        </w:tc>
        <w:tc>
          <w:tcPr>
            <w:tcW w:w="2044" w:type="dxa"/>
            <w:vMerge w:val="restart"/>
            <w:tcBorders>
              <w:tl2br w:val="nil"/>
              <w:tr2bl w:val="nil"/>
            </w:tcBorders>
            <w:vAlign w:val="center"/>
          </w:tcPr>
          <w:p>
            <w:pPr>
              <w:snapToGrid w:val="0"/>
              <w:spacing w:line="300" w:lineRule="auto"/>
              <w:rPr>
                <w:sz w:val="21"/>
                <w:szCs w:val="21"/>
              </w:rPr>
            </w:pPr>
            <w:r>
              <w:rPr>
                <w:rFonts w:eastAsia="宋体"/>
                <w:sz w:val="21"/>
                <w:szCs w:val="21"/>
              </w:rPr>
              <w:t>消防</w:t>
            </w:r>
            <w:r>
              <w:rPr>
                <w:sz w:val="21"/>
                <w:szCs w:val="21"/>
              </w:rPr>
              <w:t>系统</w:t>
            </w: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（1）</w:t>
            </w:r>
            <w:r>
              <w:rPr>
                <w:rFonts w:hint="eastAsia" w:ascii="Calibri" w:hAnsi="Calibri" w:eastAsia="宋体" w:cs="Calibri"/>
                <w:sz w:val="21"/>
                <w:szCs w:val="21"/>
              </w:rPr>
              <w:t>消防设施的维护管理符合</w:t>
            </w:r>
            <w:r>
              <w:rPr>
                <w:rFonts w:hint="eastAsia" w:cs="Calibri"/>
                <w:sz w:val="21"/>
                <w:szCs w:val="21"/>
              </w:rPr>
              <w:t>《建筑消防设施的维护管理》（</w:t>
            </w:r>
            <w:r>
              <w:rPr>
                <w:rFonts w:hint="eastAsia" w:ascii="Calibri" w:hAnsi="Calibri" w:eastAsia="宋体" w:cs="Calibri"/>
                <w:sz w:val="21"/>
                <w:szCs w:val="21"/>
              </w:rPr>
              <w:t>GB25201</w:t>
            </w:r>
            <w:r>
              <w:rPr>
                <w:rFonts w:hint="eastAsia" w:cs="Calibri"/>
                <w:sz w:val="21"/>
                <w:szCs w:val="21"/>
              </w:rPr>
              <w:t>）</w:t>
            </w:r>
            <w:r>
              <w:rPr>
                <w:rFonts w:hint="eastAsia" w:ascii="Calibri" w:hAnsi="Calibri" w:eastAsia="宋体" w:cs="Calibri"/>
                <w:sz w:val="21"/>
                <w:szCs w:val="21"/>
              </w:rPr>
              <w:t>的相关要求</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（2）</w:t>
            </w:r>
            <w:r>
              <w:rPr>
                <w:rFonts w:hint="eastAsia" w:ascii="Calibri" w:hAnsi="Calibri" w:eastAsia="宋体" w:cs="Calibri"/>
                <w:sz w:val="21"/>
                <w:szCs w:val="21"/>
              </w:rPr>
              <w:t>消防设备检测符合</w:t>
            </w:r>
            <w:r>
              <w:rPr>
                <w:rFonts w:hint="eastAsia" w:cs="Calibri"/>
                <w:sz w:val="21"/>
                <w:szCs w:val="21"/>
              </w:rPr>
              <w:t>《建筑消防设施检测技术规程》（</w:t>
            </w:r>
            <w:r>
              <w:rPr>
                <w:rFonts w:hint="eastAsia" w:ascii="Calibri" w:hAnsi="Calibri" w:eastAsia="宋体" w:cs="Calibri"/>
                <w:sz w:val="21"/>
                <w:szCs w:val="21"/>
              </w:rPr>
              <w:t>GA503</w:t>
            </w:r>
            <w:r>
              <w:rPr>
                <w:rFonts w:hint="eastAsia" w:cs="Calibri"/>
                <w:sz w:val="21"/>
                <w:szCs w:val="21"/>
              </w:rPr>
              <w:t>或XF503）</w:t>
            </w:r>
            <w:r>
              <w:rPr>
                <w:rFonts w:hint="eastAsia" w:ascii="Calibri" w:hAnsi="Calibri" w:eastAsia="宋体" w:cs="Calibri"/>
                <w:sz w:val="21"/>
                <w:szCs w:val="21"/>
              </w:rPr>
              <w:t>的相关要求</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（3）</w:t>
            </w:r>
            <w:r>
              <w:rPr>
                <w:rFonts w:hint="eastAsia" w:ascii="Calibri" w:hAnsi="Calibri" w:eastAsia="宋体" w:cs="Calibri"/>
                <w:sz w:val="21"/>
                <w:szCs w:val="21"/>
              </w:rPr>
              <w:t>消防设施平面图、火警疏散示意图、防火分区图等按幢设置在楼层醒目位置</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（4）</w:t>
            </w:r>
            <w:r>
              <w:rPr>
                <w:rFonts w:hint="eastAsia" w:ascii="Calibri" w:hAnsi="Calibri" w:eastAsia="宋体" w:cs="Calibri"/>
                <w:sz w:val="21"/>
                <w:szCs w:val="21"/>
              </w:rPr>
              <w:t>消防系统各设施设备使用说明清晰，宜图文结合</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（5）</w:t>
            </w:r>
            <w:r>
              <w:rPr>
                <w:rFonts w:hint="eastAsia" w:ascii="Calibri" w:hAnsi="Calibri" w:eastAsia="宋体" w:cs="Calibri"/>
                <w:sz w:val="21"/>
                <w:szCs w:val="21"/>
              </w:rPr>
              <w:t>自动喷水灭火系统启动正常</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（6）</w:t>
            </w:r>
            <w:r>
              <w:rPr>
                <w:rFonts w:hint="eastAsia" w:ascii="Calibri" w:hAnsi="Calibri" w:eastAsia="宋体" w:cs="Calibri"/>
                <w:sz w:val="21"/>
                <w:szCs w:val="21"/>
              </w:rPr>
              <w:t>消火栓箱、防火门、灭火器、消防水泵、红外线报警器、应急照明、安全疏散等系统运行正常</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（7）</w:t>
            </w:r>
            <w:r>
              <w:rPr>
                <w:rFonts w:hint="eastAsia" w:ascii="Calibri" w:hAnsi="Calibri" w:eastAsia="宋体" w:cs="Calibri"/>
                <w:sz w:val="21"/>
                <w:szCs w:val="21"/>
              </w:rPr>
              <w:t>消防监控系统运行良好，自动和手动报警设施启动正常</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vMerge w:val="restart"/>
            <w:tcBorders>
              <w:tl2br w:val="nil"/>
              <w:tr2bl w:val="nil"/>
            </w:tcBorders>
            <w:vAlign w:val="center"/>
          </w:tcPr>
          <w:p>
            <w:pPr>
              <w:snapToGrid w:val="0"/>
              <w:spacing w:line="300" w:lineRule="auto"/>
              <w:jc w:val="center"/>
              <w:rPr>
                <w:sz w:val="21"/>
                <w:szCs w:val="21"/>
              </w:rPr>
            </w:pPr>
            <w:r>
              <w:rPr>
                <w:sz w:val="21"/>
                <w:szCs w:val="21"/>
              </w:rPr>
              <w:t>5</w:t>
            </w:r>
          </w:p>
        </w:tc>
        <w:tc>
          <w:tcPr>
            <w:tcW w:w="2044" w:type="dxa"/>
            <w:vMerge w:val="restart"/>
            <w:tcBorders>
              <w:tl2br w:val="nil"/>
              <w:tr2bl w:val="nil"/>
            </w:tcBorders>
            <w:vAlign w:val="center"/>
          </w:tcPr>
          <w:p>
            <w:pPr>
              <w:snapToGrid w:val="0"/>
              <w:spacing w:line="300" w:lineRule="auto"/>
              <w:rPr>
                <w:sz w:val="21"/>
                <w:szCs w:val="21"/>
              </w:rPr>
            </w:pPr>
            <w:r>
              <w:rPr>
                <w:sz w:val="21"/>
                <w:szCs w:val="21"/>
              </w:rPr>
              <w:t>供</w:t>
            </w:r>
            <w:r>
              <w:rPr>
                <w:rFonts w:eastAsia="宋体"/>
                <w:sz w:val="21"/>
                <w:szCs w:val="21"/>
              </w:rPr>
              <w:t>配电</w:t>
            </w:r>
            <w:r>
              <w:rPr>
                <w:sz w:val="21"/>
                <w:szCs w:val="21"/>
              </w:rPr>
              <w:t>系统</w:t>
            </w: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（1）</w:t>
            </w:r>
            <w:r>
              <w:rPr>
                <w:rFonts w:hint="eastAsia" w:ascii="Calibri" w:hAnsi="Calibri" w:eastAsia="宋体" w:cs="Calibri"/>
                <w:sz w:val="21"/>
                <w:szCs w:val="21"/>
              </w:rPr>
              <w:t>建立</w:t>
            </w:r>
            <w:r>
              <w:rPr>
                <w:rFonts w:hint="eastAsia" w:cs="Calibri"/>
                <w:sz w:val="21"/>
                <w:szCs w:val="21"/>
              </w:rPr>
              <w:t>24小时</w:t>
            </w:r>
            <w:r>
              <w:rPr>
                <w:rFonts w:hint="eastAsia" w:ascii="Calibri" w:hAnsi="Calibri" w:eastAsia="宋体" w:cs="Calibri"/>
                <w:sz w:val="21"/>
                <w:szCs w:val="21"/>
              </w:rPr>
              <w:t>运行值班监控制度</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（2）</w:t>
            </w:r>
            <w:r>
              <w:rPr>
                <w:rFonts w:hint="eastAsia" w:ascii="Calibri" w:hAnsi="Calibri" w:eastAsia="宋体" w:cs="Calibri"/>
                <w:sz w:val="21"/>
                <w:szCs w:val="21"/>
              </w:rPr>
              <w:t>对供电范围内的电气设备定期巡视维护，加强高低压配电柜、配电箱、控制柜及线路等重点部位监测</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（3）</w:t>
            </w:r>
            <w:r>
              <w:rPr>
                <w:rFonts w:hint="eastAsia" w:ascii="Calibri" w:hAnsi="Calibri" w:eastAsia="宋体" w:cs="Calibri"/>
                <w:sz w:val="21"/>
                <w:szCs w:val="21"/>
              </w:rPr>
              <w:t>公共使用的照明、指示灯具线路、开关、接地等保持完好，确保用电安全</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（4）</w:t>
            </w:r>
            <w:r>
              <w:rPr>
                <w:rFonts w:hint="eastAsia" w:ascii="Calibri" w:hAnsi="Calibri" w:eastAsia="宋体" w:cs="Calibri"/>
                <w:sz w:val="21"/>
                <w:szCs w:val="21"/>
              </w:rPr>
              <w:t>核心部位用电建立高可控用电保障和配备应急发电设备，定期维护应急发电设备</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（5）发生</w:t>
            </w:r>
            <w:r>
              <w:rPr>
                <w:rFonts w:hint="eastAsia" w:ascii="Calibri" w:hAnsi="Calibri" w:eastAsia="宋体" w:cs="Calibri"/>
                <w:sz w:val="21"/>
                <w:szCs w:val="21"/>
              </w:rPr>
              <w:t>非计划性停电</w:t>
            </w:r>
            <w:r>
              <w:rPr>
                <w:rFonts w:hint="eastAsia" w:cs="Calibri"/>
                <w:sz w:val="21"/>
                <w:szCs w:val="21"/>
              </w:rPr>
              <w:t>的，</w:t>
            </w:r>
            <w:r>
              <w:rPr>
                <w:rFonts w:hint="eastAsia" w:ascii="Calibri" w:hAnsi="Calibri" w:eastAsia="宋体" w:cs="Calibri"/>
                <w:sz w:val="21"/>
                <w:szCs w:val="21"/>
              </w:rPr>
              <w:t>应</w:t>
            </w:r>
            <w:r>
              <w:rPr>
                <w:rFonts w:hint="eastAsia" w:cs="Calibri"/>
                <w:sz w:val="21"/>
                <w:szCs w:val="21"/>
              </w:rPr>
              <w:t>当</w:t>
            </w:r>
            <w:r>
              <w:rPr>
                <w:rFonts w:hint="eastAsia" w:ascii="Calibri" w:hAnsi="Calibri" w:eastAsia="宋体" w:cs="Calibri"/>
                <w:sz w:val="21"/>
                <w:szCs w:val="21"/>
              </w:rPr>
              <w:t>在事件发生后及时通知</w:t>
            </w:r>
            <w:r>
              <w:rPr>
                <w:rFonts w:hint="eastAsia" w:eastAsia="宋体" w:cs="Calibri"/>
                <w:sz w:val="21"/>
                <w:szCs w:val="21"/>
              </w:rPr>
              <w:t>采购人</w:t>
            </w:r>
            <w:r>
              <w:rPr>
                <w:rFonts w:hint="eastAsia" w:ascii="Calibri" w:hAnsi="Calibri" w:eastAsia="宋体" w:cs="Calibri"/>
                <w:sz w:val="21"/>
                <w:szCs w:val="21"/>
              </w:rPr>
              <w:t>，快速恢复或启用应急电源，并做好应急事件上报及处理工作</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（6）</w:t>
            </w:r>
            <w:r>
              <w:rPr>
                <w:rFonts w:hint="eastAsia" w:ascii="Calibri" w:hAnsi="Calibri" w:eastAsia="宋体" w:cs="Calibri"/>
                <w:sz w:val="21"/>
                <w:szCs w:val="21"/>
              </w:rPr>
              <w:t>复杂故障涉及供电部门维修处置的及时与供电部门联系，并向</w:t>
            </w:r>
            <w:r>
              <w:rPr>
                <w:rFonts w:hint="eastAsia" w:eastAsia="宋体" w:cs="Calibri"/>
                <w:sz w:val="21"/>
                <w:szCs w:val="21"/>
              </w:rPr>
              <w:t>采购人</w:t>
            </w:r>
            <w:r>
              <w:rPr>
                <w:rFonts w:hint="eastAsia" w:ascii="Calibri" w:hAnsi="Calibri" w:eastAsia="宋体" w:cs="Calibri"/>
                <w:sz w:val="21"/>
                <w:szCs w:val="21"/>
              </w:rPr>
              <w:t>报告</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vMerge w:val="restart"/>
            <w:tcBorders>
              <w:tl2br w:val="nil"/>
              <w:tr2bl w:val="nil"/>
            </w:tcBorders>
            <w:vAlign w:val="center"/>
          </w:tcPr>
          <w:p>
            <w:pPr>
              <w:snapToGrid w:val="0"/>
              <w:spacing w:line="300" w:lineRule="auto"/>
              <w:jc w:val="center"/>
              <w:rPr>
                <w:sz w:val="21"/>
                <w:szCs w:val="21"/>
              </w:rPr>
            </w:pPr>
            <w:r>
              <w:rPr>
                <w:sz w:val="21"/>
                <w:szCs w:val="21"/>
              </w:rPr>
              <w:t>6</w:t>
            </w:r>
          </w:p>
        </w:tc>
        <w:tc>
          <w:tcPr>
            <w:tcW w:w="2044" w:type="dxa"/>
            <w:vMerge w:val="restart"/>
            <w:tcBorders>
              <w:tl2br w:val="nil"/>
              <w:tr2bl w:val="nil"/>
            </w:tcBorders>
            <w:vAlign w:val="center"/>
          </w:tcPr>
          <w:p>
            <w:pPr>
              <w:snapToGrid w:val="0"/>
              <w:spacing w:line="300" w:lineRule="auto"/>
              <w:rPr>
                <w:sz w:val="21"/>
                <w:szCs w:val="21"/>
              </w:rPr>
            </w:pPr>
            <w:r>
              <w:rPr>
                <w:sz w:val="21"/>
                <w:szCs w:val="21"/>
              </w:rPr>
              <w:t>弱电系统</w:t>
            </w: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（1）安全防范系统维护保养</w:t>
            </w:r>
            <w:r>
              <w:rPr>
                <w:rFonts w:hint="eastAsia" w:ascii="Calibri" w:hAnsi="Calibri" w:eastAsia="宋体" w:cs="Calibri"/>
                <w:sz w:val="21"/>
                <w:szCs w:val="21"/>
              </w:rPr>
              <w:t>符合</w:t>
            </w:r>
            <w:r>
              <w:rPr>
                <w:rFonts w:hint="eastAsia" w:cs="Calibri"/>
                <w:sz w:val="21"/>
                <w:szCs w:val="21"/>
              </w:rPr>
              <w:t>《安全防范系统维护保养规范》（</w:t>
            </w:r>
            <w:r>
              <w:rPr>
                <w:rFonts w:hint="eastAsia" w:eastAsia="宋体"/>
                <w:sz w:val="21"/>
                <w:szCs w:val="21"/>
              </w:rPr>
              <w:t>GA/T1081</w:t>
            </w:r>
            <w:r>
              <w:rPr>
                <w:rFonts w:hint="eastAsia" w:cs="Calibri"/>
                <w:sz w:val="21"/>
                <w:szCs w:val="21"/>
              </w:rPr>
              <w:t>）</w:t>
            </w:r>
            <w:r>
              <w:rPr>
                <w:rFonts w:hint="eastAsia" w:ascii="Calibri" w:hAnsi="Calibri" w:eastAsia="宋体" w:cs="Calibri"/>
                <w:sz w:val="21"/>
                <w:szCs w:val="21"/>
              </w:rPr>
              <w:t>的相关要求</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（2）</w:t>
            </w:r>
            <w:r>
              <w:rPr>
                <w:rFonts w:hint="eastAsia" w:ascii="Calibri" w:hAnsi="Calibri" w:eastAsia="宋体" w:cs="Calibri"/>
                <w:sz w:val="21"/>
                <w:szCs w:val="21"/>
              </w:rPr>
              <w:t>保持监控系统、门禁系统、安全防范系统等运行正常，有故障及时排除</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vMerge w:val="restart"/>
            <w:tcBorders>
              <w:tl2br w:val="nil"/>
              <w:tr2bl w:val="nil"/>
            </w:tcBorders>
            <w:vAlign w:val="center"/>
          </w:tcPr>
          <w:p>
            <w:pPr>
              <w:snapToGrid w:val="0"/>
              <w:spacing w:line="300" w:lineRule="auto"/>
              <w:jc w:val="center"/>
              <w:rPr>
                <w:sz w:val="21"/>
                <w:szCs w:val="21"/>
              </w:rPr>
            </w:pPr>
            <w:r>
              <w:rPr>
                <w:sz w:val="21"/>
                <w:szCs w:val="21"/>
              </w:rPr>
              <w:t>7</w:t>
            </w:r>
          </w:p>
        </w:tc>
        <w:tc>
          <w:tcPr>
            <w:tcW w:w="2044" w:type="dxa"/>
            <w:vMerge w:val="restart"/>
            <w:tcBorders>
              <w:tl2br w:val="nil"/>
              <w:tr2bl w:val="nil"/>
            </w:tcBorders>
            <w:vAlign w:val="center"/>
          </w:tcPr>
          <w:p>
            <w:pPr>
              <w:snapToGrid w:val="0"/>
              <w:spacing w:line="300" w:lineRule="auto"/>
              <w:rPr>
                <w:sz w:val="21"/>
                <w:szCs w:val="21"/>
              </w:rPr>
            </w:pPr>
            <w:r>
              <w:rPr>
                <w:rFonts w:eastAsia="宋体"/>
                <w:sz w:val="21"/>
                <w:szCs w:val="21"/>
              </w:rPr>
              <w:t>照明</w:t>
            </w:r>
            <w:r>
              <w:rPr>
                <w:sz w:val="21"/>
                <w:szCs w:val="21"/>
              </w:rPr>
              <w:t>系统</w:t>
            </w: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（1）</w:t>
            </w:r>
            <w:r>
              <w:rPr>
                <w:rFonts w:hint="eastAsia" w:ascii="Calibri" w:hAnsi="Calibri" w:eastAsia="宋体" w:cs="Calibri"/>
                <w:sz w:val="21"/>
                <w:szCs w:val="21"/>
              </w:rPr>
              <w:t>外观整洁无缺损、无松落</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（2）更换的</w:t>
            </w:r>
            <w:r>
              <w:rPr>
                <w:rFonts w:hint="eastAsia" w:ascii="Calibri" w:hAnsi="Calibri" w:eastAsia="宋体" w:cs="Calibri"/>
                <w:sz w:val="21"/>
                <w:szCs w:val="21"/>
              </w:rPr>
              <w:t>照明灯具</w:t>
            </w:r>
            <w:r>
              <w:rPr>
                <w:rFonts w:hint="eastAsia" w:cs="Calibri"/>
                <w:sz w:val="21"/>
                <w:szCs w:val="21"/>
              </w:rPr>
              <w:t>应当</w:t>
            </w:r>
            <w:r>
              <w:rPr>
                <w:rFonts w:hint="eastAsia" w:ascii="Calibri" w:hAnsi="Calibri" w:eastAsia="宋体" w:cs="Calibri"/>
                <w:sz w:val="21"/>
                <w:szCs w:val="21"/>
              </w:rPr>
              <w:t>选用节能环保产品</w:t>
            </w:r>
            <w:r>
              <w:rPr>
                <w:rFonts w:hint="eastAsia" w:cs="Calibri"/>
                <w:sz w:val="21"/>
                <w:szCs w:val="21"/>
              </w:rPr>
              <w:t>，亮度不低于当前使用亮度</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（3）</w:t>
            </w:r>
            <w:r>
              <w:rPr>
                <w:rFonts w:hint="eastAsia" w:ascii="Calibri" w:hAnsi="Calibri" w:eastAsia="宋体" w:cs="Calibri"/>
                <w:sz w:val="21"/>
                <w:szCs w:val="21"/>
              </w:rPr>
              <w:t>每周至少</w:t>
            </w:r>
            <w:r>
              <w:rPr>
                <w:rFonts w:hint="eastAsia" w:eastAsia="宋体" w:cs="Calibri"/>
                <w:sz w:val="21"/>
                <w:szCs w:val="21"/>
              </w:rPr>
              <w:t>开展</w:t>
            </w:r>
            <w:r>
              <w:rPr>
                <w:rFonts w:hint="eastAsia" w:ascii="Calibri" w:hAnsi="Calibri" w:eastAsia="宋体" w:cs="Calibri"/>
                <w:sz w:val="21"/>
                <w:szCs w:val="21"/>
              </w:rPr>
              <w:t>1次公共区域照明设备巡视</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vMerge w:val="restart"/>
            <w:tcBorders>
              <w:tl2br w:val="nil"/>
              <w:tr2bl w:val="nil"/>
            </w:tcBorders>
            <w:vAlign w:val="center"/>
          </w:tcPr>
          <w:p>
            <w:pPr>
              <w:snapToGrid w:val="0"/>
              <w:spacing w:line="300" w:lineRule="auto"/>
              <w:jc w:val="center"/>
              <w:rPr>
                <w:sz w:val="21"/>
                <w:szCs w:val="21"/>
              </w:rPr>
            </w:pPr>
            <w:r>
              <w:rPr>
                <w:sz w:val="21"/>
                <w:szCs w:val="21"/>
              </w:rPr>
              <w:t>8</w:t>
            </w:r>
          </w:p>
        </w:tc>
        <w:tc>
          <w:tcPr>
            <w:tcW w:w="2044" w:type="dxa"/>
            <w:vMerge w:val="restart"/>
            <w:tcBorders>
              <w:tl2br w:val="nil"/>
              <w:tr2bl w:val="nil"/>
            </w:tcBorders>
            <w:vAlign w:val="center"/>
          </w:tcPr>
          <w:p>
            <w:pPr>
              <w:snapToGrid w:val="0"/>
              <w:spacing w:line="300" w:lineRule="auto"/>
              <w:rPr>
                <w:sz w:val="21"/>
                <w:szCs w:val="21"/>
              </w:rPr>
            </w:pPr>
            <w:r>
              <w:rPr>
                <w:sz w:val="21"/>
                <w:szCs w:val="21"/>
              </w:rPr>
              <w:t>锅炉设备/热力站</w:t>
            </w: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（1）建</w:t>
            </w:r>
            <w:r>
              <w:rPr>
                <w:rFonts w:hint="eastAsia" w:ascii="Calibri" w:hAnsi="Calibri" w:eastAsia="宋体" w:cs="Calibri"/>
                <w:sz w:val="21"/>
                <w:szCs w:val="21"/>
              </w:rPr>
              <w:t>立</w:t>
            </w:r>
            <w:r>
              <w:rPr>
                <w:rFonts w:hint="eastAsia" w:cs="Calibri"/>
                <w:sz w:val="21"/>
                <w:szCs w:val="21"/>
              </w:rPr>
              <w:t>24小时</w:t>
            </w:r>
            <w:r>
              <w:rPr>
                <w:rFonts w:hint="eastAsia" w:ascii="Calibri" w:hAnsi="Calibri" w:eastAsia="宋体" w:cs="Calibri"/>
                <w:sz w:val="21"/>
                <w:szCs w:val="21"/>
              </w:rPr>
              <w:t>值班监控制度</w:t>
            </w:r>
            <w:r>
              <w:rPr>
                <w:rFonts w:hint="eastAsia"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（2）每年至少开展1次锅炉设备的全面检查。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（3）</w:t>
            </w:r>
            <w:r>
              <w:rPr>
                <w:rFonts w:hint="eastAsia" w:ascii="Calibri" w:hAnsi="Calibri" w:eastAsia="宋体" w:cs="Calibri"/>
                <w:sz w:val="21"/>
                <w:szCs w:val="21"/>
              </w:rPr>
              <w:t>每年至少</w:t>
            </w:r>
            <w:r>
              <w:rPr>
                <w:rFonts w:hint="eastAsia" w:cs="Calibri"/>
                <w:sz w:val="21"/>
                <w:szCs w:val="21"/>
              </w:rPr>
              <w:t>开展</w:t>
            </w:r>
            <w:r>
              <w:rPr>
                <w:rFonts w:hint="eastAsia" w:ascii="Calibri" w:hAnsi="Calibri" w:eastAsia="宋体" w:cs="Calibri"/>
                <w:sz w:val="21"/>
                <w:szCs w:val="21"/>
              </w:rPr>
              <w:t>1次锅炉设备及其辅助设备检测，确保各类设备、仪器仪表、水管线路运行正常</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（4）</w:t>
            </w:r>
            <w:r>
              <w:rPr>
                <w:rFonts w:hint="eastAsia" w:ascii="Calibri" w:hAnsi="Calibri" w:eastAsia="宋体" w:cs="Calibri"/>
                <w:sz w:val="21"/>
                <w:szCs w:val="21"/>
              </w:rPr>
              <w:t>每年至少</w:t>
            </w:r>
            <w:r>
              <w:rPr>
                <w:rFonts w:hint="eastAsia" w:cs="Calibri"/>
                <w:sz w:val="21"/>
                <w:szCs w:val="21"/>
              </w:rPr>
              <w:t>开展</w:t>
            </w:r>
            <w:r>
              <w:rPr>
                <w:rFonts w:hint="eastAsia" w:ascii="Calibri" w:hAnsi="Calibri" w:eastAsia="宋体" w:cs="Calibri"/>
                <w:sz w:val="21"/>
                <w:szCs w:val="21"/>
              </w:rPr>
              <w:t>1次锅炉水质检测，确保水质合格</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（5）按锅炉厂家制定的检修规程对锅炉进行检修。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8" w:type="dxa"/>
            <w:vMerge w:val="restart"/>
            <w:tcBorders>
              <w:tl2br w:val="nil"/>
              <w:tr2bl w:val="nil"/>
            </w:tcBorders>
            <w:vAlign w:val="center"/>
          </w:tcPr>
          <w:p>
            <w:pPr>
              <w:snapToGrid w:val="0"/>
              <w:spacing w:line="300" w:lineRule="auto"/>
              <w:jc w:val="center"/>
              <w:rPr>
                <w:sz w:val="21"/>
                <w:szCs w:val="21"/>
              </w:rPr>
            </w:pPr>
            <w:r>
              <w:rPr>
                <w:sz w:val="21"/>
                <w:szCs w:val="21"/>
              </w:rPr>
              <w:t>9</w:t>
            </w:r>
          </w:p>
        </w:tc>
        <w:tc>
          <w:tcPr>
            <w:tcW w:w="2044" w:type="dxa"/>
            <w:vMerge w:val="restart"/>
            <w:tcBorders>
              <w:tl2br w:val="nil"/>
              <w:tr2bl w:val="nil"/>
            </w:tcBorders>
            <w:vAlign w:val="center"/>
          </w:tcPr>
          <w:p>
            <w:pPr>
              <w:snapToGrid w:val="0"/>
              <w:spacing w:line="300" w:lineRule="auto"/>
              <w:rPr>
                <w:sz w:val="21"/>
                <w:szCs w:val="21"/>
              </w:rPr>
            </w:pPr>
            <w:r>
              <w:rPr>
                <w:rFonts w:hint="eastAsia"/>
                <w:sz w:val="21"/>
                <w:szCs w:val="21"/>
              </w:rPr>
              <w:t>采暖系统</w:t>
            </w: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（1）</w:t>
            </w:r>
            <w:r>
              <w:rPr>
                <w:rFonts w:ascii="Calibri" w:hAnsi="Calibri" w:eastAsia="宋体" w:cs="Calibri"/>
                <w:sz w:val="21"/>
                <w:szCs w:val="21"/>
              </w:rPr>
              <w:t>定期检查供暖管道、阀门运行情况，确保正常无隐患</w:t>
            </w:r>
            <w:r>
              <w:rPr>
                <w:rFonts w:hint="eastAsia"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（2）</w:t>
            </w:r>
            <w:r>
              <w:rPr>
                <w:rFonts w:ascii="Calibri" w:hAnsi="Calibri" w:eastAsia="宋体" w:cs="Calibri"/>
                <w:sz w:val="21"/>
                <w:szCs w:val="21"/>
              </w:rPr>
              <w:t>负责暖气片、阀门龙头等新装布置及旧装拆除、日常维修更换及管线的跑、冒、滴、漏的维修</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（3）</w:t>
            </w:r>
            <w:r>
              <w:rPr>
                <w:rFonts w:ascii="Calibri" w:hAnsi="Calibri" w:eastAsia="宋体" w:cs="Calibri"/>
                <w:sz w:val="21"/>
                <w:szCs w:val="21"/>
              </w:rPr>
              <w:t>做好供暖前检查等相关准备工作</w:t>
            </w:r>
            <w:r>
              <w:rPr>
                <w:rFonts w:hint="eastAsia"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（4）</w:t>
            </w:r>
            <w:r>
              <w:rPr>
                <w:rFonts w:ascii="Calibri" w:hAnsi="Calibri" w:eastAsia="宋体" w:cs="Calibri"/>
                <w:sz w:val="21"/>
                <w:szCs w:val="21"/>
              </w:rPr>
              <w:t>暖气片上水前，提前通知采购人</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（5）</w:t>
            </w:r>
            <w:r>
              <w:rPr>
                <w:rFonts w:ascii="Calibri" w:hAnsi="Calibri" w:eastAsia="宋体" w:cs="Calibri"/>
                <w:sz w:val="21"/>
                <w:szCs w:val="21"/>
              </w:rPr>
              <w:t>供暖期间做好日常检查、维护、抢修、登记上报等工作</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Merge w:val="continue"/>
            <w:tcBorders>
              <w:tl2br w:val="nil"/>
              <w:tr2bl w:val="nil"/>
            </w:tcBorders>
            <w:vAlign w:val="center"/>
          </w:tcPr>
          <w:p>
            <w:pPr>
              <w:rPr>
                <w:sz w:val="21"/>
                <w:szCs w:val="21"/>
              </w:rPr>
            </w:pPr>
          </w:p>
        </w:tc>
        <w:tc>
          <w:tcPr>
            <w:tcW w:w="3348" w:type="dxa"/>
            <w:vMerge w:val="continue"/>
            <w:tcBorders>
              <w:tl2br w:val="nil"/>
              <w:tr2bl w:val="nil"/>
            </w:tcBorders>
            <w:vAlign w:val="center"/>
          </w:tcPr>
          <w:p>
            <w:pPr>
              <w:rPr>
                <w:sz w:val="21"/>
                <w:szCs w:val="21"/>
              </w:rPr>
            </w:pPr>
          </w:p>
        </w:tc>
        <w:tc>
          <w:tcPr>
            <w:tcW w:w="6118"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（6）</w:t>
            </w:r>
            <w:r>
              <w:rPr>
                <w:rFonts w:ascii="Calibri" w:hAnsi="Calibri" w:eastAsia="宋体" w:cs="Calibri"/>
                <w:sz w:val="21"/>
                <w:szCs w:val="21"/>
              </w:rPr>
              <w:t>根据天气情况适时调节供暖设备运行工况，节约能源。</w:t>
            </w:r>
          </w:p>
        </w:tc>
      </w:tr>
    </w:tbl>
    <w:p>
      <w:pPr>
        <w:pStyle w:val="4"/>
        <w:numPr>
          <w:ilvl w:val="2"/>
          <w:numId w:val="4"/>
        </w:numPr>
        <w:ind w:firstLine="480" w:firstLineChars="200"/>
        <w:rPr>
          <w:rFonts w:ascii="宋体" w:hAnsi="宋体" w:cs="宋体"/>
          <w:szCs w:val="24"/>
        </w:rPr>
      </w:pPr>
      <w:r>
        <w:rPr>
          <w:rFonts w:hint="eastAsia" w:ascii="宋体" w:hAnsi="宋体" w:cs="宋体"/>
          <w:szCs w:val="24"/>
        </w:rPr>
        <w:t>2.3保洁服务</w:t>
      </w:r>
    </w:p>
    <w:tbl>
      <w:tblPr>
        <w:tblStyle w:val="25"/>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097"/>
        <w:gridCol w:w="6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tcBorders>
              <w:tl2br w:val="nil"/>
              <w:tr2bl w:val="nil"/>
            </w:tcBorders>
            <w:vAlign w:val="center"/>
          </w:tcPr>
          <w:p>
            <w:pPr>
              <w:snapToGrid w:val="0"/>
              <w:spacing w:line="300" w:lineRule="auto"/>
              <w:jc w:val="center"/>
              <w:rPr>
                <w:rFonts w:cs="Calibri"/>
                <w:b/>
                <w:bCs/>
                <w:sz w:val="21"/>
                <w:szCs w:val="21"/>
              </w:rPr>
            </w:pPr>
            <w:r>
              <w:rPr>
                <w:rFonts w:hint="eastAsia" w:cs="Calibri"/>
                <w:b/>
                <w:bCs/>
                <w:sz w:val="21"/>
                <w:szCs w:val="21"/>
              </w:rPr>
              <w:t>序号</w:t>
            </w:r>
          </w:p>
        </w:tc>
        <w:tc>
          <w:tcPr>
            <w:tcW w:w="1973" w:type="dxa"/>
            <w:tcBorders>
              <w:tl2br w:val="nil"/>
              <w:tr2bl w:val="nil"/>
            </w:tcBorders>
            <w:vAlign w:val="center"/>
          </w:tcPr>
          <w:p>
            <w:pPr>
              <w:snapToGrid w:val="0"/>
              <w:spacing w:line="300" w:lineRule="auto"/>
              <w:jc w:val="center"/>
              <w:rPr>
                <w:rFonts w:cs="Calibri"/>
                <w:b/>
                <w:bCs/>
                <w:sz w:val="21"/>
                <w:szCs w:val="21"/>
              </w:rPr>
            </w:pPr>
            <w:r>
              <w:rPr>
                <w:rFonts w:ascii="Calibri" w:hAnsi="Calibri" w:eastAsia="宋体" w:cs="Calibri"/>
                <w:b/>
                <w:bCs/>
                <w:sz w:val="21"/>
                <w:szCs w:val="21"/>
              </w:rPr>
              <w:t>服务内容</w:t>
            </w:r>
          </w:p>
        </w:tc>
        <w:tc>
          <w:tcPr>
            <w:tcW w:w="5839" w:type="dxa"/>
            <w:tcBorders>
              <w:tl2br w:val="nil"/>
              <w:tr2bl w:val="nil"/>
            </w:tcBorders>
            <w:vAlign w:val="center"/>
          </w:tcPr>
          <w:p>
            <w:pPr>
              <w:snapToGrid w:val="0"/>
              <w:spacing w:line="300" w:lineRule="auto"/>
              <w:jc w:val="center"/>
              <w:rPr>
                <w:rFonts w:cs="Calibri"/>
                <w:b/>
                <w:bCs/>
                <w:sz w:val="21"/>
                <w:szCs w:val="21"/>
              </w:rPr>
            </w:pPr>
            <w:r>
              <w:rPr>
                <w:rFonts w:hint="eastAsia" w:cs="Calibri"/>
                <w:b/>
                <w:bCs/>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restart"/>
            <w:tcBorders>
              <w:tl2br w:val="nil"/>
              <w:tr2bl w:val="nil"/>
            </w:tcBorders>
            <w:vAlign w:val="center"/>
          </w:tcPr>
          <w:p>
            <w:pPr>
              <w:snapToGrid w:val="0"/>
              <w:spacing w:line="300" w:lineRule="auto"/>
              <w:jc w:val="center"/>
              <w:rPr>
                <w:sz w:val="21"/>
                <w:szCs w:val="21"/>
              </w:rPr>
            </w:pPr>
            <w:r>
              <w:rPr>
                <w:rFonts w:hint="eastAsia"/>
                <w:sz w:val="21"/>
                <w:szCs w:val="21"/>
              </w:rPr>
              <w:t>1</w:t>
            </w:r>
          </w:p>
        </w:tc>
        <w:tc>
          <w:tcPr>
            <w:tcW w:w="1973" w:type="dxa"/>
            <w:vMerge w:val="restart"/>
            <w:tcBorders>
              <w:tl2br w:val="nil"/>
              <w:tr2bl w:val="nil"/>
            </w:tcBorders>
            <w:vAlign w:val="center"/>
          </w:tcPr>
          <w:p>
            <w:pPr>
              <w:snapToGrid w:val="0"/>
              <w:spacing w:line="300" w:lineRule="auto"/>
              <w:rPr>
                <w:sz w:val="21"/>
                <w:szCs w:val="21"/>
              </w:rPr>
            </w:pPr>
            <w:r>
              <w:rPr>
                <w:rFonts w:hint="eastAsia"/>
                <w:sz w:val="21"/>
                <w:szCs w:val="21"/>
              </w:rPr>
              <w:t>基本要求</w:t>
            </w: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（1）</w:t>
            </w:r>
            <w:r>
              <w:rPr>
                <w:rFonts w:hint="eastAsia" w:ascii="Calibri" w:hAnsi="Calibri" w:eastAsia="宋体" w:cs="Calibri"/>
                <w:sz w:val="21"/>
                <w:szCs w:val="21"/>
              </w:rPr>
              <w:t>建立保洁服务的工作制度及工作计划，并按照执行</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（2）</w:t>
            </w:r>
            <w:r>
              <w:rPr>
                <w:rFonts w:hint="eastAsia" w:ascii="Calibri" w:hAnsi="Calibri" w:eastAsia="宋体" w:cs="Calibri"/>
                <w:sz w:val="21"/>
                <w:szCs w:val="21"/>
              </w:rPr>
              <w:t>做好保洁服务工作记录，记录填写规范、保存完好</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（3）</w:t>
            </w:r>
            <w:r>
              <w:rPr>
                <w:rFonts w:hint="eastAsia" w:ascii="Calibri" w:hAnsi="Calibri" w:eastAsia="宋体" w:cs="Calibri"/>
                <w:sz w:val="21"/>
                <w:szCs w:val="21"/>
              </w:rPr>
              <w:t>作业时采取安全防护措施，防止对作业人员或他人造成伤害。相关耗材的环保、安全性</w:t>
            </w:r>
            <w:r>
              <w:rPr>
                <w:rFonts w:hint="eastAsia" w:cs="Calibri"/>
                <w:sz w:val="21"/>
                <w:szCs w:val="21"/>
              </w:rPr>
              <w:t>等</w:t>
            </w:r>
            <w:r>
              <w:rPr>
                <w:rFonts w:hint="eastAsia" w:ascii="Calibri" w:hAnsi="Calibri" w:eastAsia="宋体" w:cs="Calibri"/>
                <w:sz w:val="21"/>
                <w:szCs w:val="21"/>
              </w:rPr>
              <w:t>应</w:t>
            </w:r>
            <w:r>
              <w:rPr>
                <w:rFonts w:hint="eastAsia" w:cs="Calibri"/>
                <w:sz w:val="21"/>
                <w:szCs w:val="21"/>
              </w:rPr>
              <w:t>当</w:t>
            </w:r>
            <w:r>
              <w:rPr>
                <w:rFonts w:hint="eastAsia" w:ascii="Calibri" w:hAnsi="Calibri" w:eastAsia="宋体" w:cs="Calibri"/>
                <w:sz w:val="21"/>
                <w:szCs w:val="21"/>
              </w:rPr>
              <w:t>符合</w:t>
            </w:r>
            <w:r>
              <w:rPr>
                <w:rFonts w:hint="eastAsia" w:cs="Calibri"/>
                <w:sz w:val="21"/>
                <w:szCs w:val="21"/>
              </w:rPr>
              <w:t>国家相关</w:t>
            </w:r>
            <w:r>
              <w:rPr>
                <w:rFonts w:hint="eastAsia" w:ascii="Calibri" w:hAnsi="Calibri" w:eastAsia="宋体" w:cs="Calibri"/>
                <w:sz w:val="21"/>
                <w:szCs w:val="21"/>
              </w:rPr>
              <w:t>规定要求</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（4）</w:t>
            </w:r>
            <w:r>
              <w:rPr>
                <w:rFonts w:hint="eastAsia" w:ascii="Calibri" w:hAnsi="Calibri" w:eastAsia="宋体" w:cs="Calibri"/>
                <w:sz w:val="21"/>
                <w:szCs w:val="21"/>
              </w:rPr>
              <w:t>进入保密区域时，有</w:t>
            </w:r>
            <w:r>
              <w:rPr>
                <w:rFonts w:hint="eastAsia" w:eastAsia="宋体" w:cs="Calibri"/>
                <w:sz w:val="21"/>
                <w:szCs w:val="21"/>
              </w:rPr>
              <w:t>采购人</w:t>
            </w:r>
            <w:r>
              <w:rPr>
                <w:rFonts w:hint="eastAsia" w:ascii="Calibri" w:hAnsi="Calibri" w:eastAsia="宋体" w:cs="Calibri"/>
                <w:sz w:val="21"/>
                <w:szCs w:val="21"/>
              </w:rPr>
              <w:t>相关人员</w:t>
            </w:r>
            <w:r>
              <w:rPr>
                <w:rFonts w:hint="eastAsia" w:cs="Calibri"/>
                <w:sz w:val="21"/>
                <w:szCs w:val="21"/>
              </w:rPr>
              <w:t>全程</w:t>
            </w:r>
            <w:r>
              <w:rPr>
                <w:rFonts w:hint="eastAsia" w:ascii="Calibri" w:hAnsi="Calibri" w:eastAsia="宋体" w:cs="Calibri"/>
                <w:sz w:val="21"/>
                <w:szCs w:val="21"/>
              </w:rPr>
              <w:t>在场</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713" w:type="dxa"/>
            <w:vMerge w:val="restart"/>
            <w:tcBorders>
              <w:tl2br w:val="nil"/>
              <w:tr2bl w:val="nil"/>
            </w:tcBorders>
            <w:vAlign w:val="center"/>
          </w:tcPr>
          <w:p>
            <w:pPr>
              <w:snapToGrid w:val="0"/>
              <w:spacing w:line="300" w:lineRule="auto"/>
              <w:jc w:val="center"/>
              <w:rPr>
                <w:sz w:val="21"/>
                <w:szCs w:val="21"/>
              </w:rPr>
            </w:pPr>
            <w:r>
              <w:rPr>
                <w:rFonts w:hint="eastAsia"/>
                <w:sz w:val="21"/>
                <w:szCs w:val="21"/>
              </w:rPr>
              <w:t>2</w:t>
            </w:r>
          </w:p>
        </w:tc>
        <w:tc>
          <w:tcPr>
            <w:tcW w:w="1973" w:type="dxa"/>
            <w:vMerge w:val="restart"/>
            <w:tcBorders>
              <w:tl2br w:val="nil"/>
              <w:tr2bl w:val="nil"/>
            </w:tcBorders>
            <w:vAlign w:val="center"/>
          </w:tcPr>
          <w:p>
            <w:pPr>
              <w:snapToGrid w:val="0"/>
              <w:spacing w:line="300" w:lineRule="auto"/>
              <w:rPr>
                <w:sz w:val="21"/>
                <w:szCs w:val="21"/>
              </w:rPr>
            </w:pPr>
            <w:r>
              <w:rPr>
                <w:sz w:val="21"/>
                <w:szCs w:val="21"/>
              </w:rPr>
              <w:t>办公用房区域保洁</w:t>
            </w: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（1）</w:t>
            </w:r>
            <w:r>
              <w:rPr>
                <w:rFonts w:hint="eastAsia" w:ascii="Calibri" w:hAnsi="Calibri" w:eastAsia="宋体" w:cs="Calibri"/>
                <w:sz w:val="21"/>
                <w:szCs w:val="21"/>
              </w:rPr>
              <w:t>大厅、楼内公共通道</w:t>
            </w:r>
            <w:r>
              <w:rPr>
                <w:rFonts w:hint="eastAsia" w:eastAsia="宋体" w:cs="Calibri"/>
                <w:sz w:val="21"/>
                <w:szCs w:val="21"/>
              </w:rPr>
              <w:t>：</w:t>
            </w:r>
          </w:p>
          <w:p>
            <w:pPr>
              <w:snapToGrid w:val="0"/>
              <w:spacing w:line="300" w:lineRule="auto"/>
              <w:ind w:firstLine="420" w:firstLineChars="200"/>
              <w:rPr>
                <w:rFonts w:cs="Calibri"/>
                <w:sz w:val="21"/>
                <w:szCs w:val="21"/>
              </w:rPr>
            </w:pPr>
            <w:r>
              <w:rPr>
                <w:rFonts w:hint="eastAsia" w:cs="Calibri"/>
                <w:sz w:val="21"/>
                <w:szCs w:val="21"/>
              </w:rPr>
              <w:t>①</w:t>
            </w:r>
            <w:r>
              <w:rPr>
                <w:rFonts w:hint="eastAsia" w:ascii="Calibri" w:hAnsi="Calibri" w:eastAsia="宋体" w:cs="Calibri"/>
                <w:sz w:val="21"/>
                <w:szCs w:val="21"/>
              </w:rPr>
              <w:t>公共通道保持干净，无异味、无杂物、无积水</w:t>
            </w:r>
            <w:r>
              <w:rPr>
                <w:rFonts w:hint="eastAsia" w:eastAsia="宋体" w:cs="Calibri"/>
                <w:sz w:val="21"/>
                <w:szCs w:val="21"/>
              </w:rPr>
              <w:t>，每日</w:t>
            </w:r>
            <w:r>
              <w:rPr>
                <w:rFonts w:hint="eastAsia" w:cs="Calibri"/>
                <w:sz w:val="21"/>
                <w:szCs w:val="21"/>
              </w:rPr>
              <w:t>至少开展</w:t>
            </w:r>
            <w:r>
              <w:rPr>
                <w:rFonts w:hint="eastAsia" w:eastAsia="宋体" w:cs="Calibri"/>
                <w:sz w:val="21"/>
                <w:szCs w:val="21"/>
              </w:rPr>
              <w:t>1次清洁作业。</w:t>
            </w:r>
          </w:p>
          <w:p>
            <w:pPr>
              <w:snapToGrid w:val="0"/>
              <w:spacing w:line="300" w:lineRule="auto"/>
              <w:ind w:firstLine="420" w:firstLineChars="200"/>
              <w:rPr>
                <w:rFonts w:cs="Calibri"/>
                <w:sz w:val="21"/>
                <w:szCs w:val="21"/>
              </w:rPr>
            </w:pPr>
            <w:r>
              <w:rPr>
                <w:rFonts w:hint="eastAsia" w:ascii="Calibri" w:hAnsi="Calibri" w:eastAsia="宋体" w:cs="Calibri"/>
                <w:sz w:val="21"/>
                <w:szCs w:val="21"/>
              </w:rPr>
              <w:t>②门窗玻璃干净无尘，透光性好</w:t>
            </w:r>
            <w:r>
              <w:rPr>
                <w:rFonts w:hint="eastAsia" w:eastAsia="宋体" w:cs="Calibri"/>
                <w:sz w:val="21"/>
                <w:szCs w:val="21"/>
              </w:rPr>
              <w:t>，每周</w:t>
            </w:r>
            <w:r>
              <w:rPr>
                <w:rFonts w:hint="eastAsia" w:cs="Calibri"/>
                <w:sz w:val="21"/>
                <w:szCs w:val="21"/>
              </w:rPr>
              <w:t>至少开展</w:t>
            </w:r>
            <w:r>
              <w:rPr>
                <w:rFonts w:hint="eastAsia" w:eastAsia="宋体" w:cs="Calibri"/>
                <w:sz w:val="21"/>
                <w:szCs w:val="21"/>
              </w:rPr>
              <w:t>1次清洁作业</w:t>
            </w:r>
            <w:r>
              <w:rPr>
                <w:rFonts w:hint="eastAsia" w:ascii="Calibri" w:hAnsi="Calibri" w:eastAsia="宋体" w:cs="Calibri"/>
                <w:sz w:val="21"/>
                <w:szCs w:val="21"/>
              </w:rPr>
              <w:t>。</w:t>
            </w:r>
          </w:p>
          <w:p>
            <w:pPr>
              <w:snapToGrid w:val="0"/>
              <w:spacing w:line="300" w:lineRule="auto"/>
              <w:ind w:firstLine="420" w:firstLineChars="200"/>
              <w:rPr>
                <w:rFonts w:cs="Calibri"/>
                <w:sz w:val="21"/>
                <w:szCs w:val="21"/>
              </w:rPr>
            </w:pPr>
            <w:r>
              <w:rPr>
                <w:rFonts w:hint="eastAsia" w:ascii="Calibri" w:hAnsi="Calibri" w:eastAsia="宋体" w:cs="Calibri"/>
                <w:sz w:val="21"/>
                <w:szCs w:val="21"/>
              </w:rPr>
              <w:t>③指示牌干净，无污渍</w:t>
            </w:r>
            <w:r>
              <w:rPr>
                <w:rFonts w:hint="eastAsia" w:eastAsia="宋体" w:cs="Calibri"/>
                <w:sz w:val="21"/>
                <w:szCs w:val="21"/>
              </w:rPr>
              <w:t>，每日</w:t>
            </w:r>
            <w:r>
              <w:rPr>
                <w:rFonts w:hint="eastAsia" w:cs="Calibri"/>
                <w:sz w:val="21"/>
                <w:szCs w:val="21"/>
              </w:rPr>
              <w:t>至少开展</w:t>
            </w:r>
            <w:r>
              <w:rPr>
                <w:rFonts w:hint="eastAsia" w:eastAsia="宋体" w:cs="Calibri"/>
                <w:sz w:val="21"/>
                <w:szCs w:val="21"/>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（2）</w:t>
            </w:r>
            <w:r>
              <w:rPr>
                <w:rFonts w:hint="eastAsia" w:ascii="Calibri" w:hAnsi="Calibri" w:eastAsia="宋体" w:cs="Calibri"/>
                <w:sz w:val="21"/>
                <w:szCs w:val="21"/>
              </w:rPr>
              <w:t>电器、消防等设施设备</w:t>
            </w:r>
            <w:r>
              <w:rPr>
                <w:rFonts w:hint="eastAsia" w:eastAsia="宋体" w:cs="Calibri"/>
                <w:sz w:val="21"/>
                <w:szCs w:val="21"/>
              </w:rPr>
              <w:t>：</w:t>
            </w:r>
          </w:p>
          <w:p>
            <w:pPr>
              <w:snapToGrid w:val="0"/>
              <w:spacing w:line="300" w:lineRule="auto"/>
              <w:ind w:firstLine="420" w:firstLineChars="200"/>
              <w:rPr>
                <w:rFonts w:cs="Calibri"/>
                <w:sz w:val="21"/>
                <w:szCs w:val="21"/>
              </w:rPr>
            </w:pPr>
            <w:r>
              <w:rPr>
                <w:rFonts w:hint="eastAsia" w:cs="Calibri"/>
                <w:sz w:val="21"/>
                <w:szCs w:val="21"/>
              </w:rPr>
              <w:t>①</w:t>
            </w:r>
            <w:r>
              <w:rPr>
                <w:rFonts w:hint="eastAsia" w:ascii="Calibri" w:hAnsi="Calibri" w:eastAsia="宋体" w:cs="Calibri"/>
                <w:sz w:val="21"/>
                <w:szCs w:val="21"/>
              </w:rPr>
              <w:t>配电箱、设备机房、</w:t>
            </w:r>
            <w:r>
              <w:rPr>
                <w:rFonts w:hint="eastAsia" w:cs="Calibri"/>
                <w:sz w:val="21"/>
                <w:szCs w:val="21"/>
              </w:rPr>
              <w:t>会议室音视频设备、</w:t>
            </w:r>
            <w:r>
              <w:rPr>
                <w:rFonts w:hint="eastAsia" w:ascii="Calibri" w:hAnsi="Calibri" w:eastAsia="宋体" w:cs="Calibri"/>
                <w:sz w:val="21"/>
                <w:szCs w:val="21"/>
              </w:rPr>
              <w:t>消防栓及开关插座等保持表面干净，无尘无污迹</w:t>
            </w:r>
            <w:r>
              <w:rPr>
                <w:rFonts w:hint="eastAsia" w:eastAsia="宋体" w:cs="Calibri"/>
                <w:sz w:val="21"/>
                <w:szCs w:val="21"/>
              </w:rPr>
              <w:t>，每月</w:t>
            </w:r>
            <w:r>
              <w:rPr>
                <w:rFonts w:hint="eastAsia" w:cs="Calibri"/>
                <w:sz w:val="21"/>
                <w:szCs w:val="21"/>
              </w:rPr>
              <w:t>至少开展</w:t>
            </w:r>
            <w:r>
              <w:rPr>
                <w:rFonts w:hint="eastAsia" w:eastAsia="宋体" w:cs="Calibri"/>
                <w:sz w:val="21"/>
                <w:szCs w:val="21"/>
              </w:rPr>
              <w:t>1次清洁作业</w:t>
            </w:r>
            <w:r>
              <w:rPr>
                <w:rFonts w:hint="eastAsia" w:ascii="Calibri" w:hAnsi="Calibri" w:eastAsia="宋体" w:cs="Calibri"/>
                <w:sz w:val="21"/>
                <w:szCs w:val="21"/>
              </w:rPr>
              <w:t>。</w:t>
            </w:r>
          </w:p>
          <w:p>
            <w:pPr>
              <w:snapToGrid w:val="0"/>
              <w:spacing w:line="300" w:lineRule="auto"/>
              <w:ind w:firstLine="420" w:firstLineChars="200"/>
              <w:rPr>
                <w:rFonts w:cs="Calibri"/>
                <w:sz w:val="21"/>
                <w:szCs w:val="21"/>
              </w:rPr>
            </w:pPr>
            <w:r>
              <w:rPr>
                <w:rFonts w:hint="eastAsia" w:ascii="Calibri" w:hAnsi="Calibri" w:eastAsia="宋体" w:cs="Calibri"/>
                <w:sz w:val="21"/>
                <w:szCs w:val="21"/>
              </w:rPr>
              <w:t>②监控摄像头、门禁系统等表面光亮，无尘、无斑点</w:t>
            </w:r>
            <w:r>
              <w:rPr>
                <w:rFonts w:hint="eastAsia" w:eastAsia="宋体" w:cs="Calibri"/>
                <w:sz w:val="21"/>
                <w:szCs w:val="21"/>
              </w:rPr>
              <w:t>，每月</w:t>
            </w:r>
            <w:r>
              <w:rPr>
                <w:rFonts w:hint="eastAsia" w:cs="Calibri"/>
                <w:sz w:val="21"/>
                <w:szCs w:val="21"/>
              </w:rPr>
              <w:t>至少开展</w:t>
            </w:r>
            <w:r>
              <w:rPr>
                <w:rFonts w:hint="eastAsia" w:eastAsia="宋体" w:cs="Calibri"/>
                <w:sz w:val="21"/>
                <w:szCs w:val="21"/>
              </w:rPr>
              <w:t>1次清洁作业</w:t>
            </w:r>
            <w:r>
              <w:rPr>
                <w:rFonts w:hint="eastAsia" w:ascii="Calibri" w:hAnsi="Calibri"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（3）</w:t>
            </w:r>
            <w:r>
              <w:rPr>
                <w:rFonts w:hint="eastAsia" w:ascii="Calibri" w:hAnsi="Calibri" w:eastAsia="宋体" w:cs="Calibri"/>
                <w:sz w:val="21"/>
                <w:szCs w:val="21"/>
              </w:rPr>
              <w:t>楼梯及楼梯间保持干净、无异味、无杂物、无积水</w:t>
            </w:r>
            <w:r>
              <w:rPr>
                <w:rFonts w:hint="eastAsia" w:eastAsia="宋体" w:cs="Calibri"/>
                <w:sz w:val="21"/>
                <w:szCs w:val="21"/>
              </w:rPr>
              <w:t>，每日</w:t>
            </w:r>
            <w:r>
              <w:rPr>
                <w:rFonts w:hint="eastAsia" w:cs="Calibri"/>
                <w:sz w:val="21"/>
                <w:szCs w:val="21"/>
              </w:rPr>
              <w:t>至少开展</w:t>
            </w:r>
            <w:r>
              <w:rPr>
                <w:rFonts w:hint="eastAsia" w:eastAsia="宋体" w:cs="Calibri"/>
                <w:sz w:val="21"/>
                <w:szCs w:val="21"/>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（4）</w:t>
            </w:r>
            <w:r>
              <w:rPr>
                <w:rFonts w:hint="eastAsia" w:ascii="Calibri" w:hAnsi="Calibri" w:eastAsia="宋体" w:cs="Calibri"/>
                <w:sz w:val="21"/>
                <w:szCs w:val="21"/>
              </w:rPr>
              <w:t>开水间保持干净、无异味、无杂物、无积水</w:t>
            </w:r>
            <w:r>
              <w:rPr>
                <w:rFonts w:hint="eastAsia" w:eastAsia="宋体" w:cs="Calibri"/>
                <w:sz w:val="21"/>
                <w:szCs w:val="21"/>
              </w:rPr>
              <w:t>，每日</w:t>
            </w:r>
            <w:r>
              <w:rPr>
                <w:rFonts w:hint="eastAsia" w:cs="Calibri"/>
                <w:sz w:val="21"/>
                <w:szCs w:val="21"/>
              </w:rPr>
              <w:t>至少开展</w:t>
            </w:r>
            <w:r>
              <w:rPr>
                <w:rFonts w:hint="eastAsia" w:eastAsia="宋体" w:cs="Calibri"/>
                <w:sz w:val="21"/>
                <w:szCs w:val="21"/>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（5）</w:t>
            </w:r>
            <w:r>
              <w:rPr>
                <w:rFonts w:hint="eastAsia" w:ascii="Calibri" w:hAnsi="Calibri" w:eastAsia="宋体" w:cs="Calibri"/>
                <w:sz w:val="21"/>
                <w:szCs w:val="21"/>
              </w:rPr>
              <w:t>作业工具间</w:t>
            </w:r>
            <w:r>
              <w:rPr>
                <w:rFonts w:hint="eastAsia" w:eastAsia="宋体" w:cs="Calibri"/>
                <w:sz w:val="21"/>
                <w:szCs w:val="21"/>
              </w:rPr>
              <w:t>：</w:t>
            </w:r>
          </w:p>
          <w:p>
            <w:pPr>
              <w:snapToGrid w:val="0"/>
              <w:spacing w:line="300" w:lineRule="auto"/>
              <w:ind w:firstLine="420" w:firstLineChars="200"/>
              <w:rPr>
                <w:rFonts w:cs="Calibri"/>
                <w:sz w:val="21"/>
                <w:szCs w:val="21"/>
              </w:rPr>
            </w:pPr>
            <w:r>
              <w:rPr>
                <w:rFonts w:hint="eastAsia" w:cs="Calibri"/>
                <w:sz w:val="21"/>
                <w:szCs w:val="21"/>
              </w:rPr>
              <w:t>①</w:t>
            </w:r>
            <w:r>
              <w:rPr>
                <w:rFonts w:hint="eastAsia" w:ascii="Calibri" w:hAnsi="Calibri" w:eastAsia="宋体" w:cs="Calibri"/>
                <w:sz w:val="21"/>
                <w:szCs w:val="21"/>
              </w:rPr>
              <w:t>保持干净，无异味、无杂物、无积水</w:t>
            </w:r>
            <w:r>
              <w:rPr>
                <w:rFonts w:hint="eastAsia" w:eastAsia="宋体" w:cs="Calibri"/>
                <w:sz w:val="21"/>
                <w:szCs w:val="21"/>
              </w:rPr>
              <w:t>，每日</w:t>
            </w:r>
            <w:r>
              <w:rPr>
                <w:rFonts w:hint="eastAsia" w:cs="Calibri"/>
                <w:sz w:val="21"/>
                <w:szCs w:val="21"/>
              </w:rPr>
              <w:t>至少开展</w:t>
            </w:r>
            <w:r>
              <w:rPr>
                <w:rFonts w:hint="eastAsia" w:eastAsia="宋体" w:cs="Calibri"/>
                <w:sz w:val="21"/>
                <w:szCs w:val="21"/>
              </w:rPr>
              <w:t>1次清洁作业。</w:t>
            </w:r>
          </w:p>
          <w:p>
            <w:pPr>
              <w:snapToGrid w:val="0"/>
              <w:spacing w:line="300" w:lineRule="auto"/>
              <w:ind w:firstLine="420" w:firstLineChars="200"/>
              <w:rPr>
                <w:rFonts w:cs="Calibri"/>
                <w:sz w:val="21"/>
                <w:szCs w:val="21"/>
              </w:rPr>
            </w:pPr>
            <w:r>
              <w:rPr>
                <w:rFonts w:hint="eastAsia" w:ascii="Calibri" w:hAnsi="Calibri" w:eastAsia="宋体" w:cs="Calibri"/>
                <w:sz w:val="21"/>
                <w:szCs w:val="21"/>
              </w:rPr>
              <w:t>②作业工具摆放整齐有序，表面干净无渍</w:t>
            </w:r>
            <w:r>
              <w:rPr>
                <w:rFonts w:hint="eastAsia" w:cs="Calibri"/>
                <w:sz w:val="21"/>
                <w:szCs w:val="21"/>
              </w:rPr>
              <w:t>，每日消毒</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（6）</w:t>
            </w:r>
            <w:r>
              <w:rPr>
                <w:rFonts w:hint="eastAsia" w:ascii="Calibri" w:hAnsi="Calibri" w:eastAsia="宋体" w:cs="Calibri"/>
                <w:sz w:val="21"/>
                <w:szCs w:val="21"/>
              </w:rPr>
              <w:t>公共卫生间</w:t>
            </w:r>
            <w:r>
              <w:rPr>
                <w:rFonts w:hint="eastAsia" w:eastAsia="宋体" w:cs="Calibri"/>
                <w:sz w:val="21"/>
                <w:szCs w:val="21"/>
              </w:rPr>
              <w:t>：</w:t>
            </w:r>
          </w:p>
          <w:p>
            <w:pPr>
              <w:snapToGrid w:val="0"/>
              <w:spacing w:line="300" w:lineRule="auto"/>
              <w:ind w:firstLine="420" w:firstLineChars="200"/>
              <w:rPr>
                <w:rFonts w:cs="Calibri"/>
                <w:sz w:val="21"/>
                <w:szCs w:val="21"/>
              </w:rPr>
            </w:pPr>
            <w:r>
              <w:rPr>
                <w:rFonts w:hint="eastAsia" w:cs="Calibri"/>
                <w:sz w:val="21"/>
                <w:szCs w:val="21"/>
              </w:rPr>
              <w:t>①</w:t>
            </w:r>
            <w:r>
              <w:rPr>
                <w:rFonts w:hint="eastAsia" w:ascii="Calibri" w:hAnsi="Calibri" w:eastAsia="宋体" w:cs="Calibri"/>
                <w:sz w:val="21"/>
                <w:szCs w:val="21"/>
              </w:rPr>
              <w:t>保持干净，无异味，垃圾无溢出</w:t>
            </w:r>
            <w:r>
              <w:rPr>
                <w:rFonts w:hint="eastAsia" w:eastAsia="宋体" w:cs="Calibri"/>
                <w:sz w:val="21"/>
                <w:szCs w:val="21"/>
              </w:rPr>
              <w:t>，每日</w:t>
            </w:r>
            <w:r>
              <w:rPr>
                <w:rFonts w:hint="eastAsia" w:cs="Calibri"/>
                <w:sz w:val="21"/>
                <w:szCs w:val="21"/>
              </w:rPr>
              <w:t>至少开展</w:t>
            </w:r>
            <w:r>
              <w:rPr>
                <w:rFonts w:hint="eastAsia" w:eastAsia="宋体" w:cs="Calibri"/>
                <w:sz w:val="21"/>
                <w:szCs w:val="21"/>
              </w:rPr>
              <w:t>1次清洁作业。</w:t>
            </w:r>
          </w:p>
          <w:p>
            <w:pPr>
              <w:snapToGrid w:val="0"/>
              <w:spacing w:line="300" w:lineRule="auto"/>
              <w:ind w:firstLine="420" w:firstLineChars="200"/>
              <w:rPr>
                <w:rFonts w:cs="Calibri"/>
                <w:sz w:val="21"/>
                <w:szCs w:val="21"/>
              </w:rPr>
            </w:pPr>
            <w:r>
              <w:rPr>
                <w:rFonts w:hint="eastAsia" w:ascii="Calibri" w:hAnsi="Calibri" w:eastAsia="宋体" w:cs="Calibri"/>
                <w:sz w:val="21"/>
                <w:szCs w:val="21"/>
              </w:rPr>
              <w:t>②</w:t>
            </w:r>
            <w:r>
              <w:rPr>
                <w:rFonts w:hint="eastAsia" w:cs="Calibri"/>
                <w:sz w:val="21"/>
                <w:szCs w:val="21"/>
              </w:rPr>
              <w:t>及时补充</w:t>
            </w:r>
            <w:r>
              <w:rPr>
                <w:rFonts w:hint="eastAsia" w:ascii="Calibri" w:hAnsi="Calibri" w:eastAsia="宋体" w:cs="Calibri"/>
                <w:sz w:val="21"/>
                <w:szCs w:val="21"/>
              </w:rPr>
              <w:t>厕纸等必要用品</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w:t>
            </w:r>
            <w:r>
              <w:rPr>
                <w:rFonts w:cs="Calibri"/>
                <w:sz w:val="21"/>
                <w:szCs w:val="21"/>
              </w:rPr>
              <w:t>7</w:t>
            </w:r>
            <w:r>
              <w:rPr>
                <w:rFonts w:hint="eastAsia" w:cs="Calibri"/>
                <w:sz w:val="21"/>
                <w:szCs w:val="21"/>
              </w:rPr>
              <w:t>）</w:t>
            </w:r>
            <w:r>
              <w:rPr>
                <w:rFonts w:hint="eastAsia" w:ascii="Calibri" w:hAnsi="Calibri" w:eastAsia="宋体" w:cs="Calibri"/>
                <w:sz w:val="21"/>
                <w:szCs w:val="21"/>
              </w:rPr>
              <w:t>平台、屋顶</w:t>
            </w:r>
            <w:r>
              <w:rPr>
                <w:rFonts w:hint="eastAsia" w:eastAsia="宋体" w:cs="Calibri"/>
                <w:sz w:val="21"/>
                <w:szCs w:val="21"/>
              </w:rPr>
              <w:t>、天沟</w:t>
            </w:r>
            <w:r>
              <w:rPr>
                <w:rFonts w:hint="eastAsia" w:ascii="Calibri" w:hAnsi="Calibri" w:eastAsia="宋体" w:cs="Calibri"/>
                <w:sz w:val="21"/>
                <w:szCs w:val="21"/>
              </w:rPr>
              <w:t>保持干净，有杂物及时清扫</w:t>
            </w:r>
            <w:r>
              <w:rPr>
                <w:rFonts w:hint="eastAsia" w:eastAsia="宋体" w:cs="Calibri"/>
                <w:sz w:val="21"/>
                <w:szCs w:val="21"/>
              </w:rPr>
              <w:t>，每月</w:t>
            </w:r>
            <w:r>
              <w:rPr>
                <w:rFonts w:hint="eastAsia" w:cs="Calibri"/>
                <w:sz w:val="21"/>
                <w:szCs w:val="21"/>
              </w:rPr>
              <w:t>至少开展</w:t>
            </w:r>
            <w:r>
              <w:rPr>
                <w:rFonts w:hint="eastAsia" w:eastAsia="宋体" w:cs="Calibri"/>
                <w:sz w:val="21"/>
                <w:szCs w:val="21"/>
              </w:rPr>
              <w:t>1次清洁作业</w:t>
            </w:r>
            <w:r>
              <w:rPr>
                <w:rFonts w:hint="eastAsia" w:ascii="Calibri" w:hAnsi="Calibri"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restart"/>
            <w:tcBorders>
              <w:tl2br w:val="nil"/>
              <w:tr2bl w:val="nil"/>
            </w:tcBorders>
            <w:vAlign w:val="center"/>
          </w:tcPr>
          <w:p>
            <w:pPr>
              <w:snapToGrid w:val="0"/>
              <w:spacing w:line="300" w:lineRule="auto"/>
              <w:jc w:val="center"/>
              <w:rPr>
                <w:sz w:val="21"/>
                <w:szCs w:val="21"/>
              </w:rPr>
            </w:pPr>
            <w:r>
              <w:rPr>
                <w:rFonts w:hint="eastAsia"/>
                <w:sz w:val="21"/>
                <w:szCs w:val="21"/>
              </w:rPr>
              <w:t>3</w:t>
            </w:r>
          </w:p>
        </w:tc>
        <w:tc>
          <w:tcPr>
            <w:tcW w:w="1973" w:type="dxa"/>
            <w:vMerge w:val="restart"/>
            <w:tcBorders>
              <w:tl2br w:val="nil"/>
              <w:tr2bl w:val="nil"/>
            </w:tcBorders>
            <w:vAlign w:val="center"/>
          </w:tcPr>
          <w:p>
            <w:pPr>
              <w:snapToGrid w:val="0"/>
              <w:spacing w:line="300" w:lineRule="auto"/>
              <w:rPr>
                <w:sz w:val="21"/>
                <w:szCs w:val="21"/>
              </w:rPr>
            </w:pPr>
            <w:r>
              <w:rPr>
                <w:sz w:val="21"/>
                <w:szCs w:val="21"/>
              </w:rPr>
              <w:t>公共场地区域保洁</w:t>
            </w:r>
          </w:p>
        </w:tc>
        <w:tc>
          <w:tcPr>
            <w:tcW w:w="5839" w:type="dxa"/>
            <w:tcBorders>
              <w:tl2br w:val="nil"/>
              <w:tr2bl w:val="nil"/>
            </w:tcBorders>
            <w:vAlign w:val="center"/>
          </w:tcPr>
          <w:p>
            <w:pPr>
              <w:snapToGrid w:val="0"/>
              <w:spacing w:line="300" w:lineRule="auto"/>
              <w:ind w:firstLine="420" w:firstLineChars="200"/>
              <w:rPr>
                <w:sz w:val="21"/>
                <w:szCs w:val="21"/>
              </w:rPr>
            </w:pPr>
            <w:r>
              <w:rPr>
                <w:rFonts w:hint="eastAsia" w:cs="Calibri"/>
                <w:sz w:val="21"/>
                <w:szCs w:val="21"/>
              </w:rPr>
              <w:t>（1）</w:t>
            </w:r>
            <w:r>
              <w:rPr>
                <w:rFonts w:hint="eastAsia" w:ascii="Calibri" w:hAnsi="Calibri" w:eastAsia="宋体" w:cs="Calibri"/>
                <w:sz w:val="21"/>
                <w:szCs w:val="21"/>
              </w:rPr>
              <w:t>每日清扫道路地面、停车场等公共区域</w:t>
            </w:r>
            <w:r>
              <w:rPr>
                <w:rFonts w:hint="eastAsia" w:eastAsia="宋体" w:cs="Calibri"/>
                <w:sz w:val="21"/>
                <w:szCs w:val="21"/>
              </w:rPr>
              <w:t>2次</w:t>
            </w:r>
            <w:r>
              <w:rPr>
                <w:rFonts w:hint="eastAsia" w:ascii="Calibri" w:hAnsi="Calibri" w:eastAsia="宋体" w:cs="Calibri"/>
                <w:sz w:val="21"/>
                <w:szCs w:val="21"/>
              </w:rPr>
              <w:t>，保持干净、无杂物、无积水</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sz w:val="21"/>
                <w:szCs w:val="21"/>
              </w:rPr>
            </w:pPr>
            <w:r>
              <w:rPr>
                <w:rFonts w:hint="eastAsia" w:cs="Calibri"/>
                <w:sz w:val="21"/>
                <w:szCs w:val="21"/>
              </w:rPr>
              <w:t>（2）</w:t>
            </w:r>
            <w:r>
              <w:rPr>
                <w:rFonts w:hint="eastAsia" w:ascii="Calibri" w:hAnsi="Calibri" w:eastAsia="宋体" w:cs="Calibri"/>
                <w:sz w:val="21"/>
                <w:szCs w:val="21"/>
              </w:rPr>
              <w:t>雪、冰冻等恶劣天气时及时清扫积水、积雪，并采取安全防护措施</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sz w:val="21"/>
                <w:szCs w:val="21"/>
              </w:rPr>
            </w:pPr>
            <w:r>
              <w:rPr>
                <w:rFonts w:hint="eastAsia" w:cs="Calibri"/>
                <w:sz w:val="21"/>
                <w:szCs w:val="21"/>
              </w:rPr>
              <w:t>（3）</w:t>
            </w:r>
            <w:r>
              <w:rPr>
                <w:rFonts w:hint="eastAsia" w:ascii="Calibri" w:hAnsi="Calibri" w:eastAsia="宋体" w:cs="Calibri"/>
                <w:sz w:val="21"/>
                <w:szCs w:val="21"/>
              </w:rPr>
              <w:t>各种路标、宣传栏等保持干净</w:t>
            </w:r>
            <w:r>
              <w:rPr>
                <w:rFonts w:hint="eastAsia" w:eastAsia="宋体" w:cs="Calibri"/>
                <w:sz w:val="21"/>
                <w:szCs w:val="21"/>
              </w:rPr>
              <w:t>，每月</w:t>
            </w:r>
            <w:r>
              <w:rPr>
                <w:rFonts w:hint="eastAsia" w:cs="Calibri"/>
                <w:sz w:val="21"/>
                <w:szCs w:val="21"/>
              </w:rPr>
              <w:t>至少开展</w:t>
            </w:r>
            <w:r>
              <w:rPr>
                <w:rFonts w:hint="eastAsia" w:eastAsia="宋体" w:cs="Calibri"/>
                <w:sz w:val="21"/>
                <w:szCs w:val="21"/>
              </w:rPr>
              <w:t>1次清洁作业</w:t>
            </w:r>
            <w:r>
              <w:rPr>
                <w:rFonts w:hint="eastAsia" w:ascii="Calibri" w:hAnsi="Calibri"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sz w:val="21"/>
                <w:szCs w:val="21"/>
              </w:rPr>
            </w:pPr>
            <w:r>
              <w:rPr>
                <w:rFonts w:hint="eastAsia" w:cs="Calibri"/>
                <w:sz w:val="21"/>
                <w:szCs w:val="21"/>
              </w:rPr>
              <w:t>（4）</w:t>
            </w:r>
            <w:r>
              <w:rPr>
                <w:rFonts w:hint="eastAsia" w:ascii="Calibri" w:hAnsi="Calibri" w:eastAsia="宋体" w:cs="Calibri"/>
                <w:sz w:val="21"/>
                <w:szCs w:val="21"/>
              </w:rPr>
              <w:t>清洁室外照明设备</w:t>
            </w:r>
            <w:r>
              <w:rPr>
                <w:rFonts w:hint="eastAsia" w:eastAsia="宋体" w:cs="Calibri"/>
                <w:sz w:val="21"/>
                <w:szCs w:val="21"/>
              </w:rPr>
              <w:t>，每月</w:t>
            </w:r>
            <w:r>
              <w:rPr>
                <w:rFonts w:hint="eastAsia" w:cs="Calibri"/>
                <w:sz w:val="21"/>
                <w:szCs w:val="21"/>
              </w:rPr>
              <w:t>至少开展</w:t>
            </w:r>
            <w:r>
              <w:rPr>
                <w:rFonts w:hint="eastAsia" w:eastAsia="宋体" w:cs="Calibri"/>
                <w:sz w:val="21"/>
                <w:szCs w:val="21"/>
              </w:rPr>
              <w:t>1次清洁作业</w:t>
            </w:r>
            <w:r>
              <w:rPr>
                <w:rFonts w:hint="eastAsia" w:ascii="Calibri" w:hAnsi="Calibri"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sz w:val="21"/>
                <w:szCs w:val="21"/>
              </w:rPr>
            </w:pPr>
            <w:r>
              <w:rPr>
                <w:rFonts w:hint="eastAsia" w:cs="Calibri"/>
                <w:sz w:val="21"/>
                <w:szCs w:val="21"/>
              </w:rPr>
              <w:t>（5）</w:t>
            </w:r>
            <w:r>
              <w:rPr>
                <w:rFonts w:hint="eastAsia" w:ascii="Calibri" w:hAnsi="Calibri" w:eastAsia="宋体" w:cs="Calibri"/>
                <w:sz w:val="21"/>
                <w:szCs w:val="21"/>
              </w:rPr>
              <w:t>绿地内无杂物、无改变用途和破坏、践踏、占用现象</w:t>
            </w:r>
            <w:r>
              <w:rPr>
                <w:rFonts w:hint="eastAsia" w:eastAsia="宋体" w:cs="Calibri"/>
                <w:sz w:val="21"/>
                <w:szCs w:val="21"/>
              </w:rPr>
              <w:t>，每天</w:t>
            </w:r>
            <w:r>
              <w:rPr>
                <w:rFonts w:hint="eastAsia" w:cs="Calibri"/>
                <w:sz w:val="21"/>
                <w:szCs w:val="21"/>
              </w:rPr>
              <w:t>至少开展</w:t>
            </w:r>
            <w:r>
              <w:rPr>
                <w:rFonts w:hint="eastAsia" w:eastAsia="宋体" w:cs="Calibri"/>
                <w:sz w:val="21"/>
                <w:szCs w:val="21"/>
              </w:rPr>
              <w:t>1次巡查。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restart"/>
            <w:tcBorders>
              <w:tl2br w:val="nil"/>
              <w:tr2bl w:val="nil"/>
            </w:tcBorders>
            <w:vAlign w:val="center"/>
          </w:tcPr>
          <w:p>
            <w:pPr>
              <w:snapToGrid w:val="0"/>
              <w:spacing w:line="300" w:lineRule="auto"/>
              <w:jc w:val="center"/>
              <w:rPr>
                <w:sz w:val="21"/>
                <w:szCs w:val="21"/>
              </w:rPr>
            </w:pPr>
            <w:r>
              <w:rPr>
                <w:rFonts w:hint="eastAsia"/>
                <w:sz w:val="21"/>
                <w:szCs w:val="21"/>
              </w:rPr>
              <w:t>4</w:t>
            </w:r>
          </w:p>
        </w:tc>
        <w:tc>
          <w:tcPr>
            <w:tcW w:w="1973" w:type="dxa"/>
            <w:vMerge w:val="restart"/>
            <w:tcBorders>
              <w:tl2br w:val="nil"/>
              <w:tr2bl w:val="nil"/>
            </w:tcBorders>
            <w:vAlign w:val="center"/>
          </w:tcPr>
          <w:p>
            <w:pPr>
              <w:snapToGrid w:val="0"/>
              <w:spacing w:line="300" w:lineRule="auto"/>
              <w:rPr>
                <w:sz w:val="21"/>
                <w:szCs w:val="21"/>
              </w:rPr>
            </w:pPr>
            <w:r>
              <w:rPr>
                <w:sz w:val="21"/>
                <w:szCs w:val="21"/>
              </w:rPr>
              <w:t>垃圾处理</w:t>
            </w: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（1）</w:t>
            </w:r>
            <w:r>
              <w:rPr>
                <w:rFonts w:hint="eastAsia" w:ascii="Calibri" w:hAnsi="Calibri" w:eastAsia="宋体" w:cs="Calibri"/>
                <w:sz w:val="21"/>
                <w:szCs w:val="21"/>
              </w:rPr>
              <w:t>在指定位置摆放分类垃圾桶，并在显著处张贴垃圾分类标识。分类垃圾桶和垃圾分类标识根据所在城市的要求设置</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（2）</w:t>
            </w:r>
            <w:r>
              <w:rPr>
                <w:rFonts w:hint="eastAsia" w:ascii="Calibri" w:hAnsi="Calibri" w:eastAsia="宋体" w:cs="Calibri"/>
                <w:sz w:val="21"/>
                <w:szCs w:val="21"/>
              </w:rPr>
              <w:t>桶身表面干净无污渍</w:t>
            </w:r>
            <w:r>
              <w:rPr>
                <w:rFonts w:hint="eastAsia" w:eastAsia="宋体" w:cs="Calibri"/>
                <w:sz w:val="21"/>
                <w:szCs w:val="21"/>
              </w:rPr>
              <w:t>，每日</w:t>
            </w:r>
            <w:r>
              <w:rPr>
                <w:rFonts w:hint="eastAsia" w:cs="Calibri"/>
                <w:sz w:val="21"/>
                <w:szCs w:val="21"/>
              </w:rPr>
              <w:t>开展至少</w:t>
            </w:r>
            <w:r>
              <w:rPr>
                <w:rFonts w:hint="eastAsia" w:eastAsia="宋体" w:cs="Calibri"/>
                <w:sz w:val="21"/>
                <w:szCs w:val="21"/>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w:t>
            </w:r>
            <w:r>
              <w:rPr>
                <w:rFonts w:cs="Calibri"/>
                <w:sz w:val="21"/>
                <w:szCs w:val="21"/>
              </w:rPr>
              <w:t>3</w:t>
            </w:r>
            <w:r>
              <w:rPr>
                <w:rFonts w:hint="eastAsia" w:cs="Calibri"/>
                <w:sz w:val="21"/>
                <w:szCs w:val="21"/>
              </w:rPr>
              <w:t>）</w:t>
            </w:r>
            <w:r>
              <w:rPr>
                <w:rFonts w:hint="eastAsia" w:ascii="Calibri" w:hAnsi="Calibri" w:eastAsia="宋体" w:cs="Calibri"/>
                <w:sz w:val="21"/>
                <w:szCs w:val="21"/>
              </w:rPr>
              <w:t>化粪池清掏，无明显异味</w:t>
            </w:r>
            <w:r>
              <w:rPr>
                <w:rFonts w:hint="eastAsia" w:eastAsia="宋体" w:cs="Calibri"/>
                <w:sz w:val="21"/>
                <w:szCs w:val="21"/>
              </w:rPr>
              <w:t>，每半年</w:t>
            </w:r>
            <w:r>
              <w:rPr>
                <w:rFonts w:hint="eastAsia" w:cs="Calibri"/>
                <w:sz w:val="21"/>
                <w:szCs w:val="21"/>
              </w:rPr>
              <w:t>至少开展</w:t>
            </w:r>
            <w:r>
              <w:rPr>
                <w:rFonts w:hint="eastAsia" w:eastAsia="宋体" w:cs="Calibri"/>
                <w:sz w:val="21"/>
                <w:szCs w:val="21"/>
              </w:rPr>
              <w:t>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w:t>
            </w:r>
            <w:r>
              <w:rPr>
                <w:rFonts w:cs="Calibri"/>
                <w:sz w:val="21"/>
                <w:szCs w:val="21"/>
              </w:rPr>
              <w:t>4</w:t>
            </w:r>
            <w:r>
              <w:rPr>
                <w:rFonts w:hint="eastAsia" w:cs="Calibri"/>
                <w:sz w:val="21"/>
                <w:szCs w:val="21"/>
              </w:rPr>
              <w:t>）</w:t>
            </w:r>
            <w:r>
              <w:rPr>
                <w:rFonts w:hint="eastAsia" w:ascii="Calibri" w:hAnsi="Calibri" w:eastAsia="宋体" w:cs="Calibri"/>
                <w:sz w:val="21"/>
                <w:szCs w:val="21"/>
              </w:rPr>
              <w:t>每个工作日内要对楼层产生的垃圾，进行清理分类，并运至垃圾集中堆放点</w:t>
            </w:r>
            <w:r>
              <w:rPr>
                <w:rFonts w:hint="eastAsia"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w:t>
            </w:r>
            <w:r>
              <w:rPr>
                <w:rFonts w:cs="Calibri"/>
                <w:sz w:val="21"/>
                <w:szCs w:val="21"/>
              </w:rPr>
              <w:t>5</w:t>
            </w:r>
            <w:r>
              <w:rPr>
                <w:rFonts w:hint="eastAsia" w:cs="Calibri"/>
                <w:sz w:val="21"/>
                <w:szCs w:val="21"/>
              </w:rPr>
              <w:t>）</w:t>
            </w:r>
            <w:r>
              <w:rPr>
                <w:rFonts w:hint="eastAsia" w:ascii="Calibri" w:hAnsi="Calibri" w:eastAsia="宋体" w:cs="Calibri"/>
                <w:sz w:val="21"/>
                <w:szCs w:val="21"/>
              </w:rPr>
              <w:t>垃圾装袋，日产日清</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w:t>
            </w:r>
            <w:r>
              <w:rPr>
                <w:rFonts w:cs="Calibri"/>
                <w:sz w:val="21"/>
                <w:szCs w:val="21"/>
              </w:rPr>
              <w:t>6</w:t>
            </w:r>
            <w:r>
              <w:rPr>
                <w:rFonts w:hint="eastAsia" w:cs="Calibri"/>
                <w:sz w:val="21"/>
                <w:szCs w:val="21"/>
              </w:rPr>
              <w:t>）配合第三方垃圾清运公司完成垃圾清运，</w:t>
            </w:r>
            <w:r>
              <w:rPr>
                <w:rFonts w:hint="eastAsia" w:ascii="Calibri" w:hAnsi="Calibri" w:eastAsia="宋体" w:cs="Calibri"/>
                <w:sz w:val="21"/>
                <w:szCs w:val="21"/>
              </w:rPr>
              <w:t>建立垃圾清运台账，交由规范的渠道回收处理</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w:t>
            </w:r>
            <w:r>
              <w:rPr>
                <w:rFonts w:cs="Calibri"/>
                <w:sz w:val="21"/>
                <w:szCs w:val="21"/>
              </w:rPr>
              <w:t>7</w:t>
            </w:r>
            <w:r>
              <w:rPr>
                <w:rFonts w:hint="eastAsia" w:cs="Calibri"/>
                <w:sz w:val="21"/>
                <w:szCs w:val="21"/>
              </w:rPr>
              <w:t>）</w:t>
            </w:r>
            <w:r>
              <w:rPr>
                <w:rFonts w:ascii="Calibri" w:hAnsi="Calibri" w:eastAsia="宋体" w:cs="Calibri"/>
                <w:sz w:val="21"/>
                <w:szCs w:val="21"/>
              </w:rPr>
              <w:t>做好垃圾分类管理的宣传工作，督促并引导全员参与垃圾分类投放</w:t>
            </w:r>
            <w:r>
              <w:rPr>
                <w:rFonts w:hint="eastAsia"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w:t>
            </w:r>
            <w:r>
              <w:rPr>
                <w:rFonts w:cs="Calibri"/>
                <w:sz w:val="21"/>
                <w:szCs w:val="21"/>
              </w:rPr>
              <w:t>8</w:t>
            </w:r>
            <w:r>
              <w:rPr>
                <w:rFonts w:hint="eastAsia" w:cs="Calibri"/>
                <w:sz w:val="21"/>
                <w:szCs w:val="21"/>
              </w:rPr>
              <w:t>）</w:t>
            </w:r>
            <w:r>
              <w:rPr>
                <w:rFonts w:hint="eastAsia" w:ascii="Calibri" w:hAnsi="Calibri" w:eastAsia="宋体" w:cs="Calibri"/>
                <w:sz w:val="21"/>
                <w:szCs w:val="21"/>
              </w:rPr>
              <w:t>垃圾分类投放管理工作的执行标准，按所在城市的要求执行。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13" w:type="dxa"/>
            <w:vMerge w:val="restart"/>
            <w:tcBorders>
              <w:tl2br w:val="nil"/>
              <w:tr2bl w:val="nil"/>
            </w:tcBorders>
            <w:vAlign w:val="center"/>
          </w:tcPr>
          <w:p>
            <w:pPr>
              <w:snapToGrid w:val="0"/>
              <w:spacing w:line="300" w:lineRule="auto"/>
              <w:jc w:val="center"/>
              <w:rPr>
                <w:sz w:val="21"/>
                <w:szCs w:val="21"/>
              </w:rPr>
            </w:pPr>
            <w:r>
              <w:rPr>
                <w:rFonts w:hint="eastAsia"/>
                <w:sz w:val="21"/>
                <w:szCs w:val="21"/>
              </w:rPr>
              <w:t>5</w:t>
            </w:r>
          </w:p>
        </w:tc>
        <w:tc>
          <w:tcPr>
            <w:tcW w:w="1973" w:type="dxa"/>
            <w:vMerge w:val="restart"/>
            <w:tcBorders>
              <w:tl2br w:val="nil"/>
              <w:tr2bl w:val="nil"/>
            </w:tcBorders>
            <w:vAlign w:val="center"/>
          </w:tcPr>
          <w:p>
            <w:pPr>
              <w:snapToGrid w:val="0"/>
              <w:spacing w:line="300" w:lineRule="auto"/>
              <w:rPr>
                <w:sz w:val="21"/>
                <w:szCs w:val="21"/>
              </w:rPr>
            </w:pPr>
            <w:r>
              <w:rPr>
                <w:sz w:val="21"/>
                <w:szCs w:val="21"/>
              </w:rPr>
              <w:t>卫生消毒</w:t>
            </w: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（1）</w:t>
            </w:r>
            <w:r>
              <w:rPr>
                <w:rFonts w:hint="eastAsia" w:ascii="Calibri" w:hAnsi="Calibri" w:eastAsia="宋体" w:cs="Calibri"/>
                <w:sz w:val="21"/>
                <w:szCs w:val="21"/>
              </w:rPr>
              <w:t>办公用房区域、公共场所区域和周围环境预防性卫生消毒</w:t>
            </w:r>
            <w:r>
              <w:rPr>
                <w:rFonts w:hint="eastAsia" w:eastAsia="宋体" w:cs="Calibri"/>
                <w:sz w:val="21"/>
                <w:szCs w:val="21"/>
              </w:rPr>
              <w:t>，</w:t>
            </w:r>
            <w:r>
              <w:rPr>
                <w:rFonts w:hint="eastAsia" w:ascii="Calibri" w:hAnsi="Calibri" w:eastAsia="宋体" w:cs="Calibri"/>
                <w:sz w:val="21"/>
                <w:szCs w:val="21"/>
              </w:rPr>
              <w:t>消毒后及时通风</w:t>
            </w:r>
            <w:r>
              <w:rPr>
                <w:rFonts w:hint="eastAsia" w:eastAsia="宋体" w:cs="Calibri"/>
                <w:sz w:val="21"/>
                <w:szCs w:val="21"/>
              </w:rPr>
              <w:t>，每周</w:t>
            </w:r>
            <w:r>
              <w:rPr>
                <w:rFonts w:hint="eastAsia" w:cs="Calibri"/>
                <w:sz w:val="21"/>
                <w:szCs w:val="21"/>
              </w:rPr>
              <w:t>至少开展</w:t>
            </w:r>
            <w:r>
              <w:rPr>
                <w:rFonts w:hint="eastAsia" w:eastAsia="宋体" w:cs="Calibri"/>
                <w:sz w:val="21"/>
                <w:szCs w:val="21"/>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13" w:type="dxa"/>
            <w:vMerge w:val="continue"/>
            <w:tcBorders>
              <w:tl2br w:val="nil"/>
              <w:tr2bl w:val="nil"/>
            </w:tcBorders>
            <w:vAlign w:val="center"/>
          </w:tcPr>
          <w:p>
            <w:pPr>
              <w:rPr>
                <w:sz w:val="21"/>
                <w:szCs w:val="21"/>
              </w:rPr>
            </w:pPr>
          </w:p>
        </w:tc>
        <w:tc>
          <w:tcPr>
            <w:tcW w:w="1973" w:type="dxa"/>
            <w:vMerge w:val="continue"/>
            <w:tcBorders>
              <w:tl2br w:val="nil"/>
              <w:tr2bl w:val="nil"/>
            </w:tcBorders>
            <w:vAlign w:val="center"/>
          </w:tcPr>
          <w:p>
            <w:pPr>
              <w:rPr>
                <w:sz w:val="21"/>
                <w:szCs w:val="21"/>
              </w:rPr>
            </w:pPr>
          </w:p>
        </w:tc>
        <w:tc>
          <w:tcPr>
            <w:tcW w:w="5839" w:type="dxa"/>
            <w:tcBorders>
              <w:tl2br w:val="nil"/>
              <w:tr2bl w:val="nil"/>
            </w:tcBorders>
            <w:vAlign w:val="center"/>
          </w:tcPr>
          <w:p>
            <w:pPr>
              <w:snapToGrid w:val="0"/>
              <w:spacing w:line="300" w:lineRule="auto"/>
              <w:ind w:firstLine="420" w:firstLineChars="200"/>
              <w:rPr>
                <w:rFonts w:cs="Calibri"/>
                <w:sz w:val="21"/>
                <w:szCs w:val="21"/>
              </w:rPr>
            </w:pPr>
            <w:r>
              <w:rPr>
                <w:rFonts w:hint="eastAsia" w:cs="Calibri"/>
                <w:sz w:val="21"/>
                <w:szCs w:val="21"/>
              </w:rPr>
              <w:t>（2）</w:t>
            </w:r>
            <w:r>
              <w:rPr>
                <w:rFonts w:hint="eastAsia" w:ascii="Calibri" w:hAnsi="Calibri" w:eastAsia="宋体" w:cs="Calibri"/>
                <w:sz w:val="21"/>
                <w:szCs w:val="21"/>
              </w:rPr>
              <w:t>发生公共卫生事件时，邀请专业单位开展消毒、检测等工作</w:t>
            </w:r>
            <w:r>
              <w:rPr>
                <w:rFonts w:hint="eastAsia" w:eastAsia="宋体" w:cs="Calibri"/>
                <w:sz w:val="21"/>
                <w:szCs w:val="21"/>
              </w:rPr>
              <w:t>。</w:t>
            </w:r>
          </w:p>
        </w:tc>
      </w:tr>
    </w:tbl>
    <w:p>
      <w:pPr>
        <w:pStyle w:val="4"/>
        <w:numPr>
          <w:ilvl w:val="2"/>
          <w:numId w:val="4"/>
        </w:numPr>
        <w:ind w:firstLine="480" w:firstLineChars="200"/>
        <w:rPr>
          <w:rFonts w:ascii="宋体" w:hAnsi="宋体" w:cs="宋体"/>
          <w:szCs w:val="24"/>
        </w:rPr>
      </w:pPr>
      <w:r>
        <w:rPr>
          <w:rFonts w:hint="eastAsia" w:ascii="宋体" w:hAnsi="宋体" w:cs="宋体"/>
          <w:szCs w:val="24"/>
        </w:rPr>
        <w:t>2.3.1具体清洁要求</w:t>
      </w:r>
    </w:p>
    <w:tbl>
      <w:tblPr>
        <w:tblStyle w:val="25"/>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095"/>
        <w:gridCol w:w="6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tcBorders>
              <w:tl2br w:val="nil"/>
              <w:tr2bl w:val="nil"/>
            </w:tcBorders>
            <w:vAlign w:val="center"/>
          </w:tcPr>
          <w:p>
            <w:pPr>
              <w:jc w:val="center"/>
              <w:rPr>
                <w:b/>
                <w:bCs/>
                <w:sz w:val="21"/>
                <w:szCs w:val="21"/>
              </w:rPr>
            </w:pPr>
            <w:r>
              <w:rPr>
                <w:rFonts w:hint="eastAsia"/>
                <w:b/>
                <w:bCs/>
                <w:sz w:val="21"/>
                <w:szCs w:val="21"/>
              </w:rPr>
              <w:t>序号</w:t>
            </w:r>
          </w:p>
        </w:tc>
        <w:tc>
          <w:tcPr>
            <w:tcW w:w="2056" w:type="dxa"/>
            <w:tcBorders>
              <w:tl2br w:val="nil"/>
              <w:tr2bl w:val="nil"/>
            </w:tcBorders>
            <w:vAlign w:val="center"/>
          </w:tcPr>
          <w:p>
            <w:pPr>
              <w:jc w:val="center"/>
              <w:rPr>
                <w:b/>
                <w:bCs/>
                <w:sz w:val="21"/>
                <w:szCs w:val="21"/>
              </w:rPr>
            </w:pPr>
            <w:r>
              <w:rPr>
                <w:rFonts w:hint="eastAsia"/>
                <w:b/>
                <w:bCs/>
                <w:sz w:val="21"/>
                <w:szCs w:val="21"/>
              </w:rPr>
              <w:t>材质</w:t>
            </w:r>
          </w:p>
        </w:tc>
        <w:tc>
          <w:tcPr>
            <w:tcW w:w="6074" w:type="dxa"/>
            <w:tcBorders>
              <w:tl2br w:val="nil"/>
              <w:tr2bl w:val="nil"/>
            </w:tcBorders>
            <w:vAlign w:val="center"/>
          </w:tcPr>
          <w:p>
            <w:pPr>
              <w:jc w:val="center"/>
              <w:rPr>
                <w:b/>
                <w:bCs/>
                <w:sz w:val="21"/>
                <w:szCs w:val="21"/>
              </w:rPr>
            </w:pPr>
            <w:r>
              <w:rPr>
                <w:rFonts w:hint="eastAsia"/>
                <w:b/>
                <w:bCs/>
                <w:sz w:val="21"/>
                <w:szCs w:val="21"/>
              </w:rPr>
              <w:t>清洁要求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Merge w:val="restart"/>
            <w:tcBorders>
              <w:tl2br w:val="nil"/>
              <w:tr2bl w:val="nil"/>
            </w:tcBorders>
            <w:vAlign w:val="center"/>
          </w:tcPr>
          <w:p>
            <w:pPr>
              <w:jc w:val="center"/>
              <w:rPr>
                <w:sz w:val="21"/>
                <w:szCs w:val="21"/>
              </w:rPr>
            </w:pPr>
            <w:r>
              <w:rPr>
                <w:sz w:val="21"/>
                <w:szCs w:val="21"/>
              </w:rPr>
              <w:t>1</w:t>
            </w:r>
          </w:p>
        </w:tc>
        <w:tc>
          <w:tcPr>
            <w:tcW w:w="2056" w:type="dxa"/>
            <w:vMerge w:val="restart"/>
            <w:tcBorders>
              <w:tl2br w:val="nil"/>
              <w:tr2bl w:val="nil"/>
            </w:tcBorders>
            <w:vAlign w:val="center"/>
          </w:tcPr>
          <w:p>
            <w:pPr>
              <w:jc w:val="both"/>
              <w:rPr>
                <w:sz w:val="21"/>
                <w:szCs w:val="21"/>
              </w:rPr>
            </w:pPr>
            <w:r>
              <w:rPr>
                <w:rFonts w:hint="eastAsia" w:eastAsia="宋体"/>
                <w:sz w:val="21"/>
                <w:szCs w:val="21"/>
              </w:rPr>
              <w:t>瓷砖地面</w:t>
            </w:r>
          </w:p>
        </w:tc>
        <w:tc>
          <w:tcPr>
            <w:tcW w:w="6074" w:type="dxa"/>
            <w:tcBorders>
              <w:tl2br w:val="nil"/>
              <w:tr2bl w:val="nil"/>
            </w:tcBorders>
            <w:vAlign w:val="center"/>
          </w:tcPr>
          <w:p>
            <w:pPr>
              <w:ind w:firstLine="210" w:firstLineChars="100"/>
              <w:jc w:val="both"/>
              <w:rPr>
                <w:sz w:val="21"/>
                <w:szCs w:val="21"/>
              </w:rPr>
            </w:pPr>
            <w:r>
              <w:rPr>
                <w:rFonts w:hint="eastAsia" w:cs="Calibri"/>
                <w:sz w:val="21"/>
                <w:szCs w:val="21"/>
              </w:rPr>
              <w:t>（1）</w:t>
            </w:r>
            <w:r>
              <w:rPr>
                <w:rFonts w:hint="eastAsia"/>
                <w:sz w:val="21"/>
                <w:szCs w:val="21"/>
              </w:rPr>
              <w:t>日常清洁：推尘，保持地面干净无杂物。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tcBorders>
              <w:tl2br w:val="nil"/>
              <w:tr2bl w:val="nil"/>
            </w:tcBorders>
            <w:vAlign w:val="center"/>
          </w:tcPr>
          <w:p>
            <w:pPr>
              <w:rPr>
                <w:sz w:val="21"/>
                <w:szCs w:val="21"/>
              </w:rPr>
            </w:pPr>
          </w:p>
        </w:tc>
        <w:tc>
          <w:tcPr>
            <w:tcW w:w="3368" w:type="dxa"/>
            <w:vMerge w:val="continue"/>
            <w:tcBorders>
              <w:tl2br w:val="nil"/>
              <w:tr2bl w:val="nil"/>
            </w:tcBorders>
            <w:vAlign w:val="center"/>
          </w:tcPr>
          <w:p>
            <w:pPr>
              <w:rPr>
                <w:sz w:val="21"/>
                <w:szCs w:val="21"/>
              </w:rPr>
            </w:pPr>
          </w:p>
        </w:tc>
        <w:tc>
          <w:tcPr>
            <w:tcW w:w="6074" w:type="dxa"/>
            <w:tcBorders>
              <w:tl2br w:val="nil"/>
              <w:tr2bl w:val="nil"/>
            </w:tcBorders>
            <w:vAlign w:val="center"/>
          </w:tcPr>
          <w:p>
            <w:pPr>
              <w:ind w:firstLine="210" w:firstLineChars="100"/>
              <w:jc w:val="both"/>
              <w:rPr>
                <w:sz w:val="21"/>
                <w:szCs w:val="21"/>
              </w:rPr>
            </w:pPr>
            <w:r>
              <w:rPr>
                <w:rFonts w:hint="eastAsia" w:cs="Calibri"/>
                <w:sz w:val="21"/>
                <w:szCs w:val="21"/>
              </w:rPr>
              <w:t>（2）</w:t>
            </w:r>
            <w:r>
              <w:rPr>
                <w:rFonts w:hint="eastAsia"/>
                <w:sz w:val="21"/>
                <w:szCs w:val="21"/>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vMerge w:val="restart"/>
            <w:tcBorders>
              <w:tl2br w:val="nil"/>
              <w:tr2bl w:val="nil"/>
            </w:tcBorders>
            <w:vAlign w:val="center"/>
          </w:tcPr>
          <w:p>
            <w:pPr>
              <w:jc w:val="center"/>
              <w:rPr>
                <w:sz w:val="21"/>
                <w:szCs w:val="21"/>
              </w:rPr>
            </w:pPr>
            <w:r>
              <w:rPr>
                <w:sz w:val="21"/>
                <w:szCs w:val="21"/>
              </w:rPr>
              <w:t>2</w:t>
            </w:r>
          </w:p>
        </w:tc>
        <w:tc>
          <w:tcPr>
            <w:tcW w:w="2056" w:type="dxa"/>
            <w:vMerge w:val="restart"/>
            <w:tcBorders>
              <w:tl2br w:val="nil"/>
              <w:tr2bl w:val="nil"/>
            </w:tcBorders>
            <w:vAlign w:val="center"/>
          </w:tcPr>
          <w:p>
            <w:pPr>
              <w:jc w:val="both"/>
              <w:rPr>
                <w:sz w:val="21"/>
                <w:szCs w:val="21"/>
              </w:rPr>
            </w:pPr>
            <w:r>
              <w:rPr>
                <w:rFonts w:hint="eastAsia" w:eastAsia="宋体"/>
                <w:sz w:val="21"/>
                <w:szCs w:val="21"/>
              </w:rPr>
              <w:t>水磨石地面</w:t>
            </w:r>
          </w:p>
        </w:tc>
        <w:tc>
          <w:tcPr>
            <w:tcW w:w="6074" w:type="dxa"/>
            <w:tcBorders>
              <w:tl2br w:val="nil"/>
              <w:tr2bl w:val="nil"/>
            </w:tcBorders>
            <w:vAlign w:val="center"/>
          </w:tcPr>
          <w:p>
            <w:pPr>
              <w:ind w:firstLine="210" w:firstLineChars="100"/>
              <w:jc w:val="both"/>
              <w:rPr>
                <w:sz w:val="21"/>
                <w:szCs w:val="21"/>
              </w:rPr>
            </w:pPr>
            <w:r>
              <w:rPr>
                <w:rFonts w:hint="eastAsia" w:cs="Calibri"/>
                <w:sz w:val="21"/>
                <w:szCs w:val="21"/>
              </w:rPr>
              <w:t>（1）</w:t>
            </w:r>
            <w:r>
              <w:rPr>
                <w:rFonts w:hint="eastAsia"/>
                <w:sz w:val="21"/>
                <w:szCs w:val="21"/>
              </w:rPr>
              <w:t>日常清洁：推尘，保持地面干净无杂物。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8" w:type="dxa"/>
            <w:vMerge w:val="continue"/>
            <w:tcBorders>
              <w:tl2br w:val="nil"/>
              <w:tr2bl w:val="nil"/>
            </w:tcBorders>
            <w:vAlign w:val="center"/>
          </w:tcPr>
          <w:p>
            <w:pPr>
              <w:rPr>
                <w:sz w:val="21"/>
                <w:szCs w:val="21"/>
              </w:rPr>
            </w:pPr>
          </w:p>
        </w:tc>
        <w:tc>
          <w:tcPr>
            <w:tcW w:w="3368" w:type="dxa"/>
            <w:vMerge w:val="continue"/>
            <w:tcBorders>
              <w:tl2br w:val="nil"/>
              <w:tr2bl w:val="nil"/>
            </w:tcBorders>
            <w:vAlign w:val="center"/>
          </w:tcPr>
          <w:p>
            <w:pPr>
              <w:rPr>
                <w:sz w:val="21"/>
                <w:szCs w:val="21"/>
              </w:rPr>
            </w:pPr>
          </w:p>
        </w:tc>
        <w:tc>
          <w:tcPr>
            <w:tcW w:w="6074" w:type="dxa"/>
            <w:tcBorders>
              <w:tl2br w:val="nil"/>
              <w:tr2bl w:val="nil"/>
            </w:tcBorders>
            <w:vAlign w:val="center"/>
          </w:tcPr>
          <w:p>
            <w:pPr>
              <w:ind w:firstLine="210" w:firstLineChars="100"/>
              <w:jc w:val="both"/>
              <w:rPr>
                <w:sz w:val="21"/>
                <w:szCs w:val="21"/>
              </w:rPr>
            </w:pPr>
            <w:r>
              <w:rPr>
                <w:rFonts w:hint="eastAsia" w:cs="Calibri"/>
                <w:sz w:val="21"/>
                <w:szCs w:val="21"/>
              </w:rPr>
              <w:t>（2）</w:t>
            </w:r>
            <w:r>
              <w:rPr>
                <w:rFonts w:hint="eastAsia"/>
                <w:sz w:val="21"/>
                <w:szCs w:val="21"/>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tcBorders>
              <w:tl2br w:val="nil"/>
              <w:tr2bl w:val="nil"/>
            </w:tcBorders>
            <w:vAlign w:val="center"/>
          </w:tcPr>
          <w:p>
            <w:pPr>
              <w:jc w:val="center"/>
              <w:rPr>
                <w:sz w:val="21"/>
                <w:szCs w:val="21"/>
              </w:rPr>
            </w:pPr>
            <w:r>
              <w:rPr>
                <w:rFonts w:eastAsia="宋体"/>
                <w:sz w:val="21"/>
                <w:szCs w:val="21"/>
              </w:rPr>
              <w:t>3</w:t>
            </w:r>
          </w:p>
        </w:tc>
        <w:tc>
          <w:tcPr>
            <w:tcW w:w="2056" w:type="dxa"/>
            <w:tcBorders>
              <w:tl2br w:val="nil"/>
              <w:tr2bl w:val="nil"/>
            </w:tcBorders>
            <w:vAlign w:val="center"/>
          </w:tcPr>
          <w:p>
            <w:pPr>
              <w:jc w:val="both"/>
              <w:rPr>
                <w:sz w:val="21"/>
                <w:szCs w:val="21"/>
              </w:rPr>
            </w:pPr>
            <w:r>
              <w:rPr>
                <w:rFonts w:hint="eastAsia" w:eastAsia="宋体"/>
                <w:sz w:val="21"/>
                <w:szCs w:val="21"/>
              </w:rPr>
              <w:t>乳胶漆内墙</w:t>
            </w:r>
          </w:p>
        </w:tc>
        <w:tc>
          <w:tcPr>
            <w:tcW w:w="6074" w:type="dxa"/>
            <w:tcBorders>
              <w:tl2br w:val="nil"/>
              <w:tr2bl w:val="nil"/>
            </w:tcBorders>
            <w:vAlign w:val="center"/>
          </w:tcPr>
          <w:p>
            <w:pPr>
              <w:ind w:firstLine="210" w:firstLineChars="100"/>
              <w:jc w:val="both"/>
              <w:rPr>
                <w:sz w:val="21"/>
                <w:szCs w:val="21"/>
              </w:rPr>
            </w:pPr>
            <w:r>
              <w:rPr>
                <w:rFonts w:hint="eastAsia"/>
                <w:sz w:val="21"/>
                <w:szCs w:val="21"/>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tcBorders>
              <w:tl2br w:val="nil"/>
              <w:tr2bl w:val="nil"/>
            </w:tcBorders>
            <w:vAlign w:val="center"/>
          </w:tcPr>
          <w:p>
            <w:pPr>
              <w:jc w:val="center"/>
              <w:rPr>
                <w:sz w:val="21"/>
                <w:szCs w:val="21"/>
              </w:rPr>
            </w:pPr>
            <w:r>
              <w:rPr>
                <w:rFonts w:eastAsia="宋体"/>
                <w:sz w:val="21"/>
                <w:szCs w:val="21"/>
              </w:rPr>
              <w:t>4</w:t>
            </w:r>
          </w:p>
        </w:tc>
        <w:tc>
          <w:tcPr>
            <w:tcW w:w="2056" w:type="dxa"/>
            <w:tcBorders>
              <w:tl2br w:val="nil"/>
              <w:tr2bl w:val="nil"/>
            </w:tcBorders>
            <w:vAlign w:val="center"/>
          </w:tcPr>
          <w:p>
            <w:pPr>
              <w:jc w:val="both"/>
              <w:rPr>
                <w:sz w:val="21"/>
                <w:szCs w:val="21"/>
              </w:rPr>
            </w:pPr>
            <w:r>
              <w:rPr>
                <w:rFonts w:hint="eastAsia" w:eastAsia="宋体"/>
                <w:sz w:val="21"/>
                <w:szCs w:val="21"/>
              </w:rPr>
              <w:t>墙纸内墙</w:t>
            </w:r>
          </w:p>
        </w:tc>
        <w:tc>
          <w:tcPr>
            <w:tcW w:w="6074" w:type="dxa"/>
            <w:tcBorders>
              <w:tl2br w:val="nil"/>
              <w:tr2bl w:val="nil"/>
            </w:tcBorders>
            <w:vAlign w:val="center"/>
          </w:tcPr>
          <w:p>
            <w:pPr>
              <w:ind w:firstLine="210" w:firstLineChars="100"/>
              <w:jc w:val="both"/>
              <w:rPr>
                <w:sz w:val="21"/>
                <w:szCs w:val="21"/>
              </w:rPr>
            </w:pPr>
            <w:r>
              <w:rPr>
                <w:rFonts w:hint="eastAsia"/>
                <w:sz w:val="21"/>
                <w:szCs w:val="21"/>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tcBorders>
              <w:tl2br w:val="nil"/>
              <w:tr2bl w:val="nil"/>
            </w:tcBorders>
            <w:vAlign w:val="center"/>
          </w:tcPr>
          <w:p>
            <w:pPr>
              <w:jc w:val="center"/>
              <w:rPr>
                <w:sz w:val="21"/>
                <w:szCs w:val="21"/>
              </w:rPr>
            </w:pPr>
            <w:r>
              <w:rPr>
                <w:rFonts w:eastAsia="宋体"/>
                <w:sz w:val="21"/>
                <w:szCs w:val="21"/>
              </w:rPr>
              <w:t>5</w:t>
            </w:r>
          </w:p>
        </w:tc>
        <w:tc>
          <w:tcPr>
            <w:tcW w:w="2056" w:type="dxa"/>
            <w:tcBorders>
              <w:tl2br w:val="nil"/>
              <w:tr2bl w:val="nil"/>
            </w:tcBorders>
            <w:vAlign w:val="center"/>
          </w:tcPr>
          <w:p>
            <w:pPr>
              <w:jc w:val="both"/>
              <w:rPr>
                <w:sz w:val="21"/>
                <w:szCs w:val="21"/>
              </w:rPr>
            </w:pPr>
            <w:r>
              <w:rPr>
                <w:rFonts w:hint="eastAsia" w:eastAsia="宋体"/>
                <w:sz w:val="21"/>
                <w:szCs w:val="21"/>
              </w:rPr>
              <w:t>石材内墙</w:t>
            </w:r>
          </w:p>
        </w:tc>
        <w:tc>
          <w:tcPr>
            <w:tcW w:w="6074" w:type="dxa"/>
            <w:tcBorders>
              <w:tl2br w:val="nil"/>
              <w:tr2bl w:val="nil"/>
            </w:tcBorders>
            <w:vAlign w:val="center"/>
          </w:tcPr>
          <w:p>
            <w:pPr>
              <w:ind w:firstLine="210" w:firstLineChars="100"/>
              <w:jc w:val="both"/>
              <w:rPr>
                <w:sz w:val="21"/>
                <w:szCs w:val="21"/>
              </w:rPr>
            </w:pPr>
            <w:r>
              <w:rPr>
                <w:rFonts w:hint="eastAsia"/>
                <w:sz w:val="21"/>
                <w:szCs w:val="21"/>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tcBorders>
              <w:tl2br w:val="nil"/>
              <w:tr2bl w:val="nil"/>
            </w:tcBorders>
            <w:vAlign w:val="center"/>
          </w:tcPr>
          <w:p>
            <w:pPr>
              <w:jc w:val="center"/>
              <w:rPr>
                <w:sz w:val="21"/>
                <w:szCs w:val="21"/>
              </w:rPr>
            </w:pPr>
            <w:r>
              <w:rPr>
                <w:rFonts w:eastAsia="宋体"/>
                <w:sz w:val="21"/>
                <w:szCs w:val="21"/>
              </w:rPr>
              <w:t>6</w:t>
            </w:r>
          </w:p>
        </w:tc>
        <w:tc>
          <w:tcPr>
            <w:tcW w:w="2056" w:type="dxa"/>
            <w:tcBorders>
              <w:tl2br w:val="nil"/>
              <w:tr2bl w:val="nil"/>
            </w:tcBorders>
            <w:vAlign w:val="center"/>
          </w:tcPr>
          <w:p>
            <w:pPr>
              <w:jc w:val="both"/>
              <w:rPr>
                <w:sz w:val="21"/>
                <w:szCs w:val="21"/>
              </w:rPr>
            </w:pPr>
            <w:r>
              <w:rPr>
                <w:rFonts w:eastAsia="宋体"/>
                <w:sz w:val="21"/>
                <w:szCs w:val="21"/>
              </w:rPr>
              <w:t>涂料外墙</w:t>
            </w:r>
          </w:p>
        </w:tc>
        <w:tc>
          <w:tcPr>
            <w:tcW w:w="6074" w:type="dxa"/>
            <w:tcBorders>
              <w:tl2br w:val="nil"/>
              <w:tr2bl w:val="nil"/>
            </w:tcBorders>
            <w:vAlign w:val="center"/>
          </w:tcPr>
          <w:p>
            <w:pPr>
              <w:ind w:firstLine="210" w:firstLineChars="100"/>
              <w:jc w:val="both"/>
              <w:rPr>
                <w:sz w:val="21"/>
                <w:szCs w:val="21"/>
              </w:rPr>
            </w:pPr>
            <w:r>
              <w:rPr>
                <w:rFonts w:hint="eastAsia"/>
                <w:sz w:val="21"/>
                <w:szCs w:val="21"/>
              </w:rPr>
              <w:t>定期专业清洗。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0" w:type="dxa"/>
            <w:tcBorders>
              <w:tl2br w:val="nil"/>
              <w:tr2bl w:val="nil"/>
            </w:tcBorders>
            <w:vAlign w:val="center"/>
          </w:tcPr>
          <w:p>
            <w:pPr>
              <w:jc w:val="center"/>
              <w:rPr>
                <w:sz w:val="21"/>
                <w:szCs w:val="21"/>
              </w:rPr>
            </w:pPr>
            <w:r>
              <w:rPr>
                <w:rFonts w:eastAsia="宋体"/>
                <w:sz w:val="21"/>
                <w:szCs w:val="21"/>
              </w:rPr>
              <w:t>7</w:t>
            </w:r>
          </w:p>
        </w:tc>
        <w:tc>
          <w:tcPr>
            <w:tcW w:w="2056" w:type="dxa"/>
            <w:tcBorders>
              <w:tl2br w:val="nil"/>
              <w:tr2bl w:val="nil"/>
            </w:tcBorders>
            <w:vAlign w:val="center"/>
          </w:tcPr>
          <w:p>
            <w:pPr>
              <w:jc w:val="both"/>
              <w:rPr>
                <w:sz w:val="21"/>
                <w:szCs w:val="21"/>
              </w:rPr>
            </w:pPr>
            <w:r>
              <w:rPr>
                <w:rFonts w:hint="eastAsia" w:eastAsia="宋体"/>
                <w:sz w:val="21"/>
                <w:szCs w:val="21"/>
              </w:rPr>
              <w:t>瓷砖外墙</w:t>
            </w:r>
          </w:p>
        </w:tc>
        <w:tc>
          <w:tcPr>
            <w:tcW w:w="6074" w:type="dxa"/>
            <w:tcBorders>
              <w:tl2br w:val="nil"/>
              <w:tr2bl w:val="nil"/>
            </w:tcBorders>
            <w:vAlign w:val="center"/>
          </w:tcPr>
          <w:p>
            <w:pPr>
              <w:ind w:firstLine="210" w:firstLineChars="100"/>
              <w:jc w:val="both"/>
              <w:rPr>
                <w:sz w:val="21"/>
                <w:szCs w:val="21"/>
              </w:rPr>
            </w:pPr>
            <w:r>
              <w:rPr>
                <w:rFonts w:hint="eastAsia"/>
                <w:sz w:val="21"/>
                <w:szCs w:val="21"/>
              </w:rPr>
              <w:t>定期专业清洗。</w:t>
            </w:r>
          </w:p>
        </w:tc>
      </w:tr>
    </w:tbl>
    <w:p>
      <w:pPr>
        <w:pStyle w:val="4"/>
        <w:numPr>
          <w:ilvl w:val="2"/>
          <w:numId w:val="4"/>
        </w:numPr>
        <w:ind w:firstLine="480" w:firstLineChars="200"/>
        <w:rPr>
          <w:rFonts w:ascii="宋体" w:hAnsi="宋体" w:cs="宋体"/>
          <w:szCs w:val="24"/>
        </w:rPr>
      </w:pPr>
      <w:r>
        <w:rPr>
          <w:rFonts w:hint="eastAsia" w:ascii="宋体" w:hAnsi="宋体" w:cs="宋体"/>
          <w:szCs w:val="24"/>
        </w:rPr>
        <w:t>2.4绿化服务</w:t>
      </w:r>
    </w:p>
    <w:tbl>
      <w:tblPr>
        <w:tblStyle w:val="25"/>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096"/>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7" w:type="dxa"/>
            <w:tcBorders>
              <w:tl2br w:val="nil"/>
              <w:tr2bl w:val="nil"/>
            </w:tcBorders>
            <w:vAlign w:val="center"/>
          </w:tcPr>
          <w:p>
            <w:pPr>
              <w:snapToGrid w:val="0"/>
              <w:spacing w:line="300" w:lineRule="auto"/>
              <w:jc w:val="center"/>
              <w:rPr>
                <w:rFonts w:cs="Calibri"/>
                <w:b/>
                <w:bCs/>
                <w:sz w:val="21"/>
                <w:szCs w:val="21"/>
              </w:rPr>
            </w:pPr>
            <w:r>
              <w:rPr>
                <w:rFonts w:hint="eastAsia" w:cs="Calibri"/>
                <w:b/>
                <w:bCs/>
                <w:sz w:val="21"/>
                <w:szCs w:val="21"/>
              </w:rPr>
              <w:t>序号</w:t>
            </w:r>
          </w:p>
        </w:tc>
        <w:tc>
          <w:tcPr>
            <w:tcW w:w="2057" w:type="dxa"/>
            <w:tcBorders>
              <w:tl2br w:val="nil"/>
              <w:tr2bl w:val="nil"/>
            </w:tcBorders>
            <w:vAlign w:val="center"/>
          </w:tcPr>
          <w:p>
            <w:pPr>
              <w:snapToGrid w:val="0"/>
              <w:spacing w:line="300" w:lineRule="auto"/>
              <w:jc w:val="center"/>
              <w:rPr>
                <w:rFonts w:cs="Calibri"/>
                <w:b/>
                <w:bCs/>
                <w:sz w:val="21"/>
                <w:szCs w:val="21"/>
              </w:rPr>
            </w:pPr>
            <w:r>
              <w:rPr>
                <w:rFonts w:ascii="Calibri" w:hAnsi="Calibri" w:eastAsia="宋体" w:cs="Calibri"/>
                <w:b/>
                <w:bCs/>
                <w:sz w:val="21"/>
                <w:szCs w:val="21"/>
              </w:rPr>
              <w:t>服务内容</w:t>
            </w:r>
          </w:p>
        </w:tc>
        <w:tc>
          <w:tcPr>
            <w:tcW w:w="6066" w:type="dxa"/>
            <w:tcBorders>
              <w:tl2br w:val="nil"/>
              <w:tr2bl w:val="nil"/>
            </w:tcBorders>
            <w:vAlign w:val="center"/>
          </w:tcPr>
          <w:p>
            <w:pPr>
              <w:snapToGrid w:val="0"/>
              <w:spacing w:line="300" w:lineRule="auto"/>
              <w:jc w:val="center"/>
              <w:rPr>
                <w:rFonts w:cs="Calibri"/>
                <w:b/>
                <w:bCs/>
                <w:sz w:val="21"/>
                <w:szCs w:val="21"/>
              </w:rPr>
            </w:pPr>
            <w:r>
              <w:rPr>
                <w:rFonts w:hint="eastAsia" w:cs="Calibri"/>
                <w:b/>
                <w:bCs/>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7" w:type="dxa"/>
            <w:vMerge w:val="restart"/>
            <w:tcBorders>
              <w:tl2br w:val="nil"/>
              <w:tr2bl w:val="nil"/>
            </w:tcBorders>
            <w:vAlign w:val="center"/>
          </w:tcPr>
          <w:p>
            <w:pPr>
              <w:snapToGrid w:val="0"/>
              <w:spacing w:line="300" w:lineRule="auto"/>
              <w:jc w:val="center"/>
              <w:rPr>
                <w:sz w:val="21"/>
                <w:szCs w:val="21"/>
              </w:rPr>
            </w:pPr>
            <w:r>
              <w:rPr>
                <w:rFonts w:hint="eastAsia"/>
                <w:sz w:val="21"/>
                <w:szCs w:val="21"/>
              </w:rPr>
              <w:t>1</w:t>
            </w:r>
          </w:p>
        </w:tc>
        <w:tc>
          <w:tcPr>
            <w:tcW w:w="2057" w:type="dxa"/>
            <w:vMerge w:val="restart"/>
            <w:tcBorders>
              <w:tl2br w:val="nil"/>
              <w:tr2bl w:val="nil"/>
            </w:tcBorders>
            <w:vAlign w:val="center"/>
          </w:tcPr>
          <w:p>
            <w:pPr>
              <w:snapToGrid w:val="0"/>
              <w:spacing w:line="300" w:lineRule="auto"/>
              <w:rPr>
                <w:rFonts w:cs="Calibri"/>
                <w:kern w:val="2"/>
                <w:sz w:val="21"/>
                <w:szCs w:val="21"/>
              </w:rPr>
            </w:pPr>
            <w:r>
              <w:rPr>
                <w:rFonts w:hint="eastAsia"/>
                <w:sz w:val="21"/>
                <w:szCs w:val="21"/>
              </w:rPr>
              <w:t>基本要求</w:t>
            </w:r>
          </w:p>
        </w:tc>
        <w:tc>
          <w:tcPr>
            <w:tcW w:w="6066" w:type="dxa"/>
            <w:tcBorders>
              <w:tl2br w:val="nil"/>
              <w:tr2bl w:val="nil"/>
            </w:tcBorders>
            <w:vAlign w:val="center"/>
          </w:tcPr>
          <w:p>
            <w:pPr>
              <w:snapToGrid w:val="0"/>
              <w:spacing w:line="300" w:lineRule="auto"/>
              <w:ind w:firstLine="210" w:firstLineChars="100"/>
              <w:rPr>
                <w:rFonts w:cs="Calibri"/>
                <w:sz w:val="21"/>
                <w:szCs w:val="21"/>
              </w:rPr>
            </w:pPr>
            <w:r>
              <w:rPr>
                <w:rFonts w:hint="eastAsia" w:cs="Calibri"/>
                <w:sz w:val="21"/>
                <w:szCs w:val="21"/>
              </w:rPr>
              <w:t>（1）</w:t>
            </w:r>
            <w:r>
              <w:rPr>
                <w:rFonts w:hint="eastAsia" w:ascii="Calibri" w:hAnsi="Calibri" w:eastAsia="宋体" w:cs="Calibri"/>
                <w:sz w:val="21"/>
                <w:szCs w:val="21"/>
              </w:rPr>
              <w:t>制定绿化服务的工作制度及工作计划，并按照执行</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tcBorders>
              <w:tl2br w:val="nil"/>
              <w:tr2bl w:val="nil"/>
            </w:tcBorders>
            <w:vAlign w:val="center"/>
          </w:tcPr>
          <w:p>
            <w:pPr>
              <w:rPr>
                <w:sz w:val="21"/>
                <w:szCs w:val="21"/>
              </w:rPr>
            </w:pPr>
          </w:p>
        </w:tc>
        <w:tc>
          <w:tcPr>
            <w:tcW w:w="3369" w:type="dxa"/>
            <w:vMerge w:val="continue"/>
            <w:tcBorders>
              <w:tl2br w:val="nil"/>
              <w:tr2bl w:val="nil"/>
            </w:tcBorders>
            <w:vAlign w:val="center"/>
          </w:tcPr>
          <w:p>
            <w:pPr>
              <w:rPr>
                <w:sz w:val="21"/>
                <w:szCs w:val="21"/>
              </w:rPr>
            </w:pPr>
          </w:p>
        </w:tc>
        <w:tc>
          <w:tcPr>
            <w:tcW w:w="6066" w:type="dxa"/>
            <w:tcBorders>
              <w:tl2br w:val="nil"/>
              <w:tr2bl w:val="nil"/>
            </w:tcBorders>
            <w:vAlign w:val="center"/>
          </w:tcPr>
          <w:p>
            <w:pPr>
              <w:snapToGrid w:val="0"/>
              <w:spacing w:line="300" w:lineRule="auto"/>
              <w:ind w:firstLine="210" w:firstLineChars="100"/>
              <w:rPr>
                <w:rFonts w:cs="Calibri"/>
                <w:sz w:val="21"/>
                <w:szCs w:val="21"/>
              </w:rPr>
            </w:pPr>
            <w:r>
              <w:rPr>
                <w:rFonts w:hint="eastAsia" w:cs="Calibri"/>
                <w:sz w:val="21"/>
                <w:szCs w:val="21"/>
              </w:rPr>
              <w:t>（2）</w:t>
            </w:r>
            <w:r>
              <w:rPr>
                <w:rFonts w:hint="eastAsia" w:ascii="Calibri" w:hAnsi="Calibri" w:eastAsia="宋体" w:cs="Calibri"/>
                <w:sz w:val="21"/>
                <w:szCs w:val="21"/>
              </w:rPr>
              <w:t>做好绿化服务工作记录，填写规范</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tcBorders>
              <w:tl2br w:val="nil"/>
              <w:tr2bl w:val="nil"/>
            </w:tcBorders>
            <w:vAlign w:val="center"/>
          </w:tcPr>
          <w:p>
            <w:pPr>
              <w:rPr>
                <w:sz w:val="21"/>
                <w:szCs w:val="21"/>
              </w:rPr>
            </w:pPr>
          </w:p>
        </w:tc>
        <w:tc>
          <w:tcPr>
            <w:tcW w:w="3369" w:type="dxa"/>
            <w:vMerge w:val="continue"/>
            <w:tcBorders>
              <w:tl2br w:val="nil"/>
              <w:tr2bl w:val="nil"/>
            </w:tcBorders>
            <w:vAlign w:val="center"/>
          </w:tcPr>
          <w:p>
            <w:pPr>
              <w:rPr>
                <w:sz w:val="21"/>
                <w:szCs w:val="21"/>
              </w:rPr>
            </w:pPr>
          </w:p>
        </w:tc>
        <w:tc>
          <w:tcPr>
            <w:tcW w:w="6066" w:type="dxa"/>
            <w:tcBorders>
              <w:tl2br w:val="nil"/>
              <w:tr2bl w:val="nil"/>
            </w:tcBorders>
            <w:vAlign w:val="center"/>
          </w:tcPr>
          <w:p>
            <w:pPr>
              <w:snapToGrid w:val="0"/>
              <w:spacing w:line="300" w:lineRule="auto"/>
              <w:ind w:firstLine="210" w:firstLineChars="100"/>
              <w:rPr>
                <w:rFonts w:cs="Calibri"/>
                <w:sz w:val="21"/>
                <w:szCs w:val="21"/>
              </w:rPr>
            </w:pPr>
            <w:r>
              <w:rPr>
                <w:rFonts w:hint="eastAsia" w:cs="Calibri"/>
                <w:sz w:val="21"/>
                <w:szCs w:val="21"/>
              </w:rPr>
              <w:t>（3）</w:t>
            </w:r>
            <w:r>
              <w:rPr>
                <w:rFonts w:hint="eastAsia" w:ascii="Calibri" w:hAnsi="Calibri" w:eastAsia="宋体" w:cs="Calibri"/>
                <w:sz w:val="21"/>
                <w:szCs w:val="21"/>
              </w:rPr>
              <w:t>作业时采取安全防护措施，防止对作业人员或他人造成伤害。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tcBorders>
              <w:tl2br w:val="nil"/>
              <w:tr2bl w:val="nil"/>
            </w:tcBorders>
            <w:vAlign w:val="center"/>
          </w:tcPr>
          <w:p>
            <w:pPr>
              <w:rPr>
                <w:sz w:val="21"/>
                <w:szCs w:val="21"/>
              </w:rPr>
            </w:pPr>
          </w:p>
        </w:tc>
        <w:tc>
          <w:tcPr>
            <w:tcW w:w="3369" w:type="dxa"/>
            <w:vMerge w:val="continue"/>
            <w:tcBorders>
              <w:tl2br w:val="nil"/>
              <w:tr2bl w:val="nil"/>
            </w:tcBorders>
            <w:vAlign w:val="center"/>
          </w:tcPr>
          <w:p>
            <w:pPr>
              <w:rPr>
                <w:sz w:val="21"/>
                <w:szCs w:val="21"/>
              </w:rPr>
            </w:pPr>
          </w:p>
        </w:tc>
        <w:tc>
          <w:tcPr>
            <w:tcW w:w="6066" w:type="dxa"/>
            <w:tcBorders>
              <w:tl2br w:val="nil"/>
              <w:tr2bl w:val="nil"/>
            </w:tcBorders>
            <w:vAlign w:val="center"/>
          </w:tcPr>
          <w:p>
            <w:pPr>
              <w:snapToGrid w:val="0"/>
              <w:spacing w:line="300" w:lineRule="auto"/>
              <w:ind w:firstLine="210" w:firstLineChars="100"/>
              <w:rPr>
                <w:rFonts w:cs="Calibri"/>
                <w:sz w:val="21"/>
                <w:szCs w:val="21"/>
              </w:rPr>
            </w:pPr>
            <w:r>
              <w:rPr>
                <w:rFonts w:hint="eastAsia" w:cs="Calibri"/>
                <w:sz w:val="21"/>
                <w:szCs w:val="21"/>
              </w:rPr>
              <w:t>（4）</w:t>
            </w:r>
            <w:r>
              <w:rPr>
                <w:rFonts w:hint="eastAsia" w:ascii="Calibri" w:hAnsi="Calibri" w:eastAsia="宋体" w:cs="Calibri"/>
                <w:sz w:val="21"/>
                <w:szCs w:val="21"/>
              </w:rPr>
              <w:t>相关耗材的环保、安全性应</w:t>
            </w:r>
            <w:r>
              <w:rPr>
                <w:rFonts w:hint="eastAsia" w:cs="Calibri"/>
                <w:sz w:val="21"/>
                <w:szCs w:val="21"/>
              </w:rPr>
              <w:t>当</w:t>
            </w:r>
            <w:r>
              <w:rPr>
                <w:rFonts w:hint="eastAsia" w:ascii="Calibri" w:hAnsi="Calibri" w:eastAsia="宋体" w:cs="Calibri"/>
                <w:sz w:val="21"/>
                <w:szCs w:val="21"/>
              </w:rPr>
              <w:t>符合规定要求</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7" w:type="dxa"/>
            <w:vMerge w:val="restart"/>
            <w:tcBorders>
              <w:tl2br w:val="nil"/>
              <w:tr2bl w:val="nil"/>
            </w:tcBorders>
            <w:vAlign w:val="center"/>
          </w:tcPr>
          <w:p>
            <w:pPr>
              <w:snapToGrid w:val="0"/>
              <w:spacing w:line="300" w:lineRule="auto"/>
              <w:jc w:val="center"/>
              <w:rPr>
                <w:sz w:val="21"/>
                <w:szCs w:val="21"/>
              </w:rPr>
            </w:pPr>
            <w:r>
              <w:rPr>
                <w:rFonts w:hint="eastAsia"/>
                <w:sz w:val="21"/>
                <w:szCs w:val="21"/>
              </w:rPr>
              <w:t>2</w:t>
            </w:r>
          </w:p>
        </w:tc>
        <w:tc>
          <w:tcPr>
            <w:tcW w:w="2057" w:type="dxa"/>
            <w:vMerge w:val="restart"/>
            <w:tcBorders>
              <w:tl2br w:val="nil"/>
              <w:tr2bl w:val="nil"/>
            </w:tcBorders>
            <w:vAlign w:val="center"/>
          </w:tcPr>
          <w:p>
            <w:pPr>
              <w:snapToGrid w:val="0"/>
              <w:spacing w:line="300" w:lineRule="auto"/>
              <w:rPr>
                <w:rFonts w:cs="Calibri"/>
                <w:kern w:val="2"/>
                <w:sz w:val="21"/>
                <w:szCs w:val="21"/>
              </w:rPr>
            </w:pPr>
            <w:r>
              <w:rPr>
                <w:rFonts w:hint="eastAsia"/>
                <w:sz w:val="21"/>
                <w:szCs w:val="21"/>
              </w:rPr>
              <w:t>室外绿化养护</w:t>
            </w:r>
          </w:p>
        </w:tc>
        <w:tc>
          <w:tcPr>
            <w:tcW w:w="6066" w:type="dxa"/>
            <w:tcBorders>
              <w:tl2br w:val="nil"/>
              <w:tr2bl w:val="nil"/>
            </w:tcBorders>
            <w:vAlign w:val="center"/>
          </w:tcPr>
          <w:p>
            <w:pPr>
              <w:snapToGrid w:val="0"/>
              <w:spacing w:line="300" w:lineRule="auto"/>
              <w:ind w:firstLine="210" w:firstLineChars="100"/>
              <w:rPr>
                <w:rFonts w:cs="Calibri"/>
                <w:sz w:val="21"/>
                <w:szCs w:val="21"/>
              </w:rPr>
            </w:pPr>
            <w:r>
              <w:rPr>
                <w:rFonts w:hint="eastAsia" w:cs="Calibri"/>
                <w:sz w:val="21"/>
                <w:szCs w:val="21"/>
              </w:rPr>
              <w:t>（1）根据</w:t>
            </w:r>
            <w:r>
              <w:rPr>
                <w:rFonts w:hint="eastAsia" w:ascii="Calibri" w:hAnsi="Calibri" w:eastAsia="宋体" w:cs="Calibri"/>
                <w:sz w:val="21"/>
                <w:szCs w:val="21"/>
              </w:rPr>
              <w:t>生长环境、植物特性进行除草、灌溉、施肥、整形修剪、防治病虫害等</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tcBorders>
              <w:tl2br w:val="nil"/>
              <w:tr2bl w:val="nil"/>
            </w:tcBorders>
            <w:vAlign w:val="center"/>
          </w:tcPr>
          <w:p>
            <w:pPr>
              <w:rPr>
                <w:sz w:val="21"/>
                <w:szCs w:val="21"/>
              </w:rPr>
            </w:pPr>
          </w:p>
        </w:tc>
        <w:tc>
          <w:tcPr>
            <w:tcW w:w="3369" w:type="dxa"/>
            <w:vMerge w:val="continue"/>
            <w:tcBorders>
              <w:tl2br w:val="nil"/>
              <w:tr2bl w:val="nil"/>
            </w:tcBorders>
            <w:vAlign w:val="center"/>
          </w:tcPr>
          <w:p>
            <w:pPr>
              <w:rPr>
                <w:sz w:val="21"/>
                <w:szCs w:val="21"/>
              </w:rPr>
            </w:pPr>
          </w:p>
        </w:tc>
        <w:tc>
          <w:tcPr>
            <w:tcW w:w="6066" w:type="dxa"/>
            <w:tcBorders>
              <w:tl2br w:val="nil"/>
              <w:tr2bl w:val="nil"/>
            </w:tcBorders>
            <w:vAlign w:val="center"/>
          </w:tcPr>
          <w:p>
            <w:pPr>
              <w:snapToGrid w:val="0"/>
              <w:spacing w:line="300" w:lineRule="auto"/>
              <w:ind w:firstLine="210" w:firstLineChars="100"/>
              <w:rPr>
                <w:rFonts w:cs="Calibri"/>
                <w:sz w:val="21"/>
                <w:szCs w:val="21"/>
              </w:rPr>
            </w:pPr>
            <w:r>
              <w:rPr>
                <w:rFonts w:hint="eastAsia" w:cs="Calibri"/>
                <w:sz w:val="21"/>
                <w:szCs w:val="21"/>
              </w:rPr>
              <w:t>（2）</w:t>
            </w:r>
            <w:r>
              <w:rPr>
                <w:rFonts w:hint="eastAsia" w:ascii="Calibri" w:hAnsi="Calibri" w:eastAsia="宋体" w:cs="Calibri"/>
                <w:sz w:val="21"/>
                <w:szCs w:val="21"/>
              </w:rPr>
              <w:t>根据生长情况修剪绿地，绿地内无枯草、无杂物</w:t>
            </w:r>
            <w:r>
              <w:rPr>
                <w:rFonts w:hint="eastAsia" w:eastAsia="宋体" w:cs="Calibri"/>
                <w:sz w:val="21"/>
                <w:szCs w:val="21"/>
              </w:rPr>
              <w:t>，</w:t>
            </w:r>
            <w:r>
              <w:rPr>
                <w:rFonts w:hint="eastAsia" w:ascii="Calibri" w:hAnsi="Calibri" w:eastAsia="宋体" w:cs="Calibri"/>
                <w:sz w:val="21"/>
                <w:szCs w:val="21"/>
              </w:rPr>
              <w:t>无干枯坏死和病虫侵害，基本无裸露土地</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tcBorders>
              <w:tl2br w:val="nil"/>
              <w:tr2bl w:val="nil"/>
            </w:tcBorders>
            <w:vAlign w:val="center"/>
          </w:tcPr>
          <w:p>
            <w:pPr>
              <w:rPr>
                <w:sz w:val="21"/>
                <w:szCs w:val="21"/>
              </w:rPr>
            </w:pPr>
          </w:p>
        </w:tc>
        <w:tc>
          <w:tcPr>
            <w:tcW w:w="3369" w:type="dxa"/>
            <w:vMerge w:val="continue"/>
            <w:tcBorders>
              <w:tl2br w:val="nil"/>
              <w:tr2bl w:val="nil"/>
            </w:tcBorders>
            <w:vAlign w:val="center"/>
          </w:tcPr>
          <w:p>
            <w:pPr>
              <w:rPr>
                <w:sz w:val="21"/>
                <w:szCs w:val="21"/>
              </w:rPr>
            </w:pPr>
          </w:p>
        </w:tc>
        <w:tc>
          <w:tcPr>
            <w:tcW w:w="6066" w:type="dxa"/>
            <w:tcBorders>
              <w:tl2br w:val="nil"/>
              <w:tr2bl w:val="nil"/>
            </w:tcBorders>
            <w:vAlign w:val="center"/>
          </w:tcPr>
          <w:p>
            <w:pPr>
              <w:snapToGrid w:val="0"/>
              <w:spacing w:line="300" w:lineRule="auto"/>
              <w:ind w:firstLine="210" w:firstLineChars="100"/>
              <w:rPr>
                <w:rFonts w:cs="Calibri"/>
                <w:sz w:val="21"/>
                <w:szCs w:val="21"/>
              </w:rPr>
            </w:pPr>
            <w:r>
              <w:rPr>
                <w:rFonts w:hint="eastAsia" w:cs="Calibri"/>
                <w:sz w:val="21"/>
                <w:szCs w:val="21"/>
              </w:rPr>
              <w:t>（3）</w:t>
            </w:r>
            <w:r>
              <w:rPr>
                <w:rFonts w:hint="eastAsia" w:ascii="Calibri" w:hAnsi="Calibri" w:eastAsia="宋体" w:cs="Calibri"/>
                <w:sz w:val="21"/>
                <w:szCs w:val="21"/>
              </w:rPr>
              <w:t>定期修剪树木、花卉等</w:t>
            </w:r>
            <w:r>
              <w:rPr>
                <w:rFonts w:hint="eastAsia" w:eastAsia="宋体" w:cs="Calibri"/>
                <w:sz w:val="21"/>
                <w:szCs w:val="21"/>
              </w:rPr>
              <w:t>，</w:t>
            </w:r>
            <w:r>
              <w:rPr>
                <w:rFonts w:ascii="Calibri" w:hAnsi="Calibri" w:eastAsia="宋体" w:cs="Calibri"/>
                <w:sz w:val="21"/>
                <w:szCs w:val="21"/>
              </w:rPr>
              <w:t>灌乔木生长正常、造型美观自然、花枝新鲜，无枯叶、无病虫、无死树缺株</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tcBorders>
              <w:tl2br w:val="nil"/>
              <w:tr2bl w:val="nil"/>
            </w:tcBorders>
            <w:vAlign w:val="center"/>
          </w:tcPr>
          <w:p>
            <w:pPr>
              <w:rPr>
                <w:sz w:val="21"/>
                <w:szCs w:val="21"/>
              </w:rPr>
            </w:pPr>
          </w:p>
        </w:tc>
        <w:tc>
          <w:tcPr>
            <w:tcW w:w="3369" w:type="dxa"/>
            <w:vMerge w:val="continue"/>
            <w:tcBorders>
              <w:tl2br w:val="nil"/>
              <w:tr2bl w:val="nil"/>
            </w:tcBorders>
            <w:vAlign w:val="center"/>
          </w:tcPr>
          <w:p>
            <w:pPr>
              <w:rPr>
                <w:sz w:val="21"/>
                <w:szCs w:val="21"/>
              </w:rPr>
            </w:pPr>
          </w:p>
        </w:tc>
        <w:tc>
          <w:tcPr>
            <w:tcW w:w="6066" w:type="dxa"/>
            <w:tcBorders>
              <w:tl2br w:val="nil"/>
              <w:tr2bl w:val="nil"/>
            </w:tcBorders>
            <w:vAlign w:val="center"/>
          </w:tcPr>
          <w:p>
            <w:pPr>
              <w:snapToGrid w:val="0"/>
              <w:spacing w:line="300" w:lineRule="auto"/>
              <w:ind w:firstLine="210" w:firstLineChars="100"/>
              <w:rPr>
                <w:rFonts w:cs="Calibri"/>
                <w:sz w:val="21"/>
                <w:szCs w:val="21"/>
              </w:rPr>
            </w:pPr>
            <w:r>
              <w:rPr>
                <w:rFonts w:hint="eastAsia" w:cs="Calibri"/>
                <w:sz w:val="21"/>
                <w:szCs w:val="21"/>
              </w:rPr>
              <w:t>（4）</w:t>
            </w:r>
            <w:r>
              <w:rPr>
                <w:rFonts w:hint="eastAsia" w:ascii="Calibri" w:hAnsi="Calibri" w:eastAsia="宋体" w:cs="Calibri"/>
                <w:sz w:val="21"/>
                <w:szCs w:val="21"/>
              </w:rPr>
              <w:t>绿篱生长造型正常，颜色正常，修剪及时，基本无死株和干死株，有虫株率在10%以下</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tcBorders>
              <w:tl2br w:val="nil"/>
              <w:tr2bl w:val="nil"/>
            </w:tcBorders>
            <w:vAlign w:val="center"/>
          </w:tcPr>
          <w:p>
            <w:pPr>
              <w:rPr>
                <w:sz w:val="21"/>
                <w:szCs w:val="21"/>
              </w:rPr>
            </w:pPr>
          </w:p>
        </w:tc>
        <w:tc>
          <w:tcPr>
            <w:tcW w:w="3369" w:type="dxa"/>
            <w:vMerge w:val="continue"/>
            <w:tcBorders>
              <w:tl2br w:val="nil"/>
              <w:tr2bl w:val="nil"/>
            </w:tcBorders>
            <w:vAlign w:val="center"/>
          </w:tcPr>
          <w:p>
            <w:pPr>
              <w:rPr>
                <w:sz w:val="21"/>
                <w:szCs w:val="21"/>
              </w:rPr>
            </w:pPr>
          </w:p>
        </w:tc>
        <w:tc>
          <w:tcPr>
            <w:tcW w:w="6066" w:type="dxa"/>
            <w:tcBorders>
              <w:tl2br w:val="nil"/>
              <w:tr2bl w:val="nil"/>
            </w:tcBorders>
            <w:vAlign w:val="center"/>
          </w:tcPr>
          <w:p>
            <w:pPr>
              <w:snapToGrid w:val="0"/>
              <w:spacing w:line="300" w:lineRule="auto"/>
              <w:ind w:firstLine="210" w:firstLineChars="100"/>
              <w:rPr>
                <w:rFonts w:cs="Calibri"/>
                <w:sz w:val="21"/>
                <w:szCs w:val="21"/>
              </w:rPr>
            </w:pPr>
            <w:r>
              <w:rPr>
                <w:rFonts w:hint="eastAsia" w:cs="Calibri"/>
                <w:sz w:val="21"/>
                <w:szCs w:val="21"/>
              </w:rPr>
              <w:t>（5）</w:t>
            </w:r>
            <w:r>
              <w:rPr>
                <w:rFonts w:hint="eastAsia" w:ascii="Calibri" w:hAnsi="Calibri" w:eastAsia="宋体" w:cs="Calibri"/>
                <w:sz w:val="21"/>
                <w:szCs w:val="21"/>
              </w:rPr>
              <w:t>清除花坛和花景的花蒂、黄叶、杂草、垃圾，做好病虫害防治。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tcBorders>
              <w:tl2br w:val="nil"/>
              <w:tr2bl w:val="nil"/>
            </w:tcBorders>
            <w:vAlign w:val="center"/>
          </w:tcPr>
          <w:p>
            <w:pPr>
              <w:rPr>
                <w:sz w:val="21"/>
                <w:szCs w:val="21"/>
              </w:rPr>
            </w:pPr>
          </w:p>
        </w:tc>
        <w:tc>
          <w:tcPr>
            <w:tcW w:w="3369" w:type="dxa"/>
            <w:vMerge w:val="continue"/>
            <w:tcBorders>
              <w:tl2br w:val="nil"/>
              <w:tr2bl w:val="nil"/>
            </w:tcBorders>
            <w:vAlign w:val="center"/>
          </w:tcPr>
          <w:p>
            <w:pPr>
              <w:rPr>
                <w:sz w:val="21"/>
                <w:szCs w:val="21"/>
              </w:rPr>
            </w:pPr>
          </w:p>
        </w:tc>
        <w:tc>
          <w:tcPr>
            <w:tcW w:w="6066" w:type="dxa"/>
            <w:tcBorders>
              <w:tl2br w:val="nil"/>
              <w:tr2bl w:val="nil"/>
            </w:tcBorders>
            <w:vAlign w:val="center"/>
          </w:tcPr>
          <w:p>
            <w:pPr>
              <w:snapToGrid w:val="0"/>
              <w:spacing w:line="300" w:lineRule="auto"/>
              <w:ind w:firstLine="210" w:firstLineChars="100"/>
              <w:rPr>
                <w:rFonts w:cs="Calibri"/>
                <w:sz w:val="21"/>
                <w:szCs w:val="21"/>
              </w:rPr>
            </w:pPr>
            <w:r>
              <w:rPr>
                <w:rFonts w:hint="eastAsia" w:cs="Calibri"/>
                <w:sz w:val="21"/>
                <w:szCs w:val="21"/>
              </w:rPr>
              <w:t>（6）</w:t>
            </w:r>
            <w:r>
              <w:rPr>
                <w:rFonts w:hint="eastAsia" w:ascii="Calibri" w:hAnsi="Calibri" w:eastAsia="宋体" w:cs="Calibri"/>
                <w:sz w:val="21"/>
                <w:szCs w:val="21"/>
              </w:rPr>
              <w:t>水池水面定期清理，无枯枝落叶、水质清洁</w:t>
            </w:r>
            <w:r>
              <w:rPr>
                <w:rFonts w:hint="eastAsia"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tcBorders>
              <w:tl2br w:val="nil"/>
              <w:tr2bl w:val="nil"/>
            </w:tcBorders>
            <w:vAlign w:val="center"/>
          </w:tcPr>
          <w:p>
            <w:pPr>
              <w:rPr>
                <w:sz w:val="21"/>
                <w:szCs w:val="21"/>
              </w:rPr>
            </w:pPr>
          </w:p>
        </w:tc>
        <w:tc>
          <w:tcPr>
            <w:tcW w:w="3369" w:type="dxa"/>
            <w:vMerge w:val="continue"/>
            <w:tcBorders>
              <w:tl2br w:val="nil"/>
              <w:tr2bl w:val="nil"/>
            </w:tcBorders>
            <w:vAlign w:val="center"/>
          </w:tcPr>
          <w:p>
            <w:pPr>
              <w:rPr>
                <w:sz w:val="21"/>
                <w:szCs w:val="21"/>
              </w:rPr>
            </w:pPr>
          </w:p>
        </w:tc>
        <w:tc>
          <w:tcPr>
            <w:tcW w:w="6066" w:type="dxa"/>
            <w:tcBorders>
              <w:tl2br w:val="nil"/>
              <w:tr2bl w:val="nil"/>
            </w:tcBorders>
            <w:vAlign w:val="center"/>
          </w:tcPr>
          <w:p>
            <w:pPr>
              <w:snapToGrid w:val="0"/>
              <w:spacing w:line="300" w:lineRule="auto"/>
              <w:ind w:firstLine="210" w:firstLineChars="100"/>
              <w:rPr>
                <w:rFonts w:cs="Calibri"/>
                <w:sz w:val="21"/>
                <w:szCs w:val="21"/>
              </w:rPr>
            </w:pPr>
            <w:r>
              <w:rPr>
                <w:rFonts w:hint="eastAsia" w:cs="Calibri"/>
                <w:sz w:val="21"/>
                <w:szCs w:val="21"/>
              </w:rPr>
              <w:t>（7）</w:t>
            </w:r>
            <w:r>
              <w:rPr>
                <w:rFonts w:hint="eastAsia" w:ascii="Calibri" w:hAnsi="Calibri" w:eastAsia="宋体" w:cs="Calibri"/>
                <w:sz w:val="21"/>
                <w:szCs w:val="21"/>
              </w:rPr>
              <w:t>根据病虫害发生规律实施综合治理，通常在病虫率高时，以药剂杀死病虫，以确保植物良好生长</w:t>
            </w:r>
            <w:r>
              <w:rPr>
                <w:rFonts w:hint="eastAsia" w:cs="Calibri"/>
                <w:sz w:val="21"/>
                <w:szCs w:val="21"/>
              </w:rPr>
              <w:t>。</w:t>
            </w:r>
            <w:r>
              <w:rPr>
                <w:rFonts w:hint="eastAsia" w:ascii="Calibri" w:hAnsi="Calibri" w:eastAsia="宋体" w:cs="Calibri"/>
                <w:sz w:val="21"/>
                <w:szCs w:val="21"/>
              </w:rPr>
              <w:t>产生垃圾的主要区域和路段做到日产日清。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tcBorders>
              <w:tl2br w:val="nil"/>
              <w:tr2bl w:val="nil"/>
            </w:tcBorders>
            <w:vAlign w:val="center"/>
          </w:tcPr>
          <w:p>
            <w:pPr>
              <w:rPr>
                <w:sz w:val="21"/>
                <w:szCs w:val="21"/>
              </w:rPr>
            </w:pPr>
          </w:p>
        </w:tc>
        <w:tc>
          <w:tcPr>
            <w:tcW w:w="3369" w:type="dxa"/>
            <w:vMerge w:val="continue"/>
            <w:tcBorders>
              <w:tl2br w:val="nil"/>
              <w:tr2bl w:val="nil"/>
            </w:tcBorders>
            <w:vAlign w:val="center"/>
          </w:tcPr>
          <w:p>
            <w:pPr>
              <w:rPr>
                <w:sz w:val="21"/>
                <w:szCs w:val="21"/>
              </w:rPr>
            </w:pPr>
          </w:p>
        </w:tc>
        <w:tc>
          <w:tcPr>
            <w:tcW w:w="6066" w:type="dxa"/>
            <w:tcBorders>
              <w:tl2br w:val="nil"/>
              <w:tr2bl w:val="nil"/>
            </w:tcBorders>
            <w:vAlign w:val="center"/>
          </w:tcPr>
          <w:p>
            <w:pPr>
              <w:snapToGrid w:val="0"/>
              <w:spacing w:line="300" w:lineRule="auto"/>
              <w:ind w:firstLine="210" w:firstLineChars="100"/>
              <w:rPr>
                <w:rFonts w:cs="Calibri"/>
                <w:sz w:val="21"/>
                <w:szCs w:val="21"/>
              </w:rPr>
            </w:pPr>
            <w:r>
              <w:rPr>
                <w:rFonts w:hint="eastAsia" w:cs="Calibri"/>
                <w:sz w:val="21"/>
                <w:szCs w:val="21"/>
              </w:rPr>
              <w:t>（8）</w:t>
            </w:r>
            <w:r>
              <w:rPr>
                <w:rFonts w:hint="eastAsia" w:ascii="Calibri" w:hAnsi="Calibri" w:eastAsia="宋体" w:cs="Calibri"/>
                <w:sz w:val="21"/>
                <w:szCs w:val="21"/>
              </w:rPr>
              <w:t>雨雪、冰冻等恶劣天气来临前，专人巡查，对绿植做好预防措施，排除安全隐患。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0" w:type="dxa"/>
            <w:vMerge w:val="continue"/>
            <w:tcBorders>
              <w:tl2br w:val="nil"/>
              <w:tr2bl w:val="nil"/>
            </w:tcBorders>
            <w:vAlign w:val="center"/>
          </w:tcPr>
          <w:p>
            <w:pPr>
              <w:rPr>
                <w:sz w:val="21"/>
                <w:szCs w:val="21"/>
              </w:rPr>
            </w:pPr>
          </w:p>
        </w:tc>
        <w:tc>
          <w:tcPr>
            <w:tcW w:w="3369" w:type="dxa"/>
            <w:vMerge w:val="continue"/>
            <w:tcBorders>
              <w:tl2br w:val="nil"/>
              <w:tr2bl w:val="nil"/>
            </w:tcBorders>
            <w:vAlign w:val="center"/>
          </w:tcPr>
          <w:p>
            <w:pPr>
              <w:rPr>
                <w:sz w:val="21"/>
                <w:szCs w:val="21"/>
              </w:rPr>
            </w:pPr>
          </w:p>
        </w:tc>
        <w:tc>
          <w:tcPr>
            <w:tcW w:w="6066" w:type="dxa"/>
            <w:tcBorders>
              <w:tl2br w:val="nil"/>
              <w:tr2bl w:val="nil"/>
            </w:tcBorders>
            <w:vAlign w:val="center"/>
          </w:tcPr>
          <w:p>
            <w:pPr>
              <w:snapToGrid w:val="0"/>
              <w:spacing w:line="300" w:lineRule="auto"/>
              <w:ind w:firstLine="210" w:firstLineChars="100"/>
              <w:rPr>
                <w:rFonts w:cs="Calibri"/>
                <w:sz w:val="21"/>
                <w:szCs w:val="21"/>
              </w:rPr>
            </w:pPr>
            <w:r>
              <w:rPr>
                <w:rFonts w:hint="eastAsia" w:cs="Calibri"/>
                <w:sz w:val="21"/>
                <w:szCs w:val="21"/>
              </w:rPr>
              <w:t>（9）</w:t>
            </w:r>
            <w:r>
              <w:rPr>
                <w:rFonts w:hint="eastAsia" w:ascii="Calibri" w:hAnsi="Calibri" w:eastAsia="宋体" w:cs="Calibri"/>
                <w:sz w:val="21"/>
                <w:szCs w:val="21"/>
              </w:rPr>
              <w:t>恶劣天气后，及时清除倒树断枝，疏通道路，尽快恢复原状</w:t>
            </w:r>
            <w:r>
              <w:rPr>
                <w:rFonts w:hint="eastAsia" w:eastAsia="宋体" w:cs="Calibri"/>
                <w:sz w:val="21"/>
                <w:szCs w:val="21"/>
              </w:rPr>
              <w:t>。</w:t>
            </w:r>
          </w:p>
        </w:tc>
      </w:tr>
    </w:tbl>
    <w:p>
      <w:pPr>
        <w:pStyle w:val="4"/>
        <w:numPr>
          <w:ilvl w:val="2"/>
          <w:numId w:val="4"/>
        </w:numPr>
        <w:ind w:firstLine="480" w:firstLineChars="200"/>
        <w:rPr>
          <w:rFonts w:ascii="宋体" w:hAnsi="宋体" w:cs="宋体"/>
          <w:szCs w:val="24"/>
        </w:rPr>
      </w:pPr>
      <w:r>
        <w:rPr>
          <w:rFonts w:hint="eastAsia" w:ascii="宋体" w:hAnsi="宋体" w:cs="宋体"/>
          <w:szCs w:val="24"/>
        </w:rPr>
        <w:t>2.5保安服务</w:t>
      </w:r>
    </w:p>
    <w:tbl>
      <w:tblPr>
        <w:tblStyle w:val="25"/>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095"/>
        <w:gridCol w:w="6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tcBorders>
              <w:tl2br w:val="nil"/>
              <w:tr2bl w:val="nil"/>
            </w:tcBorders>
            <w:vAlign w:val="center"/>
          </w:tcPr>
          <w:p>
            <w:pPr>
              <w:snapToGrid w:val="0"/>
              <w:spacing w:line="300" w:lineRule="auto"/>
              <w:jc w:val="center"/>
              <w:rPr>
                <w:rFonts w:cs="Calibri" w:asciiTheme="minorEastAsia" w:hAnsiTheme="minorEastAsia"/>
                <w:b/>
                <w:bCs/>
                <w:sz w:val="21"/>
                <w:szCs w:val="21"/>
              </w:rPr>
            </w:pPr>
            <w:r>
              <w:rPr>
                <w:rFonts w:hint="eastAsia" w:cs="Calibri" w:asciiTheme="minorEastAsia" w:hAnsiTheme="minorEastAsia"/>
                <w:b/>
                <w:bCs/>
                <w:sz w:val="21"/>
                <w:szCs w:val="21"/>
              </w:rPr>
              <w:t>序号</w:t>
            </w:r>
          </w:p>
        </w:tc>
        <w:tc>
          <w:tcPr>
            <w:tcW w:w="1971" w:type="dxa"/>
            <w:tcBorders>
              <w:tl2br w:val="nil"/>
              <w:tr2bl w:val="nil"/>
            </w:tcBorders>
            <w:vAlign w:val="center"/>
          </w:tcPr>
          <w:p>
            <w:pPr>
              <w:snapToGrid w:val="0"/>
              <w:spacing w:line="300" w:lineRule="auto"/>
              <w:jc w:val="center"/>
              <w:rPr>
                <w:rFonts w:cs="Calibri" w:asciiTheme="minorEastAsia" w:hAnsiTheme="minorEastAsia"/>
                <w:b/>
                <w:bCs/>
                <w:sz w:val="21"/>
                <w:szCs w:val="21"/>
              </w:rPr>
            </w:pPr>
            <w:r>
              <w:rPr>
                <w:rFonts w:cs="Calibri" w:asciiTheme="minorEastAsia" w:hAnsiTheme="minorEastAsia"/>
                <w:b/>
                <w:bCs/>
                <w:sz w:val="21"/>
                <w:szCs w:val="21"/>
              </w:rPr>
              <w:t>服务内容</w:t>
            </w:r>
          </w:p>
        </w:tc>
        <w:tc>
          <w:tcPr>
            <w:tcW w:w="5785" w:type="dxa"/>
            <w:tcBorders>
              <w:tl2br w:val="nil"/>
              <w:tr2bl w:val="nil"/>
            </w:tcBorders>
            <w:vAlign w:val="center"/>
          </w:tcPr>
          <w:p>
            <w:pPr>
              <w:snapToGrid w:val="0"/>
              <w:spacing w:line="300" w:lineRule="auto"/>
              <w:jc w:val="center"/>
              <w:rPr>
                <w:rFonts w:cs="Calibri" w:asciiTheme="minorEastAsia" w:hAnsiTheme="minorEastAsia"/>
                <w:b/>
                <w:bCs/>
                <w:sz w:val="21"/>
                <w:szCs w:val="21"/>
              </w:rPr>
            </w:pPr>
            <w:r>
              <w:rPr>
                <w:rFonts w:hint="eastAsia" w:cs="Calibri" w:asciiTheme="minorEastAsia" w:hAnsiTheme="minorEastAsia"/>
                <w:b/>
                <w:bCs/>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restart"/>
            <w:tcBorders>
              <w:tl2br w:val="nil"/>
              <w:tr2bl w:val="nil"/>
            </w:tcBorders>
            <w:vAlign w:val="center"/>
          </w:tcPr>
          <w:p>
            <w:pPr>
              <w:snapToGrid w:val="0"/>
              <w:spacing w:line="300" w:lineRule="auto"/>
              <w:jc w:val="center"/>
              <w:rPr>
                <w:rFonts w:asciiTheme="minorEastAsia" w:hAnsiTheme="minorEastAsia"/>
                <w:sz w:val="21"/>
                <w:szCs w:val="21"/>
              </w:rPr>
            </w:pPr>
            <w:r>
              <w:rPr>
                <w:rFonts w:hint="eastAsia" w:asciiTheme="minorEastAsia" w:hAnsiTheme="minorEastAsia"/>
                <w:sz w:val="21"/>
                <w:szCs w:val="21"/>
              </w:rPr>
              <w:t>1</w:t>
            </w:r>
          </w:p>
        </w:tc>
        <w:tc>
          <w:tcPr>
            <w:tcW w:w="1971" w:type="dxa"/>
            <w:vMerge w:val="restart"/>
            <w:tcBorders>
              <w:tl2br w:val="nil"/>
              <w:tr2bl w:val="nil"/>
            </w:tcBorders>
            <w:vAlign w:val="center"/>
          </w:tcPr>
          <w:p>
            <w:pPr>
              <w:snapToGrid w:val="0"/>
              <w:spacing w:line="300" w:lineRule="auto"/>
              <w:rPr>
                <w:rFonts w:asciiTheme="minorEastAsia" w:hAnsiTheme="minorEastAsia"/>
                <w:sz w:val="21"/>
                <w:szCs w:val="21"/>
              </w:rPr>
            </w:pPr>
            <w:r>
              <w:rPr>
                <w:rFonts w:asciiTheme="minorEastAsia" w:hAnsiTheme="minorEastAsia"/>
                <w:sz w:val="21"/>
                <w:szCs w:val="21"/>
              </w:rPr>
              <w:t>基本要求</w:t>
            </w: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（1）建立保安服务相关制度，并按照执行。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（2）对巡查、值守及异常情况等做好相关记录，填写规范，保存完好。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（3）配备保安服务必要的器材。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restart"/>
            <w:tcBorders>
              <w:tl2br w:val="nil"/>
              <w:tr2bl w:val="nil"/>
            </w:tcBorders>
            <w:vAlign w:val="center"/>
          </w:tcPr>
          <w:p>
            <w:pPr>
              <w:snapToGrid w:val="0"/>
              <w:spacing w:line="300" w:lineRule="auto"/>
              <w:jc w:val="center"/>
              <w:rPr>
                <w:rFonts w:asciiTheme="minorEastAsia" w:hAnsiTheme="minorEastAsia"/>
                <w:sz w:val="21"/>
                <w:szCs w:val="21"/>
              </w:rPr>
            </w:pPr>
            <w:r>
              <w:rPr>
                <w:rFonts w:hint="eastAsia" w:asciiTheme="minorEastAsia" w:hAnsiTheme="minorEastAsia"/>
                <w:sz w:val="21"/>
                <w:szCs w:val="21"/>
              </w:rPr>
              <w:t>2</w:t>
            </w:r>
          </w:p>
        </w:tc>
        <w:tc>
          <w:tcPr>
            <w:tcW w:w="1971" w:type="dxa"/>
            <w:vMerge w:val="restart"/>
            <w:tcBorders>
              <w:tl2br w:val="nil"/>
              <w:tr2bl w:val="nil"/>
            </w:tcBorders>
            <w:vAlign w:val="center"/>
          </w:tcPr>
          <w:p>
            <w:pPr>
              <w:snapToGrid w:val="0"/>
              <w:spacing w:line="300" w:lineRule="auto"/>
              <w:rPr>
                <w:rFonts w:asciiTheme="minorEastAsia" w:hAnsiTheme="minorEastAsia"/>
                <w:sz w:val="21"/>
                <w:szCs w:val="21"/>
              </w:rPr>
            </w:pPr>
            <w:r>
              <w:rPr>
                <w:rFonts w:asciiTheme="minorEastAsia" w:hAnsiTheme="minorEastAsia"/>
                <w:sz w:val="21"/>
                <w:szCs w:val="21"/>
              </w:rPr>
              <w:t>出入管理</w:t>
            </w: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（1）办公楼（区）主出入口应当实行24小时值班制。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（2）设置门岗（含形象岗）。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（3）在出入口对外来人员及其携带大件物品、外来车辆进行询问和记录，并与相关部门取得联系，同意后方可进入。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（4）大件物品搬出有相关部门开具的证明和清单，经核实后放行。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（5）排查可疑人员，对于不出示证件、不按规定登记、不听劝阻而强行闯入者，及时劝离，必要时通知公安机关进行处理。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（6）配合相关部门积极疏导上访人员，有效疏导如出入口人群集聚、车辆拥堵、货物堵塞道路等情况。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（8）</w:t>
            </w:r>
            <w:r>
              <w:rPr>
                <w:rFonts w:cs="Calibri" w:asciiTheme="minorEastAsia" w:hAnsiTheme="minorEastAsia"/>
                <w:sz w:val="21"/>
                <w:szCs w:val="21"/>
              </w:rPr>
              <w:t>提供现场接待服务。</w:t>
            </w:r>
          </w:p>
          <w:p>
            <w:pPr>
              <w:snapToGrid w:val="0"/>
              <w:spacing w:line="300" w:lineRule="auto"/>
              <w:ind w:firstLine="210" w:firstLineChars="100"/>
              <w:rPr>
                <w:rFonts w:cs="Calibri" w:asciiTheme="minorEastAsia" w:hAnsiTheme="minorEastAsia"/>
                <w:sz w:val="21"/>
                <w:szCs w:val="21"/>
              </w:rPr>
            </w:pPr>
            <w:r>
              <w:rPr>
                <w:rFonts w:cs="Calibri" w:asciiTheme="minorEastAsia" w:hAnsiTheme="minorEastAsia"/>
                <w:sz w:val="21"/>
                <w:szCs w:val="21"/>
              </w:rPr>
              <w:t>①做好来访人员、车辆进出证件登记，及时通报</w:t>
            </w:r>
            <w:r>
              <w:rPr>
                <w:rFonts w:hint="eastAsia" w:cs="Calibri" w:asciiTheme="minorEastAsia" w:hAnsiTheme="minorEastAsia"/>
                <w:sz w:val="21"/>
                <w:szCs w:val="21"/>
              </w:rPr>
              <w:t>。</w:t>
            </w:r>
          </w:p>
          <w:p>
            <w:pPr>
              <w:snapToGrid w:val="0"/>
              <w:spacing w:line="300" w:lineRule="auto"/>
              <w:ind w:firstLine="210" w:firstLineChars="100"/>
              <w:rPr>
                <w:rFonts w:cs="Calibri" w:asciiTheme="minorEastAsia" w:hAnsiTheme="minorEastAsia"/>
                <w:sz w:val="21"/>
                <w:szCs w:val="21"/>
              </w:rPr>
            </w:pPr>
            <w:r>
              <w:rPr>
                <w:rFonts w:cs="Calibri" w:asciiTheme="minorEastAsia" w:hAnsiTheme="minorEastAsia"/>
                <w:sz w:val="21"/>
                <w:szCs w:val="21"/>
              </w:rPr>
              <w:t>②严禁无关人员、可疑人员和危险物品进入办公楼（区）内。</w:t>
            </w:r>
          </w:p>
          <w:p>
            <w:pPr>
              <w:snapToGrid w:val="0"/>
              <w:spacing w:line="300" w:lineRule="auto"/>
              <w:ind w:firstLine="210" w:firstLineChars="100"/>
              <w:rPr>
                <w:rFonts w:asciiTheme="minorEastAsia" w:hAnsiTheme="minorEastAsia"/>
                <w:sz w:val="21"/>
                <w:szCs w:val="21"/>
              </w:rPr>
            </w:pPr>
            <w:r>
              <w:rPr>
                <w:rFonts w:asciiTheme="minorEastAsia" w:hAnsiTheme="minorEastAsia"/>
                <w:sz w:val="21"/>
                <w:szCs w:val="21"/>
              </w:rPr>
              <w:t>③物品摆放整齐有序、分类放置。</w:t>
            </w:r>
          </w:p>
          <w:p>
            <w:pPr>
              <w:snapToGrid w:val="0"/>
              <w:spacing w:line="300" w:lineRule="auto"/>
              <w:ind w:firstLine="210" w:firstLineChars="100"/>
              <w:rPr>
                <w:rFonts w:asciiTheme="minorEastAsia" w:hAnsiTheme="minorEastAsia"/>
                <w:sz w:val="21"/>
                <w:szCs w:val="21"/>
              </w:rPr>
            </w:pPr>
            <w:r>
              <w:rPr>
                <w:rFonts w:asciiTheme="minorEastAsia" w:hAnsiTheme="minorEastAsia"/>
                <w:sz w:val="21"/>
                <w:szCs w:val="21"/>
              </w:rPr>
              <w:t>④现场办理等待时间不超过5分钟，等待较长时间应</w:t>
            </w:r>
            <w:r>
              <w:rPr>
                <w:rFonts w:hint="eastAsia" w:asciiTheme="minorEastAsia" w:hAnsiTheme="minorEastAsia"/>
                <w:sz w:val="21"/>
                <w:szCs w:val="21"/>
              </w:rPr>
              <w:t>当</w:t>
            </w:r>
            <w:r>
              <w:rPr>
                <w:rFonts w:asciiTheme="minorEastAsia" w:hAnsiTheme="minorEastAsia"/>
                <w:sz w:val="21"/>
                <w:szCs w:val="21"/>
              </w:rPr>
              <w:t>及时沟通。</w:t>
            </w:r>
          </w:p>
          <w:p>
            <w:pPr>
              <w:snapToGrid w:val="0"/>
              <w:spacing w:line="300" w:lineRule="auto"/>
              <w:ind w:firstLine="210" w:firstLineChars="100"/>
              <w:rPr>
                <w:rFonts w:asciiTheme="minorEastAsia" w:hAnsiTheme="minorEastAsia"/>
                <w:sz w:val="21"/>
                <w:szCs w:val="21"/>
              </w:rPr>
            </w:pPr>
            <w:r>
              <w:rPr>
                <w:rFonts w:asciiTheme="minorEastAsia" w:hAnsiTheme="minorEastAsia"/>
                <w:sz w:val="21"/>
                <w:szCs w:val="21"/>
              </w:rPr>
              <w:t>⑤对来访人员咨询、建议、求助等事项，及时处理或答复，处理和答复率100%。</w:t>
            </w:r>
          </w:p>
          <w:p>
            <w:pPr>
              <w:snapToGrid w:val="0"/>
              <w:spacing w:line="300" w:lineRule="auto"/>
              <w:ind w:firstLine="210" w:firstLineChars="100"/>
              <w:rPr>
                <w:rFonts w:asciiTheme="minorEastAsia" w:hAnsiTheme="minorEastAsia"/>
                <w:sz w:val="21"/>
                <w:szCs w:val="21"/>
              </w:rPr>
            </w:pPr>
            <w:r>
              <w:rPr>
                <w:rFonts w:asciiTheme="minorEastAsia" w:hAnsiTheme="minorEastAsia"/>
                <w:sz w:val="21"/>
                <w:szCs w:val="21"/>
              </w:rPr>
              <w:t>⑥接待服务工作时间应</w:t>
            </w:r>
            <w:r>
              <w:rPr>
                <w:rFonts w:hint="eastAsia" w:asciiTheme="minorEastAsia" w:hAnsiTheme="minorEastAsia"/>
                <w:sz w:val="21"/>
                <w:szCs w:val="21"/>
              </w:rPr>
              <w:t>当</w:t>
            </w:r>
            <w:r>
              <w:rPr>
                <w:rFonts w:asciiTheme="minorEastAsia" w:hAnsiTheme="minorEastAsia"/>
                <w:sz w:val="21"/>
                <w:szCs w:val="21"/>
              </w:rPr>
              <w:t>覆盖采购人工作时间（上班时间为—9：00-18:00）。</w:t>
            </w:r>
          </w:p>
          <w:p>
            <w:pPr>
              <w:snapToGrid w:val="0"/>
              <w:spacing w:line="300" w:lineRule="auto"/>
              <w:ind w:firstLine="210" w:firstLineChars="100"/>
              <w:rPr>
                <w:rFonts w:asciiTheme="minorEastAsia" w:hAnsiTheme="minorEastAsia"/>
                <w:sz w:val="21"/>
                <w:szCs w:val="21"/>
              </w:rPr>
            </w:pPr>
            <w:r>
              <w:rPr>
                <w:rFonts w:asciiTheme="minorEastAsia" w:hAnsiTheme="minorEastAsia"/>
                <w:sz w:val="21"/>
                <w:szCs w:val="21"/>
              </w:rPr>
              <w:t>⑦与被访人进行核实确认；告知被访人的办公室门牌号；告知访客注意事项（</w:t>
            </w:r>
            <w:r>
              <w:rPr>
                <w:rFonts w:hint="eastAsia" w:asciiTheme="minorEastAsia" w:hAnsiTheme="minorEastAsia"/>
                <w:sz w:val="21"/>
                <w:szCs w:val="21"/>
              </w:rPr>
              <w:t>根据实际需要</w:t>
            </w:r>
            <w:r>
              <w:rPr>
                <w:rFonts w:asciiTheme="minorEastAsia" w:hAnsiTheme="minorEastAsia"/>
                <w:sz w:val="21"/>
                <w:szCs w:val="21"/>
              </w:rPr>
              <w:t>填写</w:t>
            </w:r>
            <w:r>
              <w:rPr>
                <w:rFonts w:hint="eastAsia" w:asciiTheme="minorEastAsia" w:hAnsiTheme="minorEastAsia"/>
                <w:sz w:val="21"/>
                <w:szCs w:val="21"/>
              </w:rPr>
              <w:t>注意事项</w:t>
            </w:r>
            <w:r>
              <w:rPr>
                <w:rFonts w:asciiTheme="minorEastAsia" w:hAnsi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restart"/>
            <w:tcBorders>
              <w:tl2br w:val="nil"/>
              <w:tr2bl w:val="nil"/>
            </w:tcBorders>
            <w:vAlign w:val="center"/>
          </w:tcPr>
          <w:p>
            <w:pPr>
              <w:snapToGrid w:val="0"/>
              <w:spacing w:line="300" w:lineRule="auto"/>
              <w:jc w:val="center"/>
              <w:rPr>
                <w:rFonts w:asciiTheme="minorEastAsia" w:hAnsiTheme="minorEastAsia"/>
                <w:sz w:val="21"/>
                <w:szCs w:val="21"/>
              </w:rPr>
            </w:pPr>
            <w:r>
              <w:rPr>
                <w:rFonts w:hint="eastAsia" w:asciiTheme="minorEastAsia" w:hAnsiTheme="minorEastAsia"/>
                <w:sz w:val="21"/>
                <w:szCs w:val="21"/>
              </w:rPr>
              <w:t>3</w:t>
            </w:r>
          </w:p>
        </w:tc>
        <w:tc>
          <w:tcPr>
            <w:tcW w:w="1971" w:type="dxa"/>
            <w:vMerge w:val="restart"/>
            <w:tcBorders>
              <w:tl2br w:val="nil"/>
              <w:tr2bl w:val="nil"/>
            </w:tcBorders>
            <w:vAlign w:val="center"/>
          </w:tcPr>
          <w:p>
            <w:pPr>
              <w:snapToGrid w:val="0"/>
              <w:spacing w:line="300" w:lineRule="auto"/>
              <w:rPr>
                <w:rFonts w:asciiTheme="minorEastAsia" w:hAnsiTheme="minorEastAsia"/>
                <w:sz w:val="21"/>
                <w:szCs w:val="21"/>
              </w:rPr>
            </w:pPr>
            <w:r>
              <w:rPr>
                <w:rFonts w:asciiTheme="minorEastAsia" w:hAnsiTheme="minorEastAsia"/>
                <w:sz w:val="21"/>
                <w:szCs w:val="21"/>
              </w:rPr>
              <w:t>值班巡查</w:t>
            </w: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（1）建立24小时值班巡查制度。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（2）制定巡查路线，按照指定时间和路线执行，加强重点区域、重点部位及装修区域的巡查。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（3）巡查期间保持通信设施设备畅通，遇到异常情况立即上报并在现场采取相应措施。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（4）收到监控室指令后，巡查人员及时到达指定地点并迅速采取相应措施。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restart"/>
            <w:tcBorders>
              <w:tl2br w:val="nil"/>
              <w:tr2bl w:val="nil"/>
            </w:tcBorders>
            <w:vAlign w:val="center"/>
          </w:tcPr>
          <w:p>
            <w:pPr>
              <w:snapToGrid w:val="0"/>
              <w:spacing w:line="300" w:lineRule="auto"/>
              <w:jc w:val="center"/>
              <w:rPr>
                <w:rFonts w:asciiTheme="minorEastAsia" w:hAnsiTheme="minorEastAsia"/>
                <w:sz w:val="21"/>
                <w:szCs w:val="21"/>
              </w:rPr>
            </w:pPr>
            <w:r>
              <w:rPr>
                <w:rFonts w:asciiTheme="minorEastAsia" w:hAnsiTheme="minorEastAsia"/>
                <w:sz w:val="21"/>
                <w:szCs w:val="21"/>
              </w:rPr>
              <w:t>4</w:t>
            </w:r>
          </w:p>
        </w:tc>
        <w:tc>
          <w:tcPr>
            <w:tcW w:w="1971" w:type="dxa"/>
            <w:vMerge w:val="restart"/>
            <w:tcBorders>
              <w:tl2br w:val="nil"/>
              <w:tr2bl w:val="nil"/>
            </w:tcBorders>
            <w:vAlign w:val="center"/>
          </w:tcPr>
          <w:p>
            <w:pPr>
              <w:snapToGrid w:val="0"/>
              <w:spacing w:line="300" w:lineRule="auto"/>
              <w:rPr>
                <w:rFonts w:asciiTheme="minorEastAsia" w:hAnsiTheme="minorEastAsia"/>
                <w:sz w:val="21"/>
                <w:szCs w:val="21"/>
              </w:rPr>
            </w:pPr>
            <w:r>
              <w:rPr>
                <w:rFonts w:asciiTheme="minorEastAsia" w:hAnsiTheme="minorEastAsia"/>
                <w:sz w:val="21"/>
                <w:szCs w:val="21"/>
              </w:rPr>
              <w:t>车辆停放</w:t>
            </w: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（1）车辆行驶路线设置合理、规范，导向标志完整、清晰。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（2）合理规划车辆停放区域，张贴车辆引导标识，对车辆及停放区域实行规范管理。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（3）严禁在办公楼的公用走道、楼梯间、安全出口处等公共区域停放车辆或充电。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（4）非机动车定点有序停放。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（5）发现车辆异常情况及时通知车主，并做好登记；发生交通事故、自然灾害等意外事故时及时赶赴现场疏导和协助处理，响应时间不超过3分钟。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restart"/>
            <w:tcBorders>
              <w:tl2br w:val="nil"/>
              <w:tr2bl w:val="nil"/>
            </w:tcBorders>
            <w:vAlign w:val="center"/>
          </w:tcPr>
          <w:p>
            <w:pPr>
              <w:snapToGrid w:val="0"/>
              <w:spacing w:line="300" w:lineRule="auto"/>
              <w:jc w:val="center"/>
              <w:rPr>
                <w:rFonts w:asciiTheme="minorEastAsia" w:hAnsiTheme="minorEastAsia"/>
                <w:sz w:val="21"/>
                <w:szCs w:val="21"/>
              </w:rPr>
            </w:pPr>
            <w:r>
              <w:rPr>
                <w:rFonts w:asciiTheme="minorEastAsia" w:hAnsiTheme="minorEastAsia"/>
                <w:sz w:val="21"/>
                <w:szCs w:val="21"/>
              </w:rPr>
              <w:t>5</w:t>
            </w:r>
          </w:p>
        </w:tc>
        <w:tc>
          <w:tcPr>
            <w:tcW w:w="1971" w:type="dxa"/>
            <w:vMerge w:val="restart"/>
            <w:tcBorders>
              <w:tl2br w:val="nil"/>
              <w:tr2bl w:val="nil"/>
            </w:tcBorders>
            <w:vAlign w:val="center"/>
          </w:tcPr>
          <w:p>
            <w:pPr>
              <w:snapToGrid w:val="0"/>
              <w:spacing w:line="300" w:lineRule="auto"/>
              <w:rPr>
                <w:rFonts w:asciiTheme="minorEastAsia" w:hAnsiTheme="minorEastAsia"/>
                <w:sz w:val="21"/>
                <w:szCs w:val="21"/>
              </w:rPr>
            </w:pPr>
            <w:r>
              <w:rPr>
                <w:rFonts w:asciiTheme="minorEastAsia" w:hAnsiTheme="minorEastAsia"/>
                <w:sz w:val="21"/>
                <w:szCs w:val="21"/>
              </w:rPr>
              <w:t>消防安全管理</w:t>
            </w: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（1）建立消防安全责任制，确定各级消防安全责任人及其职责。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w:t>
            </w:r>
            <w:r>
              <w:rPr>
                <w:rFonts w:cs="Calibri" w:asciiTheme="minorEastAsia" w:hAnsiTheme="minorEastAsia"/>
                <w:sz w:val="21"/>
                <w:szCs w:val="21"/>
              </w:rPr>
              <w:t>2</w:t>
            </w:r>
            <w:r>
              <w:rPr>
                <w:rFonts w:hint="eastAsia" w:cs="Calibri" w:asciiTheme="minorEastAsia" w:hAnsiTheme="minorEastAsia"/>
                <w:sz w:val="21"/>
                <w:szCs w:val="21"/>
              </w:rPr>
              <w:t>）消火栓、应急照明、应急物资、消防及人员逃生通道、消防车通道可随时正常使用。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w:t>
            </w:r>
            <w:r>
              <w:rPr>
                <w:rFonts w:cs="Calibri" w:asciiTheme="minorEastAsia" w:hAnsiTheme="minorEastAsia"/>
                <w:sz w:val="21"/>
                <w:szCs w:val="21"/>
              </w:rPr>
              <w:t>3</w:t>
            </w:r>
            <w:r>
              <w:rPr>
                <w:rFonts w:hint="eastAsia" w:cs="Calibri" w:asciiTheme="minorEastAsia" w:hAnsiTheme="minorEastAsia"/>
                <w:sz w:val="21"/>
                <w:szCs w:val="21"/>
              </w:rPr>
              <w:t>）易燃易爆品设专区专人管理，做好相关记录。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w:t>
            </w:r>
            <w:r>
              <w:rPr>
                <w:rFonts w:cs="Calibri" w:asciiTheme="minorEastAsia" w:hAnsiTheme="minorEastAsia"/>
                <w:sz w:val="21"/>
                <w:szCs w:val="21"/>
              </w:rPr>
              <w:t>4</w:t>
            </w:r>
            <w:r>
              <w:rPr>
                <w:rFonts w:hint="eastAsia" w:cs="Calibri" w:asciiTheme="minorEastAsia" w:hAnsiTheme="minorEastAsia"/>
                <w:sz w:val="21"/>
                <w:szCs w:val="21"/>
              </w:rPr>
              <w:t>）定期组织消防安全宣传，每半年至少开展1次消防演练。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（5）建立消防控制室24小时值班巡查制度。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restart"/>
            <w:tcBorders>
              <w:tl2br w:val="nil"/>
              <w:tr2bl w:val="nil"/>
            </w:tcBorders>
            <w:vAlign w:val="center"/>
          </w:tcPr>
          <w:p>
            <w:pPr>
              <w:snapToGrid w:val="0"/>
              <w:spacing w:line="300" w:lineRule="auto"/>
              <w:jc w:val="center"/>
              <w:rPr>
                <w:rFonts w:asciiTheme="minorEastAsia" w:hAnsiTheme="minorEastAsia"/>
                <w:sz w:val="21"/>
                <w:szCs w:val="21"/>
              </w:rPr>
            </w:pPr>
            <w:r>
              <w:rPr>
                <w:rFonts w:asciiTheme="minorEastAsia" w:hAnsiTheme="minorEastAsia"/>
                <w:sz w:val="21"/>
                <w:szCs w:val="21"/>
              </w:rPr>
              <w:t>6</w:t>
            </w:r>
          </w:p>
        </w:tc>
        <w:tc>
          <w:tcPr>
            <w:tcW w:w="1971" w:type="dxa"/>
            <w:vMerge w:val="restart"/>
            <w:tcBorders>
              <w:tl2br w:val="nil"/>
              <w:tr2bl w:val="nil"/>
            </w:tcBorders>
            <w:vAlign w:val="center"/>
          </w:tcPr>
          <w:p>
            <w:pPr>
              <w:snapToGrid w:val="0"/>
              <w:spacing w:line="300" w:lineRule="auto"/>
              <w:rPr>
                <w:rFonts w:asciiTheme="minorEastAsia" w:hAnsiTheme="minorEastAsia"/>
                <w:sz w:val="21"/>
                <w:szCs w:val="21"/>
              </w:rPr>
            </w:pPr>
            <w:r>
              <w:rPr>
                <w:rFonts w:asciiTheme="minorEastAsia" w:hAnsiTheme="minorEastAsia"/>
                <w:sz w:val="21"/>
                <w:szCs w:val="21"/>
              </w:rPr>
              <w:t>突发事件处理</w:t>
            </w: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（1）制定突发事件安全责任书，明确突发事件责任人及应承担的安全责任。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（2）建立应急突发事件处置队伍，明确各自的职责。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（3）识别、分析各种潜在风险，针对不同风险类型制定相应解决方案，并配备应急物资。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（4）每半年至少开展1次突发事件应急演练，并有相应记录。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（5）发生意外事件时，及时采取应急措施，维护办公区域物业服务正常进行，保护人身财产安全。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（6）办公区域物业服务应急预案终止实施后，积极采取措施，在尽可能短的时间内，消除事故带来的不良影响，妥善安置和慰问受害及受影响的人员和部门。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（7）事故处理后，及时形成事故应急总结报告，完善应急救援工作方案。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restart"/>
            <w:tcBorders>
              <w:tl2br w:val="nil"/>
              <w:tr2bl w:val="nil"/>
            </w:tcBorders>
            <w:vAlign w:val="center"/>
          </w:tcPr>
          <w:p>
            <w:pPr>
              <w:snapToGrid w:val="0"/>
              <w:spacing w:line="300" w:lineRule="auto"/>
              <w:jc w:val="center"/>
              <w:rPr>
                <w:rFonts w:asciiTheme="minorEastAsia" w:hAnsiTheme="minorEastAsia"/>
                <w:sz w:val="21"/>
                <w:szCs w:val="21"/>
              </w:rPr>
            </w:pPr>
            <w:r>
              <w:rPr>
                <w:rFonts w:asciiTheme="minorEastAsia" w:hAnsiTheme="minorEastAsia"/>
                <w:sz w:val="21"/>
                <w:szCs w:val="21"/>
              </w:rPr>
              <w:t>7</w:t>
            </w:r>
          </w:p>
        </w:tc>
        <w:tc>
          <w:tcPr>
            <w:tcW w:w="1971" w:type="dxa"/>
            <w:vMerge w:val="restart"/>
            <w:tcBorders>
              <w:tl2br w:val="nil"/>
              <w:tr2bl w:val="nil"/>
            </w:tcBorders>
            <w:vAlign w:val="center"/>
          </w:tcPr>
          <w:p>
            <w:pPr>
              <w:snapToGrid w:val="0"/>
              <w:spacing w:line="300" w:lineRule="auto"/>
              <w:rPr>
                <w:rFonts w:asciiTheme="minorEastAsia" w:hAnsiTheme="minorEastAsia"/>
                <w:sz w:val="21"/>
                <w:szCs w:val="21"/>
              </w:rPr>
            </w:pPr>
            <w:r>
              <w:rPr>
                <w:rFonts w:asciiTheme="minorEastAsia" w:hAnsiTheme="minorEastAsia"/>
                <w:sz w:val="21"/>
                <w:szCs w:val="21"/>
              </w:rPr>
              <w:t>大型活动秩序</w:t>
            </w: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（1）制定相应的活动秩序维护方案，合理安排人员，并对场所的安全隐患进行排查。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（2）应当保障通道、出入口、停车场等区域畅通。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4" w:type="dxa"/>
            <w:vMerge w:val="continue"/>
            <w:tcBorders>
              <w:tl2br w:val="nil"/>
              <w:tr2bl w:val="nil"/>
            </w:tcBorders>
            <w:vAlign w:val="center"/>
          </w:tcPr>
          <w:p>
            <w:pPr>
              <w:rPr>
                <w:rFonts w:asciiTheme="minorEastAsia" w:hAnsiTheme="minorEastAsia"/>
                <w:sz w:val="21"/>
                <w:szCs w:val="21"/>
              </w:rPr>
            </w:pPr>
          </w:p>
        </w:tc>
        <w:tc>
          <w:tcPr>
            <w:tcW w:w="1971" w:type="dxa"/>
            <w:vMerge w:val="continue"/>
            <w:tcBorders>
              <w:tl2br w:val="nil"/>
              <w:tr2bl w:val="nil"/>
            </w:tcBorders>
            <w:vAlign w:val="center"/>
          </w:tcPr>
          <w:p>
            <w:pPr>
              <w:rPr>
                <w:rFonts w:asciiTheme="minorEastAsia" w:hAnsiTheme="minorEastAsia"/>
                <w:sz w:val="21"/>
                <w:szCs w:val="21"/>
              </w:rPr>
            </w:pPr>
          </w:p>
        </w:tc>
        <w:tc>
          <w:tcPr>
            <w:tcW w:w="5785" w:type="dxa"/>
            <w:tcBorders>
              <w:tl2br w:val="nil"/>
              <w:tr2bl w:val="nil"/>
            </w:tcBorders>
            <w:vAlign w:val="center"/>
          </w:tcPr>
          <w:p>
            <w:pPr>
              <w:snapToGrid w:val="0"/>
              <w:spacing w:line="300" w:lineRule="auto"/>
              <w:ind w:firstLine="210" w:firstLineChars="100"/>
              <w:rPr>
                <w:rFonts w:cs="Calibri" w:asciiTheme="minorEastAsia" w:hAnsiTheme="minorEastAsia"/>
                <w:sz w:val="21"/>
                <w:szCs w:val="21"/>
              </w:rPr>
            </w:pPr>
            <w:r>
              <w:rPr>
                <w:rFonts w:hint="eastAsia" w:cs="Calibri" w:asciiTheme="minorEastAsia" w:hAnsiTheme="minorEastAsia"/>
                <w:sz w:val="21"/>
                <w:szCs w:val="21"/>
              </w:rPr>
              <w:t>（3）活动举办过程中，做好现场秩序的维护和突发事故的处置工作，确保活动正常进行。</w:t>
            </w:r>
          </w:p>
        </w:tc>
      </w:tr>
    </w:tbl>
    <w:p>
      <w:pPr>
        <w:pStyle w:val="4"/>
        <w:numPr>
          <w:ilvl w:val="2"/>
          <w:numId w:val="4"/>
        </w:numPr>
        <w:ind w:firstLine="480" w:firstLineChars="200"/>
        <w:rPr>
          <w:rFonts w:ascii="宋体" w:hAnsi="宋体" w:cs="宋体"/>
          <w:szCs w:val="24"/>
        </w:rPr>
      </w:pPr>
      <w:r>
        <w:rPr>
          <w:rFonts w:hint="eastAsia" w:ascii="宋体" w:hAnsi="宋体" w:cs="宋体"/>
          <w:szCs w:val="24"/>
        </w:rPr>
        <w:t>2.6会议服务</w:t>
      </w:r>
    </w:p>
    <w:tbl>
      <w:tblPr>
        <w:tblStyle w:val="25"/>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112"/>
        <w:gridCol w:w="6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6" w:type="dxa"/>
            <w:tcBorders>
              <w:tl2br w:val="nil"/>
              <w:tr2bl w:val="nil"/>
            </w:tcBorders>
            <w:vAlign w:val="center"/>
          </w:tcPr>
          <w:p>
            <w:pPr>
              <w:snapToGrid w:val="0"/>
              <w:spacing w:line="300" w:lineRule="auto"/>
              <w:jc w:val="center"/>
              <w:rPr>
                <w:rFonts w:cs="Calibri"/>
                <w:b/>
                <w:bCs/>
                <w:sz w:val="21"/>
                <w:szCs w:val="21"/>
              </w:rPr>
            </w:pPr>
            <w:r>
              <w:rPr>
                <w:rFonts w:hint="eastAsia" w:cs="Calibri"/>
                <w:b/>
                <w:bCs/>
                <w:sz w:val="21"/>
                <w:szCs w:val="21"/>
              </w:rPr>
              <w:t>序号</w:t>
            </w:r>
          </w:p>
        </w:tc>
        <w:tc>
          <w:tcPr>
            <w:tcW w:w="2112" w:type="dxa"/>
            <w:tcBorders>
              <w:tl2br w:val="nil"/>
              <w:tr2bl w:val="nil"/>
            </w:tcBorders>
            <w:vAlign w:val="center"/>
          </w:tcPr>
          <w:p>
            <w:pPr>
              <w:snapToGrid w:val="0"/>
              <w:spacing w:line="300" w:lineRule="auto"/>
              <w:jc w:val="center"/>
              <w:rPr>
                <w:rFonts w:cs="Calibri"/>
                <w:b/>
                <w:bCs/>
                <w:sz w:val="21"/>
                <w:szCs w:val="21"/>
              </w:rPr>
            </w:pPr>
            <w:r>
              <w:rPr>
                <w:rFonts w:ascii="Calibri" w:hAnsi="Calibri" w:eastAsia="宋体" w:cs="Calibri"/>
                <w:b/>
                <w:bCs/>
                <w:sz w:val="21"/>
                <w:szCs w:val="21"/>
              </w:rPr>
              <w:t>服务内容</w:t>
            </w:r>
          </w:p>
        </w:tc>
        <w:tc>
          <w:tcPr>
            <w:tcW w:w="6042" w:type="dxa"/>
            <w:tcBorders>
              <w:tl2br w:val="nil"/>
              <w:tr2bl w:val="nil"/>
            </w:tcBorders>
            <w:vAlign w:val="center"/>
          </w:tcPr>
          <w:p>
            <w:pPr>
              <w:snapToGrid w:val="0"/>
              <w:spacing w:line="300" w:lineRule="auto"/>
              <w:jc w:val="center"/>
              <w:rPr>
                <w:rFonts w:cs="Calibri"/>
                <w:b/>
                <w:bCs/>
                <w:sz w:val="21"/>
                <w:szCs w:val="21"/>
              </w:rPr>
            </w:pPr>
            <w:r>
              <w:rPr>
                <w:rFonts w:hint="eastAsia" w:cs="Calibri"/>
                <w:b/>
                <w:bCs/>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6" w:type="dxa"/>
            <w:tcBorders>
              <w:tl2br w:val="nil"/>
              <w:tr2bl w:val="nil"/>
            </w:tcBorders>
            <w:vAlign w:val="center"/>
          </w:tcPr>
          <w:p>
            <w:pPr>
              <w:snapToGrid w:val="0"/>
              <w:spacing w:line="300" w:lineRule="auto"/>
              <w:jc w:val="center"/>
              <w:rPr>
                <w:rFonts w:cs="Calibri"/>
                <w:sz w:val="21"/>
                <w:szCs w:val="21"/>
              </w:rPr>
            </w:pPr>
            <w:r>
              <w:rPr>
                <w:rFonts w:hint="eastAsia" w:cs="Calibri"/>
                <w:sz w:val="21"/>
                <w:szCs w:val="21"/>
              </w:rPr>
              <w:t>1</w:t>
            </w:r>
          </w:p>
        </w:tc>
        <w:tc>
          <w:tcPr>
            <w:tcW w:w="2112" w:type="dxa"/>
            <w:tcBorders>
              <w:tl2br w:val="nil"/>
              <w:tr2bl w:val="nil"/>
            </w:tcBorders>
            <w:vAlign w:val="center"/>
          </w:tcPr>
          <w:p>
            <w:pPr>
              <w:snapToGrid w:val="0"/>
              <w:spacing w:line="300" w:lineRule="auto"/>
              <w:rPr>
                <w:rFonts w:cs="Calibri"/>
                <w:kern w:val="2"/>
                <w:sz w:val="21"/>
                <w:szCs w:val="21"/>
              </w:rPr>
            </w:pPr>
            <w:r>
              <w:rPr>
                <w:rFonts w:ascii="Calibri" w:hAnsi="Calibri" w:eastAsia="宋体" w:cs="Calibri"/>
                <w:sz w:val="21"/>
                <w:szCs w:val="21"/>
              </w:rPr>
              <w:t>会议受理</w:t>
            </w:r>
          </w:p>
        </w:tc>
        <w:tc>
          <w:tcPr>
            <w:tcW w:w="6042" w:type="dxa"/>
            <w:tcBorders>
              <w:tl2br w:val="nil"/>
              <w:tr2bl w:val="nil"/>
            </w:tcBorders>
            <w:vAlign w:val="center"/>
          </w:tcPr>
          <w:p>
            <w:pPr>
              <w:snapToGrid w:val="0"/>
              <w:spacing w:line="300" w:lineRule="auto"/>
              <w:ind w:firstLine="420" w:firstLineChars="200"/>
              <w:rPr>
                <w:rFonts w:cs="Calibri"/>
                <w:kern w:val="2"/>
                <w:sz w:val="21"/>
                <w:szCs w:val="21"/>
              </w:rPr>
            </w:pPr>
            <w:r>
              <w:rPr>
                <w:rFonts w:ascii="Calibri" w:hAnsi="Calibri" w:eastAsia="宋体" w:cs="Calibri"/>
                <w:sz w:val="21"/>
                <w:szCs w:val="21"/>
              </w:rPr>
              <w:t>接受会议</w:t>
            </w:r>
            <w:r>
              <w:rPr>
                <w:rFonts w:hint="eastAsia" w:ascii="Calibri" w:hAnsi="Calibri" w:eastAsia="宋体" w:cs="Calibri"/>
                <w:sz w:val="21"/>
                <w:szCs w:val="21"/>
              </w:rPr>
              <w:t>预订</w:t>
            </w:r>
            <w:r>
              <w:rPr>
                <w:rFonts w:ascii="Calibri" w:hAnsi="Calibri" w:eastAsia="宋体" w:cs="Calibri"/>
                <w:sz w:val="21"/>
                <w:szCs w:val="21"/>
              </w:rPr>
              <w:t>，记录会议需求</w:t>
            </w:r>
            <w:r>
              <w:rPr>
                <w:rFonts w:hint="eastAsia" w:cs="Calibri"/>
                <w:sz w:val="21"/>
                <w:szCs w:val="21"/>
              </w:rPr>
              <w:t>，做好会前会场清洁、会务服务登记工作</w:t>
            </w:r>
            <w:r>
              <w:rPr>
                <w:rFonts w:hint="eastAsia" w:ascii="Calibri" w:hAnsi="Calibri"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6" w:type="dxa"/>
            <w:tcBorders>
              <w:tl2br w:val="nil"/>
              <w:tr2bl w:val="nil"/>
            </w:tcBorders>
            <w:vAlign w:val="center"/>
          </w:tcPr>
          <w:p>
            <w:pPr>
              <w:snapToGrid w:val="0"/>
              <w:spacing w:line="300" w:lineRule="auto"/>
              <w:jc w:val="center"/>
              <w:rPr>
                <w:rFonts w:cs="Calibri"/>
                <w:sz w:val="21"/>
                <w:szCs w:val="21"/>
              </w:rPr>
            </w:pPr>
            <w:r>
              <w:rPr>
                <w:rFonts w:hint="eastAsia" w:cs="Calibri"/>
                <w:sz w:val="21"/>
                <w:szCs w:val="21"/>
              </w:rPr>
              <w:t>2</w:t>
            </w:r>
          </w:p>
        </w:tc>
        <w:tc>
          <w:tcPr>
            <w:tcW w:w="2112" w:type="dxa"/>
            <w:tcBorders>
              <w:tl2br w:val="nil"/>
              <w:tr2bl w:val="nil"/>
            </w:tcBorders>
            <w:vAlign w:val="center"/>
          </w:tcPr>
          <w:p>
            <w:pPr>
              <w:snapToGrid w:val="0"/>
              <w:spacing w:line="300" w:lineRule="auto"/>
              <w:rPr>
                <w:rFonts w:cs="Calibri"/>
                <w:kern w:val="2"/>
                <w:sz w:val="21"/>
                <w:szCs w:val="21"/>
              </w:rPr>
            </w:pPr>
            <w:r>
              <w:rPr>
                <w:rFonts w:ascii="Calibri" w:hAnsi="Calibri" w:eastAsia="宋体" w:cs="Calibri"/>
                <w:sz w:val="21"/>
                <w:szCs w:val="21"/>
              </w:rPr>
              <w:t>会前准备</w:t>
            </w:r>
          </w:p>
        </w:tc>
        <w:tc>
          <w:tcPr>
            <w:tcW w:w="6042" w:type="dxa"/>
            <w:tcBorders>
              <w:tl2br w:val="nil"/>
              <w:tr2bl w:val="nil"/>
            </w:tcBorders>
            <w:vAlign w:val="center"/>
          </w:tcPr>
          <w:p>
            <w:pPr>
              <w:snapToGrid w:val="0"/>
              <w:spacing w:line="300" w:lineRule="auto"/>
              <w:ind w:firstLine="420" w:firstLineChars="200"/>
              <w:rPr>
                <w:rFonts w:cs="Calibri"/>
                <w:kern w:val="2"/>
                <w:sz w:val="21"/>
                <w:szCs w:val="21"/>
              </w:rPr>
            </w:pPr>
            <w:r>
              <w:rPr>
                <w:rFonts w:ascii="Calibri" w:hAnsi="Calibri" w:eastAsia="宋体" w:cs="Calibri"/>
                <w:sz w:val="21"/>
                <w:szCs w:val="21"/>
              </w:rPr>
              <w:t>根据会议需求、场地大小、用途，明确</w:t>
            </w:r>
            <w:r>
              <w:rPr>
                <w:rFonts w:hint="eastAsia" w:cs="Calibri"/>
                <w:sz w:val="21"/>
                <w:szCs w:val="21"/>
              </w:rPr>
              <w:t>会议桌椅、物品、设备、文具等</w:t>
            </w:r>
            <w:r>
              <w:rPr>
                <w:rFonts w:ascii="Calibri" w:hAnsi="Calibri" w:eastAsia="宋体" w:cs="Calibri"/>
                <w:sz w:val="21"/>
                <w:szCs w:val="21"/>
              </w:rPr>
              <w:t>摆放</w:t>
            </w:r>
            <w:r>
              <w:rPr>
                <w:rFonts w:hint="eastAsia" w:cs="Calibri"/>
                <w:sz w:val="21"/>
                <w:szCs w:val="21"/>
              </w:rPr>
              <w:t>规定，按照会议要求进行现场布置，做好音、视频设施保障措施。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6" w:type="dxa"/>
            <w:tcBorders>
              <w:tl2br w:val="nil"/>
              <w:tr2bl w:val="nil"/>
            </w:tcBorders>
            <w:vAlign w:val="center"/>
          </w:tcPr>
          <w:p>
            <w:pPr>
              <w:snapToGrid w:val="0"/>
              <w:spacing w:line="300" w:lineRule="auto"/>
              <w:jc w:val="center"/>
              <w:rPr>
                <w:rFonts w:cs="Calibri"/>
                <w:sz w:val="21"/>
                <w:szCs w:val="21"/>
              </w:rPr>
            </w:pPr>
            <w:r>
              <w:rPr>
                <w:rFonts w:hint="eastAsia" w:cs="Calibri"/>
                <w:sz w:val="21"/>
                <w:szCs w:val="21"/>
              </w:rPr>
              <w:t>3</w:t>
            </w:r>
          </w:p>
        </w:tc>
        <w:tc>
          <w:tcPr>
            <w:tcW w:w="2112" w:type="dxa"/>
            <w:tcBorders>
              <w:tl2br w:val="nil"/>
              <w:tr2bl w:val="nil"/>
            </w:tcBorders>
            <w:vAlign w:val="center"/>
          </w:tcPr>
          <w:p>
            <w:pPr>
              <w:snapToGrid w:val="0"/>
              <w:spacing w:line="300" w:lineRule="auto"/>
              <w:rPr>
                <w:rFonts w:cs="Calibri"/>
                <w:kern w:val="2"/>
                <w:sz w:val="21"/>
                <w:szCs w:val="21"/>
              </w:rPr>
            </w:pPr>
            <w:r>
              <w:rPr>
                <w:rFonts w:ascii="Calibri" w:hAnsi="Calibri" w:eastAsia="宋体" w:cs="Calibri"/>
                <w:sz w:val="21"/>
                <w:szCs w:val="21"/>
              </w:rPr>
              <w:t>引导服务</w:t>
            </w:r>
          </w:p>
        </w:tc>
        <w:tc>
          <w:tcPr>
            <w:tcW w:w="6042" w:type="dxa"/>
            <w:tcBorders>
              <w:tl2br w:val="nil"/>
              <w:tr2bl w:val="nil"/>
            </w:tcBorders>
            <w:vAlign w:val="center"/>
          </w:tcPr>
          <w:p>
            <w:pPr>
              <w:snapToGrid w:val="0"/>
              <w:spacing w:line="300" w:lineRule="auto"/>
              <w:ind w:firstLine="420" w:firstLineChars="200"/>
              <w:rPr>
                <w:rFonts w:cs="Calibri"/>
                <w:kern w:val="2"/>
                <w:sz w:val="21"/>
                <w:szCs w:val="21"/>
              </w:rPr>
            </w:pPr>
            <w:r>
              <w:rPr>
                <w:rFonts w:ascii="Calibri" w:hAnsi="Calibri" w:eastAsia="宋体" w:cs="Calibri"/>
                <w:sz w:val="21"/>
                <w:szCs w:val="21"/>
              </w:rPr>
              <w:t>做好引导牌并放置在指定位置</w:t>
            </w:r>
            <w:r>
              <w:rPr>
                <w:rFonts w:hint="eastAsia" w:ascii="Calibri" w:hAnsi="Calibri" w:eastAsia="宋体" w:cs="Calibri"/>
                <w:sz w:val="21"/>
                <w:szCs w:val="21"/>
              </w:rPr>
              <w:t>，</w:t>
            </w:r>
            <w:r>
              <w:rPr>
                <w:rFonts w:ascii="Calibri" w:hAnsi="Calibri" w:eastAsia="宋体" w:cs="Calibri"/>
                <w:sz w:val="21"/>
                <w:szCs w:val="21"/>
              </w:rPr>
              <w:t>引导人员引导手势规范，语言标准</w:t>
            </w:r>
            <w:r>
              <w:rPr>
                <w:rFonts w:hint="eastAsia" w:ascii="Calibri" w:hAnsi="Calibri"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6" w:type="dxa"/>
            <w:tcBorders>
              <w:tl2br w:val="nil"/>
              <w:tr2bl w:val="nil"/>
            </w:tcBorders>
            <w:vAlign w:val="center"/>
          </w:tcPr>
          <w:p>
            <w:pPr>
              <w:snapToGrid w:val="0"/>
              <w:spacing w:line="300" w:lineRule="auto"/>
              <w:jc w:val="center"/>
              <w:rPr>
                <w:rFonts w:cs="Calibri"/>
                <w:sz w:val="21"/>
                <w:szCs w:val="21"/>
              </w:rPr>
            </w:pPr>
            <w:r>
              <w:rPr>
                <w:rFonts w:hint="eastAsia" w:cs="Calibri"/>
                <w:sz w:val="21"/>
                <w:szCs w:val="21"/>
              </w:rPr>
              <w:t>4</w:t>
            </w:r>
          </w:p>
        </w:tc>
        <w:tc>
          <w:tcPr>
            <w:tcW w:w="2112" w:type="dxa"/>
            <w:tcBorders>
              <w:tl2br w:val="nil"/>
              <w:tr2bl w:val="nil"/>
            </w:tcBorders>
            <w:vAlign w:val="center"/>
          </w:tcPr>
          <w:p>
            <w:pPr>
              <w:snapToGrid w:val="0"/>
              <w:spacing w:line="300" w:lineRule="auto"/>
              <w:rPr>
                <w:rFonts w:cs="Calibri"/>
                <w:kern w:val="2"/>
                <w:sz w:val="21"/>
                <w:szCs w:val="21"/>
              </w:rPr>
            </w:pPr>
            <w:r>
              <w:rPr>
                <w:rFonts w:ascii="Calibri" w:hAnsi="Calibri" w:eastAsia="宋体" w:cs="Calibri"/>
                <w:sz w:val="21"/>
                <w:szCs w:val="21"/>
              </w:rPr>
              <w:t>会中服务</w:t>
            </w:r>
          </w:p>
        </w:tc>
        <w:tc>
          <w:tcPr>
            <w:tcW w:w="6042" w:type="dxa"/>
            <w:tcBorders>
              <w:tl2br w:val="nil"/>
              <w:tr2bl w:val="nil"/>
            </w:tcBorders>
            <w:vAlign w:val="center"/>
          </w:tcPr>
          <w:p>
            <w:pPr>
              <w:snapToGrid w:val="0"/>
              <w:spacing w:line="300" w:lineRule="auto"/>
              <w:ind w:firstLine="420" w:firstLineChars="200"/>
              <w:rPr>
                <w:rFonts w:cs="Calibri"/>
                <w:kern w:val="2"/>
                <w:sz w:val="21"/>
                <w:szCs w:val="21"/>
              </w:rPr>
            </w:pPr>
            <w:r>
              <w:rPr>
                <w:rFonts w:ascii="Calibri" w:hAnsi="Calibri" w:eastAsia="宋体" w:cs="Calibri"/>
                <w:sz w:val="21"/>
                <w:szCs w:val="21"/>
              </w:rPr>
              <w:t>会议</w:t>
            </w:r>
            <w:r>
              <w:rPr>
                <w:rFonts w:hint="eastAsia" w:cs="Calibri"/>
                <w:sz w:val="21"/>
                <w:szCs w:val="21"/>
              </w:rPr>
              <w:t>期间服务人员按照要求进行加水等会务服务，并保证音、视频设施设备正常运转</w:t>
            </w:r>
            <w:r>
              <w:rPr>
                <w:rFonts w:hint="eastAsia" w:ascii="Calibri" w:hAnsi="Calibri" w:eastAsia="宋体" w:cs="Calibri"/>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6" w:type="dxa"/>
            <w:tcBorders>
              <w:tl2br w:val="nil"/>
              <w:tr2bl w:val="nil"/>
            </w:tcBorders>
            <w:vAlign w:val="center"/>
          </w:tcPr>
          <w:p>
            <w:pPr>
              <w:snapToGrid w:val="0"/>
              <w:spacing w:line="300" w:lineRule="auto"/>
              <w:jc w:val="center"/>
              <w:rPr>
                <w:rFonts w:cs="Calibri"/>
                <w:sz w:val="21"/>
                <w:szCs w:val="21"/>
              </w:rPr>
            </w:pPr>
            <w:r>
              <w:rPr>
                <w:rFonts w:hint="eastAsia" w:cs="Calibri"/>
                <w:sz w:val="21"/>
                <w:szCs w:val="21"/>
              </w:rPr>
              <w:t>5</w:t>
            </w:r>
          </w:p>
        </w:tc>
        <w:tc>
          <w:tcPr>
            <w:tcW w:w="2112" w:type="dxa"/>
            <w:tcBorders>
              <w:tl2br w:val="nil"/>
              <w:tr2bl w:val="nil"/>
            </w:tcBorders>
            <w:vAlign w:val="center"/>
          </w:tcPr>
          <w:p>
            <w:pPr>
              <w:snapToGrid w:val="0"/>
              <w:spacing w:line="300" w:lineRule="auto"/>
              <w:rPr>
                <w:rFonts w:cs="Calibri"/>
                <w:kern w:val="2"/>
                <w:sz w:val="21"/>
                <w:szCs w:val="21"/>
              </w:rPr>
            </w:pPr>
            <w:r>
              <w:rPr>
                <w:rFonts w:ascii="Calibri" w:hAnsi="Calibri" w:eastAsia="宋体" w:cs="Calibri"/>
                <w:sz w:val="21"/>
                <w:szCs w:val="21"/>
              </w:rPr>
              <w:t>会后</w:t>
            </w:r>
            <w:r>
              <w:rPr>
                <w:rFonts w:hint="eastAsia" w:ascii="Calibri" w:hAnsi="Calibri" w:eastAsia="宋体" w:cs="Calibri"/>
                <w:sz w:val="21"/>
                <w:szCs w:val="21"/>
              </w:rPr>
              <w:t>整理</w:t>
            </w:r>
          </w:p>
        </w:tc>
        <w:tc>
          <w:tcPr>
            <w:tcW w:w="6042" w:type="dxa"/>
            <w:tcBorders>
              <w:tl2br w:val="nil"/>
              <w:tr2bl w:val="nil"/>
            </w:tcBorders>
            <w:vAlign w:val="center"/>
          </w:tcPr>
          <w:p>
            <w:pPr>
              <w:snapToGrid w:val="0"/>
              <w:spacing w:line="300" w:lineRule="auto"/>
              <w:ind w:firstLine="420" w:firstLineChars="200"/>
              <w:rPr>
                <w:rFonts w:cs="Calibri"/>
                <w:sz w:val="21"/>
                <w:szCs w:val="21"/>
              </w:rPr>
            </w:pPr>
            <w:r>
              <w:rPr>
                <w:rFonts w:ascii="Calibri" w:hAnsi="Calibri" w:eastAsia="宋体" w:cs="Calibri"/>
                <w:sz w:val="21"/>
                <w:szCs w:val="21"/>
              </w:rPr>
              <w:t>对会议现场进行检查，做好会场清扫工作。</w:t>
            </w:r>
          </w:p>
          <w:p>
            <w:pPr>
              <w:snapToGrid w:val="0"/>
              <w:spacing w:line="300" w:lineRule="auto"/>
              <w:ind w:firstLine="420" w:firstLineChars="200"/>
              <w:rPr>
                <w:rFonts w:cs="Calibri"/>
                <w:sz w:val="21"/>
                <w:szCs w:val="21"/>
              </w:rPr>
            </w:pPr>
            <w:r>
              <w:rPr>
                <w:rFonts w:ascii="Calibri" w:hAnsi="Calibri" w:eastAsia="宋体" w:cs="Calibri"/>
                <w:sz w:val="21"/>
                <w:szCs w:val="21"/>
              </w:rPr>
              <w:t>对会议现场</w:t>
            </w:r>
            <w:r>
              <w:rPr>
                <w:rFonts w:hint="eastAsia" w:cs="Calibri"/>
                <w:sz w:val="21"/>
                <w:szCs w:val="21"/>
              </w:rPr>
              <w:t>使用杯具及时清洗，并放至消毒柜</w:t>
            </w:r>
            <w:r>
              <w:rPr>
                <w:rFonts w:ascii="Calibri" w:hAnsi="Calibri" w:eastAsia="宋体" w:cs="Calibri"/>
                <w:sz w:val="21"/>
                <w:szCs w:val="21"/>
              </w:rPr>
              <w:t>，做好</w:t>
            </w:r>
            <w:r>
              <w:rPr>
                <w:rFonts w:hint="eastAsia" w:cs="Calibri"/>
                <w:sz w:val="21"/>
                <w:szCs w:val="21"/>
              </w:rPr>
              <w:t>餐具等用品收纳工作</w:t>
            </w:r>
            <w:r>
              <w:rPr>
                <w:rFonts w:ascii="Calibri" w:hAnsi="Calibri" w:eastAsia="宋体" w:cs="Calibri"/>
                <w:sz w:val="21"/>
                <w:szCs w:val="21"/>
              </w:rPr>
              <w:t>。</w:t>
            </w:r>
          </w:p>
        </w:tc>
      </w:tr>
    </w:tbl>
    <w:p>
      <w:pPr>
        <w:pStyle w:val="4"/>
        <w:ind w:firstLine="562"/>
        <w:rPr>
          <w:iCs/>
          <w:szCs w:val="24"/>
        </w:rPr>
      </w:pPr>
      <w:r>
        <w:rPr>
          <w:rFonts w:hint="eastAsia" w:ascii="宋体" w:hAnsi="宋体" w:cs="宋体"/>
          <w:szCs w:val="24"/>
        </w:rPr>
        <w:t>2.7餐饮服务</w:t>
      </w:r>
    </w:p>
    <w:tbl>
      <w:tblPr>
        <w:tblStyle w:val="103"/>
        <w:tblW w:w="9057" w:type="dxa"/>
        <w:tblInd w:w="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2"/>
        <w:gridCol w:w="1289"/>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trPr>
        <w:tc>
          <w:tcPr>
            <w:tcW w:w="842" w:type="dxa"/>
            <w:vAlign w:val="center"/>
          </w:tcPr>
          <w:p>
            <w:pPr>
              <w:snapToGrid w:val="0"/>
              <w:spacing w:line="300" w:lineRule="auto"/>
              <w:jc w:val="center"/>
              <w:rPr>
                <w:rFonts w:cs="Calibri" w:asciiTheme="minorEastAsia" w:hAnsiTheme="minorEastAsia"/>
                <w:b/>
                <w:sz w:val="21"/>
                <w:szCs w:val="21"/>
              </w:rPr>
            </w:pPr>
            <w:r>
              <w:rPr>
                <w:rFonts w:hint="eastAsia" w:cs="Calibri" w:asciiTheme="minorEastAsia" w:hAnsiTheme="minorEastAsia"/>
                <w:b/>
                <w:sz w:val="21"/>
                <w:szCs w:val="21"/>
              </w:rPr>
              <w:t>序号</w:t>
            </w:r>
          </w:p>
        </w:tc>
        <w:tc>
          <w:tcPr>
            <w:tcW w:w="1289" w:type="dxa"/>
            <w:vAlign w:val="center"/>
          </w:tcPr>
          <w:p>
            <w:pPr>
              <w:snapToGrid w:val="0"/>
              <w:spacing w:line="300" w:lineRule="auto"/>
              <w:jc w:val="center"/>
              <w:rPr>
                <w:rFonts w:cs="Calibri" w:asciiTheme="minorEastAsia" w:hAnsiTheme="minorEastAsia"/>
                <w:b/>
                <w:sz w:val="21"/>
                <w:szCs w:val="21"/>
              </w:rPr>
            </w:pPr>
            <w:r>
              <w:rPr>
                <w:rFonts w:hint="eastAsia" w:cs="Calibri" w:asciiTheme="minorEastAsia" w:hAnsiTheme="minorEastAsia"/>
                <w:b/>
                <w:sz w:val="21"/>
                <w:szCs w:val="21"/>
              </w:rPr>
              <w:t>服务内容</w:t>
            </w:r>
          </w:p>
        </w:tc>
        <w:tc>
          <w:tcPr>
            <w:tcW w:w="6926" w:type="dxa"/>
            <w:vAlign w:val="center"/>
          </w:tcPr>
          <w:p>
            <w:pPr>
              <w:snapToGrid w:val="0"/>
              <w:spacing w:line="300" w:lineRule="auto"/>
              <w:jc w:val="center"/>
              <w:rPr>
                <w:rFonts w:cs="Calibri" w:asciiTheme="minorEastAsia" w:hAnsiTheme="minorEastAsia"/>
                <w:b/>
                <w:sz w:val="21"/>
                <w:szCs w:val="21"/>
              </w:rPr>
            </w:pPr>
            <w:r>
              <w:rPr>
                <w:rFonts w:hint="eastAsia" w:cs="Calibri" w:asciiTheme="minorEastAsia" w:hAnsiTheme="minorEastAsia"/>
                <w:b/>
                <w:sz w:val="21"/>
                <w:szCs w:val="21"/>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3" w:hRule="atLeast"/>
        </w:trPr>
        <w:tc>
          <w:tcPr>
            <w:tcW w:w="842" w:type="dxa"/>
            <w:vAlign w:val="center"/>
          </w:tcPr>
          <w:p>
            <w:pPr>
              <w:snapToGrid w:val="0"/>
              <w:spacing w:line="300" w:lineRule="auto"/>
              <w:jc w:val="center"/>
              <w:rPr>
                <w:rFonts w:cs="Calibri" w:asciiTheme="minorEastAsia" w:hAnsiTheme="minorEastAsia"/>
                <w:sz w:val="21"/>
                <w:szCs w:val="21"/>
              </w:rPr>
            </w:pPr>
            <w:r>
              <w:rPr>
                <w:rFonts w:hint="eastAsia" w:cs="Calibri" w:asciiTheme="minorEastAsia" w:hAnsiTheme="minorEastAsia"/>
                <w:sz w:val="21"/>
                <w:szCs w:val="21"/>
              </w:rPr>
              <w:t>1</w:t>
            </w:r>
          </w:p>
        </w:tc>
        <w:tc>
          <w:tcPr>
            <w:tcW w:w="1289" w:type="dxa"/>
            <w:vAlign w:val="center"/>
          </w:tcPr>
          <w:p>
            <w:pPr>
              <w:snapToGrid w:val="0"/>
              <w:spacing w:line="300" w:lineRule="auto"/>
              <w:jc w:val="center"/>
              <w:rPr>
                <w:rFonts w:cs="Calibri" w:asciiTheme="minorEastAsia" w:hAnsiTheme="minorEastAsia"/>
                <w:sz w:val="21"/>
                <w:szCs w:val="21"/>
              </w:rPr>
            </w:pPr>
            <w:r>
              <w:rPr>
                <w:rFonts w:hint="eastAsia" w:cs="Calibri" w:asciiTheme="minorEastAsia" w:hAnsiTheme="minorEastAsia"/>
                <w:sz w:val="21"/>
                <w:szCs w:val="21"/>
              </w:rPr>
              <w:t>日常供餐</w:t>
            </w:r>
          </w:p>
          <w:p>
            <w:pPr>
              <w:snapToGrid w:val="0"/>
              <w:spacing w:line="300" w:lineRule="auto"/>
              <w:jc w:val="center"/>
              <w:rPr>
                <w:rFonts w:cs="Calibri" w:asciiTheme="minorEastAsia" w:hAnsiTheme="minorEastAsia"/>
                <w:sz w:val="21"/>
                <w:szCs w:val="21"/>
              </w:rPr>
            </w:pPr>
            <w:r>
              <w:rPr>
                <w:rFonts w:hint="eastAsia" w:cs="Calibri" w:asciiTheme="minorEastAsia" w:hAnsiTheme="minorEastAsia"/>
                <w:sz w:val="21"/>
                <w:szCs w:val="21"/>
              </w:rPr>
              <w:t>（不含</w:t>
            </w:r>
            <w:r>
              <w:rPr>
                <w:rFonts w:cs="Calibri" w:asciiTheme="minorEastAsia" w:hAnsiTheme="minorEastAsia"/>
                <w:sz w:val="21"/>
                <w:szCs w:val="21"/>
              </w:rPr>
              <w:t>食材采购</w:t>
            </w:r>
            <w:r>
              <w:rPr>
                <w:rFonts w:hint="eastAsia" w:cs="Calibri" w:asciiTheme="minorEastAsia" w:hAnsiTheme="minorEastAsia"/>
                <w:sz w:val="21"/>
                <w:szCs w:val="21"/>
              </w:rPr>
              <w:t>）</w:t>
            </w:r>
          </w:p>
        </w:tc>
        <w:tc>
          <w:tcPr>
            <w:tcW w:w="6926" w:type="dxa"/>
          </w:tcPr>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按照食谱进行菜品加工，在规定时间内开餐，满足要求。</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每周制定食谱，根据季节变化做好伙食调剂，每周拟定食谱，征采购人审定后执行。</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供应馒头、包子、熟食等外卖品种。</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根据不同的节日，供应特色菜品。</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饭菜质量严格按照餐饮行业要求制作。</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每日提供三餐。</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就餐人数约500人左右，特殊时期（如遇临时培训、会议等）人数会有增加。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3" w:hRule="atLeast"/>
        </w:trPr>
        <w:tc>
          <w:tcPr>
            <w:tcW w:w="842" w:type="dxa"/>
            <w:shd w:val="clear" w:color="auto" w:fill="auto"/>
            <w:vAlign w:val="center"/>
          </w:tcPr>
          <w:p>
            <w:pPr>
              <w:snapToGrid w:val="0"/>
              <w:spacing w:line="300" w:lineRule="auto"/>
              <w:jc w:val="center"/>
              <w:rPr>
                <w:rFonts w:cs="Calibri" w:asciiTheme="minorEastAsia" w:hAnsiTheme="minorEastAsia"/>
                <w:sz w:val="21"/>
                <w:szCs w:val="21"/>
              </w:rPr>
            </w:pPr>
            <w:r>
              <w:rPr>
                <w:rFonts w:hint="eastAsia" w:cs="Calibri" w:asciiTheme="minorEastAsia" w:hAnsiTheme="minorEastAsia"/>
                <w:sz w:val="21"/>
                <w:szCs w:val="21"/>
              </w:rPr>
              <w:t>2</w:t>
            </w:r>
          </w:p>
        </w:tc>
        <w:tc>
          <w:tcPr>
            <w:tcW w:w="1289" w:type="dxa"/>
            <w:shd w:val="clear" w:color="auto" w:fill="auto"/>
            <w:vAlign w:val="center"/>
          </w:tcPr>
          <w:p>
            <w:pPr>
              <w:snapToGrid w:val="0"/>
              <w:spacing w:line="300" w:lineRule="auto"/>
              <w:jc w:val="center"/>
              <w:rPr>
                <w:rFonts w:cs="Calibri" w:asciiTheme="minorEastAsia" w:hAnsiTheme="minorEastAsia"/>
                <w:sz w:val="21"/>
                <w:szCs w:val="21"/>
                <w:lang w:eastAsia="en-US"/>
              </w:rPr>
            </w:pPr>
            <w:r>
              <w:rPr>
                <w:rFonts w:hint="eastAsia" w:cs="Calibri" w:asciiTheme="minorEastAsia" w:hAnsiTheme="minorEastAsia"/>
                <w:sz w:val="21"/>
                <w:szCs w:val="21"/>
              </w:rPr>
              <w:t>用餐接待</w:t>
            </w:r>
          </w:p>
        </w:tc>
        <w:tc>
          <w:tcPr>
            <w:tcW w:w="6926" w:type="dxa"/>
            <w:shd w:val="clear" w:color="auto" w:fill="auto"/>
          </w:tcPr>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服务人员仪表端庄、精神饱满、举止得体。</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主动服务、耐心、周到。</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开餐前，服务人员根据用餐人数调整餐桌座椅、餐具等。</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开餐期间，服务员及时查看食台上菜品是否完整、美观。并对菜品进行添加，及时清理掉落菜品，保持餐台及周边地面清洁。</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开餐结束，用餐人员全部离开餐厅后，将各种菜品回收到厨房，清理台面垃圾，撤换台布、恢复台面。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trPr>
        <w:tc>
          <w:tcPr>
            <w:tcW w:w="842" w:type="dxa"/>
            <w:shd w:val="clear" w:color="auto" w:fill="auto"/>
            <w:vAlign w:val="center"/>
          </w:tcPr>
          <w:p>
            <w:pPr>
              <w:snapToGrid w:val="0"/>
              <w:spacing w:line="300" w:lineRule="auto"/>
              <w:jc w:val="center"/>
              <w:rPr>
                <w:rFonts w:cs="Calibri" w:asciiTheme="minorEastAsia" w:hAnsiTheme="minorEastAsia"/>
                <w:sz w:val="21"/>
                <w:szCs w:val="21"/>
              </w:rPr>
            </w:pPr>
            <w:r>
              <w:rPr>
                <w:rFonts w:hint="eastAsia" w:cs="Calibri" w:asciiTheme="minorEastAsia" w:hAnsiTheme="minorEastAsia"/>
                <w:sz w:val="21"/>
                <w:szCs w:val="21"/>
              </w:rPr>
              <w:t>3</w:t>
            </w:r>
          </w:p>
        </w:tc>
        <w:tc>
          <w:tcPr>
            <w:tcW w:w="1289" w:type="dxa"/>
            <w:shd w:val="clear" w:color="auto" w:fill="auto"/>
            <w:vAlign w:val="center"/>
          </w:tcPr>
          <w:p>
            <w:pPr>
              <w:snapToGrid w:val="0"/>
              <w:spacing w:line="300" w:lineRule="auto"/>
              <w:jc w:val="center"/>
              <w:rPr>
                <w:rFonts w:cs="Calibri" w:asciiTheme="minorEastAsia" w:hAnsiTheme="minorEastAsia"/>
                <w:sz w:val="21"/>
                <w:szCs w:val="21"/>
                <w:lang w:eastAsia="en-US"/>
              </w:rPr>
            </w:pPr>
            <w:r>
              <w:rPr>
                <w:rFonts w:hint="eastAsia" w:cs="Calibri" w:asciiTheme="minorEastAsia" w:hAnsiTheme="minorEastAsia"/>
                <w:sz w:val="21"/>
                <w:szCs w:val="21"/>
              </w:rPr>
              <w:t>操作安全</w:t>
            </w:r>
          </w:p>
        </w:tc>
        <w:tc>
          <w:tcPr>
            <w:tcW w:w="6926" w:type="dxa"/>
            <w:shd w:val="clear" w:color="auto" w:fill="auto"/>
          </w:tcPr>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制订并严格执行安全管理制度，做好餐厅用电、用水、用火、用气的安全管理。</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严格按照各类餐饮设备操作规程规范操作，定期进行维护保养。班后检查水、电、气是否关闭，在确保无异常情况后锁好门窗。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3" w:hRule="atLeast"/>
        </w:trPr>
        <w:tc>
          <w:tcPr>
            <w:tcW w:w="842" w:type="dxa"/>
            <w:shd w:val="clear" w:color="auto" w:fill="auto"/>
            <w:vAlign w:val="center"/>
          </w:tcPr>
          <w:p>
            <w:pPr>
              <w:snapToGrid w:val="0"/>
              <w:spacing w:line="300" w:lineRule="auto"/>
              <w:jc w:val="center"/>
              <w:rPr>
                <w:rFonts w:cs="Calibri" w:asciiTheme="minorEastAsia" w:hAnsiTheme="minorEastAsia"/>
                <w:sz w:val="21"/>
                <w:szCs w:val="21"/>
              </w:rPr>
            </w:pPr>
            <w:r>
              <w:rPr>
                <w:rFonts w:hint="eastAsia" w:cs="Calibri" w:asciiTheme="minorEastAsia" w:hAnsiTheme="minorEastAsia"/>
                <w:sz w:val="21"/>
                <w:szCs w:val="21"/>
              </w:rPr>
              <w:t>4</w:t>
            </w:r>
          </w:p>
        </w:tc>
        <w:tc>
          <w:tcPr>
            <w:tcW w:w="1289" w:type="dxa"/>
            <w:shd w:val="clear" w:color="auto" w:fill="auto"/>
            <w:vAlign w:val="center"/>
          </w:tcPr>
          <w:p>
            <w:pPr>
              <w:snapToGrid w:val="0"/>
              <w:spacing w:line="300" w:lineRule="auto"/>
              <w:jc w:val="center"/>
              <w:rPr>
                <w:rFonts w:cs="Calibri" w:asciiTheme="minorEastAsia" w:hAnsiTheme="minorEastAsia"/>
                <w:sz w:val="21"/>
                <w:szCs w:val="21"/>
                <w:lang w:eastAsia="en-US"/>
              </w:rPr>
            </w:pPr>
            <w:r>
              <w:rPr>
                <w:rFonts w:hint="eastAsia" w:cs="Calibri" w:asciiTheme="minorEastAsia" w:hAnsiTheme="minorEastAsia"/>
                <w:sz w:val="21"/>
                <w:szCs w:val="21"/>
              </w:rPr>
              <w:t>卫生管理</w:t>
            </w:r>
          </w:p>
        </w:tc>
        <w:tc>
          <w:tcPr>
            <w:tcW w:w="6926" w:type="dxa"/>
            <w:shd w:val="clear" w:color="auto" w:fill="auto"/>
          </w:tcPr>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厨房的天花板、墙壁光滑，无积尘、蜘蛛网，无霉斑、无油腻，排水沟干净通畅。</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周围环境无污染源，垃圾桶密封且保证垃圾干湿分离，明暗沟下水排放通畅。</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保持就餐区域的桌椅等卫生清洁，做到门窗清洁、地板光亮、地毯整洁，墙面天花板、出风口无积灰，墙角无蛛网。</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保持餐厅走廊过道等公共场所的干净整洁、无浮灰，无脏迹。</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灶台、厨具、厨柜、冰箱、燃气炉、蒸箱等设备保持无积垢、无残渣。防尘、防蝇、排烟、通风设施完好，保持卫生干净整洁。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3" w:hRule="atLeast"/>
        </w:trPr>
        <w:tc>
          <w:tcPr>
            <w:tcW w:w="842" w:type="dxa"/>
            <w:shd w:val="clear" w:color="auto" w:fill="auto"/>
            <w:vAlign w:val="center"/>
          </w:tcPr>
          <w:p>
            <w:pPr>
              <w:snapToGrid w:val="0"/>
              <w:spacing w:line="300" w:lineRule="auto"/>
              <w:jc w:val="center"/>
              <w:rPr>
                <w:rFonts w:cs="Calibri" w:asciiTheme="minorEastAsia" w:hAnsiTheme="minorEastAsia"/>
                <w:sz w:val="21"/>
                <w:szCs w:val="21"/>
              </w:rPr>
            </w:pPr>
            <w:r>
              <w:rPr>
                <w:rFonts w:hint="eastAsia" w:cs="Calibri" w:asciiTheme="minorEastAsia" w:hAnsiTheme="minorEastAsia"/>
                <w:sz w:val="21"/>
                <w:szCs w:val="21"/>
              </w:rPr>
              <w:t>5</w:t>
            </w:r>
          </w:p>
        </w:tc>
        <w:tc>
          <w:tcPr>
            <w:tcW w:w="1289" w:type="dxa"/>
            <w:shd w:val="clear" w:color="auto" w:fill="auto"/>
            <w:vAlign w:val="center"/>
          </w:tcPr>
          <w:p>
            <w:pPr>
              <w:snapToGrid w:val="0"/>
              <w:spacing w:line="300" w:lineRule="auto"/>
              <w:jc w:val="center"/>
              <w:rPr>
                <w:rFonts w:cs="Calibri" w:asciiTheme="minorEastAsia" w:hAnsiTheme="minorEastAsia"/>
                <w:sz w:val="21"/>
                <w:szCs w:val="21"/>
                <w:lang w:eastAsia="en-US"/>
              </w:rPr>
            </w:pPr>
            <w:r>
              <w:rPr>
                <w:rFonts w:hint="eastAsia" w:cs="Calibri" w:asciiTheme="minorEastAsia" w:hAnsiTheme="minorEastAsia"/>
                <w:sz w:val="21"/>
                <w:szCs w:val="21"/>
              </w:rPr>
              <w:t>食品安全</w:t>
            </w:r>
          </w:p>
        </w:tc>
        <w:tc>
          <w:tcPr>
            <w:tcW w:w="6926" w:type="dxa"/>
            <w:shd w:val="clear" w:color="auto" w:fill="auto"/>
          </w:tcPr>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所有餐饮工作人员必须每年接受体检，持健康证上岗。</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服务人员保持良好个人卫生习惯，符合卫生要求。</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严格按照库房管理制度对原材料仓库进行管理。</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严格执行《食品安全法》，切实把好食品原料质量关、操作卫生关和储藏保洁关，确保食品安全。</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严格执行食品留样制度，并做好相关记录。</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经常检查食品质量，发现食品变质、发霉、生虫等情况应及时处理。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42" w:type="dxa"/>
            <w:shd w:val="clear" w:color="auto" w:fill="auto"/>
            <w:vAlign w:val="center"/>
          </w:tcPr>
          <w:p>
            <w:pPr>
              <w:snapToGrid w:val="0"/>
              <w:spacing w:line="300" w:lineRule="auto"/>
              <w:jc w:val="center"/>
              <w:rPr>
                <w:rFonts w:cs="Calibri" w:asciiTheme="minorEastAsia" w:hAnsiTheme="minorEastAsia"/>
                <w:sz w:val="21"/>
                <w:szCs w:val="21"/>
              </w:rPr>
            </w:pPr>
            <w:r>
              <w:rPr>
                <w:rFonts w:hint="eastAsia" w:cs="Calibri" w:asciiTheme="minorEastAsia" w:hAnsiTheme="minorEastAsia"/>
                <w:sz w:val="21"/>
                <w:szCs w:val="21"/>
              </w:rPr>
              <w:t>6</w:t>
            </w:r>
          </w:p>
        </w:tc>
        <w:tc>
          <w:tcPr>
            <w:tcW w:w="1289" w:type="dxa"/>
            <w:shd w:val="clear" w:color="auto" w:fill="auto"/>
            <w:vAlign w:val="center"/>
          </w:tcPr>
          <w:p>
            <w:pPr>
              <w:snapToGrid w:val="0"/>
              <w:spacing w:line="300" w:lineRule="auto"/>
              <w:jc w:val="center"/>
              <w:rPr>
                <w:rFonts w:cs="Calibri" w:asciiTheme="minorEastAsia" w:hAnsiTheme="minorEastAsia"/>
                <w:sz w:val="21"/>
                <w:szCs w:val="21"/>
                <w:lang w:eastAsia="en-US"/>
              </w:rPr>
            </w:pPr>
            <w:r>
              <w:rPr>
                <w:rFonts w:hint="eastAsia" w:cs="Calibri" w:asciiTheme="minorEastAsia" w:hAnsiTheme="minorEastAsia"/>
                <w:sz w:val="21"/>
                <w:szCs w:val="21"/>
              </w:rPr>
              <w:t>岗位值班</w:t>
            </w:r>
          </w:p>
        </w:tc>
        <w:tc>
          <w:tcPr>
            <w:tcW w:w="6926" w:type="dxa"/>
            <w:shd w:val="clear" w:color="auto" w:fill="auto"/>
          </w:tcPr>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餐饮主管负责制定每月值班表。</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餐厅值班由餐饮主管和厨师长2人轮流担任，必须保证餐厅时刻有人值守。</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餐厅值班表制定后，必须严格遵守执行，不允许随意调整。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trPr>
        <w:tc>
          <w:tcPr>
            <w:tcW w:w="842" w:type="dxa"/>
            <w:shd w:val="clear" w:color="auto" w:fill="auto"/>
            <w:vAlign w:val="center"/>
          </w:tcPr>
          <w:p>
            <w:pPr>
              <w:snapToGrid w:val="0"/>
              <w:spacing w:line="300" w:lineRule="auto"/>
              <w:jc w:val="center"/>
              <w:rPr>
                <w:rFonts w:cs="Calibri" w:asciiTheme="minorEastAsia" w:hAnsiTheme="minorEastAsia"/>
                <w:sz w:val="21"/>
                <w:szCs w:val="21"/>
              </w:rPr>
            </w:pPr>
            <w:r>
              <w:rPr>
                <w:rFonts w:hint="eastAsia" w:cs="Calibri" w:asciiTheme="minorEastAsia" w:hAnsiTheme="minorEastAsia"/>
                <w:sz w:val="21"/>
                <w:szCs w:val="21"/>
              </w:rPr>
              <w:t>7</w:t>
            </w:r>
          </w:p>
        </w:tc>
        <w:tc>
          <w:tcPr>
            <w:tcW w:w="1289" w:type="dxa"/>
            <w:shd w:val="clear" w:color="auto" w:fill="auto"/>
            <w:vAlign w:val="center"/>
          </w:tcPr>
          <w:p>
            <w:pPr>
              <w:snapToGrid w:val="0"/>
              <w:spacing w:line="300" w:lineRule="auto"/>
              <w:jc w:val="center"/>
              <w:rPr>
                <w:rFonts w:cs="Calibri" w:asciiTheme="minorEastAsia" w:hAnsiTheme="minorEastAsia"/>
                <w:sz w:val="21"/>
                <w:szCs w:val="21"/>
                <w:lang w:eastAsia="en-US"/>
              </w:rPr>
            </w:pPr>
            <w:r>
              <w:rPr>
                <w:rFonts w:hint="eastAsia" w:cs="Calibri" w:asciiTheme="minorEastAsia" w:hAnsiTheme="minorEastAsia"/>
                <w:sz w:val="21"/>
                <w:szCs w:val="21"/>
              </w:rPr>
              <w:t>人员管理</w:t>
            </w:r>
          </w:p>
        </w:tc>
        <w:tc>
          <w:tcPr>
            <w:tcW w:w="6926" w:type="dxa"/>
            <w:shd w:val="clear" w:color="auto" w:fill="auto"/>
          </w:tcPr>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餐饮主管和厨师长负责餐厅工作人员的管理，必须严格履职尽责。</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餐饮主管负责餐厅全面管理协调，主要是前厅服务和人员管理。</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厨师长对后厨工作人员管理和每日食材验收负主要责任。</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库管协同配合厨师长对食材按标准进行验收，主要做好当日出入库登记和当月食材登记核算。</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餐厅所有工作人员必须严格遵守餐饮服务各项规定，餐饮主管和厨师长每日必须进行晨检，对所有工作人员的个人卫生和仪容仪表进行严格检查。</w:t>
            </w:r>
          </w:p>
          <w:p>
            <w:pPr>
              <w:snapToGrid w:val="0"/>
              <w:spacing w:line="300" w:lineRule="auto"/>
              <w:ind w:firstLine="420" w:firstLineChars="200"/>
              <w:rPr>
                <w:rFonts w:cs="Calibri" w:asciiTheme="minorEastAsia" w:hAnsiTheme="minorEastAsia"/>
                <w:sz w:val="21"/>
                <w:szCs w:val="21"/>
              </w:rPr>
            </w:pPr>
            <w:r>
              <w:rPr>
                <w:rFonts w:hint="eastAsia" w:cs="Calibri" w:asciiTheme="minorEastAsia" w:hAnsiTheme="minorEastAsia"/>
                <w:sz w:val="21"/>
                <w:szCs w:val="21"/>
              </w:rPr>
              <w:t>餐厅所有工作人员上班期间必须在岗在位，认真履行自身职责，不允许扎堆闲聊、玩手机、大声喧哗，在前厅后厨吸烟等。</w:t>
            </w:r>
          </w:p>
        </w:tc>
      </w:tr>
    </w:tbl>
    <w:p>
      <w:pPr>
        <w:pStyle w:val="4"/>
        <w:numPr>
          <w:ilvl w:val="2"/>
          <w:numId w:val="4"/>
        </w:numPr>
        <w:ind w:firstLine="480" w:firstLineChars="200"/>
        <w:rPr>
          <w:rFonts w:ascii="宋体" w:hAnsi="宋体" w:cs="宋体"/>
          <w:szCs w:val="24"/>
        </w:rPr>
      </w:pPr>
      <w:r>
        <w:rPr>
          <w:rFonts w:hint="eastAsia" w:ascii="宋体" w:hAnsi="宋体" w:cs="宋体"/>
          <w:szCs w:val="24"/>
        </w:rPr>
        <w:t>2.</w:t>
      </w:r>
      <w:r>
        <w:rPr>
          <w:rFonts w:ascii="宋体" w:hAnsi="宋体" w:cs="宋体"/>
          <w:szCs w:val="24"/>
        </w:rPr>
        <w:t>8</w:t>
      </w:r>
      <w:r>
        <w:rPr>
          <w:rFonts w:hint="eastAsia" w:ascii="宋体" w:hAnsi="宋体" w:cs="宋体"/>
          <w:szCs w:val="24"/>
        </w:rPr>
        <w:t>服务人员</w:t>
      </w:r>
    </w:p>
    <w:tbl>
      <w:tblPr>
        <w:tblStyle w:val="25"/>
        <w:tblW w:w="888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16"/>
        <w:gridCol w:w="1377"/>
        <w:gridCol w:w="1167"/>
        <w:gridCol w:w="1781"/>
        <w:gridCol w:w="34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tcBorders>
              <w:top w:val="single" w:color="auto" w:sz="12" w:space="0"/>
              <w:bottom w:val="single" w:color="auto" w:sz="2" w:space="0"/>
            </w:tcBorders>
            <w:shd w:val="clear" w:color="auto" w:fill="F1F1F1" w:themeFill="background1" w:themeFillShade="F2"/>
            <w:vAlign w:val="center"/>
          </w:tcPr>
          <w:p>
            <w:pPr>
              <w:spacing w:line="320" w:lineRule="exact"/>
              <w:rPr>
                <w:rFonts w:hAnsi="宋体" w:cs="Calibri"/>
                <w:b/>
                <w:sz w:val="21"/>
                <w:szCs w:val="21"/>
              </w:rPr>
            </w:pPr>
            <w:r>
              <w:rPr>
                <w:rFonts w:ascii="Calibri" w:hAnsi="宋体" w:eastAsia="宋体" w:cs="Calibri"/>
                <w:b/>
                <w:sz w:val="21"/>
                <w:szCs w:val="21"/>
              </w:rPr>
              <w:t>部门职能</w:t>
            </w:r>
          </w:p>
        </w:tc>
        <w:tc>
          <w:tcPr>
            <w:tcW w:w="1377" w:type="dxa"/>
            <w:tcBorders>
              <w:top w:val="single" w:color="auto" w:sz="12" w:space="0"/>
              <w:bottom w:val="single" w:color="auto" w:sz="2" w:space="0"/>
            </w:tcBorders>
            <w:shd w:val="clear" w:color="auto" w:fill="F1F1F1" w:themeFill="background1" w:themeFillShade="F2"/>
            <w:vAlign w:val="center"/>
          </w:tcPr>
          <w:p>
            <w:pPr>
              <w:spacing w:line="320" w:lineRule="exact"/>
              <w:rPr>
                <w:rFonts w:hAnsi="宋体" w:cs="Calibri"/>
                <w:b/>
                <w:sz w:val="21"/>
                <w:szCs w:val="21"/>
              </w:rPr>
            </w:pPr>
            <w:r>
              <w:rPr>
                <w:rFonts w:ascii="Calibri" w:hAnsi="宋体" w:eastAsia="宋体" w:cs="Calibri"/>
                <w:b/>
                <w:sz w:val="21"/>
                <w:szCs w:val="21"/>
              </w:rPr>
              <w:t>岗位</w:t>
            </w:r>
          </w:p>
        </w:tc>
        <w:tc>
          <w:tcPr>
            <w:tcW w:w="1167" w:type="dxa"/>
            <w:tcBorders>
              <w:top w:val="single" w:color="auto" w:sz="12" w:space="0"/>
              <w:bottom w:val="single" w:color="auto" w:sz="2" w:space="0"/>
            </w:tcBorders>
            <w:shd w:val="clear" w:color="auto" w:fill="F1F1F1" w:themeFill="background1" w:themeFillShade="F2"/>
            <w:vAlign w:val="center"/>
          </w:tcPr>
          <w:p>
            <w:pPr>
              <w:spacing w:line="320" w:lineRule="exact"/>
              <w:rPr>
                <w:rFonts w:hAnsi="宋体" w:cs="Calibri"/>
                <w:b/>
                <w:sz w:val="21"/>
                <w:szCs w:val="21"/>
              </w:rPr>
            </w:pPr>
            <w:r>
              <w:rPr>
                <w:rFonts w:ascii="Calibri" w:hAnsi="宋体" w:eastAsia="宋体" w:cs="Calibri"/>
                <w:b/>
                <w:sz w:val="21"/>
                <w:szCs w:val="21"/>
              </w:rPr>
              <w:t>同时在岗人数</w:t>
            </w:r>
          </w:p>
        </w:tc>
        <w:tc>
          <w:tcPr>
            <w:tcW w:w="1781" w:type="dxa"/>
            <w:tcBorders>
              <w:top w:val="single" w:color="auto" w:sz="12" w:space="0"/>
              <w:bottom w:val="single" w:color="auto" w:sz="2" w:space="0"/>
            </w:tcBorders>
            <w:shd w:val="clear" w:color="auto" w:fill="F1F1F1" w:themeFill="background1" w:themeFillShade="F2"/>
            <w:vAlign w:val="center"/>
          </w:tcPr>
          <w:p>
            <w:pPr>
              <w:spacing w:line="320" w:lineRule="exact"/>
              <w:rPr>
                <w:rFonts w:hAnsi="宋体" w:cs="Calibri"/>
                <w:b/>
                <w:sz w:val="21"/>
                <w:szCs w:val="21"/>
              </w:rPr>
            </w:pPr>
            <w:r>
              <w:rPr>
                <w:rFonts w:ascii="Calibri" w:hAnsi="宋体" w:eastAsia="宋体" w:cs="Calibri"/>
                <w:b/>
                <w:sz w:val="21"/>
                <w:szCs w:val="21"/>
              </w:rPr>
              <w:t>岗位所需总人数</w:t>
            </w:r>
          </w:p>
        </w:tc>
        <w:tc>
          <w:tcPr>
            <w:tcW w:w="3446" w:type="dxa"/>
            <w:tcBorders>
              <w:top w:val="single" w:color="auto" w:sz="12" w:space="0"/>
              <w:bottom w:val="single" w:color="auto" w:sz="2" w:space="0"/>
            </w:tcBorders>
            <w:shd w:val="clear" w:color="auto" w:fill="F1F1F1" w:themeFill="background1" w:themeFillShade="F2"/>
            <w:vAlign w:val="center"/>
          </w:tcPr>
          <w:p>
            <w:pPr>
              <w:spacing w:line="320" w:lineRule="exact"/>
              <w:rPr>
                <w:rFonts w:hAnsi="宋体" w:cs="Calibri"/>
                <w:b/>
                <w:sz w:val="21"/>
                <w:szCs w:val="21"/>
              </w:rPr>
            </w:pPr>
            <w:r>
              <w:rPr>
                <w:rFonts w:ascii="Calibri" w:hAnsi="宋体" w:eastAsia="宋体" w:cs="Calibri"/>
                <w:b/>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tcBorders>
              <w:top w:val="single" w:color="auto" w:sz="2" w:space="0"/>
            </w:tcBorders>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服务中心</w:t>
            </w:r>
          </w:p>
        </w:tc>
        <w:tc>
          <w:tcPr>
            <w:tcW w:w="1377" w:type="dxa"/>
            <w:tcBorders>
              <w:top w:val="single" w:color="auto" w:sz="2" w:space="0"/>
            </w:tcBorders>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项目经理</w:t>
            </w:r>
          </w:p>
        </w:tc>
        <w:tc>
          <w:tcPr>
            <w:tcW w:w="1167" w:type="dxa"/>
            <w:tcBorders>
              <w:top w:val="single" w:color="auto" w:sz="2" w:space="0"/>
            </w:tcBorders>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1</w:t>
            </w:r>
          </w:p>
        </w:tc>
        <w:tc>
          <w:tcPr>
            <w:tcW w:w="1781" w:type="dxa"/>
            <w:tcBorders>
              <w:top w:val="single" w:color="auto" w:sz="2" w:space="0"/>
            </w:tcBorders>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1</w:t>
            </w:r>
          </w:p>
        </w:tc>
        <w:tc>
          <w:tcPr>
            <w:tcW w:w="3446" w:type="dxa"/>
            <w:tcBorders>
              <w:top w:val="single" w:color="auto" w:sz="2" w:space="0"/>
            </w:tcBorders>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8:30-18:00</w:t>
            </w:r>
          </w:p>
          <w:p>
            <w:pPr>
              <w:spacing w:line="320" w:lineRule="exact"/>
              <w:rPr>
                <w:rFonts w:hAnsi="宋体" w:cs="Calibri"/>
                <w:bCs/>
                <w:sz w:val="21"/>
                <w:szCs w:val="21"/>
              </w:rPr>
            </w:pPr>
            <w:r>
              <w:rPr>
                <w:rFonts w:ascii="Calibri" w:hAnsi="宋体" w:eastAsia="宋体" w:cs="Calibri"/>
                <w:bCs/>
                <w:sz w:val="21"/>
                <w:szCs w:val="21"/>
              </w:rPr>
              <w:t>本科以上学历，不少于8年物业管理经验，年龄45周岁以下，具有较好的沟通能力。</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基本服务</w:t>
            </w:r>
          </w:p>
        </w:tc>
        <w:tc>
          <w:tcPr>
            <w:tcW w:w="1377"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内勤</w:t>
            </w:r>
          </w:p>
        </w:tc>
        <w:tc>
          <w:tcPr>
            <w:tcW w:w="1167"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1</w:t>
            </w:r>
          </w:p>
        </w:tc>
        <w:tc>
          <w:tcPr>
            <w:tcW w:w="1781"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1</w:t>
            </w:r>
          </w:p>
        </w:tc>
        <w:tc>
          <w:tcPr>
            <w:tcW w:w="3446"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8:30-18:00</w:t>
            </w:r>
          </w:p>
          <w:p>
            <w:pPr>
              <w:spacing w:line="320" w:lineRule="exact"/>
              <w:rPr>
                <w:rFonts w:hAnsi="宋体" w:cs="Calibri"/>
                <w:bCs/>
                <w:sz w:val="21"/>
                <w:szCs w:val="21"/>
              </w:rPr>
            </w:pPr>
            <w:r>
              <w:rPr>
                <w:rFonts w:ascii="Calibri" w:hAnsi="宋体" w:eastAsia="宋体" w:cs="Calibri"/>
                <w:bCs/>
                <w:sz w:val="21"/>
                <w:szCs w:val="21"/>
              </w:rPr>
              <w:t>专科以上学历，</w:t>
            </w:r>
            <w:r>
              <w:rPr>
                <w:rFonts w:hint="eastAsia" w:ascii="Calibri" w:hAnsi="宋体" w:eastAsia="宋体" w:cs="Calibri"/>
                <w:bCs/>
                <w:sz w:val="21"/>
                <w:szCs w:val="21"/>
              </w:rPr>
              <w:t>不少于2年相关经验，</w:t>
            </w:r>
            <w:r>
              <w:rPr>
                <w:rFonts w:ascii="Calibri" w:hAnsi="宋体" w:eastAsia="宋体" w:cs="Calibri"/>
                <w:bCs/>
                <w:sz w:val="21"/>
                <w:szCs w:val="21"/>
              </w:rPr>
              <w:t>具有较好的沟通能力。</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vMerge w:val="restart"/>
            <w:shd w:val="clear" w:color="auto" w:fill="auto"/>
            <w:vAlign w:val="center"/>
          </w:tcPr>
          <w:p>
            <w:pPr>
              <w:spacing w:line="320" w:lineRule="exact"/>
              <w:rPr>
                <w:rFonts w:hAnsi="宋体" w:cs="Calibri"/>
                <w:bCs/>
                <w:sz w:val="21"/>
                <w:szCs w:val="21"/>
              </w:rPr>
            </w:pPr>
            <w:r>
              <w:rPr>
                <w:rFonts w:hint="eastAsia" w:ascii="Calibri" w:hAnsi="宋体" w:eastAsia="宋体"/>
                <w:sz w:val="21"/>
                <w:szCs w:val="21"/>
              </w:rPr>
              <w:t>公用设施设备维护服务</w:t>
            </w:r>
          </w:p>
        </w:tc>
        <w:tc>
          <w:tcPr>
            <w:tcW w:w="1377"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水电工</w:t>
            </w:r>
          </w:p>
        </w:tc>
        <w:tc>
          <w:tcPr>
            <w:tcW w:w="1167" w:type="dxa"/>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2</w:t>
            </w:r>
          </w:p>
        </w:tc>
        <w:tc>
          <w:tcPr>
            <w:tcW w:w="1781" w:type="dxa"/>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2</w:t>
            </w:r>
          </w:p>
        </w:tc>
        <w:tc>
          <w:tcPr>
            <w:tcW w:w="3446" w:type="dxa"/>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8:30-18:00（有夜间值班）</w:t>
            </w:r>
          </w:p>
          <w:p>
            <w:pPr>
              <w:spacing w:line="320" w:lineRule="exact"/>
              <w:rPr>
                <w:rFonts w:hAnsi="宋体" w:cs="Calibri"/>
                <w:bCs/>
                <w:sz w:val="21"/>
                <w:szCs w:val="21"/>
              </w:rPr>
            </w:pPr>
            <w:r>
              <w:rPr>
                <w:rFonts w:hint="eastAsia" w:ascii="Calibri" w:hAnsi="宋体" w:eastAsia="宋体" w:cs="Calibri"/>
                <w:bCs/>
                <w:sz w:val="21"/>
                <w:szCs w:val="21"/>
              </w:rPr>
              <w:t>水、电工应具有相应行业高级资格证书，</w:t>
            </w:r>
            <w:r>
              <w:rPr>
                <w:rFonts w:hint="eastAsia" w:ascii="Calibri" w:hAnsi="宋体" w:eastAsia="宋体" w:cs="Calibri"/>
                <w:bCs/>
                <w:color w:val="C00000"/>
                <w:sz w:val="21"/>
                <w:szCs w:val="21"/>
              </w:rPr>
              <w:t>★</w:t>
            </w:r>
            <w:r>
              <w:rPr>
                <w:rFonts w:hint="eastAsia" w:ascii="Calibri" w:hAnsi="宋体" w:eastAsia="宋体" w:cs="Calibri"/>
                <w:bCs/>
                <w:sz w:val="21"/>
                <w:szCs w:val="21"/>
              </w:rPr>
              <w:t>至少有1名具有特种作业操作证（高压电工</w:t>
            </w:r>
            <w:r>
              <w:rPr>
                <w:rFonts w:ascii="Calibri" w:hAnsi="宋体" w:eastAsia="宋体" w:cs="Calibri"/>
                <w:bCs/>
                <w:sz w:val="21"/>
                <w:szCs w:val="21"/>
              </w:rPr>
              <w:t>作业</w:t>
            </w:r>
            <w:r>
              <w:rPr>
                <w:rFonts w:hint="eastAsia" w:ascii="Calibri" w:hAnsi="宋体" w:eastAsia="宋体" w:cs="Calibr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vMerge w:val="continue"/>
            <w:shd w:val="clear" w:color="auto" w:fill="auto"/>
            <w:vAlign w:val="center"/>
          </w:tcPr>
          <w:p>
            <w:pPr>
              <w:spacing w:line="320" w:lineRule="exact"/>
              <w:rPr>
                <w:rFonts w:hAnsi="宋体"/>
                <w:sz w:val="21"/>
                <w:szCs w:val="21"/>
              </w:rPr>
            </w:pPr>
          </w:p>
        </w:tc>
        <w:tc>
          <w:tcPr>
            <w:tcW w:w="1377"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暖通工</w:t>
            </w:r>
          </w:p>
        </w:tc>
        <w:tc>
          <w:tcPr>
            <w:tcW w:w="1167"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3</w:t>
            </w:r>
          </w:p>
        </w:tc>
        <w:tc>
          <w:tcPr>
            <w:tcW w:w="1781"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3</w:t>
            </w:r>
          </w:p>
        </w:tc>
        <w:tc>
          <w:tcPr>
            <w:tcW w:w="3446" w:type="dxa"/>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8:30-18:00（有夜间值班）</w:t>
            </w:r>
          </w:p>
          <w:p>
            <w:pPr>
              <w:spacing w:line="320" w:lineRule="exact"/>
              <w:rPr>
                <w:rFonts w:ascii="Calibri" w:hAnsi="宋体" w:eastAsia="宋体" w:cs="Calibri"/>
                <w:bCs/>
                <w:sz w:val="21"/>
                <w:szCs w:val="21"/>
              </w:rPr>
            </w:pPr>
            <w:r>
              <w:rPr>
                <w:rFonts w:hint="eastAsia" w:ascii="Calibri" w:hAnsi="宋体" w:eastAsia="宋体" w:cs="Calibri"/>
                <w:bCs/>
                <w:sz w:val="21"/>
                <w:szCs w:val="21"/>
              </w:rPr>
              <w:t>冬季主职司炉工，其他时间协助水电工作。</w:t>
            </w:r>
          </w:p>
          <w:p>
            <w:pPr>
              <w:spacing w:line="320" w:lineRule="exact"/>
              <w:rPr>
                <w:rFonts w:hAnsi="宋体" w:cs="Calibri"/>
                <w:bCs/>
                <w:sz w:val="21"/>
                <w:szCs w:val="21"/>
              </w:rPr>
            </w:pPr>
            <w:r>
              <w:rPr>
                <w:rFonts w:hint="eastAsia" w:ascii="Calibri" w:hAnsi="宋体" w:eastAsia="宋体" w:cs="Calibri"/>
                <w:bCs/>
                <w:color w:val="C00000"/>
                <w:sz w:val="21"/>
                <w:szCs w:val="21"/>
              </w:rPr>
              <w:t>★</w:t>
            </w:r>
            <w:r>
              <w:rPr>
                <w:rFonts w:hint="eastAsia" w:ascii="Calibri" w:hAnsi="宋体" w:eastAsia="宋体" w:cs="Calibri"/>
                <w:bCs/>
                <w:sz w:val="21"/>
                <w:szCs w:val="21"/>
              </w:rPr>
              <w:t>所有从业人员均需具有特种设备安全</w:t>
            </w:r>
            <w:r>
              <w:rPr>
                <w:rFonts w:ascii="Calibri" w:hAnsi="宋体" w:eastAsia="宋体" w:cs="Calibri"/>
                <w:bCs/>
                <w:sz w:val="21"/>
                <w:szCs w:val="21"/>
              </w:rPr>
              <w:t>管理和作业人员证</w:t>
            </w:r>
            <w:r>
              <w:rPr>
                <w:rFonts w:hint="eastAsia" w:ascii="Calibri" w:hAnsi="宋体" w:eastAsia="宋体" w:cs="Calibri"/>
                <w:bCs/>
                <w:sz w:val="21"/>
                <w:szCs w:val="21"/>
              </w:rPr>
              <w:t>（G1）。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vMerge w:val="continue"/>
            <w:shd w:val="clear" w:color="auto" w:fill="auto"/>
            <w:vAlign w:val="center"/>
          </w:tcPr>
          <w:p>
            <w:pPr>
              <w:spacing w:line="320" w:lineRule="exact"/>
              <w:rPr>
                <w:rFonts w:hAnsi="宋体"/>
                <w:sz w:val="21"/>
                <w:szCs w:val="21"/>
              </w:rPr>
            </w:pPr>
          </w:p>
        </w:tc>
        <w:tc>
          <w:tcPr>
            <w:tcW w:w="1377"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木工</w:t>
            </w:r>
          </w:p>
        </w:tc>
        <w:tc>
          <w:tcPr>
            <w:tcW w:w="1167"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1</w:t>
            </w:r>
          </w:p>
        </w:tc>
        <w:tc>
          <w:tcPr>
            <w:tcW w:w="1781"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1</w:t>
            </w:r>
          </w:p>
        </w:tc>
        <w:tc>
          <w:tcPr>
            <w:tcW w:w="3446"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8:30-18:00</w:t>
            </w:r>
          </w:p>
          <w:p>
            <w:pPr>
              <w:spacing w:line="320" w:lineRule="exact"/>
              <w:rPr>
                <w:rFonts w:hAnsi="宋体" w:cs="Calibri"/>
                <w:bCs/>
                <w:sz w:val="21"/>
                <w:szCs w:val="21"/>
              </w:rPr>
            </w:pPr>
            <w:r>
              <w:rPr>
                <w:rFonts w:hint="eastAsia" w:ascii="Calibri" w:hAnsi="宋体" w:eastAsia="宋体" w:cs="Calibri"/>
                <w:bCs/>
                <w:sz w:val="21"/>
                <w:szCs w:val="21"/>
              </w:rPr>
              <w:t>要求具有高级木工以上资格证书。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vMerge w:val="restart"/>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保洁服务</w:t>
            </w:r>
          </w:p>
        </w:tc>
        <w:tc>
          <w:tcPr>
            <w:tcW w:w="1377" w:type="dxa"/>
            <w:shd w:val="clear" w:color="auto" w:fill="auto"/>
            <w:vAlign w:val="center"/>
          </w:tcPr>
          <w:p>
            <w:pPr>
              <w:spacing w:line="320" w:lineRule="exact"/>
              <w:rPr>
                <w:rFonts w:hAnsi="宋体" w:cs="Calibri"/>
                <w:bCs/>
                <w:kern w:val="2"/>
                <w:sz w:val="21"/>
                <w:szCs w:val="21"/>
              </w:rPr>
            </w:pPr>
            <w:r>
              <w:rPr>
                <w:rFonts w:ascii="Calibri" w:hAnsi="宋体" w:eastAsia="宋体" w:cs="Calibri"/>
                <w:bCs/>
                <w:sz w:val="21"/>
                <w:szCs w:val="21"/>
              </w:rPr>
              <w:t>保洁员</w:t>
            </w:r>
          </w:p>
        </w:tc>
        <w:tc>
          <w:tcPr>
            <w:tcW w:w="1167" w:type="dxa"/>
            <w:shd w:val="clear" w:color="auto" w:fill="auto"/>
            <w:vAlign w:val="center"/>
          </w:tcPr>
          <w:p>
            <w:pPr>
              <w:spacing w:line="320" w:lineRule="exact"/>
              <w:rPr>
                <w:rFonts w:hAnsi="宋体" w:cs="Calibri"/>
                <w:bCs/>
                <w:kern w:val="2"/>
                <w:sz w:val="21"/>
                <w:szCs w:val="21"/>
              </w:rPr>
            </w:pPr>
            <w:r>
              <w:rPr>
                <w:rFonts w:hint="eastAsia" w:ascii="Calibri" w:hAnsi="宋体" w:eastAsia="宋体" w:cs="Calibri"/>
                <w:bCs/>
                <w:sz w:val="21"/>
                <w:szCs w:val="21"/>
              </w:rPr>
              <w:t>5</w:t>
            </w:r>
          </w:p>
        </w:tc>
        <w:tc>
          <w:tcPr>
            <w:tcW w:w="1781" w:type="dxa"/>
            <w:shd w:val="clear" w:color="auto" w:fill="auto"/>
            <w:vAlign w:val="center"/>
          </w:tcPr>
          <w:p>
            <w:pPr>
              <w:spacing w:line="320" w:lineRule="exact"/>
              <w:rPr>
                <w:rFonts w:hAnsi="宋体" w:cs="Calibri"/>
                <w:bCs/>
                <w:kern w:val="2"/>
                <w:sz w:val="21"/>
                <w:szCs w:val="21"/>
              </w:rPr>
            </w:pPr>
            <w:r>
              <w:rPr>
                <w:rFonts w:hint="eastAsia" w:ascii="Calibri" w:hAnsi="宋体" w:eastAsia="宋体" w:cs="Calibri"/>
                <w:bCs/>
                <w:sz w:val="21"/>
                <w:szCs w:val="21"/>
              </w:rPr>
              <w:t>5</w:t>
            </w:r>
          </w:p>
        </w:tc>
        <w:tc>
          <w:tcPr>
            <w:tcW w:w="3446" w:type="dxa"/>
            <w:vMerge w:val="restart"/>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7:30-18:00</w:t>
            </w:r>
          </w:p>
          <w:p>
            <w:pPr>
              <w:spacing w:line="320" w:lineRule="exact"/>
              <w:rPr>
                <w:rFonts w:hAnsi="宋体" w:cs="Calibri"/>
                <w:bCs/>
                <w:sz w:val="21"/>
                <w:szCs w:val="21"/>
              </w:rPr>
            </w:pPr>
            <w:r>
              <w:rPr>
                <w:rFonts w:ascii="Calibri" w:hAnsi="宋体" w:eastAsia="宋体" w:cs="Calibri"/>
                <w:bCs/>
                <w:sz w:val="21"/>
                <w:szCs w:val="21"/>
              </w:rPr>
              <w:t>身体健康，男性不超过65岁、女性不超过55岁。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vMerge w:val="continue"/>
            <w:shd w:val="clear" w:color="auto" w:fill="auto"/>
            <w:vAlign w:val="center"/>
          </w:tcPr>
          <w:p>
            <w:pPr>
              <w:spacing w:line="320" w:lineRule="exact"/>
              <w:rPr>
                <w:rFonts w:hAnsi="宋体"/>
                <w:sz w:val="21"/>
                <w:szCs w:val="21"/>
              </w:rPr>
            </w:pPr>
          </w:p>
        </w:tc>
        <w:tc>
          <w:tcPr>
            <w:tcW w:w="1377" w:type="dxa"/>
            <w:shd w:val="clear" w:color="auto" w:fill="auto"/>
            <w:vAlign w:val="center"/>
          </w:tcPr>
          <w:p>
            <w:pPr>
              <w:spacing w:line="320" w:lineRule="exact"/>
              <w:rPr>
                <w:rFonts w:hAnsi="宋体" w:cs="Calibri"/>
                <w:bCs/>
                <w:kern w:val="2"/>
                <w:sz w:val="21"/>
                <w:szCs w:val="21"/>
              </w:rPr>
            </w:pPr>
            <w:r>
              <w:rPr>
                <w:rFonts w:ascii="Calibri" w:hAnsi="宋体" w:eastAsia="宋体" w:cs="Calibri"/>
                <w:bCs/>
                <w:sz w:val="21"/>
                <w:szCs w:val="21"/>
              </w:rPr>
              <w:t>垃圾清运工</w:t>
            </w:r>
          </w:p>
        </w:tc>
        <w:tc>
          <w:tcPr>
            <w:tcW w:w="1167" w:type="dxa"/>
            <w:shd w:val="clear" w:color="auto" w:fill="auto"/>
            <w:vAlign w:val="center"/>
          </w:tcPr>
          <w:p>
            <w:pPr>
              <w:spacing w:line="320" w:lineRule="exact"/>
              <w:rPr>
                <w:rFonts w:hAnsi="宋体" w:cs="Calibri"/>
                <w:bCs/>
                <w:kern w:val="2"/>
                <w:sz w:val="21"/>
                <w:szCs w:val="21"/>
              </w:rPr>
            </w:pPr>
            <w:r>
              <w:rPr>
                <w:rFonts w:ascii="Calibri" w:hAnsi="宋体" w:eastAsia="宋体" w:cs="Calibri"/>
                <w:bCs/>
                <w:sz w:val="21"/>
                <w:szCs w:val="21"/>
              </w:rPr>
              <w:t>2</w:t>
            </w:r>
          </w:p>
        </w:tc>
        <w:tc>
          <w:tcPr>
            <w:tcW w:w="1781" w:type="dxa"/>
            <w:shd w:val="clear" w:color="auto" w:fill="auto"/>
            <w:vAlign w:val="center"/>
          </w:tcPr>
          <w:p>
            <w:pPr>
              <w:spacing w:line="320" w:lineRule="exact"/>
              <w:rPr>
                <w:rFonts w:hAnsi="宋体" w:cs="Calibri"/>
                <w:bCs/>
                <w:kern w:val="2"/>
                <w:sz w:val="21"/>
                <w:szCs w:val="21"/>
              </w:rPr>
            </w:pPr>
            <w:r>
              <w:rPr>
                <w:rFonts w:ascii="Calibri" w:hAnsi="宋体" w:eastAsia="宋体" w:cs="Calibri"/>
                <w:bCs/>
                <w:sz w:val="21"/>
                <w:szCs w:val="21"/>
              </w:rPr>
              <w:t>2</w:t>
            </w:r>
          </w:p>
        </w:tc>
        <w:tc>
          <w:tcPr>
            <w:tcW w:w="3446" w:type="dxa"/>
            <w:vMerge w:val="continue"/>
            <w:shd w:val="clear" w:color="auto" w:fill="auto"/>
            <w:vAlign w:val="center"/>
          </w:tcPr>
          <w:p>
            <w:pPr>
              <w:spacing w:line="320" w:lineRule="exact"/>
              <w:rPr>
                <w:rFonts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绿化服务</w:t>
            </w:r>
          </w:p>
        </w:tc>
        <w:tc>
          <w:tcPr>
            <w:tcW w:w="1377"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绿化工</w:t>
            </w:r>
          </w:p>
        </w:tc>
        <w:tc>
          <w:tcPr>
            <w:tcW w:w="1167"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1</w:t>
            </w:r>
          </w:p>
        </w:tc>
        <w:tc>
          <w:tcPr>
            <w:tcW w:w="1781"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1</w:t>
            </w:r>
          </w:p>
        </w:tc>
        <w:tc>
          <w:tcPr>
            <w:tcW w:w="3446"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7:30-18:0</w:t>
            </w:r>
            <w:r>
              <w:rPr>
                <w:rFonts w:hint="eastAsia" w:ascii="Calibri" w:hAnsi="宋体" w:eastAsia="宋体" w:cs="Calibri"/>
                <w:bCs/>
                <w:sz w:val="21"/>
                <w:szCs w:val="21"/>
              </w:rPr>
              <w:t>0</w:t>
            </w:r>
          </w:p>
          <w:p>
            <w:pPr>
              <w:spacing w:line="320" w:lineRule="exact"/>
              <w:rPr>
                <w:rFonts w:hAnsi="宋体" w:cs="Calibri"/>
                <w:bCs/>
                <w:sz w:val="21"/>
                <w:szCs w:val="21"/>
              </w:rPr>
            </w:pPr>
            <w:r>
              <w:rPr>
                <w:rFonts w:hint="eastAsia" w:ascii="Calibri" w:hAnsi="宋体" w:eastAsia="宋体" w:cs="Calibri"/>
                <w:bCs/>
                <w:sz w:val="21"/>
                <w:szCs w:val="21"/>
              </w:rPr>
              <w:t>应具有相应园艺花卉技能证书。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vMerge w:val="restart"/>
            <w:shd w:val="clear" w:color="auto" w:fill="auto"/>
            <w:vAlign w:val="center"/>
          </w:tcPr>
          <w:p>
            <w:pPr>
              <w:spacing w:line="320" w:lineRule="exact"/>
              <w:rPr>
                <w:rFonts w:hAnsi="宋体"/>
                <w:sz w:val="21"/>
                <w:szCs w:val="21"/>
              </w:rPr>
            </w:pPr>
            <w:r>
              <w:rPr>
                <w:rFonts w:hint="eastAsia" w:ascii="Calibri" w:hAnsi="宋体" w:eastAsia="宋体"/>
                <w:sz w:val="21"/>
                <w:szCs w:val="21"/>
              </w:rPr>
              <w:t>保安服务</w:t>
            </w:r>
          </w:p>
        </w:tc>
        <w:tc>
          <w:tcPr>
            <w:tcW w:w="1377" w:type="dxa"/>
            <w:shd w:val="clear" w:color="auto" w:fill="auto"/>
            <w:vAlign w:val="center"/>
          </w:tcPr>
          <w:p>
            <w:pPr>
              <w:spacing w:line="320" w:lineRule="exact"/>
              <w:rPr>
                <w:rFonts w:hAnsi="宋体" w:cs="Calibri"/>
                <w:bCs/>
                <w:kern w:val="2"/>
                <w:sz w:val="21"/>
                <w:szCs w:val="21"/>
              </w:rPr>
            </w:pPr>
            <w:r>
              <w:rPr>
                <w:rFonts w:ascii="Calibri" w:hAnsi="宋体" w:eastAsia="宋体" w:cs="Calibri"/>
                <w:bCs/>
                <w:sz w:val="21"/>
                <w:szCs w:val="21"/>
              </w:rPr>
              <w:t>巡逻岗</w:t>
            </w:r>
          </w:p>
        </w:tc>
        <w:tc>
          <w:tcPr>
            <w:tcW w:w="1167" w:type="dxa"/>
            <w:shd w:val="clear" w:color="auto" w:fill="auto"/>
            <w:vAlign w:val="center"/>
          </w:tcPr>
          <w:p>
            <w:pPr>
              <w:spacing w:line="320" w:lineRule="exact"/>
              <w:rPr>
                <w:rFonts w:hAnsi="宋体" w:cs="Calibri"/>
                <w:bCs/>
                <w:kern w:val="2"/>
                <w:sz w:val="21"/>
                <w:szCs w:val="21"/>
              </w:rPr>
            </w:pPr>
            <w:r>
              <w:rPr>
                <w:rFonts w:hint="eastAsia" w:ascii="Calibri" w:hAnsi="宋体" w:eastAsia="宋体" w:cs="Calibri"/>
                <w:bCs/>
                <w:sz w:val="21"/>
                <w:szCs w:val="21"/>
              </w:rPr>
              <w:t>2</w:t>
            </w:r>
          </w:p>
        </w:tc>
        <w:tc>
          <w:tcPr>
            <w:tcW w:w="1781" w:type="dxa"/>
            <w:shd w:val="clear" w:color="auto" w:fill="auto"/>
            <w:vAlign w:val="center"/>
          </w:tcPr>
          <w:p>
            <w:pPr>
              <w:spacing w:line="320" w:lineRule="exact"/>
              <w:rPr>
                <w:rFonts w:hAnsi="宋体" w:cs="Calibri"/>
                <w:bCs/>
                <w:kern w:val="2"/>
                <w:sz w:val="21"/>
                <w:szCs w:val="21"/>
              </w:rPr>
            </w:pPr>
            <w:r>
              <w:rPr>
                <w:rFonts w:hint="eastAsia" w:ascii="Calibri" w:hAnsi="宋体" w:eastAsia="宋体" w:cs="Calibri"/>
                <w:bCs/>
                <w:sz w:val="21"/>
                <w:szCs w:val="21"/>
              </w:rPr>
              <w:t>6</w:t>
            </w:r>
          </w:p>
        </w:tc>
        <w:tc>
          <w:tcPr>
            <w:tcW w:w="3446" w:type="dxa"/>
            <w:shd w:val="clear" w:color="auto" w:fill="auto"/>
            <w:vAlign w:val="center"/>
          </w:tcPr>
          <w:p>
            <w:pPr>
              <w:spacing w:line="320" w:lineRule="exact"/>
              <w:rPr>
                <w:rFonts w:hAnsi="宋体" w:cs="Calibri"/>
                <w:bCs/>
                <w:kern w:val="2"/>
                <w:sz w:val="21"/>
                <w:szCs w:val="21"/>
              </w:rPr>
            </w:pPr>
            <w:r>
              <w:rPr>
                <w:rFonts w:ascii="Calibri" w:hAnsi="宋体" w:eastAsia="宋体" w:cs="Calibri"/>
                <w:bCs/>
                <w:sz w:val="21"/>
                <w:szCs w:val="21"/>
              </w:rPr>
              <w:t>24小时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vMerge w:val="continue"/>
            <w:shd w:val="clear" w:color="auto" w:fill="auto"/>
            <w:vAlign w:val="center"/>
          </w:tcPr>
          <w:p>
            <w:pPr>
              <w:spacing w:line="320" w:lineRule="exact"/>
              <w:rPr>
                <w:rFonts w:hAnsi="宋体"/>
                <w:sz w:val="21"/>
                <w:szCs w:val="21"/>
              </w:rPr>
            </w:pPr>
          </w:p>
        </w:tc>
        <w:tc>
          <w:tcPr>
            <w:tcW w:w="1377"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夜间门岗</w:t>
            </w:r>
          </w:p>
        </w:tc>
        <w:tc>
          <w:tcPr>
            <w:tcW w:w="1167" w:type="dxa"/>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2</w:t>
            </w:r>
          </w:p>
        </w:tc>
        <w:tc>
          <w:tcPr>
            <w:tcW w:w="1781" w:type="dxa"/>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5</w:t>
            </w:r>
          </w:p>
        </w:tc>
        <w:tc>
          <w:tcPr>
            <w:tcW w:w="3446"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20:00-8:00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vMerge w:val="continue"/>
            <w:shd w:val="clear" w:color="auto" w:fill="auto"/>
            <w:vAlign w:val="center"/>
          </w:tcPr>
          <w:p>
            <w:pPr>
              <w:spacing w:line="320" w:lineRule="exact"/>
              <w:rPr>
                <w:rFonts w:hAnsi="宋体"/>
                <w:sz w:val="21"/>
                <w:szCs w:val="21"/>
              </w:rPr>
            </w:pPr>
          </w:p>
        </w:tc>
        <w:tc>
          <w:tcPr>
            <w:tcW w:w="1377" w:type="dxa"/>
            <w:shd w:val="clear" w:color="auto" w:fill="auto"/>
            <w:vAlign w:val="center"/>
          </w:tcPr>
          <w:p>
            <w:pPr>
              <w:spacing w:line="320" w:lineRule="exact"/>
              <w:rPr>
                <w:rFonts w:hAnsi="宋体" w:cs="Calibri"/>
                <w:bCs/>
                <w:kern w:val="2"/>
                <w:sz w:val="21"/>
                <w:szCs w:val="21"/>
              </w:rPr>
            </w:pPr>
            <w:r>
              <w:rPr>
                <w:rFonts w:ascii="Calibri" w:hAnsi="宋体" w:eastAsia="宋体" w:cs="Calibri"/>
                <w:bCs/>
                <w:sz w:val="21"/>
                <w:szCs w:val="21"/>
              </w:rPr>
              <w:t>传达室</w:t>
            </w:r>
          </w:p>
        </w:tc>
        <w:tc>
          <w:tcPr>
            <w:tcW w:w="1167" w:type="dxa"/>
            <w:shd w:val="clear" w:color="auto" w:fill="auto"/>
            <w:vAlign w:val="center"/>
          </w:tcPr>
          <w:p>
            <w:pPr>
              <w:spacing w:line="320" w:lineRule="exact"/>
              <w:rPr>
                <w:rFonts w:hAnsi="宋体" w:cs="Calibri"/>
                <w:bCs/>
                <w:kern w:val="2"/>
                <w:sz w:val="21"/>
                <w:szCs w:val="21"/>
              </w:rPr>
            </w:pPr>
            <w:r>
              <w:rPr>
                <w:rFonts w:hint="eastAsia" w:ascii="Calibri" w:hAnsi="宋体" w:eastAsia="宋体" w:cs="Calibri"/>
                <w:bCs/>
                <w:sz w:val="21"/>
                <w:szCs w:val="21"/>
              </w:rPr>
              <w:t>4</w:t>
            </w:r>
          </w:p>
        </w:tc>
        <w:tc>
          <w:tcPr>
            <w:tcW w:w="1781" w:type="dxa"/>
            <w:shd w:val="clear" w:color="auto" w:fill="auto"/>
            <w:vAlign w:val="center"/>
          </w:tcPr>
          <w:p>
            <w:pPr>
              <w:spacing w:line="320" w:lineRule="exact"/>
              <w:rPr>
                <w:rFonts w:hAnsi="宋体" w:cs="Calibri"/>
                <w:bCs/>
                <w:kern w:val="2"/>
                <w:sz w:val="21"/>
                <w:szCs w:val="21"/>
              </w:rPr>
            </w:pPr>
            <w:r>
              <w:rPr>
                <w:rFonts w:hint="eastAsia" w:ascii="Calibri" w:hAnsi="宋体" w:eastAsia="宋体" w:cs="Calibri"/>
                <w:bCs/>
                <w:sz w:val="21"/>
                <w:szCs w:val="21"/>
              </w:rPr>
              <w:t>4</w:t>
            </w:r>
          </w:p>
        </w:tc>
        <w:tc>
          <w:tcPr>
            <w:tcW w:w="3446" w:type="dxa"/>
            <w:shd w:val="clear" w:color="auto" w:fill="auto"/>
            <w:vAlign w:val="center"/>
          </w:tcPr>
          <w:p>
            <w:pPr>
              <w:spacing w:line="320" w:lineRule="exact"/>
              <w:rPr>
                <w:rFonts w:hAnsi="宋体" w:cs="Calibri"/>
                <w:bCs/>
                <w:kern w:val="2"/>
                <w:sz w:val="21"/>
                <w:szCs w:val="21"/>
              </w:rPr>
            </w:pPr>
            <w:r>
              <w:rPr>
                <w:rFonts w:ascii="Calibri" w:hAnsi="宋体" w:eastAsia="宋体" w:cs="Calibri"/>
                <w:bCs/>
                <w:sz w:val="21"/>
                <w:szCs w:val="21"/>
              </w:rPr>
              <w:t>8:00-18:00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会议服务</w:t>
            </w:r>
          </w:p>
        </w:tc>
        <w:tc>
          <w:tcPr>
            <w:tcW w:w="1377" w:type="dxa"/>
            <w:shd w:val="clear" w:color="auto" w:fill="auto"/>
            <w:vAlign w:val="center"/>
          </w:tcPr>
          <w:p>
            <w:pPr>
              <w:spacing w:line="320" w:lineRule="exact"/>
              <w:rPr>
                <w:rFonts w:hAnsi="宋体" w:cs="Calibri"/>
                <w:bCs/>
                <w:kern w:val="2"/>
                <w:sz w:val="21"/>
                <w:szCs w:val="21"/>
              </w:rPr>
            </w:pPr>
            <w:r>
              <w:rPr>
                <w:rFonts w:ascii="Calibri" w:hAnsi="宋体" w:eastAsia="宋体" w:cs="Calibri"/>
                <w:bCs/>
                <w:sz w:val="21"/>
                <w:szCs w:val="21"/>
              </w:rPr>
              <w:t>会务</w:t>
            </w:r>
          </w:p>
        </w:tc>
        <w:tc>
          <w:tcPr>
            <w:tcW w:w="1167" w:type="dxa"/>
            <w:shd w:val="clear" w:color="auto" w:fill="auto"/>
            <w:vAlign w:val="center"/>
          </w:tcPr>
          <w:p>
            <w:pPr>
              <w:spacing w:line="320" w:lineRule="exact"/>
              <w:rPr>
                <w:rFonts w:hAnsi="宋体" w:cs="Calibri"/>
                <w:bCs/>
                <w:kern w:val="2"/>
                <w:sz w:val="21"/>
                <w:szCs w:val="21"/>
              </w:rPr>
            </w:pPr>
            <w:r>
              <w:rPr>
                <w:rFonts w:hint="eastAsia" w:ascii="Calibri" w:hAnsi="宋体" w:eastAsia="宋体" w:cs="Calibri"/>
                <w:bCs/>
                <w:sz w:val="21"/>
                <w:szCs w:val="21"/>
              </w:rPr>
              <w:t>4</w:t>
            </w:r>
          </w:p>
        </w:tc>
        <w:tc>
          <w:tcPr>
            <w:tcW w:w="1781" w:type="dxa"/>
            <w:shd w:val="clear" w:color="auto" w:fill="auto"/>
            <w:vAlign w:val="center"/>
          </w:tcPr>
          <w:p>
            <w:pPr>
              <w:spacing w:line="320" w:lineRule="exact"/>
              <w:rPr>
                <w:rFonts w:hAnsi="宋体" w:cs="Calibri"/>
                <w:bCs/>
                <w:kern w:val="2"/>
                <w:sz w:val="21"/>
                <w:szCs w:val="21"/>
              </w:rPr>
            </w:pPr>
            <w:r>
              <w:rPr>
                <w:rFonts w:hint="eastAsia" w:ascii="Calibri" w:hAnsi="宋体" w:eastAsia="宋体" w:cs="Calibri"/>
                <w:bCs/>
                <w:sz w:val="21"/>
                <w:szCs w:val="21"/>
              </w:rPr>
              <w:t>11</w:t>
            </w:r>
          </w:p>
        </w:tc>
        <w:tc>
          <w:tcPr>
            <w:tcW w:w="3446" w:type="dxa"/>
            <w:shd w:val="clear" w:color="auto" w:fill="auto"/>
            <w:vAlign w:val="center"/>
          </w:tcPr>
          <w:p>
            <w:pPr>
              <w:spacing w:line="320" w:lineRule="exact"/>
              <w:rPr>
                <w:rFonts w:ascii="Calibri" w:hAnsi="宋体" w:eastAsia="宋体" w:cs="Calibri"/>
                <w:bCs/>
                <w:sz w:val="21"/>
                <w:szCs w:val="21"/>
              </w:rPr>
            </w:pPr>
            <w:r>
              <w:rPr>
                <w:rFonts w:ascii="Calibri" w:hAnsi="宋体" w:eastAsia="宋体" w:cs="Calibri"/>
                <w:bCs/>
                <w:sz w:val="21"/>
                <w:szCs w:val="21"/>
              </w:rPr>
              <w:t>24小时</w:t>
            </w:r>
          </w:p>
          <w:p>
            <w:pPr>
              <w:spacing w:line="320" w:lineRule="exact"/>
              <w:rPr>
                <w:rFonts w:ascii="Calibri" w:hAnsi="宋体" w:eastAsia="宋体" w:cs="Calibri"/>
                <w:bCs/>
                <w:sz w:val="21"/>
                <w:szCs w:val="21"/>
              </w:rPr>
            </w:pPr>
            <w:r>
              <w:rPr>
                <w:rFonts w:hint="eastAsia" w:ascii="Calibri" w:hAnsi="宋体" w:eastAsia="宋体" w:cs="Calibri"/>
                <w:bCs/>
                <w:sz w:val="21"/>
                <w:szCs w:val="21"/>
              </w:rPr>
              <w:t>限女性，35岁</w:t>
            </w:r>
            <w:r>
              <w:rPr>
                <w:rFonts w:ascii="Calibri" w:hAnsi="宋体" w:eastAsia="宋体" w:cs="Calibri"/>
                <w:bCs/>
                <w:sz w:val="21"/>
                <w:szCs w:val="21"/>
              </w:rPr>
              <w:t>以下，专科以上学历，</w:t>
            </w:r>
            <w:r>
              <w:rPr>
                <w:rFonts w:hint="eastAsia" w:ascii="Calibri" w:hAnsi="宋体" w:eastAsia="宋体" w:cs="Calibri"/>
                <w:bCs/>
                <w:sz w:val="21"/>
                <w:szCs w:val="21"/>
              </w:rPr>
              <w:t>形象好气质佳，身高在165cm以上，</w:t>
            </w:r>
            <w:r>
              <w:rPr>
                <w:rFonts w:ascii="Calibri" w:hAnsi="宋体" w:eastAsia="宋体" w:cs="Calibri"/>
                <w:bCs/>
                <w:sz w:val="21"/>
                <w:szCs w:val="21"/>
              </w:rPr>
              <w:t>具有较好的沟通能力。</w:t>
            </w:r>
          </w:p>
          <w:p>
            <w:pPr>
              <w:spacing w:line="320" w:lineRule="exact"/>
              <w:rPr>
                <w:rFonts w:hAnsi="宋体" w:cs="Calibri"/>
                <w:bCs/>
                <w:kern w:val="2"/>
                <w:sz w:val="21"/>
                <w:szCs w:val="21"/>
              </w:rPr>
            </w:pPr>
            <w:r>
              <w:rPr>
                <w:rFonts w:hint="eastAsia" w:ascii="Calibri" w:hAnsi="宋体" w:eastAsia="宋体" w:cs="Calibri"/>
                <w:bCs/>
                <w:color w:val="C00000"/>
                <w:sz w:val="21"/>
                <w:szCs w:val="21"/>
              </w:rPr>
              <w:t>★</w:t>
            </w:r>
            <w:r>
              <w:rPr>
                <w:rFonts w:hint="eastAsia" w:ascii="Calibri" w:hAnsi="宋体" w:eastAsia="宋体" w:cs="Calibri"/>
                <w:bCs/>
                <w:sz w:val="21"/>
                <w:szCs w:val="21"/>
              </w:rPr>
              <w:t>所有从业人员均需具有健康证。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vMerge w:val="restart"/>
            <w:shd w:val="clear" w:color="auto" w:fill="auto"/>
            <w:vAlign w:val="center"/>
          </w:tcPr>
          <w:p>
            <w:pPr>
              <w:spacing w:line="320" w:lineRule="exact"/>
              <w:rPr>
                <w:rFonts w:hAnsi="宋体" w:cs="Calibri"/>
                <w:bCs/>
                <w:sz w:val="21"/>
                <w:szCs w:val="21"/>
              </w:rPr>
            </w:pPr>
            <w:r>
              <w:rPr>
                <w:rFonts w:hint="eastAsia" w:hAnsi="宋体" w:cs="Calibri"/>
                <w:bCs/>
                <w:sz w:val="21"/>
                <w:szCs w:val="21"/>
              </w:rPr>
              <w:t>餐饮管理</w:t>
            </w:r>
          </w:p>
        </w:tc>
        <w:tc>
          <w:tcPr>
            <w:tcW w:w="1377" w:type="dxa"/>
            <w:tcBorders>
              <w:bottom w:val="single" w:color="auto" w:sz="2" w:space="0"/>
            </w:tcBorders>
            <w:shd w:val="clear" w:color="auto" w:fill="auto"/>
            <w:vAlign w:val="center"/>
          </w:tcPr>
          <w:p>
            <w:pPr>
              <w:spacing w:line="320" w:lineRule="exact"/>
              <w:rPr>
                <w:rFonts w:hAnsi="宋体" w:cs="Calibri"/>
                <w:bCs/>
                <w:sz w:val="21"/>
                <w:szCs w:val="21"/>
              </w:rPr>
            </w:pPr>
            <w:r>
              <w:rPr>
                <w:rFonts w:hint="eastAsia" w:hAnsi="宋体" w:cs="Calibri"/>
                <w:bCs/>
                <w:sz w:val="21"/>
                <w:szCs w:val="21"/>
              </w:rPr>
              <w:t>主管</w:t>
            </w:r>
          </w:p>
        </w:tc>
        <w:tc>
          <w:tcPr>
            <w:tcW w:w="1167" w:type="dxa"/>
            <w:tcBorders>
              <w:bottom w:val="single" w:color="auto" w:sz="2" w:space="0"/>
            </w:tcBorders>
            <w:shd w:val="clear" w:color="auto" w:fill="auto"/>
            <w:vAlign w:val="center"/>
          </w:tcPr>
          <w:p>
            <w:pPr>
              <w:spacing w:line="320" w:lineRule="exact"/>
              <w:rPr>
                <w:rFonts w:hAnsi="宋体" w:cs="Calibri"/>
                <w:bCs/>
                <w:sz w:val="21"/>
                <w:szCs w:val="21"/>
              </w:rPr>
            </w:pPr>
            <w:r>
              <w:rPr>
                <w:rFonts w:hint="eastAsia" w:hAnsi="宋体" w:cs="Calibri"/>
                <w:bCs/>
                <w:sz w:val="21"/>
              </w:rPr>
              <w:t>1</w:t>
            </w:r>
          </w:p>
        </w:tc>
        <w:tc>
          <w:tcPr>
            <w:tcW w:w="1781" w:type="dxa"/>
            <w:tcBorders>
              <w:bottom w:val="single" w:color="auto" w:sz="2" w:space="0"/>
            </w:tcBorders>
            <w:shd w:val="clear" w:color="auto" w:fill="auto"/>
            <w:vAlign w:val="center"/>
          </w:tcPr>
          <w:p>
            <w:pPr>
              <w:spacing w:line="320" w:lineRule="exact"/>
              <w:rPr>
                <w:rFonts w:hAnsi="宋体" w:cs="Calibri"/>
                <w:bCs/>
                <w:sz w:val="21"/>
                <w:szCs w:val="21"/>
              </w:rPr>
            </w:pPr>
            <w:r>
              <w:rPr>
                <w:rFonts w:hint="eastAsia" w:hAnsi="宋体" w:cs="Calibri"/>
                <w:bCs/>
                <w:sz w:val="21"/>
              </w:rPr>
              <w:t>1</w:t>
            </w:r>
          </w:p>
        </w:tc>
        <w:tc>
          <w:tcPr>
            <w:tcW w:w="3446" w:type="dxa"/>
            <w:tcBorders>
              <w:bottom w:val="single" w:color="auto" w:sz="2" w:space="0"/>
            </w:tcBorders>
            <w:shd w:val="clear" w:color="auto" w:fill="auto"/>
            <w:vAlign w:val="center"/>
          </w:tcPr>
          <w:p>
            <w:pPr>
              <w:spacing w:line="320" w:lineRule="exact"/>
              <w:rPr>
                <w:rFonts w:hAnsi="宋体" w:cs="Calibri"/>
                <w:bCs/>
                <w:sz w:val="21"/>
                <w:szCs w:val="21"/>
              </w:rPr>
            </w:pPr>
            <w:r>
              <w:rPr>
                <w:rFonts w:hint="eastAsia" w:hAnsi="宋体" w:cs="Calibri"/>
                <w:bCs/>
                <w:sz w:val="21"/>
                <w:szCs w:val="21"/>
              </w:rPr>
              <w:t>不少于2年相关经验，</w:t>
            </w:r>
            <w:r>
              <w:rPr>
                <w:rFonts w:hAnsi="宋体" w:cs="Calibri"/>
                <w:bCs/>
                <w:sz w:val="21"/>
                <w:szCs w:val="21"/>
              </w:rPr>
              <w:t>具有较好的沟通能力。</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vMerge w:val="continue"/>
            <w:shd w:val="clear" w:color="auto" w:fill="auto"/>
            <w:vAlign w:val="center"/>
          </w:tcPr>
          <w:p>
            <w:pPr>
              <w:spacing w:line="320" w:lineRule="exact"/>
              <w:rPr>
                <w:rFonts w:ascii="Calibri" w:hAnsi="宋体" w:eastAsia="宋体" w:cs="Calibri"/>
                <w:bCs/>
                <w:sz w:val="21"/>
                <w:szCs w:val="21"/>
              </w:rPr>
            </w:pPr>
          </w:p>
        </w:tc>
        <w:tc>
          <w:tcPr>
            <w:tcW w:w="1377" w:type="dxa"/>
            <w:tcBorders>
              <w:bottom w:val="single" w:color="auto" w:sz="2" w:space="0"/>
            </w:tcBorders>
            <w:shd w:val="clear" w:color="auto" w:fill="auto"/>
            <w:vAlign w:val="center"/>
          </w:tcPr>
          <w:p>
            <w:pPr>
              <w:spacing w:line="320" w:lineRule="exact"/>
              <w:rPr>
                <w:rFonts w:ascii="Calibri" w:hAnsi="宋体" w:eastAsia="宋体" w:cs="Calibri"/>
                <w:bCs/>
                <w:sz w:val="21"/>
                <w:szCs w:val="21"/>
              </w:rPr>
            </w:pPr>
            <w:r>
              <w:rPr>
                <w:rFonts w:hint="eastAsia" w:hAnsi="宋体" w:cs="Calibri"/>
                <w:bCs/>
                <w:sz w:val="21"/>
                <w:szCs w:val="21"/>
              </w:rPr>
              <w:t>厨师长</w:t>
            </w:r>
          </w:p>
        </w:tc>
        <w:tc>
          <w:tcPr>
            <w:tcW w:w="1167" w:type="dxa"/>
            <w:tcBorders>
              <w:bottom w:val="single" w:color="auto" w:sz="2" w:space="0"/>
            </w:tcBorders>
            <w:shd w:val="clear" w:color="auto" w:fill="auto"/>
            <w:vAlign w:val="center"/>
          </w:tcPr>
          <w:p>
            <w:pPr>
              <w:spacing w:line="320" w:lineRule="exact"/>
              <w:rPr>
                <w:rFonts w:ascii="Calibri" w:hAnsi="宋体" w:eastAsia="宋体" w:cs="Calibri"/>
                <w:bCs/>
                <w:sz w:val="21"/>
                <w:szCs w:val="21"/>
              </w:rPr>
            </w:pPr>
            <w:r>
              <w:rPr>
                <w:rFonts w:hint="eastAsia" w:hAnsi="宋体" w:cs="Calibri"/>
                <w:bCs/>
                <w:sz w:val="21"/>
              </w:rPr>
              <w:t>1</w:t>
            </w:r>
          </w:p>
        </w:tc>
        <w:tc>
          <w:tcPr>
            <w:tcW w:w="1781" w:type="dxa"/>
            <w:tcBorders>
              <w:bottom w:val="single" w:color="auto" w:sz="2" w:space="0"/>
            </w:tcBorders>
            <w:shd w:val="clear" w:color="auto" w:fill="auto"/>
            <w:vAlign w:val="center"/>
          </w:tcPr>
          <w:p>
            <w:pPr>
              <w:spacing w:line="320" w:lineRule="exact"/>
              <w:rPr>
                <w:rFonts w:ascii="Calibri" w:hAnsi="宋体" w:eastAsia="宋体" w:cs="Calibri"/>
                <w:bCs/>
                <w:sz w:val="21"/>
                <w:szCs w:val="21"/>
              </w:rPr>
            </w:pPr>
            <w:r>
              <w:rPr>
                <w:rFonts w:hint="eastAsia" w:hAnsi="宋体" w:cs="Calibri"/>
                <w:bCs/>
                <w:sz w:val="21"/>
              </w:rPr>
              <w:t>1</w:t>
            </w:r>
          </w:p>
        </w:tc>
        <w:tc>
          <w:tcPr>
            <w:tcW w:w="3446" w:type="dxa"/>
            <w:tcBorders>
              <w:bottom w:val="single" w:color="auto" w:sz="2" w:space="0"/>
            </w:tcBorders>
            <w:shd w:val="clear" w:color="auto" w:fill="auto"/>
            <w:vAlign w:val="center"/>
          </w:tcPr>
          <w:p>
            <w:pPr>
              <w:spacing w:line="320" w:lineRule="exact"/>
              <w:rPr>
                <w:rFonts w:ascii="Calibri" w:hAnsi="宋体" w:eastAsia="宋体" w:cs="Calibri"/>
                <w:bCs/>
                <w:sz w:val="21"/>
                <w:szCs w:val="21"/>
              </w:rPr>
            </w:pPr>
            <w:r>
              <w:rPr>
                <w:rFonts w:hint="eastAsia" w:hAnsi="宋体" w:cs="Calibri"/>
                <w:bCs/>
                <w:sz w:val="21"/>
                <w:szCs w:val="21"/>
              </w:rPr>
              <w:t>不少于5年相关经验</w:t>
            </w:r>
            <w:r>
              <w:rPr>
                <w:rFonts w:hAnsi="宋体" w:cs="Calibr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vMerge w:val="continue"/>
            <w:shd w:val="clear" w:color="auto" w:fill="auto"/>
            <w:vAlign w:val="center"/>
          </w:tcPr>
          <w:p>
            <w:pPr>
              <w:spacing w:line="320" w:lineRule="exact"/>
              <w:rPr>
                <w:rFonts w:hAnsi="宋体" w:cs="Calibri"/>
                <w:bCs/>
                <w:sz w:val="21"/>
                <w:szCs w:val="21"/>
              </w:rPr>
            </w:pPr>
          </w:p>
        </w:tc>
        <w:tc>
          <w:tcPr>
            <w:tcW w:w="1377" w:type="dxa"/>
            <w:tcBorders>
              <w:bottom w:val="single" w:color="auto" w:sz="2" w:space="0"/>
            </w:tcBorders>
            <w:shd w:val="clear" w:color="auto" w:fill="auto"/>
            <w:vAlign w:val="center"/>
          </w:tcPr>
          <w:p>
            <w:pPr>
              <w:spacing w:line="320" w:lineRule="exact"/>
              <w:rPr>
                <w:rFonts w:hAnsi="宋体" w:cs="Calibri"/>
                <w:bCs/>
                <w:sz w:val="21"/>
                <w:szCs w:val="21"/>
              </w:rPr>
            </w:pPr>
            <w:r>
              <w:rPr>
                <w:rFonts w:hint="eastAsia" w:hAnsi="宋体" w:cs="Calibri"/>
                <w:bCs/>
                <w:sz w:val="21"/>
                <w:szCs w:val="21"/>
              </w:rPr>
              <w:t>服务人员</w:t>
            </w:r>
          </w:p>
        </w:tc>
        <w:tc>
          <w:tcPr>
            <w:tcW w:w="1167" w:type="dxa"/>
            <w:tcBorders>
              <w:bottom w:val="single" w:color="auto" w:sz="2" w:space="0"/>
            </w:tcBorders>
            <w:shd w:val="clear" w:color="auto" w:fill="auto"/>
            <w:vAlign w:val="center"/>
          </w:tcPr>
          <w:p>
            <w:pPr>
              <w:spacing w:line="320" w:lineRule="exact"/>
              <w:rPr>
                <w:rFonts w:hAnsi="宋体" w:cs="Calibri"/>
                <w:bCs/>
                <w:kern w:val="2"/>
                <w:sz w:val="21"/>
                <w:szCs w:val="21"/>
              </w:rPr>
            </w:pPr>
            <w:r>
              <w:rPr>
                <w:rFonts w:hint="eastAsia" w:hAnsi="宋体" w:cs="Calibri"/>
                <w:bCs/>
                <w:sz w:val="21"/>
              </w:rPr>
              <w:t>18</w:t>
            </w:r>
          </w:p>
        </w:tc>
        <w:tc>
          <w:tcPr>
            <w:tcW w:w="1781" w:type="dxa"/>
            <w:tcBorders>
              <w:bottom w:val="single" w:color="auto" w:sz="2" w:space="0"/>
            </w:tcBorders>
            <w:shd w:val="clear" w:color="auto" w:fill="auto"/>
            <w:vAlign w:val="center"/>
          </w:tcPr>
          <w:p>
            <w:pPr>
              <w:spacing w:line="320" w:lineRule="exact"/>
              <w:rPr>
                <w:rFonts w:hAnsi="宋体" w:cs="Calibri"/>
                <w:bCs/>
                <w:kern w:val="2"/>
                <w:sz w:val="21"/>
                <w:szCs w:val="21"/>
              </w:rPr>
            </w:pPr>
            <w:r>
              <w:rPr>
                <w:rFonts w:hint="eastAsia" w:hAnsi="宋体" w:cs="Calibri"/>
                <w:bCs/>
                <w:sz w:val="21"/>
              </w:rPr>
              <w:t>18</w:t>
            </w:r>
          </w:p>
        </w:tc>
        <w:tc>
          <w:tcPr>
            <w:tcW w:w="3446" w:type="dxa"/>
            <w:tcBorders>
              <w:bottom w:val="single" w:color="auto" w:sz="2" w:space="0"/>
            </w:tcBorders>
            <w:shd w:val="clear" w:color="auto" w:fill="auto"/>
            <w:vAlign w:val="center"/>
          </w:tcPr>
          <w:p>
            <w:pPr>
              <w:spacing w:line="320" w:lineRule="exact"/>
              <w:rPr>
                <w:rFonts w:hAnsi="宋体" w:cs="Calibri"/>
                <w:bCs/>
                <w:sz w:val="21"/>
                <w:szCs w:val="21"/>
              </w:rPr>
            </w:pPr>
            <w:r>
              <w:rPr>
                <w:rFonts w:hint="eastAsia" w:hAnsi="宋体" w:cs="Calibri"/>
                <w:bCs/>
                <w:sz w:val="21"/>
                <w:szCs w:val="21"/>
              </w:rPr>
              <w:t>所有从业人员均需具有健康证。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vMerge w:val="restart"/>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后勤保障</w:t>
            </w:r>
          </w:p>
        </w:tc>
        <w:tc>
          <w:tcPr>
            <w:tcW w:w="1377" w:type="dxa"/>
            <w:tcBorders>
              <w:bottom w:val="single" w:color="auto" w:sz="2" w:space="0"/>
            </w:tcBorders>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理发师</w:t>
            </w:r>
          </w:p>
        </w:tc>
        <w:tc>
          <w:tcPr>
            <w:tcW w:w="1167" w:type="dxa"/>
            <w:tcBorders>
              <w:bottom w:val="single" w:color="auto" w:sz="2" w:space="0"/>
            </w:tcBorders>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2</w:t>
            </w:r>
          </w:p>
        </w:tc>
        <w:tc>
          <w:tcPr>
            <w:tcW w:w="1781" w:type="dxa"/>
            <w:tcBorders>
              <w:bottom w:val="single" w:color="auto" w:sz="2" w:space="0"/>
            </w:tcBorders>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2</w:t>
            </w:r>
          </w:p>
        </w:tc>
        <w:tc>
          <w:tcPr>
            <w:tcW w:w="3446" w:type="dxa"/>
            <w:tcBorders>
              <w:bottom w:val="single" w:color="auto" w:sz="2" w:space="0"/>
            </w:tcBorders>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9:00-18:00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vMerge w:val="continue"/>
            <w:shd w:val="clear" w:color="auto" w:fill="auto"/>
            <w:vAlign w:val="center"/>
          </w:tcPr>
          <w:p>
            <w:pPr>
              <w:spacing w:line="320" w:lineRule="exact"/>
              <w:rPr>
                <w:rFonts w:hAnsi="宋体" w:cs="Calibri"/>
                <w:bCs/>
                <w:sz w:val="21"/>
                <w:szCs w:val="21"/>
              </w:rPr>
            </w:pPr>
          </w:p>
        </w:tc>
        <w:tc>
          <w:tcPr>
            <w:tcW w:w="1377" w:type="dxa"/>
            <w:tcBorders>
              <w:bottom w:val="single" w:color="auto" w:sz="2" w:space="0"/>
            </w:tcBorders>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洗衣房</w:t>
            </w:r>
          </w:p>
        </w:tc>
        <w:tc>
          <w:tcPr>
            <w:tcW w:w="1167" w:type="dxa"/>
            <w:tcBorders>
              <w:bottom w:val="single" w:color="auto" w:sz="2" w:space="0"/>
            </w:tcBorders>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3</w:t>
            </w:r>
          </w:p>
        </w:tc>
        <w:tc>
          <w:tcPr>
            <w:tcW w:w="1781" w:type="dxa"/>
            <w:tcBorders>
              <w:bottom w:val="single" w:color="auto" w:sz="2" w:space="0"/>
            </w:tcBorders>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3</w:t>
            </w:r>
          </w:p>
        </w:tc>
        <w:tc>
          <w:tcPr>
            <w:tcW w:w="3446" w:type="dxa"/>
            <w:tcBorders>
              <w:bottom w:val="single" w:color="auto" w:sz="2" w:space="0"/>
            </w:tcBorders>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9</w:t>
            </w:r>
            <w:r>
              <w:rPr>
                <w:rFonts w:ascii="Calibri" w:hAnsi="宋体" w:eastAsia="宋体" w:cs="Calibri"/>
                <w:bCs/>
                <w:sz w:val="21"/>
                <w:szCs w:val="21"/>
              </w:rPr>
              <w:t>:</w:t>
            </w:r>
            <w:r>
              <w:rPr>
                <w:rFonts w:hint="eastAsia" w:ascii="Calibri" w:hAnsi="宋体" w:eastAsia="宋体" w:cs="Calibri"/>
                <w:bCs/>
                <w:sz w:val="21"/>
                <w:szCs w:val="21"/>
              </w:rPr>
              <w:t>00-18</w:t>
            </w:r>
            <w:r>
              <w:rPr>
                <w:rFonts w:ascii="Calibri" w:hAnsi="宋体" w:eastAsia="宋体" w:cs="Calibri"/>
                <w:bCs/>
                <w:sz w:val="21"/>
                <w:szCs w:val="21"/>
              </w:rPr>
              <w:t>:</w:t>
            </w:r>
            <w:r>
              <w:rPr>
                <w:rFonts w:hint="eastAsia" w:ascii="Calibri" w:hAnsi="宋体" w:eastAsia="宋体" w:cs="Calibri"/>
                <w:bCs/>
                <w:sz w:val="21"/>
                <w:szCs w:val="21"/>
              </w:rPr>
              <w:t>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班车服务</w:t>
            </w:r>
          </w:p>
        </w:tc>
        <w:tc>
          <w:tcPr>
            <w:tcW w:w="1377" w:type="dxa"/>
            <w:tcBorders>
              <w:top w:val="single" w:color="auto" w:sz="2" w:space="0"/>
            </w:tcBorders>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司机</w:t>
            </w:r>
          </w:p>
        </w:tc>
        <w:tc>
          <w:tcPr>
            <w:tcW w:w="1167" w:type="dxa"/>
            <w:tcBorders>
              <w:top w:val="single" w:color="auto" w:sz="2" w:space="0"/>
            </w:tcBorders>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13</w:t>
            </w:r>
          </w:p>
        </w:tc>
        <w:tc>
          <w:tcPr>
            <w:tcW w:w="1781" w:type="dxa"/>
            <w:tcBorders>
              <w:top w:val="single" w:color="auto" w:sz="2" w:space="0"/>
            </w:tcBorders>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13</w:t>
            </w:r>
          </w:p>
        </w:tc>
        <w:tc>
          <w:tcPr>
            <w:tcW w:w="3446" w:type="dxa"/>
            <w:tcBorders>
              <w:top w:val="single" w:color="auto" w:sz="2" w:space="0"/>
            </w:tcBorders>
            <w:shd w:val="clear" w:color="auto" w:fill="auto"/>
            <w:vAlign w:val="center"/>
          </w:tcPr>
          <w:p>
            <w:pPr>
              <w:spacing w:line="320" w:lineRule="exact"/>
              <w:rPr>
                <w:rFonts w:ascii="Calibri" w:hAnsi="宋体" w:eastAsia="宋体" w:cs="Calibri"/>
                <w:bCs/>
                <w:sz w:val="21"/>
                <w:szCs w:val="21"/>
              </w:rPr>
            </w:pPr>
            <w:r>
              <w:rPr>
                <w:rFonts w:ascii="Calibri" w:hAnsi="宋体" w:eastAsia="宋体" w:cs="Calibri"/>
                <w:bCs/>
                <w:sz w:val="21"/>
                <w:szCs w:val="21"/>
              </w:rPr>
              <w:t>9:00-18:00</w:t>
            </w:r>
            <w:r>
              <w:rPr>
                <w:rFonts w:hint="eastAsia" w:ascii="Calibri" w:hAnsi="宋体" w:eastAsia="宋体" w:cs="Calibri"/>
                <w:bCs/>
                <w:sz w:val="21"/>
                <w:szCs w:val="21"/>
              </w:rPr>
              <w:t>（有夜间值班）</w:t>
            </w:r>
          </w:p>
          <w:p>
            <w:pPr>
              <w:spacing w:line="320" w:lineRule="exact"/>
              <w:rPr>
                <w:rFonts w:ascii="Calibri" w:hAnsi="宋体" w:eastAsia="宋体" w:cs="Calibri"/>
                <w:bCs/>
                <w:sz w:val="21"/>
                <w:szCs w:val="21"/>
              </w:rPr>
            </w:pPr>
            <w:r>
              <w:rPr>
                <w:rFonts w:hint="eastAsia" w:ascii="Calibri" w:hAnsi="宋体" w:eastAsia="宋体" w:cs="Calibri"/>
                <w:bCs/>
                <w:color w:val="C00000"/>
                <w:sz w:val="21"/>
                <w:szCs w:val="21"/>
              </w:rPr>
              <w:t>★</w:t>
            </w:r>
            <w:r>
              <w:rPr>
                <w:rFonts w:hint="eastAsia" w:ascii="Calibri" w:hAnsi="宋体" w:eastAsia="宋体" w:cs="Calibri"/>
                <w:bCs/>
                <w:sz w:val="21"/>
                <w:szCs w:val="21"/>
              </w:rPr>
              <w:t>具有</w:t>
            </w:r>
            <w:r>
              <w:rPr>
                <w:rFonts w:ascii="Calibri" w:hAnsi="宋体" w:eastAsia="宋体" w:cs="Calibri"/>
                <w:bCs/>
                <w:sz w:val="21"/>
                <w:szCs w:val="21"/>
              </w:rPr>
              <w:t>C1</w:t>
            </w:r>
            <w:r>
              <w:rPr>
                <w:rFonts w:hint="eastAsia" w:ascii="Calibri" w:hAnsi="宋体" w:eastAsia="宋体" w:cs="Calibri"/>
                <w:bCs/>
                <w:sz w:val="21"/>
                <w:szCs w:val="21"/>
              </w:rPr>
              <w:t>级及以上驾驶证（至少8人须具有A类驾驶证）。</w:t>
            </w:r>
          </w:p>
          <w:p>
            <w:pPr>
              <w:spacing w:line="320" w:lineRule="exact"/>
              <w:rPr>
                <w:rFonts w:hAnsi="宋体" w:cs="Calibri"/>
                <w:bCs/>
                <w:sz w:val="21"/>
                <w:szCs w:val="21"/>
              </w:rPr>
            </w:pPr>
            <w:r>
              <w:rPr>
                <w:rFonts w:hint="eastAsia" w:ascii="Calibri" w:hAnsi="宋体" w:eastAsia="宋体" w:cs="Calibri"/>
                <w:bCs/>
                <w:sz w:val="21"/>
                <w:szCs w:val="21"/>
              </w:rPr>
              <w:t>负责市局机关、驻外单位及分县局之间线路运输工作。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vMerge w:val="restart"/>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特约服务</w:t>
            </w:r>
          </w:p>
        </w:tc>
        <w:tc>
          <w:tcPr>
            <w:tcW w:w="1377" w:type="dxa"/>
            <w:tcBorders>
              <w:top w:val="single" w:color="auto" w:sz="2" w:space="0"/>
            </w:tcBorders>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大型活动应急保障</w:t>
            </w:r>
          </w:p>
        </w:tc>
        <w:tc>
          <w:tcPr>
            <w:tcW w:w="1167" w:type="dxa"/>
            <w:tcBorders>
              <w:top w:val="single" w:color="auto" w:sz="2" w:space="0"/>
            </w:tcBorders>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6</w:t>
            </w:r>
          </w:p>
        </w:tc>
        <w:tc>
          <w:tcPr>
            <w:tcW w:w="1781" w:type="dxa"/>
            <w:tcBorders>
              <w:top w:val="single" w:color="auto" w:sz="2" w:space="0"/>
            </w:tcBorders>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18</w:t>
            </w:r>
          </w:p>
        </w:tc>
        <w:tc>
          <w:tcPr>
            <w:tcW w:w="3446" w:type="dxa"/>
            <w:tcBorders>
              <w:top w:val="single" w:color="auto" w:sz="2" w:space="0"/>
            </w:tcBorders>
            <w:shd w:val="clear" w:color="auto" w:fill="auto"/>
            <w:vAlign w:val="center"/>
          </w:tcPr>
          <w:p>
            <w:pPr>
              <w:spacing w:line="320" w:lineRule="exact"/>
              <w:rPr>
                <w:rFonts w:ascii="Calibri" w:hAnsi="宋体" w:eastAsia="宋体" w:cs="Calibri"/>
                <w:bCs/>
                <w:sz w:val="21"/>
                <w:szCs w:val="21"/>
              </w:rPr>
            </w:pPr>
            <w:r>
              <w:rPr>
                <w:rFonts w:hint="eastAsia" w:ascii="Calibri" w:hAnsi="宋体" w:eastAsia="宋体" w:cs="Calibri"/>
                <w:bCs/>
                <w:sz w:val="21"/>
                <w:szCs w:val="21"/>
              </w:rPr>
              <w:t>24小时</w:t>
            </w:r>
          </w:p>
          <w:p>
            <w:pPr>
              <w:spacing w:line="320" w:lineRule="exact"/>
              <w:rPr>
                <w:rFonts w:hAnsi="宋体" w:cs="Calibri"/>
                <w:bCs/>
                <w:sz w:val="21"/>
                <w:szCs w:val="21"/>
              </w:rPr>
            </w:pPr>
            <w:r>
              <w:rPr>
                <w:rFonts w:hint="eastAsia" w:ascii="Calibri" w:hAnsi="宋体" w:eastAsia="宋体" w:cs="Calibri"/>
                <w:bCs/>
                <w:sz w:val="21"/>
                <w:szCs w:val="21"/>
              </w:rPr>
              <w:t>负责应急库值守、货物搬运等工作，在大型活动期间负责应急库物资搬运管理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vMerge w:val="continue"/>
            <w:shd w:val="clear" w:color="auto" w:fill="auto"/>
            <w:vAlign w:val="center"/>
          </w:tcPr>
          <w:p>
            <w:pPr>
              <w:spacing w:line="320" w:lineRule="exact"/>
              <w:rPr>
                <w:rFonts w:hAnsi="宋体" w:cs="Calibri"/>
                <w:bCs/>
                <w:sz w:val="21"/>
                <w:szCs w:val="21"/>
              </w:rPr>
            </w:pPr>
          </w:p>
        </w:tc>
        <w:tc>
          <w:tcPr>
            <w:tcW w:w="1377" w:type="dxa"/>
            <w:tcBorders>
              <w:top w:val="single" w:color="auto" w:sz="2" w:space="0"/>
            </w:tcBorders>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信报服务</w:t>
            </w:r>
          </w:p>
        </w:tc>
        <w:tc>
          <w:tcPr>
            <w:tcW w:w="1167" w:type="dxa"/>
            <w:tcBorders>
              <w:top w:val="single" w:color="auto" w:sz="2" w:space="0"/>
            </w:tcBorders>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5</w:t>
            </w:r>
          </w:p>
        </w:tc>
        <w:tc>
          <w:tcPr>
            <w:tcW w:w="1781" w:type="dxa"/>
            <w:tcBorders>
              <w:top w:val="single" w:color="auto" w:sz="2" w:space="0"/>
            </w:tcBorders>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5</w:t>
            </w:r>
          </w:p>
        </w:tc>
        <w:tc>
          <w:tcPr>
            <w:tcW w:w="3446" w:type="dxa"/>
            <w:tcBorders>
              <w:top w:val="single" w:color="auto" w:sz="2" w:space="0"/>
            </w:tcBorders>
            <w:shd w:val="clear" w:color="auto" w:fill="auto"/>
            <w:vAlign w:val="center"/>
          </w:tcPr>
          <w:p>
            <w:pPr>
              <w:spacing w:line="320" w:lineRule="exact"/>
              <w:rPr>
                <w:rFonts w:ascii="Calibri" w:hAnsi="宋体" w:eastAsia="宋体" w:cs="Calibri"/>
                <w:bCs/>
                <w:sz w:val="21"/>
                <w:szCs w:val="21"/>
              </w:rPr>
            </w:pPr>
            <w:r>
              <w:rPr>
                <w:rFonts w:hint="eastAsia" w:ascii="Calibri" w:hAnsi="宋体" w:eastAsia="宋体" w:cs="Calibri"/>
                <w:bCs/>
                <w:sz w:val="21"/>
                <w:szCs w:val="21"/>
              </w:rPr>
              <w:t>9:00-18:00</w:t>
            </w:r>
          </w:p>
          <w:p>
            <w:pPr>
              <w:spacing w:line="320" w:lineRule="exact"/>
              <w:rPr>
                <w:rFonts w:hAnsi="宋体" w:cs="Calibri"/>
                <w:bCs/>
                <w:sz w:val="21"/>
                <w:szCs w:val="21"/>
              </w:rPr>
            </w:pPr>
            <w:r>
              <w:rPr>
                <w:rFonts w:hint="eastAsia" w:ascii="Calibri" w:hAnsi="宋体" w:eastAsia="宋体" w:cs="Calibri"/>
                <w:bCs/>
                <w:sz w:val="21"/>
                <w:szCs w:val="21"/>
              </w:rPr>
              <w:t>负责市局机关信报收发工作，并于每日按时给所有办公室投递信报。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vMerge w:val="continue"/>
            <w:shd w:val="clear" w:color="auto" w:fill="auto"/>
            <w:vAlign w:val="center"/>
          </w:tcPr>
          <w:p>
            <w:pPr>
              <w:spacing w:line="320" w:lineRule="exact"/>
              <w:rPr>
                <w:rFonts w:hAnsi="宋体" w:cs="Calibri"/>
                <w:bCs/>
                <w:sz w:val="21"/>
                <w:szCs w:val="21"/>
              </w:rPr>
            </w:pPr>
          </w:p>
        </w:tc>
        <w:tc>
          <w:tcPr>
            <w:tcW w:w="1377" w:type="dxa"/>
            <w:tcBorders>
              <w:top w:val="single" w:color="auto" w:sz="2" w:space="0"/>
            </w:tcBorders>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服务热线（24小时）</w:t>
            </w:r>
          </w:p>
        </w:tc>
        <w:tc>
          <w:tcPr>
            <w:tcW w:w="1167" w:type="dxa"/>
            <w:tcBorders>
              <w:top w:val="single" w:color="auto" w:sz="2" w:space="0"/>
            </w:tcBorders>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1</w:t>
            </w:r>
          </w:p>
        </w:tc>
        <w:tc>
          <w:tcPr>
            <w:tcW w:w="1781" w:type="dxa"/>
            <w:tcBorders>
              <w:top w:val="single" w:color="auto" w:sz="2" w:space="0"/>
            </w:tcBorders>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3</w:t>
            </w:r>
          </w:p>
        </w:tc>
        <w:tc>
          <w:tcPr>
            <w:tcW w:w="3446" w:type="dxa"/>
            <w:tcBorders>
              <w:top w:val="single" w:color="auto" w:sz="2" w:space="0"/>
            </w:tcBorders>
            <w:shd w:val="clear" w:color="auto" w:fill="auto"/>
            <w:vAlign w:val="center"/>
          </w:tcPr>
          <w:p>
            <w:pPr>
              <w:spacing w:line="320" w:lineRule="exact"/>
              <w:rPr>
                <w:rFonts w:ascii="Calibri" w:hAnsi="宋体" w:eastAsia="宋体" w:cs="Calibri"/>
                <w:bCs/>
                <w:sz w:val="21"/>
                <w:szCs w:val="21"/>
              </w:rPr>
            </w:pPr>
            <w:r>
              <w:rPr>
                <w:rFonts w:hint="eastAsia" w:ascii="Calibri" w:hAnsi="宋体" w:eastAsia="宋体" w:cs="Calibri"/>
                <w:bCs/>
                <w:sz w:val="21"/>
                <w:szCs w:val="21"/>
              </w:rPr>
              <w:t>24小时</w:t>
            </w:r>
          </w:p>
          <w:p>
            <w:pPr>
              <w:spacing w:line="320" w:lineRule="exact"/>
              <w:rPr>
                <w:rFonts w:hAnsi="宋体" w:cs="Calibri"/>
                <w:bCs/>
                <w:sz w:val="21"/>
                <w:szCs w:val="21"/>
              </w:rPr>
            </w:pPr>
            <w:r>
              <w:rPr>
                <w:rFonts w:hint="eastAsia" w:ascii="Calibri" w:hAnsi="宋体" w:eastAsia="宋体" w:cs="Calibri"/>
                <w:bCs/>
                <w:sz w:val="21"/>
                <w:szCs w:val="21"/>
              </w:rPr>
              <w:t>负责物业咨询答复，驻外单位维修派单联系等工作。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116" w:type="dxa"/>
            <w:shd w:val="clear" w:color="auto" w:fill="auto"/>
            <w:vAlign w:val="center"/>
          </w:tcPr>
          <w:p>
            <w:pPr>
              <w:spacing w:line="320" w:lineRule="exact"/>
              <w:rPr>
                <w:rFonts w:hAnsi="宋体" w:cs="Calibri"/>
                <w:bCs/>
                <w:sz w:val="21"/>
                <w:szCs w:val="21"/>
              </w:rPr>
            </w:pPr>
            <w:r>
              <w:rPr>
                <w:rFonts w:ascii="Calibri" w:hAnsi="宋体" w:eastAsia="宋体" w:cs="Calibri"/>
                <w:bCs/>
                <w:sz w:val="21"/>
                <w:szCs w:val="21"/>
              </w:rPr>
              <w:t>合计</w:t>
            </w:r>
          </w:p>
        </w:tc>
        <w:tc>
          <w:tcPr>
            <w:tcW w:w="7771" w:type="dxa"/>
            <w:gridSpan w:val="4"/>
            <w:shd w:val="clear" w:color="auto" w:fill="auto"/>
            <w:vAlign w:val="center"/>
          </w:tcPr>
          <w:p>
            <w:pPr>
              <w:spacing w:line="320" w:lineRule="exact"/>
              <w:rPr>
                <w:rFonts w:hAnsi="宋体" w:cs="Calibri"/>
                <w:bCs/>
                <w:sz w:val="21"/>
                <w:szCs w:val="21"/>
              </w:rPr>
            </w:pPr>
            <w:r>
              <w:rPr>
                <w:rFonts w:hint="eastAsia" w:ascii="Calibri" w:hAnsi="宋体" w:eastAsia="宋体" w:cs="Calibri"/>
                <w:bCs/>
                <w:sz w:val="21"/>
                <w:szCs w:val="21"/>
              </w:rPr>
              <w:t>106</w:t>
            </w:r>
          </w:p>
        </w:tc>
      </w:tr>
    </w:tbl>
    <w:p>
      <w:pPr>
        <w:widowControl w:val="0"/>
        <w:ind w:left="482" w:firstLine="480" w:firstLineChars="200"/>
        <w:rPr>
          <w:rFonts w:cs="仿宋" w:asciiTheme="minorEastAsia" w:hAnsiTheme="minorEastAsia"/>
          <w:color w:val="C00000"/>
          <w:szCs w:val="21"/>
        </w:rPr>
      </w:pPr>
      <w:r>
        <w:rPr>
          <w:rFonts w:hint="eastAsia" w:cs="仿宋" w:asciiTheme="minorEastAsia" w:hAnsiTheme="minorEastAsia"/>
          <w:color w:val="C00000"/>
          <w:szCs w:val="21"/>
        </w:rPr>
        <w:t>★本项目服务人数不得少于106人，上岗保安人员具备保安证。供应商须提供承诺函。</w:t>
      </w:r>
    </w:p>
    <w:p>
      <w:pPr>
        <w:jc w:val="both"/>
      </w:pPr>
    </w:p>
    <w:p>
      <w:pPr>
        <w:pStyle w:val="3"/>
        <w:jc w:val="both"/>
      </w:pPr>
      <w:r>
        <w:rPr>
          <w:rFonts w:hint="eastAsia"/>
        </w:rPr>
        <w:t>四、商务要求</w:t>
      </w:r>
    </w:p>
    <w:p>
      <w:pPr>
        <w:ind w:firstLine="480" w:firstLineChars="200"/>
        <w:jc w:val="both"/>
      </w:pPr>
      <w:r>
        <w:t>1.</w:t>
      </w:r>
      <w:r>
        <w:rPr>
          <w:rFonts w:hint="eastAsia"/>
        </w:rPr>
        <w:t>服务期限：一年。</w:t>
      </w:r>
    </w:p>
    <w:p>
      <w:pPr>
        <w:ind w:firstLine="480" w:firstLineChars="200"/>
        <w:jc w:val="both"/>
      </w:pPr>
      <w:r>
        <w:t>2.</w:t>
      </w:r>
      <w:r>
        <w:rPr>
          <w:rFonts w:hint="eastAsia"/>
        </w:rPr>
        <w:t>付款方式：签订合同后，供应商开具全额发票，采购人收到发票后于</w:t>
      </w:r>
      <w:r>
        <w:t>10</w:t>
      </w:r>
      <w:r>
        <w:rPr>
          <w:rFonts w:hint="eastAsia"/>
        </w:rPr>
        <w:t>个工作日内通过银行转账全额付款。</w:t>
      </w:r>
    </w:p>
    <w:p>
      <w:pPr>
        <w:pStyle w:val="3"/>
        <w:jc w:val="both"/>
      </w:pPr>
      <w:r>
        <w:t>五、</w:t>
      </w:r>
      <w:r>
        <w:rPr>
          <w:rFonts w:hint="eastAsia"/>
        </w:rPr>
        <w:t>考核要求</w:t>
      </w:r>
    </w:p>
    <w:p>
      <w:pPr>
        <w:ind w:firstLine="480" w:firstLineChars="200"/>
        <w:rPr>
          <w:rFonts w:ascii="Segoe UI Symbol" w:hAnsi="Segoe UI Symbol" w:eastAsia="宋体" w:cs="Segoe UI Symbol"/>
          <w:kern w:val="24"/>
        </w:rPr>
      </w:pPr>
      <w:r>
        <w:rPr>
          <w:rFonts w:hint="eastAsia" w:ascii="Segoe UI Symbol" w:hAnsi="Segoe UI Symbol" w:eastAsia="宋体" w:cs="Segoe UI Symbol"/>
          <w:kern w:val="24"/>
        </w:rPr>
        <w:t>考核采取季度考核方式，总分为450分，设施设备管理、安保服务、环境保洁和绿化养护服务、餐饮管理等四项服务考核项目分值均为100分，会议服务考核项目分值为50分。只记扣分分值，不记得分分值。总考核扣分为各服务考核项目扣分之和，总考核得分为450分减去总考核扣分。如有水、电、气、暖等重大安全事故、失窃密事件、涉及违法犯罪事件发生，一次性扣减50分。</w:t>
      </w:r>
    </w:p>
    <w:p>
      <w:pPr>
        <w:ind w:firstLine="480" w:firstLineChars="200"/>
        <w:rPr>
          <w:rFonts w:ascii="Segoe UI Symbol" w:hAnsi="Segoe UI Symbol" w:eastAsia="宋体" w:cs="Segoe UI Symbol"/>
          <w:kern w:val="24"/>
        </w:rPr>
      </w:pPr>
      <w:r>
        <w:rPr>
          <w:rFonts w:hint="eastAsia" w:ascii="Segoe UI Symbol" w:hAnsi="Segoe UI Symbol" w:eastAsia="宋体" w:cs="Segoe UI Symbol"/>
          <w:kern w:val="24"/>
        </w:rPr>
        <w:t>根据考核结果，季度总考核第一次得分在</w:t>
      </w:r>
      <w:r>
        <w:rPr>
          <w:rFonts w:ascii="Segoe UI Symbol" w:hAnsi="Segoe UI Symbol" w:eastAsia="宋体" w:cs="Segoe UI Symbol"/>
          <w:kern w:val="24"/>
        </w:rPr>
        <w:t>400</w:t>
      </w:r>
      <w:r>
        <w:rPr>
          <w:rFonts w:hint="eastAsia" w:ascii="Segoe UI Symbol" w:hAnsi="Segoe UI Symbol" w:eastAsia="宋体" w:cs="Segoe UI Symbol"/>
          <w:kern w:val="24"/>
        </w:rPr>
        <w:t>分以下（不含</w:t>
      </w:r>
      <w:r>
        <w:rPr>
          <w:rFonts w:ascii="Segoe UI Symbol" w:hAnsi="Segoe UI Symbol" w:eastAsia="宋体" w:cs="Segoe UI Symbol"/>
          <w:kern w:val="24"/>
        </w:rPr>
        <w:t>400</w:t>
      </w:r>
      <w:r>
        <w:rPr>
          <w:rFonts w:hint="eastAsia" w:ascii="Segoe UI Symbol" w:hAnsi="Segoe UI Symbol" w:eastAsia="宋体" w:cs="Segoe UI Symbol"/>
          <w:kern w:val="24"/>
        </w:rPr>
        <w:t>分），由采购人对供应商下发责令整改通知书；季度总考核第二次得分在</w:t>
      </w:r>
      <w:r>
        <w:rPr>
          <w:rFonts w:ascii="Segoe UI Symbol" w:hAnsi="Segoe UI Symbol" w:eastAsia="宋体" w:cs="Segoe UI Symbol"/>
          <w:kern w:val="24"/>
        </w:rPr>
        <w:t>400</w:t>
      </w:r>
      <w:r>
        <w:rPr>
          <w:rFonts w:hint="eastAsia" w:ascii="Segoe UI Symbol" w:hAnsi="Segoe UI Symbol" w:eastAsia="宋体" w:cs="Segoe UI Symbol"/>
          <w:kern w:val="24"/>
        </w:rPr>
        <w:t>分以下（不含</w:t>
      </w:r>
      <w:r>
        <w:rPr>
          <w:rFonts w:ascii="Segoe UI Symbol" w:hAnsi="Segoe UI Symbol" w:eastAsia="宋体" w:cs="Segoe UI Symbol"/>
          <w:kern w:val="24"/>
        </w:rPr>
        <w:t>400</w:t>
      </w:r>
      <w:r>
        <w:rPr>
          <w:rFonts w:hint="eastAsia" w:ascii="Segoe UI Symbol" w:hAnsi="Segoe UI Symbol" w:eastAsia="宋体" w:cs="Segoe UI Symbol"/>
          <w:kern w:val="24"/>
        </w:rPr>
        <w:t>分），由采购人告知供应商，更换项目负责经理及相关管理人员；季度总考核第三次得分在</w:t>
      </w:r>
      <w:r>
        <w:rPr>
          <w:rFonts w:ascii="Segoe UI Symbol" w:hAnsi="Segoe UI Symbol" w:eastAsia="宋体" w:cs="Segoe UI Symbol"/>
          <w:kern w:val="24"/>
        </w:rPr>
        <w:t>400</w:t>
      </w:r>
      <w:r>
        <w:rPr>
          <w:rFonts w:hint="eastAsia" w:ascii="Segoe UI Symbol" w:hAnsi="Segoe UI Symbol" w:eastAsia="宋体" w:cs="Segoe UI Symbol"/>
          <w:kern w:val="24"/>
        </w:rPr>
        <w:t>分以下（不含</w:t>
      </w:r>
      <w:r>
        <w:rPr>
          <w:rFonts w:ascii="Segoe UI Symbol" w:hAnsi="Segoe UI Symbol" w:eastAsia="宋体" w:cs="Segoe UI Symbol"/>
          <w:kern w:val="24"/>
        </w:rPr>
        <w:t>400</w:t>
      </w:r>
      <w:r>
        <w:rPr>
          <w:rFonts w:hint="eastAsia" w:ascii="Segoe UI Symbol" w:hAnsi="Segoe UI Symbol" w:eastAsia="宋体" w:cs="Segoe UI Symbol"/>
          <w:kern w:val="24"/>
        </w:rPr>
        <w:t>分）与供应商解除合同。</w:t>
      </w:r>
    </w:p>
    <w:p>
      <w:pPr>
        <w:ind w:firstLine="480" w:firstLineChars="200"/>
        <w:rPr>
          <w:rFonts w:ascii="宋体" w:hAnsi="宋体" w:cs="宋体"/>
          <w:b/>
          <w:bCs/>
        </w:rPr>
      </w:pPr>
      <w:r>
        <w:rPr>
          <w:rFonts w:hint="eastAsia" w:ascii="宋体" w:hAnsi="宋体" w:cs="宋体"/>
          <w:b/>
          <w:bCs/>
        </w:rPr>
        <w:t>1．保洁服务标准考核细则</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6"/>
        <w:gridCol w:w="1018"/>
        <w:gridCol w:w="5344"/>
        <w:gridCol w:w="604"/>
        <w:gridCol w:w="122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tcBorders>
              <w:top w:val="single" w:color="auto" w:sz="12" w:space="0"/>
              <w:bottom w:val="single" w:color="auto" w:sz="2" w:space="0"/>
            </w:tcBorders>
            <w:shd w:val="clear" w:color="auto" w:fill="F2F2F2"/>
            <w:vAlign w:val="center"/>
          </w:tcPr>
          <w:p>
            <w:pPr>
              <w:spacing w:line="320" w:lineRule="exact"/>
              <w:jc w:val="both"/>
              <w:rPr>
                <w:rFonts w:cs="宋体" w:asciiTheme="minorEastAsia" w:hAnsiTheme="minorEastAsia"/>
                <w:b/>
                <w:bCs/>
                <w:sz w:val="21"/>
                <w:szCs w:val="21"/>
              </w:rPr>
            </w:pPr>
            <w:r>
              <w:rPr>
                <w:rFonts w:hint="eastAsia" w:cs="宋体" w:asciiTheme="minorEastAsia" w:hAnsiTheme="minorEastAsia"/>
                <w:b/>
                <w:bCs/>
                <w:sz w:val="21"/>
                <w:szCs w:val="21"/>
              </w:rPr>
              <w:t>序号</w:t>
            </w:r>
          </w:p>
        </w:tc>
        <w:tc>
          <w:tcPr>
            <w:tcW w:w="563" w:type="pct"/>
            <w:tcBorders>
              <w:top w:val="single" w:color="auto" w:sz="12" w:space="0"/>
              <w:bottom w:val="single" w:color="auto" w:sz="2" w:space="0"/>
            </w:tcBorders>
            <w:shd w:val="clear" w:color="auto" w:fill="F2F2F2"/>
            <w:vAlign w:val="center"/>
          </w:tcPr>
          <w:p>
            <w:pPr>
              <w:spacing w:line="320" w:lineRule="exact"/>
              <w:jc w:val="both"/>
              <w:rPr>
                <w:rFonts w:cs="宋体" w:asciiTheme="minorEastAsia" w:hAnsiTheme="minorEastAsia"/>
                <w:b/>
                <w:bCs/>
                <w:sz w:val="21"/>
                <w:szCs w:val="21"/>
              </w:rPr>
            </w:pPr>
            <w:r>
              <w:rPr>
                <w:rFonts w:hint="eastAsia" w:cs="宋体" w:asciiTheme="minorEastAsia" w:hAnsiTheme="minorEastAsia"/>
                <w:b/>
                <w:bCs/>
                <w:sz w:val="21"/>
                <w:szCs w:val="21"/>
              </w:rPr>
              <w:t>项目</w:t>
            </w:r>
          </w:p>
        </w:tc>
        <w:tc>
          <w:tcPr>
            <w:tcW w:w="2956" w:type="pct"/>
            <w:tcBorders>
              <w:top w:val="single" w:color="auto" w:sz="12" w:space="0"/>
              <w:bottom w:val="single" w:color="auto" w:sz="2" w:space="0"/>
            </w:tcBorders>
            <w:shd w:val="clear" w:color="auto" w:fill="F2F2F2"/>
            <w:vAlign w:val="center"/>
          </w:tcPr>
          <w:p>
            <w:pPr>
              <w:spacing w:line="320" w:lineRule="exact"/>
              <w:jc w:val="both"/>
              <w:rPr>
                <w:rFonts w:cs="宋体" w:asciiTheme="minorEastAsia" w:hAnsiTheme="minorEastAsia"/>
                <w:b/>
                <w:bCs/>
                <w:sz w:val="21"/>
                <w:szCs w:val="21"/>
              </w:rPr>
            </w:pPr>
            <w:r>
              <w:rPr>
                <w:rFonts w:hint="eastAsia" w:cs="宋体" w:asciiTheme="minorEastAsia" w:hAnsiTheme="minorEastAsia"/>
                <w:b/>
                <w:bCs/>
                <w:sz w:val="21"/>
                <w:szCs w:val="21"/>
              </w:rPr>
              <w:t>检查内容</w:t>
            </w:r>
          </w:p>
        </w:tc>
        <w:tc>
          <w:tcPr>
            <w:tcW w:w="334" w:type="pct"/>
            <w:tcBorders>
              <w:top w:val="single" w:color="auto" w:sz="12" w:space="0"/>
              <w:bottom w:val="single" w:color="auto" w:sz="2" w:space="0"/>
            </w:tcBorders>
            <w:shd w:val="clear" w:color="auto" w:fill="F2F2F2"/>
            <w:vAlign w:val="center"/>
          </w:tcPr>
          <w:p>
            <w:pPr>
              <w:spacing w:line="320" w:lineRule="exact"/>
              <w:jc w:val="both"/>
              <w:rPr>
                <w:rFonts w:cs="宋体" w:asciiTheme="minorEastAsia" w:hAnsiTheme="minorEastAsia"/>
                <w:b/>
                <w:bCs/>
                <w:color w:val="000000"/>
                <w:sz w:val="21"/>
                <w:szCs w:val="21"/>
              </w:rPr>
            </w:pPr>
            <w:r>
              <w:rPr>
                <w:rFonts w:hint="eastAsia" w:cs="宋体" w:asciiTheme="minorEastAsia" w:hAnsiTheme="minorEastAsia"/>
                <w:b/>
                <w:bCs/>
                <w:sz w:val="21"/>
                <w:szCs w:val="21"/>
              </w:rPr>
              <w:t>项目分值</w:t>
            </w:r>
          </w:p>
        </w:tc>
        <w:tc>
          <w:tcPr>
            <w:tcW w:w="679" w:type="pct"/>
            <w:tcBorders>
              <w:top w:val="single" w:color="auto" w:sz="12" w:space="0"/>
              <w:bottom w:val="single" w:color="auto" w:sz="2" w:space="0"/>
            </w:tcBorders>
            <w:shd w:val="clear" w:color="auto" w:fill="F2F2F2"/>
            <w:vAlign w:val="center"/>
          </w:tcPr>
          <w:p>
            <w:pPr>
              <w:spacing w:line="320" w:lineRule="exact"/>
              <w:jc w:val="both"/>
              <w:rPr>
                <w:rFonts w:cs="宋体" w:asciiTheme="minorEastAsia" w:hAnsiTheme="minorEastAsia"/>
                <w:b/>
                <w:bCs/>
                <w:color w:val="000000"/>
                <w:sz w:val="21"/>
                <w:szCs w:val="21"/>
              </w:rPr>
            </w:pPr>
            <w:r>
              <w:rPr>
                <w:rFonts w:hint="eastAsia" w:cs="宋体" w:asciiTheme="minorEastAsia" w:hAnsiTheme="minorEastAsia"/>
                <w:b/>
                <w:bCs/>
                <w:color w:val="000000"/>
                <w:sz w:val="21"/>
                <w:szCs w:val="21"/>
              </w:rPr>
              <w:t>扣分细则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tcBorders>
              <w:top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1</w:t>
            </w:r>
          </w:p>
        </w:tc>
        <w:tc>
          <w:tcPr>
            <w:tcW w:w="563" w:type="pct"/>
            <w:vMerge w:val="restart"/>
            <w:tcBorders>
              <w:top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p>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环</w:t>
            </w:r>
          </w:p>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境</w:t>
            </w:r>
          </w:p>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卫</w:t>
            </w:r>
          </w:p>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生</w:t>
            </w:r>
          </w:p>
          <w:p>
            <w:pPr>
              <w:spacing w:line="320" w:lineRule="exact"/>
              <w:jc w:val="both"/>
              <w:rPr>
                <w:rFonts w:cs="宋体" w:asciiTheme="minorEastAsia" w:hAnsiTheme="minorEastAsia"/>
                <w:sz w:val="21"/>
                <w:szCs w:val="21"/>
              </w:rPr>
            </w:pPr>
          </w:p>
        </w:tc>
        <w:tc>
          <w:tcPr>
            <w:tcW w:w="2956" w:type="pct"/>
            <w:tcBorders>
              <w:top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主路面、硬化路面的尘土、落叶等及时清理。</w:t>
            </w:r>
          </w:p>
        </w:tc>
        <w:tc>
          <w:tcPr>
            <w:tcW w:w="334" w:type="pct"/>
            <w:tcBorders>
              <w:top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3</w:t>
            </w:r>
          </w:p>
        </w:tc>
        <w:tc>
          <w:tcPr>
            <w:tcW w:w="679" w:type="pct"/>
            <w:vMerge w:val="restart"/>
            <w:tcBorders>
              <w:top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sz w:val="21"/>
                <w:szCs w:val="21"/>
              </w:rPr>
              <w:t>每条中出现一次不符合，按严重程度扣0.1-1分，扣完本条分值为止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color w:val="000000"/>
                <w:sz w:val="21"/>
                <w:szCs w:val="21"/>
              </w:rPr>
              <w:t>宣传栏、灯箱、灯具、灯杆等外部设施积尘及时清洁擦拭。</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草坪、绿地有烟头、白色垃圾等杂物及时清理。</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雨后路面积水、雪后积雪及时清理。</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color w:val="000000"/>
                <w:sz w:val="21"/>
                <w:szCs w:val="21"/>
              </w:rPr>
              <w:t>台阶无杂草、废纸、塑料袋、果皮、烟头等杂物。</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停车场车道分界线明显。</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雨水口无杂物堆积，保持下水畅通。</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2</w:t>
            </w:r>
          </w:p>
        </w:tc>
        <w:tc>
          <w:tcPr>
            <w:tcW w:w="563"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公</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用</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卫</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生</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间</w:t>
            </w: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color w:val="000000"/>
                <w:sz w:val="21"/>
                <w:szCs w:val="21"/>
              </w:rPr>
              <w:t>地面、墙面、面盆、台面、无大面积水迹、污渍，镜面干净。</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restart"/>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sz w:val="21"/>
                <w:szCs w:val="21"/>
              </w:rPr>
              <w:t>每条中出现一次不符合，按严重程度扣0.1-1分，扣完本条分值为止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地漏、拖布池畅通，地面积水及时处理。</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大便池、小便池干净无污迹、无异味。</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便池损坏按要求24小时内申请更换。</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3</w:t>
            </w:r>
          </w:p>
        </w:tc>
        <w:tc>
          <w:tcPr>
            <w:tcW w:w="563"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垃</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圾</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桶</w:t>
            </w: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不锈钢垃圾桶表面干净无手印、油渍、灰尘。</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restart"/>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sz w:val="21"/>
                <w:szCs w:val="21"/>
              </w:rPr>
              <w:t>每条中出现一次不符合，按严重程度扣0.1-1分，扣完本条分值为止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地面无明显污渍、灰尘。</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4</w:t>
            </w:r>
          </w:p>
        </w:tc>
        <w:tc>
          <w:tcPr>
            <w:tcW w:w="563"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走</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廊</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通</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道</w:t>
            </w: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走廊、楼梯无灰尘、污渍、蛛网。</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3</w:t>
            </w:r>
          </w:p>
        </w:tc>
        <w:tc>
          <w:tcPr>
            <w:tcW w:w="679" w:type="pct"/>
            <w:vMerge w:val="restart"/>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sz w:val="21"/>
                <w:szCs w:val="21"/>
              </w:rPr>
              <w:t>每条中出现一次不符合，按严重程度扣0.1-1分，扣完本条分值为止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通道、楼梯地面无纸屑、烟头。</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3</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消防通道无占道物品。</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通道楼梯扶手无灰尘。</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消防箱内无杂物、积尘。</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5</w:t>
            </w:r>
          </w:p>
        </w:tc>
        <w:tc>
          <w:tcPr>
            <w:tcW w:w="563"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各</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楼</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门</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厅</w:t>
            </w: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大门、窗、扶手无灰尘、手迹。</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3</w:t>
            </w:r>
          </w:p>
        </w:tc>
        <w:tc>
          <w:tcPr>
            <w:tcW w:w="679" w:type="pct"/>
            <w:vMerge w:val="restart"/>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sz w:val="21"/>
                <w:szCs w:val="21"/>
              </w:rPr>
              <w:t>每条中出现一次不符合，按严重程度扣0.1-1分，扣完本条分值为止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指示牌无明显污迹、灰尘。</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大厅地面无杂物，墙面、柱面无污迹、灰尘，墙角无蛛网等。</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3</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玻璃按时清洁，干净无污渍。</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6</w:t>
            </w:r>
          </w:p>
        </w:tc>
        <w:tc>
          <w:tcPr>
            <w:tcW w:w="563"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垃</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圾</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清</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运</w:t>
            </w: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配合第三方垃圾清运公司完成垃圾清运。</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restart"/>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sz w:val="21"/>
                <w:szCs w:val="21"/>
              </w:rPr>
              <w:t>每条中出现一次不符合，按严重程度扣0.1-1分，扣完本条分值为止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垃圾中转站定期消毒灭杀（5—10月份每周消毒灭杀一次，其它时间每月消毒灭杀一次）。</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每天及时收集垃圾，更换垃圾袋，清运沿途地面无污染。</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卫生间垃圾桶垃圾超过2/3应及时清理。</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05" w:hRule="atLeast"/>
          <w:jc w:val="center"/>
        </w:trPr>
        <w:tc>
          <w:tcPr>
            <w:tcW w:w="468" w:type="pct"/>
            <w:vMerge w:val="restart"/>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7</w:t>
            </w:r>
          </w:p>
        </w:tc>
        <w:tc>
          <w:tcPr>
            <w:tcW w:w="563"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卫生消杀</w:t>
            </w: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卫生间、公共区域不出现大量蟑螂及蚊虫。</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restart"/>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sz w:val="21"/>
                <w:szCs w:val="21"/>
              </w:rPr>
              <w:t>每条中出现一次不符合，按严重程度扣0.1-1分，扣完本条分值为止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74"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定期对办公区域、公共场所区域及周边环境进行卫生消毒。</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8</w:t>
            </w:r>
          </w:p>
        </w:tc>
        <w:tc>
          <w:tcPr>
            <w:tcW w:w="563"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多功能厅及视频会议室卫生</w:t>
            </w: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地面无明显灰尘、污渍、纸屑、烟头等。</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3</w:t>
            </w:r>
          </w:p>
        </w:tc>
        <w:tc>
          <w:tcPr>
            <w:tcW w:w="679" w:type="pct"/>
            <w:vMerge w:val="restart"/>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sz w:val="21"/>
                <w:szCs w:val="21"/>
              </w:rPr>
              <w:t>每条中出现一次不符合，按严重程度扣0.1-1分，扣完本条分值为止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墙面无明显污迹、蛛网，玻璃按时清洁，干净无污渍。</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桌椅表面、侧面无灰尘、桌椅摆放整齐、桌斗无残留垃圾、无灰尘。</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9</w:t>
            </w:r>
          </w:p>
        </w:tc>
        <w:tc>
          <w:tcPr>
            <w:tcW w:w="563"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排</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练</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厅</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卫</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生</w:t>
            </w: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地面无杂物、灰尘、污渍、烟头等。</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restart"/>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sz w:val="21"/>
                <w:szCs w:val="21"/>
              </w:rPr>
              <w:t>每条中出现一次不符合，按严重程度扣0.1-1分，扣完本条分值为止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墙面无明显污迹、墙角无蛛网。</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器材表面无污迹、浮灰。</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10</w:t>
            </w:r>
          </w:p>
        </w:tc>
        <w:tc>
          <w:tcPr>
            <w:tcW w:w="563"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绿</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化</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养</w:t>
            </w:r>
          </w:p>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护</w:t>
            </w: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草坪杂草及时采取措施清理。</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restart"/>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sz w:val="21"/>
                <w:szCs w:val="21"/>
              </w:rPr>
              <w:t>每条中出现一次不符合，按严重程度扣0.1-1分，扣完本条分值为止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按要求及时对草皮修剪，保持美观。</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及时修剪绿篱，保持造型美观。</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color w:val="000000"/>
                <w:sz w:val="21"/>
                <w:szCs w:val="21"/>
              </w:rPr>
              <w:t>及时对绿植灌溉、施肥，无明显枯枝。</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3</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校区绿植、花卉及时喷药除病虫，无明显病虫害。</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3</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遇有树木黄叶、焦叶、卷叶、落叶等应及时修剪。</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sz w:val="21"/>
                <w:szCs w:val="21"/>
              </w:rPr>
              <w:t>11</w:t>
            </w:r>
          </w:p>
        </w:tc>
        <w:tc>
          <w:tcPr>
            <w:tcW w:w="563"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安</w:t>
            </w:r>
          </w:p>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全</w:t>
            </w:r>
          </w:p>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文</w:t>
            </w:r>
          </w:p>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明</w:t>
            </w:r>
          </w:p>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生</w:t>
            </w:r>
          </w:p>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产</w:t>
            </w: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员工上岗期间，统一着工装、佩戴工牌，仪容仪表符合规范。</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restart"/>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sz w:val="21"/>
                <w:szCs w:val="21"/>
              </w:rPr>
              <w:t>每条中出现一次不符合，按严重程度扣0.1-1分，扣完本条分值为止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对待客户态度热情，微笑服务，使用文明用语。</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作业时做到“三轻”，遇见行人礼让为先，不影响客户正常工作，未接到客户投诉。</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2</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使用机具、农药等设备物品时，采取相应安全防护措施，对影响客户办公的作业内容提前出具温馨提示。</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3</w:t>
            </w:r>
          </w:p>
        </w:tc>
        <w:tc>
          <w:tcPr>
            <w:tcW w:w="679" w:type="pct"/>
            <w:vMerge w:val="continue"/>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tcBorders>
              <w:bottom w:val="single" w:color="auto" w:sz="2" w:space="0"/>
            </w:tcBorders>
            <w:shd w:val="clear" w:color="auto" w:fill="auto"/>
            <w:vAlign w:val="center"/>
          </w:tcPr>
          <w:p>
            <w:pPr>
              <w:rPr>
                <w:rFonts w:asciiTheme="minorEastAsia" w:hAnsiTheme="minorEastAsia"/>
                <w:sz w:val="21"/>
                <w:szCs w:val="21"/>
              </w:rPr>
            </w:pPr>
          </w:p>
        </w:tc>
        <w:tc>
          <w:tcPr>
            <w:tcW w:w="563"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rFonts w:asciiTheme="minorEastAsia" w:hAnsiTheme="minorEastAsia"/>
                <w:sz w:val="21"/>
                <w:szCs w:val="21"/>
              </w:rPr>
            </w:pPr>
          </w:p>
        </w:tc>
        <w:tc>
          <w:tcPr>
            <w:tcW w:w="2956"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sz w:val="21"/>
                <w:szCs w:val="21"/>
              </w:rPr>
            </w:pPr>
            <w:r>
              <w:rPr>
                <w:rFonts w:hint="eastAsia" w:cs="宋体" w:asciiTheme="minorEastAsia" w:hAnsiTheme="minorEastAsia"/>
                <w:sz w:val="21"/>
                <w:szCs w:val="21"/>
              </w:rPr>
              <w:t>按照流程规范操作，不发生人为安全事故。</w:t>
            </w:r>
          </w:p>
        </w:tc>
        <w:tc>
          <w:tcPr>
            <w:tcW w:w="3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3</w:t>
            </w:r>
          </w:p>
        </w:tc>
        <w:tc>
          <w:tcPr>
            <w:tcW w:w="679" w:type="pct"/>
            <w:vMerge w:val="continue"/>
            <w:tcBorders>
              <w:bottom w:val="single" w:color="auto" w:sz="2" w:space="0"/>
            </w:tcBorders>
            <w:shd w:val="clear" w:color="auto" w:fill="auto"/>
            <w:vAlign w:val="center"/>
          </w:tcPr>
          <w:p>
            <w:pPr>
              <w:rPr>
                <w:rFonts w:asciiTheme="minorEastAsia" w:hAnsi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87" w:type="pct"/>
            <w:gridSpan w:val="3"/>
            <w:tcBorders>
              <w:top w:val="single" w:color="auto" w:sz="2" w:space="0"/>
              <w:bottom w:val="single" w:color="auto" w:sz="1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合计</w:t>
            </w:r>
          </w:p>
        </w:tc>
        <w:tc>
          <w:tcPr>
            <w:tcW w:w="334" w:type="pct"/>
            <w:tcBorders>
              <w:top w:val="single" w:color="auto" w:sz="2" w:space="0"/>
              <w:left w:val="single" w:color="auto" w:sz="2" w:space="0"/>
              <w:bottom w:val="single" w:color="auto" w:sz="12" w:space="0"/>
              <w:right w:val="single" w:color="auto" w:sz="2" w:space="0"/>
            </w:tcBorders>
            <w:shd w:val="clear" w:color="auto" w:fill="auto"/>
            <w:vAlign w:val="center"/>
          </w:tcPr>
          <w:p>
            <w:pPr>
              <w:spacing w:line="320" w:lineRule="exact"/>
              <w:jc w:val="both"/>
              <w:rPr>
                <w:rFonts w:cs="宋体" w:asciiTheme="minorEastAsia" w:hAnsiTheme="minorEastAsia"/>
                <w:color w:val="000000"/>
                <w:sz w:val="21"/>
                <w:szCs w:val="21"/>
              </w:rPr>
            </w:pPr>
            <w:r>
              <w:rPr>
                <w:rFonts w:hint="eastAsia" w:cs="宋体" w:asciiTheme="minorEastAsia" w:hAnsiTheme="minorEastAsia"/>
                <w:color w:val="000000"/>
                <w:sz w:val="21"/>
                <w:szCs w:val="21"/>
              </w:rPr>
              <w:t>100</w:t>
            </w:r>
          </w:p>
        </w:tc>
        <w:tc>
          <w:tcPr>
            <w:tcW w:w="679" w:type="pct"/>
            <w:tcBorders>
              <w:top w:val="single" w:color="auto" w:sz="2" w:space="0"/>
              <w:bottom w:val="single" w:color="auto" w:sz="12" w:space="0"/>
            </w:tcBorders>
            <w:shd w:val="clear" w:color="auto" w:fill="auto"/>
            <w:vAlign w:val="center"/>
          </w:tcPr>
          <w:p>
            <w:pPr>
              <w:spacing w:line="320" w:lineRule="exact"/>
              <w:jc w:val="both"/>
              <w:rPr>
                <w:rFonts w:cs="宋体" w:asciiTheme="minorEastAsia" w:hAnsiTheme="minorEastAsia"/>
                <w:color w:val="000000"/>
                <w:sz w:val="21"/>
                <w:szCs w:val="21"/>
              </w:rPr>
            </w:pPr>
          </w:p>
        </w:tc>
      </w:tr>
    </w:tbl>
    <w:p>
      <w:pPr>
        <w:ind w:firstLine="360" w:firstLineChars="150"/>
        <w:rPr>
          <w:rFonts w:ascii="宋体" w:hAnsi="宋体" w:cs="宋体"/>
          <w:b/>
          <w:bCs/>
        </w:rPr>
      </w:pPr>
      <w:r>
        <w:rPr>
          <w:rFonts w:hint="eastAsia" w:ascii="宋体" w:hAnsi="宋体" w:cs="宋体"/>
          <w:b/>
          <w:bCs/>
        </w:rPr>
        <w:t>2．工程管理服务标准考核细则</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5"/>
        <w:gridCol w:w="1022"/>
        <w:gridCol w:w="5303"/>
        <w:gridCol w:w="577"/>
        <w:gridCol w:w="12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szCs w:val="21"/>
              </w:rPr>
            </w:pPr>
            <w:r>
              <w:rPr>
                <w:rFonts w:hint="eastAsia" w:ascii="Calibri" w:hAnsi="宋体" w:eastAsia="宋体" w:cs="宋体"/>
                <w:b/>
                <w:bCs/>
                <w:sz w:val="21"/>
                <w:szCs w:val="21"/>
              </w:rPr>
              <w:t>序号</w:t>
            </w:r>
          </w:p>
        </w:tc>
        <w:tc>
          <w:tcPr>
            <w:tcW w:w="565"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szCs w:val="21"/>
              </w:rPr>
            </w:pPr>
            <w:r>
              <w:rPr>
                <w:rFonts w:hint="eastAsia" w:ascii="Calibri" w:hAnsi="宋体" w:eastAsia="宋体" w:cs="宋体"/>
                <w:b/>
                <w:bCs/>
                <w:sz w:val="21"/>
                <w:szCs w:val="21"/>
              </w:rPr>
              <w:t>项目</w:t>
            </w:r>
          </w:p>
        </w:tc>
        <w:tc>
          <w:tcPr>
            <w:tcW w:w="2931"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szCs w:val="21"/>
              </w:rPr>
            </w:pPr>
            <w:r>
              <w:rPr>
                <w:rFonts w:hint="eastAsia" w:ascii="Calibri" w:hAnsi="宋体" w:eastAsia="宋体" w:cs="宋体"/>
                <w:b/>
                <w:bCs/>
                <w:sz w:val="21"/>
                <w:szCs w:val="21"/>
              </w:rPr>
              <w:t>检查内容</w:t>
            </w:r>
          </w:p>
        </w:tc>
        <w:tc>
          <w:tcPr>
            <w:tcW w:w="319"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szCs w:val="21"/>
              </w:rPr>
            </w:pPr>
            <w:r>
              <w:rPr>
                <w:rFonts w:hint="eastAsia" w:ascii="Calibri" w:hAnsi="宋体" w:eastAsia="宋体" w:cs="宋体"/>
                <w:b/>
                <w:bCs/>
                <w:sz w:val="21"/>
                <w:szCs w:val="21"/>
              </w:rPr>
              <w:t>项目分值</w:t>
            </w:r>
          </w:p>
        </w:tc>
        <w:tc>
          <w:tcPr>
            <w:tcW w:w="715"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szCs w:val="21"/>
              </w:rPr>
            </w:pPr>
            <w:r>
              <w:rPr>
                <w:rFonts w:hint="eastAsia" w:ascii="Calibri" w:hAnsi="宋体" w:eastAsia="宋体" w:cs="宋体"/>
                <w:b/>
                <w:bCs/>
                <w:sz w:val="21"/>
                <w:szCs w:val="21"/>
              </w:rPr>
              <w:t>扣分细则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tcBorders>
              <w:top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1</w:t>
            </w:r>
          </w:p>
        </w:tc>
        <w:tc>
          <w:tcPr>
            <w:tcW w:w="565" w:type="pct"/>
            <w:vMerge w:val="restart"/>
            <w:tcBorders>
              <w:top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房</w:t>
            </w:r>
          </w:p>
          <w:p>
            <w:pPr>
              <w:spacing w:line="320" w:lineRule="exact"/>
              <w:jc w:val="both"/>
              <w:rPr>
                <w:rFonts w:hAnsi="宋体" w:cs="宋体"/>
                <w:sz w:val="21"/>
                <w:szCs w:val="21"/>
              </w:rPr>
            </w:pPr>
            <w:r>
              <w:rPr>
                <w:rFonts w:hint="eastAsia" w:ascii="Calibri" w:hAnsi="宋体" w:eastAsia="宋体" w:cs="宋体"/>
                <w:sz w:val="21"/>
                <w:szCs w:val="21"/>
              </w:rPr>
              <w:t>屋</w:t>
            </w:r>
          </w:p>
          <w:p>
            <w:pPr>
              <w:spacing w:line="320" w:lineRule="exact"/>
              <w:jc w:val="both"/>
              <w:rPr>
                <w:rFonts w:hAnsi="宋体" w:cs="宋体"/>
                <w:sz w:val="21"/>
                <w:szCs w:val="21"/>
              </w:rPr>
            </w:pPr>
            <w:r>
              <w:rPr>
                <w:rFonts w:hint="eastAsia" w:ascii="Calibri" w:hAnsi="宋体" w:eastAsia="宋体" w:cs="宋体"/>
                <w:sz w:val="21"/>
                <w:szCs w:val="21"/>
              </w:rPr>
              <w:t>及</w:t>
            </w:r>
          </w:p>
          <w:p>
            <w:pPr>
              <w:spacing w:line="320" w:lineRule="exact"/>
              <w:jc w:val="both"/>
              <w:rPr>
                <w:rFonts w:hAnsi="宋体" w:cs="宋体"/>
                <w:sz w:val="21"/>
                <w:szCs w:val="21"/>
              </w:rPr>
            </w:pPr>
            <w:r>
              <w:rPr>
                <w:rFonts w:hint="eastAsia" w:ascii="Calibri" w:hAnsi="宋体" w:eastAsia="宋体" w:cs="宋体"/>
                <w:sz w:val="21"/>
                <w:szCs w:val="21"/>
              </w:rPr>
              <w:t>设</w:t>
            </w:r>
          </w:p>
          <w:p>
            <w:pPr>
              <w:spacing w:line="320" w:lineRule="exact"/>
              <w:jc w:val="both"/>
              <w:rPr>
                <w:rFonts w:hAnsi="宋体" w:cs="宋体"/>
                <w:sz w:val="21"/>
                <w:szCs w:val="21"/>
              </w:rPr>
            </w:pPr>
            <w:r>
              <w:rPr>
                <w:rFonts w:hint="eastAsia" w:ascii="Calibri" w:hAnsi="宋体" w:eastAsia="宋体" w:cs="宋体"/>
                <w:sz w:val="21"/>
                <w:szCs w:val="21"/>
              </w:rPr>
              <w:t>施</w:t>
            </w:r>
          </w:p>
          <w:p>
            <w:pPr>
              <w:spacing w:line="320" w:lineRule="exact"/>
              <w:jc w:val="both"/>
              <w:rPr>
                <w:rFonts w:hAnsi="宋体" w:cs="宋体"/>
                <w:sz w:val="21"/>
                <w:szCs w:val="21"/>
              </w:rPr>
            </w:pPr>
            <w:r>
              <w:rPr>
                <w:rFonts w:hint="eastAsia" w:ascii="Calibri" w:hAnsi="宋体" w:eastAsia="宋体" w:cs="宋体"/>
                <w:sz w:val="21"/>
                <w:szCs w:val="21"/>
              </w:rPr>
              <w:t>设</w:t>
            </w:r>
          </w:p>
          <w:p>
            <w:pPr>
              <w:spacing w:line="320" w:lineRule="exact"/>
              <w:jc w:val="both"/>
              <w:rPr>
                <w:rFonts w:hAnsi="宋体" w:cs="宋体"/>
                <w:sz w:val="21"/>
                <w:szCs w:val="21"/>
              </w:rPr>
            </w:pPr>
            <w:r>
              <w:rPr>
                <w:rFonts w:hint="eastAsia" w:ascii="Calibri" w:hAnsi="宋体" w:eastAsia="宋体" w:cs="宋体"/>
                <w:sz w:val="21"/>
                <w:szCs w:val="21"/>
              </w:rPr>
              <w:t>备</w:t>
            </w:r>
          </w:p>
          <w:p>
            <w:pPr>
              <w:spacing w:line="320" w:lineRule="exact"/>
              <w:jc w:val="both"/>
              <w:rPr>
                <w:rFonts w:hAnsi="宋体" w:cs="宋体"/>
                <w:sz w:val="21"/>
                <w:szCs w:val="21"/>
              </w:rPr>
            </w:pPr>
            <w:r>
              <w:rPr>
                <w:rFonts w:hint="eastAsia" w:ascii="Calibri" w:hAnsi="宋体" w:eastAsia="宋体" w:cs="宋体"/>
                <w:sz w:val="21"/>
                <w:szCs w:val="21"/>
              </w:rPr>
              <w:t>管</w:t>
            </w:r>
          </w:p>
          <w:p>
            <w:pPr>
              <w:spacing w:line="320" w:lineRule="exact"/>
              <w:jc w:val="both"/>
              <w:rPr>
                <w:rFonts w:hAnsi="宋体" w:cs="宋体"/>
                <w:sz w:val="21"/>
                <w:szCs w:val="21"/>
              </w:rPr>
            </w:pPr>
            <w:r>
              <w:rPr>
                <w:rFonts w:hint="eastAsia" w:ascii="Calibri" w:hAnsi="宋体" w:eastAsia="宋体" w:cs="宋体"/>
                <w:sz w:val="21"/>
                <w:szCs w:val="21"/>
              </w:rPr>
              <w:t>理</w:t>
            </w:r>
          </w:p>
        </w:tc>
        <w:tc>
          <w:tcPr>
            <w:tcW w:w="2931" w:type="pct"/>
            <w:tcBorders>
              <w:top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按规定对内部道路、停车场、房屋地面、户外墙面、门窗</w:t>
            </w:r>
            <w:r>
              <w:rPr>
                <w:rFonts w:hint="eastAsia" w:hAnsi="宋体" w:cs="宋体"/>
                <w:sz w:val="21"/>
                <w:szCs w:val="21"/>
              </w:rPr>
              <w:t>（含纱窗、玻璃及玻璃胶条）</w:t>
            </w:r>
            <w:r>
              <w:rPr>
                <w:rFonts w:hint="eastAsia" w:ascii="Calibri" w:hAnsi="宋体" w:eastAsia="宋体" w:cs="宋体"/>
                <w:sz w:val="21"/>
                <w:szCs w:val="21"/>
              </w:rPr>
              <w:t>、楼梯、通风道等公共部位进行巡检。</w:t>
            </w:r>
          </w:p>
        </w:tc>
        <w:tc>
          <w:tcPr>
            <w:tcW w:w="319" w:type="pct"/>
            <w:tcBorders>
              <w:top w:val="single" w:color="auto" w:sz="2" w:space="0"/>
            </w:tcBorders>
            <w:shd w:val="clear" w:color="auto" w:fill="auto"/>
            <w:vAlign w:val="center"/>
          </w:tcPr>
          <w:p>
            <w:pPr>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restart"/>
            <w:tcBorders>
              <w:top w:val="single" w:color="auto" w:sz="2" w:space="0"/>
            </w:tcBorders>
            <w:shd w:val="clear" w:color="auto" w:fill="auto"/>
            <w:vAlign w:val="center"/>
          </w:tcPr>
          <w:p>
            <w:pPr>
              <w:spacing w:line="320" w:lineRule="exact"/>
              <w:jc w:val="both"/>
              <w:rPr>
                <w:rFonts w:hAnsi="宋体" w:cs="宋体"/>
                <w:sz w:val="21"/>
                <w:szCs w:val="21"/>
              </w:rPr>
            </w:pPr>
            <w:r>
              <w:rPr>
                <w:rFonts w:hint="eastAsia" w:hAnsi="宋体" w:cs="宋体"/>
                <w:sz w:val="21"/>
                <w:szCs w:val="21"/>
              </w:rPr>
              <w:t>每条中出现一次不符合，按严重程度扣0.1-1分，</w:t>
            </w:r>
            <w:r>
              <w:rPr>
                <w:rFonts w:hint="eastAsia" w:ascii="Calibri" w:hAnsi="宋体" w:eastAsia="宋体" w:cs="宋体"/>
                <w:sz w:val="21"/>
                <w:szCs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按要求填写各项记录表格。</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发现损坏部位</w:t>
            </w:r>
            <w:r>
              <w:rPr>
                <w:rFonts w:hint="eastAsia" w:hAnsi="宋体" w:cs="宋体"/>
                <w:sz w:val="21"/>
                <w:szCs w:val="21"/>
              </w:rPr>
              <w:t>（除不可抗力</w:t>
            </w:r>
            <w:r>
              <w:rPr>
                <w:rFonts w:hint="eastAsia" w:ascii="Calibri" w:hAnsi="宋体" w:eastAsia="宋体" w:cs="宋体"/>
                <w:sz w:val="21"/>
                <w:szCs w:val="21"/>
              </w:rPr>
              <w:t>情况</w:t>
            </w:r>
            <w:r>
              <w:rPr>
                <w:rFonts w:hint="eastAsia" w:hAnsi="宋体" w:cs="宋体"/>
                <w:sz w:val="21"/>
                <w:szCs w:val="21"/>
              </w:rPr>
              <w:t>外</w:t>
            </w:r>
            <w:r>
              <w:rPr>
                <w:rFonts w:hint="eastAsia" w:ascii="Calibri" w:hAnsi="宋体" w:eastAsia="宋体" w:cs="宋体"/>
                <w:sz w:val="21"/>
                <w:szCs w:val="21"/>
              </w:rPr>
              <w:t>）应及时修补。</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接到办公家具报修</w:t>
            </w:r>
            <w:r>
              <w:rPr>
                <w:rFonts w:hint="eastAsia" w:hAnsi="宋体" w:cs="宋体"/>
                <w:sz w:val="21"/>
                <w:szCs w:val="21"/>
              </w:rPr>
              <w:t>（除不可抗力</w:t>
            </w:r>
            <w:r>
              <w:rPr>
                <w:rFonts w:hint="eastAsia" w:ascii="Calibri" w:hAnsi="宋体" w:eastAsia="宋体" w:cs="宋体"/>
                <w:sz w:val="21"/>
                <w:szCs w:val="21"/>
              </w:rPr>
              <w:t>情况</w:t>
            </w:r>
            <w:r>
              <w:rPr>
                <w:rFonts w:hint="eastAsia" w:hAnsi="宋体" w:cs="宋体"/>
                <w:sz w:val="21"/>
                <w:szCs w:val="21"/>
              </w:rPr>
              <w:t>外</w:t>
            </w:r>
            <w:r>
              <w:rPr>
                <w:rFonts w:hint="eastAsia" w:ascii="Calibri" w:hAnsi="宋体" w:eastAsia="宋体" w:cs="宋体"/>
                <w:sz w:val="21"/>
                <w:szCs w:val="21"/>
              </w:rPr>
              <w:t>）应及时维修。</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2</w:t>
            </w:r>
          </w:p>
        </w:tc>
        <w:tc>
          <w:tcPr>
            <w:tcW w:w="565"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给</w:t>
            </w:r>
          </w:p>
          <w:p>
            <w:pPr>
              <w:spacing w:line="320" w:lineRule="exact"/>
              <w:jc w:val="both"/>
              <w:rPr>
                <w:rFonts w:hAnsi="宋体" w:cs="宋体"/>
                <w:sz w:val="21"/>
                <w:szCs w:val="21"/>
              </w:rPr>
            </w:pPr>
            <w:r>
              <w:rPr>
                <w:rFonts w:hint="eastAsia" w:ascii="Calibri" w:hAnsi="宋体" w:eastAsia="宋体" w:cs="宋体"/>
                <w:sz w:val="21"/>
                <w:szCs w:val="21"/>
              </w:rPr>
              <w:t>排</w:t>
            </w:r>
          </w:p>
          <w:p>
            <w:pPr>
              <w:spacing w:line="320" w:lineRule="exact"/>
              <w:jc w:val="both"/>
              <w:rPr>
                <w:rFonts w:hAnsi="宋体" w:cs="宋体"/>
                <w:sz w:val="21"/>
                <w:szCs w:val="21"/>
              </w:rPr>
            </w:pPr>
            <w:r>
              <w:rPr>
                <w:rFonts w:hint="eastAsia" w:ascii="Calibri" w:hAnsi="宋体" w:eastAsia="宋体" w:cs="宋体"/>
                <w:sz w:val="21"/>
                <w:szCs w:val="21"/>
              </w:rPr>
              <w:t>水</w:t>
            </w:r>
          </w:p>
          <w:p>
            <w:pPr>
              <w:spacing w:line="320" w:lineRule="exact"/>
              <w:jc w:val="both"/>
              <w:rPr>
                <w:rFonts w:hAnsi="宋体" w:cs="宋体"/>
                <w:sz w:val="21"/>
                <w:szCs w:val="21"/>
              </w:rPr>
            </w:pPr>
            <w:r>
              <w:rPr>
                <w:rFonts w:hint="eastAsia" w:ascii="Calibri" w:hAnsi="宋体" w:eastAsia="宋体" w:cs="宋体"/>
                <w:sz w:val="21"/>
                <w:szCs w:val="21"/>
              </w:rPr>
              <w:t>系</w:t>
            </w:r>
          </w:p>
          <w:p>
            <w:pPr>
              <w:spacing w:line="320" w:lineRule="exact"/>
              <w:jc w:val="both"/>
              <w:rPr>
                <w:rFonts w:hAnsi="宋体" w:cs="宋体"/>
                <w:sz w:val="21"/>
                <w:szCs w:val="21"/>
              </w:rPr>
            </w:pPr>
            <w:r>
              <w:rPr>
                <w:rFonts w:hint="eastAsia" w:ascii="Calibri" w:hAnsi="宋体" w:eastAsia="宋体" w:cs="宋体"/>
                <w:sz w:val="21"/>
                <w:szCs w:val="21"/>
              </w:rPr>
              <w:t>统</w:t>
            </w:r>
          </w:p>
          <w:p>
            <w:pPr>
              <w:spacing w:line="320" w:lineRule="exact"/>
              <w:jc w:val="both"/>
              <w:rPr>
                <w:rFonts w:hAnsi="宋体" w:cs="宋体"/>
                <w:sz w:val="21"/>
                <w:szCs w:val="21"/>
              </w:rPr>
            </w:pPr>
            <w:r>
              <w:rPr>
                <w:rFonts w:hint="eastAsia" w:ascii="Calibri" w:hAnsi="宋体" w:eastAsia="宋体" w:cs="宋体"/>
                <w:sz w:val="21"/>
                <w:szCs w:val="21"/>
              </w:rPr>
              <w:t>运</w:t>
            </w:r>
          </w:p>
          <w:p>
            <w:pPr>
              <w:spacing w:line="320" w:lineRule="exact"/>
              <w:jc w:val="both"/>
              <w:rPr>
                <w:rFonts w:hAnsi="宋体" w:cs="宋体"/>
                <w:sz w:val="21"/>
                <w:szCs w:val="21"/>
              </w:rPr>
            </w:pPr>
            <w:r>
              <w:rPr>
                <w:rFonts w:hint="eastAsia" w:ascii="Calibri" w:hAnsi="宋体" w:eastAsia="宋体" w:cs="宋体"/>
                <w:sz w:val="21"/>
                <w:szCs w:val="21"/>
              </w:rPr>
              <w:t>行</w:t>
            </w:r>
          </w:p>
          <w:p>
            <w:pPr>
              <w:spacing w:line="320" w:lineRule="exact"/>
              <w:jc w:val="both"/>
              <w:rPr>
                <w:rFonts w:hAnsi="宋体" w:cs="宋体"/>
                <w:sz w:val="21"/>
                <w:szCs w:val="21"/>
              </w:rPr>
            </w:pPr>
            <w:r>
              <w:rPr>
                <w:rFonts w:hint="eastAsia" w:ascii="Calibri" w:hAnsi="宋体" w:eastAsia="宋体" w:cs="宋体"/>
                <w:sz w:val="21"/>
                <w:szCs w:val="21"/>
              </w:rPr>
              <w:t>维</w:t>
            </w:r>
          </w:p>
          <w:p>
            <w:pPr>
              <w:spacing w:line="320" w:lineRule="exact"/>
              <w:jc w:val="both"/>
              <w:rPr>
                <w:rFonts w:hAnsi="宋体" w:cs="宋体"/>
                <w:sz w:val="21"/>
                <w:szCs w:val="21"/>
              </w:rPr>
            </w:pPr>
            <w:r>
              <w:rPr>
                <w:rFonts w:hint="eastAsia" w:ascii="Calibri" w:hAnsi="宋体" w:eastAsia="宋体" w:cs="宋体"/>
                <w:sz w:val="21"/>
                <w:szCs w:val="21"/>
              </w:rPr>
              <w:t>护</w:t>
            </w: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按规定对给排水设施设备进行巡检，确保系统正常运行。</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restart"/>
            <w:shd w:val="clear" w:color="auto" w:fill="auto"/>
            <w:vAlign w:val="center"/>
          </w:tcPr>
          <w:p>
            <w:pPr>
              <w:spacing w:line="320" w:lineRule="exact"/>
              <w:jc w:val="both"/>
              <w:rPr>
                <w:rFonts w:hAnsi="宋体" w:cs="宋体"/>
                <w:sz w:val="21"/>
                <w:szCs w:val="21"/>
              </w:rPr>
            </w:pPr>
            <w:r>
              <w:rPr>
                <w:rFonts w:hint="eastAsia" w:hAnsi="宋体" w:cs="宋体"/>
                <w:sz w:val="21"/>
                <w:szCs w:val="21"/>
              </w:rPr>
              <w:t>每条中出现一次不符合，按严重程度扣0.1-1分，</w:t>
            </w:r>
            <w:r>
              <w:rPr>
                <w:rFonts w:hint="eastAsia" w:ascii="Calibri" w:hAnsi="宋体" w:eastAsia="宋体" w:cs="宋体"/>
                <w:sz w:val="21"/>
                <w:szCs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按要求填写各项记录。</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3</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发现管道、阀门出现跑冒滴漏或长流水现象应及时维修。</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遇有爆管、跑水等紧急事故，维修人员应在10分钟内到达现场进行处理。</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3</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出现停水或排水管道堵塞现象，维修人员应在30分钟内到达现场进行处理。</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3</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3</w:t>
            </w:r>
          </w:p>
        </w:tc>
        <w:tc>
          <w:tcPr>
            <w:tcW w:w="565"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供</w:t>
            </w:r>
          </w:p>
          <w:p>
            <w:pPr>
              <w:spacing w:line="320" w:lineRule="exact"/>
              <w:jc w:val="both"/>
              <w:rPr>
                <w:rFonts w:hAnsi="宋体" w:cs="宋体"/>
                <w:sz w:val="21"/>
                <w:szCs w:val="21"/>
              </w:rPr>
            </w:pPr>
            <w:r>
              <w:rPr>
                <w:rFonts w:hint="eastAsia" w:ascii="Calibri" w:hAnsi="宋体" w:eastAsia="宋体" w:cs="宋体"/>
                <w:sz w:val="21"/>
                <w:szCs w:val="21"/>
              </w:rPr>
              <w:t>配</w:t>
            </w:r>
          </w:p>
          <w:p>
            <w:pPr>
              <w:spacing w:line="320" w:lineRule="exact"/>
              <w:jc w:val="both"/>
              <w:rPr>
                <w:rFonts w:hAnsi="宋体" w:cs="宋体"/>
                <w:sz w:val="21"/>
                <w:szCs w:val="21"/>
              </w:rPr>
            </w:pPr>
            <w:r>
              <w:rPr>
                <w:rFonts w:hint="eastAsia" w:ascii="Calibri" w:hAnsi="宋体" w:eastAsia="宋体" w:cs="宋体"/>
                <w:sz w:val="21"/>
                <w:szCs w:val="21"/>
              </w:rPr>
              <w:t>电</w:t>
            </w:r>
          </w:p>
          <w:p>
            <w:pPr>
              <w:spacing w:line="320" w:lineRule="exact"/>
              <w:jc w:val="both"/>
              <w:rPr>
                <w:rFonts w:hAnsi="宋体" w:cs="宋体"/>
                <w:sz w:val="21"/>
                <w:szCs w:val="21"/>
              </w:rPr>
            </w:pPr>
            <w:r>
              <w:rPr>
                <w:rFonts w:hint="eastAsia" w:ascii="Calibri" w:hAnsi="宋体" w:eastAsia="宋体" w:cs="宋体"/>
                <w:sz w:val="21"/>
                <w:szCs w:val="21"/>
              </w:rPr>
              <w:t>设</w:t>
            </w:r>
          </w:p>
          <w:p>
            <w:pPr>
              <w:spacing w:line="320" w:lineRule="exact"/>
              <w:jc w:val="both"/>
              <w:rPr>
                <w:rFonts w:hAnsi="宋体" w:cs="宋体"/>
                <w:sz w:val="21"/>
                <w:szCs w:val="21"/>
              </w:rPr>
            </w:pPr>
            <w:r>
              <w:rPr>
                <w:rFonts w:hint="eastAsia" w:ascii="Calibri" w:hAnsi="宋体" w:eastAsia="宋体" w:cs="宋体"/>
                <w:sz w:val="21"/>
                <w:szCs w:val="21"/>
              </w:rPr>
              <w:t>备</w:t>
            </w:r>
          </w:p>
          <w:p>
            <w:pPr>
              <w:spacing w:line="320" w:lineRule="exact"/>
              <w:jc w:val="both"/>
              <w:rPr>
                <w:rFonts w:hAnsi="宋体" w:cs="宋体"/>
                <w:sz w:val="21"/>
                <w:szCs w:val="21"/>
              </w:rPr>
            </w:pPr>
            <w:r>
              <w:rPr>
                <w:rFonts w:hint="eastAsia" w:ascii="Calibri" w:hAnsi="宋体" w:eastAsia="宋体" w:cs="宋体"/>
                <w:sz w:val="21"/>
                <w:szCs w:val="21"/>
              </w:rPr>
              <w:t>运</w:t>
            </w:r>
          </w:p>
          <w:p>
            <w:pPr>
              <w:spacing w:line="320" w:lineRule="exact"/>
              <w:jc w:val="both"/>
              <w:rPr>
                <w:rFonts w:hAnsi="宋体" w:cs="宋体"/>
                <w:sz w:val="21"/>
                <w:szCs w:val="21"/>
              </w:rPr>
            </w:pPr>
            <w:r>
              <w:rPr>
                <w:rFonts w:hint="eastAsia" w:ascii="Calibri" w:hAnsi="宋体" w:eastAsia="宋体" w:cs="宋体"/>
                <w:sz w:val="21"/>
                <w:szCs w:val="21"/>
              </w:rPr>
              <w:t>行</w:t>
            </w:r>
          </w:p>
          <w:p>
            <w:pPr>
              <w:spacing w:line="320" w:lineRule="exact"/>
              <w:jc w:val="both"/>
              <w:rPr>
                <w:rFonts w:hAnsi="宋体" w:cs="宋体"/>
                <w:sz w:val="21"/>
                <w:szCs w:val="21"/>
              </w:rPr>
            </w:pPr>
            <w:r>
              <w:rPr>
                <w:rFonts w:hint="eastAsia" w:ascii="Calibri" w:hAnsi="宋体" w:eastAsia="宋体" w:cs="宋体"/>
                <w:sz w:val="21"/>
                <w:szCs w:val="21"/>
              </w:rPr>
              <w:t>维</w:t>
            </w:r>
          </w:p>
          <w:p>
            <w:pPr>
              <w:spacing w:line="320" w:lineRule="exact"/>
              <w:jc w:val="both"/>
              <w:rPr>
                <w:rFonts w:hAnsi="宋体" w:cs="宋体"/>
                <w:sz w:val="21"/>
                <w:szCs w:val="21"/>
              </w:rPr>
            </w:pPr>
            <w:r>
              <w:rPr>
                <w:rFonts w:hint="eastAsia" w:ascii="Calibri" w:hAnsi="宋体" w:eastAsia="宋体" w:cs="宋体"/>
                <w:sz w:val="21"/>
                <w:szCs w:val="21"/>
              </w:rPr>
              <w:t>护</w:t>
            </w: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操作人员持证上岗。</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3</w:t>
            </w:r>
          </w:p>
        </w:tc>
        <w:tc>
          <w:tcPr>
            <w:tcW w:w="715" w:type="pct"/>
            <w:vMerge w:val="restart"/>
            <w:shd w:val="clear" w:color="auto" w:fill="auto"/>
            <w:vAlign w:val="center"/>
          </w:tcPr>
          <w:p>
            <w:pPr>
              <w:spacing w:line="320" w:lineRule="exact"/>
              <w:jc w:val="both"/>
              <w:rPr>
                <w:rFonts w:hAnsi="宋体" w:cs="宋体"/>
                <w:sz w:val="21"/>
                <w:szCs w:val="21"/>
              </w:rPr>
            </w:pPr>
            <w:r>
              <w:rPr>
                <w:rFonts w:hint="eastAsia" w:hAnsi="宋体" w:cs="宋体"/>
                <w:sz w:val="21"/>
                <w:szCs w:val="21"/>
              </w:rPr>
              <w:t>每条中出现一次不符合，按严重程度扣0.1-1分，</w:t>
            </w:r>
            <w:r>
              <w:rPr>
                <w:rFonts w:hint="eastAsia" w:ascii="Calibri" w:hAnsi="宋体" w:eastAsia="宋体" w:cs="宋体"/>
                <w:sz w:val="21"/>
                <w:szCs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坚持24小时值班制度，按规定对供配电设备进行巡检，确保系统正常运行。</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3</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按要求填写各项记录。</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3</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按要求对配电柜进行维护保养除尘。</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按要求对发电机进行维保和运行，及时提醒和配合甲方购买油料，每月试运行2次以上。</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道路、楼道、大厅等公共照明出现故障应及时维修。</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出现停电现象，维修人员应在10分钟内到达现场，按照停电应急方案进行处理。</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3</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按要求填写各项记录。</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3</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4</w:t>
            </w:r>
          </w:p>
        </w:tc>
        <w:tc>
          <w:tcPr>
            <w:tcW w:w="565"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空</w:t>
            </w:r>
          </w:p>
          <w:p>
            <w:pPr>
              <w:spacing w:line="320" w:lineRule="exact"/>
              <w:jc w:val="both"/>
              <w:rPr>
                <w:rFonts w:hAnsi="宋体" w:cs="宋体"/>
                <w:sz w:val="21"/>
                <w:szCs w:val="21"/>
              </w:rPr>
            </w:pPr>
            <w:r>
              <w:rPr>
                <w:rFonts w:hint="eastAsia" w:ascii="Calibri" w:hAnsi="宋体" w:eastAsia="宋体" w:cs="宋体"/>
                <w:sz w:val="21"/>
                <w:szCs w:val="21"/>
              </w:rPr>
              <w:t>调</w:t>
            </w:r>
          </w:p>
          <w:p>
            <w:pPr>
              <w:spacing w:line="320" w:lineRule="exact"/>
              <w:jc w:val="both"/>
              <w:rPr>
                <w:rFonts w:hAnsi="宋体" w:cs="宋体"/>
                <w:sz w:val="21"/>
                <w:szCs w:val="21"/>
              </w:rPr>
            </w:pPr>
            <w:r>
              <w:rPr>
                <w:rFonts w:hint="eastAsia" w:ascii="Calibri" w:hAnsi="宋体" w:eastAsia="宋体" w:cs="宋体"/>
                <w:sz w:val="21"/>
                <w:szCs w:val="21"/>
              </w:rPr>
              <w:t>系</w:t>
            </w:r>
          </w:p>
          <w:p>
            <w:pPr>
              <w:spacing w:line="320" w:lineRule="exact"/>
              <w:jc w:val="both"/>
              <w:rPr>
                <w:rFonts w:hAnsi="宋体" w:cs="宋体"/>
                <w:sz w:val="21"/>
                <w:szCs w:val="21"/>
              </w:rPr>
            </w:pPr>
            <w:r>
              <w:rPr>
                <w:rFonts w:hint="eastAsia" w:ascii="Calibri" w:hAnsi="宋体" w:eastAsia="宋体" w:cs="宋体"/>
                <w:sz w:val="21"/>
                <w:szCs w:val="21"/>
              </w:rPr>
              <w:t>统</w:t>
            </w:r>
          </w:p>
          <w:p>
            <w:pPr>
              <w:spacing w:line="320" w:lineRule="exact"/>
              <w:jc w:val="both"/>
              <w:rPr>
                <w:rFonts w:hAnsi="宋体" w:cs="宋体"/>
                <w:sz w:val="21"/>
                <w:szCs w:val="21"/>
              </w:rPr>
            </w:pPr>
            <w:r>
              <w:rPr>
                <w:rFonts w:hint="eastAsia" w:ascii="Calibri" w:hAnsi="宋体" w:eastAsia="宋体" w:cs="宋体"/>
                <w:sz w:val="21"/>
                <w:szCs w:val="21"/>
              </w:rPr>
              <w:t>运</w:t>
            </w:r>
          </w:p>
          <w:p>
            <w:pPr>
              <w:spacing w:line="320" w:lineRule="exact"/>
              <w:jc w:val="both"/>
              <w:rPr>
                <w:rFonts w:hAnsi="宋体" w:cs="宋体"/>
                <w:sz w:val="21"/>
                <w:szCs w:val="21"/>
              </w:rPr>
            </w:pPr>
            <w:r>
              <w:rPr>
                <w:rFonts w:hint="eastAsia" w:ascii="Calibri" w:hAnsi="宋体" w:eastAsia="宋体" w:cs="宋体"/>
                <w:sz w:val="21"/>
                <w:szCs w:val="21"/>
              </w:rPr>
              <w:t>行</w:t>
            </w:r>
          </w:p>
          <w:p>
            <w:pPr>
              <w:spacing w:line="320" w:lineRule="exact"/>
              <w:jc w:val="both"/>
              <w:rPr>
                <w:rFonts w:hAnsi="宋体" w:cs="宋体"/>
                <w:sz w:val="21"/>
                <w:szCs w:val="21"/>
              </w:rPr>
            </w:pPr>
            <w:r>
              <w:rPr>
                <w:rFonts w:hint="eastAsia" w:ascii="Calibri" w:hAnsi="宋体" w:eastAsia="宋体" w:cs="宋体"/>
                <w:sz w:val="21"/>
                <w:szCs w:val="21"/>
              </w:rPr>
              <w:t>维</w:t>
            </w:r>
          </w:p>
          <w:p>
            <w:pPr>
              <w:spacing w:line="320" w:lineRule="exact"/>
              <w:jc w:val="both"/>
              <w:rPr>
                <w:rFonts w:hAnsi="宋体" w:cs="宋体"/>
                <w:sz w:val="21"/>
                <w:szCs w:val="21"/>
              </w:rPr>
            </w:pPr>
            <w:r>
              <w:rPr>
                <w:rFonts w:hint="eastAsia" w:ascii="Calibri" w:hAnsi="宋体" w:eastAsia="宋体" w:cs="宋体"/>
                <w:sz w:val="21"/>
                <w:szCs w:val="21"/>
              </w:rPr>
              <w:t>护</w:t>
            </w: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按规定对空调运行情况巡检，确保系统正常运行。</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restart"/>
            <w:shd w:val="clear" w:color="auto" w:fill="auto"/>
            <w:vAlign w:val="center"/>
          </w:tcPr>
          <w:p>
            <w:pPr>
              <w:spacing w:line="320" w:lineRule="exact"/>
              <w:jc w:val="both"/>
              <w:rPr>
                <w:rFonts w:hAnsi="宋体" w:cs="宋体"/>
                <w:sz w:val="21"/>
                <w:szCs w:val="21"/>
              </w:rPr>
            </w:pPr>
            <w:r>
              <w:rPr>
                <w:rFonts w:hint="eastAsia" w:hAnsi="宋体" w:cs="宋体"/>
                <w:sz w:val="21"/>
                <w:szCs w:val="21"/>
              </w:rPr>
              <w:t>每条中出现一次不符合，按严重程度扣0.1-1分，</w:t>
            </w:r>
            <w:r>
              <w:rPr>
                <w:rFonts w:hint="eastAsia" w:ascii="Calibri" w:hAnsi="宋体" w:eastAsia="宋体" w:cs="宋体"/>
                <w:sz w:val="21"/>
                <w:szCs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按要求填写各项记录。</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1</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对外委单位维保情况进行监督检查。</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空调管道、阀门出现跑冒滴漏现象，应及时维修。</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定期检查清理冷却塔，按要求对空调风机盘管及附属设施进行维护保养。</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空调系统出现故障后，维修人员应在15分钟内到达现场进行处理。</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5</w:t>
            </w:r>
          </w:p>
        </w:tc>
        <w:tc>
          <w:tcPr>
            <w:tcW w:w="565"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供</w:t>
            </w:r>
          </w:p>
          <w:p>
            <w:pPr>
              <w:spacing w:line="320" w:lineRule="exact"/>
              <w:jc w:val="both"/>
              <w:rPr>
                <w:rFonts w:hAnsi="宋体" w:cs="宋体"/>
                <w:sz w:val="21"/>
                <w:szCs w:val="21"/>
              </w:rPr>
            </w:pPr>
            <w:r>
              <w:rPr>
                <w:rFonts w:hint="eastAsia" w:ascii="Calibri" w:hAnsi="宋体" w:eastAsia="宋体" w:cs="宋体"/>
                <w:sz w:val="21"/>
                <w:szCs w:val="21"/>
              </w:rPr>
              <w:t>暖</w:t>
            </w:r>
          </w:p>
          <w:p>
            <w:pPr>
              <w:spacing w:line="320" w:lineRule="exact"/>
              <w:jc w:val="both"/>
              <w:rPr>
                <w:rFonts w:hAnsi="宋体" w:cs="宋体"/>
                <w:sz w:val="21"/>
                <w:szCs w:val="21"/>
              </w:rPr>
            </w:pPr>
            <w:r>
              <w:rPr>
                <w:rFonts w:hint="eastAsia" w:ascii="Calibri" w:hAnsi="宋体" w:eastAsia="宋体" w:cs="宋体"/>
                <w:sz w:val="21"/>
                <w:szCs w:val="21"/>
              </w:rPr>
              <w:t>系</w:t>
            </w:r>
          </w:p>
          <w:p>
            <w:pPr>
              <w:spacing w:line="320" w:lineRule="exact"/>
              <w:jc w:val="both"/>
              <w:rPr>
                <w:rFonts w:hAnsi="宋体" w:cs="宋体"/>
                <w:sz w:val="21"/>
                <w:szCs w:val="21"/>
              </w:rPr>
            </w:pPr>
            <w:r>
              <w:rPr>
                <w:rFonts w:hint="eastAsia" w:ascii="Calibri" w:hAnsi="宋体" w:eastAsia="宋体" w:cs="宋体"/>
                <w:sz w:val="21"/>
                <w:szCs w:val="21"/>
              </w:rPr>
              <w:t>统</w:t>
            </w:r>
          </w:p>
          <w:p>
            <w:pPr>
              <w:spacing w:line="320" w:lineRule="exact"/>
              <w:jc w:val="both"/>
              <w:rPr>
                <w:rFonts w:hAnsi="宋体" w:cs="宋体"/>
                <w:sz w:val="21"/>
                <w:szCs w:val="21"/>
              </w:rPr>
            </w:pPr>
            <w:r>
              <w:rPr>
                <w:rFonts w:hint="eastAsia" w:ascii="Calibri" w:hAnsi="宋体" w:eastAsia="宋体" w:cs="宋体"/>
                <w:sz w:val="21"/>
                <w:szCs w:val="21"/>
              </w:rPr>
              <w:t>运</w:t>
            </w:r>
          </w:p>
          <w:p>
            <w:pPr>
              <w:spacing w:line="320" w:lineRule="exact"/>
              <w:jc w:val="both"/>
              <w:rPr>
                <w:rFonts w:hAnsi="宋体" w:cs="宋体"/>
                <w:sz w:val="21"/>
                <w:szCs w:val="21"/>
              </w:rPr>
            </w:pPr>
            <w:r>
              <w:rPr>
                <w:rFonts w:hint="eastAsia" w:ascii="Calibri" w:hAnsi="宋体" w:eastAsia="宋体" w:cs="宋体"/>
                <w:sz w:val="21"/>
                <w:szCs w:val="21"/>
              </w:rPr>
              <w:t>行</w:t>
            </w:r>
          </w:p>
          <w:p>
            <w:pPr>
              <w:spacing w:line="320" w:lineRule="exact"/>
              <w:jc w:val="both"/>
              <w:rPr>
                <w:rFonts w:hAnsi="宋体" w:cs="宋体"/>
                <w:sz w:val="21"/>
                <w:szCs w:val="21"/>
              </w:rPr>
            </w:pPr>
            <w:r>
              <w:rPr>
                <w:rFonts w:hint="eastAsia" w:ascii="Calibri" w:hAnsi="宋体" w:eastAsia="宋体" w:cs="宋体"/>
                <w:sz w:val="21"/>
                <w:szCs w:val="21"/>
              </w:rPr>
              <w:t>维</w:t>
            </w:r>
          </w:p>
          <w:p>
            <w:pPr>
              <w:spacing w:line="320" w:lineRule="exact"/>
              <w:jc w:val="both"/>
              <w:rPr>
                <w:rFonts w:hAnsi="宋体" w:cs="宋体"/>
                <w:sz w:val="21"/>
                <w:szCs w:val="21"/>
              </w:rPr>
            </w:pPr>
            <w:r>
              <w:rPr>
                <w:rFonts w:hint="eastAsia" w:ascii="Calibri" w:hAnsi="宋体" w:eastAsia="宋体" w:cs="宋体"/>
                <w:sz w:val="21"/>
                <w:szCs w:val="21"/>
              </w:rPr>
              <w:t>护</w:t>
            </w: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按规定对供暖系统进行巡查。</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restart"/>
            <w:shd w:val="clear" w:color="auto" w:fill="auto"/>
            <w:vAlign w:val="center"/>
          </w:tcPr>
          <w:p>
            <w:pPr>
              <w:spacing w:line="320" w:lineRule="exact"/>
              <w:jc w:val="both"/>
              <w:rPr>
                <w:rFonts w:hAnsi="宋体" w:cs="宋体"/>
                <w:sz w:val="21"/>
                <w:szCs w:val="21"/>
              </w:rPr>
            </w:pPr>
            <w:r>
              <w:rPr>
                <w:rFonts w:hint="eastAsia" w:hAnsi="宋体" w:cs="宋体"/>
                <w:sz w:val="21"/>
                <w:szCs w:val="21"/>
              </w:rPr>
              <w:t>每条中出现一次不符合，按严重程度扣0.1-1分，</w:t>
            </w:r>
            <w:r>
              <w:rPr>
                <w:rFonts w:hint="eastAsia" w:ascii="Calibri" w:hAnsi="宋体" w:eastAsia="宋体" w:cs="宋体"/>
                <w:sz w:val="21"/>
                <w:szCs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按要求填写各项记录。</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1</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管道、阀门出现跑冒滴漏或长流水现象应及时维修。</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保证客房24小时热水供应。</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保持膨胀水箱水位正常，不出现溢流现象。</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供暖系统出现故障后维修人员应在10分钟内到达现场进行处理。</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6</w:t>
            </w:r>
          </w:p>
        </w:tc>
        <w:tc>
          <w:tcPr>
            <w:tcW w:w="565"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燃</w:t>
            </w:r>
          </w:p>
          <w:p>
            <w:pPr>
              <w:spacing w:line="320" w:lineRule="exact"/>
              <w:jc w:val="both"/>
              <w:rPr>
                <w:rFonts w:hAnsi="宋体" w:cs="宋体"/>
                <w:sz w:val="21"/>
                <w:szCs w:val="21"/>
              </w:rPr>
            </w:pPr>
            <w:r>
              <w:rPr>
                <w:rFonts w:hint="eastAsia" w:ascii="Calibri" w:hAnsi="宋体" w:eastAsia="宋体" w:cs="宋体"/>
                <w:sz w:val="21"/>
                <w:szCs w:val="21"/>
              </w:rPr>
              <w:t>气</w:t>
            </w:r>
          </w:p>
          <w:p>
            <w:pPr>
              <w:spacing w:line="320" w:lineRule="exact"/>
              <w:jc w:val="both"/>
              <w:rPr>
                <w:rFonts w:hAnsi="宋体" w:cs="宋体"/>
                <w:sz w:val="21"/>
                <w:szCs w:val="21"/>
              </w:rPr>
            </w:pPr>
            <w:r>
              <w:rPr>
                <w:rFonts w:hint="eastAsia" w:ascii="Calibri" w:hAnsi="宋体" w:eastAsia="宋体" w:cs="宋体"/>
                <w:sz w:val="21"/>
                <w:szCs w:val="21"/>
              </w:rPr>
              <w:t>锅</w:t>
            </w:r>
          </w:p>
          <w:p>
            <w:pPr>
              <w:spacing w:line="320" w:lineRule="exact"/>
              <w:jc w:val="both"/>
              <w:rPr>
                <w:rFonts w:hAnsi="宋体" w:cs="宋体"/>
                <w:sz w:val="21"/>
                <w:szCs w:val="21"/>
              </w:rPr>
            </w:pPr>
            <w:r>
              <w:rPr>
                <w:rFonts w:hint="eastAsia" w:ascii="Calibri" w:hAnsi="宋体" w:eastAsia="宋体" w:cs="宋体"/>
                <w:sz w:val="21"/>
                <w:szCs w:val="21"/>
              </w:rPr>
              <w:t>炉</w:t>
            </w:r>
          </w:p>
          <w:p>
            <w:pPr>
              <w:spacing w:line="320" w:lineRule="exact"/>
              <w:jc w:val="both"/>
              <w:rPr>
                <w:rFonts w:hAnsi="宋体" w:cs="宋体"/>
                <w:sz w:val="21"/>
                <w:szCs w:val="21"/>
              </w:rPr>
            </w:pPr>
            <w:r>
              <w:rPr>
                <w:rFonts w:hint="eastAsia" w:ascii="Calibri" w:hAnsi="宋体" w:eastAsia="宋体" w:cs="宋体"/>
                <w:sz w:val="21"/>
                <w:szCs w:val="21"/>
              </w:rPr>
              <w:t>运</w:t>
            </w:r>
          </w:p>
          <w:p>
            <w:pPr>
              <w:spacing w:line="320" w:lineRule="exact"/>
              <w:jc w:val="both"/>
              <w:rPr>
                <w:rFonts w:hAnsi="宋体" w:cs="宋体"/>
                <w:sz w:val="21"/>
                <w:szCs w:val="21"/>
              </w:rPr>
            </w:pPr>
            <w:r>
              <w:rPr>
                <w:rFonts w:hint="eastAsia" w:ascii="Calibri" w:hAnsi="宋体" w:eastAsia="宋体" w:cs="宋体"/>
                <w:sz w:val="21"/>
                <w:szCs w:val="21"/>
              </w:rPr>
              <w:t>行</w:t>
            </w:r>
          </w:p>
          <w:p>
            <w:pPr>
              <w:spacing w:line="320" w:lineRule="exact"/>
              <w:jc w:val="both"/>
              <w:rPr>
                <w:rFonts w:hAnsi="宋体" w:cs="宋体"/>
                <w:sz w:val="21"/>
                <w:szCs w:val="21"/>
              </w:rPr>
            </w:pPr>
            <w:r>
              <w:rPr>
                <w:rFonts w:hint="eastAsia" w:ascii="Calibri" w:hAnsi="宋体" w:eastAsia="宋体" w:cs="宋体"/>
                <w:sz w:val="21"/>
                <w:szCs w:val="21"/>
              </w:rPr>
              <w:t>维</w:t>
            </w:r>
          </w:p>
          <w:p>
            <w:pPr>
              <w:spacing w:line="320" w:lineRule="exact"/>
              <w:jc w:val="both"/>
              <w:rPr>
                <w:rFonts w:hAnsi="宋体" w:cs="宋体"/>
                <w:sz w:val="21"/>
                <w:szCs w:val="21"/>
              </w:rPr>
            </w:pPr>
            <w:r>
              <w:rPr>
                <w:rFonts w:hint="eastAsia" w:ascii="Calibri" w:hAnsi="宋体" w:eastAsia="宋体" w:cs="宋体"/>
                <w:sz w:val="21"/>
                <w:szCs w:val="21"/>
              </w:rPr>
              <w:t>护</w:t>
            </w: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建立锅炉运行管理制度和安全操作规程，操作人员持证上岗。</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restart"/>
            <w:shd w:val="clear" w:color="auto" w:fill="auto"/>
            <w:vAlign w:val="center"/>
          </w:tcPr>
          <w:p>
            <w:pPr>
              <w:spacing w:line="320" w:lineRule="exact"/>
              <w:jc w:val="both"/>
              <w:rPr>
                <w:rFonts w:hAnsi="宋体" w:cs="宋体"/>
                <w:sz w:val="21"/>
                <w:szCs w:val="21"/>
              </w:rPr>
            </w:pPr>
            <w:r>
              <w:rPr>
                <w:rFonts w:hint="eastAsia" w:hAnsi="宋体" w:cs="宋体"/>
                <w:sz w:val="21"/>
                <w:szCs w:val="21"/>
              </w:rPr>
              <w:t>每条中出现一次不符合，按严重程度扣0.1-1分，</w:t>
            </w:r>
            <w:r>
              <w:rPr>
                <w:rFonts w:hint="eastAsia" w:ascii="Calibri" w:hAnsi="宋体" w:eastAsia="宋体" w:cs="宋体"/>
                <w:sz w:val="21"/>
                <w:szCs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坚持24小时值班制度，按规定对锅炉运行情况进行巡查。</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3</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按要求填写各项记录。</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1</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对外委单位维保情况进行监督检查。</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按规定运行锅炉，确保供暖时长和温度达标。</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按规定对安全附件进行校验，配合天然气公司定期对燃气调压箱和气表进行检查。</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锅炉运行出现故障后，应在10分钟内告知维保单位和甲方，并采取相应措施。</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shd w:val="clear" w:color="auto" w:fill="auto"/>
            <w:vAlign w:val="center"/>
          </w:tcPr>
          <w:p>
            <w:pPr>
              <w:spacing w:line="320" w:lineRule="exact"/>
              <w:jc w:val="both"/>
              <w:rPr>
                <w:rFonts w:hAnsi="宋体" w:cs="宋体"/>
                <w:sz w:val="21"/>
                <w:szCs w:val="21"/>
              </w:rPr>
            </w:pPr>
          </w:p>
          <w:p>
            <w:pPr>
              <w:spacing w:line="320" w:lineRule="exact"/>
              <w:jc w:val="both"/>
              <w:rPr>
                <w:rFonts w:hAnsi="宋体" w:cs="宋体"/>
                <w:sz w:val="21"/>
                <w:szCs w:val="21"/>
              </w:rPr>
            </w:pPr>
            <w:r>
              <w:rPr>
                <w:rFonts w:hint="eastAsia" w:ascii="Calibri" w:hAnsi="宋体" w:eastAsia="宋体" w:cs="宋体"/>
                <w:sz w:val="21"/>
                <w:szCs w:val="21"/>
              </w:rPr>
              <w:t>7</w:t>
            </w:r>
          </w:p>
        </w:tc>
        <w:tc>
          <w:tcPr>
            <w:tcW w:w="565"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公</w:t>
            </w:r>
          </w:p>
          <w:p>
            <w:pPr>
              <w:spacing w:line="320" w:lineRule="exact"/>
              <w:jc w:val="both"/>
              <w:rPr>
                <w:rFonts w:hAnsi="宋体" w:cs="宋体"/>
                <w:sz w:val="21"/>
                <w:szCs w:val="21"/>
              </w:rPr>
            </w:pPr>
            <w:r>
              <w:rPr>
                <w:rFonts w:hint="eastAsia" w:ascii="Calibri" w:hAnsi="宋体" w:eastAsia="宋体" w:cs="宋体"/>
                <w:sz w:val="21"/>
                <w:szCs w:val="21"/>
              </w:rPr>
              <w:t>共</w:t>
            </w:r>
          </w:p>
          <w:p>
            <w:pPr>
              <w:spacing w:line="320" w:lineRule="exact"/>
              <w:jc w:val="both"/>
              <w:rPr>
                <w:rFonts w:hAnsi="宋体" w:cs="宋体"/>
                <w:sz w:val="21"/>
                <w:szCs w:val="21"/>
              </w:rPr>
            </w:pPr>
            <w:r>
              <w:rPr>
                <w:rFonts w:hint="eastAsia" w:ascii="Calibri" w:hAnsi="宋体" w:eastAsia="宋体" w:cs="宋体"/>
                <w:sz w:val="21"/>
                <w:szCs w:val="21"/>
              </w:rPr>
              <w:t>照</w:t>
            </w:r>
          </w:p>
          <w:p>
            <w:pPr>
              <w:spacing w:line="320" w:lineRule="exact"/>
              <w:jc w:val="both"/>
              <w:rPr>
                <w:rFonts w:hAnsi="宋体" w:cs="宋体"/>
                <w:sz w:val="21"/>
                <w:szCs w:val="21"/>
              </w:rPr>
            </w:pPr>
            <w:r>
              <w:rPr>
                <w:rFonts w:hint="eastAsia" w:ascii="Calibri" w:hAnsi="宋体" w:eastAsia="宋体" w:cs="宋体"/>
                <w:sz w:val="21"/>
                <w:szCs w:val="21"/>
              </w:rPr>
              <w:t>明</w:t>
            </w:r>
          </w:p>
          <w:p>
            <w:pPr>
              <w:spacing w:line="320" w:lineRule="exact"/>
              <w:jc w:val="both"/>
              <w:rPr>
                <w:rFonts w:hAnsi="宋体" w:cs="宋体"/>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按要求对楼梯间、走廊、大院路灯、应急灯进行巡查。</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restart"/>
            <w:shd w:val="clear" w:color="auto" w:fill="auto"/>
            <w:vAlign w:val="center"/>
          </w:tcPr>
          <w:p>
            <w:pPr>
              <w:spacing w:line="320" w:lineRule="exact"/>
              <w:jc w:val="both"/>
              <w:rPr>
                <w:rFonts w:hAnsi="宋体" w:cs="宋体"/>
                <w:sz w:val="21"/>
                <w:szCs w:val="21"/>
              </w:rPr>
            </w:pPr>
            <w:r>
              <w:rPr>
                <w:rFonts w:hint="eastAsia" w:hAnsi="宋体" w:cs="宋体"/>
                <w:sz w:val="21"/>
                <w:szCs w:val="21"/>
              </w:rPr>
              <w:t>每条中出现一次不符合，按严重程度扣0.1-1分，</w:t>
            </w:r>
            <w:r>
              <w:rPr>
                <w:rFonts w:hint="eastAsia" w:ascii="Calibri" w:hAnsi="宋体" w:eastAsia="宋体" w:cs="宋体"/>
                <w:sz w:val="21"/>
                <w:szCs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发现故障及时维修，不得出现长期故障无人处理的情况。</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3</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根据季节变化及时调节路灯照明时间。</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接到照明故障报修，维修人员应在15分钟内到达现场进行处理。</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restart"/>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8</w:t>
            </w:r>
          </w:p>
        </w:tc>
        <w:tc>
          <w:tcPr>
            <w:tcW w:w="565" w:type="pct"/>
            <w:vMerge w:val="restart"/>
            <w:tcBorders>
              <w:top w:val="single" w:color="auto" w:sz="2" w:space="0"/>
              <w:left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安</w:t>
            </w:r>
          </w:p>
          <w:p>
            <w:pPr>
              <w:spacing w:line="320" w:lineRule="exact"/>
              <w:jc w:val="both"/>
              <w:rPr>
                <w:rFonts w:hAnsi="宋体" w:cs="宋体"/>
                <w:sz w:val="21"/>
                <w:szCs w:val="21"/>
              </w:rPr>
            </w:pPr>
            <w:r>
              <w:rPr>
                <w:rFonts w:hint="eastAsia" w:ascii="Calibri" w:hAnsi="宋体" w:eastAsia="宋体" w:cs="宋体"/>
                <w:sz w:val="21"/>
                <w:szCs w:val="21"/>
              </w:rPr>
              <w:t>全</w:t>
            </w:r>
          </w:p>
          <w:p>
            <w:pPr>
              <w:spacing w:line="320" w:lineRule="exact"/>
              <w:jc w:val="both"/>
              <w:rPr>
                <w:rFonts w:hAnsi="宋体" w:cs="宋体"/>
                <w:sz w:val="21"/>
                <w:szCs w:val="21"/>
              </w:rPr>
            </w:pPr>
            <w:r>
              <w:rPr>
                <w:rFonts w:hint="eastAsia" w:ascii="Calibri" w:hAnsi="宋体" w:eastAsia="宋体" w:cs="宋体"/>
                <w:sz w:val="21"/>
                <w:szCs w:val="21"/>
              </w:rPr>
              <w:t>文</w:t>
            </w:r>
          </w:p>
          <w:p>
            <w:pPr>
              <w:spacing w:line="320" w:lineRule="exact"/>
              <w:jc w:val="both"/>
              <w:rPr>
                <w:rFonts w:hAnsi="宋体" w:cs="宋体"/>
                <w:sz w:val="21"/>
                <w:szCs w:val="21"/>
              </w:rPr>
            </w:pPr>
            <w:r>
              <w:rPr>
                <w:rFonts w:hint="eastAsia" w:ascii="Calibri" w:hAnsi="宋体" w:eastAsia="宋体" w:cs="宋体"/>
                <w:sz w:val="21"/>
                <w:szCs w:val="21"/>
              </w:rPr>
              <w:t>明</w:t>
            </w:r>
          </w:p>
          <w:p>
            <w:pPr>
              <w:spacing w:line="320" w:lineRule="exact"/>
              <w:jc w:val="both"/>
              <w:rPr>
                <w:rFonts w:hAnsi="宋体" w:cs="宋体"/>
                <w:sz w:val="21"/>
                <w:szCs w:val="21"/>
              </w:rPr>
            </w:pPr>
            <w:r>
              <w:rPr>
                <w:rFonts w:hint="eastAsia" w:ascii="Calibri" w:hAnsi="宋体" w:eastAsia="宋体" w:cs="宋体"/>
                <w:sz w:val="21"/>
                <w:szCs w:val="21"/>
              </w:rPr>
              <w:t>生</w:t>
            </w:r>
          </w:p>
          <w:p>
            <w:pPr>
              <w:spacing w:line="320" w:lineRule="exact"/>
              <w:jc w:val="both"/>
              <w:rPr>
                <w:rFonts w:hAnsi="宋体" w:cs="宋体"/>
                <w:sz w:val="21"/>
                <w:szCs w:val="21"/>
              </w:rPr>
            </w:pPr>
            <w:r>
              <w:rPr>
                <w:rFonts w:hint="eastAsia" w:ascii="Calibri" w:hAnsi="宋体" w:eastAsia="宋体" w:cs="宋体"/>
                <w:sz w:val="21"/>
                <w:szCs w:val="21"/>
              </w:rPr>
              <w:t>产</w:t>
            </w: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员工上岗期间，统一着工装、佩戴工牌，仪容仪表符合规范。</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1</w:t>
            </w:r>
          </w:p>
        </w:tc>
        <w:tc>
          <w:tcPr>
            <w:tcW w:w="715" w:type="pct"/>
            <w:vMerge w:val="restart"/>
            <w:shd w:val="clear" w:color="auto" w:fill="auto"/>
            <w:vAlign w:val="center"/>
          </w:tcPr>
          <w:p>
            <w:pPr>
              <w:spacing w:line="320" w:lineRule="exact"/>
              <w:jc w:val="both"/>
              <w:rPr>
                <w:rFonts w:hAnsi="宋体" w:cs="宋体"/>
                <w:sz w:val="21"/>
                <w:szCs w:val="21"/>
              </w:rPr>
            </w:pPr>
            <w:r>
              <w:rPr>
                <w:rFonts w:hint="eastAsia" w:hAnsi="宋体" w:cs="宋体"/>
                <w:sz w:val="21"/>
                <w:szCs w:val="21"/>
              </w:rPr>
              <w:t>每条中出现一次不符合，按严重程度扣0.1-1分，</w:t>
            </w:r>
            <w:r>
              <w:rPr>
                <w:rFonts w:hint="eastAsia" w:ascii="Calibri" w:hAnsi="宋体" w:eastAsia="宋体" w:cs="宋体"/>
                <w:sz w:val="21"/>
                <w:szCs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left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员工在接待报修和处理报修时态度热情，使用文明用语，不与服务对象发生语言冲突。</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left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服务及时周到，遇特殊情况向客户做好解释说明，未接到客户投诉。</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left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根据作业要求，配备相应的安全防护用具或采取安全防护措施</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3</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shd w:val="clear" w:color="auto" w:fill="auto"/>
            <w:vAlign w:val="center"/>
          </w:tcPr>
          <w:p>
            <w:pPr>
              <w:rPr>
                <w:sz w:val="21"/>
                <w:szCs w:val="21"/>
              </w:rPr>
            </w:pPr>
          </w:p>
        </w:tc>
        <w:tc>
          <w:tcPr>
            <w:tcW w:w="565" w:type="pct"/>
            <w:vMerge w:val="continue"/>
            <w:tcBorders>
              <w:left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按照流程规范操作，无违规操作，不发生人为安全事故。</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3</w:t>
            </w:r>
          </w:p>
        </w:tc>
        <w:tc>
          <w:tcPr>
            <w:tcW w:w="715" w:type="pct"/>
            <w:vMerge w:val="continue"/>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8" w:type="pct"/>
            <w:vMerge w:val="continue"/>
            <w:tcBorders>
              <w:bottom w:val="single" w:color="auto" w:sz="2" w:space="0"/>
            </w:tcBorders>
            <w:shd w:val="clear" w:color="auto" w:fill="auto"/>
            <w:vAlign w:val="center"/>
          </w:tcPr>
          <w:p>
            <w:pPr>
              <w:rPr>
                <w:sz w:val="21"/>
                <w:szCs w:val="21"/>
              </w:rPr>
            </w:pPr>
          </w:p>
        </w:tc>
        <w:tc>
          <w:tcPr>
            <w:tcW w:w="565" w:type="pct"/>
            <w:vMerge w:val="continue"/>
            <w:tcBorders>
              <w:left w:val="single" w:color="auto" w:sz="2" w:space="0"/>
              <w:bottom w:val="single" w:color="auto" w:sz="2" w:space="0"/>
              <w:right w:val="single" w:color="auto" w:sz="2" w:space="0"/>
            </w:tcBorders>
            <w:shd w:val="clear" w:color="auto" w:fill="auto"/>
            <w:vAlign w:val="center"/>
          </w:tcPr>
          <w:p>
            <w:pPr>
              <w:rPr>
                <w:sz w:val="21"/>
                <w:szCs w:val="21"/>
              </w:rPr>
            </w:pPr>
          </w:p>
        </w:tc>
        <w:tc>
          <w:tcPr>
            <w:tcW w:w="29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发现天然气管道漏气等安全隐患应及时联系天然气公司。</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tabs>
                <w:tab w:val="left" w:pos="840"/>
              </w:tabs>
              <w:spacing w:line="320" w:lineRule="exact"/>
              <w:ind w:right="379"/>
              <w:jc w:val="both"/>
              <w:rPr>
                <w:rFonts w:hAnsi="宋体" w:cs="宋体"/>
                <w:sz w:val="21"/>
                <w:szCs w:val="21"/>
              </w:rPr>
            </w:pPr>
            <w:r>
              <w:rPr>
                <w:rFonts w:hint="eastAsia" w:ascii="Calibri" w:hAnsi="宋体" w:eastAsia="宋体" w:cs="宋体"/>
                <w:sz w:val="21"/>
                <w:szCs w:val="21"/>
              </w:rPr>
              <w:t>2</w:t>
            </w:r>
          </w:p>
        </w:tc>
        <w:tc>
          <w:tcPr>
            <w:tcW w:w="715" w:type="pct"/>
            <w:vMerge w:val="continue"/>
            <w:tcBorders>
              <w:bottom w:val="single" w:color="auto" w:sz="2" w:space="0"/>
            </w:tcBorders>
            <w:shd w:val="clear" w:color="auto" w:fill="auto"/>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65" w:type="pct"/>
            <w:gridSpan w:val="3"/>
            <w:tcBorders>
              <w:top w:val="single" w:color="auto" w:sz="2" w:space="0"/>
              <w:bottom w:val="single" w:color="auto" w:sz="1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合计</w:t>
            </w:r>
          </w:p>
        </w:tc>
        <w:tc>
          <w:tcPr>
            <w:tcW w:w="319" w:type="pct"/>
            <w:tcBorders>
              <w:top w:val="single" w:color="auto" w:sz="2" w:space="0"/>
              <w:left w:val="single" w:color="auto" w:sz="2" w:space="0"/>
              <w:bottom w:val="single" w:color="auto" w:sz="12" w:space="0"/>
              <w:right w:val="single" w:color="auto" w:sz="2" w:space="0"/>
            </w:tcBorders>
            <w:shd w:val="clear" w:color="auto" w:fill="auto"/>
            <w:vAlign w:val="center"/>
          </w:tcPr>
          <w:p>
            <w:pPr>
              <w:spacing w:line="320" w:lineRule="exact"/>
              <w:jc w:val="both"/>
              <w:rPr>
                <w:rFonts w:hAnsi="宋体" w:cs="宋体"/>
                <w:sz w:val="21"/>
                <w:szCs w:val="21"/>
              </w:rPr>
            </w:pPr>
            <w:r>
              <w:rPr>
                <w:rFonts w:hint="eastAsia" w:ascii="Calibri" w:hAnsi="宋体" w:eastAsia="宋体" w:cs="宋体"/>
                <w:sz w:val="21"/>
                <w:szCs w:val="21"/>
              </w:rPr>
              <w:t>100</w:t>
            </w:r>
          </w:p>
        </w:tc>
        <w:tc>
          <w:tcPr>
            <w:tcW w:w="715" w:type="pct"/>
            <w:tcBorders>
              <w:top w:val="single" w:color="auto" w:sz="2" w:space="0"/>
              <w:bottom w:val="single" w:color="auto" w:sz="12" w:space="0"/>
            </w:tcBorders>
            <w:shd w:val="clear" w:color="auto" w:fill="auto"/>
            <w:vAlign w:val="center"/>
          </w:tcPr>
          <w:p>
            <w:pPr>
              <w:spacing w:line="320" w:lineRule="exact"/>
              <w:jc w:val="both"/>
              <w:rPr>
                <w:rFonts w:hAnsi="宋体" w:cs="宋体"/>
                <w:sz w:val="21"/>
                <w:szCs w:val="21"/>
              </w:rPr>
            </w:pPr>
          </w:p>
        </w:tc>
      </w:tr>
    </w:tbl>
    <w:p>
      <w:pPr>
        <w:ind w:firstLine="360" w:firstLineChars="150"/>
        <w:rPr>
          <w:rFonts w:ascii="宋体" w:hAnsi="宋体" w:cs="宋体"/>
          <w:b/>
          <w:bCs/>
        </w:rPr>
      </w:pPr>
      <w:r>
        <w:rPr>
          <w:rFonts w:hint="eastAsia" w:ascii="宋体" w:hAnsi="宋体" w:cs="宋体"/>
          <w:b/>
          <w:bCs/>
        </w:rPr>
        <w:t>3．秩序维护服务标准考核细则</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16"/>
        <w:gridCol w:w="618"/>
        <w:gridCol w:w="4240"/>
        <w:gridCol w:w="580"/>
        <w:gridCol w:w="28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5"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rPr>
            </w:pPr>
            <w:r>
              <w:rPr>
                <w:rFonts w:hint="eastAsia" w:ascii="Calibri" w:hAnsi="宋体" w:eastAsia="宋体" w:cs="宋体"/>
                <w:b/>
                <w:bCs/>
                <w:sz w:val="21"/>
              </w:rPr>
              <w:t>序号</w:t>
            </w:r>
          </w:p>
        </w:tc>
        <w:tc>
          <w:tcPr>
            <w:tcW w:w="431"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rPr>
            </w:pPr>
            <w:r>
              <w:rPr>
                <w:rFonts w:hint="eastAsia" w:ascii="Calibri" w:hAnsi="宋体" w:eastAsia="宋体" w:cs="宋体"/>
                <w:b/>
                <w:bCs/>
                <w:sz w:val="21"/>
              </w:rPr>
              <w:t>项目</w:t>
            </w:r>
          </w:p>
        </w:tc>
        <w:tc>
          <w:tcPr>
            <w:tcW w:w="2434"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rPr>
            </w:pPr>
            <w:r>
              <w:rPr>
                <w:rFonts w:hint="eastAsia" w:ascii="Calibri" w:hAnsi="宋体" w:eastAsia="宋体" w:cs="宋体"/>
                <w:b/>
                <w:bCs/>
                <w:sz w:val="21"/>
              </w:rPr>
              <w:t>检查内容</w:t>
            </w:r>
          </w:p>
        </w:tc>
        <w:tc>
          <w:tcPr>
            <w:tcW w:w="410"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rPr>
            </w:pPr>
            <w:r>
              <w:rPr>
                <w:rFonts w:hint="eastAsia" w:ascii="Calibri" w:hAnsi="宋体" w:eastAsia="宋体" w:cs="宋体"/>
                <w:b/>
                <w:bCs/>
                <w:sz w:val="21"/>
              </w:rPr>
              <w:t>项目分值</w:t>
            </w:r>
          </w:p>
        </w:tc>
        <w:tc>
          <w:tcPr>
            <w:tcW w:w="1240"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rPr>
            </w:pPr>
            <w:r>
              <w:rPr>
                <w:rFonts w:hint="eastAsia" w:ascii="Calibri" w:hAnsi="宋体" w:eastAsia="宋体" w:cs="宋体"/>
                <w:b/>
                <w:bCs/>
                <w:sz w:val="21"/>
              </w:rPr>
              <w:t>扣分细则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5" w:type="pct"/>
            <w:tcBorders>
              <w:top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1</w:t>
            </w:r>
          </w:p>
        </w:tc>
        <w:tc>
          <w:tcPr>
            <w:tcW w:w="431" w:type="pct"/>
            <w:tcBorders>
              <w:top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仪</w:t>
            </w:r>
          </w:p>
          <w:p>
            <w:pPr>
              <w:spacing w:line="320" w:lineRule="exact"/>
              <w:jc w:val="both"/>
              <w:rPr>
                <w:rFonts w:hAnsi="宋体" w:cs="宋体"/>
                <w:sz w:val="21"/>
              </w:rPr>
            </w:pPr>
            <w:r>
              <w:rPr>
                <w:rFonts w:hint="eastAsia" w:ascii="Calibri" w:hAnsi="宋体" w:eastAsia="宋体" w:cs="宋体"/>
                <w:sz w:val="21"/>
              </w:rPr>
              <w:t>容</w:t>
            </w:r>
          </w:p>
          <w:p>
            <w:pPr>
              <w:spacing w:line="320" w:lineRule="exact"/>
              <w:jc w:val="both"/>
              <w:rPr>
                <w:rFonts w:hAnsi="宋体" w:cs="宋体"/>
                <w:sz w:val="21"/>
              </w:rPr>
            </w:pPr>
            <w:r>
              <w:rPr>
                <w:rFonts w:hint="eastAsia" w:ascii="Calibri" w:hAnsi="宋体" w:eastAsia="宋体" w:cs="宋体"/>
                <w:sz w:val="21"/>
              </w:rPr>
              <w:t>仪</w:t>
            </w:r>
          </w:p>
          <w:p>
            <w:pPr>
              <w:spacing w:line="320" w:lineRule="exact"/>
              <w:jc w:val="both"/>
              <w:rPr>
                <w:rFonts w:hAnsi="宋体" w:cs="宋体"/>
                <w:sz w:val="21"/>
              </w:rPr>
            </w:pPr>
            <w:r>
              <w:rPr>
                <w:rFonts w:hint="eastAsia" w:ascii="Calibri" w:hAnsi="宋体" w:eastAsia="宋体" w:cs="宋体"/>
                <w:sz w:val="21"/>
              </w:rPr>
              <w:t>表</w:t>
            </w:r>
          </w:p>
        </w:tc>
        <w:tc>
          <w:tcPr>
            <w:tcW w:w="2434" w:type="pct"/>
            <w:tcBorders>
              <w:top w:val="single" w:color="auto" w:sz="2" w:space="0"/>
            </w:tcBorders>
            <w:shd w:val="clear" w:color="auto" w:fill="auto"/>
            <w:vAlign w:val="center"/>
          </w:tcPr>
          <w:p>
            <w:pPr>
              <w:widowControl w:val="0"/>
              <w:spacing w:line="320" w:lineRule="exact"/>
              <w:jc w:val="both"/>
              <w:rPr>
                <w:rFonts w:hAnsi="宋体" w:cs="宋体"/>
                <w:sz w:val="21"/>
              </w:rPr>
            </w:pPr>
            <w:r>
              <w:rPr>
                <w:rFonts w:ascii="Calibri" w:hAnsi="宋体" w:eastAsia="宋体" w:cs="宋体"/>
                <w:sz w:val="21"/>
              </w:rPr>
              <w:t>（</w:t>
            </w:r>
            <w:r>
              <w:rPr>
                <w:rFonts w:hint="eastAsia" w:ascii="Calibri" w:hAnsi="宋体" w:eastAsia="宋体" w:cs="宋体"/>
                <w:sz w:val="21"/>
              </w:rPr>
              <w:t>1</w:t>
            </w:r>
            <w:r>
              <w:rPr>
                <w:rFonts w:ascii="Calibri" w:hAnsi="宋体" w:eastAsia="宋体" w:cs="宋体"/>
                <w:sz w:val="21"/>
              </w:rPr>
              <w:t>）</w:t>
            </w:r>
            <w:r>
              <w:rPr>
                <w:rFonts w:hint="eastAsia" w:ascii="Calibri" w:hAnsi="宋体" w:eastAsia="宋体" w:cs="宋体"/>
                <w:sz w:val="21"/>
              </w:rPr>
              <w:t>协防人员上岗时，必须按规定穿着公司统一制定的协防服装；</w:t>
            </w:r>
          </w:p>
          <w:p>
            <w:pPr>
              <w:widowControl w:val="0"/>
              <w:spacing w:line="320" w:lineRule="exact"/>
              <w:jc w:val="both"/>
              <w:rPr>
                <w:rFonts w:hAnsi="宋体" w:cs="宋体"/>
                <w:sz w:val="21"/>
              </w:rPr>
            </w:pPr>
            <w:r>
              <w:rPr>
                <w:rFonts w:ascii="Calibri" w:hAnsi="宋体" w:eastAsia="宋体" w:cs="宋体"/>
                <w:sz w:val="21"/>
              </w:rPr>
              <w:t>（</w:t>
            </w:r>
            <w:r>
              <w:rPr>
                <w:rFonts w:hint="eastAsia" w:ascii="Calibri" w:hAnsi="宋体" w:eastAsia="宋体" w:cs="宋体"/>
                <w:sz w:val="21"/>
              </w:rPr>
              <w:t>2</w:t>
            </w:r>
            <w:r>
              <w:rPr>
                <w:rFonts w:ascii="Calibri" w:hAnsi="宋体" w:eastAsia="宋体" w:cs="宋体"/>
                <w:sz w:val="21"/>
              </w:rPr>
              <w:t>）</w:t>
            </w:r>
            <w:r>
              <w:rPr>
                <w:rFonts w:hint="eastAsia" w:ascii="Calibri" w:hAnsi="宋体" w:eastAsia="宋体" w:cs="宋体"/>
                <w:sz w:val="21"/>
              </w:rPr>
              <w:t>服装整齐、清洁；穿衬衫要将下摆塞在裤腰内，袖口和裤管不得卷起；工牌别在左胸前、左上口袋的中间；不准赤脚穿凉鞋或拖鞋上岗；</w:t>
            </w:r>
          </w:p>
          <w:p>
            <w:pPr>
              <w:widowControl w:val="0"/>
              <w:spacing w:line="320" w:lineRule="exact"/>
              <w:jc w:val="both"/>
              <w:rPr>
                <w:rFonts w:hAnsi="宋体" w:cs="宋体"/>
                <w:sz w:val="21"/>
              </w:rPr>
            </w:pPr>
            <w:r>
              <w:rPr>
                <w:rFonts w:ascii="Calibri" w:hAnsi="宋体" w:eastAsia="宋体" w:cs="宋体"/>
                <w:sz w:val="21"/>
              </w:rPr>
              <w:t>（</w:t>
            </w:r>
            <w:r>
              <w:rPr>
                <w:rFonts w:hint="eastAsia" w:ascii="Calibri" w:hAnsi="宋体" w:eastAsia="宋体" w:cs="宋体"/>
                <w:sz w:val="21"/>
              </w:rPr>
              <w:t>3</w:t>
            </w:r>
            <w:r>
              <w:rPr>
                <w:rFonts w:ascii="Calibri" w:hAnsi="宋体" w:eastAsia="宋体" w:cs="宋体"/>
                <w:sz w:val="21"/>
              </w:rPr>
              <w:t>）</w:t>
            </w:r>
            <w:r>
              <w:rPr>
                <w:rFonts w:hint="eastAsia" w:ascii="Calibri" w:hAnsi="宋体" w:eastAsia="宋体" w:cs="宋体"/>
                <w:sz w:val="21"/>
              </w:rPr>
              <w:t>协防人员在巡逻时，上身要挺直，禁止大声喧哗，做到三轻：说话轻、走路轻、操作轻；</w:t>
            </w:r>
          </w:p>
          <w:p>
            <w:pPr>
              <w:widowControl w:val="0"/>
              <w:spacing w:line="320" w:lineRule="exact"/>
              <w:jc w:val="both"/>
              <w:rPr>
                <w:rFonts w:hAnsi="宋体" w:cs="宋体"/>
                <w:sz w:val="21"/>
              </w:rPr>
            </w:pPr>
            <w:r>
              <w:rPr>
                <w:rFonts w:ascii="Calibri" w:hAnsi="宋体" w:eastAsia="宋体" w:cs="宋体"/>
                <w:sz w:val="21"/>
              </w:rPr>
              <w:t>（</w:t>
            </w:r>
            <w:r>
              <w:rPr>
                <w:rFonts w:hint="eastAsia" w:ascii="Calibri" w:hAnsi="宋体" w:eastAsia="宋体" w:cs="宋体"/>
                <w:sz w:val="21"/>
              </w:rPr>
              <w:t>4</w:t>
            </w:r>
            <w:r>
              <w:rPr>
                <w:rFonts w:ascii="Calibri" w:hAnsi="宋体" w:eastAsia="宋体" w:cs="宋体"/>
                <w:sz w:val="21"/>
              </w:rPr>
              <w:t>）</w:t>
            </w:r>
            <w:r>
              <w:rPr>
                <w:rFonts w:hint="eastAsia" w:ascii="Calibri" w:hAnsi="宋体" w:eastAsia="宋体" w:cs="宋体"/>
                <w:sz w:val="21"/>
              </w:rPr>
              <w:t>门岗站立姿势要端正，不准弯腰曲背，不准倚靠桌椅，不准背靠门柱或墙角等；</w:t>
            </w:r>
          </w:p>
          <w:p>
            <w:pPr>
              <w:widowControl w:val="0"/>
              <w:spacing w:line="320" w:lineRule="exact"/>
              <w:jc w:val="both"/>
              <w:rPr>
                <w:rFonts w:hAnsi="宋体" w:cs="宋体"/>
                <w:sz w:val="21"/>
              </w:rPr>
            </w:pPr>
            <w:r>
              <w:rPr>
                <w:rFonts w:ascii="Calibri" w:hAnsi="宋体" w:eastAsia="宋体" w:cs="宋体"/>
                <w:sz w:val="21"/>
              </w:rPr>
              <w:t>（</w:t>
            </w:r>
            <w:r>
              <w:rPr>
                <w:rFonts w:hint="eastAsia" w:ascii="Calibri" w:hAnsi="宋体" w:eastAsia="宋体" w:cs="宋体"/>
                <w:sz w:val="21"/>
              </w:rPr>
              <w:t>5</w:t>
            </w:r>
            <w:r>
              <w:rPr>
                <w:rFonts w:ascii="Calibri" w:hAnsi="宋体" w:eastAsia="宋体" w:cs="宋体"/>
                <w:sz w:val="21"/>
              </w:rPr>
              <w:t>）</w:t>
            </w:r>
            <w:r>
              <w:rPr>
                <w:rFonts w:hint="eastAsia" w:ascii="Calibri" w:hAnsi="宋体" w:eastAsia="宋体" w:cs="宋体"/>
                <w:sz w:val="21"/>
              </w:rPr>
              <w:t>立姿如同跨立，左脚向左跨出，两腿与肩同距，上体保持立正姿势，身体重心落于两腿之间；挺胸收腹，两手背于皮带处，左手握右手腕，右手手指并拢自然弯曲，手心向后；</w:t>
            </w:r>
          </w:p>
          <w:p>
            <w:pPr>
              <w:widowControl w:val="0"/>
              <w:spacing w:line="320" w:lineRule="exact"/>
              <w:jc w:val="both"/>
              <w:rPr>
                <w:rFonts w:hAnsi="宋体" w:cs="宋体"/>
                <w:sz w:val="21"/>
              </w:rPr>
            </w:pPr>
            <w:r>
              <w:rPr>
                <w:rFonts w:ascii="Calibri" w:hAnsi="宋体" w:eastAsia="宋体" w:cs="宋体"/>
                <w:sz w:val="21"/>
              </w:rPr>
              <w:t>（</w:t>
            </w:r>
            <w:r>
              <w:rPr>
                <w:rFonts w:hint="eastAsia" w:ascii="Calibri" w:hAnsi="宋体" w:eastAsia="宋体" w:cs="宋体"/>
                <w:sz w:val="21"/>
              </w:rPr>
              <w:t>6</w:t>
            </w:r>
            <w:r>
              <w:rPr>
                <w:rFonts w:ascii="Calibri" w:hAnsi="宋体" w:eastAsia="宋体" w:cs="宋体"/>
                <w:sz w:val="21"/>
              </w:rPr>
              <w:t>）</w:t>
            </w:r>
            <w:r>
              <w:rPr>
                <w:rFonts w:hint="eastAsia" w:ascii="Calibri" w:hAnsi="宋体" w:eastAsia="宋体" w:cs="宋体"/>
                <w:sz w:val="21"/>
              </w:rPr>
              <w:t>立正时双手下垂，手指自然并拢，双手手指贴在裤的齐缝中间，不可将手插进衣袋或裤袋内；</w:t>
            </w:r>
          </w:p>
          <w:p>
            <w:pPr>
              <w:widowControl w:val="0"/>
              <w:spacing w:line="320" w:lineRule="exact"/>
              <w:jc w:val="both"/>
              <w:rPr>
                <w:rFonts w:hAnsi="宋体" w:cs="宋体"/>
                <w:sz w:val="21"/>
              </w:rPr>
            </w:pPr>
            <w:r>
              <w:rPr>
                <w:rFonts w:ascii="Calibri" w:hAnsi="宋体" w:eastAsia="宋体" w:cs="宋体"/>
                <w:sz w:val="21"/>
              </w:rPr>
              <w:t>（</w:t>
            </w:r>
            <w:r>
              <w:rPr>
                <w:rFonts w:hint="eastAsia" w:ascii="Calibri" w:hAnsi="宋体" w:eastAsia="宋体" w:cs="宋体"/>
                <w:sz w:val="21"/>
              </w:rPr>
              <w:t>7</w:t>
            </w:r>
            <w:r>
              <w:rPr>
                <w:rFonts w:ascii="Calibri" w:hAnsi="宋体" w:eastAsia="宋体" w:cs="宋体"/>
                <w:sz w:val="21"/>
              </w:rPr>
              <w:t>）</w:t>
            </w:r>
            <w:r>
              <w:rPr>
                <w:rFonts w:hint="eastAsia" w:ascii="Calibri" w:hAnsi="宋体" w:eastAsia="宋体" w:cs="宋体"/>
                <w:sz w:val="21"/>
              </w:rPr>
              <w:t>上岗期间都要精神饱满，姿势端正，举止行为规范，不得嬉戏打闹，不得吸烟，不准有倦怠表情。</w:t>
            </w:r>
          </w:p>
        </w:tc>
        <w:tc>
          <w:tcPr>
            <w:tcW w:w="410" w:type="pct"/>
            <w:tcBorders>
              <w:top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20</w:t>
            </w:r>
          </w:p>
        </w:tc>
        <w:tc>
          <w:tcPr>
            <w:tcW w:w="1240" w:type="pct"/>
            <w:tcBorders>
              <w:top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1至6条分值为3分，第7条分值为2分，</w:t>
            </w:r>
            <w:r>
              <w:rPr>
                <w:rFonts w:hint="eastAsia" w:hAnsi="宋体" w:cs="宋体"/>
                <w:sz w:val="21"/>
              </w:rPr>
              <w:t>每条中出现一次不符合，按严重程度扣0.1-1分，</w:t>
            </w:r>
            <w:r>
              <w:rPr>
                <w:rFonts w:hint="eastAsia" w:ascii="Calibri" w:hAnsi="宋体" w:eastAsia="宋体" w:cs="宋体"/>
                <w:sz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5" w:type="pct"/>
            <w:shd w:val="clear" w:color="auto" w:fill="auto"/>
            <w:vAlign w:val="center"/>
          </w:tcPr>
          <w:p>
            <w:pPr>
              <w:spacing w:line="320" w:lineRule="exact"/>
              <w:jc w:val="both"/>
              <w:rPr>
                <w:rFonts w:hAnsi="宋体" w:cs="宋体"/>
                <w:sz w:val="21"/>
              </w:rPr>
            </w:pPr>
            <w:r>
              <w:rPr>
                <w:rFonts w:hint="eastAsia" w:ascii="Calibri" w:hAnsi="宋体" w:eastAsia="宋体" w:cs="宋体"/>
                <w:sz w:val="21"/>
              </w:rPr>
              <w:t>2</w:t>
            </w:r>
          </w:p>
        </w:tc>
        <w:tc>
          <w:tcPr>
            <w:tcW w:w="4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门</w:t>
            </w:r>
          </w:p>
          <w:p>
            <w:pPr>
              <w:spacing w:line="320" w:lineRule="exact"/>
              <w:jc w:val="both"/>
              <w:rPr>
                <w:rFonts w:hAnsi="宋体" w:cs="宋体"/>
                <w:sz w:val="21"/>
              </w:rPr>
            </w:pPr>
            <w:r>
              <w:rPr>
                <w:rFonts w:hint="eastAsia" w:ascii="Calibri" w:hAnsi="宋体" w:eastAsia="宋体" w:cs="宋体"/>
                <w:sz w:val="21"/>
              </w:rPr>
              <w:t>岗</w:t>
            </w:r>
          </w:p>
          <w:p>
            <w:pPr>
              <w:spacing w:line="320" w:lineRule="exact"/>
              <w:jc w:val="both"/>
              <w:rPr>
                <w:rFonts w:hAnsi="宋体" w:cs="宋体"/>
                <w:sz w:val="21"/>
              </w:rPr>
            </w:pPr>
            <w:r>
              <w:rPr>
                <w:rFonts w:hint="eastAsia" w:ascii="Calibri" w:hAnsi="宋体" w:eastAsia="宋体" w:cs="宋体"/>
                <w:sz w:val="21"/>
              </w:rPr>
              <w:t>服</w:t>
            </w:r>
          </w:p>
          <w:p>
            <w:pPr>
              <w:spacing w:line="320" w:lineRule="exact"/>
              <w:jc w:val="both"/>
              <w:rPr>
                <w:rFonts w:hAnsi="宋体" w:cs="宋体"/>
                <w:sz w:val="21"/>
              </w:rPr>
            </w:pPr>
            <w:r>
              <w:rPr>
                <w:rFonts w:hint="eastAsia" w:ascii="Calibri" w:hAnsi="宋体" w:eastAsia="宋体" w:cs="宋体"/>
                <w:sz w:val="21"/>
              </w:rPr>
              <w:t>务</w:t>
            </w:r>
          </w:p>
        </w:tc>
        <w:tc>
          <w:tcPr>
            <w:tcW w:w="2434"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spacing w:line="320" w:lineRule="exact"/>
              <w:jc w:val="both"/>
              <w:rPr>
                <w:rFonts w:hAnsi="宋体" w:cs="宋体"/>
                <w:color w:val="000000"/>
                <w:sz w:val="21"/>
              </w:rPr>
            </w:pPr>
            <w:r>
              <w:rPr>
                <w:rFonts w:ascii="Calibri" w:hAnsi="宋体" w:eastAsia="宋体" w:cs="宋体"/>
                <w:sz w:val="21"/>
              </w:rPr>
              <w:t>（</w:t>
            </w:r>
            <w:r>
              <w:rPr>
                <w:rFonts w:hint="eastAsia" w:ascii="Calibri" w:hAnsi="宋体" w:eastAsia="宋体" w:cs="宋体"/>
                <w:sz w:val="21"/>
              </w:rPr>
              <w:t>1</w:t>
            </w:r>
            <w:r>
              <w:rPr>
                <w:rFonts w:ascii="Calibri" w:hAnsi="宋体" w:eastAsia="宋体" w:cs="宋体"/>
                <w:sz w:val="21"/>
              </w:rPr>
              <w:t>）</w:t>
            </w:r>
            <w:r>
              <w:rPr>
                <w:rFonts w:hint="eastAsia" w:ascii="Calibri" w:hAnsi="宋体" w:eastAsia="宋体" w:cs="宋体"/>
                <w:color w:val="000000"/>
                <w:sz w:val="21"/>
              </w:rPr>
              <w:t>实行全天24小时执勤服务；</w:t>
            </w:r>
          </w:p>
          <w:p>
            <w:pPr>
              <w:widowControl w:val="0"/>
              <w:spacing w:line="320" w:lineRule="exact"/>
              <w:jc w:val="both"/>
              <w:rPr>
                <w:rFonts w:hAnsi="宋体" w:cs="宋体"/>
                <w:color w:val="000000"/>
                <w:sz w:val="21"/>
              </w:rPr>
            </w:pPr>
            <w:r>
              <w:rPr>
                <w:rFonts w:ascii="Calibri" w:hAnsi="宋体" w:eastAsia="宋体" w:cs="宋体"/>
                <w:sz w:val="21"/>
              </w:rPr>
              <w:t>（</w:t>
            </w:r>
            <w:r>
              <w:rPr>
                <w:rFonts w:hint="eastAsia" w:ascii="Calibri" w:hAnsi="宋体" w:eastAsia="宋体" w:cs="宋体"/>
                <w:sz w:val="21"/>
              </w:rPr>
              <w:t>2</w:t>
            </w:r>
            <w:r>
              <w:rPr>
                <w:rFonts w:ascii="Calibri" w:hAnsi="宋体" w:eastAsia="宋体" w:cs="宋体"/>
                <w:sz w:val="21"/>
              </w:rPr>
              <w:t>）</w:t>
            </w:r>
            <w:r>
              <w:rPr>
                <w:rFonts w:hint="eastAsia" w:ascii="Calibri" w:hAnsi="宋体" w:eastAsia="宋体" w:cs="宋体"/>
                <w:color w:val="000000"/>
                <w:sz w:val="21"/>
              </w:rPr>
              <w:t>在指定位置、指定方向立岗，严禁脱岗；</w:t>
            </w:r>
          </w:p>
          <w:p>
            <w:pPr>
              <w:widowControl w:val="0"/>
              <w:spacing w:line="320" w:lineRule="exact"/>
              <w:jc w:val="both"/>
              <w:rPr>
                <w:rFonts w:hAnsi="宋体" w:cs="宋体"/>
                <w:color w:val="000000"/>
                <w:sz w:val="21"/>
              </w:rPr>
            </w:pPr>
            <w:r>
              <w:rPr>
                <w:rFonts w:ascii="Calibri" w:hAnsi="宋体" w:eastAsia="宋体" w:cs="宋体"/>
                <w:sz w:val="21"/>
              </w:rPr>
              <w:t>（</w:t>
            </w:r>
            <w:r>
              <w:rPr>
                <w:rFonts w:hint="eastAsia" w:ascii="Calibri" w:hAnsi="宋体" w:eastAsia="宋体" w:cs="宋体"/>
                <w:sz w:val="21"/>
              </w:rPr>
              <w:t>3</w:t>
            </w:r>
            <w:r>
              <w:rPr>
                <w:rFonts w:ascii="Calibri" w:hAnsi="宋体" w:eastAsia="宋体" w:cs="宋体"/>
                <w:sz w:val="21"/>
              </w:rPr>
              <w:t>）</w:t>
            </w:r>
            <w:r>
              <w:rPr>
                <w:rFonts w:hint="eastAsia" w:ascii="Calibri" w:hAnsi="宋体" w:eastAsia="宋体" w:cs="宋体"/>
                <w:color w:val="000000"/>
                <w:sz w:val="21"/>
              </w:rPr>
              <w:t>对门岗发生的事件及出入物品，实行登记制度；</w:t>
            </w:r>
          </w:p>
          <w:p>
            <w:pPr>
              <w:widowControl w:val="0"/>
              <w:spacing w:line="320" w:lineRule="exact"/>
              <w:jc w:val="both"/>
              <w:rPr>
                <w:rFonts w:hAnsi="宋体" w:cs="宋体"/>
                <w:color w:val="000000"/>
                <w:sz w:val="21"/>
              </w:rPr>
            </w:pPr>
            <w:r>
              <w:rPr>
                <w:rFonts w:ascii="Calibri" w:hAnsi="宋体" w:eastAsia="宋体" w:cs="宋体"/>
                <w:sz w:val="21"/>
              </w:rPr>
              <w:t>（</w:t>
            </w:r>
            <w:r>
              <w:rPr>
                <w:rFonts w:hint="eastAsia" w:ascii="Calibri" w:hAnsi="宋体" w:eastAsia="宋体" w:cs="宋体"/>
                <w:sz w:val="21"/>
              </w:rPr>
              <w:t>4</w:t>
            </w:r>
            <w:r>
              <w:rPr>
                <w:rFonts w:ascii="Calibri" w:hAnsi="宋体" w:eastAsia="宋体" w:cs="宋体"/>
                <w:sz w:val="21"/>
              </w:rPr>
              <w:t>）</w:t>
            </w:r>
            <w:r>
              <w:rPr>
                <w:rFonts w:hint="eastAsia" w:ascii="Calibri" w:hAnsi="宋体" w:eastAsia="宋体" w:cs="宋体"/>
                <w:color w:val="000000"/>
                <w:sz w:val="21"/>
              </w:rPr>
              <w:t>凡来访人员不可携带易燃、易爆、剧毒等物品进入管辖区域；</w:t>
            </w:r>
          </w:p>
          <w:p>
            <w:pPr>
              <w:widowControl w:val="0"/>
              <w:spacing w:line="320" w:lineRule="exact"/>
              <w:jc w:val="both"/>
              <w:rPr>
                <w:rFonts w:hAnsi="宋体" w:cs="宋体"/>
                <w:color w:val="000000"/>
                <w:sz w:val="21"/>
              </w:rPr>
            </w:pPr>
            <w:r>
              <w:rPr>
                <w:rFonts w:ascii="Calibri" w:hAnsi="宋体" w:eastAsia="宋体" w:cs="宋体"/>
                <w:sz w:val="21"/>
              </w:rPr>
              <w:t>（</w:t>
            </w:r>
            <w:r>
              <w:rPr>
                <w:rFonts w:hint="eastAsia" w:ascii="Calibri" w:hAnsi="宋体" w:eastAsia="宋体" w:cs="宋体"/>
                <w:sz w:val="21"/>
              </w:rPr>
              <w:t>5</w:t>
            </w:r>
            <w:r>
              <w:rPr>
                <w:rFonts w:ascii="Calibri" w:hAnsi="宋体" w:eastAsia="宋体" w:cs="宋体"/>
                <w:sz w:val="21"/>
              </w:rPr>
              <w:t>）</w:t>
            </w:r>
            <w:r>
              <w:rPr>
                <w:rFonts w:hint="eastAsia" w:ascii="Calibri" w:hAnsi="宋体" w:eastAsia="宋体" w:cs="宋体"/>
                <w:color w:val="000000"/>
                <w:sz w:val="21"/>
              </w:rPr>
              <w:t>不准小摊贩、推销员、收废品等各类闲杂人员进入管辖区域；</w:t>
            </w:r>
          </w:p>
          <w:p>
            <w:pPr>
              <w:widowControl w:val="0"/>
              <w:spacing w:line="320" w:lineRule="exact"/>
              <w:jc w:val="both"/>
              <w:rPr>
                <w:rFonts w:hAnsi="宋体" w:cs="宋体"/>
                <w:color w:val="000000"/>
                <w:sz w:val="21"/>
              </w:rPr>
            </w:pPr>
            <w:r>
              <w:rPr>
                <w:rFonts w:ascii="Calibri" w:hAnsi="宋体" w:eastAsia="宋体" w:cs="宋体"/>
                <w:sz w:val="21"/>
              </w:rPr>
              <w:t>（</w:t>
            </w:r>
            <w:r>
              <w:rPr>
                <w:rFonts w:hint="eastAsia" w:ascii="Calibri" w:hAnsi="宋体" w:eastAsia="宋体" w:cs="宋体"/>
                <w:sz w:val="21"/>
              </w:rPr>
              <w:t>6</w:t>
            </w:r>
            <w:r>
              <w:rPr>
                <w:rFonts w:ascii="Calibri" w:hAnsi="宋体" w:eastAsia="宋体" w:cs="宋体"/>
                <w:sz w:val="21"/>
              </w:rPr>
              <w:t>）</w:t>
            </w:r>
            <w:r>
              <w:rPr>
                <w:rFonts w:hint="eastAsia" w:ascii="Calibri" w:hAnsi="宋体" w:eastAsia="宋体" w:cs="宋体"/>
                <w:color w:val="000000"/>
                <w:sz w:val="21"/>
              </w:rPr>
              <w:t>推行微笑服务；平易近人，热情大方，接待来访人员“您好，请出示证件”，“您慢走，您走好”等口头语。</w:t>
            </w:r>
          </w:p>
        </w:tc>
        <w:tc>
          <w:tcPr>
            <w:tcW w:w="410"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20</w:t>
            </w:r>
          </w:p>
        </w:tc>
        <w:tc>
          <w:tcPr>
            <w:tcW w:w="1240" w:type="pct"/>
            <w:shd w:val="clear" w:color="auto" w:fill="auto"/>
            <w:vAlign w:val="center"/>
          </w:tcPr>
          <w:p>
            <w:pPr>
              <w:spacing w:line="320" w:lineRule="exact"/>
              <w:jc w:val="both"/>
              <w:rPr>
                <w:rFonts w:hAnsi="宋体" w:cs="宋体"/>
                <w:sz w:val="21"/>
              </w:rPr>
            </w:pPr>
            <w:r>
              <w:rPr>
                <w:rFonts w:hint="eastAsia" w:ascii="Calibri" w:hAnsi="宋体" w:eastAsia="宋体" w:cs="宋体"/>
                <w:sz w:val="21"/>
              </w:rPr>
              <w:t>第6条分值为5分，其余每条分值为3分，</w:t>
            </w:r>
            <w:r>
              <w:rPr>
                <w:rFonts w:hint="eastAsia" w:hAnsi="宋体" w:cs="宋体"/>
                <w:sz w:val="21"/>
              </w:rPr>
              <w:t>每条中出现一次不符合，按严重程度扣0.1-1分，</w:t>
            </w:r>
            <w:r>
              <w:rPr>
                <w:rFonts w:hint="eastAsia" w:ascii="Calibri" w:hAnsi="宋体" w:eastAsia="宋体" w:cs="宋体"/>
                <w:sz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5" w:type="pct"/>
            <w:shd w:val="clear" w:color="auto" w:fill="auto"/>
            <w:vAlign w:val="center"/>
          </w:tcPr>
          <w:p>
            <w:pPr>
              <w:spacing w:line="320" w:lineRule="exact"/>
              <w:jc w:val="both"/>
              <w:rPr>
                <w:rFonts w:hAnsi="宋体" w:cs="宋体"/>
                <w:sz w:val="21"/>
              </w:rPr>
            </w:pPr>
            <w:r>
              <w:rPr>
                <w:rFonts w:hint="eastAsia" w:ascii="Calibri" w:hAnsi="宋体" w:eastAsia="宋体" w:cs="宋体"/>
                <w:sz w:val="21"/>
              </w:rPr>
              <w:t>3</w:t>
            </w:r>
          </w:p>
        </w:tc>
        <w:tc>
          <w:tcPr>
            <w:tcW w:w="4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巡</w:t>
            </w:r>
          </w:p>
          <w:p>
            <w:pPr>
              <w:spacing w:line="320" w:lineRule="exact"/>
              <w:jc w:val="both"/>
              <w:rPr>
                <w:rFonts w:hAnsi="宋体" w:cs="宋体"/>
                <w:sz w:val="21"/>
              </w:rPr>
            </w:pPr>
            <w:r>
              <w:rPr>
                <w:rFonts w:hint="eastAsia" w:ascii="Calibri" w:hAnsi="宋体" w:eastAsia="宋体" w:cs="宋体"/>
                <w:sz w:val="21"/>
              </w:rPr>
              <w:t>逻</w:t>
            </w:r>
          </w:p>
          <w:p>
            <w:pPr>
              <w:spacing w:line="320" w:lineRule="exact"/>
              <w:jc w:val="both"/>
              <w:rPr>
                <w:rFonts w:hAnsi="宋体" w:cs="宋体"/>
                <w:sz w:val="21"/>
              </w:rPr>
            </w:pPr>
            <w:r>
              <w:rPr>
                <w:rFonts w:hint="eastAsia" w:ascii="Calibri" w:hAnsi="宋体" w:eastAsia="宋体" w:cs="宋体"/>
                <w:sz w:val="21"/>
              </w:rPr>
              <w:t>岗</w:t>
            </w:r>
          </w:p>
          <w:p>
            <w:pPr>
              <w:spacing w:line="320" w:lineRule="exact"/>
              <w:jc w:val="both"/>
              <w:rPr>
                <w:rFonts w:hAnsi="宋体" w:cs="宋体"/>
                <w:sz w:val="21"/>
              </w:rPr>
            </w:pPr>
            <w:r>
              <w:rPr>
                <w:rFonts w:hint="eastAsia" w:ascii="Calibri" w:hAnsi="宋体" w:eastAsia="宋体" w:cs="宋体"/>
                <w:sz w:val="21"/>
              </w:rPr>
              <w:t>服</w:t>
            </w:r>
          </w:p>
          <w:p>
            <w:pPr>
              <w:spacing w:line="320" w:lineRule="exact"/>
              <w:jc w:val="both"/>
              <w:rPr>
                <w:rFonts w:hAnsi="宋体" w:cs="宋体"/>
                <w:sz w:val="21"/>
              </w:rPr>
            </w:pPr>
            <w:r>
              <w:rPr>
                <w:rFonts w:hint="eastAsia" w:ascii="Calibri" w:hAnsi="宋体" w:eastAsia="宋体" w:cs="宋体"/>
                <w:sz w:val="21"/>
              </w:rPr>
              <w:t>务</w:t>
            </w:r>
          </w:p>
        </w:tc>
        <w:tc>
          <w:tcPr>
            <w:tcW w:w="2434"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spacing w:line="320" w:lineRule="exact"/>
              <w:jc w:val="both"/>
              <w:rPr>
                <w:rFonts w:hAnsi="宋体" w:cs="宋体"/>
                <w:color w:val="000000"/>
                <w:sz w:val="21"/>
              </w:rPr>
            </w:pPr>
            <w:r>
              <w:rPr>
                <w:rFonts w:ascii="Calibri" w:hAnsi="宋体" w:eastAsia="宋体" w:cs="宋体"/>
                <w:sz w:val="21"/>
              </w:rPr>
              <w:t>（</w:t>
            </w:r>
            <w:r>
              <w:rPr>
                <w:rFonts w:hint="eastAsia" w:ascii="Calibri" w:hAnsi="宋体" w:eastAsia="宋体" w:cs="宋体"/>
                <w:sz w:val="21"/>
              </w:rPr>
              <w:t>1</w:t>
            </w:r>
            <w:r>
              <w:rPr>
                <w:rFonts w:ascii="Calibri" w:hAnsi="宋体" w:eastAsia="宋体" w:cs="宋体"/>
                <w:sz w:val="21"/>
              </w:rPr>
              <w:t>）</w:t>
            </w:r>
            <w:r>
              <w:rPr>
                <w:rFonts w:hint="eastAsia" w:ascii="Calibri" w:hAnsi="宋体" w:eastAsia="宋体" w:cs="宋体"/>
                <w:color w:val="000000"/>
                <w:sz w:val="21"/>
              </w:rPr>
              <w:t>安防、消防报警、应急处警5分钟内到达现场；</w:t>
            </w:r>
          </w:p>
          <w:p>
            <w:pPr>
              <w:widowControl w:val="0"/>
              <w:spacing w:line="320" w:lineRule="exact"/>
              <w:jc w:val="both"/>
              <w:rPr>
                <w:rFonts w:hAnsi="宋体" w:cs="宋体"/>
                <w:color w:val="000000"/>
                <w:sz w:val="21"/>
              </w:rPr>
            </w:pPr>
            <w:r>
              <w:rPr>
                <w:rFonts w:ascii="Calibri" w:hAnsi="宋体" w:eastAsia="宋体" w:cs="宋体"/>
                <w:sz w:val="21"/>
              </w:rPr>
              <w:t>（</w:t>
            </w:r>
            <w:r>
              <w:rPr>
                <w:rFonts w:hint="eastAsia" w:ascii="Calibri" w:hAnsi="宋体" w:eastAsia="宋体" w:cs="宋体"/>
                <w:sz w:val="21"/>
              </w:rPr>
              <w:t>2</w:t>
            </w:r>
            <w:r>
              <w:rPr>
                <w:rFonts w:ascii="Calibri" w:hAnsi="宋体" w:eastAsia="宋体" w:cs="宋体"/>
                <w:sz w:val="21"/>
              </w:rPr>
              <w:t>）</w:t>
            </w:r>
            <w:r>
              <w:rPr>
                <w:rFonts w:hint="eastAsia" w:ascii="Calibri" w:hAnsi="宋体" w:eastAsia="宋体" w:cs="宋体"/>
                <w:color w:val="000000"/>
                <w:sz w:val="21"/>
              </w:rPr>
              <w:t>按规定巡逻路线和频次对辖区内进行巡逻，巡逻内容包括：辖区内治安、公共设施设备、设备房、消防器材等，发现的问题或处理的事件，认真详尽的记录，对存在的问题及时向领导汇报；</w:t>
            </w:r>
          </w:p>
          <w:p>
            <w:pPr>
              <w:widowControl w:val="0"/>
              <w:spacing w:line="320" w:lineRule="exact"/>
              <w:jc w:val="both"/>
              <w:rPr>
                <w:rFonts w:hAnsi="宋体" w:cs="宋体"/>
                <w:color w:val="000000"/>
                <w:sz w:val="21"/>
              </w:rPr>
            </w:pPr>
            <w:r>
              <w:rPr>
                <w:rFonts w:ascii="Calibri" w:hAnsi="宋体" w:eastAsia="宋体" w:cs="宋体"/>
                <w:sz w:val="21"/>
              </w:rPr>
              <w:t>（</w:t>
            </w:r>
            <w:r>
              <w:rPr>
                <w:rFonts w:hint="eastAsia" w:ascii="Calibri" w:hAnsi="宋体" w:eastAsia="宋体" w:cs="宋体"/>
                <w:sz w:val="21"/>
              </w:rPr>
              <w:t>3</w:t>
            </w:r>
            <w:r>
              <w:rPr>
                <w:rFonts w:ascii="Calibri" w:hAnsi="宋体" w:eastAsia="宋体" w:cs="宋体"/>
                <w:sz w:val="21"/>
              </w:rPr>
              <w:t>）</w:t>
            </w:r>
            <w:r>
              <w:rPr>
                <w:rFonts w:hint="eastAsia" w:ascii="Calibri" w:hAnsi="宋体" w:eastAsia="宋体" w:cs="宋体"/>
                <w:color w:val="000000"/>
                <w:sz w:val="21"/>
              </w:rPr>
              <w:t>巡逻应做到“四勤”：即脚勤、手勤、眼勤、脑勤；</w:t>
            </w:r>
          </w:p>
          <w:p>
            <w:pPr>
              <w:widowControl w:val="0"/>
              <w:spacing w:line="320" w:lineRule="exact"/>
              <w:jc w:val="both"/>
              <w:rPr>
                <w:rFonts w:hAnsi="宋体" w:cs="宋体"/>
                <w:color w:val="000000"/>
                <w:sz w:val="21"/>
              </w:rPr>
            </w:pPr>
            <w:r>
              <w:rPr>
                <w:rFonts w:ascii="Calibri" w:hAnsi="宋体" w:eastAsia="宋体" w:cs="宋体"/>
                <w:sz w:val="21"/>
              </w:rPr>
              <w:t>（</w:t>
            </w:r>
            <w:r>
              <w:rPr>
                <w:rFonts w:hint="eastAsia" w:ascii="Calibri" w:hAnsi="宋体" w:eastAsia="宋体" w:cs="宋体"/>
                <w:sz w:val="21"/>
              </w:rPr>
              <w:t>4</w:t>
            </w:r>
            <w:r>
              <w:rPr>
                <w:rFonts w:ascii="Calibri" w:hAnsi="宋体" w:eastAsia="宋体" w:cs="宋体"/>
                <w:sz w:val="21"/>
              </w:rPr>
              <w:t>）</w:t>
            </w:r>
            <w:r>
              <w:rPr>
                <w:rFonts w:hint="eastAsia" w:ascii="Calibri" w:hAnsi="宋体" w:eastAsia="宋体" w:cs="宋体"/>
                <w:color w:val="000000"/>
                <w:sz w:val="21"/>
              </w:rPr>
              <w:t>发现可疑人员及可疑情况，要进行盘问和检查，及时报告；</w:t>
            </w:r>
          </w:p>
          <w:p>
            <w:pPr>
              <w:widowControl w:val="0"/>
              <w:spacing w:line="320" w:lineRule="exact"/>
              <w:jc w:val="both"/>
              <w:rPr>
                <w:rFonts w:hAnsi="宋体" w:cs="宋体"/>
                <w:color w:val="000000"/>
                <w:sz w:val="21"/>
              </w:rPr>
            </w:pPr>
            <w:r>
              <w:rPr>
                <w:rFonts w:ascii="Calibri" w:hAnsi="宋体" w:eastAsia="宋体" w:cs="宋体"/>
                <w:sz w:val="21"/>
              </w:rPr>
              <w:t>（</w:t>
            </w:r>
            <w:r>
              <w:rPr>
                <w:rFonts w:hint="eastAsia" w:ascii="Calibri" w:hAnsi="宋体" w:eastAsia="宋体" w:cs="宋体"/>
                <w:sz w:val="21"/>
              </w:rPr>
              <w:t>5</w:t>
            </w:r>
            <w:r>
              <w:rPr>
                <w:rFonts w:ascii="Calibri" w:hAnsi="宋体" w:eastAsia="宋体" w:cs="宋体"/>
                <w:sz w:val="21"/>
              </w:rPr>
              <w:t>）</w:t>
            </w:r>
            <w:r>
              <w:rPr>
                <w:rFonts w:hint="eastAsia" w:ascii="Calibri" w:hAnsi="宋体" w:eastAsia="宋体" w:cs="宋体"/>
                <w:color w:val="000000"/>
                <w:sz w:val="21"/>
              </w:rPr>
              <w:t>在公共场所拾获物品要及时上交领导。</w:t>
            </w:r>
          </w:p>
        </w:tc>
        <w:tc>
          <w:tcPr>
            <w:tcW w:w="410"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25</w:t>
            </w:r>
          </w:p>
        </w:tc>
        <w:tc>
          <w:tcPr>
            <w:tcW w:w="1240" w:type="pct"/>
            <w:shd w:val="clear" w:color="auto" w:fill="auto"/>
            <w:vAlign w:val="center"/>
          </w:tcPr>
          <w:p>
            <w:pPr>
              <w:spacing w:line="320" w:lineRule="exact"/>
              <w:jc w:val="both"/>
              <w:rPr>
                <w:rFonts w:hAnsi="宋体" w:cs="宋体"/>
                <w:sz w:val="21"/>
              </w:rPr>
            </w:pPr>
            <w:r>
              <w:rPr>
                <w:rFonts w:hint="eastAsia" w:ascii="Calibri" w:hAnsi="宋体" w:eastAsia="宋体" w:cs="宋体"/>
                <w:sz w:val="21"/>
              </w:rPr>
              <w:t>每条分值为5分，</w:t>
            </w:r>
            <w:r>
              <w:rPr>
                <w:rFonts w:hint="eastAsia" w:hAnsi="宋体" w:cs="宋体"/>
                <w:sz w:val="21"/>
              </w:rPr>
              <w:t>每条中出现一次不符合，按严重程度扣0.1-1分，</w:t>
            </w:r>
            <w:r>
              <w:rPr>
                <w:rFonts w:hint="eastAsia" w:ascii="Calibri" w:hAnsi="宋体" w:eastAsia="宋体" w:cs="宋体"/>
                <w:sz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5" w:type="pct"/>
            <w:shd w:val="clear" w:color="auto" w:fill="auto"/>
            <w:vAlign w:val="center"/>
          </w:tcPr>
          <w:p>
            <w:pPr>
              <w:spacing w:line="320" w:lineRule="exact"/>
              <w:jc w:val="both"/>
              <w:rPr>
                <w:rFonts w:hAnsi="宋体" w:cs="宋体"/>
                <w:sz w:val="21"/>
              </w:rPr>
            </w:pPr>
            <w:r>
              <w:rPr>
                <w:rFonts w:hint="eastAsia" w:ascii="Calibri" w:hAnsi="宋体" w:eastAsia="宋体" w:cs="宋体"/>
                <w:sz w:val="21"/>
              </w:rPr>
              <w:t>4</w:t>
            </w:r>
          </w:p>
        </w:tc>
        <w:tc>
          <w:tcPr>
            <w:tcW w:w="4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总</w:t>
            </w:r>
          </w:p>
          <w:p>
            <w:pPr>
              <w:spacing w:line="320" w:lineRule="exact"/>
              <w:jc w:val="both"/>
              <w:rPr>
                <w:rFonts w:hAnsi="宋体" w:cs="宋体"/>
                <w:sz w:val="21"/>
              </w:rPr>
            </w:pPr>
            <w:r>
              <w:rPr>
                <w:rFonts w:hint="eastAsia" w:ascii="Calibri" w:hAnsi="宋体" w:eastAsia="宋体" w:cs="宋体"/>
                <w:sz w:val="21"/>
              </w:rPr>
              <w:t>控</w:t>
            </w:r>
          </w:p>
          <w:p>
            <w:pPr>
              <w:spacing w:line="320" w:lineRule="exact"/>
              <w:jc w:val="both"/>
              <w:rPr>
                <w:rFonts w:hAnsi="宋体" w:cs="宋体"/>
                <w:sz w:val="21"/>
              </w:rPr>
            </w:pPr>
            <w:r>
              <w:rPr>
                <w:rFonts w:hint="eastAsia" w:ascii="Calibri" w:hAnsi="宋体" w:eastAsia="宋体" w:cs="宋体"/>
                <w:sz w:val="21"/>
              </w:rPr>
              <w:t>消</w:t>
            </w:r>
          </w:p>
          <w:p>
            <w:pPr>
              <w:spacing w:line="320" w:lineRule="exact"/>
              <w:jc w:val="both"/>
              <w:rPr>
                <w:rFonts w:hAnsi="宋体" w:cs="宋体"/>
                <w:sz w:val="21"/>
              </w:rPr>
            </w:pPr>
            <w:r>
              <w:rPr>
                <w:rFonts w:hint="eastAsia" w:ascii="Calibri" w:hAnsi="宋体" w:eastAsia="宋体" w:cs="宋体"/>
                <w:sz w:val="21"/>
              </w:rPr>
              <w:t>防</w:t>
            </w:r>
          </w:p>
          <w:p>
            <w:pPr>
              <w:spacing w:line="320" w:lineRule="exact"/>
              <w:jc w:val="both"/>
              <w:rPr>
                <w:rFonts w:hAnsi="宋体" w:cs="宋体"/>
                <w:sz w:val="21"/>
              </w:rPr>
            </w:pPr>
            <w:r>
              <w:rPr>
                <w:rFonts w:hint="eastAsia" w:ascii="Calibri" w:hAnsi="宋体" w:eastAsia="宋体" w:cs="宋体"/>
                <w:sz w:val="21"/>
              </w:rPr>
              <w:t>岗</w:t>
            </w:r>
          </w:p>
          <w:p>
            <w:pPr>
              <w:spacing w:line="320" w:lineRule="exact"/>
              <w:jc w:val="both"/>
              <w:rPr>
                <w:rFonts w:hAnsi="宋体" w:cs="宋体"/>
                <w:sz w:val="21"/>
              </w:rPr>
            </w:pPr>
            <w:r>
              <w:rPr>
                <w:rFonts w:hint="eastAsia" w:ascii="Calibri" w:hAnsi="宋体" w:eastAsia="宋体" w:cs="宋体"/>
                <w:sz w:val="21"/>
              </w:rPr>
              <w:t>服</w:t>
            </w:r>
          </w:p>
          <w:p>
            <w:pPr>
              <w:spacing w:line="320" w:lineRule="exact"/>
              <w:jc w:val="both"/>
              <w:rPr>
                <w:rFonts w:hAnsi="宋体" w:cs="宋体"/>
                <w:sz w:val="21"/>
              </w:rPr>
            </w:pPr>
            <w:r>
              <w:rPr>
                <w:rFonts w:hint="eastAsia" w:ascii="Calibri" w:hAnsi="宋体" w:eastAsia="宋体" w:cs="宋体"/>
                <w:sz w:val="21"/>
              </w:rPr>
              <w:t>务</w:t>
            </w:r>
          </w:p>
        </w:tc>
        <w:tc>
          <w:tcPr>
            <w:tcW w:w="2434"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spacing w:line="320" w:lineRule="exact"/>
              <w:jc w:val="both"/>
              <w:rPr>
                <w:rFonts w:hAnsi="宋体" w:cs="宋体"/>
                <w:color w:val="000000"/>
                <w:sz w:val="21"/>
              </w:rPr>
            </w:pPr>
            <w:r>
              <w:rPr>
                <w:rFonts w:ascii="Calibri" w:hAnsi="宋体" w:eastAsia="宋体" w:cs="宋体"/>
                <w:sz w:val="21"/>
              </w:rPr>
              <w:t>（</w:t>
            </w:r>
            <w:r>
              <w:rPr>
                <w:rFonts w:hint="eastAsia" w:ascii="Calibri" w:hAnsi="宋体" w:eastAsia="宋体" w:cs="宋体"/>
                <w:sz w:val="21"/>
              </w:rPr>
              <w:t>1</w:t>
            </w:r>
            <w:r>
              <w:rPr>
                <w:rFonts w:ascii="Calibri" w:hAnsi="宋体" w:eastAsia="宋体" w:cs="宋体"/>
                <w:sz w:val="21"/>
              </w:rPr>
              <w:t>）</w:t>
            </w:r>
            <w:r>
              <w:rPr>
                <w:rFonts w:hint="eastAsia" w:ascii="Calibri" w:hAnsi="宋体" w:eastAsia="宋体" w:cs="宋体"/>
                <w:color w:val="000000"/>
                <w:sz w:val="21"/>
              </w:rPr>
              <w:t>各项记录填写完整；</w:t>
            </w:r>
          </w:p>
          <w:p>
            <w:pPr>
              <w:widowControl w:val="0"/>
              <w:spacing w:line="320" w:lineRule="exact"/>
              <w:jc w:val="both"/>
              <w:rPr>
                <w:rFonts w:hAnsi="宋体" w:cs="宋体"/>
                <w:color w:val="000000"/>
                <w:sz w:val="21"/>
              </w:rPr>
            </w:pPr>
            <w:r>
              <w:rPr>
                <w:rFonts w:ascii="Calibri" w:hAnsi="宋体" w:eastAsia="宋体" w:cs="宋体"/>
                <w:sz w:val="21"/>
              </w:rPr>
              <w:t>（</w:t>
            </w:r>
            <w:r>
              <w:rPr>
                <w:rFonts w:hint="eastAsia" w:ascii="Calibri" w:hAnsi="宋体" w:eastAsia="宋体" w:cs="宋体"/>
                <w:sz w:val="21"/>
              </w:rPr>
              <w:t>2</w:t>
            </w:r>
            <w:r>
              <w:rPr>
                <w:rFonts w:ascii="Calibri" w:hAnsi="宋体" w:eastAsia="宋体" w:cs="宋体"/>
                <w:sz w:val="21"/>
              </w:rPr>
              <w:t>）</w:t>
            </w:r>
            <w:r>
              <w:rPr>
                <w:rFonts w:hint="eastAsia" w:ascii="Calibri" w:hAnsi="宋体" w:eastAsia="宋体" w:cs="宋体"/>
                <w:color w:val="000000"/>
                <w:sz w:val="21"/>
              </w:rPr>
              <w:t>对消防中控设备中发现的报警、设备故障等情况及时处理，当场不能处理的及时通知上报相关领导，确保各类设备处于正常状态。</w:t>
            </w:r>
          </w:p>
        </w:tc>
        <w:tc>
          <w:tcPr>
            <w:tcW w:w="410"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10</w:t>
            </w:r>
          </w:p>
        </w:tc>
        <w:tc>
          <w:tcPr>
            <w:tcW w:w="1240" w:type="pct"/>
            <w:shd w:val="clear" w:color="auto" w:fill="auto"/>
            <w:vAlign w:val="center"/>
          </w:tcPr>
          <w:p>
            <w:pPr>
              <w:spacing w:line="320" w:lineRule="exact"/>
              <w:jc w:val="both"/>
              <w:rPr>
                <w:rFonts w:hAnsi="宋体" w:cs="宋体"/>
                <w:sz w:val="21"/>
              </w:rPr>
            </w:pPr>
            <w:r>
              <w:rPr>
                <w:rFonts w:hint="eastAsia" w:ascii="Calibri" w:hAnsi="宋体" w:eastAsia="宋体" w:cs="宋体"/>
                <w:sz w:val="21"/>
              </w:rPr>
              <w:t>每条分值为5分，</w:t>
            </w:r>
            <w:r>
              <w:rPr>
                <w:rFonts w:hint="eastAsia" w:hAnsi="宋体" w:cs="宋体"/>
                <w:sz w:val="21"/>
              </w:rPr>
              <w:t>每条中出现一次不符合，按严重程度扣0.1-1分，</w:t>
            </w:r>
            <w:r>
              <w:rPr>
                <w:rFonts w:hint="eastAsia" w:ascii="Calibri" w:hAnsi="宋体" w:eastAsia="宋体" w:cs="宋体"/>
                <w:sz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5" w:type="pct"/>
            <w:shd w:val="clear" w:color="auto" w:fill="auto"/>
            <w:vAlign w:val="center"/>
          </w:tcPr>
          <w:p>
            <w:pPr>
              <w:spacing w:line="320" w:lineRule="exact"/>
              <w:jc w:val="both"/>
              <w:rPr>
                <w:rFonts w:hAnsi="宋体" w:cs="宋体"/>
                <w:sz w:val="21"/>
              </w:rPr>
            </w:pPr>
            <w:r>
              <w:rPr>
                <w:rFonts w:hint="eastAsia" w:ascii="Calibri" w:hAnsi="宋体" w:eastAsia="宋体" w:cs="宋体"/>
                <w:sz w:val="21"/>
              </w:rPr>
              <w:t>5</w:t>
            </w:r>
          </w:p>
        </w:tc>
        <w:tc>
          <w:tcPr>
            <w:tcW w:w="4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消</w:t>
            </w:r>
          </w:p>
          <w:p>
            <w:pPr>
              <w:spacing w:line="320" w:lineRule="exact"/>
              <w:jc w:val="both"/>
              <w:rPr>
                <w:rFonts w:hAnsi="宋体" w:cs="宋体"/>
                <w:sz w:val="21"/>
              </w:rPr>
            </w:pPr>
            <w:r>
              <w:rPr>
                <w:rFonts w:hint="eastAsia" w:ascii="Calibri" w:hAnsi="宋体" w:eastAsia="宋体" w:cs="宋体"/>
                <w:sz w:val="21"/>
              </w:rPr>
              <w:t>防</w:t>
            </w:r>
          </w:p>
          <w:p>
            <w:pPr>
              <w:spacing w:line="320" w:lineRule="exact"/>
              <w:jc w:val="both"/>
              <w:rPr>
                <w:rFonts w:hAnsi="宋体" w:cs="宋体"/>
                <w:sz w:val="21"/>
              </w:rPr>
            </w:pPr>
            <w:r>
              <w:rPr>
                <w:rFonts w:hint="eastAsia" w:ascii="Calibri" w:hAnsi="宋体" w:eastAsia="宋体" w:cs="宋体"/>
                <w:sz w:val="21"/>
              </w:rPr>
              <w:t>系</w:t>
            </w:r>
          </w:p>
          <w:p>
            <w:pPr>
              <w:spacing w:line="320" w:lineRule="exact"/>
              <w:jc w:val="both"/>
              <w:rPr>
                <w:rFonts w:hAnsi="宋体" w:cs="宋体"/>
                <w:sz w:val="21"/>
              </w:rPr>
            </w:pPr>
            <w:r>
              <w:rPr>
                <w:rFonts w:hint="eastAsia" w:ascii="Calibri" w:hAnsi="宋体" w:eastAsia="宋体" w:cs="宋体"/>
                <w:sz w:val="21"/>
              </w:rPr>
              <w:t>统</w:t>
            </w:r>
          </w:p>
          <w:p>
            <w:pPr>
              <w:spacing w:line="320" w:lineRule="exact"/>
              <w:jc w:val="both"/>
              <w:rPr>
                <w:rFonts w:hAnsi="宋体" w:cs="宋体"/>
                <w:sz w:val="21"/>
              </w:rPr>
            </w:pPr>
            <w:r>
              <w:rPr>
                <w:rFonts w:hint="eastAsia" w:ascii="Calibri" w:hAnsi="宋体" w:eastAsia="宋体" w:cs="宋体"/>
                <w:sz w:val="21"/>
              </w:rPr>
              <w:t>运</w:t>
            </w:r>
          </w:p>
          <w:p>
            <w:pPr>
              <w:spacing w:line="320" w:lineRule="exact"/>
              <w:jc w:val="both"/>
              <w:rPr>
                <w:rFonts w:hAnsi="宋体" w:cs="宋体"/>
                <w:sz w:val="21"/>
              </w:rPr>
            </w:pPr>
            <w:r>
              <w:rPr>
                <w:rFonts w:hint="eastAsia" w:ascii="Calibri" w:hAnsi="宋体" w:eastAsia="宋体" w:cs="宋体"/>
                <w:sz w:val="21"/>
              </w:rPr>
              <w:t>行</w:t>
            </w:r>
          </w:p>
          <w:p>
            <w:pPr>
              <w:spacing w:line="320" w:lineRule="exact"/>
              <w:jc w:val="both"/>
              <w:rPr>
                <w:rFonts w:hAnsi="宋体" w:cs="宋体"/>
                <w:sz w:val="21"/>
              </w:rPr>
            </w:pPr>
            <w:r>
              <w:rPr>
                <w:rFonts w:hint="eastAsia" w:ascii="Calibri" w:hAnsi="宋体" w:eastAsia="宋体" w:cs="宋体"/>
                <w:sz w:val="21"/>
              </w:rPr>
              <w:t>维</w:t>
            </w:r>
          </w:p>
          <w:p>
            <w:pPr>
              <w:spacing w:line="320" w:lineRule="exact"/>
              <w:jc w:val="both"/>
              <w:rPr>
                <w:rFonts w:hAnsi="宋体" w:cs="宋体"/>
                <w:sz w:val="21"/>
              </w:rPr>
            </w:pPr>
            <w:r>
              <w:rPr>
                <w:rFonts w:hint="eastAsia" w:ascii="Calibri" w:hAnsi="宋体" w:eastAsia="宋体" w:cs="宋体"/>
                <w:sz w:val="21"/>
              </w:rPr>
              <w:t>护</w:t>
            </w:r>
          </w:p>
        </w:tc>
        <w:tc>
          <w:tcPr>
            <w:tcW w:w="2434"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spacing w:line="320" w:lineRule="exact"/>
              <w:jc w:val="both"/>
              <w:rPr>
                <w:rFonts w:hAnsi="宋体" w:cs="宋体"/>
                <w:sz w:val="21"/>
              </w:rPr>
            </w:pPr>
            <w:r>
              <w:rPr>
                <w:rFonts w:ascii="Calibri" w:hAnsi="宋体" w:eastAsia="宋体" w:cs="宋体"/>
                <w:sz w:val="21"/>
              </w:rPr>
              <w:t>（</w:t>
            </w:r>
            <w:r>
              <w:rPr>
                <w:rFonts w:hint="eastAsia" w:ascii="Calibri" w:hAnsi="宋体" w:eastAsia="宋体" w:cs="宋体"/>
                <w:sz w:val="21"/>
              </w:rPr>
              <w:t>1</w:t>
            </w:r>
            <w:r>
              <w:rPr>
                <w:rFonts w:ascii="Calibri" w:hAnsi="宋体" w:eastAsia="宋体" w:cs="宋体"/>
                <w:sz w:val="21"/>
              </w:rPr>
              <w:t>）</w:t>
            </w:r>
            <w:r>
              <w:rPr>
                <w:rFonts w:hint="eastAsia" w:ascii="Calibri" w:hAnsi="宋体" w:eastAsia="宋体" w:cs="宋体"/>
                <w:color w:val="000000"/>
                <w:sz w:val="21"/>
              </w:rPr>
              <w:t>实行全天24小时执勤服务</w:t>
            </w:r>
            <w:r>
              <w:rPr>
                <w:rFonts w:hint="eastAsia" w:hAnsi="宋体" w:cs="宋体"/>
                <w:color w:val="000000"/>
                <w:sz w:val="21"/>
              </w:rPr>
              <w:t>，</w:t>
            </w:r>
            <w:r>
              <w:rPr>
                <w:rFonts w:hint="eastAsia" w:ascii="Calibri" w:hAnsi="宋体" w:eastAsia="宋体" w:cs="宋体"/>
                <w:sz w:val="21"/>
              </w:rPr>
              <w:t>各项巡查记录填写规范、及时；</w:t>
            </w:r>
          </w:p>
          <w:p>
            <w:pPr>
              <w:widowControl w:val="0"/>
              <w:spacing w:line="320" w:lineRule="exact"/>
              <w:jc w:val="both"/>
              <w:rPr>
                <w:rFonts w:hAnsi="宋体" w:cs="宋体"/>
                <w:sz w:val="21"/>
              </w:rPr>
            </w:pPr>
            <w:r>
              <w:rPr>
                <w:rFonts w:ascii="Calibri" w:hAnsi="宋体" w:eastAsia="宋体" w:cs="宋体"/>
                <w:sz w:val="21"/>
              </w:rPr>
              <w:t>（</w:t>
            </w:r>
            <w:r>
              <w:rPr>
                <w:rFonts w:hint="eastAsia" w:ascii="Calibri" w:hAnsi="宋体" w:eastAsia="宋体" w:cs="宋体"/>
                <w:sz w:val="21"/>
              </w:rPr>
              <w:t>2</w:t>
            </w:r>
            <w:r>
              <w:rPr>
                <w:rFonts w:ascii="Calibri" w:hAnsi="宋体" w:eastAsia="宋体" w:cs="宋体"/>
                <w:sz w:val="21"/>
              </w:rPr>
              <w:t>）</w:t>
            </w:r>
            <w:r>
              <w:rPr>
                <w:rFonts w:hint="eastAsia" w:ascii="Calibri" w:hAnsi="宋体" w:eastAsia="宋体" w:cs="宋体"/>
                <w:sz w:val="21"/>
              </w:rPr>
              <w:t>给水、消防水泵完好，工作正常；</w:t>
            </w:r>
          </w:p>
          <w:p>
            <w:pPr>
              <w:widowControl w:val="0"/>
              <w:spacing w:line="320" w:lineRule="exact"/>
              <w:jc w:val="both"/>
              <w:rPr>
                <w:rFonts w:hAnsi="宋体" w:cs="宋体"/>
                <w:sz w:val="21"/>
              </w:rPr>
            </w:pPr>
            <w:r>
              <w:rPr>
                <w:rFonts w:ascii="Calibri" w:hAnsi="宋体" w:eastAsia="宋体" w:cs="宋体"/>
                <w:sz w:val="21"/>
              </w:rPr>
              <w:t>（</w:t>
            </w:r>
            <w:r>
              <w:rPr>
                <w:rFonts w:hint="eastAsia" w:ascii="Calibri" w:hAnsi="宋体" w:eastAsia="宋体" w:cs="宋体"/>
                <w:sz w:val="21"/>
              </w:rPr>
              <w:t>3</w:t>
            </w:r>
            <w:r>
              <w:rPr>
                <w:rFonts w:ascii="Calibri" w:hAnsi="宋体" w:eastAsia="宋体" w:cs="宋体"/>
                <w:sz w:val="21"/>
              </w:rPr>
              <w:t>）</w:t>
            </w:r>
            <w:r>
              <w:rPr>
                <w:rFonts w:hint="eastAsia" w:ascii="Calibri" w:hAnsi="宋体" w:eastAsia="宋体" w:cs="宋体"/>
                <w:sz w:val="21"/>
              </w:rPr>
              <w:t>各类阀门完好，无漏水现象；</w:t>
            </w:r>
          </w:p>
          <w:p>
            <w:pPr>
              <w:widowControl w:val="0"/>
              <w:spacing w:line="320" w:lineRule="exact"/>
              <w:jc w:val="both"/>
              <w:rPr>
                <w:rFonts w:hAnsi="宋体" w:cs="宋体"/>
                <w:sz w:val="21"/>
              </w:rPr>
            </w:pPr>
            <w:r>
              <w:rPr>
                <w:rFonts w:ascii="Calibri" w:hAnsi="宋体" w:eastAsia="宋体" w:cs="宋体"/>
                <w:sz w:val="21"/>
              </w:rPr>
              <w:t>（</w:t>
            </w:r>
            <w:r>
              <w:rPr>
                <w:rFonts w:hint="eastAsia" w:ascii="Calibri" w:hAnsi="宋体" w:eastAsia="宋体" w:cs="宋体"/>
                <w:sz w:val="21"/>
              </w:rPr>
              <w:t>4</w:t>
            </w:r>
            <w:r>
              <w:rPr>
                <w:rFonts w:ascii="Calibri" w:hAnsi="宋体" w:eastAsia="宋体" w:cs="宋体"/>
                <w:sz w:val="21"/>
              </w:rPr>
              <w:t>）</w:t>
            </w:r>
            <w:r>
              <w:rPr>
                <w:rFonts w:hint="eastAsia" w:ascii="Calibri" w:hAnsi="宋体" w:eastAsia="宋体" w:cs="宋体"/>
                <w:sz w:val="21"/>
              </w:rPr>
              <w:t>控制电箱整洁无尘，线路整齐接口无松动；</w:t>
            </w:r>
          </w:p>
          <w:p>
            <w:pPr>
              <w:widowControl w:val="0"/>
              <w:spacing w:line="320" w:lineRule="exact"/>
              <w:jc w:val="both"/>
              <w:rPr>
                <w:rFonts w:hAnsi="宋体" w:cs="宋体"/>
                <w:sz w:val="21"/>
              </w:rPr>
            </w:pPr>
            <w:r>
              <w:rPr>
                <w:rFonts w:ascii="Calibri" w:hAnsi="宋体" w:eastAsia="宋体" w:cs="宋体"/>
                <w:sz w:val="21"/>
              </w:rPr>
              <w:t>（</w:t>
            </w:r>
            <w:r>
              <w:rPr>
                <w:rFonts w:hint="eastAsia" w:ascii="Calibri" w:hAnsi="宋体" w:eastAsia="宋体" w:cs="宋体"/>
                <w:sz w:val="21"/>
              </w:rPr>
              <w:t>5</w:t>
            </w:r>
            <w:r>
              <w:rPr>
                <w:rFonts w:ascii="Calibri" w:hAnsi="宋体" w:eastAsia="宋体" w:cs="宋体"/>
                <w:sz w:val="21"/>
              </w:rPr>
              <w:t>）</w:t>
            </w:r>
            <w:r>
              <w:rPr>
                <w:rFonts w:hint="eastAsia" w:ascii="Calibri" w:hAnsi="宋体" w:eastAsia="宋体" w:cs="宋体"/>
                <w:sz w:val="21"/>
              </w:rPr>
              <w:t>消防管道，工作状态有明显标识；</w:t>
            </w:r>
          </w:p>
          <w:p>
            <w:pPr>
              <w:widowControl w:val="0"/>
              <w:spacing w:line="320" w:lineRule="exact"/>
              <w:jc w:val="both"/>
              <w:rPr>
                <w:rFonts w:hAnsi="宋体" w:cs="宋体"/>
                <w:color w:val="000000"/>
                <w:sz w:val="21"/>
              </w:rPr>
            </w:pPr>
            <w:r>
              <w:rPr>
                <w:rFonts w:ascii="Calibri" w:hAnsi="宋体" w:eastAsia="宋体" w:cs="宋体"/>
                <w:sz w:val="21"/>
              </w:rPr>
              <w:t>（</w:t>
            </w:r>
            <w:r>
              <w:rPr>
                <w:rFonts w:hint="eastAsia" w:ascii="Calibri" w:hAnsi="宋体" w:eastAsia="宋体" w:cs="宋体"/>
                <w:sz w:val="21"/>
              </w:rPr>
              <w:t>6</w:t>
            </w:r>
            <w:r>
              <w:rPr>
                <w:rFonts w:ascii="Calibri" w:hAnsi="宋体" w:eastAsia="宋体" w:cs="宋体"/>
                <w:sz w:val="21"/>
              </w:rPr>
              <w:t>）</w:t>
            </w:r>
            <w:r>
              <w:rPr>
                <w:rFonts w:hint="eastAsia" w:ascii="Calibri" w:hAnsi="宋体" w:eastAsia="宋体" w:cs="宋体"/>
                <w:sz w:val="21"/>
              </w:rPr>
              <w:t>应急疏散照明和应急疏散标示完好。</w:t>
            </w:r>
          </w:p>
        </w:tc>
        <w:tc>
          <w:tcPr>
            <w:tcW w:w="410"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12</w:t>
            </w:r>
          </w:p>
        </w:tc>
        <w:tc>
          <w:tcPr>
            <w:tcW w:w="1240" w:type="pct"/>
            <w:shd w:val="clear" w:color="auto" w:fill="auto"/>
            <w:vAlign w:val="center"/>
          </w:tcPr>
          <w:p>
            <w:pPr>
              <w:spacing w:line="320" w:lineRule="exact"/>
              <w:jc w:val="both"/>
              <w:rPr>
                <w:rFonts w:hAnsi="宋体" w:cs="宋体"/>
                <w:sz w:val="21"/>
              </w:rPr>
            </w:pPr>
            <w:r>
              <w:rPr>
                <w:rFonts w:hint="eastAsia" w:ascii="Calibri" w:hAnsi="宋体" w:eastAsia="宋体" w:cs="宋体"/>
                <w:sz w:val="21"/>
              </w:rPr>
              <w:t>每条分值为2分，</w:t>
            </w:r>
            <w:r>
              <w:rPr>
                <w:rFonts w:hint="eastAsia" w:hAnsi="宋体" w:cs="宋体"/>
                <w:sz w:val="21"/>
              </w:rPr>
              <w:t>每条中出现一次不符合，按严重程度扣0.1-1分，</w:t>
            </w:r>
            <w:r>
              <w:rPr>
                <w:rFonts w:hint="eastAsia" w:ascii="Calibri" w:hAnsi="宋体" w:eastAsia="宋体" w:cs="宋体"/>
                <w:sz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5" w:type="pct"/>
            <w:vMerge w:val="restart"/>
            <w:shd w:val="clear" w:color="auto" w:fill="auto"/>
            <w:vAlign w:val="center"/>
          </w:tcPr>
          <w:p>
            <w:pPr>
              <w:spacing w:line="320" w:lineRule="exact"/>
              <w:jc w:val="both"/>
              <w:rPr>
                <w:rFonts w:hAnsi="宋体" w:cs="宋体"/>
                <w:sz w:val="21"/>
              </w:rPr>
            </w:pPr>
            <w:r>
              <w:rPr>
                <w:rFonts w:hint="eastAsia" w:ascii="Calibri" w:hAnsi="宋体" w:eastAsia="宋体" w:cs="宋体"/>
                <w:sz w:val="21"/>
              </w:rPr>
              <w:t>6</w:t>
            </w:r>
          </w:p>
        </w:tc>
        <w:tc>
          <w:tcPr>
            <w:tcW w:w="431" w:type="pct"/>
            <w:vMerge w:val="restar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车辆管理</w:t>
            </w:r>
          </w:p>
        </w:tc>
        <w:tc>
          <w:tcPr>
            <w:tcW w:w="2434" w:type="pct"/>
            <w:tcBorders>
              <w:top w:val="single" w:color="auto" w:sz="2" w:space="0"/>
              <w:left w:val="single" w:color="auto" w:sz="2" w:space="0"/>
              <w:bottom w:val="single" w:color="auto" w:sz="2" w:space="0"/>
              <w:right w:val="single" w:color="auto" w:sz="2" w:space="0"/>
            </w:tcBorders>
            <w:shd w:val="clear" w:color="auto" w:fill="auto"/>
            <w:vAlign w:val="center"/>
          </w:tcPr>
          <w:p>
            <w:pPr>
              <w:widowControl w:val="0"/>
              <w:spacing w:line="320" w:lineRule="exact"/>
              <w:jc w:val="both"/>
              <w:rPr>
                <w:rFonts w:hAnsi="宋体" w:cs="宋体"/>
                <w:sz w:val="21"/>
              </w:rPr>
            </w:pPr>
            <w:r>
              <w:rPr>
                <w:rFonts w:ascii="Calibri" w:hAnsi="宋体" w:eastAsia="宋体" w:cs="宋体"/>
                <w:sz w:val="21"/>
              </w:rPr>
              <w:t>（</w:t>
            </w:r>
            <w:r>
              <w:rPr>
                <w:rFonts w:hint="eastAsia" w:ascii="Calibri" w:hAnsi="宋体" w:eastAsia="宋体" w:cs="宋体"/>
                <w:sz w:val="21"/>
              </w:rPr>
              <w:t>1</w:t>
            </w:r>
            <w:r>
              <w:rPr>
                <w:rFonts w:ascii="Calibri" w:hAnsi="宋体" w:eastAsia="宋体" w:cs="宋体"/>
                <w:sz w:val="21"/>
              </w:rPr>
              <w:t>）</w:t>
            </w:r>
            <w:r>
              <w:rPr>
                <w:rFonts w:hint="eastAsia" w:ascii="Calibri" w:hAnsi="宋体" w:eastAsia="宋体" w:cs="宋体"/>
                <w:sz w:val="21"/>
              </w:rPr>
              <w:t>严格执行车辆出入管理制度，对无出入证车辆进行严格管理，对进入车辆进行有序引导，确保道路畅通。</w:t>
            </w:r>
          </w:p>
          <w:p>
            <w:pPr>
              <w:widowControl w:val="0"/>
              <w:spacing w:line="320" w:lineRule="exact"/>
              <w:jc w:val="both"/>
              <w:rPr>
                <w:rFonts w:hAnsi="宋体" w:cs="宋体"/>
                <w:sz w:val="21"/>
              </w:rPr>
            </w:pPr>
            <w:r>
              <w:rPr>
                <w:rFonts w:ascii="Calibri" w:hAnsi="宋体" w:eastAsia="宋体" w:cs="宋体"/>
                <w:sz w:val="21"/>
              </w:rPr>
              <w:t>（</w:t>
            </w:r>
            <w:r>
              <w:rPr>
                <w:rFonts w:hint="eastAsia" w:ascii="Calibri" w:hAnsi="宋体" w:eastAsia="宋体" w:cs="宋体"/>
                <w:sz w:val="21"/>
              </w:rPr>
              <w:t>2</w:t>
            </w:r>
            <w:r>
              <w:rPr>
                <w:rFonts w:ascii="Calibri" w:hAnsi="宋体" w:eastAsia="宋体" w:cs="宋体"/>
                <w:sz w:val="21"/>
              </w:rPr>
              <w:t>）</w:t>
            </w:r>
            <w:r>
              <w:rPr>
                <w:rFonts w:hint="eastAsia" w:ascii="Calibri" w:hAnsi="宋体" w:eastAsia="宋体" w:cs="宋体"/>
                <w:sz w:val="21"/>
              </w:rPr>
              <w:t>门岗人员应熟记市级领导车牌号。</w:t>
            </w:r>
          </w:p>
        </w:tc>
        <w:tc>
          <w:tcPr>
            <w:tcW w:w="410"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4</w:t>
            </w:r>
          </w:p>
        </w:tc>
        <w:tc>
          <w:tcPr>
            <w:tcW w:w="1240" w:type="pct"/>
            <w:shd w:val="clear" w:color="auto" w:fill="auto"/>
            <w:vAlign w:val="center"/>
          </w:tcPr>
          <w:p>
            <w:pPr>
              <w:spacing w:line="320" w:lineRule="exact"/>
              <w:jc w:val="both"/>
              <w:rPr>
                <w:rFonts w:hAnsi="宋体" w:cs="宋体"/>
                <w:sz w:val="21"/>
              </w:rPr>
            </w:pPr>
            <w:r>
              <w:rPr>
                <w:rFonts w:hint="eastAsia" w:ascii="Calibri" w:hAnsi="宋体" w:eastAsia="宋体" w:cs="宋体"/>
                <w:kern w:val="2"/>
                <w:sz w:val="21"/>
              </w:rPr>
              <w:t>如不按规定放行车辆、引导无序造成门口拥堵，发生一起扣0.1分。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5" w:type="pct"/>
            <w:vMerge w:val="continue"/>
            <w:shd w:val="clear" w:color="auto" w:fill="auto"/>
            <w:vAlign w:val="center"/>
          </w:tcPr>
          <w:p/>
        </w:tc>
        <w:tc>
          <w:tcPr>
            <w:tcW w:w="431"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24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ascii="Calibri" w:hAnsi="宋体" w:eastAsia="宋体" w:cs="宋体"/>
                <w:sz w:val="21"/>
              </w:rPr>
              <w:t>（</w:t>
            </w:r>
            <w:r>
              <w:rPr>
                <w:rFonts w:hint="eastAsia" w:ascii="Calibri" w:hAnsi="宋体" w:eastAsia="宋体" w:cs="宋体"/>
                <w:sz w:val="21"/>
              </w:rPr>
              <w:t>3</w:t>
            </w:r>
            <w:r>
              <w:rPr>
                <w:rFonts w:ascii="Calibri" w:hAnsi="宋体" w:eastAsia="宋体" w:cs="宋体"/>
                <w:sz w:val="21"/>
              </w:rPr>
              <w:t>）</w:t>
            </w:r>
            <w:r>
              <w:rPr>
                <w:rFonts w:hint="eastAsia" w:ascii="Calibri" w:hAnsi="宋体" w:eastAsia="宋体" w:cs="宋体"/>
                <w:sz w:val="21"/>
              </w:rPr>
              <w:t>对外来车辆出入管辖区域所载货物进行检查、核实并留取相关记录，及时消除外来隐患。</w:t>
            </w:r>
          </w:p>
        </w:tc>
        <w:tc>
          <w:tcPr>
            <w:tcW w:w="410"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4</w:t>
            </w:r>
          </w:p>
        </w:tc>
        <w:tc>
          <w:tcPr>
            <w:tcW w:w="1240" w:type="pct"/>
            <w:shd w:val="clear" w:color="auto" w:fill="auto"/>
            <w:vAlign w:val="center"/>
          </w:tcPr>
          <w:p>
            <w:pPr>
              <w:spacing w:line="320" w:lineRule="exact"/>
              <w:jc w:val="both"/>
              <w:rPr>
                <w:rFonts w:hAnsi="宋体" w:cs="宋体"/>
                <w:sz w:val="21"/>
              </w:rPr>
            </w:pPr>
            <w:r>
              <w:rPr>
                <w:rFonts w:hint="eastAsia" w:ascii="Calibri" w:hAnsi="宋体" w:eastAsia="宋体" w:cs="宋体"/>
                <w:kern w:val="2"/>
                <w:sz w:val="21"/>
              </w:rPr>
              <w:t>如不按规定检查并记录，每次扣0.1分。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5" w:type="pct"/>
            <w:tcBorders>
              <w:bottom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7</w:t>
            </w:r>
          </w:p>
        </w:tc>
        <w:tc>
          <w:tcPr>
            <w:tcW w:w="4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突发事件管理</w:t>
            </w:r>
          </w:p>
        </w:tc>
        <w:tc>
          <w:tcPr>
            <w:tcW w:w="2434"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遇有突发事件时，按照突发事件处理程序妥善解决，减少损失，降低影响并及时按程序进行报告。</w:t>
            </w:r>
          </w:p>
        </w:tc>
        <w:tc>
          <w:tcPr>
            <w:tcW w:w="410"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5</w:t>
            </w:r>
          </w:p>
        </w:tc>
        <w:tc>
          <w:tcPr>
            <w:tcW w:w="1240" w:type="pct"/>
            <w:tcBorders>
              <w:bottom w:val="single" w:color="auto" w:sz="2" w:space="0"/>
            </w:tcBorders>
            <w:shd w:val="clear" w:color="auto" w:fill="auto"/>
            <w:vAlign w:val="center"/>
          </w:tcPr>
          <w:p>
            <w:pPr>
              <w:pStyle w:val="102"/>
              <w:spacing w:line="320" w:lineRule="exact"/>
              <w:ind w:left="1530" w:right="720" w:hanging="1050"/>
              <w:rPr>
                <w:rFonts w:ascii="Calibri" w:hAnsi="Calibri"/>
                <w:sz w:val="21"/>
                <w:szCs w:val="24"/>
                <w:lang w:val="en-US" w:eastAsia="zh-CN" w:bidi="ar-SA"/>
              </w:rPr>
            </w:pPr>
            <w:r>
              <w:rPr>
                <w:rFonts w:hint="eastAsia" w:ascii="Calibri" w:hAnsi="Calibri"/>
                <w:sz w:val="21"/>
                <w:szCs w:val="24"/>
                <w:lang w:val="en-US" w:eastAsia="zh-CN" w:bidi="ar-SA"/>
              </w:rPr>
              <w:t>未按程序处理，造成不良后果，每发生一起扣</w:t>
            </w:r>
          </w:p>
          <w:p>
            <w:pPr>
              <w:spacing w:line="320" w:lineRule="exact"/>
              <w:jc w:val="both"/>
              <w:rPr>
                <w:rFonts w:hAnsi="宋体" w:cs="宋体"/>
                <w:sz w:val="21"/>
              </w:rPr>
            </w:pPr>
            <w:r>
              <w:rPr>
                <w:rFonts w:hint="eastAsia" w:ascii="Calibri" w:hAnsi="宋体" w:eastAsia="宋体" w:cs="宋体"/>
                <w:kern w:val="2"/>
                <w:sz w:val="21"/>
              </w:rPr>
              <w:t>0.1分。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350" w:type="pct"/>
            <w:gridSpan w:val="3"/>
            <w:tcBorders>
              <w:top w:val="single" w:color="auto" w:sz="2" w:space="0"/>
              <w:bottom w:val="single" w:color="auto" w:sz="1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合计</w:t>
            </w:r>
          </w:p>
        </w:tc>
        <w:tc>
          <w:tcPr>
            <w:tcW w:w="410" w:type="pct"/>
            <w:tcBorders>
              <w:top w:val="single" w:color="auto" w:sz="2" w:space="0"/>
              <w:left w:val="single" w:color="auto" w:sz="2" w:space="0"/>
              <w:bottom w:val="single" w:color="auto" w:sz="12" w:space="0"/>
              <w:right w:val="single" w:color="auto" w:sz="2" w:space="0"/>
            </w:tcBorders>
            <w:shd w:val="clear" w:color="auto" w:fill="auto"/>
            <w:vAlign w:val="center"/>
          </w:tcPr>
          <w:p>
            <w:pPr>
              <w:spacing w:line="320" w:lineRule="exact"/>
              <w:jc w:val="both"/>
              <w:rPr>
                <w:rFonts w:hAnsi="宋体" w:cs="宋体"/>
                <w:sz w:val="21"/>
              </w:rPr>
            </w:pPr>
            <w:r>
              <w:rPr>
                <w:rFonts w:hint="eastAsia" w:hAnsi="宋体" w:cs="宋体"/>
                <w:sz w:val="21"/>
              </w:rPr>
              <w:fldChar w:fldCharType="begin"/>
            </w:r>
            <w:r>
              <w:rPr>
                <w:rFonts w:hint="eastAsia" w:ascii="Calibri" w:hAnsi="宋体" w:eastAsia="宋体" w:cs="宋体"/>
                <w:sz w:val="21"/>
              </w:rPr>
              <w:instrText xml:space="preserve"> =SUM(ABOVE) </w:instrText>
            </w:r>
            <w:r>
              <w:rPr>
                <w:rFonts w:hint="eastAsia" w:hAnsi="宋体" w:cs="宋体"/>
                <w:sz w:val="21"/>
              </w:rPr>
              <w:fldChar w:fldCharType="separate"/>
            </w:r>
            <w:r>
              <w:rPr>
                <w:rFonts w:hint="eastAsia" w:ascii="Calibri" w:hAnsi="宋体" w:eastAsia="宋体" w:cs="宋体"/>
                <w:sz w:val="21"/>
              </w:rPr>
              <w:t>100</w:t>
            </w:r>
            <w:r>
              <w:rPr>
                <w:rFonts w:hint="eastAsia" w:hAnsi="宋体" w:cs="宋体"/>
                <w:sz w:val="21"/>
              </w:rPr>
              <w:fldChar w:fldCharType="end"/>
            </w:r>
          </w:p>
        </w:tc>
        <w:tc>
          <w:tcPr>
            <w:tcW w:w="1240" w:type="pct"/>
            <w:tcBorders>
              <w:top w:val="single" w:color="auto" w:sz="2" w:space="0"/>
              <w:bottom w:val="single" w:color="auto" w:sz="12" w:space="0"/>
            </w:tcBorders>
            <w:shd w:val="clear" w:color="auto" w:fill="auto"/>
            <w:vAlign w:val="center"/>
          </w:tcPr>
          <w:p>
            <w:pPr>
              <w:spacing w:line="320" w:lineRule="exact"/>
              <w:jc w:val="both"/>
              <w:rPr>
                <w:rFonts w:hAnsi="宋体" w:cs="宋体"/>
                <w:sz w:val="21"/>
              </w:rPr>
            </w:pPr>
          </w:p>
        </w:tc>
      </w:tr>
    </w:tbl>
    <w:p>
      <w:pPr>
        <w:ind w:firstLine="360" w:firstLineChars="150"/>
        <w:rPr>
          <w:rFonts w:ascii="宋体" w:hAnsi="宋体" w:cs="宋体"/>
          <w:b/>
          <w:bCs/>
        </w:rPr>
      </w:pPr>
      <w:r>
        <w:rPr>
          <w:rFonts w:hint="eastAsia" w:ascii="宋体" w:hAnsi="宋体" w:cs="宋体"/>
          <w:b/>
          <w:bCs/>
        </w:rPr>
        <w:t>4．会议服务标准考核细则</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3"/>
        <w:gridCol w:w="1022"/>
        <w:gridCol w:w="5305"/>
        <w:gridCol w:w="577"/>
        <w:gridCol w:w="12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64" w:hRule="atLeast"/>
          <w:jc w:val="center"/>
        </w:trPr>
        <w:tc>
          <w:tcPr>
            <w:tcW w:w="467"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rPr>
            </w:pPr>
            <w:r>
              <w:rPr>
                <w:rFonts w:hint="eastAsia" w:ascii="Calibri" w:hAnsi="宋体" w:eastAsia="宋体" w:cs="宋体"/>
                <w:b/>
                <w:bCs/>
                <w:sz w:val="21"/>
              </w:rPr>
              <w:t>序号</w:t>
            </w:r>
          </w:p>
        </w:tc>
        <w:tc>
          <w:tcPr>
            <w:tcW w:w="565"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rPr>
            </w:pPr>
            <w:r>
              <w:rPr>
                <w:rFonts w:hint="eastAsia" w:ascii="Calibri" w:hAnsi="宋体" w:eastAsia="宋体" w:cs="宋体"/>
                <w:b/>
                <w:bCs/>
                <w:sz w:val="21"/>
              </w:rPr>
              <w:t>项目</w:t>
            </w:r>
          </w:p>
        </w:tc>
        <w:tc>
          <w:tcPr>
            <w:tcW w:w="2933"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rPr>
            </w:pPr>
            <w:r>
              <w:rPr>
                <w:rFonts w:hint="eastAsia" w:ascii="Calibri" w:hAnsi="宋体" w:eastAsia="宋体" w:cs="宋体"/>
                <w:b/>
                <w:bCs/>
                <w:sz w:val="21"/>
              </w:rPr>
              <w:t>检查内容</w:t>
            </w:r>
          </w:p>
        </w:tc>
        <w:tc>
          <w:tcPr>
            <w:tcW w:w="319"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rPr>
            </w:pPr>
            <w:r>
              <w:rPr>
                <w:rFonts w:hint="eastAsia" w:ascii="Calibri" w:hAnsi="宋体" w:eastAsia="宋体" w:cs="宋体"/>
                <w:b/>
                <w:bCs/>
                <w:sz w:val="21"/>
              </w:rPr>
              <w:t>项目分值</w:t>
            </w:r>
          </w:p>
        </w:tc>
        <w:tc>
          <w:tcPr>
            <w:tcW w:w="715"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rPr>
            </w:pPr>
            <w:r>
              <w:rPr>
                <w:rFonts w:hint="eastAsia" w:ascii="Calibri" w:hAnsi="宋体" w:eastAsia="宋体" w:cs="宋体"/>
                <w:b/>
                <w:bCs/>
                <w:sz w:val="21"/>
              </w:rPr>
              <w:t>扣分细则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67" w:type="pct"/>
            <w:vMerge w:val="restart"/>
            <w:tcBorders>
              <w:top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1</w:t>
            </w:r>
          </w:p>
        </w:tc>
        <w:tc>
          <w:tcPr>
            <w:tcW w:w="565" w:type="pct"/>
            <w:vMerge w:val="restart"/>
            <w:tcBorders>
              <w:top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仪容仪表</w:t>
            </w:r>
          </w:p>
        </w:tc>
        <w:tc>
          <w:tcPr>
            <w:tcW w:w="2933" w:type="pct"/>
            <w:tcBorders>
              <w:top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会务员需盘发、淡妆上岗，统一工装，不佩戴颜色花哨的配饰，不涂染指甲、不做美甲。仪容仪表端庄整洁，精神饱满</w:t>
            </w:r>
            <w:r>
              <w:rPr>
                <w:rFonts w:hint="eastAsia" w:hAnsi="宋体" w:cs="宋体"/>
                <w:sz w:val="21"/>
              </w:rPr>
              <w:t>，举止行为规范。</w:t>
            </w:r>
          </w:p>
        </w:tc>
        <w:tc>
          <w:tcPr>
            <w:tcW w:w="319" w:type="pct"/>
            <w:tcBorders>
              <w:top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restart"/>
            <w:tcBorders>
              <w:top w:val="single" w:color="auto" w:sz="2" w:space="0"/>
            </w:tcBorders>
            <w:shd w:val="clear" w:color="auto" w:fill="auto"/>
            <w:vAlign w:val="center"/>
          </w:tcPr>
          <w:p>
            <w:pPr>
              <w:spacing w:line="320" w:lineRule="exact"/>
              <w:jc w:val="both"/>
              <w:rPr>
                <w:rFonts w:hAnsi="宋体" w:cs="宋体"/>
                <w:sz w:val="21"/>
              </w:rPr>
            </w:pPr>
            <w:r>
              <w:rPr>
                <w:rFonts w:hint="eastAsia" w:hAnsi="宋体" w:cs="宋体"/>
                <w:sz w:val="21"/>
              </w:rPr>
              <w:t>每条中出现一次不符合，按严重程度扣0.1-1分，</w:t>
            </w:r>
            <w:r>
              <w:rPr>
                <w:rFonts w:hint="eastAsia" w:ascii="Calibri" w:hAnsi="宋体" w:eastAsia="宋体" w:cs="宋体"/>
                <w:sz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467" w:type="pct"/>
            <w:vMerge w:val="continue"/>
            <w:shd w:val="clear" w:color="auto" w:fill="auto"/>
            <w:vAlign w:val="center"/>
          </w:tcPr>
          <w:p/>
        </w:tc>
        <w:tc>
          <w:tcPr>
            <w:tcW w:w="565" w:type="pct"/>
            <w:vMerge w:val="continue"/>
            <w:tcBorders>
              <w:top w:val="single" w:color="auto" w:sz="2" w:space="0"/>
              <w:left w:val="single" w:color="auto" w:sz="2" w:space="0"/>
              <w:bottom w:val="single" w:color="auto" w:sz="2" w:space="0"/>
              <w:right w:val="single" w:color="auto" w:sz="2" w:space="0"/>
            </w:tcBorders>
            <w:shd w:val="clear" w:color="auto" w:fill="auto"/>
            <w:vAlign w:val="center"/>
          </w:tc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pStyle w:val="14"/>
              <w:spacing w:before="65" w:line="259" w:lineRule="auto"/>
              <w:ind w:left="17" w:right="71" w:hanging="17"/>
              <w:outlineLvl w:val="3"/>
              <w:rPr>
                <w:rFonts w:ascii="Calibri" w:hAnsi="宋体" w:eastAsia="宋体" w:cs="宋体"/>
                <w:sz w:val="21"/>
                <w:lang w:eastAsia="zh-CN"/>
              </w:rPr>
            </w:pPr>
            <w:r>
              <w:rPr>
                <w:rFonts w:hint="eastAsia" w:ascii="Calibri" w:hAnsi="宋体" w:eastAsia="宋体" w:cs="宋体"/>
                <w:sz w:val="21"/>
                <w:szCs w:val="24"/>
                <w:lang w:eastAsia="zh-CN"/>
              </w:rPr>
              <w:t>迎接宾客时会务员需以“丁字步”站姿在会议室门口按标准站立，面带微笑做好迎接参会人员的准备。</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1" w:hRule="atLeast"/>
          <w:jc w:val="center"/>
        </w:trPr>
        <w:tc>
          <w:tcPr>
            <w:tcW w:w="467" w:type="pct"/>
            <w:vMerge w:val="restart"/>
            <w:shd w:val="clear" w:color="auto" w:fill="auto"/>
            <w:vAlign w:val="center"/>
          </w:tcPr>
          <w:p>
            <w:pPr>
              <w:spacing w:line="320" w:lineRule="exact"/>
              <w:jc w:val="both"/>
              <w:rPr>
                <w:rFonts w:hAnsi="宋体" w:cs="宋体"/>
                <w:sz w:val="21"/>
              </w:rPr>
            </w:pPr>
            <w:r>
              <w:rPr>
                <w:rFonts w:hint="eastAsia" w:ascii="Calibri" w:hAnsi="宋体" w:eastAsia="宋体" w:cs="宋体"/>
                <w:sz w:val="21"/>
              </w:rPr>
              <w:t>2</w:t>
            </w:r>
          </w:p>
        </w:tc>
        <w:tc>
          <w:tcPr>
            <w:tcW w:w="565" w:type="pct"/>
            <w:vMerge w:val="restart"/>
            <w:tcBorders>
              <w:top w:val="single" w:color="auto" w:sz="2" w:space="0"/>
              <w:left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会前服务</w:t>
            </w: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Calibri" w:hAnsi="宋体" w:eastAsia="宋体" w:cs="宋体"/>
                <w:sz w:val="21"/>
              </w:rPr>
              <w:t>保持会场及候会室干净整洁，绿植状态良好</w:t>
            </w:r>
          </w:p>
        </w:tc>
        <w:tc>
          <w:tcPr>
            <w:tcW w:w="319" w:type="pct"/>
            <w:tcBorders>
              <w:top w:val="single" w:color="auto" w:sz="2" w:space="0"/>
              <w:left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restart"/>
            <w:shd w:val="clear" w:color="auto" w:fill="auto"/>
            <w:vAlign w:val="center"/>
          </w:tcPr>
          <w:p>
            <w:pPr>
              <w:spacing w:line="320" w:lineRule="exact"/>
              <w:jc w:val="both"/>
              <w:rPr>
                <w:rFonts w:hAnsi="宋体" w:cs="宋体"/>
                <w:sz w:val="21"/>
              </w:rPr>
            </w:pPr>
            <w:r>
              <w:rPr>
                <w:rFonts w:hint="eastAsia" w:hAnsi="宋体" w:cs="宋体"/>
                <w:sz w:val="21"/>
              </w:rPr>
              <w:t>每条中出现一次不符合，按严重程度扣0.1-1分，</w:t>
            </w:r>
            <w:r>
              <w:rPr>
                <w:rFonts w:hint="eastAsia" w:ascii="Calibri" w:hAnsi="宋体" w:eastAsia="宋体" w:cs="宋体"/>
                <w:sz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61" w:hRule="atLeast"/>
          <w:jc w:val="center"/>
        </w:trPr>
        <w:tc>
          <w:tcPr>
            <w:tcW w:w="467" w:type="pct"/>
            <w:vMerge w:val="continue"/>
            <w:shd w:val="clear" w:color="auto" w:fill="auto"/>
            <w:vAlign w:val="center"/>
          </w:tcPr>
          <w:p>
            <w:pPr>
              <w:spacing w:line="320" w:lineRule="exact"/>
              <w:jc w:val="both"/>
            </w:pPr>
          </w:p>
        </w:tc>
        <w:tc>
          <w:tcPr>
            <w:tcW w:w="565" w:type="pct"/>
            <w:vMerge w:val="continue"/>
            <w:tcBorders>
              <w:left w:val="single" w:color="auto" w:sz="2" w:space="0"/>
              <w:right w:val="single" w:color="auto" w:sz="2" w:space="0"/>
            </w:tcBorders>
            <w:shd w:val="clear" w:color="auto" w:fill="auto"/>
            <w:vAlign w:val="center"/>
          </w:tcPr>
          <w:p>
            <w:pPr>
              <w:spacing w:line="320" w:lineRule="exact"/>
              <w:jc w:val="both"/>
            </w:p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Calibri" w:hAnsi="宋体" w:eastAsia="宋体" w:cs="宋体"/>
                <w:sz w:val="21"/>
              </w:rPr>
              <w:t>于会议开始前1小时打开空调。按照季节要求，保证室内温度适宜。</w:t>
            </w:r>
          </w:p>
        </w:tc>
        <w:tc>
          <w:tcPr>
            <w:tcW w:w="319" w:type="pct"/>
            <w:tcBorders>
              <w:left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pPr>
              <w:spacing w:line="320" w:lineRule="exact"/>
              <w:jc w:val="both"/>
              <w:rPr>
                <w:rFonts w:ascii="宋体" w:hAnsi="宋体" w:cs="宋体"/>
                <w:spacing w:val="9"/>
                <w:sz w:val="20"/>
                <w:szCs w:val="2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31" w:hRule="atLeast"/>
          <w:jc w:val="center"/>
        </w:trPr>
        <w:tc>
          <w:tcPr>
            <w:tcW w:w="467" w:type="pct"/>
            <w:vMerge w:val="continue"/>
            <w:shd w:val="clear" w:color="auto" w:fill="auto"/>
            <w:vAlign w:val="center"/>
          </w:tcPr>
          <w:p>
            <w:pPr>
              <w:spacing w:line="320" w:lineRule="exact"/>
              <w:jc w:val="both"/>
              <w:rPr>
                <w:rFonts w:ascii="宋体" w:hAnsi="宋体" w:cs="宋体"/>
                <w:spacing w:val="9"/>
                <w:sz w:val="20"/>
                <w:szCs w:val="20"/>
              </w:rPr>
            </w:pPr>
          </w:p>
        </w:tc>
        <w:tc>
          <w:tcPr>
            <w:tcW w:w="565" w:type="pct"/>
            <w:vMerge w:val="continue"/>
            <w:tcBorders>
              <w:left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Calibri" w:hAnsi="宋体" w:eastAsia="宋体" w:cs="宋体"/>
                <w:sz w:val="21"/>
              </w:rPr>
              <w:t>于会议开始前1小时打开灯光。灯泡完好，光线充足，并根据要求适当调控灯光。</w:t>
            </w:r>
          </w:p>
        </w:tc>
        <w:tc>
          <w:tcPr>
            <w:tcW w:w="319" w:type="pct"/>
            <w:tcBorders>
              <w:left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pPr>
              <w:spacing w:line="320" w:lineRule="exact"/>
              <w:jc w:val="both"/>
              <w:rPr>
                <w:rFonts w:ascii="宋体" w:hAnsi="宋体" w:cs="宋体"/>
                <w:spacing w:val="9"/>
                <w:sz w:val="20"/>
                <w:szCs w:val="2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1" w:hRule="atLeast"/>
          <w:jc w:val="center"/>
        </w:trPr>
        <w:tc>
          <w:tcPr>
            <w:tcW w:w="467" w:type="pct"/>
            <w:vMerge w:val="continue"/>
            <w:shd w:val="clear" w:color="auto" w:fill="auto"/>
            <w:vAlign w:val="center"/>
          </w:tcPr>
          <w:p>
            <w:pPr>
              <w:spacing w:line="320" w:lineRule="exact"/>
              <w:jc w:val="both"/>
              <w:rPr>
                <w:rFonts w:ascii="宋体" w:hAnsi="宋体" w:cs="宋体"/>
                <w:spacing w:val="9"/>
                <w:sz w:val="20"/>
                <w:szCs w:val="20"/>
              </w:rPr>
            </w:pPr>
          </w:p>
        </w:tc>
        <w:tc>
          <w:tcPr>
            <w:tcW w:w="565" w:type="pct"/>
            <w:vMerge w:val="continue"/>
            <w:tcBorders>
              <w:left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Calibri" w:hAnsi="宋体" w:eastAsia="宋体" w:cs="宋体"/>
                <w:sz w:val="21"/>
              </w:rPr>
              <w:t>会议开始前1小时对会议服务所需暖壶及水质安全情况进行检查，会议开始前打好开水。开水需准备充分，暖瓶需干净无破损，保温性能良好，不漏水。</w:t>
            </w:r>
          </w:p>
        </w:tc>
        <w:tc>
          <w:tcPr>
            <w:tcW w:w="319" w:type="pct"/>
            <w:tcBorders>
              <w:left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pPr>
              <w:spacing w:line="320" w:lineRule="exact"/>
              <w:jc w:val="both"/>
              <w:rPr>
                <w:rFonts w:ascii="宋体" w:hAnsi="宋体" w:cs="宋体"/>
                <w:spacing w:val="9"/>
                <w:sz w:val="20"/>
                <w:szCs w:val="2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0" w:hRule="atLeast"/>
          <w:jc w:val="center"/>
        </w:trPr>
        <w:tc>
          <w:tcPr>
            <w:tcW w:w="467" w:type="pct"/>
            <w:vMerge w:val="continue"/>
            <w:shd w:val="clear" w:color="auto" w:fill="auto"/>
            <w:vAlign w:val="center"/>
          </w:tcPr>
          <w:p>
            <w:pPr>
              <w:spacing w:line="320" w:lineRule="exact"/>
              <w:jc w:val="both"/>
              <w:rPr>
                <w:rFonts w:ascii="宋体" w:hAnsi="宋体" w:cs="宋体"/>
                <w:spacing w:val="9"/>
                <w:sz w:val="20"/>
                <w:szCs w:val="20"/>
              </w:rPr>
            </w:pPr>
          </w:p>
        </w:tc>
        <w:tc>
          <w:tcPr>
            <w:tcW w:w="565" w:type="pct"/>
            <w:vMerge w:val="continue"/>
            <w:tcBorders>
              <w:left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Calibri" w:hAnsi="宋体" w:eastAsia="宋体" w:cs="宋体"/>
                <w:sz w:val="21"/>
              </w:rPr>
              <w:t>根据会议级别，严格按照要求摆放会议用品</w:t>
            </w:r>
          </w:p>
        </w:tc>
        <w:tc>
          <w:tcPr>
            <w:tcW w:w="319" w:type="pct"/>
            <w:tcBorders>
              <w:left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pPr>
              <w:spacing w:line="320" w:lineRule="exact"/>
              <w:jc w:val="both"/>
              <w:rPr>
                <w:rFonts w:ascii="宋体" w:hAnsi="宋体" w:cs="宋体"/>
                <w:spacing w:val="9"/>
                <w:sz w:val="20"/>
                <w:szCs w:val="2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67" w:type="pct"/>
            <w:vMerge w:val="continue"/>
            <w:shd w:val="clear" w:color="auto" w:fill="auto"/>
            <w:vAlign w:val="center"/>
          </w:tcPr>
          <w:p>
            <w:pPr>
              <w:spacing w:line="320" w:lineRule="exact"/>
              <w:jc w:val="both"/>
              <w:rPr>
                <w:rFonts w:hAnsi="宋体" w:cs="宋体"/>
                <w:sz w:val="21"/>
              </w:rPr>
            </w:pPr>
          </w:p>
        </w:tc>
        <w:tc>
          <w:tcPr>
            <w:tcW w:w="565" w:type="pct"/>
            <w:vMerge w:val="continue"/>
            <w:tcBorders>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按照办会方要求，调试音、视频设备至最佳状态，确保会议使用期间运行正常，播放内容无误</w:t>
            </w:r>
          </w:p>
        </w:tc>
        <w:tc>
          <w:tcPr>
            <w:tcW w:w="319" w:type="pct"/>
            <w:tcBorders>
              <w:left w:val="single" w:color="auto" w:sz="2" w:space="0"/>
              <w:bottom w:val="single" w:color="auto" w:sz="2" w:space="0"/>
              <w:right w:val="single" w:color="auto" w:sz="2" w:space="0"/>
            </w:tcBorders>
            <w:shd w:val="clear" w:color="auto" w:fill="auto"/>
            <w:vAlign w:val="center"/>
          </w:tcPr>
          <w:p>
            <w:pPr>
              <w:spacing w:line="320" w:lineRule="exact"/>
              <w:ind w:right="379"/>
              <w:jc w:val="both"/>
              <w:rPr>
                <w:rFonts w:hAnsi="宋体" w:cs="宋体"/>
                <w:sz w:val="21"/>
              </w:rPr>
            </w:pPr>
            <w:r>
              <w:rPr>
                <w:rFonts w:hint="eastAsia" w:ascii="宋体" w:hAnsi="宋体" w:cs="宋体"/>
                <w:spacing w:val="9"/>
                <w:sz w:val="20"/>
                <w:szCs w:val="20"/>
              </w:rPr>
              <w:t>2</w:t>
            </w:r>
          </w:p>
        </w:tc>
        <w:tc>
          <w:tcPr>
            <w:tcW w:w="715" w:type="pct"/>
            <w:vMerge w:val="continue"/>
            <w:shd w:val="clear" w:color="auto" w:fill="auto"/>
            <w:vAlign w:val="center"/>
          </w:tcPr>
          <w:p>
            <w:pPr>
              <w:spacing w:line="320" w:lineRule="exact"/>
              <w:jc w:val="both"/>
              <w:rPr>
                <w:rFonts w:hAnsi="宋体" w:cs="宋体"/>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7" w:type="pct"/>
            <w:vMerge w:val="restart"/>
            <w:shd w:val="clear" w:color="auto" w:fill="auto"/>
            <w:vAlign w:val="center"/>
          </w:tcPr>
          <w:p>
            <w:pPr>
              <w:rPr>
                <w:rFonts w:hAnsi="宋体" w:cs="宋体"/>
                <w:sz w:val="21"/>
              </w:rPr>
            </w:pPr>
          </w:p>
          <w:p>
            <w:pPr>
              <w:rPr>
                <w:rFonts w:hAnsi="宋体" w:cs="宋体"/>
                <w:sz w:val="21"/>
              </w:rPr>
            </w:pPr>
          </w:p>
          <w:p>
            <w:r>
              <w:rPr>
                <w:rFonts w:hint="eastAsia" w:ascii="Calibri" w:hAnsi="宋体" w:eastAsia="宋体" w:cs="宋体"/>
                <w:sz w:val="21"/>
              </w:rPr>
              <w:t>3</w:t>
            </w:r>
          </w:p>
        </w:tc>
        <w:tc>
          <w:tcPr>
            <w:tcW w:w="565" w:type="pct"/>
            <w:vMerge w:val="restart"/>
            <w:tcBorders>
              <w:left w:val="single" w:color="auto" w:sz="2" w:space="0"/>
              <w:right w:val="single" w:color="auto" w:sz="2" w:space="0"/>
            </w:tcBorders>
            <w:shd w:val="clear" w:color="auto" w:fill="auto"/>
            <w:vAlign w:val="center"/>
          </w:tcPr>
          <w:p>
            <w:pPr>
              <w:rPr>
                <w:rFonts w:hAnsi="宋体" w:cs="宋体"/>
                <w:sz w:val="21"/>
              </w:rPr>
            </w:pPr>
          </w:p>
          <w:p>
            <w:r>
              <w:rPr>
                <w:rFonts w:hint="eastAsia" w:ascii="Calibri" w:hAnsi="宋体" w:eastAsia="宋体" w:cs="宋体"/>
                <w:sz w:val="21"/>
              </w:rPr>
              <w:t>会后服务</w:t>
            </w: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会议结束时，会务员应第一时间打开会场大门，以“丁字步”站姿在会议室门口按标准站立，面带微笑进行送宾服务。</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restart"/>
            <w:shd w:val="clear" w:color="auto" w:fill="auto"/>
            <w:vAlign w:val="center"/>
          </w:tcPr>
          <w:p>
            <w:r>
              <w:rPr>
                <w:rFonts w:hint="eastAsia" w:hAnsi="宋体" w:cs="宋体"/>
                <w:sz w:val="21"/>
              </w:rPr>
              <w:t>每条中出现一次不符合，按严重程度扣0.1-1分，</w:t>
            </w:r>
            <w:r>
              <w:rPr>
                <w:rFonts w:hint="eastAsia" w:ascii="Calibri" w:hAnsi="宋体" w:eastAsia="宋体" w:cs="宋体"/>
                <w:sz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7" w:type="pct"/>
            <w:vMerge w:val="continue"/>
            <w:shd w:val="clear" w:color="auto" w:fill="auto"/>
            <w:vAlign w:val="center"/>
          </w:tcPr>
          <w:p/>
        </w:tc>
        <w:tc>
          <w:tcPr>
            <w:tcW w:w="565" w:type="pct"/>
            <w:vMerge w:val="continue"/>
            <w:tcBorders>
              <w:left w:val="single" w:color="auto" w:sz="2" w:space="0"/>
              <w:right w:val="single" w:color="auto" w:sz="2" w:space="0"/>
            </w:tcBorders>
            <w:shd w:val="clear" w:color="auto" w:fill="auto"/>
            <w:vAlign w:val="center"/>
          </w:tc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协助办会方收集自带会议物品及会议资料，仔细检查以免遗留。</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7" w:type="pct"/>
            <w:vMerge w:val="continue"/>
            <w:shd w:val="clear" w:color="auto" w:fill="auto"/>
            <w:vAlign w:val="center"/>
          </w:tcPr>
          <w:p/>
        </w:tc>
        <w:tc>
          <w:tcPr>
            <w:tcW w:w="565" w:type="pct"/>
            <w:vMerge w:val="continue"/>
            <w:tcBorders>
              <w:left w:val="single" w:color="auto" w:sz="2" w:space="0"/>
              <w:right w:val="single" w:color="auto" w:sz="2" w:space="0"/>
            </w:tcBorders>
            <w:shd w:val="clear" w:color="auto" w:fill="auto"/>
            <w:vAlign w:val="center"/>
          </w:tc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检查会议室是否有参会人员遗落的物品，如有第一时间交予办会方或客户服务部办公室妥善保管。</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467" w:type="pct"/>
            <w:vMerge w:val="continue"/>
            <w:shd w:val="clear" w:color="auto" w:fill="auto"/>
            <w:vAlign w:val="center"/>
          </w:tcPr>
          <w:p/>
        </w:tc>
        <w:tc>
          <w:tcPr>
            <w:tcW w:w="565" w:type="pct"/>
            <w:vMerge w:val="continue"/>
            <w:tcBorders>
              <w:left w:val="single" w:color="auto" w:sz="2" w:space="0"/>
              <w:right w:val="single" w:color="auto" w:sz="2" w:space="0"/>
            </w:tcBorders>
            <w:shd w:val="clear" w:color="auto" w:fill="auto"/>
            <w:vAlign w:val="center"/>
          </w:tc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对灯光、音响、桌椅、门窗、地面、空调、消防栓、灭火器等进行检查，发现问题及时上报维修。</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jc w:val="center"/>
        </w:trPr>
        <w:tc>
          <w:tcPr>
            <w:tcW w:w="467" w:type="pct"/>
            <w:vMerge w:val="continue"/>
            <w:shd w:val="clear" w:color="auto" w:fill="auto"/>
            <w:vAlign w:val="center"/>
          </w:tcPr>
          <w:p/>
        </w:tc>
        <w:tc>
          <w:tcPr>
            <w:tcW w:w="565" w:type="pct"/>
            <w:vMerge w:val="continue"/>
            <w:tcBorders>
              <w:left w:val="single" w:color="auto" w:sz="2" w:space="0"/>
              <w:right w:val="single" w:color="auto" w:sz="2" w:space="0"/>
            </w:tcBorders>
            <w:shd w:val="clear" w:color="auto" w:fill="auto"/>
            <w:vAlign w:val="center"/>
          </w:tc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对会议室桌椅及地面卫生进行清理，认真检查抽屉是否留有垃圾。</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467" w:type="pct"/>
            <w:vMerge w:val="continue"/>
            <w:shd w:val="clear" w:color="auto" w:fill="auto"/>
            <w:vAlign w:val="center"/>
          </w:tcPr>
          <w:p/>
        </w:tc>
        <w:tc>
          <w:tcPr>
            <w:tcW w:w="565" w:type="pct"/>
            <w:vMerge w:val="continue"/>
            <w:tcBorders>
              <w:left w:val="single" w:color="auto" w:sz="2" w:space="0"/>
              <w:right w:val="single" w:color="auto" w:sz="2" w:space="0"/>
            </w:tcBorders>
            <w:shd w:val="clear" w:color="auto" w:fill="auto"/>
            <w:vAlign w:val="center"/>
          </w:tc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检查会议室安全，确认后关闭窗户、空调、灯光，然后锁门。</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7" w:type="pct"/>
            <w:vMerge w:val="continue"/>
            <w:shd w:val="clear" w:color="auto" w:fill="auto"/>
            <w:vAlign w:val="center"/>
          </w:tcPr>
          <w:p/>
        </w:tc>
        <w:tc>
          <w:tcPr>
            <w:tcW w:w="565" w:type="pct"/>
            <w:vMerge w:val="continue"/>
            <w:tcBorders>
              <w:left w:val="single" w:color="auto" w:sz="2" w:space="0"/>
              <w:right w:val="single" w:color="auto" w:sz="2" w:space="0"/>
            </w:tcBorders>
            <w:shd w:val="clear" w:color="auto" w:fill="auto"/>
            <w:vAlign w:val="center"/>
          </w:tc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hAnsi="宋体" w:cs="宋体"/>
                <w:sz w:val="21"/>
              </w:rPr>
              <w:t>按照工作规定及时清洁会议杯具等用品，并做好消毒收纳。</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7" w:type="pct"/>
            <w:vMerge w:val="restart"/>
            <w:shd w:val="clear" w:color="auto" w:fill="auto"/>
            <w:vAlign w:val="center"/>
          </w:tcPr>
          <w:p>
            <w:r>
              <w:rPr>
                <w:rFonts w:hint="eastAsia" w:ascii="Calibri" w:hAnsi="宋体" w:eastAsia="宋体" w:cs="宋体"/>
                <w:sz w:val="21"/>
              </w:rPr>
              <w:t>4</w:t>
            </w:r>
          </w:p>
        </w:tc>
        <w:tc>
          <w:tcPr>
            <w:tcW w:w="565" w:type="pct"/>
            <w:vMerge w:val="restart"/>
            <w:tcBorders>
              <w:left w:val="single" w:color="auto" w:sz="2" w:space="0"/>
              <w:right w:val="single" w:color="auto" w:sz="2" w:space="0"/>
            </w:tcBorders>
            <w:shd w:val="clear" w:color="auto" w:fill="auto"/>
            <w:vAlign w:val="center"/>
          </w:tcPr>
          <w:p>
            <w:pPr>
              <w:pStyle w:val="14"/>
              <w:spacing w:before="220" w:line="229" w:lineRule="auto"/>
              <w:ind w:left="3"/>
              <w:outlineLvl w:val="2"/>
              <w:rPr>
                <w:rFonts w:ascii="Calibri" w:hAnsi="Calibri" w:eastAsia="宋体" w:cs="Times New Roman"/>
                <w:spacing w:val="6"/>
                <w:sz w:val="20"/>
                <w:szCs w:val="20"/>
                <w:lang w:eastAsia="zh-CN"/>
              </w:rPr>
            </w:pPr>
            <w:r>
              <w:rPr>
                <w:rFonts w:ascii="Calibri" w:hAnsi="Calibri" w:eastAsia="宋体" w:cs="Times New Roman"/>
                <w:spacing w:val="6"/>
                <w:sz w:val="20"/>
                <w:szCs w:val="20"/>
                <w:lang w:eastAsia="zh-CN"/>
              </w:rPr>
              <w:t>会场突发事件处置</w:t>
            </w:r>
          </w:p>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烟缸着火冒烟：按照规范操作要求及时处置，不允许玩忽职守，不发生人为安全事故。</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restart"/>
            <w:shd w:val="clear" w:color="auto" w:fill="auto"/>
            <w:vAlign w:val="center"/>
          </w:tcPr>
          <w:p>
            <w:r>
              <w:rPr>
                <w:rFonts w:hint="eastAsia" w:hAnsi="宋体" w:cs="宋体"/>
                <w:sz w:val="21"/>
              </w:rPr>
              <w:t>每条中出现一次不符合，按严重程度扣0.1-1分，</w:t>
            </w:r>
            <w:r>
              <w:rPr>
                <w:rFonts w:hint="eastAsia" w:ascii="Calibri" w:hAnsi="宋体" w:eastAsia="宋体" w:cs="宋体"/>
                <w:sz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7" w:type="pct"/>
            <w:vMerge w:val="continue"/>
            <w:shd w:val="clear" w:color="auto" w:fill="auto"/>
            <w:vAlign w:val="center"/>
          </w:tcPr>
          <w:p/>
        </w:tc>
        <w:tc>
          <w:tcPr>
            <w:tcW w:w="565" w:type="pct"/>
            <w:vMerge w:val="continue"/>
            <w:tcBorders>
              <w:left w:val="single" w:color="auto" w:sz="2" w:space="0"/>
              <w:right w:val="single" w:color="auto" w:sz="2" w:space="0"/>
            </w:tcBorders>
            <w:shd w:val="clear" w:color="auto" w:fill="auto"/>
            <w:vAlign w:val="center"/>
          </w:tc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茶水溅洒：按照规范操作要求及时采取相应措施，不发生人为安全事故。</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7" w:type="pct"/>
            <w:vMerge w:val="continue"/>
            <w:shd w:val="clear" w:color="auto" w:fill="auto"/>
            <w:vAlign w:val="center"/>
          </w:tcPr>
          <w:p/>
        </w:tc>
        <w:tc>
          <w:tcPr>
            <w:tcW w:w="565" w:type="pct"/>
            <w:vMerge w:val="continue"/>
            <w:tcBorders>
              <w:left w:val="single" w:color="auto" w:sz="2" w:space="0"/>
              <w:right w:val="single" w:color="auto" w:sz="2" w:space="0"/>
            </w:tcBorders>
            <w:shd w:val="clear" w:color="auto" w:fill="auto"/>
            <w:vAlign w:val="center"/>
          </w:tc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临时更换会议室时，会务班长迅速组织人员前往更换会议室准备会议物品进行服务。</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7" w:type="pct"/>
            <w:vMerge w:val="continue"/>
            <w:shd w:val="clear" w:color="auto" w:fill="auto"/>
            <w:vAlign w:val="center"/>
          </w:tcPr>
          <w:p/>
        </w:tc>
        <w:tc>
          <w:tcPr>
            <w:tcW w:w="565" w:type="pct"/>
            <w:vMerge w:val="continue"/>
            <w:tcBorders>
              <w:left w:val="single" w:color="auto" w:sz="2" w:space="0"/>
              <w:right w:val="single" w:color="auto" w:sz="2" w:space="0"/>
            </w:tcBorders>
            <w:shd w:val="clear" w:color="auto" w:fill="auto"/>
            <w:vAlign w:val="center"/>
          </w:tc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音、视频设备出现故障时，按照工作预案、故障等级及时处理，并采取相应措施。不得出现长期故障无人处理的情况。</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3</w:t>
            </w:r>
          </w:p>
        </w:tc>
        <w:tc>
          <w:tcPr>
            <w:tcW w:w="715" w:type="pct"/>
            <w:vMerge w:val="continue"/>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7" w:type="pct"/>
            <w:vMerge w:val="continue"/>
            <w:shd w:val="clear" w:color="auto" w:fill="auto"/>
            <w:vAlign w:val="center"/>
          </w:tcPr>
          <w:p/>
        </w:tc>
        <w:tc>
          <w:tcPr>
            <w:tcW w:w="565" w:type="pct"/>
            <w:vMerge w:val="continue"/>
            <w:tcBorders>
              <w:left w:val="single" w:color="auto" w:sz="2" w:space="0"/>
              <w:right w:val="single" w:color="auto" w:sz="2" w:space="0"/>
            </w:tcBorders>
            <w:shd w:val="clear" w:color="auto" w:fill="auto"/>
            <w:vAlign w:val="center"/>
          </w:tc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节假日临时加会：值班人员接到临时加会通知，按照会议服务要求，根据会议具体信息按照领导安排进行备会和会议服务工作。</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7" w:type="pct"/>
            <w:vMerge w:val="continue"/>
            <w:shd w:val="clear" w:color="auto" w:fill="auto"/>
            <w:vAlign w:val="center"/>
          </w:tcPr>
          <w:p/>
        </w:tc>
        <w:tc>
          <w:tcPr>
            <w:tcW w:w="565" w:type="pct"/>
            <w:vMerge w:val="continue"/>
            <w:tcBorders>
              <w:left w:val="single" w:color="auto" w:sz="2" w:space="0"/>
              <w:right w:val="single" w:color="auto" w:sz="2" w:space="0"/>
            </w:tcBorders>
            <w:shd w:val="clear" w:color="auto" w:fill="auto"/>
            <w:vAlign w:val="center"/>
          </w:tc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参会人员身体不适：会中，出现参会人员身体不适，按照规范操作要求及时采取相应措施，不得出现置之不理的情况。</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7" w:type="pct"/>
            <w:vMerge w:val="continue"/>
            <w:shd w:val="clear" w:color="auto" w:fill="auto"/>
            <w:vAlign w:val="center"/>
          </w:tcPr>
          <w:p/>
        </w:tc>
        <w:tc>
          <w:tcPr>
            <w:tcW w:w="565" w:type="pct"/>
            <w:vMerge w:val="continue"/>
            <w:tcBorders>
              <w:left w:val="single" w:color="auto" w:sz="2" w:space="0"/>
              <w:right w:val="single" w:color="auto" w:sz="2" w:space="0"/>
            </w:tcBorders>
            <w:shd w:val="clear" w:color="auto" w:fill="auto"/>
            <w:vAlign w:val="center"/>
          </w:tcPr>
          <w:p>
            <w:pPr>
              <w:spacing w:before="66" w:line="258" w:lineRule="auto"/>
              <w:ind w:right="62"/>
              <w:rPr>
                <w:rFonts w:ascii="宋体" w:hAnsi="宋体" w:cs="宋体"/>
                <w:spacing w:val="7"/>
                <w:sz w:val="20"/>
                <w:szCs w:val="20"/>
              </w:rPr>
            </w:p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突发停电：按照规范操作要求及时采取相应措施，调整会议室或将会议室内窗帘等可利用自然光源打开，确保会议的正常进行，无违规操作。</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7" w:type="pct"/>
            <w:vMerge w:val="continue"/>
            <w:shd w:val="clear" w:color="auto" w:fill="auto"/>
            <w:vAlign w:val="center"/>
          </w:tcPr>
          <w:p/>
        </w:tc>
        <w:tc>
          <w:tcPr>
            <w:tcW w:w="565" w:type="pct"/>
            <w:vMerge w:val="continue"/>
            <w:tcBorders>
              <w:left w:val="single" w:color="auto" w:sz="2" w:space="0"/>
              <w:bottom w:val="single" w:color="auto" w:sz="2" w:space="0"/>
              <w:right w:val="single" w:color="auto" w:sz="2" w:space="0"/>
            </w:tcBorders>
            <w:shd w:val="clear" w:color="auto" w:fill="auto"/>
            <w:vAlign w:val="center"/>
          </w:tcP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如遇其他紧急情况，会务员应保持镇定，迅速将会场参会人员从安全出口有序疏导。</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2</w:t>
            </w:r>
          </w:p>
        </w:tc>
        <w:tc>
          <w:tcPr>
            <w:tcW w:w="715" w:type="pct"/>
            <w:vMerge w:val="continue"/>
            <w:shd w:val="clear" w:color="auto" w:fill="auto"/>
            <w:vAlign w:val="center"/>
          </w:tcPr>
          <w:p>
            <w:pPr>
              <w:spacing w:line="320" w:lineRule="exact"/>
              <w:jc w:val="both"/>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67" w:type="pct"/>
            <w:tcBorders>
              <w:bottom w:val="single" w:color="auto" w:sz="2" w:space="0"/>
            </w:tcBorders>
            <w:shd w:val="clear" w:color="auto" w:fill="auto"/>
            <w:vAlign w:val="center"/>
          </w:tcPr>
          <w:p>
            <w:r>
              <w:rPr>
                <w:rFonts w:hint="eastAsia" w:ascii="Calibri" w:hAnsi="宋体" w:eastAsia="宋体" w:cs="宋体"/>
                <w:sz w:val="21"/>
              </w:rPr>
              <w:t>5</w:t>
            </w:r>
          </w:p>
        </w:tc>
        <w:tc>
          <w:tcPr>
            <w:tcW w:w="565" w:type="pct"/>
            <w:tcBorders>
              <w:left w:val="single" w:color="auto" w:sz="2" w:space="0"/>
              <w:bottom w:val="single" w:color="auto" w:sz="2" w:space="0"/>
              <w:right w:val="single" w:color="auto" w:sz="2" w:space="0"/>
            </w:tcBorders>
            <w:shd w:val="clear" w:color="auto" w:fill="auto"/>
            <w:vAlign w:val="center"/>
          </w:tcPr>
          <w:p>
            <w:r>
              <w:rPr>
                <w:spacing w:val="8"/>
                <w:sz w:val="20"/>
                <w:szCs w:val="20"/>
              </w:rPr>
              <w:t>会议服务评价与改进</w:t>
            </w:r>
          </w:p>
        </w:tc>
        <w:tc>
          <w:tcPr>
            <w:tcW w:w="2933"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每场会议服务工作结束后，由会务主管或班长与办会单位进行本次会议服务质量回访，及时听取办会单位的意见、建议。按照办会方的意见及时对会议服务细节进行完善，并将具体要求写入具体服务标准，并开展标准的培训和实施。</w:t>
            </w:r>
          </w:p>
        </w:tc>
        <w:tc>
          <w:tcPr>
            <w:tcW w:w="319"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ascii="宋体" w:hAnsi="宋体" w:cs="宋体"/>
                <w:spacing w:val="9"/>
                <w:sz w:val="20"/>
                <w:szCs w:val="20"/>
              </w:rPr>
            </w:pPr>
            <w:r>
              <w:rPr>
                <w:rFonts w:hint="eastAsia" w:ascii="宋体" w:hAnsi="宋体" w:cs="宋体"/>
                <w:spacing w:val="9"/>
                <w:sz w:val="20"/>
                <w:szCs w:val="20"/>
              </w:rPr>
              <w:t>3</w:t>
            </w:r>
          </w:p>
        </w:tc>
        <w:tc>
          <w:tcPr>
            <w:tcW w:w="715" w:type="pct"/>
            <w:tcBorders>
              <w:bottom w:val="single" w:color="auto" w:sz="2" w:space="0"/>
            </w:tcBorders>
            <w:shd w:val="clear" w:color="auto" w:fill="auto"/>
            <w:vAlign w:val="center"/>
          </w:tcPr>
          <w:p>
            <w:r>
              <w:rPr>
                <w:rFonts w:hint="eastAsia" w:hAnsi="宋体" w:cs="宋体"/>
                <w:sz w:val="21"/>
              </w:rPr>
              <w:t>每条中出现一次不符合，按严重程度扣0.1-1分，</w:t>
            </w:r>
            <w:r>
              <w:rPr>
                <w:rFonts w:hint="eastAsia" w:ascii="Calibri" w:hAnsi="宋体" w:eastAsia="宋体" w:cs="宋体"/>
                <w:sz w:val="21"/>
              </w:rPr>
              <w:t>扣完本条分值为止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966" w:type="pct"/>
            <w:gridSpan w:val="3"/>
            <w:tcBorders>
              <w:top w:val="single" w:color="auto" w:sz="2" w:space="0"/>
              <w:bottom w:val="single" w:color="auto" w:sz="12" w:space="0"/>
            </w:tcBorders>
            <w:shd w:val="clear" w:color="auto" w:fill="auto"/>
            <w:vAlign w:val="center"/>
          </w:tcPr>
          <w:p>
            <w:pPr>
              <w:spacing w:line="320" w:lineRule="exact"/>
              <w:jc w:val="both"/>
              <w:rPr>
                <w:rFonts w:hAnsi="宋体" w:cs="宋体"/>
                <w:sz w:val="21"/>
              </w:rPr>
            </w:pPr>
            <w:r>
              <w:rPr>
                <w:rFonts w:hint="eastAsia" w:ascii="Calibri" w:hAnsi="宋体" w:eastAsia="宋体" w:cs="宋体"/>
                <w:sz w:val="21"/>
              </w:rPr>
              <w:t>合计</w:t>
            </w:r>
          </w:p>
        </w:tc>
        <w:tc>
          <w:tcPr>
            <w:tcW w:w="319" w:type="pct"/>
            <w:tcBorders>
              <w:top w:val="single" w:color="auto" w:sz="2" w:space="0"/>
              <w:left w:val="single" w:color="auto" w:sz="2" w:space="0"/>
              <w:bottom w:val="single" w:color="auto" w:sz="12" w:space="0"/>
              <w:right w:val="single" w:color="auto" w:sz="2" w:space="0"/>
            </w:tcBorders>
            <w:shd w:val="clear" w:color="auto" w:fill="auto"/>
            <w:vAlign w:val="center"/>
          </w:tcPr>
          <w:p>
            <w:pPr>
              <w:spacing w:line="320" w:lineRule="exact"/>
              <w:jc w:val="both"/>
              <w:rPr>
                <w:rFonts w:hAnsi="宋体" w:cs="宋体"/>
                <w:sz w:val="21"/>
              </w:rPr>
            </w:pPr>
            <w:r>
              <w:rPr>
                <w:rFonts w:hint="eastAsia" w:hAnsi="宋体" w:cs="宋体"/>
                <w:sz w:val="21"/>
              </w:rPr>
              <w:t>50</w:t>
            </w:r>
          </w:p>
        </w:tc>
        <w:tc>
          <w:tcPr>
            <w:tcW w:w="715" w:type="pct"/>
            <w:tcBorders>
              <w:top w:val="single" w:color="auto" w:sz="2" w:space="0"/>
              <w:bottom w:val="single" w:color="auto" w:sz="12" w:space="0"/>
            </w:tcBorders>
            <w:shd w:val="clear" w:color="auto" w:fill="auto"/>
            <w:vAlign w:val="center"/>
          </w:tcPr>
          <w:p>
            <w:pPr>
              <w:spacing w:line="320" w:lineRule="exact"/>
              <w:jc w:val="both"/>
              <w:rPr>
                <w:rFonts w:hAnsi="宋体" w:cs="宋体"/>
                <w:sz w:val="21"/>
              </w:rPr>
            </w:pPr>
          </w:p>
        </w:tc>
      </w:tr>
    </w:tbl>
    <w:p>
      <w:pPr>
        <w:ind w:firstLine="360" w:firstLineChars="150"/>
        <w:rPr>
          <w:rFonts w:ascii="宋体" w:hAnsi="宋体" w:cs="宋体"/>
          <w:b/>
          <w:bCs/>
        </w:rPr>
      </w:pPr>
      <w:r>
        <w:rPr>
          <w:rFonts w:hint="eastAsia" w:ascii="宋体" w:hAnsi="宋体" w:cs="宋体"/>
          <w:b/>
          <w:bCs/>
        </w:rPr>
        <w:t>5．餐饮服务标准考核细则</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76"/>
        <w:gridCol w:w="780"/>
        <w:gridCol w:w="4403"/>
        <w:gridCol w:w="741"/>
        <w:gridCol w:w="224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4"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rPr>
            </w:pPr>
            <w:r>
              <w:rPr>
                <w:rFonts w:hint="eastAsia" w:hAnsi="宋体" w:cs="宋体"/>
                <w:b/>
                <w:bCs/>
                <w:sz w:val="21"/>
              </w:rPr>
              <w:t>序号</w:t>
            </w:r>
          </w:p>
        </w:tc>
        <w:tc>
          <w:tcPr>
            <w:tcW w:w="431"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rPr>
            </w:pPr>
            <w:r>
              <w:rPr>
                <w:rFonts w:hint="eastAsia" w:hAnsi="宋体" w:cs="宋体"/>
                <w:b/>
                <w:bCs/>
                <w:sz w:val="21"/>
              </w:rPr>
              <w:t>项目</w:t>
            </w:r>
          </w:p>
        </w:tc>
        <w:tc>
          <w:tcPr>
            <w:tcW w:w="2435"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rPr>
            </w:pPr>
            <w:r>
              <w:rPr>
                <w:rFonts w:hint="eastAsia" w:hAnsi="宋体" w:cs="宋体"/>
                <w:b/>
                <w:bCs/>
                <w:sz w:val="21"/>
              </w:rPr>
              <w:t>检查内容</w:t>
            </w:r>
          </w:p>
        </w:tc>
        <w:tc>
          <w:tcPr>
            <w:tcW w:w="410"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rPr>
            </w:pPr>
            <w:r>
              <w:rPr>
                <w:rFonts w:hint="eastAsia" w:hAnsi="宋体" w:cs="宋体"/>
                <w:b/>
                <w:bCs/>
                <w:sz w:val="21"/>
              </w:rPr>
              <w:t>项目分值</w:t>
            </w:r>
          </w:p>
        </w:tc>
        <w:tc>
          <w:tcPr>
            <w:tcW w:w="1239" w:type="pct"/>
            <w:tcBorders>
              <w:top w:val="single" w:color="auto" w:sz="12" w:space="0"/>
              <w:bottom w:val="single" w:color="auto" w:sz="2" w:space="0"/>
            </w:tcBorders>
            <w:shd w:val="clear" w:color="auto" w:fill="F2F2F2"/>
            <w:vAlign w:val="center"/>
          </w:tcPr>
          <w:p>
            <w:pPr>
              <w:spacing w:line="320" w:lineRule="exact"/>
              <w:jc w:val="both"/>
              <w:rPr>
                <w:rFonts w:hAnsi="宋体" w:cs="宋体"/>
                <w:b/>
                <w:bCs/>
                <w:sz w:val="21"/>
              </w:rPr>
            </w:pPr>
            <w:r>
              <w:rPr>
                <w:rFonts w:hint="eastAsia" w:hAnsi="宋体" w:cs="宋体"/>
                <w:b/>
                <w:bCs/>
                <w:sz w:val="21"/>
              </w:rPr>
              <w:t>扣分细则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4" w:type="pct"/>
            <w:tcBorders>
              <w:top w:val="single" w:color="auto" w:sz="2" w:space="0"/>
            </w:tcBorders>
            <w:shd w:val="clear" w:color="auto" w:fill="auto"/>
            <w:vAlign w:val="center"/>
          </w:tcPr>
          <w:p>
            <w:pPr>
              <w:spacing w:line="320" w:lineRule="exact"/>
              <w:jc w:val="both"/>
              <w:rPr>
                <w:rFonts w:hAnsi="宋体" w:cs="宋体"/>
                <w:sz w:val="21"/>
              </w:rPr>
            </w:pPr>
            <w:r>
              <w:rPr>
                <w:rFonts w:hint="eastAsia" w:hAnsi="宋体" w:cs="宋体"/>
                <w:sz w:val="21"/>
              </w:rPr>
              <w:t>1</w:t>
            </w:r>
          </w:p>
        </w:tc>
        <w:tc>
          <w:tcPr>
            <w:tcW w:w="431" w:type="pct"/>
            <w:tcBorders>
              <w:top w:val="single" w:color="auto" w:sz="2" w:space="0"/>
            </w:tcBorders>
            <w:shd w:val="clear" w:color="auto" w:fill="auto"/>
            <w:vAlign w:val="center"/>
          </w:tcPr>
          <w:p>
            <w:pPr>
              <w:spacing w:line="320" w:lineRule="exact"/>
              <w:jc w:val="both"/>
              <w:rPr>
                <w:rFonts w:hAnsi="宋体" w:cs="宋体"/>
                <w:sz w:val="21"/>
              </w:rPr>
            </w:pPr>
            <w:r>
              <w:rPr>
                <w:rFonts w:hint="eastAsia" w:hAnsi="宋体" w:cs="宋体"/>
                <w:sz w:val="21"/>
              </w:rPr>
              <w:t>餐厨管理</w:t>
            </w:r>
          </w:p>
        </w:tc>
        <w:tc>
          <w:tcPr>
            <w:tcW w:w="2435" w:type="pct"/>
            <w:tcBorders>
              <w:top w:val="single" w:color="auto" w:sz="2" w:space="0"/>
            </w:tcBorders>
            <w:shd w:val="clear" w:color="auto" w:fill="auto"/>
            <w:vAlign w:val="center"/>
          </w:tcPr>
          <w:p>
            <w:pPr>
              <w:spacing w:line="320" w:lineRule="exact"/>
              <w:jc w:val="both"/>
              <w:rPr>
                <w:rFonts w:hAnsi="宋体" w:cs="宋体"/>
                <w:sz w:val="21"/>
              </w:rPr>
            </w:pPr>
            <w:r>
              <w:rPr>
                <w:rFonts w:hint="eastAsia" w:hAnsi="宋体" w:cs="宋体"/>
                <w:sz w:val="21"/>
              </w:rPr>
              <w:t>1.未按甲方认可菜谱提供膳食的每次扣2分。</w:t>
            </w:r>
          </w:p>
          <w:p>
            <w:pPr>
              <w:spacing w:line="320" w:lineRule="exact"/>
              <w:jc w:val="both"/>
              <w:rPr>
                <w:rFonts w:hAnsi="宋体" w:cs="宋体"/>
                <w:sz w:val="21"/>
              </w:rPr>
            </w:pPr>
            <w:r>
              <w:rPr>
                <w:rFonts w:hint="eastAsia" w:hAnsi="宋体" w:cs="宋体"/>
                <w:sz w:val="21"/>
              </w:rPr>
              <w:t>2.按时供应膳食，延期15分钟以上的每次扣1分，超过30分钟的每次扣2分。</w:t>
            </w:r>
          </w:p>
          <w:p>
            <w:pPr>
              <w:spacing w:line="320" w:lineRule="exact"/>
              <w:jc w:val="both"/>
              <w:rPr>
                <w:rFonts w:hAnsi="宋体" w:cs="宋体"/>
                <w:sz w:val="21"/>
              </w:rPr>
            </w:pPr>
            <w:r>
              <w:rPr>
                <w:rFonts w:hint="eastAsia" w:hAnsi="宋体" w:cs="宋体"/>
                <w:sz w:val="21"/>
              </w:rPr>
              <w:t>3.食品未清洗干净存有石粒的每次扣1分，出现污泥、毛发、线条、塑料等不合理杂物的每次扣2分，出现蟑螂、苍蝇等每次扣15分。</w:t>
            </w:r>
          </w:p>
          <w:p>
            <w:pPr>
              <w:spacing w:line="320" w:lineRule="exact"/>
              <w:jc w:val="both"/>
              <w:rPr>
                <w:rFonts w:hAnsi="宋体" w:cs="宋体"/>
                <w:sz w:val="21"/>
              </w:rPr>
            </w:pPr>
            <w:r>
              <w:rPr>
                <w:rFonts w:hint="eastAsia" w:hAnsi="宋体" w:cs="宋体"/>
                <w:sz w:val="21"/>
              </w:rPr>
              <w:t>4.未按规定烹饪食物，出现烹饪食物未熟的每次扣2分。</w:t>
            </w:r>
          </w:p>
          <w:p>
            <w:pPr>
              <w:spacing w:line="320" w:lineRule="exact"/>
              <w:jc w:val="both"/>
              <w:rPr>
                <w:rFonts w:hAnsi="宋体" w:cs="宋体"/>
                <w:sz w:val="21"/>
              </w:rPr>
            </w:pPr>
            <w:r>
              <w:rPr>
                <w:rFonts w:hint="eastAsia" w:hAnsi="宋体" w:cs="宋体"/>
                <w:sz w:val="21"/>
              </w:rPr>
              <w:t>5.提供腐烂、变质、异味食物的每次扣15分。</w:t>
            </w:r>
          </w:p>
          <w:p>
            <w:pPr>
              <w:spacing w:line="320" w:lineRule="exact"/>
              <w:jc w:val="both"/>
              <w:rPr>
                <w:rFonts w:hAnsi="宋体" w:cs="宋体"/>
                <w:sz w:val="21"/>
              </w:rPr>
            </w:pPr>
            <w:r>
              <w:rPr>
                <w:rFonts w:hint="eastAsia" w:hAnsi="宋体" w:cs="宋体"/>
                <w:sz w:val="21"/>
              </w:rPr>
              <w:t>6.新鲜的蔬菜未按一洗二浸三烫四炒的顺序操作，未进行除农药残余处理的每次扣5分。</w:t>
            </w:r>
          </w:p>
          <w:p>
            <w:pPr>
              <w:spacing w:line="320" w:lineRule="exact"/>
              <w:jc w:val="both"/>
              <w:rPr>
                <w:rFonts w:hAnsi="宋体" w:cs="宋体"/>
                <w:sz w:val="21"/>
              </w:rPr>
            </w:pPr>
            <w:r>
              <w:rPr>
                <w:rFonts w:hint="eastAsia" w:hAnsi="宋体" w:cs="宋体"/>
                <w:sz w:val="21"/>
              </w:rPr>
              <w:t>7.提供腐烂、变质、异味食物的每次扣15分。</w:t>
            </w:r>
          </w:p>
          <w:p>
            <w:pPr>
              <w:spacing w:line="320" w:lineRule="exact"/>
              <w:jc w:val="both"/>
              <w:rPr>
                <w:rFonts w:hAnsi="宋体" w:cs="宋体"/>
                <w:sz w:val="21"/>
              </w:rPr>
            </w:pPr>
            <w:r>
              <w:rPr>
                <w:rFonts w:hint="eastAsia" w:hAnsi="宋体" w:cs="宋体"/>
                <w:sz w:val="21"/>
              </w:rPr>
              <w:t>新鲜的蔬菜未按一洗二浸三烫四炒的顺序操作，未进行除农药残余处理的每次扣5分。</w:t>
            </w:r>
          </w:p>
          <w:p>
            <w:pPr>
              <w:spacing w:line="320" w:lineRule="exact"/>
              <w:jc w:val="both"/>
              <w:rPr>
                <w:rFonts w:hAnsi="宋体" w:cs="宋体"/>
                <w:sz w:val="21"/>
              </w:rPr>
            </w:pPr>
            <w:r>
              <w:rPr>
                <w:rFonts w:hint="eastAsia" w:hAnsi="宋体" w:cs="宋体"/>
                <w:sz w:val="21"/>
              </w:rPr>
              <w:t>8.未按动物性食品、植物性食品分池清洗要求的每次扣2分。</w:t>
            </w:r>
          </w:p>
          <w:p>
            <w:pPr>
              <w:spacing w:line="320" w:lineRule="exact"/>
              <w:jc w:val="both"/>
              <w:rPr>
                <w:rFonts w:hAnsi="宋体" w:cs="宋体"/>
                <w:sz w:val="21"/>
              </w:rPr>
            </w:pPr>
            <w:r>
              <w:rPr>
                <w:rFonts w:hint="eastAsia" w:hAnsi="宋体" w:cs="宋体"/>
                <w:sz w:val="21"/>
              </w:rPr>
              <w:t>9.未按规定进行食品留样或未按规定做好留样记录的每次扣5分。</w:t>
            </w:r>
          </w:p>
          <w:p>
            <w:pPr>
              <w:spacing w:line="320" w:lineRule="exact"/>
              <w:jc w:val="both"/>
              <w:rPr>
                <w:rFonts w:hAnsi="宋体" w:cs="宋体"/>
                <w:sz w:val="21"/>
              </w:rPr>
            </w:pPr>
            <w:r>
              <w:rPr>
                <w:rFonts w:hint="eastAsia" w:hAnsi="宋体" w:cs="宋体"/>
                <w:sz w:val="21"/>
              </w:rPr>
              <w:t>10.未按要求对餐具进行定期去渍、定时消毒或未按消毒要求进行消毒操作的每次扣2分；提供给就餐人员使用的餐具中出现饭菜残羹、灰尘、毛发、油渍等垃圾物的每次扣2分。</w:t>
            </w:r>
          </w:p>
          <w:p>
            <w:pPr>
              <w:spacing w:line="320" w:lineRule="exact"/>
              <w:jc w:val="both"/>
              <w:rPr>
                <w:rFonts w:hAnsi="宋体" w:cs="宋体"/>
                <w:sz w:val="21"/>
              </w:rPr>
            </w:pPr>
            <w:r>
              <w:rPr>
                <w:rFonts w:hint="eastAsia" w:hAnsi="宋体" w:cs="宋体"/>
                <w:sz w:val="21"/>
              </w:rPr>
              <w:t>11.未及时清理就餐大厅餐桌卫生，每次扣1分，引起投诉扣2分。</w:t>
            </w:r>
          </w:p>
          <w:p>
            <w:pPr>
              <w:spacing w:line="320" w:lineRule="exact"/>
              <w:jc w:val="both"/>
              <w:rPr>
                <w:rFonts w:hAnsi="宋体" w:cs="宋体"/>
                <w:sz w:val="21"/>
              </w:rPr>
            </w:pPr>
            <w:r>
              <w:rPr>
                <w:rFonts w:hint="eastAsia" w:hAnsi="宋体" w:cs="宋体"/>
                <w:sz w:val="21"/>
              </w:rPr>
              <w:t>12.未按食品贮存要求分开存放生、熟食品的每次扣2分。</w:t>
            </w:r>
          </w:p>
          <w:p>
            <w:pPr>
              <w:spacing w:line="320" w:lineRule="exact"/>
              <w:jc w:val="both"/>
              <w:rPr>
                <w:rFonts w:hAnsi="宋体" w:cs="宋体"/>
                <w:sz w:val="21"/>
              </w:rPr>
            </w:pPr>
            <w:r>
              <w:rPr>
                <w:rFonts w:hint="eastAsia" w:hAnsi="宋体" w:cs="宋体"/>
                <w:sz w:val="21"/>
              </w:rPr>
              <w:t>13.未按要求定期对厨房室内外环境、用具以及厨房通风排烟设施进行清洁的每次扣2分；未对冰箱进行定期清理或未按要求在冰箱内分类存放食物的每次扣3分。</w:t>
            </w:r>
          </w:p>
          <w:p>
            <w:pPr>
              <w:spacing w:line="320" w:lineRule="exact"/>
              <w:jc w:val="both"/>
              <w:rPr>
                <w:rFonts w:hAnsi="宋体" w:cs="宋体"/>
                <w:sz w:val="21"/>
              </w:rPr>
            </w:pPr>
            <w:r>
              <w:rPr>
                <w:rFonts w:hint="eastAsia" w:hAnsi="宋体" w:cs="宋体"/>
                <w:sz w:val="21"/>
              </w:rPr>
              <w:t>14.不得供应隔夜剩餐，每出现一次扣1分。</w:t>
            </w:r>
          </w:p>
          <w:p>
            <w:pPr>
              <w:spacing w:line="320" w:lineRule="exact"/>
              <w:jc w:val="both"/>
              <w:rPr>
                <w:rFonts w:hAnsi="宋体" w:cs="宋体"/>
                <w:sz w:val="21"/>
              </w:rPr>
            </w:pPr>
            <w:r>
              <w:rPr>
                <w:rFonts w:hint="eastAsia" w:hAnsi="宋体" w:cs="宋体"/>
                <w:sz w:val="21"/>
              </w:rPr>
              <w:t>15.如因食品烹饪不当、食材存放不当、器具消毒保洁不到位等原因造成食品安全事故的，解除合同，乙方赔偿由于事故造成的一切损失。</w:t>
            </w:r>
          </w:p>
        </w:tc>
        <w:tc>
          <w:tcPr>
            <w:tcW w:w="410" w:type="pct"/>
            <w:tcBorders>
              <w:top w:val="single" w:color="auto" w:sz="2" w:space="0"/>
            </w:tcBorders>
            <w:shd w:val="clear" w:color="auto" w:fill="auto"/>
            <w:vAlign w:val="center"/>
          </w:tcPr>
          <w:p>
            <w:pPr>
              <w:spacing w:line="320" w:lineRule="exact"/>
              <w:jc w:val="both"/>
              <w:rPr>
                <w:rFonts w:hAnsi="宋体" w:cs="宋体"/>
                <w:sz w:val="21"/>
              </w:rPr>
            </w:pPr>
            <w:r>
              <w:rPr>
                <w:rFonts w:hint="eastAsia" w:hAnsi="宋体" w:cs="宋体"/>
                <w:sz w:val="21"/>
              </w:rPr>
              <w:t>50</w:t>
            </w:r>
          </w:p>
        </w:tc>
        <w:tc>
          <w:tcPr>
            <w:tcW w:w="1239" w:type="pct"/>
            <w:tcBorders>
              <w:top w:val="single" w:color="auto" w:sz="2" w:space="0"/>
            </w:tcBorders>
            <w:shd w:val="clear" w:color="auto" w:fill="auto"/>
            <w:vAlign w:val="center"/>
          </w:tcPr>
          <w:p>
            <w:pPr>
              <w:spacing w:line="320" w:lineRule="exact"/>
              <w:jc w:val="both"/>
              <w:rPr>
                <w:rFonts w:hAnsi="宋体" w:cs="宋体"/>
                <w:sz w:val="21"/>
              </w:rPr>
            </w:pPr>
            <w:r>
              <w:rPr>
                <w:rFonts w:hint="eastAsia" w:hAnsi="宋体" w:cs="宋体"/>
                <w:sz w:val="21"/>
              </w:rPr>
              <w:t>每条中出现一次不符合，按要求扣分。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4" w:type="pct"/>
            <w:tcBorders>
              <w:bottom w:val="single" w:color="auto" w:sz="2" w:space="0"/>
            </w:tcBorders>
            <w:shd w:val="clear" w:color="auto" w:fill="auto"/>
            <w:vAlign w:val="center"/>
          </w:tcPr>
          <w:p>
            <w:pPr>
              <w:spacing w:line="320" w:lineRule="exact"/>
              <w:jc w:val="both"/>
              <w:rPr>
                <w:rFonts w:hAnsi="宋体" w:cs="宋体"/>
                <w:sz w:val="21"/>
              </w:rPr>
            </w:pPr>
            <w:r>
              <w:rPr>
                <w:rFonts w:hint="eastAsia" w:hAnsi="宋体" w:cs="宋体"/>
                <w:sz w:val="21"/>
              </w:rPr>
              <w:t>2</w:t>
            </w:r>
          </w:p>
        </w:tc>
        <w:tc>
          <w:tcPr>
            <w:tcW w:w="431"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hAnsi="宋体" w:cs="宋体"/>
                <w:sz w:val="21"/>
              </w:rPr>
              <w:t>服务管理</w:t>
            </w:r>
          </w:p>
        </w:tc>
        <w:tc>
          <w:tcPr>
            <w:tcW w:w="2435" w:type="pct"/>
            <w:tcBorders>
              <w:top w:val="single" w:color="auto" w:sz="2" w:space="0"/>
              <w:left w:val="single" w:color="auto" w:sz="2" w:space="0"/>
              <w:bottom w:val="single" w:color="auto" w:sz="2" w:space="0"/>
              <w:right w:val="single" w:color="auto" w:sz="2" w:space="0"/>
            </w:tcBorders>
            <w:shd w:val="clear" w:color="auto" w:fill="auto"/>
          </w:tcPr>
          <w:p>
            <w:pPr>
              <w:spacing w:line="320" w:lineRule="exact"/>
              <w:jc w:val="both"/>
              <w:rPr>
                <w:rFonts w:hAnsi="宋体" w:cs="宋体"/>
                <w:sz w:val="21"/>
              </w:rPr>
            </w:pPr>
            <w:r>
              <w:rPr>
                <w:rFonts w:hint="eastAsia" w:hAnsi="宋体" w:cs="宋体"/>
                <w:sz w:val="21"/>
              </w:rPr>
              <w:t>16.服务人员出现明显症状带病上岗，视情况扣2分/人次。</w:t>
            </w:r>
          </w:p>
          <w:p>
            <w:pPr>
              <w:spacing w:line="320" w:lineRule="exact"/>
              <w:jc w:val="both"/>
              <w:rPr>
                <w:rFonts w:hAnsi="宋体" w:cs="宋体"/>
                <w:sz w:val="21"/>
              </w:rPr>
            </w:pPr>
            <w:r>
              <w:rPr>
                <w:rFonts w:hint="eastAsia" w:hAnsi="宋体" w:cs="宋体"/>
                <w:sz w:val="21"/>
              </w:rPr>
              <w:t>17.服务人员出现着装、个人卫生问题或未按卫生要求进行服务的每次扣1分。</w:t>
            </w:r>
          </w:p>
          <w:p>
            <w:pPr>
              <w:spacing w:line="320" w:lineRule="exact"/>
              <w:jc w:val="both"/>
              <w:rPr>
                <w:rFonts w:hAnsi="宋体" w:cs="宋体"/>
                <w:sz w:val="21"/>
              </w:rPr>
            </w:pPr>
            <w:r>
              <w:rPr>
                <w:rFonts w:hint="eastAsia" w:hAnsi="宋体" w:cs="宋体"/>
                <w:sz w:val="21"/>
              </w:rPr>
              <w:t>18.服务人员在服务过程中从事与服务无关事项或不使用文明用语的每次扣1分，服务态度恶劣的，视情况每次扣3-5分。</w:t>
            </w:r>
          </w:p>
          <w:p>
            <w:pPr>
              <w:spacing w:line="320" w:lineRule="exact"/>
              <w:jc w:val="both"/>
              <w:rPr>
                <w:rFonts w:hAnsi="宋体" w:cs="宋体"/>
                <w:sz w:val="21"/>
              </w:rPr>
            </w:pPr>
            <w:r>
              <w:rPr>
                <w:rFonts w:hint="eastAsia" w:hAnsi="宋体" w:cs="宋体"/>
                <w:sz w:val="21"/>
              </w:rPr>
              <w:t>19.未对服务人员进行教育培训，服务人员未按要求进行原材料收验、领取查验、加工操作或未按食品烹饪的各个环节要求操作的每次扣1分，属甲方组织专项检查过程中发现的每次扣3分。</w:t>
            </w:r>
          </w:p>
          <w:p>
            <w:pPr>
              <w:spacing w:line="320" w:lineRule="exact"/>
              <w:jc w:val="both"/>
              <w:rPr>
                <w:rFonts w:hAnsi="宋体" w:cs="宋体"/>
                <w:sz w:val="21"/>
              </w:rPr>
            </w:pPr>
            <w:r>
              <w:rPr>
                <w:rFonts w:hint="eastAsia" w:hAnsi="宋体" w:cs="宋体"/>
                <w:sz w:val="21"/>
              </w:rPr>
              <w:t>20.未按要求进行台账登记或台账登记不规范的每次扣1分，台账登记造假的每次扣2分。</w:t>
            </w:r>
          </w:p>
          <w:p>
            <w:pPr>
              <w:spacing w:line="320" w:lineRule="exact"/>
              <w:jc w:val="both"/>
              <w:rPr>
                <w:rFonts w:hAnsi="宋体" w:cs="宋体"/>
                <w:sz w:val="21"/>
              </w:rPr>
            </w:pPr>
            <w:r>
              <w:rPr>
                <w:rFonts w:hint="eastAsia" w:hAnsi="宋体" w:cs="宋体"/>
                <w:sz w:val="21"/>
              </w:rPr>
              <w:t>21.未按要求对人员监督栏、从业人员健康证、就餐大厅检查表、餐具洗消记录、菜品等公示的每次扣1分。</w:t>
            </w:r>
          </w:p>
          <w:p>
            <w:pPr>
              <w:spacing w:line="320" w:lineRule="exact"/>
              <w:jc w:val="both"/>
              <w:rPr>
                <w:rFonts w:hAnsi="宋体" w:cs="宋体"/>
                <w:sz w:val="21"/>
              </w:rPr>
            </w:pPr>
            <w:r>
              <w:rPr>
                <w:rFonts w:hint="eastAsia" w:hAnsi="宋体" w:cs="宋体"/>
                <w:sz w:val="21"/>
              </w:rPr>
              <w:t>22.未按要求制定相应消防安全管理制度或未安排消防安全员的扣2分，消防安全员未落实消防安全要求的每次扣1分。</w:t>
            </w:r>
          </w:p>
          <w:p>
            <w:pPr>
              <w:spacing w:line="320" w:lineRule="exact"/>
              <w:jc w:val="both"/>
              <w:rPr>
                <w:rFonts w:hAnsi="宋体" w:cs="宋体"/>
                <w:sz w:val="21"/>
              </w:rPr>
            </w:pPr>
            <w:r>
              <w:rPr>
                <w:rFonts w:hint="eastAsia" w:hAnsi="宋体" w:cs="宋体"/>
                <w:sz w:val="21"/>
              </w:rPr>
              <w:t>23.出现乙方利用甲方场地及设备加工、制作、向外部销售食品、物品的，每次扣20分。</w:t>
            </w:r>
          </w:p>
          <w:p>
            <w:pPr>
              <w:spacing w:line="320" w:lineRule="exact"/>
              <w:jc w:val="both"/>
              <w:rPr>
                <w:rFonts w:hAnsi="宋体" w:cs="宋体"/>
                <w:sz w:val="21"/>
              </w:rPr>
            </w:pPr>
            <w:r>
              <w:rPr>
                <w:rFonts w:hint="eastAsia" w:hAnsi="宋体" w:cs="宋体"/>
                <w:sz w:val="21"/>
              </w:rPr>
              <w:t>24.出现乙方工作人员未经许可对外泄露甲方工作秘密的每次扣15分，造成恶劣影响的扣40分。</w:t>
            </w:r>
          </w:p>
          <w:p>
            <w:pPr>
              <w:spacing w:line="320" w:lineRule="exact"/>
              <w:jc w:val="both"/>
              <w:rPr>
                <w:rFonts w:hAnsi="宋体" w:cs="宋体"/>
                <w:sz w:val="21"/>
              </w:rPr>
            </w:pPr>
            <w:r>
              <w:rPr>
                <w:rFonts w:hint="eastAsia" w:hAnsi="宋体" w:cs="宋体"/>
                <w:sz w:val="21"/>
              </w:rPr>
              <w:t>25.服务人员未按甲方和相关规则要求操作，不服从甲方和相关规则工作安排的每次扣5分，情节严重的，扣10分。</w:t>
            </w:r>
          </w:p>
          <w:p>
            <w:pPr>
              <w:spacing w:line="320" w:lineRule="exact"/>
              <w:jc w:val="both"/>
              <w:rPr>
                <w:rFonts w:hAnsi="宋体" w:cs="宋体"/>
                <w:sz w:val="21"/>
              </w:rPr>
            </w:pPr>
            <w:r>
              <w:rPr>
                <w:rFonts w:hint="eastAsia" w:hAnsi="宋体" w:cs="宋体"/>
                <w:sz w:val="21"/>
              </w:rPr>
              <w:t>26.发现服务人员私带食品或食品原材料离开食堂范围的每次扣10分。</w:t>
            </w:r>
          </w:p>
        </w:tc>
        <w:tc>
          <w:tcPr>
            <w:tcW w:w="410" w:type="pct"/>
            <w:tcBorders>
              <w:top w:val="single" w:color="auto" w:sz="2" w:space="0"/>
              <w:left w:val="single" w:color="auto" w:sz="2" w:space="0"/>
              <w:bottom w:val="single" w:color="auto" w:sz="2" w:space="0"/>
              <w:right w:val="single" w:color="auto" w:sz="2" w:space="0"/>
            </w:tcBorders>
            <w:shd w:val="clear" w:color="auto" w:fill="auto"/>
            <w:vAlign w:val="center"/>
          </w:tcPr>
          <w:p>
            <w:pPr>
              <w:spacing w:line="320" w:lineRule="exact"/>
              <w:jc w:val="both"/>
              <w:rPr>
                <w:rFonts w:hAnsi="宋体" w:cs="宋体"/>
                <w:sz w:val="21"/>
              </w:rPr>
            </w:pPr>
            <w:r>
              <w:rPr>
                <w:rFonts w:hint="eastAsia" w:hAnsi="宋体" w:cs="宋体"/>
                <w:sz w:val="21"/>
              </w:rPr>
              <w:t>50</w:t>
            </w:r>
          </w:p>
        </w:tc>
        <w:tc>
          <w:tcPr>
            <w:tcW w:w="1239" w:type="pct"/>
            <w:tcBorders>
              <w:bottom w:val="single" w:color="auto" w:sz="2" w:space="0"/>
            </w:tcBorders>
            <w:shd w:val="clear" w:color="auto" w:fill="auto"/>
            <w:vAlign w:val="center"/>
          </w:tcPr>
          <w:p>
            <w:pPr>
              <w:spacing w:line="320" w:lineRule="exact"/>
              <w:jc w:val="both"/>
              <w:rPr>
                <w:rFonts w:hAnsi="宋体" w:cs="宋体"/>
                <w:sz w:val="21"/>
              </w:rPr>
            </w:pPr>
            <w:r>
              <w:rPr>
                <w:rFonts w:hint="eastAsia" w:hAnsi="宋体" w:cs="宋体"/>
                <w:sz w:val="21"/>
              </w:rPr>
              <w:t>每条中出现一次不符合，按要求扣分。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350" w:type="pct"/>
            <w:gridSpan w:val="3"/>
            <w:tcBorders>
              <w:top w:val="single" w:color="auto" w:sz="2" w:space="0"/>
              <w:bottom w:val="single" w:color="auto" w:sz="12" w:space="0"/>
            </w:tcBorders>
            <w:shd w:val="clear" w:color="auto" w:fill="auto"/>
            <w:vAlign w:val="center"/>
          </w:tcPr>
          <w:p>
            <w:pPr>
              <w:spacing w:line="320" w:lineRule="exact"/>
              <w:jc w:val="both"/>
              <w:rPr>
                <w:rFonts w:hAnsi="宋体" w:cs="宋体"/>
                <w:sz w:val="21"/>
              </w:rPr>
            </w:pPr>
            <w:r>
              <w:rPr>
                <w:rFonts w:hint="eastAsia" w:hAnsi="宋体" w:cs="宋体"/>
                <w:sz w:val="21"/>
              </w:rPr>
              <w:t>合计</w:t>
            </w:r>
          </w:p>
        </w:tc>
        <w:tc>
          <w:tcPr>
            <w:tcW w:w="410" w:type="pct"/>
            <w:tcBorders>
              <w:top w:val="single" w:color="auto" w:sz="2" w:space="0"/>
              <w:left w:val="single" w:color="auto" w:sz="2" w:space="0"/>
              <w:bottom w:val="single" w:color="auto" w:sz="12" w:space="0"/>
              <w:right w:val="single" w:color="auto" w:sz="2" w:space="0"/>
            </w:tcBorders>
            <w:shd w:val="clear" w:color="auto" w:fill="auto"/>
            <w:vAlign w:val="center"/>
          </w:tcPr>
          <w:p>
            <w:pPr>
              <w:spacing w:line="320" w:lineRule="exact"/>
              <w:jc w:val="both"/>
              <w:rPr>
                <w:rFonts w:hAnsi="宋体" w:cs="宋体"/>
                <w:sz w:val="21"/>
              </w:rPr>
            </w:pPr>
            <w:r>
              <w:rPr>
                <w:rFonts w:hint="eastAsia" w:hAnsi="宋体" w:cs="宋体"/>
                <w:sz w:val="21"/>
              </w:rPr>
              <w:fldChar w:fldCharType="begin"/>
            </w:r>
            <w:r>
              <w:rPr>
                <w:rFonts w:hint="eastAsia" w:hAnsi="宋体" w:cs="宋体"/>
                <w:sz w:val="21"/>
              </w:rPr>
              <w:instrText xml:space="preserve"> =SUM(ABOVE) </w:instrText>
            </w:r>
            <w:r>
              <w:rPr>
                <w:rFonts w:hint="eastAsia" w:hAnsi="宋体" w:cs="宋体"/>
                <w:sz w:val="21"/>
              </w:rPr>
              <w:fldChar w:fldCharType="separate"/>
            </w:r>
            <w:r>
              <w:rPr>
                <w:rFonts w:hint="eastAsia" w:hAnsi="宋体" w:cs="宋体"/>
                <w:sz w:val="21"/>
              </w:rPr>
              <w:t>100</w:t>
            </w:r>
            <w:r>
              <w:rPr>
                <w:rFonts w:hint="eastAsia" w:hAnsi="宋体" w:cs="宋体"/>
                <w:sz w:val="21"/>
              </w:rPr>
              <w:fldChar w:fldCharType="end"/>
            </w:r>
          </w:p>
        </w:tc>
        <w:tc>
          <w:tcPr>
            <w:tcW w:w="1239" w:type="pct"/>
            <w:tcBorders>
              <w:top w:val="single" w:color="auto" w:sz="2" w:space="0"/>
              <w:bottom w:val="single" w:color="auto" w:sz="12" w:space="0"/>
            </w:tcBorders>
            <w:shd w:val="clear" w:color="auto" w:fill="auto"/>
          </w:tcPr>
          <w:p>
            <w:pPr>
              <w:kinsoku w:val="0"/>
              <w:autoSpaceDE w:val="0"/>
              <w:autoSpaceDN w:val="0"/>
              <w:adjustRightInd w:val="0"/>
              <w:snapToGrid w:val="0"/>
              <w:spacing w:before="36" w:line="358" w:lineRule="auto"/>
              <w:ind w:left="115" w:right="105" w:firstLine="2"/>
              <w:textAlignment w:val="baseline"/>
              <w:rPr>
                <w:rFonts w:ascii="仿宋" w:hAnsi="仿宋" w:eastAsia="仿宋" w:cs="仿宋"/>
                <w:snapToGrid w:val="0"/>
                <w:color w:val="000000"/>
                <w:sz w:val="21"/>
                <w:szCs w:val="21"/>
                <w:lang w:eastAsia="en-US"/>
              </w:rPr>
            </w:pPr>
          </w:p>
        </w:tc>
      </w:tr>
    </w:tbl>
    <w:p>
      <w:pPr>
        <w:pStyle w:val="82"/>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pPr>
        <w:pStyle w:val="2"/>
        <w:spacing w:before="230" w:after="230"/>
        <w:rPr>
          <w:color w:val="C00000"/>
        </w:rPr>
      </w:pPr>
      <w:bookmarkStart w:id="15" w:name="_Toc205281600"/>
      <w:r>
        <w:rPr>
          <w:rFonts w:hint="eastAsia"/>
        </w:rPr>
        <w:t>第四章　合同文本</w:t>
      </w:r>
      <w:bookmarkEnd w:id="15"/>
    </w:p>
    <w:p>
      <w:pPr>
        <w:spacing w:before="230" w:beforeLines="50"/>
        <w:ind w:firstLine="480" w:firstLineChars="200"/>
        <w:jc w:val="both"/>
        <w:rPr>
          <w:b/>
          <w:u w:val="single"/>
        </w:rPr>
      </w:pPr>
      <w:r>
        <w:rPr>
          <w:b/>
        </w:rPr>
        <w:t>甲方（采购人）：</w:t>
      </w:r>
      <w:r>
        <w:rPr>
          <w:b/>
          <w:u w:val="single"/>
        </w:rPr>
        <w:t xml:space="preserve">                     </w:t>
      </w:r>
    </w:p>
    <w:p>
      <w:pPr>
        <w:ind w:firstLine="480" w:firstLineChars="200"/>
        <w:jc w:val="both"/>
        <w:rPr>
          <w:b/>
        </w:rPr>
      </w:pPr>
      <w:r>
        <w:rPr>
          <w:b/>
        </w:rPr>
        <w:t>乙方（中标供应商）：</w:t>
      </w:r>
      <w:r>
        <w:rPr>
          <w:color w:val="C00000"/>
        </w:rPr>
        <w:t>_________________</w:t>
      </w:r>
    </w:p>
    <w:p>
      <w:pPr>
        <w:ind w:firstLine="480" w:firstLineChars="200"/>
        <w:rPr>
          <w:color w:val="7030A0"/>
        </w:rPr>
      </w:pPr>
    </w:p>
    <w:p>
      <w:pPr>
        <w:ind w:firstLine="567"/>
        <w:rPr>
          <w:rFonts w:cstheme="minorHAnsi"/>
        </w:rPr>
      </w:pPr>
      <w:r>
        <w:rPr>
          <w:rFonts w:hint="eastAsia" w:cstheme="minorHAnsi"/>
        </w:rPr>
        <w:t>根据《中华人民共和国政府采购法》及实施条例、《中华人民共和国民法典》和</w:t>
      </w:r>
      <w:r>
        <w:rPr>
          <w:rFonts w:hint="eastAsia" w:ascii="宋体" w:hAnsi="宋体" w:eastAsia="宋体"/>
        </w:rPr>
        <w:t>西安市公安局</w:t>
      </w:r>
      <w:r>
        <w:rPr>
          <w:rFonts w:ascii="宋体" w:hAnsi="宋体" w:eastAsia="宋体"/>
        </w:rPr>
        <w:t>2025年市局机关（西大街办公区）及驻外单位物业管理服务项目</w:t>
      </w:r>
      <w:r>
        <w:rPr>
          <w:rFonts w:cstheme="minorHAnsi"/>
          <w:color w:val="000000"/>
        </w:rPr>
        <w:t>（项目编号：</w:t>
      </w:r>
      <w:r>
        <w:rPr>
          <w:rFonts w:cstheme="minorHAnsi"/>
          <w:color w:val="C00000"/>
        </w:rPr>
        <w:t>XCZX2025-0109-2</w:t>
      </w:r>
      <w:r>
        <w:rPr>
          <w:rFonts w:cstheme="minorHAnsi"/>
          <w:color w:val="000000"/>
        </w:rPr>
        <w:t>）</w:t>
      </w:r>
      <w:r>
        <w:rPr>
          <w:rFonts w:hint="eastAsia" w:cstheme="minorHAnsi"/>
        </w:rPr>
        <w:t>的招标文件、投标文件等有关规定，为确保甲方采购项目的顺利实施，甲、乙双方在平等自愿原则下签订本合同，并共同遵守如下条款：</w:t>
      </w:r>
    </w:p>
    <w:p>
      <w:pPr>
        <w:spacing w:before="60"/>
        <w:ind w:firstLine="567"/>
        <w:rPr>
          <w:rFonts w:cstheme="minorHAnsi"/>
          <w:b/>
        </w:rPr>
      </w:pPr>
      <w:r>
        <w:rPr>
          <w:rFonts w:hint="eastAsia" w:cstheme="minorHAnsi"/>
          <w:b/>
        </w:rPr>
        <w:t>第一条　项目基本情况</w:t>
      </w:r>
    </w:p>
    <w:p>
      <w:pPr>
        <w:ind w:firstLine="480" w:firstLineChars="200"/>
        <w:rPr>
          <w:rFonts w:cstheme="minorHAnsi"/>
        </w:rPr>
      </w:pPr>
      <w:r>
        <w:rPr>
          <w:rFonts w:hint="eastAsia" w:cstheme="minorHAnsi"/>
        </w:rPr>
        <w:t>1．</w:t>
      </w:r>
      <w:r>
        <w:rPr>
          <w:rFonts w:cstheme="minorHAnsi"/>
        </w:rPr>
        <w:t>采购标的：</w:t>
      </w:r>
      <w:r>
        <w:rPr>
          <w:rFonts w:hint="eastAsia"/>
        </w:rPr>
        <w:t>___________________________________</w:t>
      </w:r>
      <w:r>
        <w:t>________</w:t>
      </w:r>
    </w:p>
    <w:p>
      <w:pPr>
        <w:ind w:firstLine="480" w:firstLineChars="200"/>
        <w:rPr>
          <w:rFonts w:cstheme="minorHAnsi"/>
        </w:rPr>
      </w:pPr>
      <w:r>
        <w:rPr>
          <w:rFonts w:cstheme="minorHAnsi"/>
        </w:rPr>
        <w:t>2</w:t>
      </w:r>
      <w:r>
        <w:rPr>
          <w:rFonts w:hint="eastAsia" w:cstheme="minorHAnsi"/>
        </w:rPr>
        <w:t>．服务期限：</w:t>
      </w:r>
      <w:r>
        <w:rPr>
          <w:rFonts w:hint="eastAsia"/>
        </w:rPr>
        <w:t>___________________________________</w:t>
      </w:r>
      <w:r>
        <w:t>________</w:t>
      </w:r>
      <w:r>
        <w:rPr>
          <w:rFonts w:cstheme="minorHAnsi"/>
        </w:rPr>
        <w:t xml:space="preserve"> </w:t>
      </w:r>
    </w:p>
    <w:p>
      <w:pPr>
        <w:ind w:firstLine="480" w:firstLineChars="200"/>
        <w:rPr>
          <w:rFonts w:cstheme="minorHAnsi"/>
        </w:rPr>
      </w:pPr>
      <w:r>
        <w:rPr>
          <w:rFonts w:cstheme="minorHAnsi"/>
        </w:rPr>
        <w:t>3．</w:t>
      </w:r>
      <w:r>
        <w:rPr>
          <w:rFonts w:hint="eastAsia" w:cstheme="minorHAnsi"/>
        </w:rPr>
        <w:t>服务</w:t>
      </w:r>
      <w:r>
        <w:rPr>
          <w:rFonts w:cstheme="minorHAnsi"/>
        </w:rPr>
        <w:t>地点：</w:t>
      </w:r>
      <w:r>
        <w:rPr>
          <w:rFonts w:hint="eastAsia" w:cstheme="minorHAnsi"/>
        </w:rPr>
        <w:t>甲方指定地点。</w:t>
      </w:r>
    </w:p>
    <w:p>
      <w:pPr>
        <w:spacing w:before="60"/>
        <w:ind w:firstLine="567"/>
        <w:rPr>
          <w:rFonts w:cstheme="minorHAnsi"/>
          <w:b/>
        </w:rPr>
      </w:pPr>
      <w:r>
        <w:rPr>
          <w:rFonts w:hint="eastAsia" w:cstheme="minorHAnsi"/>
          <w:b/>
        </w:rPr>
        <w:t>第二条　合同价款及支付方式</w:t>
      </w:r>
    </w:p>
    <w:p>
      <w:pPr>
        <w:pStyle w:val="41"/>
        <w:ind w:firstLine="480" w:firstLineChars="200"/>
        <w:rPr>
          <w:rFonts w:asciiTheme="minorEastAsia" w:hAnsiTheme="minorEastAsia" w:eastAsiaTheme="minorEastAsia"/>
          <w:sz w:val="24"/>
          <w:szCs w:val="24"/>
        </w:rPr>
      </w:pPr>
      <w:r>
        <w:rPr>
          <w:rFonts w:hint="eastAsia" w:cs="Calibri Light" w:asciiTheme="minorEastAsia" w:hAnsiTheme="minorEastAsia" w:eastAsiaTheme="minorEastAsia"/>
          <w:sz w:val="24"/>
          <w:szCs w:val="24"/>
        </w:rPr>
        <w:t>1．合同总价为人民币（大写）</w:t>
      </w:r>
      <w:r>
        <w:rPr>
          <w:rFonts w:cs="Calibri Light" w:asciiTheme="minorEastAsia" w:hAnsiTheme="minorEastAsia" w:eastAsiaTheme="minorEastAsia"/>
          <w:sz w:val="24"/>
          <w:szCs w:val="24"/>
          <w:u w:val="single"/>
        </w:rPr>
        <w:t>_________</w:t>
      </w:r>
      <w:r>
        <w:rPr>
          <w:rFonts w:hint="eastAsia" w:cs="Calibri Light" w:asciiTheme="minorEastAsia" w:hAnsiTheme="minorEastAsia" w:eastAsiaTheme="minorEastAsia"/>
          <w:sz w:val="24"/>
          <w:szCs w:val="24"/>
        </w:rPr>
        <w:t>小写：</w:t>
      </w:r>
      <w:r>
        <w:rPr>
          <w:rFonts w:cs="Calibri" w:asciiTheme="minorEastAsia" w:hAnsiTheme="minorEastAsia" w:eastAsiaTheme="minorEastAsia"/>
          <w:sz w:val="24"/>
          <w:szCs w:val="24"/>
        </w:rPr>
        <w:t>¥</w:t>
      </w:r>
      <w:r>
        <w:rPr>
          <w:rFonts w:cs="仿宋" w:asciiTheme="minorEastAsia" w:hAnsiTheme="minorEastAsia" w:eastAsiaTheme="minorEastAsia"/>
          <w:sz w:val="24"/>
          <w:szCs w:val="24"/>
        </w:rPr>
        <w:t>_________</w:t>
      </w:r>
      <w:r>
        <w:rPr>
          <w:rFonts w:hint="eastAsia" w:cs="仿宋" w:asciiTheme="minorEastAsia" w:hAnsiTheme="minorEastAsia" w:eastAsiaTheme="minorEastAsia"/>
          <w:sz w:val="24"/>
          <w:szCs w:val="24"/>
        </w:rPr>
        <w:t>元。</w:t>
      </w:r>
      <w:r>
        <w:rPr>
          <w:rFonts w:hint="eastAsia" w:asciiTheme="minorEastAsia" w:hAnsiTheme="minorEastAsia" w:eastAsiaTheme="minorEastAsia"/>
          <w:sz w:val="24"/>
          <w:szCs w:val="24"/>
        </w:rPr>
        <w:t>包括管理</w:t>
      </w:r>
      <w:r>
        <w:rPr>
          <w:rFonts w:asciiTheme="minorEastAsia" w:hAnsiTheme="minorEastAsia" w:eastAsiaTheme="minorEastAsia"/>
          <w:sz w:val="24"/>
          <w:szCs w:val="24"/>
        </w:rPr>
        <w:t>物业服务费</w:t>
      </w:r>
      <w:r>
        <w:rPr>
          <w:rFonts w:hint="eastAsia" w:asciiTheme="minorEastAsia" w:hAnsiTheme="minorEastAsia" w:eastAsiaTheme="minorEastAsia"/>
          <w:sz w:val="24"/>
          <w:szCs w:val="24"/>
        </w:rPr>
        <w:t>、</w:t>
      </w:r>
      <w:r>
        <w:rPr>
          <w:rFonts w:asciiTheme="minorEastAsia" w:hAnsiTheme="minorEastAsia" w:eastAsiaTheme="minorEastAsia"/>
          <w:sz w:val="24"/>
          <w:szCs w:val="24"/>
        </w:rPr>
        <w:t>人员工资发放、社保缴纳、节假日加班费、员工食宿费、清洁材料、保洁设施设备及工具、安保工具及设备、人身意外保险费，企业法定利润、财务费用、管理费用和税金及乙方认为需要的其他一切费用。人员的工资、社保、福利等必须符合国家及省、市相关法律法规所规定的标准要求</w:t>
      </w:r>
      <w:r>
        <w:rPr>
          <w:rFonts w:hint="eastAsia" w:asciiTheme="minorEastAsia" w:hAnsiTheme="minorEastAsia" w:eastAsiaTheme="minorEastAsia"/>
          <w:sz w:val="24"/>
          <w:szCs w:val="24"/>
        </w:rPr>
        <w:t>。系固定不变价格，不受市场价格变化因素的影响。</w:t>
      </w:r>
    </w:p>
    <w:p>
      <w:pPr>
        <w:pStyle w:val="41"/>
        <w:ind w:firstLine="480" w:firstLineChars="200"/>
        <w:rPr>
          <w:rFonts w:asciiTheme="minorEastAsia" w:hAnsiTheme="minorEastAsia" w:eastAsiaTheme="minorEastAsia" w:cstheme="minorHAnsi"/>
          <w:sz w:val="24"/>
          <w:szCs w:val="24"/>
        </w:rPr>
      </w:pPr>
      <w:r>
        <w:rPr>
          <w:rFonts w:asciiTheme="minorEastAsia" w:hAnsiTheme="minorEastAsia" w:eastAsiaTheme="minorEastAsia" w:cstheme="minorHAnsi"/>
          <w:sz w:val="24"/>
          <w:szCs w:val="24"/>
        </w:rPr>
        <w:t>2</w:t>
      </w:r>
      <w:r>
        <w:rPr>
          <w:rFonts w:asciiTheme="minorEastAsia" w:hAnsiTheme="minorEastAsia" w:eastAsiaTheme="minorEastAsia" w:cstheme="minorHAnsi"/>
          <w:color w:val="000000"/>
          <w:sz w:val="24"/>
          <w:szCs w:val="24"/>
        </w:rPr>
        <w:t>．</w:t>
      </w:r>
      <w:r>
        <w:rPr>
          <w:rFonts w:hint="eastAsia" w:asciiTheme="minorEastAsia" w:hAnsiTheme="minorEastAsia" w:eastAsiaTheme="minorEastAsia" w:cstheme="minorHAnsi"/>
          <w:sz w:val="24"/>
          <w:szCs w:val="24"/>
        </w:rPr>
        <w:t>支付方式：</w:t>
      </w:r>
      <w:r>
        <w:rPr>
          <w:rFonts w:asciiTheme="minorEastAsia" w:hAnsiTheme="minorEastAsia" w:eastAsiaTheme="minorEastAsia" w:cstheme="minorHAnsi"/>
          <w:sz w:val="24"/>
          <w:szCs w:val="24"/>
        </w:rPr>
        <w:t>银行转账。</w:t>
      </w:r>
    </w:p>
    <w:p>
      <w:pPr>
        <w:pStyle w:val="41"/>
        <w:ind w:firstLine="480" w:firstLineChars="200"/>
        <w:rPr>
          <w:rFonts w:asciiTheme="minorEastAsia" w:hAnsiTheme="minorEastAsia" w:eastAsiaTheme="minorEastAsia" w:cstheme="minorHAnsi"/>
          <w:sz w:val="24"/>
          <w:szCs w:val="24"/>
        </w:rPr>
      </w:pPr>
      <w:r>
        <w:rPr>
          <w:rFonts w:asciiTheme="minorEastAsia" w:hAnsiTheme="minorEastAsia" w:eastAsiaTheme="minorEastAsia" w:cstheme="minorHAnsi"/>
          <w:sz w:val="24"/>
          <w:szCs w:val="24"/>
        </w:rPr>
        <w:t>3</w:t>
      </w:r>
      <w:r>
        <w:rPr>
          <w:rFonts w:hint="eastAsia" w:asciiTheme="minorEastAsia" w:hAnsiTheme="minorEastAsia" w:eastAsiaTheme="minorEastAsia" w:cstheme="minorHAnsi"/>
          <w:sz w:val="24"/>
          <w:szCs w:val="24"/>
        </w:rPr>
        <w:t>．支付进度：</w:t>
      </w:r>
      <w:r>
        <w:rPr>
          <w:rFonts w:hint="eastAsia" w:asciiTheme="minorEastAsia" w:hAnsiTheme="minorEastAsia" w:eastAsiaTheme="minorEastAsia"/>
          <w:sz w:val="24"/>
          <w:szCs w:val="24"/>
        </w:rPr>
        <w:t>甲乙双方在签订合同后，乙方开具全额发票，甲方收到发票后于10个工作日内通过银行转账全额付款。</w:t>
      </w:r>
    </w:p>
    <w:p>
      <w:pPr>
        <w:pStyle w:val="41"/>
        <w:ind w:firstLine="480" w:firstLineChars="200"/>
        <w:rPr>
          <w:rFonts w:asciiTheme="minorEastAsia" w:hAnsiTheme="minorEastAsia" w:eastAsiaTheme="minorEastAsia" w:cstheme="minorHAnsi"/>
          <w:sz w:val="24"/>
          <w:szCs w:val="24"/>
        </w:rPr>
      </w:pPr>
      <w:r>
        <w:rPr>
          <w:rFonts w:asciiTheme="minorEastAsia" w:hAnsiTheme="minorEastAsia" w:eastAsiaTheme="minorEastAsia" w:cstheme="minorHAnsi"/>
          <w:sz w:val="24"/>
          <w:szCs w:val="24"/>
        </w:rPr>
        <w:t>4</w:t>
      </w:r>
      <w:r>
        <w:rPr>
          <w:rFonts w:hint="eastAsia" w:asciiTheme="minorEastAsia" w:hAnsiTheme="minorEastAsia" w:eastAsiaTheme="minorEastAsia" w:cstheme="minorHAnsi"/>
          <w:sz w:val="24"/>
          <w:szCs w:val="24"/>
        </w:rPr>
        <w:t>．结算方式：乙方持中标通知书、合同、正式发票（按合同金额直开甲方），与甲方进行结算。</w:t>
      </w:r>
    </w:p>
    <w:p>
      <w:pPr>
        <w:spacing w:before="60"/>
        <w:ind w:firstLine="567"/>
        <w:rPr>
          <w:rFonts w:cstheme="minorHAnsi"/>
          <w:b/>
        </w:rPr>
      </w:pPr>
      <w:r>
        <w:rPr>
          <w:rFonts w:cstheme="minorHAnsi"/>
          <w:b/>
        </w:rPr>
        <w:t>第</w:t>
      </w:r>
      <w:r>
        <w:rPr>
          <w:rFonts w:hint="eastAsia" w:cstheme="minorHAnsi"/>
          <w:b/>
        </w:rPr>
        <w:t>三</w:t>
      </w:r>
      <w:r>
        <w:rPr>
          <w:rFonts w:cstheme="minorHAnsi"/>
          <w:b/>
        </w:rPr>
        <w:t>条</w:t>
      </w:r>
      <w:r>
        <w:rPr>
          <w:rFonts w:hint="eastAsia" w:cstheme="minorHAnsi"/>
          <w:b/>
        </w:rPr>
        <w:t>　</w:t>
      </w:r>
      <w:r>
        <w:rPr>
          <w:rFonts w:cstheme="minorHAnsi"/>
          <w:b/>
        </w:rPr>
        <w:t>质量保证</w:t>
      </w:r>
    </w:p>
    <w:p>
      <w:pPr>
        <w:ind w:firstLine="480" w:firstLineChars="200"/>
        <w:rPr>
          <w:rFonts w:cstheme="minorHAnsi"/>
        </w:rPr>
      </w:pPr>
      <w:r>
        <w:rPr>
          <w:rFonts w:hint="eastAsia" w:cstheme="minorHAnsi"/>
        </w:rPr>
        <w:t>（一）</w:t>
      </w:r>
      <w:r>
        <w:rPr>
          <w:rFonts w:cstheme="minorHAnsi"/>
        </w:rPr>
        <w:t>乙方应配备专门服务小组和项目经理，分工明确，职责清晰</w:t>
      </w:r>
      <w:r>
        <w:rPr>
          <w:rFonts w:hint="eastAsia" w:cstheme="minorHAnsi"/>
        </w:rPr>
        <w:t>（</w:t>
      </w:r>
      <w:r>
        <w:rPr>
          <w:rFonts w:cstheme="minorHAnsi"/>
        </w:rPr>
        <w:t>应有具体成员名单，包括姓名、所在公司、职务、职称、工作职责、联系方式等</w:t>
      </w:r>
      <w:r>
        <w:rPr>
          <w:rFonts w:hint="eastAsia" w:cstheme="minorHAnsi"/>
        </w:rPr>
        <w:t>）</w:t>
      </w:r>
      <w:r>
        <w:rPr>
          <w:rFonts w:cstheme="minorHAnsi"/>
        </w:rPr>
        <w:t>。</w:t>
      </w:r>
    </w:p>
    <w:p>
      <w:pPr>
        <w:ind w:firstLine="480" w:firstLineChars="200"/>
        <w:rPr>
          <w:rFonts w:cstheme="minorHAnsi"/>
        </w:rPr>
      </w:pPr>
      <w:r>
        <w:rPr>
          <w:rFonts w:hint="eastAsia" w:cstheme="minorHAnsi"/>
        </w:rPr>
        <w:t>（二）乙方应当有服务保障措施，如对服务态度、服务质量较差的所有服务人员有具体处罚办法。</w:t>
      </w:r>
    </w:p>
    <w:p>
      <w:pPr>
        <w:ind w:firstLine="480" w:firstLineChars="200"/>
        <w:rPr>
          <w:rFonts w:cstheme="minorHAnsi"/>
        </w:rPr>
      </w:pPr>
      <w:r>
        <w:rPr>
          <w:rFonts w:hint="eastAsia" w:cstheme="minorHAnsi"/>
        </w:rPr>
        <w:t>（三）乙方应当为本项目配备专业设备。</w:t>
      </w:r>
    </w:p>
    <w:p>
      <w:pPr>
        <w:ind w:firstLine="480" w:firstLineChars="200"/>
        <w:rPr>
          <w:rFonts w:cstheme="minorHAnsi"/>
        </w:rPr>
      </w:pPr>
      <w:r>
        <w:rPr>
          <w:rFonts w:hint="eastAsia" w:cstheme="minorHAnsi"/>
        </w:rPr>
        <w:t>（四）乙方对于客户回访有所安排并记录。</w:t>
      </w:r>
    </w:p>
    <w:p>
      <w:pPr>
        <w:ind w:firstLine="480" w:firstLineChars="200"/>
        <w:rPr>
          <w:rFonts w:cstheme="minorHAnsi"/>
        </w:rPr>
      </w:pPr>
      <w:r>
        <w:rPr>
          <w:rFonts w:hint="eastAsia" w:cstheme="minorHAnsi"/>
        </w:rPr>
        <w:t>（五）乙方应当设有单独投诉举报电话，有专人接听记录、受理。</w:t>
      </w:r>
    </w:p>
    <w:p>
      <w:pPr>
        <w:tabs>
          <w:tab w:val="left" w:pos="733"/>
        </w:tabs>
        <w:spacing w:line="363" w:lineRule="exact"/>
        <w:ind w:left="593"/>
        <w:rPr>
          <w:rFonts w:cstheme="minorHAnsi"/>
          <w:b/>
        </w:rPr>
      </w:pPr>
      <w:r>
        <w:rPr>
          <w:rFonts w:cstheme="minorHAnsi"/>
          <w:b/>
        </w:rPr>
        <w:t>第</w:t>
      </w:r>
      <w:r>
        <w:rPr>
          <w:rFonts w:hint="eastAsia" w:cstheme="minorHAnsi"/>
          <w:b/>
        </w:rPr>
        <w:t>四</w:t>
      </w:r>
      <w:r>
        <w:rPr>
          <w:rFonts w:cstheme="minorHAnsi"/>
          <w:b/>
        </w:rPr>
        <w:t>条</w:t>
      </w:r>
      <w:r>
        <w:rPr>
          <w:rFonts w:hint="eastAsia" w:cstheme="minorHAnsi"/>
          <w:b/>
        </w:rPr>
        <w:t>　验收标准及条件</w:t>
      </w:r>
    </w:p>
    <w:p>
      <w:pPr>
        <w:ind w:firstLine="480" w:firstLineChars="200"/>
        <w:rPr>
          <w:rFonts w:cstheme="minorHAnsi"/>
        </w:rPr>
      </w:pPr>
      <w:r>
        <w:rPr>
          <w:rFonts w:hint="eastAsia" w:cstheme="minorHAnsi"/>
        </w:rPr>
        <w:t>（一）服务期满后，甲方根据招标文件和投标文件及相关文件，进行验收，确认服务标准和服务方式是否达到采购要求。</w:t>
      </w:r>
    </w:p>
    <w:p>
      <w:pPr>
        <w:ind w:firstLine="480" w:firstLineChars="200"/>
        <w:rPr>
          <w:rFonts w:cstheme="minorHAnsi"/>
        </w:rPr>
      </w:pPr>
      <w:r>
        <w:rPr>
          <w:rFonts w:hint="eastAsia" w:cstheme="minorHAnsi"/>
        </w:rPr>
        <w:t>（二）甲方组织乙方（必要时请有关专家）进行验收，验收合格后，填写政府采购项目验收单（一式伍份）作为对项目的最终认可。</w:t>
      </w:r>
    </w:p>
    <w:p>
      <w:pPr>
        <w:ind w:firstLine="480" w:firstLineChars="200"/>
        <w:rPr>
          <w:rFonts w:cstheme="minorHAnsi"/>
        </w:rPr>
      </w:pPr>
      <w:r>
        <w:rPr>
          <w:rFonts w:hint="eastAsia" w:cstheme="minorHAnsi"/>
        </w:rPr>
        <w:t>（三）乙方向甲方提供服务过程中的所有资料，以便甲方日后管理。</w:t>
      </w:r>
    </w:p>
    <w:p>
      <w:pPr>
        <w:ind w:firstLine="480" w:firstLineChars="200"/>
        <w:rPr>
          <w:rFonts w:cstheme="minorHAnsi"/>
        </w:rPr>
      </w:pPr>
      <w:r>
        <w:rPr>
          <w:rFonts w:cstheme="minorHAnsi"/>
        </w:rPr>
        <w:t>（四）</w:t>
      </w:r>
      <w:r>
        <w:rPr>
          <w:rFonts w:hint="eastAsia" w:cstheme="minorHAnsi"/>
        </w:rPr>
        <w:t>验收依据：</w:t>
      </w:r>
    </w:p>
    <w:p>
      <w:pPr>
        <w:ind w:firstLine="480" w:firstLineChars="200"/>
        <w:rPr>
          <w:rFonts w:cstheme="minorHAnsi"/>
        </w:rPr>
      </w:pPr>
      <w:r>
        <w:rPr>
          <w:rFonts w:hint="eastAsia" w:cstheme="minorHAnsi"/>
        </w:rPr>
        <w:t>（1）招标文件、投标文件、澄清表（函）；</w:t>
      </w:r>
    </w:p>
    <w:p>
      <w:pPr>
        <w:ind w:firstLine="480" w:firstLineChars="200"/>
        <w:rPr>
          <w:rFonts w:cstheme="minorHAnsi"/>
        </w:rPr>
      </w:pPr>
      <w:r>
        <w:rPr>
          <w:rFonts w:hint="eastAsia" w:cstheme="minorHAnsi"/>
        </w:rPr>
        <w:t>（2）本合同及附件文本；</w:t>
      </w:r>
    </w:p>
    <w:p>
      <w:pPr>
        <w:ind w:firstLine="480" w:firstLineChars="200"/>
        <w:rPr>
          <w:rFonts w:cstheme="minorHAnsi"/>
        </w:rPr>
      </w:pPr>
      <w:r>
        <w:rPr>
          <w:rFonts w:hint="eastAsia" w:cstheme="minorHAnsi"/>
        </w:rPr>
        <w:t>（3）合同签订时国家及行业现行的标准和技术规范。</w:t>
      </w:r>
    </w:p>
    <w:p>
      <w:pPr>
        <w:ind w:firstLine="480" w:firstLineChars="200"/>
        <w:rPr>
          <w:rFonts w:cstheme="minorHAnsi"/>
        </w:rPr>
      </w:pPr>
      <w:r>
        <w:rPr>
          <w:rFonts w:cstheme="minorHAnsi"/>
        </w:rPr>
        <w:t>（五）</w:t>
      </w:r>
      <w:r>
        <w:rPr>
          <w:rFonts w:hint="eastAsia" w:cstheme="minorHAnsi"/>
        </w:rPr>
        <w:t>乙方应向甲方提交项目实施过程中的所有资料，以便甲方日后管理和维护。</w:t>
      </w:r>
    </w:p>
    <w:p>
      <w:pPr>
        <w:spacing w:before="60"/>
        <w:ind w:firstLine="567"/>
        <w:rPr>
          <w:rFonts w:cstheme="minorHAnsi"/>
          <w:b/>
        </w:rPr>
      </w:pPr>
      <w:r>
        <w:rPr>
          <w:rFonts w:hint="eastAsia" w:cstheme="minorHAnsi"/>
          <w:b/>
        </w:rPr>
        <w:t>第五条　</w:t>
      </w:r>
      <w:r>
        <w:rPr>
          <w:rFonts w:cstheme="minorHAnsi"/>
          <w:b/>
        </w:rPr>
        <w:t>双方的权利与义务</w:t>
      </w:r>
    </w:p>
    <w:p>
      <w:pPr>
        <w:ind w:firstLine="480" w:firstLineChars="200"/>
        <w:rPr>
          <w:rFonts w:cstheme="minorHAnsi"/>
        </w:rPr>
      </w:pPr>
      <w:r>
        <w:rPr>
          <w:rFonts w:hint="eastAsia" w:cstheme="minorHAnsi"/>
        </w:rPr>
        <w:t>（一）甲方权利及义务</w:t>
      </w:r>
    </w:p>
    <w:p>
      <w:pPr>
        <w:ind w:firstLine="480" w:firstLineChars="200"/>
        <w:rPr>
          <w:rFonts w:cstheme="minorHAnsi"/>
        </w:rPr>
      </w:pPr>
      <w:r>
        <w:rPr>
          <w:rFonts w:cstheme="minorHAnsi"/>
        </w:rPr>
        <w:t>1．甲方有权对乙方提供的服务进行监督。</w:t>
      </w:r>
    </w:p>
    <w:p>
      <w:pPr>
        <w:ind w:firstLine="480" w:firstLineChars="200"/>
        <w:rPr>
          <w:rFonts w:cstheme="minorHAnsi"/>
        </w:rPr>
      </w:pPr>
      <w:r>
        <w:rPr>
          <w:rFonts w:cstheme="minorHAnsi"/>
        </w:rPr>
        <w:t>2．甲方有权对乙方提供的服务提出指导性建议。</w:t>
      </w:r>
    </w:p>
    <w:p>
      <w:pPr>
        <w:ind w:firstLine="480" w:firstLineChars="200"/>
        <w:rPr>
          <w:rFonts w:cstheme="minorHAnsi"/>
        </w:rPr>
      </w:pPr>
      <w:r>
        <w:rPr>
          <w:rFonts w:cstheme="minorHAnsi"/>
        </w:rPr>
        <w:t>3．甲方应按合同约定及时结付服务费用。</w:t>
      </w:r>
    </w:p>
    <w:p>
      <w:pPr>
        <w:ind w:firstLine="480" w:firstLineChars="200"/>
        <w:rPr>
          <w:rFonts w:cstheme="minorHAnsi"/>
        </w:rPr>
      </w:pPr>
      <w:r>
        <w:rPr>
          <w:rFonts w:hint="eastAsia" w:cstheme="minorHAnsi"/>
        </w:rPr>
        <w:t>（二）乙方权利及义务</w:t>
      </w:r>
    </w:p>
    <w:p>
      <w:pPr>
        <w:ind w:firstLine="480" w:firstLineChars="200"/>
        <w:rPr>
          <w:rFonts w:cstheme="minorHAnsi"/>
        </w:rPr>
      </w:pPr>
      <w:r>
        <w:rPr>
          <w:rFonts w:cstheme="minorHAnsi"/>
        </w:rPr>
        <w:t>1．乙方根据招标要求，确保本项服务如期保质保量完成。</w:t>
      </w:r>
    </w:p>
    <w:p>
      <w:pPr>
        <w:ind w:firstLine="480" w:firstLineChars="200"/>
        <w:rPr>
          <w:rFonts w:cstheme="minorHAnsi"/>
        </w:rPr>
      </w:pPr>
      <w:r>
        <w:rPr>
          <w:rFonts w:cstheme="minorHAnsi"/>
        </w:rPr>
        <w:t>2．乙方服从甲方对服务工作的监督管理。未经甲方同意，不得擅自从事与本项服务工作无关的行为。</w:t>
      </w:r>
    </w:p>
    <w:p>
      <w:pPr>
        <w:ind w:firstLine="480" w:firstLineChars="200"/>
        <w:rPr>
          <w:rFonts w:cstheme="minorHAnsi"/>
        </w:rPr>
      </w:pPr>
      <w:r>
        <w:rPr>
          <w:rFonts w:cstheme="minorHAnsi"/>
        </w:rPr>
        <w:t>3．乙方应保障专业团队的稳定，承担因管理不善而产生的所有风险及损失，并自行承担由此导致的所有法律责任。</w:t>
      </w:r>
    </w:p>
    <w:p>
      <w:pPr>
        <w:spacing w:before="60"/>
        <w:ind w:firstLine="567"/>
        <w:rPr>
          <w:rFonts w:cstheme="minorHAnsi"/>
          <w:b/>
        </w:rPr>
      </w:pPr>
      <w:r>
        <w:rPr>
          <w:rFonts w:hint="eastAsia" w:cstheme="minorHAnsi"/>
          <w:b/>
        </w:rPr>
        <w:t>第六条　违约责任</w:t>
      </w:r>
    </w:p>
    <w:p>
      <w:pPr>
        <w:ind w:firstLine="480" w:firstLineChars="200"/>
        <w:rPr>
          <w:rFonts w:cstheme="minorHAnsi"/>
        </w:rPr>
      </w:pPr>
      <w:r>
        <w:rPr>
          <w:rFonts w:hint="eastAsia" w:cstheme="minorHAnsi"/>
        </w:rPr>
        <w:t>1．甲乙双方必须遵守本合同并执行合同中的各项规定，保证本合同的正常履行。</w:t>
      </w:r>
    </w:p>
    <w:p>
      <w:pPr>
        <w:ind w:firstLine="480" w:firstLineChars="200"/>
        <w:rPr>
          <w:rFonts w:cstheme="minorHAnsi"/>
        </w:rPr>
      </w:pPr>
      <w:r>
        <w:rPr>
          <w:rFonts w:cstheme="minorHAnsi"/>
        </w:rPr>
        <w:t>2</w:t>
      </w:r>
      <w:r>
        <w:rPr>
          <w:rFonts w:hint="eastAsia" w:cstheme="minorHAnsi"/>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ind w:firstLine="480" w:firstLineChars="200"/>
        <w:rPr>
          <w:rFonts w:cstheme="minorHAnsi"/>
        </w:rPr>
      </w:pPr>
      <w:r>
        <w:rPr>
          <w:rFonts w:cstheme="minorHAnsi"/>
        </w:rPr>
        <w:t>3</w:t>
      </w:r>
      <w:r>
        <w:rPr>
          <w:rFonts w:hint="eastAsia" w:cstheme="minorHAnsi"/>
        </w:rPr>
        <w:t>．未按合同要求提供服务或服务质量不能满足合同要求，甲方应当将乙方违约的情况以及拟采取的措施以书面形式报政府采购监管部门，根据政府采购监管部门的处理意见，甲方有权依据《民法典》及</w:t>
      </w:r>
      <w:r>
        <w:rPr>
          <w:rFonts w:cstheme="minorHAnsi"/>
        </w:rPr>
        <w:t>合同</w:t>
      </w:r>
      <w:r>
        <w:rPr>
          <w:rFonts w:hint="eastAsia" w:cstheme="minorHAnsi"/>
        </w:rPr>
        <w:t>有关条款终止合同，并要求乙方承担违约责任。同时，政府采购监管部门有权依据《政府采购法》及相关法律法规对乙方的违法行为进行相应的处罚。</w:t>
      </w:r>
    </w:p>
    <w:p>
      <w:pPr>
        <w:ind w:firstLine="480" w:firstLineChars="200"/>
        <w:rPr>
          <w:rFonts w:cstheme="minorHAnsi"/>
        </w:rPr>
      </w:pPr>
      <w:r>
        <w:rPr>
          <w:rFonts w:cstheme="minorHAnsi"/>
        </w:rPr>
        <w:t>4</w:t>
      </w:r>
      <w:r>
        <w:rPr>
          <w:rFonts w:hint="eastAsia" w:cstheme="minorHAnsi"/>
        </w:rPr>
        <w:t>．由双方按《民法典》中的相关原则经平等协商后补充。</w:t>
      </w:r>
    </w:p>
    <w:p>
      <w:pPr>
        <w:spacing w:before="60"/>
        <w:ind w:firstLine="567"/>
        <w:rPr>
          <w:rFonts w:cstheme="minorHAnsi"/>
          <w:b/>
        </w:rPr>
      </w:pPr>
      <w:r>
        <w:rPr>
          <w:rFonts w:hint="eastAsia" w:cstheme="minorHAnsi"/>
          <w:b/>
        </w:rPr>
        <w:t>第七条　保密条款</w:t>
      </w:r>
    </w:p>
    <w:p>
      <w:pPr>
        <w:ind w:firstLine="480" w:firstLineChars="200"/>
        <w:rPr>
          <w:rFonts w:cstheme="minorHAnsi"/>
        </w:rPr>
      </w:pPr>
      <w:r>
        <w:rPr>
          <w:rFonts w:cstheme="minorHAnsi"/>
        </w:rPr>
        <w:t>（一）乙方应遵守国家有关保密的法律法规和行业规定，并对甲方提供的资料负有保密义务。</w:t>
      </w:r>
    </w:p>
    <w:p>
      <w:pPr>
        <w:ind w:firstLine="480" w:firstLineChars="200"/>
        <w:rPr>
          <w:rFonts w:cstheme="minorHAnsi"/>
        </w:rPr>
      </w:pPr>
      <w:r>
        <w:rPr>
          <w:rFonts w:cstheme="minorHAnsi"/>
        </w:rPr>
        <w:t>（二）本条款为独立条款，本合同的无效、变更、解除和终止均不影响本条款的效力。</w:t>
      </w:r>
    </w:p>
    <w:p>
      <w:pPr>
        <w:spacing w:before="60"/>
        <w:ind w:firstLine="567"/>
        <w:rPr>
          <w:rFonts w:cstheme="minorHAnsi"/>
          <w:b/>
        </w:rPr>
      </w:pPr>
      <w:r>
        <w:rPr>
          <w:rFonts w:hint="eastAsia" w:cstheme="minorHAnsi"/>
          <w:b/>
        </w:rPr>
        <w:t>第八条　不可抗力事件处理</w:t>
      </w:r>
    </w:p>
    <w:p>
      <w:pPr>
        <w:ind w:firstLine="480" w:firstLineChars="200"/>
        <w:rPr>
          <w:rFonts w:cstheme="minorHAnsi"/>
        </w:rPr>
      </w:pPr>
      <w:r>
        <w:rPr>
          <w:rFonts w:hint="eastAsia" w:cstheme="minorHAnsi"/>
        </w:rPr>
        <w:t>1．在合同有效期内，任何一方因不可抗力事件导致不能履行合同，则合同履行期可延长，其延长期与不可抗力影响期相同。</w:t>
      </w:r>
    </w:p>
    <w:p>
      <w:pPr>
        <w:ind w:firstLine="480" w:firstLineChars="200"/>
        <w:rPr>
          <w:rFonts w:cstheme="minorHAnsi"/>
        </w:rPr>
      </w:pPr>
      <w:r>
        <w:rPr>
          <w:rFonts w:hint="eastAsia" w:cstheme="minorHAnsi"/>
        </w:rPr>
        <w:t>2．不可抗力事件发生后，应立即通知对方，并寄送有关权威机构出具的证明。</w:t>
      </w:r>
    </w:p>
    <w:p>
      <w:pPr>
        <w:ind w:firstLine="480" w:firstLineChars="200"/>
        <w:rPr>
          <w:rFonts w:cstheme="minorHAnsi"/>
        </w:rPr>
      </w:pPr>
      <w:r>
        <w:rPr>
          <w:rFonts w:hint="eastAsia" w:cstheme="minorHAnsi"/>
        </w:rPr>
        <w:t>3．不可抗力事件延续</w:t>
      </w:r>
      <w:r>
        <w:rPr>
          <w:rFonts w:cstheme="minorHAnsi"/>
        </w:rPr>
        <w:t>____个日历日</w:t>
      </w:r>
      <w:r>
        <w:rPr>
          <w:rFonts w:hint="eastAsia" w:cstheme="minorHAnsi"/>
        </w:rPr>
        <w:t>以上，双方应通过友好协商，确定是否继续履行合同。</w:t>
      </w:r>
    </w:p>
    <w:p>
      <w:pPr>
        <w:spacing w:before="60"/>
        <w:ind w:firstLine="567"/>
        <w:rPr>
          <w:rFonts w:cstheme="minorHAnsi"/>
          <w:b/>
        </w:rPr>
      </w:pPr>
      <w:r>
        <w:rPr>
          <w:rFonts w:hint="eastAsia" w:cstheme="minorHAnsi"/>
          <w:b/>
        </w:rPr>
        <w:t>第九条　合同的变更和终止</w:t>
      </w:r>
    </w:p>
    <w:p>
      <w:pPr>
        <w:ind w:firstLine="480" w:firstLineChars="200"/>
        <w:rPr>
          <w:rFonts w:cstheme="minorHAnsi"/>
        </w:rPr>
      </w:pPr>
      <w:r>
        <w:rPr>
          <w:rFonts w:hint="eastAsia" w:cstheme="minorHAnsi"/>
        </w:rPr>
        <w:t>除《中华人民共和国政府采购法》第49条、第50条第二款规定的情形外，本合同一经签订，甲乙双方不得擅自变更、中止或终止合同。</w:t>
      </w:r>
    </w:p>
    <w:p>
      <w:pPr>
        <w:spacing w:before="60"/>
        <w:ind w:firstLine="567"/>
        <w:rPr>
          <w:rFonts w:cstheme="minorHAnsi"/>
          <w:b/>
        </w:rPr>
      </w:pPr>
      <w:r>
        <w:rPr>
          <w:rFonts w:hint="eastAsia" w:cstheme="minorHAnsi"/>
          <w:b/>
        </w:rPr>
        <w:t>第十条　解决合同纠纷的方式</w:t>
      </w:r>
    </w:p>
    <w:p>
      <w:pPr>
        <w:ind w:firstLine="480" w:firstLineChars="200"/>
        <w:rPr>
          <w:rFonts w:cstheme="minorHAnsi"/>
        </w:rPr>
      </w:pPr>
      <w:r>
        <w:rPr>
          <w:rFonts w:hint="eastAsia" w:cstheme="minorHAnsi"/>
        </w:rPr>
        <w:t>1．在执行本合同中发生的或与本合同有关的争端，双方应通过友好协商解决，经协商在</w:t>
      </w:r>
      <w:r>
        <w:rPr>
          <w:rFonts w:cstheme="minorHAnsi"/>
        </w:rPr>
        <w:t>___个日历日</w:t>
      </w:r>
      <w:r>
        <w:rPr>
          <w:rFonts w:hint="eastAsia" w:cstheme="minorHAnsi"/>
        </w:rPr>
        <w:t>内不能达成协议时，则向甲方所在地有管辖权的人民法院提起诉讼解决争议：</w:t>
      </w:r>
    </w:p>
    <w:p>
      <w:pPr>
        <w:ind w:firstLine="480" w:firstLineChars="200"/>
        <w:rPr>
          <w:rFonts w:cstheme="minorHAnsi"/>
        </w:rPr>
      </w:pPr>
      <w:r>
        <w:rPr>
          <w:rFonts w:hint="eastAsia" w:cstheme="minorHAnsi"/>
        </w:rPr>
        <w:t>2．在诉讼期间，本合同应继续履行。</w:t>
      </w:r>
    </w:p>
    <w:p>
      <w:pPr>
        <w:spacing w:before="60"/>
        <w:ind w:firstLine="567"/>
        <w:rPr>
          <w:rFonts w:cstheme="minorHAnsi"/>
          <w:b/>
        </w:rPr>
      </w:pPr>
      <w:r>
        <w:rPr>
          <w:rFonts w:hint="eastAsia" w:cstheme="minorHAnsi"/>
          <w:b/>
        </w:rPr>
        <w:t>第十一条　合同生效及其他</w:t>
      </w:r>
    </w:p>
    <w:p>
      <w:pPr>
        <w:ind w:firstLine="480" w:firstLineChars="200"/>
        <w:rPr>
          <w:rFonts w:cstheme="minorHAnsi"/>
        </w:rPr>
      </w:pPr>
      <w:r>
        <w:rPr>
          <w:rFonts w:hint="eastAsia" w:cstheme="minorHAnsi"/>
        </w:rPr>
        <w:t>1．合同经双方法定代表人（负责人）或授权委托代理人签名并加盖单位公章并由采购代理机构盖章后生效。</w:t>
      </w:r>
    </w:p>
    <w:p>
      <w:pPr>
        <w:ind w:firstLine="480" w:firstLineChars="200"/>
        <w:rPr>
          <w:rFonts w:cstheme="minorHAnsi"/>
        </w:rPr>
      </w:pPr>
      <w:r>
        <w:rPr>
          <w:rFonts w:hint="eastAsia" w:cstheme="minorHAnsi"/>
        </w:rPr>
        <w:t>2．合同执行中涉及采购资金和采购内容修改或补充的，须经政府采购监管部门审批，并签书面补充协议报政府采购监督管理部门备案，方可作为主合同不可分割的一部分。招投标文件是合同不可分割的部分。</w:t>
      </w:r>
    </w:p>
    <w:p>
      <w:pPr>
        <w:ind w:firstLine="480" w:firstLineChars="200"/>
        <w:rPr>
          <w:rFonts w:cstheme="minorHAnsi"/>
        </w:rPr>
      </w:pPr>
      <w:r>
        <w:rPr>
          <w:rFonts w:cstheme="minorHAnsi"/>
        </w:rPr>
        <w:t>3、合同一式</w:t>
      </w:r>
      <w:r>
        <w:rPr>
          <w:rFonts w:cstheme="minorHAnsi"/>
          <w:u w:val="single"/>
        </w:rPr>
        <w:t xml:space="preserve">  </w:t>
      </w:r>
      <w:r>
        <w:rPr>
          <w:rFonts w:cstheme="minorHAnsi"/>
        </w:rPr>
        <w:t>份，甲方</w:t>
      </w:r>
      <w:r>
        <w:rPr>
          <w:rFonts w:cstheme="minorHAnsi"/>
          <w:u w:val="single"/>
        </w:rPr>
        <w:t xml:space="preserve">  </w:t>
      </w:r>
      <w:r>
        <w:rPr>
          <w:rFonts w:cstheme="minorHAnsi"/>
        </w:rPr>
        <w:t>份，乙方</w:t>
      </w:r>
      <w:r>
        <w:rPr>
          <w:rFonts w:cstheme="minorHAnsi"/>
          <w:u w:val="single"/>
        </w:rPr>
        <w:t xml:space="preserve">   </w:t>
      </w:r>
      <w:r>
        <w:rPr>
          <w:rFonts w:cstheme="minorHAnsi"/>
        </w:rPr>
        <w:t>份。</w:t>
      </w:r>
    </w:p>
    <w:p>
      <w:pPr>
        <w:spacing w:before="60"/>
        <w:ind w:firstLine="567"/>
        <w:rPr>
          <w:rFonts w:cstheme="minorHAnsi"/>
          <w:b/>
        </w:rPr>
      </w:pPr>
      <w:r>
        <w:rPr>
          <w:rFonts w:hint="eastAsia" w:cstheme="minorHAnsi"/>
          <w:b/>
        </w:rPr>
        <w:t>第十二条　附件</w:t>
      </w:r>
    </w:p>
    <w:p>
      <w:pPr>
        <w:ind w:firstLine="480" w:firstLineChars="200"/>
        <w:rPr>
          <w:rFonts w:cstheme="minorHAnsi"/>
        </w:rPr>
      </w:pPr>
      <w:r>
        <w:rPr>
          <w:rFonts w:hint="eastAsia" w:cstheme="minorHAnsi"/>
        </w:rPr>
        <w:t>1．项目招标文件</w:t>
      </w:r>
    </w:p>
    <w:p>
      <w:pPr>
        <w:ind w:firstLine="480" w:firstLineChars="200"/>
        <w:rPr>
          <w:rFonts w:cstheme="minorHAnsi"/>
        </w:rPr>
      </w:pPr>
      <w:r>
        <w:rPr>
          <w:rFonts w:hint="eastAsia" w:cstheme="minorHAnsi"/>
        </w:rPr>
        <w:t>2．项目修改澄清文件</w:t>
      </w:r>
    </w:p>
    <w:p>
      <w:pPr>
        <w:ind w:firstLine="480" w:firstLineChars="200"/>
        <w:rPr>
          <w:rFonts w:cstheme="minorHAnsi"/>
        </w:rPr>
      </w:pPr>
      <w:r>
        <w:rPr>
          <w:rFonts w:hint="eastAsia" w:cstheme="minorHAnsi"/>
        </w:rPr>
        <w:t>3．项目投标文件</w:t>
      </w:r>
    </w:p>
    <w:p>
      <w:pPr>
        <w:ind w:firstLine="480" w:firstLineChars="200"/>
        <w:rPr>
          <w:rFonts w:cstheme="minorHAnsi"/>
        </w:rPr>
      </w:pPr>
      <w:r>
        <w:rPr>
          <w:rFonts w:hint="eastAsia" w:cstheme="minorHAnsi"/>
        </w:rPr>
        <w:t>4．中标通知书</w:t>
      </w:r>
    </w:p>
    <w:p>
      <w:pPr>
        <w:ind w:firstLine="480" w:firstLineChars="200"/>
        <w:rPr>
          <w:rFonts w:cstheme="minorHAnsi"/>
        </w:rPr>
      </w:pPr>
      <w:r>
        <w:rPr>
          <w:rFonts w:hint="eastAsia" w:cstheme="minorHAnsi"/>
        </w:rPr>
        <w:t>5．其他</w:t>
      </w:r>
    </w:p>
    <w:p/>
    <w:p>
      <w:p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16" w:name="_Toc205281601"/>
      <w:r>
        <w:rPr>
          <w:rFonts w:hint="eastAsia"/>
        </w:rPr>
        <w:t>第五章　投标文件构成及格式</w:t>
      </w:r>
      <w:bookmarkEnd w:id="16"/>
    </w:p>
    <w:p>
      <w:pPr>
        <w:ind w:firstLine="251" w:firstLineChars="70"/>
        <w:jc w:val="center"/>
        <w:rPr>
          <w:rFonts w:cstheme="minorHAnsi"/>
          <w:sz w:val="36"/>
          <w:szCs w:val="36"/>
        </w:rPr>
      </w:pPr>
    </w:p>
    <w:p>
      <w:pPr>
        <w:ind w:firstLine="251" w:firstLineChars="70"/>
        <w:jc w:val="center"/>
        <w:rPr>
          <w:rFonts w:cstheme="minorHAnsi"/>
          <w:sz w:val="36"/>
          <w:szCs w:val="36"/>
        </w:rPr>
      </w:pPr>
    </w:p>
    <w:p>
      <w:pPr>
        <w:ind w:firstLine="251" w:firstLineChars="70"/>
        <w:jc w:val="center"/>
        <w:rPr>
          <w:rFonts w:cstheme="minorHAnsi"/>
          <w:sz w:val="36"/>
          <w:szCs w:val="36"/>
        </w:rPr>
      </w:pPr>
    </w:p>
    <w:p>
      <w:pPr>
        <w:jc w:val="center"/>
        <w:rPr>
          <w:rFonts w:cstheme="minorHAnsi"/>
          <w:b/>
          <w:color w:val="C00000"/>
          <w:sz w:val="44"/>
          <w:szCs w:val="44"/>
        </w:rPr>
      </w:pPr>
      <w:r>
        <w:rPr>
          <w:rFonts w:hint="eastAsia" w:cstheme="minorHAnsi"/>
          <w:b/>
          <w:color w:val="C00000"/>
          <w:sz w:val="44"/>
          <w:szCs w:val="44"/>
        </w:rPr>
        <w:t>［项目名称］</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668709120"/>
        </w:rPr>
        <w:t>投标文</w:t>
      </w:r>
      <w:r>
        <w:rPr>
          <w:rFonts w:ascii="华文中宋" w:hAnsi="华文中宋" w:eastAsia="华文中宋" w:cstheme="minorHAnsi"/>
          <w:spacing w:val="0"/>
          <w:kern w:val="0"/>
          <w:sz w:val="96"/>
          <w:szCs w:val="96"/>
          <w:fitText w:val="5778" w:id="-668709120"/>
        </w:rPr>
        <w:t>件</w:t>
      </w:r>
    </w:p>
    <w:p>
      <w:pPr>
        <w:jc w:val="center"/>
        <w:rPr>
          <w:rFonts w:cstheme="minorHAnsi"/>
          <w:sz w:val="36"/>
          <w:szCs w:val="36"/>
        </w:rPr>
      </w:pPr>
      <w:r>
        <w:rPr>
          <w:rFonts w:cstheme="minorHAnsi"/>
          <w:sz w:val="36"/>
          <w:szCs w:val="36"/>
        </w:rPr>
        <w:t>（项目编号：</w:t>
      </w:r>
      <w:r>
        <w:rPr>
          <w:rFonts w:hint="eastAsia" w:cstheme="minorHAnsi"/>
          <w:sz w:val="36"/>
          <w:szCs w:val="36"/>
        </w:rPr>
        <w:t>X</w:t>
      </w:r>
      <w:r>
        <w:rPr>
          <w:rFonts w:cstheme="minorHAnsi"/>
          <w:sz w:val="36"/>
          <w:szCs w:val="36"/>
        </w:rPr>
        <w:t>CZX20XX-XXXX）</w:t>
      </w:r>
    </w:p>
    <w:p>
      <w:pPr>
        <w:jc w:val="center"/>
        <w:rPr>
          <w:rFonts w:cstheme="minorHAnsi"/>
          <w:sz w:val="36"/>
          <w:szCs w:val="36"/>
        </w:rPr>
      </w:pP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pPr>
        <w:ind w:firstLine="1684" w:firstLineChars="468"/>
        <w:rPr>
          <w:rFonts w:cstheme="minorHAnsi"/>
          <w:sz w:val="36"/>
          <w:u w:val="single"/>
        </w:rPr>
      </w:pPr>
      <w:r>
        <w:rPr>
          <w:rFonts w:cstheme="minorHAnsi"/>
          <w:sz w:val="36"/>
        </w:rPr>
        <w:t>时　间：__________________</w:t>
      </w:r>
    </w:p>
    <w:p>
      <w:pPr>
        <w:ind w:firstLine="200"/>
        <w:rPr>
          <w:rFonts w:cstheme="minorHAnsi"/>
          <w:sz w:val="36"/>
        </w:rPr>
      </w:pPr>
    </w:p>
    <w:p>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w:t>
      </w:r>
      <w:r>
        <w:rPr>
          <w:rFonts w:hint="eastAsia" w:cstheme="minorHAnsi"/>
        </w:rPr>
        <w:t>或</w:t>
      </w:r>
      <w:r>
        <w:rPr>
          <w:rFonts w:cstheme="minorHAnsi"/>
        </w:rPr>
        <w:t>删除，全文同）的采购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1．我方已详细阅读了招标文件，完全理解并同意招标文件的所有事项及内容。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4．我方理解最低价不是中标的唯一条件，并尊重评标委员会的评审结果。</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．若我方中标，我方承诺：</w:t>
      </w:r>
    </w:p>
    <w:p>
      <w:pPr>
        <w:ind w:firstLine="567"/>
        <w:jc w:val="both"/>
        <w:rPr>
          <w:rFonts w:cstheme="minorHAnsi"/>
          <w:color w:val="000000"/>
        </w:rPr>
      </w:pPr>
      <w:r>
        <w:rPr>
          <w:rFonts w:hint="eastAsia" w:cstheme="minorHAnsi"/>
          <w:color w:val="000000"/>
        </w:rPr>
        <w:t>（1）将投标文件有效期延长至合同执行完毕；</w:t>
      </w:r>
    </w:p>
    <w:p>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pPr>
        <w:ind w:firstLine="567"/>
        <w:jc w:val="both"/>
        <w:rPr>
          <w:rFonts w:cstheme="minorHAnsi"/>
          <w:color w:val="000000"/>
        </w:rPr>
      </w:pPr>
      <w:r>
        <w:rPr>
          <w:rFonts w:hint="eastAsia" w:cstheme="minorHAnsi"/>
          <w:color w:val="000000"/>
        </w:rPr>
        <w:t>（3）遵照招标文件中的要求，完成本项目的合同责任和义务。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pPr>
      <w:r>
        <w:t>日</w:t>
      </w:r>
      <w:r>
        <w:rPr>
          <w:rFonts w:hint="eastAsia"/>
        </w:rPr>
        <w:t>　</w:t>
      </w:r>
      <w:r>
        <w:t>期：　　年　月　日</w:t>
      </w:r>
    </w:p>
    <w:p>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pPr>
        <w:jc w:val="center"/>
        <w:rPr>
          <w:kern w:val="24"/>
        </w:rPr>
      </w:pPr>
    </w:p>
    <w:tbl>
      <w:tblPr>
        <w:tblStyle w:val="2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rPr>
                <w:rFonts w:cstheme="minorHAnsi"/>
                <w:color w:val="000000"/>
              </w:rPr>
            </w:pPr>
          </w:p>
          <w:p>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b/>
              </w:rPr>
            </w:pPr>
            <w:r>
              <w:rPr>
                <w:rFonts w:hint="eastAsia"/>
                <w:b/>
              </w:rPr>
              <w:t>投标报价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pPr>
              <w:jc w:val="center"/>
              <w:rPr>
                <w:b/>
              </w:rPr>
            </w:pPr>
            <w:bookmarkStart w:id="17" w:name="OLE_LINK3"/>
            <w:r>
              <w:rPr>
                <w:rFonts w:hint="eastAsia"/>
                <w:b/>
              </w:rPr>
              <w:t>服务期限</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p>
            <w:pPr>
              <w:spacing w:line="440" w:lineRule="exact"/>
              <w:jc w:val="center"/>
              <w:rPr>
                <w:rFonts w:cstheme="minorHAnsi"/>
                <w:b/>
                <w:color w:val="000000"/>
              </w:rPr>
            </w:pPr>
            <w:r>
              <w:rPr>
                <w:rFonts w:hint="eastAsia" w:cstheme="minorHAnsi"/>
                <w:color w:val="C00000"/>
              </w:rPr>
              <w:t>采购包</w:t>
            </w:r>
            <w:r>
              <w:rPr>
                <w:rFonts w:cstheme="minorHAnsi"/>
                <w:color w:val="C00000"/>
              </w:rPr>
              <w:t>［___］</w:t>
            </w: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r>
    </w:tbl>
    <w:p>
      <w:pPr>
        <w:rPr>
          <w:rFonts w:cstheme="minorHAnsi"/>
          <w:color w:val="000000"/>
        </w:rPr>
      </w:pPr>
    </w:p>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jc w:val="both"/>
        <w:rPr>
          <w:kern w:val="24"/>
        </w:rPr>
      </w:pPr>
    </w:p>
    <w:p>
      <w:pPr>
        <w:jc w:val="both"/>
        <w:rPr>
          <w:kern w:val="24"/>
        </w:rPr>
      </w:pPr>
      <w:r>
        <w:rPr>
          <w:kern w:val="24"/>
        </w:rPr>
        <w:t>〖注〗以下情况按无效投标处理：</w:t>
      </w:r>
    </w:p>
    <w:p>
      <w:pPr>
        <w:ind w:firstLine="480" w:firstLineChars="200"/>
        <w:jc w:val="both"/>
        <w:rPr>
          <w:kern w:val="24"/>
        </w:rPr>
      </w:pPr>
      <w:r>
        <w:rPr>
          <w:kern w:val="24"/>
        </w:rPr>
        <w:t>1．A栏未按阿拉伯小写金额样式填写，B栏未填写</w:t>
      </w:r>
      <w:r>
        <w:rPr>
          <w:rFonts w:hint="eastAsia"/>
          <w:kern w:val="24"/>
        </w:rPr>
        <w:t>服务期限</w:t>
      </w:r>
      <w:r>
        <w:rPr>
          <w:kern w:val="24"/>
        </w:rPr>
        <w:t>。</w:t>
      </w:r>
    </w:p>
    <w:p>
      <w:pPr>
        <w:ind w:firstLine="480" w:firstLineChars="200"/>
        <w:jc w:val="both"/>
        <w:rPr>
          <w:kern w:val="24"/>
        </w:rPr>
      </w:pPr>
      <w:r>
        <w:rPr>
          <w:kern w:val="24"/>
        </w:rPr>
        <w:t>2．本表A栏值与分项报价表中的“合计”值不一致的。</w:t>
      </w:r>
    </w:p>
    <w:p>
      <w:pPr>
        <w:ind w:firstLine="480" w:firstLineChars="200"/>
        <w:jc w:val="both"/>
        <w:rPr>
          <w:kern w:val="24"/>
        </w:rPr>
      </w:pPr>
      <w:r>
        <w:rPr>
          <w:kern w:val="24"/>
        </w:rPr>
        <w:t>3．合计超过本</w:t>
      </w:r>
      <w:r>
        <w:rPr>
          <w:rFonts w:hint="eastAsia"/>
          <w:kern w:val="24"/>
        </w:rPr>
        <w:t>采购包/项目</w:t>
      </w:r>
      <w:r>
        <w:rPr>
          <w:kern w:val="24"/>
        </w:rPr>
        <w:t>预算的。</w:t>
      </w:r>
    </w:p>
    <w:p>
      <w:pPr>
        <w:pStyle w:val="41"/>
        <w:jc w:val="both"/>
        <w:rPr>
          <w:rFonts w:hAnsi="华文仿宋"/>
        </w:rPr>
      </w:pPr>
    </w:p>
    <w:p>
      <w:pPr>
        <w:pStyle w:val="41"/>
        <w:ind w:firstLine="560" w:firstLineChars="200"/>
        <w:jc w:val="both"/>
        <w:rPr>
          <w:rFonts w:hAnsi="华文仿宋"/>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分项报价</w:t>
      </w:r>
      <w:r>
        <w:rPr>
          <w:rFonts w:ascii="黑体" w:hAnsi="黑体" w:eastAsia="黑体" w:cs="Calibri Light"/>
          <w:color w:val="1F4E79"/>
          <w:sz w:val="32"/>
          <w:szCs w:val="36"/>
        </w:rPr>
        <w:t>表</w:t>
      </w:r>
    </w:p>
    <w:p>
      <w:pPr>
        <w:jc w:val="both"/>
        <w:rPr>
          <w:rFonts w:cs="Calibri Light"/>
          <w:b/>
          <w:color w:val="000000"/>
        </w:rPr>
      </w:pPr>
      <w:r>
        <w:rPr>
          <w:rFonts w:hint="eastAsia" w:cstheme="minorHAnsi"/>
          <w:color w:val="C00000"/>
        </w:rPr>
        <w:t>采购包</w:t>
      </w:r>
      <w:r>
        <w:rPr>
          <w:rFonts w:cstheme="minorHAnsi"/>
          <w:color w:val="C00000"/>
        </w:rPr>
        <w:t>［___］</w:t>
      </w:r>
    </w:p>
    <w:tbl>
      <w:tblPr>
        <w:tblStyle w:val="25"/>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pPr>
              <w:spacing w:line="320" w:lineRule="exact"/>
              <w:jc w:val="center"/>
              <w:rPr>
                <w:rFonts w:cs="Calibri Light"/>
                <w:b/>
                <w:color w:val="000000"/>
                <w:sz w:val="21"/>
                <w:szCs w:val="21"/>
              </w:rPr>
            </w:pPr>
            <w:r>
              <w:rPr>
                <w:rFonts w:cs="Calibri Light"/>
                <w:b/>
                <w:color w:val="000000"/>
                <w:sz w:val="21"/>
                <w:szCs w:val="21"/>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pPr>
              <w:spacing w:line="440" w:lineRule="exact"/>
              <w:jc w:val="center"/>
              <w:rPr>
                <w:rFonts w:cs="Calibri Light"/>
                <w:b/>
                <w:bCs/>
                <w:color w:val="000000"/>
                <w:sz w:val="21"/>
                <w:szCs w:val="21"/>
              </w:rPr>
            </w:pPr>
          </w:p>
        </w:tc>
      </w:tr>
    </w:tbl>
    <w:p>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pPr>
        <w:tabs>
          <w:tab w:val="right" w:pos="9070"/>
        </w:tabs>
        <w:spacing w:line="440" w:lineRule="exact"/>
        <w:jc w:val="both"/>
        <w:rPr>
          <w:rFonts w:cs="Calibri Light"/>
          <w:bCs/>
        </w:rPr>
      </w:pPr>
    </w:p>
    <w:p>
      <w:pPr>
        <w:wordWrap w:val="0"/>
        <w:spacing w:line="400" w:lineRule="exact"/>
        <w:jc w:val="both"/>
      </w:pPr>
      <w:r>
        <w:t>说明：1．此表各项费用由供应商自行列支；</w:t>
      </w:r>
    </w:p>
    <w:p>
      <w:pPr>
        <w:tabs>
          <w:tab w:val="right" w:pos="9070"/>
        </w:tabs>
        <w:spacing w:line="440" w:lineRule="exact"/>
        <w:ind w:firstLine="720" w:firstLineChars="300"/>
      </w:pPr>
      <w:r>
        <w:t>2．表格空间不足时，可以自行扩展。</w:t>
      </w:r>
    </w:p>
    <w:p>
      <w:pPr>
        <w:jc w:val="both"/>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5"/>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政府采购活动，以我方名义签署、澄清、确认、递交、撤回、修改投标文件，签订合同和全权处理一切与之有关的事宜，其法律后果由我方承担。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本授权有效期与投标文件有效期一致。授权代表无转委托权。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rPr>
          <w:rFonts w:ascii="Calibri" w:hAnsi="Calibri" w:eastAsia="宋体" w:cstheme="minorHAnsi"/>
          <w:color w:val="000000"/>
          <w:kern w:val="24"/>
        </w:rPr>
      </w:pPr>
      <w:r>
        <w:rPr>
          <w:rFonts w:ascii="Calibri" w:hAnsi="Calibri" w:eastAsia="宋体" w:cstheme="minorHAnsi"/>
          <w:color w:val="000000"/>
          <w:kern w:val="24"/>
        </w:rPr>
        <w:br w:type="page"/>
      </w:r>
    </w:p>
    <w:p>
      <w:pPr>
        <w:keepNext/>
        <w:spacing w:before="120" w:after="60"/>
        <w:outlineLvl w:val="3"/>
        <w:rPr>
          <w:b/>
          <w:kern w:val="28"/>
        </w:rPr>
      </w:pPr>
      <w:r>
        <w:rPr>
          <w:b/>
          <w:kern w:val="28"/>
        </w:rPr>
        <w:t>7．联合协议书</w:t>
      </w:r>
    </w:p>
    <w:p>
      <w:pPr>
        <w:spacing w:before="230" w:beforeLines="50"/>
        <w:ind w:firstLine="480" w:firstLineChars="200"/>
        <w:rPr>
          <w:rFonts w:cstheme="minorHAnsi"/>
          <w:i/>
          <w:color w:val="7030A0"/>
        </w:rPr>
      </w:pPr>
      <w:r>
        <w:rPr>
          <w:rFonts w:hint="eastAsia" w:cstheme="minorHAnsi"/>
          <w:i/>
          <w:color w:val="7030A0"/>
        </w:rPr>
        <w:t>特别说明</w:t>
      </w:r>
      <w:r>
        <w:rPr>
          <w:rFonts w:cstheme="minorHAnsi"/>
          <w:i/>
          <w:color w:val="7030A0"/>
        </w:rPr>
        <w:t>：</w:t>
      </w:r>
      <w:r>
        <w:rPr>
          <w:rFonts w:hint="eastAsia" w:cstheme="minorHAnsi"/>
          <w:i/>
          <w:color w:val="7030A0"/>
        </w:rPr>
        <w:t>专门面向中小企业采购的</w:t>
      </w:r>
      <w:r>
        <w:rPr>
          <w:rFonts w:cstheme="minorHAnsi"/>
          <w:i/>
          <w:color w:val="7030A0"/>
        </w:rPr>
        <w:t>项目，</w:t>
      </w:r>
      <w:r>
        <w:rPr>
          <w:rFonts w:hint="eastAsia" w:cstheme="minorHAnsi"/>
          <w:i/>
          <w:color w:val="7030A0"/>
        </w:rPr>
        <w:t>组成联合体的中小企业与联合体内其他企业不得存在直接控股、管理关系。否则</w:t>
      </w:r>
      <w:r>
        <w:rPr>
          <w:rFonts w:cstheme="minorHAnsi"/>
          <w:i/>
          <w:color w:val="7030A0"/>
        </w:rPr>
        <w:t>，投标无效。</w:t>
      </w:r>
      <w:r>
        <w:rPr>
          <w:rFonts w:hint="eastAsia" w:cstheme="minorHAnsi"/>
          <w:i/>
          <w:color w:val="7030A0"/>
        </w:rPr>
        <w:t>未专门面向中小企业采购的</w:t>
      </w:r>
      <w:r>
        <w:rPr>
          <w:rFonts w:cstheme="minorHAnsi"/>
          <w:i/>
          <w:color w:val="7030A0"/>
        </w:rPr>
        <w:t>项目，</w:t>
      </w:r>
      <w:r>
        <w:rPr>
          <w:rFonts w:hint="eastAsia" w:cstheme="minorHAnsi"/>
          <w:i/>
          <w:color w:val="7030A0"/>
        </w:rPr>
        <w:t>组成联合体企业与联合体内其他企业之间存在直接控股、管理关系的，不享受价格扣除优惠政策。</w:t>
      </w:r>
    </w:p>
    <w:p>
      <w:pPr>
        <w:spacing w:before="230" w:beforeLines="50"/>
        <w:jc w:val="center"/>
        <w:rPr>
          <w:rFonts w:cs="Calibri Light"/>
          <w:b/>
          <w:color w:val="1F4E79"/>
          <w:sz w:val="28"/>
          <w:szCs w:val="36"/>
        </w:rPr>
      </w:pPr>
      <w:r>
        <w:rPr>
          <w:rFonts w:cs="Calibri Light"/>
          <w:b/>
          <w:color w:val="1F4E79"/>
          <w:sz w:val="28"/>
          <w:szCs w:val="36"/>
        </w:rPr>
        <w:t>『联合协议书』（格式）</w:t>
      </w:r>
    </w:p>
    <w:p>
      <w:pPr>
        <w:snapToGrid w:val="0"/>
        <w:spacing w:line="440" w:lineRule="exact"/>
        <w:rPr>
          <w:rFonts w:cstheme="minorHAnsi"/>
          <w:color w:val="000000"/>
        </w:rPr>
      </w:pPr>
      <w:r>
        <w:rPr>
          <w:rFonts w:cstheme="minorHAnsi"/>
          <w:color w:val="000000"/>
        </w:rPr>
        <w:t>采购人、采购代理机构：</w:t>
      </w:r>
    </w:p>
    <w:p>
      <w:pPr>
        <w:adjustRightInd w:val="0"/>
        <w:snapToGrid w:val="0"/>
        <w:spacing w:line="440" w:lineRule="exact"/>
        <w:ind w:firstLine="480" w:firstLineChars="200"/>
        <w:jc w:val="both"/>
      </w:pPr>
      <w:r>
        <w:t>联合体立约方</w:t>
      </w:r>
      <w:r>
        <w:rPr>
          <w:rFonts w:hint="eastAsia"/>
        </w:rPr>
        <w:t>［</w:t>
      </w:r>
      <w:r>
        <w:rPr>
          <w:rFonts w:hint="eastAsia"/>
          <w:color w:val="C00000"/>
          <w:u w:val="single"/>
        </w:rPr>
        <w:t>联合体成员</w:t>
      </w:r>
      <w:r>
        <w:rPr>
          <w:color w:val="C00000"/>
          <w:u w:val="single"/>
        </w:rPr>
        <w:t>1全称</w:t>
      </w:r>
      <w:r>
        <w:rPr>
          <w:rFonts w:hint="eastAsia"/>
        </w:rPr>
        <w:t>］、［</w:t>
      </w:r>
      <w:r>
        <w:rPr>
          <w:rFonts w:hint="eastAsia"/>
          <w:color w:val="C00000"/>
          <w:u w:val="single"/>
        </w:rPr>
        <w:t>联合体成员</w:t>
      </w:r>
      <w:r>
        <w:rPr>
          <w:color w:val="C00000"/>
          <w:u w:val="single"/>
        </w:rPr>
        <w:t>2全称</w:t>
      </w:r>
      <w:r>
        <w:rPr>
          <w:rFonts w:hint="eastAsia"/>
        </w:rPr>
        <w:t>］、［</w:t>
      </w:r>
      <w:r>
        <w:rPr>
          <w:rFonts w:hint="eastAsia"/>
          <w:color w:val="C00000"/>
          <w:u w:val="single"/>
        </w:rPr>
        <w:t>联合体成员…全称</w:t>
      </w:r>
      <w:r>
        <w:rPr>
          <w:rFonts w:hint="eastAsia"/>
        </w:rPr>
        <w:t>］</w:t>
      </w:r>
      <w:r>
        <w:t>自愿达成分包意向，参加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kern w:val="24"/>
        </w:rPr>
        <w:t>的采购活动</w:t>
      </w:r>
      <w:r>
        <w:t>。各方就项目的响</w:t>
      </w:r>
      <w:r>
        <w:rPr>
          <w:rFonts w:hint="eastAsia"/>
          <w:w w:val="1"/>
        </w:rPr>
        <w:t>　</w:t>
      </w:r>
      <w:r>
        <w:t>应和合同实施阶段的有关事务协商一致，订立如下协议：</w:t>
      </w:r>
    </w:p>
    <w:p>
      <w:pPr>
        <w:ind w:firstLine="480" w:firstLineChars="200"/>
        <w:jc w:val="both"/>
      </w:pPr>
      <w:r>
        <w:t>一、联合体各方关系及约束</w:t>
      </w:r>
    </w:p>
    <w:p>
      <w:pPr>
        <w:ind w:firstLine="480" w:firstLineChars="200"/>
        <w:jc w:val="both"/>
      </w:pPr>
      <w:r>
        <w:rPr>
          <w:rFonts w:hint="eastAsia"/>
        </w:rPr>
        <w:t>［</w:t>
      </w:r>
      <w:r>
        <w:rPr>
          <w:rFonts w:hint="eastAsia"/>
          <w:color w:val="C00000"/>
          <w:u w:val="single"/>
        </w:rPr>
        <w:t>联合体成员</w:t>
      </w:r>
      <w:r>
        <w:rPr>
          <w:color w:val="C00000"/>
          <w:u w:val="single"/>
        </w:rPr>
        <w:t>1全称</w:t>
      </w:r>
      <w:r>
        <w:rPr>
          <w:rFonts w:hint="eastAsia"/>
        </w:rPr>
        <w:t>］作为牵头方，合法代表所有联合体成员</w:t>
      </w:r>
      <w:r>
        <w:t>以一个供应商的身份参加本项目的采购活动，</w:t>
      </w:r>
      <w:r>
        <w:rPr>
          <w:rFonts w:hint="eastAsia"/>
        </w:rPr>
        <w:t>负责投</w:t>
      </w:r>
      <w:r>
        <w:rPr>
          <w:rFonts w:hint="eastAsia"/>
          <w:w w:val="1"/>
        </w:rPr>
        <w:t>　</w:t>
      </w:r>
      <w:r>
        <w:rPr>
          <w:rFonts w:hint="eastAsia"/>
        </w:rPr>
        <w:t>标和合同实施阶段的主办、组织和协调工作。如获中</w:t>
      </w:r>
      <w:r>
        <w:rPr>
          <w:rFonts w:hint="eastAsia"/>
          <w:w w:val="1"/>
        </w:rPr>
        <w:t>　</w:t>
      </w:r>
      <w:r>
        <w:rPr>
          <w:rFonts w:hint="eastAsia"/>
        </w:rPr>
        <w:t>标（成</w:t>
      </w:r>
      <w:r>
        <w:rPr>
          <w:rFonts w:hint="eastAsia"/>
          <w:w w:val="1"/>
        </w:rPr>
        <w:t>　</w:t>
      </w:r>
      <w:r>
        <w:rPr>
          <w:rFonts w:hint="eastAsia"/>
        </w:rPr>
        <w:t>交）资格：</w:t>
      </w:r>
    </w:p>
    <w:p>
      <w:pPr>
        <w:ind w:firstLine="480" w:firstLineChars="200"/>
        <w:jc w:val="both"/>
      </w:pPr>
      <w:r>
        <w:t>1</w:t>
      </w:r>
      <w:r>
        <w:rPr>
          <w:rFonts w:hint="eastAsia"/>
        </w:rPr>
        <w:t>．联合体各方共同</w:t>
      </w:r>
      <w:r>
        <w:t>与采购人签订政府采购合同，</w:t>
      </w:r>
      <w:r>
        <w:rPr>
          <w:rFonts w:hint="eastAsia"/>
        </w:rPr>
        <w:t>就采购合同约定的事项对采购人承担连带责任。</w:t>
      </w:r>
    </w:p>
    <w:p>
      <w:pPr>
        <w:adjustRightInd w:val="0"/>
        <w:snapToGrid w:val="0"/>
        <w:spacing w:line="440" w:lineRule="exact"/>
        <w:ind w:firstLine="480" w:firstLineChars="200"/>
        <w:jc w:val="both"/>
      </w:pPr>
      <w:r>
        <w:t>2</w:t>
      </w:r>
      <w:r>
        <w:rPr>
          <w:rFonts w:hint="eastAsia"/>
        </w:rPr>
        <w:t>．联合体各方均不得以任何理由提出终止本协议。</w:t>
      </w:r>
    </w:p>
    <w:p>
      <w:pPr>
        <w:adjustRightInd w:val="0"/>
        <w:snapToGrid w:val="0"/>
        <w:spacing w:line="440" w:lineRule="exact"/>
        <w:ind w:firstLine="480" w:firstLineChars="200"/>
        <w:jc w:val="both"/>
      </w:pPr>
      <w:r>
        <w:t>二、联合体各方职责分工及合同金额占比：</w:t>
      </w:r>
    </w:p>
    <w:p>
      <w:pPr>
        <w:ind w:firstLine="480" w:firstLineChars="200"/>
        <w:jc w:val="both"/>
      </w:pPr>
      <w:r>
        <w:t>1</w:t>
      </w:r>
      <w:r>
        <w:rPr>
          <w:rFonts w:hint="eastAsia"/>
        </w:rPr>
        <w:t>．［</w:t>
      </w:r>
      <w:r>
        <w:rPr>
          <w:rFonts w:hint="eastAsia"/>
          <w:color w:val="C00000"/>
          <w:u w:val="single"/>
        </w:rPr>
        <w:t>联合体成员</w:t>
      </w:r>
      <w:r>
        <w:rPr>
          <w:color w:val="C00000"/>
          <w:u w:val="single"/>
        </w:rPr>
        <w:t>1全称</w:t>
      </w:r>
      <w:r>
        <w:rPr>
          <w:rFonts w:hint="eastAsia"/>
        </w:rPr>
        <w:t>］</w:t>
      </w:r>
      <w:r>
        <w:t>为</w:t>
      </w:r>
      <w:r>
        <w:rPr>
          <w:rFonts w:hint="eastAsia"/>
        </w:rPr>
        <w:t>［</w:t>
      </w:r>
      <w:r>
        <w:rPr>
          <w:color w:val="C00000"/>
        </w:rPr>
        <w:t>______</w:t>
      </w:r>
      <w:r>
        <w:rPr>
          <w:rFonts w:hint="eastAsia"/>
        </w:rPr>
        <w:t>］</w:t>
      </w:r>
      <w:r>
        <w:t>（</w:t>
      </w:r>
      <w:r>
        <w:rPr>
          <w:i/>
          <w:color w:val="7030A0"/>
        </w:rPr>
        <w:t>填写：大型企业、中型企业、小型企业、微型</w:t>
      </w:r>
      <w:r>
        <w:rPr>
          <w:rFonts w:hint="eastAsia"/>
          <w:i/>
          <w:color w:val="7030A0"/>
        </w:rPr>
        <w:t>企业、其他非企业单位</w:t>
      </w:r>
      <w:r>
        <w:t>），负责</w:t>
      </w:r>
      <w:r>
        <w:rPr>
          <w:rFonts w:hint="eastAsia"/>
        </w:rPr>
        <w:t>［</w:t>
      </w:r>
      <w:r>
        <w:rPr>
          <w:color w:val="C00000"/>
        </w:rPr>
        <w:t>______</w:t>
      </w:r>
      <w:r>
        <w:rPr>
          <w:rFonts w:hint="eastAsia"/>
        </w:rPr>
        <w:t>］</w:t>
      </w:r>
      <w:r>
        <w:t>（</w:t>
      </w:r>
      <w:r>
        <w:rPr>
          <w:rFonts w:hint="eastAsia"/>
          <w:i/>
          <w:color w:val="7030A0"/>
        </w:rPr>
        <w:t>填具体</w:t>
      </w:r>
      <w:r>
        <w:rPr>
          <w:i/>
          <w:color w:val="7030A0"/>
        </w:rPr>
        <w:t>分工内容</w:t>
      </w:r>
      <w:r>
        <w:t>），占合同总金额</w:t>
      </w:r>
      <w:r>
        <w:rPr>
          <w:rFonts w:hint="eastAsia"/>
        </w:rPr>
        <w:t>［</w:t>
      </w:r>
      <w:r>
        <w:rPr>
          <w:color w:val="C00000"/>
        </w:rPr>
        <w:t>___</w:t>
      </w:r>
      <w:r>
        <w:rPr>
          <w:rFonts w:hint="eastAsia"/>
        </w:rPr>
        <w:t>］</w:t>
      </w:r>
      <w:r>
        <w:t>%的工作内容。</w:t>
      </w:r>
    </w:p>
    <w:p>
      <w:pPr>
        <w:adjustRightInd w:val="0"/>
        <w:snapToGrid w:val="0"/>
        <w:spacing w:line="440" w:lineRule="exact"/>
        <w:ind w:firstLine="480" w:firstLineChars="200"/>
        <w:jc w:val="both"/>
      </w:pPr>
      <w:r>
        <w:t>2</w:t>
      </w:r>
      <w:r>
        <w:rPr>
          <w:rFonts w:hint="eastAsia"/>
        </w:rPr>
        <w:t>．［</w:t>
      </w:r>
      <w:r>
        <w:rPr>
          <w:rFonts w:hint="eastAsia"/>
          <w:color w:val="C00000"/>
          <w:u w:val="single"/>
        </w:rPr>
        <w:t>联合体成员</w:t>
      </w:r>
      <w:r>
        <w:rPr>
          <w:color w:val="C00000"/>
          <w:u w:val="single"/>
        </w:rPr>
        <w:t>2全称</w:t>
      </w:r>
      <w:r>
        <w:rPr>
          <w:rFonts w:hint="eastAsia"/>
        </w:rPr>
        <w:t>］</w:t>
      </w:r>
      <w:r>
        <w:t>为</w:t>
      </w:r>
      <w:r>
        <w:rPr>
          <w:rFonts w:hint="eastAsia"/>
        </w:rPr>
        <w:t>［</w:t>
      </w:r>
      <w:r>
        <w:rPr>
          <w:color w:val="C00000"/>
        </w:rPr>
        <w:t>______</w:t>
      </w:r>
      <w:r>
        <w:rPr>
          <w:rFonts w:hint="eastAsia"/>
        </w:rPr>
        <w:t>］</w:t>
      </w:r>
      <w:r>
        <w:t>（</w:t>
      </w:r>
      <w:r>
        <w:rPr>
          <w:i/>
          <w:color w:val="7030A0"/>
        </w:rPr>
        <w:t>填写：大型企业、中型企业、小型企业、微型</w:t>
      </w:r>
      <w:r>
        <w:rPr>
          <w:rFonts w:hint="eastAsia"/>
          <w:i/>
          <w:color w:val="7030A0"/>
        </w:rPr>
        <w:t>企业、其他非企业单位</w:t>
      </w:r>
      <w:r>
        <w:t>），负责</w:t>
      </w:r>
      <w:r>
        <w:rPr>
          <w:rFonts w:hint="eastAsia"/>
        </w:rPr>
        <w:t>［</w:t>
      </w:r>
      <w:r>
        <w:rPr>
          <w:color w:val="C00000"/>
        </w:rPr>
        <w:t>______</w:t>
      </w:r>
      <w:r>
        <w:rPr>
          <w:rFonts w:hint="eastAsia"/>
        </w:rPr>
        <w:t>］</w:t>
      </w:r>
      <w:r>
        <w:t>（</w:t>
      </w:r>
      <w:r>
        <w:rPr>
          <w:rFonts w:hint="eastAsia"/>
          <w:i/>
          <w:color w:val="7030A0"/>
        </w:rPr>
        <w:t>填具体分工</w:t>
      </w:r>
      <w:r>
        <w:rPr>
          <w:i/>
          <w:color w:val="7030A0"/>
        </w:rPr>
        <w:t>内容</w:t>
      </w:r>
      <w:r>
        <w:t>），占合同总金额</w:t>
      </w:r>
      <w:r>
        <w:rPr>
          <w:rFonts w:hint="eastAsia"/>
        </w:rPr>
        <w:t>［</w:t>
      </w:r>
      <w:r>
        <w:rPr>
          <w:color w:val="C00000"/>
        </w:rPr>
        <w:t>___</w:t>
      </w:r>
      <w:r>
        <w:rPr>
          <w:rFonts w:hint="eastAsia"/>
        </w:rPr>
        <w:t>］</w:t>
      </w:r>
      <w:r>
        <w:t>%的工作内容。</w:t>
      </w:r>
    </w:p>
    <w:p>
      <w:pPr>
        <w:adjustRightInd w:val="0"/>
        <w:snapToGrid w:val="0"/>
        <w:spacing w:line="440" w:lineRule="exact"/>
        <w:ind w:firstLine="480" w:firstLineChars="200"/>
        <w:jc w:val="both"/>
      </w:pPr>
      <w:r>
        <w:t>3</w:t>
      </w:r>
      <w:r>
        <w:rPr>
          <w:rFonts w:hint="eastAsia"/>
        </w:rPr>
        <w:t>．［</w:t>
      </w:r>
      <w:r>
        <w:rPr>
          <w:rFonts w:hint="eastAsia"/>
          <w:color w:val="C00000"/>
          <w:u w:val="single"/>
        </w:rPr>
        <w:t>联合体成员…</w:t>
      </w:r>
      <w:r>
        <w:rPr>
          <w:color w:val="C00000"/>
          <w:u w:val="single"/>
        </w:rPr>
        <w:t>全称</w:t>
      </w:r>
      <w:r>
        <w:rPr>
          <w:rFonts w:hint="eastAsia"/>
        </w:rPr>
        <w:t>］</w:t>
      </w:r>
      <w:r>
        <w:t>为</w:t>
      </w:r>
      <w:r>
        <w:rPr>
          <w:rFonts w:hint="eastAsia"/>
        </w:rPr>
        <w:t>［</w:t>
      </w:r>
      <w:r>
        <w:rPr>
          <w:color w:val="C00000"/>
        </w:rPr>
        <w:t>______</w:t>
      </w:r>
      <w:r>
        <w:rPr>
          <w:rFonts w:hint="eastAsia"/>
        </w:rPr>
        <w:t>］</w:t>
      </w:r>
      <w:r>
        <w:t>（</w:t>
      </w:r>
      <w:r>
        <w:rPr>
          <w:i/>
          <w:color w:val="7030A0"/>
        </w:rPr>
        <w:t>填写：大型企业、中型企业、小型企业、微型</w:t>
      </w:r>
      <w:r>
        <w:rPr>
          <w:rFonts w:hint="eastAsia"/>
          <w:i/>
          <w:color w:val="7030A0"/>
        </w:rPr>
        <w:t>企业、其他非企业单位</w:t>
      </w:r>
      <w:r>
        <w:t>），负责</w:t>
      </w:r>
      <w:r>
        <w:rPr>
          <w:rFonts w:hint="eastAsia"/>
        </w:rPr>
        <w:t>［</w:t>
      </w:r>
      <w:r>
        <w:rPr>
          <w:color w:val="C00000"/>
        </w:rPr>
        <w:t>______</w:t>
      </w:r>
      <w:r>
        <w:rPr>
          <w:rFonts w:hint="eastAsia"/>
        </w:rPr>
        <w:t>］</w:t>
      </w:r>
      <w:r>
        <w:t>（</w:t>
      </w:r>
      <w:r>
        <w:rPr>
          <w:rFonts w:hint="eastAsia"/>
          <w:i/>
          <w:color w:val="7030A0"/>
        </w:rPr>
        <w:t>填具体</w:t>
      </w:r>
      <w:r>
        <w:rPr>
          <w:i/>
          <w:color w:val="7030A0"/>
        </w:rPr>
        <w:t>分工内容</w:t>
      </w:r>
      <w:r>
        <w:t>），占合同总金额</w:t>
      </w:r>
      <w:r>
        <w:rPr>
          <w:rFonts w:hint="eastAsia"/>
        </w:rPr>
        <w:t>［</w:t>
      </w:r>
      <w:r>
        <w:rPr>
          <w:color w:val="C00000"/>
        </w:rPr>
        <w:t>___</w:t>
      </w:r>
      <w:r>
        <w:rPr>
          <w:rFonts w:hint="eastAsia"/>
        </w:rPr>
        <w:t>］</w:t>
      </w:r>
      <w:r>
        <w:t>%的工作内容。</w:t>
      </w:r>
    </w:p>
    <w:p>
      <w:pPr>
        <w:ind w:firstLine="480" w:firstLineChars="200"/>
        <w:jc w:val="both"/>
      </w:pPr>
      <w:r>
        <w:t>三、联合体成员之间的关系：（</w:t>
      </w:r>
      <w:r>
        <w:rPr>
          <w:i/>
          <w:color w:val="7030A0"/>
        </w:rPr>
        <w:t>仅当联合体成员与其他成员存在直接控股、管理关系时才填写</w:t>
      </w:r>
      <w:r>
        <w:t>）</w:t>
      </w:r>
    </w:p>
    <w:p>
      <w:pPr>
        <w:ind w:firstLine="480" w:firstLineChars="200"/>
        <w:jc w:val="both"/>
      </w:pPr>
      <w:r>
        <w:t>1</w:t>
      </w:r>
      <w:r>
        <w:rPr>
          <w:rFonts w:hint="eastAsia"/>
        </w:rPr>
        <w:t>．［</w:t>
      </w:r>
      <w:r>
        <w:rPr>
          <w:rFonts w:hint="eastAsia"/>
          <w:color w:val="C00000"/>
          <w:u w:val="single"/>
        </w:rPr>
        <w:t>联合体成员X</w:t>
      </w:r>
      <w:r>
        <w:rPr>
          <w:color w:val="C00000"/>
          <w:u w:val="single"/>
        </w:rPr>
        <w:t>全称</w:t>
      </w:r>
      <w:r>
        <w:rPr>
          <w:rFonts w:hint="eastAsia"/>
        </w:rPr>
        <w:t>］</w:t>
      </w:r>
      <w:r>
        <w:t>与另一成员</w:t>
      </w:r>
      <w:r>
        <w:rPr>
          <w:rFonts w:hint="eastAsia"/>
        </w:rPr>
        <w:t>［</w:t>
      </w:r>
      <w:r>
        <w:rPr>
          <w:rFonts w:hint="eastAsia"/>
          <w:color w:val="C00000"/>
          <w:u w:val="single"/>
        </w:rPr>
        <w:t>联合体成员Y</w:t>
      </w:r>
      <w:r>
        <w:rPr>
          <w:color w:val="C00000"/>
          <w:u w:val="single"/>
        </w:rPr>
        <w:t>全称</w:t>
      </w:r>
      <w:r>
        <w:rPr>
          <w:rFonts w:hint="eastAsia"/>
        </w:rPr>
        <w:t>］</w:t>
      </w:r>
      <w:r>
        <w:t>之间</w:t>
      </w:r>
      <w:r>
        <w:rPr>
          <w:rFonts w:cstheme="minorHAnsi"/>
          <w:color w:val="C00000"/>
          <w:kern w:val="24"/>
        </w:rPr>
        <w:t>［___］</w:t>
      </w:r>
      <w:r>
        <w:rPr>
          <w:rFonts w:hint="eastAsia" w:cstheme="minorHAnsi"/>
          <w:color w:val="000000"/>
          <w:kern w:val="24"/>
        </w:rPr>
        <w:t>（填</w:t>
      </w:r>
      <w:r>
        <w:rPr>
          <w:rFonts w:cstheme="minorHAnsi"/>
          <w:color w:val="000000"/>
          <w:kern w:val="24"/>
        </w:rPr>
        <w:t>“</w:t>
      </w:r>
      <w:r>
        <w:rPr>
          <w:rFonts w:hint="eastAsia" w:cstheme="minorHAnsi"/>
          <w:color w:val="000000"/>
          <w:kern w:val="24"/>
        </w:rPr>
        <w:t>存在</w:t>
      </w:r>
      <w:r>
        <w:rPr>
          <w:rFonts w:cstheme="minorHAnsi"/>
          <w:color w:val="000000"/>
          <w:kern w:val="24"/>
        </w:rPr>
        <w:t>”</w:t>
      </w:r>
      <w:r>
        <w:rPr>
          <w:rFonts w:hint="eastAsia" w:cstheme="minorHAnsi"/>
          <w:color w:val="000000"/>
          <w:kern w:val="24"/>
        </w:rPr>
        <w:t>或</w:t>
      </w:r>
      <w:r>
        <w:rPr>
          <w:rFonts w:cstheme="minorHAnsi"/>
          <w:color w:val="000000"/>
          <w:kern w:val="24"/>
        </w:rPr>
        <w:t>不存在</w:t>
      </w:r>
      <w:r>
        <w:rPr>
          <w:rFonts w:hint="eastAsia" w:cstheme="minorHAnsi"/>
          <w:color w:val="000000"/>
          <w:kern w:val="24"/>
        </w:rPr>
        <w:t>）</w:t>
      </w:r>
      <w:r>
        <w:t>直接控股、管理关系。</w:t>
      </w:r>
    </w:p>
    <w:p>
      <w:pPr>
        <w:ind w:firstLine="480" w:firstLineChars="200"/>
        <w:jc w:val="both"/>
      </w:pPr>
      <w:r>
        <w:t>2</w:t>
      </w:r>
      <w:r>
        <w:rPr>
          <w:rFonts w:hint="eastAsia"/>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四、如因违约过失责任而导致采购人经济损失或被索赔时，本联合体任何一方均同意无条件优先清偿采购人的一切债务和经济赔偿。</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五、本协议书自签署之日起生效，有效期至本项目</w:t>
      </w:r>
      <w:r>
        <w:rPr>
          <w:rFonts w:hint="eastAsia"/>
        </w:rPr>
        <w:t>中</w:t>
      </w:r>
      <w:r>
        <w:rPr>
          <w:rFonts w:hint="eastAsia"/>
          <w:w w:val="1"/>
        </w:rPr>
        <w:t>　</w:t>
      </w:r>
      <w:r>
        <w:rPr>
          <w:rFonts w:hint="eastAsia"/>
        </w:rPr>
        <w:t>标（成</w:t>
      </w:r>
      <w:r>
        <w:rPr>
          <w:rFonts w:hint="eastAsia"/>
          <w:w w:val="1"/>
        </w:rPr>
        <w:t>　</w:t>
      </w:r>
      <w:r>
        <w:rPr>
          <w:rFonts w:hint="eastAsia"/>
        </w:rPr>
        <w:t>交）</w:t>
      </w:r>
      <w:r>
        <w:rPr>
          <w:rFonts w:hint="eastAsia" w:ascii="Calibri" w:hAnsi="Calibri" w:eastAsia="宋体" w:cstheme="minorHAnsi"/>
          <w:color w:val="000000"/>
          <w:kern w:val="24"/>
        </w:rPr>
        <w:t>结果公告期限届满之日。如获</w:t>
      </w:r>
      <w:r>
        <w:rPr>
          <w:rFonts w:hint="eastAsia"/>
        </w:rPr>
        <w:t>中</w:t>
      </w:r>
      <w:r>
        <w:rPr>
          <w:rFonts w:hint="eastAsia"/>
          <w:w w:val="1"/>
        </w:rPr>
        <w:t>　</w:t>
      </w:r>
      <w:r>
        <w:rPr>
          <w:rFonts w:hint="eastAsia"/>
        </w:rPr>
        <w:t>标（成</w:t>
      </w:r>
      <w:r>
        <w:rPr>
          <w:rFonts w:hint="eastAsia"/>
          <w:w w:val="1"/>
        </w:rPr>
        <w:t>　</w:t>
      </w:r>
      <w:r>
        <w:rPr>
          <w:rFonts w:hint="eastAsia"/>
        </w:rPr>
        <w:t>交）</w:t>
      </w:r>
      <w:r>
        <w:rPr>
          <w:rFonts w:hint="eastAsia" w:ascii="Calibri" w:hAnsi="Calibri" w:eastAsia="宋体" w:cstheme="minorHAnsi"/>
          <w:color w:val="000000"/>
          <w:kern w:val="24"/>
        </w:rPr>
        <w:t>资格，有效期延续至合同履行完毕之日。</w:t>
      </w:r>
    </w:p>
    <w:p>
      <w:pPr>
        <w:adjustRightInd w:val="0"/>
        <w:snapToGrid w:val="0"/>
        <w:spacing w:line="440" w:lineRule="exact"/>
        <w:ind w:firstLine="480" w:firstLineChars="200"/>
        <w:jc w:val="both"/>
      </w:pPr>
      <w:r>
        <w:rPr>
          <w:rFonts w:hint="eastAsia" w:ascii="Calibri" w:hAnsi="Calibri" w:eastAsia="宋体" w:cstheme="minorHAnsi"/>
          <w:color w:val="000000"/>
          <w:kern w:val="24"/>
        </w:rPr>
        <w:t>六、本协议书正本一式</w:t>
      </w:r>
      <w:r>
        <w:rPr>
          <w:rFonts w:hint="eastAsia" w:ascii="Calibri" w:hAnsi="Calibri" w:eastAsia="宋体" w:cstheme="minorHAnsi"/>
          <w:color w:val="C00000"/>
          <w:kern w:val="24"/>
        </w:rPr>
        <w:t>［___］</w:t>
      </w:r>
      <w:r>
        <w:rPr>
          <w:rFonts w:hint="eastAsia" w:ascii="Calibri" w:hAnsi="Calibri" w:eastAsia="宋体" w:cstheme="minorHAnsi"/>
          <w:color w:val="000000"/>
          <w:kern w:val="24"/>
        </w:rPr>
        <w:t>份，联合体成员各一份，签订政府采购合同时向采购人提供一份（作为采购合同的组成部分）。</w:t>
      </w:r>
    </w:p>
    <w:p>
      <w:pPr>
        <w:adjustRightInd w:val="0"/>
        <w:snapToGrid w:val="0"/>
        <w:spacing w:line="440" w:lineRule="exact"/>
        <w:ind w:firstLine="480" w:firstLineChars="200"/>
        <w:rPr>
          <w:rFonts w:ascii="Calibri" w:hAnsi="Calibri" w:eastAsia="宋体" w:cstheme="minorHAnsi"/>
          <w:color w:val="C00000"/>
          <w:kern w:val="24"/>
        </w:rPr>
      </w:pPr>
      <w:r>
        <w:rPr>
          <w:rFonts w:cstheme="minorHAnsi"/>
          <w:color w:val="000000"/>
        </w:rPr>
        <w:t>七、联合体各方需要约定的其他事项：</w:t>
      </w:r>
      <w:r>
        <w:rPr>
          <w:rFonts w:hint="eastAsia" w:ascii="Calibri" w:hAnsi="Calibri" w:eastAsia="宋体" w:cstheme="minorHAnsi"/>
          <w:color w:val="C00000"/>
          <w:kern w:val="24"/>
        </w:rPr>
        <w:t>［___</w:t>
      </w:r>
      <w:r>
        <w:rPr>
          <w:rFonts w:ascii="Calibri" w:hAnsi="Calibri" w:eastAsia="宋体" w:cstheme="minorHAnsi"/>
          <w:color w:val="C00000"/>
          <w:kern w:val="24"/>
        </w:rPr>
        <w:t>____________</w:t>
      </w:r>
      <w:r>
        <w:rPr>
          <w:rFonts w:hint="eastAsia" w:ascii="Calibri" w:hAnsi="Calibri" w:eastAsia="宋体" w:cstheme="minorHAnsi"/>
          <w:color w:val="C00000"/>
          <w:kern w:val="24"/>
        </w:rPr>
        <w:t>］</w:t>
      </w:r>
    </w:p>
    <w:p>
      <w:pPr>
        <w:adjustRightInd w:val="0"/>
        <w:snapToGrid w:val="0"/>
        <w:spacing w:line="440" w:lineRule="exact"/>
        <w:ind w:firstLine="480" w:firstLineChars="200"/>
        <w:rPr>
          <w:rFonts w:cstheme="minorHAnsi"/>
          <w:color w:val="000000"/>
        </w:rPr>
      </w:pP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联合体成员1：（</w:t>
      </w:r>
      <w:r>
        <w:rPr>
          <w:rFonts w:hint="eastAsia" w:ascii="Calibri" w:hAnsi="Calibri" w:eastAsia="宋体" w:cstheme="minorHAnsi"/>
          <w:i/>
          <w:color w:val="7030A0"/>
          <w:kern w:val="24"/>
        </w:rPr>
        <w:t>单位全称并加盖公章</w:t>
      </w:r>
      <w:r>
        <w:rPr>
          <w:rFonts w:hint="eastAsia"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法定代表人（负责人）：（</w:t>
      </w:r>
      <w:r>
        <w:rPr>
          <w:rFonts w:hint="eastAsia" w:ascii="Calibri" w:hAnsi="Calibri" w:eastAsia="宋体" w:cstheme="minorHAnsi"/>
          <w:i/>
          <w:color w:val="7030A0"/>
          <w:kern w:val="24"/>
        </w:rPr>
        <w:t>签字或盖章</w:t>
      </w:r>
      <w:r>
        <w:rPr>
          <w:rFonts w:hint="eastAsia"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签署日期：</w:t>
      </w:r>
      <w:r>
        <w:rPr>
          <w:color w:val="000000"/>
        </w:rPr>
        <w:t>　　年　月　日</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联合体成员</w:t>
      </w:r>
      <w:r>
        <w:rPr>
          <w:rFonts w:ascii="Calibri" w:hAnsi="Calibri" w:eastAsia="宋体" w:cstheme="minorHAnsi"/>
          <w:color w:val="000000"/>
          <w:kern w:val="24"/>
        </w:rPr>
        <w:t>2</w:t>
      </w:r>
      <w:r>
        <w:rPr>
          <w:rFonts w:hint="eastAsia" w:ascii="Calibri" w:hAnsi="Calibri" w:eastAsia="宋体" w:cstheme="minorHAnsi"/>
          <w:color w:val="000000"/>
          <w:kern w:val="24"/>
        </w:rPr>
        <w:t>：（</w:t>
      </w:r>
      <w:r>
        <w:rPr>
          <w:rFonts w:hint="eastAsia" w:ascii="Calibri" w:hAnsi="Calibri" w:eastAsia="宋体" w:cstheme="minorHAnsi"/>
          <w:i/>
          <w:color w:val="7030A0"/>
          <w:kern w:val="24"/>
        </w:rPr>
        <w:t>单位全称并加盖公章</w:t>
      </w:r>
      <w:r>
        <w:rPr>
          <w:rFonts w:hint="eastAsia"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法定代表人（负责人）：（</w:t>
      </w:r>
      <w:r>
        <w:rPr>
          <w:rFonts w:hint="eastAsia" w:ascii="Calibri" w:hAnsi="Calibri" w:eastAsia="宋体" w:cstheme="minorHAnsi"/>
          <w:i/>
          <w:color w:val="7030A0"/>
          <w:kern w:val="24"/>
        </w:rPr>
        <w:t>签字或盖章</w:t>
      </w:r>
      <w:r>
        <w:rPr>
          <w:rFonts w:hint="eastAsia"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签署日期：</w:t>
      </w:r>
      <w:r>
        <w:rPr>
          <w:color w:val="000000"/>
        </w:rPr>
        <w:t>　　年　月　日</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联合体成员…：（</w:t>
      </w:r>
      <w:r>
        <w:rPr>
          <w:rFonts w:hint="eastAsia" w:ascii="Calibri" w:hAnsi="Calibri" w:eastAsia="宋体" w:cstheme="minorHAnsi"/>
          <w:i/>
          <w:color w:val="7030A0"/>
          <w:kern w:val="24"/>
        </w:rPr>
        <w:t>单位全称并加盖公章</w:t>
      </w:r>
      <w:r>
        <w:rPr>
          <w:rFonts w:hint="eastAsia"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法定代表人（负责人）：（</w:t>
      </w:r>
      <w:r>
        <w:rPr>
          <w:rFonts w:hint="eastAsia" w:ascii="Calibri" w:hAnsi="Calibri" w:eastAsia="宋体" w:cstheme="minorHAnsi"/>
          <w:i/>
          <w:color w:val="7030A0"/>
          <w:kern w:val="24"/>
        </w:rPr>
        <w:t>签字或盖章</w:t>
      </w:r>
      <w:r>
        <w:rPr>
          <w:rFonts w:hint="eastAsia" w:ascii="Calibri" w:hAnsi="Calibri" w:eastAsia="宋体" w:cstheme="minorHAnsi"/>
          <w:color w:val="000000"/>
          <w:kern w:val="24"/>
        </w:rPr>
        <w:t>）</w:t>
      </w:r>
    </w:p>
    <w:p>
      <w:pPr>
        <w:ind w:firstLine="480" w:firstLineChars="200"/>
        <w:jc w:val="both"/>
        <w:rPr>
          <w:rFonts w:cstheme="minorHAnsi"/>
          <w:color w:val="000000"/>
        </w:rPr>
      </w:pPr>
      <w:r>
        <w:rPr>
          <w:rFonts w:hint="eastAsia" w:ascii="Calibri" w:hAnsi="Calibri" w:eastAsia="宋体" w:cstheme="minorHAnsi"/>
          <w:color w:val="000000"/>
          <w:kern w:val="24"/>
        </w:rPr>
        <w:t>签署日期：</w:t>
      </w:r>
      <w:r>
        <w:rPr>
          <w:color w:val="000000"/>
        </w:rPr>
        <w:t>　　年　月　日</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pPr>
        <w:rPr>
          <w:rFonts w:cstheme="minorHAnsi"/>
          <w:color w:val="000000"/>
        </w:rPr>
      </w:pPr>
      <w:r>
        <w:rPr>
          <w:rFonts w:cstheme="minorHAnsi"/>
          <w:color w:val="000000"/>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pPr>
        <w:spacing w:line="440" w:lineRule="exact"/>
        <w:ind w:firstLine="480" w:firstLineChars="200"/>
        <w:jc w:val="both"/>
        <w:rPr>
          <w:rFonts w:cstheme="minorHAnsi"/>
          <w:color w:val="000000"/>
        </w:rPr>
      </w:pPr>
    </w:p>
    <w:p>
      <w:pPr>
        <w:jc w:val="both"/>
        <w:rPr>
          <w:rFonts w:ascii="Calibri" w:hAnsi="Calibri" w:eastAsia="黑体"/>
          <w:kern w:val="28"/>
          <w:sz w:val="28"/>
        </w:rPr>
      </w:pPr>
    </w:p>
    <w:p>
      <w:pPr>
        <w:jc w:val="both"/>
        <w:rPr>
          <w:rFonts w:ascii="Calibri" w:hAnsi="Calibri" w:eastAsia="黑体"/>
          <w:kern w:val="28"/>
          <w:sz w:val="28"/>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pPr>
        <w:rPr>
          <w:rFonts w:cstheme="minorHAnsi"/>
        </w:rPr>
      </w:pPr>
    </w:p>
    <w:p>
      <w:pPr>
        <w:rPr>
          <w:rFonts w:cstheme="minorHAnsi"/>
        </w:rPr>
      </w:pPr>
    </w:p>
    <w:p>
      <w:pPr>
        <w:rPr>
          <w:rFonts w:cstheme="minorHAnsi"/>
        </w:rPr>
      </w:pPr>
    </w:p>
    <w:p>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pPr>
        <w:outlineLvl w:val="2"/>
        <w:rPr>
          <w:rFonts w:asciiTheme="minorEastAsia" w:hAnsiTheme="minorEastAsia"/>
        </w:rPr>
      </w:pPr>
      <w:r>
        <w:rPr>
          <w:rFonts w:asciiTheme="minorEastAsia" w:hAnsiTheme="minorEastAsia"/>
        </w:rPr>
        <w:t>（一）技术（服务）条款响应（暗标盲评部分）</w:t>
      </w:r>
    </w:p>
    <w:p>
      <w:pPr>
        <w:ind w:firstLine="480" w:firstLineChars="200"/>
        <w:rPr>
          <w:rFonts w:asciiTheme="minorEastAsia" w:hAnsiTheme="minorEastAsia"/>
        </w:rPr>
      </w:pPr>
      <w:r>
        <w:rPr>
          <w:rFonts w:asciiTheme="minorEastAsia" w:hAnsiTheme="minorEastAsia"/>
        </w:rPr>
        <w:t>特别提醒：</w:t>
      </w:r>
    </w:p>
    <w:p>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pPr>
        <w:jc w:val="center"/>
        <w:rPr>
          <w:rFonts w:cstheme="minorHAnsi"/>
          <w:b/>
        </w:rPr>
      </w:pPr>
      <w:r>
        <w:rPr>
          <w:rFonts w:hint="eastAsia" w:cstheme="minorHAnsi"/>
          <w:b/>
          <w:i/>
        </w:rPr>
        <w:t>技术（服务）响应方案</w:t>
      </w:r>
    </w:p>
    <w:p>
      <w:pPr>
        <w:rPr>
          <w:i/>
          <w:color w:val="C00000"/>
        </w:rPr>
      </w:pPr>
      <w:r>
        <w:rPr>
          <w:rFonts w:hint="eastAsia"/>
          <w:i/>
          <w:color w:val="C00000"/>
        </w:rPr>
        <w:t>供应商结合第三章《招标内容及要求》相关要求及第二章《评审要素及分值一览表》暗标部分中各评审要素逐项编写方案。</w:t>
      </w:r>
    </w:p>
    <w:p>
      <w:pPr>
        <w:rPr>
          <w:i/>
          <w:color w:val="C00000"/>
        </w:rPr>
      </w:pPr>
    </w:p>
    <w:p>
      <w:pPr>
        <w:rPr>
          <w:i/>
          <w:color w:val="C00000"/>
        </w:rPr>
      </w:pPr>
      <w:r>
        <w:rPr>
          <w:rFonts w:hint="eastAsia"/>
          <w:i/>
          <w:color w:val="C00000"/>
        </w:rPr>
        <w:t>示例：</w:t>
      </w:r>
    </w:p>
    <w:p>
      <w:pPr>
        <w:rPr>
          <w:rFonts w:asciiTheme="minorEastAsia" w:hAnsiTheme="minorEastAsia"/>
          <w:b/>
        </w:rPr>
      </w:pPr>
      <w:r>
        <w:rPr>
          <w:rFonts w:hint="eastAsia" w:asciiTheme="minorEastAsia" w:hAnsiTheme="minorEastAsia"/>
          <w:b/>
        </w:rPr>
        <w:t>1．</w:t>
      </w:r>
      <w:r>
        <w:rPr>
          <w:rFonts w:asciiTheme="minorEastAsia" w:hAnsiTheme="minorEastAsia"/>
          <w:b/>
          <w:sz w:val="21"/>
          <w:szCs w:val="21"/>
        </w:rPr>
        <w:t>物业服务方案</w:t>
      </w:r>
    </w:p>
    <w:p>
      <w:pPr>
        <w:rPr>
          <w:rFonts w:asciiTheme="minorEastAsia" w:hAnsiTheme="minorEastAsia"/>
          <w:b/>
        </w:rPr>
      </w:pPr>
    </w:p>
    <w:p>
      <w:pPr>
        <w:rPr>
          <w:rFonts w:asciiTheme="minorEastAsia" w:hAnsiTheme="minorEastAsia"/>
          <w:b/>
          <w:sz w:val="21"/>
          <w:szCs w:val="21"/>
        </w:rPr>
      </w:pPr>
      <w:r>
        <w:rPr>
          <w:rFonts w:asciiTheme="minorEastAsia" w:hAnsiTheme="minorEastAsia"/>
          <w:b/>
        </w:rPr>
        <w:t>2</w:t>
      </w:r>
      <w:r>
        <w:rPr>
          <w:rFonts w:hint="eastAsia" w:asciiTheme="minorEastAsia" w:hAnsiTheme="minorEastAsia"/>
          <w:b/>
        </w:rPr>
        <w:t>．</w:t>
      </w:r>
      <w:r>
        <w:rPr>
          <w:rFonts w:asciiTheme="minorEastAsia" w:hAnsiTheme="minorEastAsia"/>
          <w:b/>
          <w:sz w:val="21"/>
          <w:szCs w:val="21"/>
        </w:rPr>
        <w:t>机构和制度建设</w:t>
      </w:r>
    </w:p>
    <w:p>
      <w:pPr>
        <w:rPr>
          <w:rFonts w:asciiTheme="minorEastAsia" w:hAnsiTheme="minorEastAsia"/>
          <w:b/>
          <w:sz w:val="21"/>
          <w:szCs w:val="21"/>
        </w:rPr>
      </w:pPr>
    </w:p>
    <w:p>
      <w:pPr>
        <w:rPr>
          <w:rFonts w:asciiTheme="minorEastAsia" w:hAnsiTheme="minorEastAsia"/>
          <w:b/>
          <w:sz w:val="21"/>
          <w:szCs w:val="21"/>
        </w:rPr>
      </w:pPr>
      <w:r>
        <w:rPr>
          <w:rFonts w:hint="eastAsia" w:asciiTheme="minorEastAsia" w:hAnsiTheme="minorEastAsia"/>
          <w:b/>
          <w:sz w:val="21"/>
          <w:szCs w:val="21"/>
        </w:rPr>
        <w:t>3.</w:t>
      </w:r>
      <w:r>
        <w:rPr>
          <w:rFonts w:asciiTheme="minorEastAsia" w:hAnsiTheme="minorEastAsia"/>
          <w:b/>
          <w:sz w:val="21"/>
          <w:szCs w:val="21"/>
        </w:rPr>
        <w:t xml:space="preserve"> 秩序维护服务方案</w:t>
      </w:r>
    </w:p>
    <w:p>
      <w:pPr>
        <w:rPr>
          <w:rFonts w:asciiTheme="minorEastAsia" w:hAnsiTheme="minorEastAsia"/>
          <w:b/>
          <w:sz w:val="21"/>
          <w:szCs w:val="21"/>
        </w:rPr>
      </w:pPr>
    </w:p>
    <w:p>
      <w:pPr>
        <w:rPr>
          <w:rFonts w:asciiTheme="minorEastAsia" w:hAnsiTheme="minorEastAsia"/>
          <w:b/>
          <w:sz w:val="21"/>
          <w:szCs w:val="21"/>
        </w:rPr>
      </w:pPr>
      <w:r>
        <w:rPr>
          <w:rFonts w:hint="eastAsia" w:asciiTheme="minorEastAsia" w:hAnsiTheme="minorEastAsia"/>
          <w:b/>
          <w:sz w:val="21"/>
          <w:szCs w:val="21"/>
        </w:rPr>
        <w:t xml:space="preserve">4. </w:t>
      </w:r>
      <w:r>
        <w:rPr>
          <w:rFonts w:asciiTheme="minorEastAsia" w:hAnsiTheme="minorEastAsia"/>
          <w:b/>
          <w:sz w:val="21"/>
          <w:szCs w:val="21"/>
        </w:rPr>
        <w:t>保洁绿化服务方案</w:t>
      </w:r>
    </w:p>
    <w:p>
      <w:pPr>
        <w:rPr>
          <w:rFonts w:asciiTheme="minorEastAsia" w:hAnsiTheme="minorEastAsia"/>
          <w:b/>
          <w:sz w:val="21"/>
          <w:szCs w:val="21"/>
        </w:rPr>
      </w:pPr>
    </w:p>
    <w:p>
      <w:pPr>
        <w:rPr>
          <w:rFonts w:asciiTheme="minorEastAsia" w:hAnsiTheme="minorEastAsia"/>
          <w:b/>
          <w:sz w:val="21"/>
          <w:szCs w:val="21"/>
        </w:rPr>
      </w:pPr>
      <w:r>
        <w:rPr>
          <w:rFonts w:hint="eastAsia" w:asciiTheme="minorEastAsia" w:hAnsiTheme="minorEastAsia"/>
          <w:b/>
          <w:sz w:val="21"/>
          <w:szCs w:val="21"/>
        </w:rPr>
        <w:t>5.</w:t>
      </w:r>
      <w:r>
        <w:rPr>
          <w:rFonts w:asciiTheme="minorEastAsia" w:hAnsiTheme="minorEastAsia"/>
          <w:b/>
          <w:sz w:val="21"/>
          <w:szCs w:val="21"/>
        </w:rPr>
        <w:t xml:space="preserve"> 工程管理方案</w:t>
      </w:r>
    </w:p>
    <w:p>
      <w:pPr>
        <w:rPr>
          <w:rFonts w:asciiTheme="minorEastAsia" w:hAnsiTheme="minorEastAsia"/>
          <w:b/>
          <w:sz w:val="21"/>
          <w:szCs w:val="21"/>
        </w:rPr>
      </w:pPr>
    </w:p>
    <w:p>
      <w:pPr>
        <w:rPr>
          <w:rFonts w:asciiTheme="minorEastAsia" w:hAnsiTheme="minorEastAsia"/>
          <w:b/>
          <w:sz w:val="21"/>
          <w:szCs w:val="21"/>
        </w:rPr>
      </w:pPr>
      <w:r>
        <w:rPr>
          <w:rFonts w:hint="eastAsia" w:asciiTheme="minorEastAsia" w:hAnsiTheme="minorEastAsia"/>
          <w:b/>
          <w:sz w:val="21"/>
          <w:szCs w:val="21"/>
        </w:rPr>
        <w:t>6.</w:t>
      </w:r>
      <w:r>
        <w:rPr>
          <w:rFonts w:asciiTheme="minorEastAsia" w:hAnsiTheme="minorEastAsia"/>
          <w:b/>
          <w:sz w:val="21"/>
          <w:szCs w:val="21"/>
        </w:rPr>
        <w:t xml:space="preserve"> 会务服务方案</w:t>
      </w:r>
    </w:p>
    <w:p>
      <w:pPr>
        <w:rPr>
          <w:rFonts w:asciiTheme="minorEastAsia" w:hAnsiTheme="minorEastAsia"/>
          <w:b/>
          <w:sz w:val="21"/>
          <w:szCs w:val="21"/>
        </w:rPr>
      </w:pPr>
    </w:p>
    <w:p>
      <w:pPr>
        <w:rPr>
          <w:rFonts w:asciiTheme="minorEastAsia" w:hAnsiTheme="minorEastAsia"/>
          <w:b/>
          <w:sz w:val="21"/>
          <w:szCs w:val="21"/>
        </w:rPr>
      </w:pPr>
      <w:r>
        <w:rPr>
          <w:rFonts w:hint="eastAsia" w:asciiTheme="minorEastAsia" w:hAnsiTheme="minorEastAsia"/>
          <w:b/>
          <w:sz w:val="21"/>
          <w:szCs w:val="21"/>
        </w:rPr>
        <w:t xml:space="preserve">7. </w:t>
      </w:r>
      <w:r>
        <w:rPr>
          <w:rFonts w:asciiTheme="minorEastAsia" w:hAnsiTheme="minorEastAsia"/>
          <w:b/>
          <w:sz w:val="21"/>
          <w:szCs w:val="21"/>
        </w:rPr>
        <w:t>餐饮服务方案</w:t>
      </w:r>
    </w:p>
    <w:p>
      <w:pPr>
        <w:rPr>
          <w:rFonts w:asciiTheme="minorEastAsia" w:hAnsiTheme="minorEastAsia"/>
          <w:b/>
          <w:sz w:val="21"/>
          <w:szCs w:val="21"/>
        </w:rPr>
      </w:pPr>
    </w:p>
    <w:p>
      <w:pPr>
        <w:rPr>
          <w:rFonts w:asciiTheme="minorEastAsia" w:hAnsiTheme="minorEastAsia"/>
          <w:b/>
          <w:sz w:val="21"/>
          <w:szCs w:val="21"/>
        </w:rPr>
      </w:pPr>
      <w:r>
        <w:rPr>
          <w:rFonts w:hint="eastAsia" w:asciiTheme="minorEastAsia" w:hAnsiTheme="minorEastAsia"/>
          <w:b/>
          <w:sz w:val="21"/>
          <w:szCs w:val="21"/>
        </w:rPr>
        <w:t xml:space="preserve">8. </w:t>
      </w:r>
      <w:r>
        <w:rPr>
          <w:rFonts w:asciiTheme="minorEastAsia" w:hAnsiTheme="minorEastAsia"/>
          <w:b/>
          <w:sz w:val="21"/>
          <w:szCs w:val="21"/>
        </w:rPr>
        <w:t>应急预案</w:t>
      </w:r>
    </w:p>
    <w:p>
      <w:pPr>
        <w:rPr>
          <w:rFonts w:asciiTheme="minorEastAsia" w:hAnsiTheme="minorEastAsia"/>
          <w:b/>
          <w:sz w:val="21"/>
          <w:szCs w:val="21"/>
        </w:rPr>
      </w:pPr>
    </w:p>
    <w:p>
      <w:pPr>
        <w:rPr>
          <w:rFonts w:asciiTheme="minorEastAsia" w:hAnsiTheme="minorEastAsia"/>
          <w:b/>
        </w:rPr>
      </w:pPr>
      <w:r>
        <w:rPr>
          <w:rFonts w:hint="eastAsia" w:asciiTheme="minorEastAsia" w:hAnsiTheme="minorEastAsia"/>
          <w:b/>
          <w:sz w:val="21"/>
          <w:szCs w:val="21"/>
        </w:rPr>
        <w:t>9.</w:t>
      </w:r>
      <w:r>
        <w:rPr>
          <w:rFonts w:asciiTheme="minorEastAsia" w:hAnsiTheme="minorEastAsia"/>
          <w:b/>
          <w:sz w:val="21"/>
          <w:szCs w:val="21"/>
        </w:rPr>
        <w:t xml:space="preserve"> 特色管理服务及服务优化方案</w:t>
      </w:r>
      <w:r>
        <w:rPr>
          <w:rFonts w:cstheme="minorHAnsi"/>
          <w:b/>
          <w:color w:val="C00000"/>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．项目经理</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w:t>
      </w:r>
      <w:r>
        <w:rPr>
          <w:rFonts w:hint="eastAsia" w:asciiTheme="minorEastAsia" w:hAnsiTheme="minorEastAsia"/>
          <w:b/>
          <w:sz w:val="21"/>
          <w:szCs w:val="21"/>
        </w:rPr>
        <w:t>其他人员</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hint="eastAsia" w:asciiTheme="minorEastAsia" w:hAnsiTheme="minorEastAsia" w:cstheme="minorHAnsi"/>
          <w:b/>
          <w:color w:val="000000"/>
          <w:kern w:val="24"/>
        </w:rPr>
        <w:t>3．</w:t>
      </w:r>
      <w:r>
        <w:rPr>
          <w:rFonts w:asciiTheme="minorEastAsia" w:hAnsiTheme="minorEastAsia"/>
          <w:b/>
          <w:sz w:val="21"/>
          <w:szCs w:val="21"/>
        </w:rPr>
        <w:t>人员配置</w:t>
      </w:r>
    </w:p>
    <w:tbl>
      <w:tblPr>
        <w:tblStyle w:val="25"/>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pPr>
        <w:rPr>
          <w:rFonts w:asciiTheme="minorEastAsia" w:hAnsiTheme="minorEastAsia" w:cstheme="minorHAnsi"/>
          <w:b/>
          <w:color w:val="000000"/>
          <w:kern w:val="24"/>
        </w:rPr>
      </w:pPr>
    </w:p>
    <w:p>
      <w:pPr>
        <w:rPr>
          <w:rFonts w:asciiTheme="minorEastAsia" w:hAnsiTheme="minorEastAsia"/>
          <w:b/>
          <w:sz w:val="21"/>
          <w:szCs w:val="21"/>
        </w:rPr>
      </w:pPr>
      <w:r>
        <w:rPr>
          <w:rFonts w:asciiTheme="minorEastAsia" w:hAnsiTheme="minorEastAsia" w:cstheme="minorHAnsi"/>
          <w:b/>
          <w:color w:val="000000"/>
          <w:kern w:val="24"/>
        </w:rPr>
        <w:t>4</w:t>
      </w:r>
      <w:r>
        <w:rPr>
          <w:rFonts w:hint="eastAsia" w:asciiTheme="minorEastAsia" w:hAnsiTheme="minorEastAsia" w:cstheme="minorHAnsi"/>
          <w:b/>
          <w:color w:val="000000"/>
          <w:kern w:val="24"/>
        </w:rPr>
        <w:t>．</w:t>
      </w:r>
      <w:r>
        <w:rPr>
          <w:rFonts w:asciiTheme="minorEastAsia" w:hAnsiTheme="minorEastAsia"/>
          <w:b/>
          <w:sz w:val="21"/>
          <w:szCs w:val="21"/>
        </w:rPr>
        <w:t>保密部门业务培训</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5．</w:t>
      </w:r>
      <w:r>
        <w:rPr>
          <w:rFonts w:asciiTheme="minorEastAsia" w:hAnsiTheme="minorEastAsia"/>
          <w:b/>
          <w:sz w:val="21"/>
          <w:szCs w:val="21"/>
        </w:rPr>
        <w:t>员工管理</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6</w:t>
      </w:r>
      <w:r>
        <w:rPr>
          <w:rFonts w:hint="eastAsia" w:asciiTheme="minorEastAsia" w:hAnsiTheme="minorEastAsia" w:cstheme="minorHAnsi"/>
          <w:b/>
          <w:color w:val="000000"/>
          <w:kern w:val="24"/>
        </w:rPr>
        <w:t>．</w:t>
      </w:r>
      <w:r>
        <w:rPr>
          <w:rFonts w:hint="eastAsia" w:asciiTheme="minorEastAsia" w:hAnsiTheme="minorEastAsia"/>
          <w:b/>
          <w:sz w:val="21"/>
          <w:szCs w:val="21"/>
        </w:rPr>
        <w:t>管理体系</w:t>
      </w:r>
    </w:p>
    <w:p>
      <w:pPr>
        <w:rPr>
          <w:rFonts w:asciiTheme="minorEastAsia" w:hAnsiTheme="minorEastAsia" w:cstheme="minorHAnsi"/>
          <w:b/>
        </w:rPr>
      </w:pPr>
    </w:p>
    <w:p>
      <w:pPr>
        <w:rPr>
          <w:rFonts w:asciiTheme="minorEastAsia" w:hAnsiTheme="minorEastAsia" w:cstheme="minorHAnsi"/>
          <w:b/>
        </w:rPr>
      </w:pPr>
      <w:r>
        <w:rPr>
          <w:rFonts w:hint="eastAsia" w:asciiTheme="minorEastAsia" w:hAnsiTheme="minorEastAsia"/>
          <w:b/>
          <w:sz w:val="21"/>
          <w:szCs w:val="21"/>
        </w:rPr>
        <w:t>7</w:t>
      </w:r>
      <w:r>
        <w:rPr>
          <w:rFonts w:hint="eastAsia" w:asciiTheme="minorEastAsia" w:hAnsiTheme="minorEastAsia" w:cstheme="minorHAnsi"/>
          <w:b/>
          <w:color w:val="000000"/>
          <w:kern w:val="24"/>
        </w:rPr>
        <w:t>．</w:t>
      </w:r>
      <w:r>
        <w:rPr>
          <w:rFonts w:asciiTheme="minorEastAsia" w:hAnsiTheme="minorEastAsia"/>
          <w:b/>
          <w:sz w:val="21"/>
          <w:szCs w:val="21"/>
        </w:rPr>
        <w:t>业绩</w:t>
      </w:r>
    </w:p>
    <w:p>
      <w:pPr>
        <w:rPr>
          <w:rFonts w:cstheme="minorHAnsi"/>
          <w:b/>
        </w:rPr>
      </w:pPr>
      <w:r>
        <w:rPr>
          <w:rFonts w:cstheme="minorHAnsi"/>
          <w:b/>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5"/>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pPr>
        <w:rPr>
          <w:rFonts w:ascii="Calibri" w:hAnsi="华文仿宋"/>
          <w:b/>
        </w:rPr>
      </w:pPr>
    </w:p>
    <w:p>
      <w:pPr>
        <w:rPr>
          <w:rFonts w:cstheme="minorHAnsi"/>
        </w:rPr>
      </w:pPr>
    </w:p>
    <w:p>
      <w:pPr>
        <w:rPr>
          <w:rFonts w:cstheme="minorHAnsi"/>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5"/>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bookmarkStart w:id="18" w:name="OLE_LINK5"/>
      <w:bookmarkStart w:id="19" w:name="OLE_LINK6"/>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82"/>
        <w:ind w:firstLine="480"/>
        <w:rPr>
          <w:i/>
          <w:color w:val="7030A0"/>
        </w:rPr>
      </w:pPr>
      <w:r>
        <w:rPr>
          <w:i/>
          <w:color w:val="7030A0"/>
        </w:rPr>
        <w:t>未签署下列承诺书的，将被视为无效投标，其责任由供应商自行承担。</w:t>
      </w:r>
    </w:p>
    <w:p>
      <w:pPr>
        <w:spacing w:line="480" w:lineRule="exact"/>
        <w:outlineLvl w:val="2"/>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outlineLvl w:val="2"/>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标</w:t>
      </w:r>
      <w:r>
        <w:rPr>
          <w:rFonts w:ascii="Calibri" w:hAnsi="Calibri" w:eastAsia="宋体" w:cstheme="minorHAnsi"/>
          <w:color w:val="000000"/>
          <w:kern w:val="24"/>
        </w:rPr>
        <w:t>、成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标</w:t>
      </w:r>
      <w:r>
        <w:rPr>
          <w:rFonts w:ascii="Calibri" w:hAnsi="Calibri" w:eastAsia="宋体" w:cstheme="minorHAnsi"/>
          <w:color w:val="000000"/>
          <w:kern w:val="24"/>
        </w:rPr>
        <w:t>、成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rPr>
          <w:rFonts w:ascii="Calibri Light" w:hAnsi="Calibri Light" w:eastAsia="华文仿宋" w:cs="Calibri Light"/>
          <w:color w:val="000000"/>
          <w:sz w:val="28"/>
          <w:szCs w:val="28"/>
        </w:rPr>
      </w:pPr>
    </w:p>
    <w:p>
      <w:pPr>
        <w:spacing w:line="480" w:lineRule="exact"/>
        <w:outlineLvl w:val="2"/>
        <w:rPr>
          <w:rFonts w:ascii="黑体" w:hAnsi="黑体" w:cstheme="minorHAnsi"/>
          <w:b/>
        </w:rPr>
      </w:pPr>
      <w:r>
        <w:rPr>
          <w:rFonts w:ascii="黑体" w:hAnsi="黑体" w:cstheme="minorHAnsi"/>
          <w:b/>
        </w:rPr>
        <w:t>3</w:t>
      </w:r>
      <w:r>
        <w:rPr>
          <w:rFonts w:hint="eastAsia" w:ascii="黑体" w:hAnsi="黑体" w:eastAsia="黑体" w:cs="黑体"/>
          <w:b/>
        </w:rPr>
        <w:t>．</w:t>
      </w:r>
      <w:r>
        <w:rPr>
          <w:rFonts w:hint="eastAsia" w:ascii="黑体" w:hAnsi="黑体" w:cstheme="minorHAnsi"/>
          <w:b/>
        </w:rPr>
        <w:t>保密承诺书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致：西安市公安局</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本单位（全称：                    ，统一社会信用代码：                ，地址：                ）在参与贵局政府采购工作过程中，已充分知悉《中华人民共和国保守国家秘密法》《中华人民共和国政府采购法》等相关法律法规要求，现就保密事宜郑重承诺如下：</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 xml:space="preserve">一、保密信息范围 </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保密信息包括但不限于：</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 xml:space="preserve">1.政府采购活动涉及的采购（招标）文件、响应（投标）文件、评审文件、合同文本等书面及电子文档； </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 xml:space="preserve">2.项目技术参数、实施方案、预算明细、评审细则等未公开信息； </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3.通过工作接触获取的公安系统内部管理制度、警务工作信息等敏感内容。</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 xml:space="preserve">二、保密义务 </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 xml:space="preserve">1.对接触的保密信息采取物理隔离（专用保险柜存储）、电子防护（加密文件处理）、访问权限控制（最小必要知悉原则）等必要保护措施； </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2.建立分级保密管理制度，指定         （职务）作为保密责任人，对接触保密信息人员实行登记备案并签署专项保密协议；</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3.资料信息使用范围严格限定于本项目实施需要，不得以任何形式将所获取文件通过互联网(包括网站、云存储、社交软件、电子邮件等电子传播途径)进行公开、传播或扩散;禁止将文件向任何第三方(含其他法人实体、非法人组织及自然人)进行披露、转让、复制或提供查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4.项目终止或完成后10个工作日内，自行销毁全部载体（含纸质文件、电子文档、录音录像等衍生资料）。</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三、责任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如我司违反上述保密承诺，导致保密信息泄露或被非法获取的，愿意承担相应的法律责任，并赔偿贵单位因此遭受的全部损失。</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本承诺书自签署之日起生效。</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特此承诺！</w:t>
      </w:r>
    </w:p>
    <w:p>
      <w:pPr>
        <w:spacing w:line="560" w:lineRule="exact"/>
        <w:ind w:firstLine="480" w:firstLineChars="200"/>
        <w:jc w:val="both"/>
        <w:rPr>
          <w:rFonts w:asciiTheme="minorEastAsia" w:hAnsiTheme="minorEastAsia"/>
          <w:szCs w:val="28"/>
        </w:rPr>
      </w:pPr>
      <w:r>
        <w:rPr>
          <w:rFonts w:cs="仿宋_GB2312" w:asciiTheme="minorEastAsia" w:hAnsiTheme="minorEastAsia"/>
          <w:kern w:val="2"/>
          <w:szCs w:val="28"/>
        </w:rPr>
        <w:t xml:space="preserve"> </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FF0000"/>
          <w:kern w:val="24"/>
        </w:rPr>
        <w:t>供应商：（供应商全称并加盖公章）</w:t>
      </w:r>
      <w:r>
        <w:rPr>
          <w:rFonts w:ascii="Calibri" w:hAnsi="Calibri" w:eastAsia="宋体" w:cstheme="minorHAnsi"/>
          <w:color w:val="FF0000"/>
          <w:kern w:val="24"/>
        </w:rPr>
        <w:t>：</w:t>
      </w:r>
      <w:r>
        <w:rPr>
          <w:rFonts w:ascii="Calibri" w:hAnsi="Calibri" w:eastAsia="宋体" w:cstheme="minorHAnsi"/>
          <w:color w:val="000000"/>
          <w:kern w:val="24"/>
        </w:rPr>
        <w:t xml:space="preserve">                          日期：</w:t>
      </w:r>
    </w:p>
    <w:p>
      <w:pPr>
        <w:ind w:firstLine="480" w:firstLineChars="200"/>
        <w:jc w:val="both"/>
        <w:rPr>
          <w:rFonts w:ascii="Calibri" w:hAnsi="Calibri" w:eastAsia="宋体" w:cstheme="minorHAnsi"/>
          <w:color w:val="000000"/>
          <w:kern w:val="24"/>
        </w:rPr>
      </w:pPr>
      <w:r>
        <w:rPr>
          <w:rFonts w:ascii="Calibri" w:hAnsi="Calibri" w:eastAsia="宋体" w:cstheme="minorHAnsi"/>
          <w:color w:val="FF0000"/>
          <w:kern w:val="24"/>
        </w:rPr>
        <w:t>法定代表人或授权代表（签字）：</w:t>
      </w:r>
      <w:r>
        <w:rPr>
          <w:rFonts w:ascii="Calibri" w:hAnsi="Calibri" w:eastAsia="宋体" w:cstheme="minorHAnsi"/>
          <w:color w:val="000000"/>
          <w:kern w:val="24"/>
        </w:rPr>
        <w:t xml:space="preserve">              联系电话：</w:t>
      </w:r>
    </w:p>
    <w:bookmarkEnd w:id="18"/>
    <w:bookmarkEnd w:id="19"/>
    <w:p>
      <w:pPr>
        <w:spacing w:line="480" w:lineRule="exact"/>
        <w:rPr>
          <w:rFonts w:ascii="黑体" w:hAnsi="黑体" w:cstheme="minorHAnsi"/>
          <w:b/>
        </w:rPr>
      </w:pPr>
    </w:p>
    <w:p>
      <w:pPr>
        <w:rPr>
          <w:rFonts w:ascii="Calibri Light" w:hAnsi="Calibri Light" w:eastAsia="华文仿宋" w:cs="Calibri Light"/>
          <w:color w:val="000000"/>
          <w:sz w:val="28"/>
          <w:szCs w:val="28"/>
        </w:rPr>
        <w:sectPr>
          <w:footerReference r:id="rId31" w:type="default"/>
          <w:footerReference r:id="rId32" w:type="even"/>
          <w:pgSz w:w="11906" w:h="16838"/>
          <w:pgMar w:top="1418" w:right="1418" w:bottom="1418" w:left="1418" w:header="851" w:footer="992" w:gutter="0"/>
          <w:cols w:space="425" w:num="1"/>
          <w:docGrid w:type="linesAndChars" w:linePitch="460" w:charSpace="0"/>
        </w:sectPr>
      </w:pPr>
    </w:p>
    <w:p>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三</w:t>
      </w:r>
      <w:r>
        <w:rPr>
          <w:rFonts w:ascii="Calibri" w:hAnsi="Calibri" w:eastAsia="黑体"/>
          <w:kern w:val="28"/>
          <w:sz w:val="28"/>
        </w:rPr>
        <w:t>）享受</w:t>
      </w:r>
      <w:r>
        <w:rPr>
          <w:rFonts w:hint="eastAsia" w:ascii="Calibri" w:hAnsi="Calibri" w:eastAsia="黑体"/>
          <w:kern w:val="28"/>
          <w:sz w:val="28"/>
        </w:rPr>
        <w:t>政府采购优惠政策需要提供的资料</w:t>
      </w:r>
    </w:p>
    <w:p>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w:t>
      </w:r>
      <w:r>
        <w:rPr>
          <w:color w:val="C00000"/>
        </w:rPr>
        <w:t>规定的</w:t>
      </w:r>
      <w:r>
        <w:rPr>
          <w:rFonts w:hint="eastAsia"/>
          <w:color w:val="C00000"/>
        </w:rPr>
        <w:t>价格扣除，但不影响投标文件的有效性。</w:t>
      </w:r>
    </w:p>
    <w:p>
      <w:pPr>
        <w:ind w:firstLine="480" w:firstLineChars="200"/>
        <w:jc w:val="both"/>
        <w:rPr>
          <w:color w:val="C00000"/>
        </w:rPr>
      </w:pPr>
      <w:r>
        <w:rPr>
          <w:rFonts w:hint="eastAsia"/>
          <w:color w:val="00B050"/>
        </w:rPr>
        <w:t>联合体各方均为中小企业的，联合体视同中小企业。其中，联合体各方均为小微企业的，联合体视同小微企业。</w:t>
      </w:r>
    </w:p>
    <w:p>
      <w:pPr>
        <w:ind w:firstLine="480" w:firstLineChars="200"/>
        <w:jc w:val="both"/>
      </w:pPr>
      <w:r>
        <w:rPr>
          <w:rFonts w:hint="eastAsia"/>
        </w:rPr>
        <w:t>中标供应商享受了政府采购优惠政策的，将随中标结果公开其声明函\证明函，接受社会监督。</w:t>
      </w:r>
    </w:p>
    <w:p>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pPr>
        <w:pStyle w:val="41"/>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pPr>
        <w:pStyle w:val="41"/>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pPr>
        <w:pStyle w:val="41"/>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pPr>
        <w:pStyle w:val="41"/>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pPr>
        <w:tabs>
          <w:tab w:val="left" w:pos="5670"/>
        </w:tabs>
        <w:jc w:val="center"/>
        <w:rPr>
          <w:rFonts w:cs="Calibri Light"/>
          <w:b/>
          <w:color w:val="1F4E79"/>
          <w:sz w:val="28"/>
          <w:szCs w:val="36"/>
        </w:rPr>
      </w:pPr>
      <w:r>
        <w:rPr>
          <w:rFonts w:cs="Calibri Light"/>
          <w:b/>
          <w:color w:val="1F4E79"/>
          <w:sz w:val="28"/>
          <w:szCs w:val="36"/>
        </w:rPr>
        <w:t>『中小企业声明函』（服务类格式）</w:t>
      </w:r>
    </w:p>
    <w:p>
      <w:pPr>
        <w:pStyle w:val="41"/>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pPr>
        <w:pStyle w:val="41"/>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1"/>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1"/>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pPr>
        <w:ind w:firstLine="480" w:firstLineChars="200"/>
        <w:jc w:val="both"/>
      </w:pPr>
      <w:r>
        <w:t>以上企业，不属于大企业的分支机构，不存在控股股东为大企业的情形，也不存在与大企业的负责人为同一人的情形。</w:t>
      </w:r>
    </w:p>
    <w:p>
      <w:pPr>
        <w:ind w:firstLine="480" w:firstLineChars="200"/>
        <w:jc w:val="both"/>
      </w:pPr>
      <w:r>
        <w:t>本企业对上述声明内容的真实性负责。如有虚假，将依法承担相应责任。</w:t>
      </w:r>
    </w:p>
    <w:p>
      <w:pPr>
        <w:ind w:firstLine="480" w:firstLineChars="200"/>
        <w:jc w:val="both"/>
      </w:pPr>
    </w:p>
    <w:p>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pPr>
        <w:tabs>
          <w:tab w:val="left" w:pos="5670"/>
        </w:tabs>
        <w:ind w:firstLine="480" w:firstLineChars="200"/>
        <w:jc w:val="both"/>
        <w:rPr>
          <w:rFonts w:cs="Calibri Light"/>
          <w:color w:val="000000"/>
        </w:rPr>
      </w:pPr>
      <w:r>
        <w:rPr>
          <w:rFonts w:cs="Calibri Light"/>
          <w:color w:val="000000"/>
        </w:rPr>
        <w:t>日　期：　　年　月　日</w:t>
      </w:r>
    </w:p>
    <w:p>
      <w:pPr>
        <w:tabs>
          <w:tab w:val="left" w:pos="5670"/>
        </w:tabs>
        <w:ind w:firstLine="480" w:firstLineChars="200"/>
        <w:jc w:val="both"/>
        <w:rPr>
          <w:rFonts w:cs="Calibri Light"/>
          <w:color w:val="000000"/>
        </w:rPr>
      </w:pP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p>
    <w:sectPr>
      <w:footerReference r:id="rId33" w:type="default"/>
      <w:footerReference r:id="rId34"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89</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89</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76</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78</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82</w:t>
    </w:r>
    <w:r>
      <w:rPr>
        <w:rFonts w:ascii="宋体" w:hAnsi="宋体" w:eastAsia="宋体"/>
      </w:rPr>
      <w:fldChar w:fldCharType="end"/>
    </w:r>
    <w:r>
      <w:rPr>
        <w:rFonts w:ascii="宋体" w:hAnsi="宋体" w:eastAsia="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88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86</w:t>
    </w:r>
    <w:r>
      <w:rPr>
        <w:rFonts w:ascii="宋体" w:hAnsi="宋体" w:eastAsia="宋体"/>
      </w:rPr>
      <w:fldChar w:fldCharType="end"/>
    </w:r>
    <w:r>
      <w:rPr>
        <w:rFonts w:ascii="宋体" w:hAnsi="宋体" w:eastAsia="宋体"/>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88</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89</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91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89</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西安市公安局</w:t>
    </w:r>
    <w:r>
      <w:rPr>
        <w:rFonts w:ascii="宋体" w:hAnsi="宋体" w:eastAsia="宋体"/>
      </w:rPr>
      <w:t>2025年市局机关（西大街办公区）及驻外单位物业管理服务项目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西安市公安局</w:t>
    </w:r>
    <w:r>
      <w:rPr>
        <w:rFonts w:ascii="宋体" w:hAnsi="宋体" w:eastAsia="宋体"/>
      </w:rPr>
      <w:t>2025年市局机关（西大街办公区）及驻外单位物业管理服务项目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西安市公安局</w:t>
    </w:r>
    <w:r>
      <w:rPr>
        <w:rFonts w:ascii="宋体" w:hAnsi="宋体" w:eastAsia="宋体"/>
      </w:rPr>
      <w:t>2025年市局机关（西大街办公区）及驻外单位物业管理服务项目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24BF5D"/>
    <w:multiLevelType w:val="multilevel"/>
    <w:tmpl w:val="FA24BF5D"/>
    <w:lvl w:ilvl="0" w:tentative="0">
      <w:start w:val="1"/>
      <w:numFmt w:val="none"/>
      <w:suff w:val="nothing"/>
      <w:lvlText w:val=""/>
      <w:lvlJc w:val="center"/>
      <w:pPr>
        <w:ind w:left="0" w:firstLine="0"/>
      </w:pPr>
      <w:rPr>
        <w:rFonts w:hint="default" w:ascii="Calibri" w:hAnsi="Calibri" w:eastAsia="黑体"/>
        <w:b w:val="0"/>
        <w:i w:val="0"/>
        <w:caps w:val="0"/>
        <w:small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mall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mall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AC295F"/>
    <w:multiLevelType w:val="multilevel"/>
    <w:tmpl w:val="50AC295F"/>
    <w:lvl w:ilvl="0" w:tentative="0">
      <w:start w:val="1"/>
      <w:numFmt w:val="none"/>
      <w:pStyle w:val="99"/>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5FF8"/>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38E9"/>
    <w:rsid w:val="000251DF"/>
    <w:rsid w:val="0002669B"/>
    <w:rsid w:val="00027B08"/>
    <w:rsid w:val="00027E6B"/>
    <w:rsid w:val="000307EC"/>
    <w:rsid w:val="0003251F"/>
    <w:rsid w:val="00032BB4"/>
    <w:rsid w:val="00032CC1"/>
    <w:rsid w:val="00033096"/>
    <w:rsid w:val="00033377"/>
    <w:rsid w:val="00033B5A"/>
    <w:rsid w:val="000352E0"/>
    <w:rsid w:val="00035CCD"/>
    <w:rsid w:val="00037B29"/>
    <w:rsid w:val="00037F2F"/>
    <w:rsid w:val="00037FD3"/>
    <w:rsid w:val="000403A2"/>
    <w:rsid w:val="0004041F"/>
    <w:rsid w:val="00040799"/>
    <w:rsid w:val="00040973"/>
    <w:rsid w:val="000434BD"/>
    <w:rsid w:val="00043830"/>
    <w:rsid w:val="000440AF"/>
    <w:rsid w:val="00044F32"/>
    <w:rsid w:val="00045234"/>
    <w:rsid w:val="00047455"/>
    <w:rsid w:val="00051126"/>
    <w:rsid w:val="00051EF3"/>
    <w:rsid w:val="00052177"/>
    <w:rsid w:val="0005253E"/>
    <w:rsid w:val="000543B4"/>
    <w:rsid w:val="00054879"/>
    <w:rsid w:val="00054FF3"/>
    <w:rsid w:val="000556F1"/>
    <w:rsid w:val="00055F81"/>
    <w:rsid w:val="0005692F"/>
    <w:rsid w:val="00061066"/>
    <w:rsid w:val="00061A13"/>
    <w:rsid w:val="0006226C"/>
    <w:rsid w:val="00062828"/>
    <w:rsid w:val="00062D84"/>
    <w:rsid w:val="00063EEF"/>
    <w:rsid w:val="00064071"/>
    <w:rsid w:val="00064386"/>
    <w:rsid w:val="00067A39"/>
    <w:rsid w:val="00067D44"/>
    <w:rsid w:val="0007053B"/>
    <w:rsid w:val="00070A59"/>
    <w:rsid w:val="00070AA6"/>
    <w:rsid w:val="00072084"/>
    <w:rsid w:val="00073A16"/>
    <w:rsid w:val="00074562"/>
    <w:rsid w:val="0007534F"/>
    <w:rsid w:val="000770B7"/>
    <w:rsid w:val="00077A02"/>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0BD1"/>
    <w:rsid w:val="000B129A"/>
    <w:rsid w:val="000B4360"/>
    <w:rsid w:val="000B50CF"/>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646E"/>
    <w:rsid w:val="000D7A53"/>
    <w:rsid w:val="000D7EAE"/>
    <w:rsid w:val="000E1433"/>
    <w:rsid w:val="000E17C6"/>
    <w:rsid w:val="000E279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74D"/>
    <w:rsid w:val="001118A7"/>
    <w:rsid w:val="00111F0F"/>
    <w:rsid w:val="001131D6"/>
    <w:rsid w:val="00113B9B"/>
    <w:rsid w:val="00117170"/>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637"/>
    <w:rsid w:val="00135AA2"/>
    <w:rsid w:val="00136D4A"/>
    <w:rsid w:val="0013712F"/>
    <w:rsid w:val="00137CD5"/>
    <w:rsid w:val="00137E7B"/>
    <w:rsid w:val="00140177"/>
    <w:rsid w:val="00142244"/>
    <w:rsid w:val="001454AD"/>
    <w:rsid w:val="001455F6"/>
    <w:rsid w:val="001456C7"/>
    <w:rsid w:val="00145757"/>
    <w:rsid w:val="00145DA0"/>
    <w:rsid w:val="00152476"/>
    <w:rsid w:val="00153009"/>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728"/>
    <w:rsid w:val="00182C33"/>
    <w:rsid w:val="0018316D"/>
    <w:rsid w:val="0018493A"/>
    <w:rsid w:val="00184A1D"/>
    <w:rsid w:val="00184DE0"/>
    <w:rsid w:val="00184F72"/>
    <w:rsid w:val="00187440"/>
    <w:rsid w:val="001876C9"/>
    <w:rsid w:val="00187846"/>
    <w:rsid w:val="00191693"/>
    <w:rsid w:val="00191834"/>
    <w:rsid w:val="00191A7E"/>
    <w:rsid w:val="00191DD9"/>
    <w:rsid w:val="00191EDC"/>
    <w:rsid w:val="001925F4"/>
    <w:rsid w:val="00193B5F"/>
    <w:rsid w:val="001947E8"/>
    <w:rsid w:val="00194890"/>
    <w:rsid w:val="0019564E"/>
    <w:rsid w:val="00196A1C"/>
    <w:rsid w:val="00196DD9"/>
    <w:rsid w:val="00197C5C"/>
    <w:rsid w:val="00197D4F"/>
    <w:rsid w:val="00197D89"/>
    <w:rsid w:val="001A0376"/>
    <w:rsid w:val="001A0C97"/>
    <w:rsid w:val="001A127F"/>
    <w:rsid w:val="001A2103"/>
    <w:rsid w:val="001A4AE7"/>
    <w:rsid w:val="001A5309"/>
    <w:rsid w:val="001A5764"/>
    <w:rsid w:val="001B0699"/>
    <w:rsid w:val="001B0C7B"/>
    <w:rsid w:val="001B15EA"/>
    <w:rsid w:val="001B2019"/>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BB9"/>
    <w:rsid w:val="001E568C"/>
    <w:rsid w:val="001E6560"/>
    <w:rsid w:val="001E6A70"/>
    <w:rsid w:val="001E6F58"/>
    <w:rsid w:val="001E7761"/>
    <w:rsid w:val="001E790E"/>
    <w:rsid w:val="001F0A60"/>
    <w:rsid w:val="001F2059"/>
    <w:rsid w:val="001F23C9"/>
    <w:rsid w:val="001F2A6A"/>
    <w:rsid w:val="001F4827"/>
    <w:rsid w:val="001F49A1"/>
    <w:rsid w:val="001F4ACC"/>
    <w:rsid w:val="001F5599"/>
    <w:rsid w:val="001F7532"/>
    <w:rsid w:val="001F779A"/>
    <w:rsid w:val="001F7B5A"/>
    <w:rsid w:val="00200E55"/>
    <w:rsid w:val="00201795"/>
    <w:rsid w:val="002017D8"/>
    <w:rsid w:val="002027F6"/>
    <w:rsid w:val="002039B1"/>
    <w:rsid w:val="0020498C"/>
    <w:rsid w:val="002051A7"/>
    <w:rsid w:val="00207790"/>
    <w:rsid w:val="00210458"/>
    <w:rsid w:val="00210476"/>
    <w:rsid w:val="00210CFC"/>
    <w:rsid w:val="00210FBE"/>
    <w:rsid w:val="002111A6"/>
    <w:rsid w:val="00212328"/>
    <w:rsid w:val="002125C8"/>
    <w:rsid w:val="00213205"/>
    <w:rsid w:val="002137AF"/>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C8A"/>
    <w:rsid w:val="002771C6"/>
    <w:rsid w:val="0028033D"/>
    <w:rsid w:val="0028114A"/>
    <w:rsid w:val="00282837"/>
    <w:rsid w:val="00282CF7"/>
    <w:rsid w:val="00283DD5"/>
    <w:rsid w:val="002848E9"/>
    <w:rsid w:val="00291777"/>
    <w:rsid w:val="002936B0"/>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511"/>
    <w:rsid w:val="002C45C3"/>
    <w:rsid w:val="002C4DAE"/>
    <w:rsid w:val="002C6405"/>
    <w:rsid w:val="002C6442"/>
    <w:rsid w:val="002C6F4A"/>
    <w:rsid w:val="002D1AEB"/>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11862"/>
    <w:rsid w:val="00312811"/>
    <w:rsid w:val="00312BC9"/>
    <w:rsid w:val="00315091"/>
    <w:rsid w:val="0031590A"/>
    <w:rsid w:val="00315D5C"/>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7288"/>
    <w:rsid w:val="00337CFC"/>
    <w:rsid w:val="00337D47"/>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3AE9"/>
    <w:rsid w:val="00373B4C"/>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2A6"/>
    <w:rsid w:val="00397EEA"/>
    <w:rsid w:val="003A0002"/>
    <w:rsid w:val="003A0295"/>
    <w:rsid w:val="003A0D83"/>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CF9"/>
    <w:rsid w:val="003D0D2A"/>
    <w:rsid w:val="003D18B9"/>
    <w:rsid w:val="003D2606"/>
    <w:rsid w:val="003D2668"/>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200F"/>
    <w:rsid w:val="003F3882"/>
    <w:rsid w:val="003F3F0B"/>
    <w:rsid w:val="003F60A3"/>
    <w:rsid w:val="003F7C8E"/>
    <w:rsid w:val="004001BE"/>
    <w:rsid w:val="0040124D"/>
    <w:rsid w:val="004017C8"/>
    <w:rsid w:val="0040181A"/>
    <w:rsid w:val="00401D26"/>
    <w:rsid w:val="004024C2"/>
    <w:rsid w:val="00404A7B"/>
    <w:rsid w:val="00405285"/>
    <w:rsid w:val="00405C7E"/>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1CD4"/>
    <w:rsid w:val="00422EB1"/>
    <w:rsid w:val="0042388D"/>
    <w:rsid w:val="00423987"/>
    <w:rsid w:val="00423A23"/>
    <w:rsid w:val="00423EB7"/>
    <w:rsid w:val="00425038"/>
    <w:rsid w:val="004257B7"/>
    <w:rsid w:val="0042688F"/>
    <w:rsid w:val="00427ABD"/>
    <w:rsid w:val="00430409"/>
    <w:rsid w:val="0043159B"/>
    <w:rsid w:val="004317AB"/>
    <w:rsid w:val="00431952"/>
    <w:rsid w:val="00431DBF"/>
    <w:rsid w:val="00431DD7"/>
    <w:rsid w:val="00433512"/>
    <w:rsid w:val="0043432D"/>
    <w:rsid w:val="004369C6"/>
    <w:rsid w:val="00437842"/>
    <w:rsid w:val="0044122A"/>
    <w:rsid w:val="004415D9"/>
    <w:rsid w:val="00441977"/>
    <w:rsid w:val="00441D7B"/>
    <w:rsid w:val="00442041"/>
    <w:rsid w:val="004439F7"/>
    <w:rsid w:val="00444250"/>
    <w:rsid w:val="00444298"/>
    <w:rsid w:val="00444474"/>
    <w:rsid w:val="0044514F"/>
    <w:rsid w:val="004456C5"/>
    <w:rsid w:val="004474B0"/>
    <w:rsid w:val="00450772"/>
    <w:rsid w:val="00454666"/>
    <w:rsid w:val="004547F6"/>
    <w:rsid w:val="004549DF"/>
    <w:rsid w:val="004550FE"/>
    <w:rsid w:val="00455F40"/>
    <w:rsid w:val="004574A4"/>
    <w:rsid w:val="00460822"/>
    <w:rsid w:val="00463236"/>
    <w:rsid w:val="00463834"/>
    <w:rsid w:val="004657D3"/>
    <w:rsid w:val="00466895"/>
    <w:rsid w:val="0046690A"/>
    <w:rsid w:val="0046782F"/>
    <w:rsid w:val="00471E1E"/>
    <w:rsid w:val="0047278F"/>
    <w:rsid w:val="00473CE1"/>
    <w:rsid w:val="0047566E"/>
    <w:rsid w:val="0047590B"/>
    <w:rsid w:val="0047799A"/>
    <w:rsid w:val="00480CD4"/>
    <w:rsid w:val="00482D71"/>
    <w:rsid w:val="004846F1"/>
    <w:rsid w:val="00487FE6"/>
    <w:rsid w:val="00490F98"/>
    <w:rsid w:val="00491349"/>
    <w:rsid w:val="00492F9F"/>
    <w:rsid w:val="00493684"/>
    <w:rsid w:val="004939D4"/>
    <w:rsid w:val="00493DFE"/>
    <w:rsid w:val="00493E48"/>
    <w:rsid w:val="004966D8"/>
    <w:rsid w:val="004968C7"/>
    <w:rsid w:val="00496ACE"/>
    <w:rsid w:val="00497411"/>
    <w:rsid w:val="00497530"/>
    <w:rsid w:val="004A00FD"/>
    <w:rsid w:val="004A0307"/>
    <w:rsid w:val="004A3B30"/>
    <w:rsid w:val="004A570C"/>
    <w:rsid w:val="004A5782"/>
    <w:rsid w:val="004A5A7A"/>
    <w:rsid w:val="004A5CFF"/>
    <w:rsid w:val="004A61D7"/>
    <w:rsid w:val="004A699E"/>
    <w:rsid w:val="004A6B5A"/>
    <w:rsid w:val="004A7113"/>
    <w:rsid w:val="004B1026"/>
    <w:rsid w:val="004B13F6"/>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0370"/>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20F8"/>
    <w:rsid w:val="00522932"/>
    <w:rsid w:val="005232C9"/>
    <w:rsid w:val="00524597"/>
    <w:rsid w:val="0052539A"/>
    <w:rsid w:val="005309DD"/>
    <w:rsid w:val="005330CB"/>
    <w:rsid w:val="0053320F"/>
    <w:rsid w:val="00533C47"/>
    <w:rsid w:val="005340C0"/>
    <w:rsid w:val="00534E45"/>
    <w:rsid w:val="00534E48"/>
    <w:rsid w:val="00535F18"/>
    <w:rsid w:val="0053651B"/>
    <w:rsid w:val="00537136"/>
    <w:rsid w:val="005406CD"/>
    <w:rsid w:val="005412C1"/>
    <w:rsid w:val="00542742"/>
    <w:rsid w:val="005427F5"/>
    <w:rsid w:val="0054287D"/>
    <w:rsid w:val="00542A4A"/>
    <w:rsid w:val="00543027"/>
    <w:rsid w:val="00543430"/>
    <w:rsid w:val="0054390D"/>
    <w:rsid w:val="00544037"/>
    <w:rsid w:val="00544FDF"/>
    <w:rsid w:val="0054537C"/>
    <w:rsid w:val="00545E64"/>
    <w:rsid w:val="00546348"/>
    <w:rsid w:val="00547AB2"/>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26F"/>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AC5"/>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44C3"/>
    <w:rsid w:val="005E51CD"/>
    <w:rsid w:val="005E548A"/>
    <w:rsid w:val="005E5BCC"/>
    <w:rsid w:val="005E5CCE"/>
    <w:rsid w:val="005E6CCC"/>
    <w:rsid w:val="005F1247"/>
    <w:rsid w:val="005F19BB"/>
    <w:rsid w:val="005F1B49"/>
    <w:rsid w:val="005F3B5B"/>
    <w:rsid w:val="005F67A9"/>
    <w:rsid w:val="005F6909"/>
    <w:rsid w:val="005F6C88"/>
    <w:rsid w:val="0060005D"/>
    <w:rsid w:val="00601009"/>
    <w:rsid w:val="006022C0"/>
    <w:rsid w:val="00602E42"/>
    <w:rsid w:val="00603657"/>
    <w:rsid w:val="00603BB4"/>
    <w:rsid w:val="00604448"/>
    <w:rsid w:val="0060479B"/>
    <w:rsid w:val="00606969"/>
    <w:rsid w:val="00606A55"/>
    <w:rsid w:val="00611427"/>
    <w:rsid w:val="00611AC2"/>
    <w:rsid w:val="00611FFE"/>
    <w:rsid w:val="0061261F"/>
    <w:rsid w:val="00612626"/>
    <w:rsid w:val="00613BB6"/>
    <w:rsid w:val="0061572C"/>
    <w:rsid w:val="00615E79"/>
    <w:rsid w:val="00616D0D"/>
    <w:rsid w:val="0061777B"/>
    <w:rsid w:val="006211BA"/>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AB"/>
    <w:rsid w:val="006535E4"/>
    <w:rsid w:val="00656003"/>
    <w:rsid w:val="00657150"/>
    <w:rsid w:val="006571DD"/>
    <w:rsid w:val="00657598"/>
    <w:rsid w:val="0065774D"/>
    <w:rsid w:val="0065792C"/>
    <w:rsid w:val="00660F33"/>
    <w:rsid w:val="00661AA7"/>
    <w:rsid w:val="00662E32"/>
    <w:rsid w:val="00664343"/>
    <w:rsid w:val="0066668A"/>
    <w:rsid w:val="006670D6"/>
    <w:rsid w:val="00667CAB"/>
    <w:rsid w:val="00670BE1"/>
    <w:rsid w:val="00674641"/>
    <w:rsid w:val="00675065"/>
    <w:rsid w:val="00675563"/>
    <w:rsid w:val="00675AAC"/>
    <w:rsid w:val="00675DAD"/>
    <w:rsid w:val="006777F8"/>
    <w:rsid w:val="00682389"/>
    <w:rsid w:val="00682CBA"/>
    <w:rsid w:val="00682EE7"/>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60B"/>
    <w:rsid w:val="006B7F10"/>
    <w:rsid w:val="006C042B"/>
    <w:rsid w:val="006C2543"/>
    <w:rsid w:val="006C2A45"/>
    <w:rsid w:val="006C4042"/>
    <w:rsid w:val="006C56D9"/>
    <w:rsid w:val="006C5AB4"/>
    <w:rsid w:val="006C6C85"/>
    <w:rsid w:val="006C700A"/>
    <w:rsid w:val="006C7C59"/>
    <w:rsid w:val="006D0312"/>
    <w:rsid w:val="006D05B4"/>
    <w:rsid w:val="006D06D5"/>
    <w:rsid w:val="006D1EAD"/>
    <w:rsid w:val="006D214E"/>
    <w:rsid w:val="006D23FC"/>
    <w:rsid w:val="006D2DEA"/>
    <w:rsid w:val="006D2E9C"/>
    <w:rsid w:val="006D30BC"/>
    <w:rsid w:val="006D32F5"/>
    <w:rsid w:val="006D4C80"/>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22FB"/>
    <w:rsid w:val="00703F7A"/>
    <w:rsid w:val="00704218"/>
    <w:rsid w:val="0070472C"/>
    <w:rsid w:val="00706102"/>
    <w:rsid w:val="00706B38"/>
    <w:rsid w:val="00711356"/>
    <w:rsid w:val="00712294"/>
    <w:rsid w:val="007139A9"/>
    <w:rsid w:val="00713D33"/>
    <w:rsid w:val="00716375"/>
    <w:rsid w:val="007167CD"/>
    <w:rsid w:val="007170E9"/>
    <w:rsid w:val="00717B21"/>
    <w:rsid w:val="00717B56"/>
    <w:rsid w:val="00717C81"/>
    <w:rsid w:val="00721876"/>
    <w:rsid w:val="00721CC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5A9F"/>
    <w:rsid w:val="0073652C"/>
    <w:rsid w:val="007405AB"/>
    <w:rsid w:val="00740862"/>
    <w:rsid w:val="00740ED2"/>
    <w:rsid w:val="0074169B"/>
    <w:rsid w:val="00742326"/>
    <w:rsid w:val="007426D7"/>
    <w:rsid w:val="00743F8B"/>
    <w:rsid w:val="0074622A"/>
    <w:rsid w:val="00747EE2"/>
    <w:rsid w:val="007535D8"/>
    <w:rsid w:val="00754DBA"/>
    <w:rsid w:val="007552A7"/>
    <w:rsid w:val="007566E2"/>
    <w:rsid w:val="00757FC1"/>
    <w:rsid w:val="00760265"/>
    <w:rsid w:val="00761357"/>
    <w:rsid w:val="00761C27"/>
    <w:rsid w:val="00763522"/>
    <w:rsid w:val="0076383F"/>
    <w:rsid w:val="00763B46"/>
    <w:rsid w:val="00764A6D"/>
    <w:rsid w:val="0076550E"/>
    <w:rsid w:val="00766E1C"/>
    <w:rsid w:val="00767121"/>
    <w:rsid w:val="00770983"/>
    <w:rsid w:val="00770A23"/>
    <w:rsid w:val="00770D04"/>
    <w:rsid w:val="00770D89"/>
    <w:rsid w:val="00771FBD"/>
    <w:rsid w:val="00772751"/>
    <w:rsid w:val="007728AE"/>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0A34"/>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3BA"/>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1FAF"/>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F3"/>
    <w:rsid w:val="007E14A6"/>
    <w:rsid w:val="007E1576"/>
    <w:rsid w:val="007E1CCF"/>
    <w:rsid w:val="007E1F6F"/>
    <w:rsid w:val="007E2BD2"/>
    <w:rsid w:val="007E5F41"/>
    <w:rsid w:val="007E6311"/>
    <w:rsid w:val="007E6CF2"/>
    <w:rsid w:val="007F0BE0"/>
    <w:rsid w:val="007F1EB4"/>
    <w:rsid w:val="007F304C"/>
    <w:rsid w:val="007F5493"/>
    <w:rsid w:val="007F575C"/>
    <w:rsid w:val="007F599D"/>
    <w:rsid w:val="007F5B53"/>
    <w:rsid w:val="007F60D5"/>
    <w:rsid w:val="007F6DC7"/>
    <w:rsid w:val="0080075E"/>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5E67"/>
    <w:rsid w:val="00826479"/>
    <w:rsid w:val="0082672E"/>
    <w:rsid w:val="00826A0B"/>
    <w:rsid w:val="00826C95"/>
    <w:rsid w:val="00826CD6"/>
    <w:rsid w:val="008270F2"/>
    <w:rsid w:val="0082787B"/>
    <w:rsid w:val="008300CC"/>
    <w:rsid w:val="00830864"/>
    <w:rsid w:val="00830C3A"/>
    <w:rsid w:val="00830FB7"/>
    <w:rsid w:val="00831387"/>
    <w:rsid w:val="00832013"/>
    <w:rsid w:val="00832019"/>
    <w:rsid w:val="00832985"/>
    <w:rsid w:val="008332CE"/>
    <w:rsid w:val="008345B9"/>
    <w:rsid w:val="008345BB"/>
    <w:rsid w:val="008354ED"/>
    <w:rsid w:val="00835955"/>
    <w:rsid w:val="00835D73"/>
    <w:rsid w:val="00835DAD"/>
    <w:rsid w:val="00836F16"/>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4D01"/>
    <w:rsid w:val="00865BFC"/>
    <w:rsid w:val="00870585"/>
    <w:rsid w:val="0087254B"/>
    <w:rsid w:val="00872837"/>
    <w:rsid w:val="0087394A"/>
    <w:rsid w:val="00873EAC"/>
    <w:rsid w:val="00874D32"/>
    <w:rsid w:val="00880D1C"/>
    <w:rsid w:val="00880EB6"/>
    <w:rsid w:val="00881B84"/>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992"/>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1B87"/>
    <w:rsid w:val="008F2F09"/>
    <w:rsid w:val="008F44C7"/>
    <w:rsid w:val="008F46A2"/>
    <w:rsid w:val="008F5035"/>
    <w:rsid w:val="008F5056"/>
    <w:rsid w:val="008F5A80"/>
    <w:rsid w:val="008F6954"/>
    <w:rsid w:val="008F721D"/>
    <w:rsid w:val="008F7E0B"/>
    <w:rsid w:val="00900C2F"/>
    <w:rsid w:val="0090216B"/>
    <w:rsid w:val="0090408F"/>
    <w:rsid w:val="009066DC"/>
    <w:rsid w:val="00906F8A"/>
    <w:rsid w:val="009104E4"/>
    <w:rsid w:val="00910A37"/>
    <w:rsid w:val="00910FFE"/>
    <w:rsid w:val="00911C4C"/>
    <w:rsid w:val="00913EA0"/>
    <w:rsid w:val="00915570"/>
    <w:rsid w:val="0091611D"/>
    <w:rsid w:val="00916267"/>
    <w:rsid w:val="00917373"/>
    <w:rsid w:val="009173A3"/>
    <w:rsid w:val="00917762"/>
    <w:rsid w:val="00917B62"/>
    <w:rsid w:val="0092016A"/>
    <w:rsid w:val="0092064F"/>
    <w:rsid w:val="0092091C"/>
    <w:rsid w:val="00920CEB"/>
    <w:rsid w:val="00921082"/>
    <w:rsid w:val="00922A4F"/>
    <w:rsid w:val="00922DE7"/>
    <w:rsid w:val="00922EFB"/>
    <w:rsid w:val="00923A6C"/>
    <w:rsid w:val="00923B78"/>
    <w:rsid w:val="009249C8"/>
    <w:rsid w:val="00925816"/>
    <w:rsid w:val="0093115A"/>
    <w:rsid w:val="00931671"/>
    <w:rsid w:val="00932033"/>
    <w:rsid w:val="00933F00"/>
    <w:rsid w:val="00935401"/>
    <w:rsid w:val="00935BE0"/>
    <w:rsid w:val="00936A9D"/>
    <w:rsid w:val="0094003A"/>
    <w:rsid w:val="0094004A"/>
    <w:rsid w:val="00940404"/>
    <w:rsid w:val="009414BA"/>
    <w:rsid w:val="00941868"/>
    <w:rsid w:val="00942B99"/>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B5F"/>
    <w:rsid w:val="00956EE8"/>
    <w:rsid w:val="00956F8B"/>
    <w:rsid w:val="009570F6"/>
    <w:rsid w:val="00961028"/>
    <w:rsid w:val="00962D27"/>
    <w:rsid w:val="0096331A"/>
    <w:rsid w:val="0096484B"/>
    <w:rsid w:val="00965C09"/>
    <w:rsid w:val="00966B06"/>
    <w:rsid w:val="00966B6A"/>
    <w:rsid w:val="00967667"/>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87F18"/>
    <w:rsid w:val="009911E3"/>
    <w:rsid w:val="00991869"/>
    <w:rsid w:val="00992201"/>
    <w:rsid w:val="009937CC"/>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206F"/>
    <w:rsid w:val="009B32A8"/>
    <w:rsid w:val="009B42D4"/>
    <w:rsid w:val="009B5F6F"/>
    <w:rsid w:val="009B7A7F"/>
    <w:rsid w:val="009B7A90"/>
    <w:rsid w:val="009B7BA4"/>
    <w:rsid w:val="009B7F07"/>
    <w:rsid w:val="009C1007"/>
    <w:rsid w:val="009C124E"/>
    <w:rsid w:val="009C1F6E"/>
    <w:rsid w:val="009C2514"/>
    <w:rsid w:val="009C27BC"/>
    <w:rsid w:val="009C29E2"/>
    <w:rsid w:val="009C3C03"/>
    <w:rsid w:val="009C3C6C"/>
    <w:rsid w:val="009C3EBA"/>
    <w:rsid w:val="009C4C61"/>
    <w:rsid w:val="009C5377"/>
    <w:rsid w:val="009C58A2"/>
    <w:rsid w:val="009C7699"/>
    <w:rsid w:val="009C7BA0"/>
    <w:rsid w:val="009C7C48"/>
    <w:rsid w:val="009D0EFF"/>
    <w:rsid w:val="009D1B51"/>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92A"/>
    <w:rsid w:val="009F1DBD"/>
    <w:rsid w:val="009F22FE"/>
    <w:rsid w:val="009F410E"/>
    <w:rsid w:val="009F5D47"/>
    <w:rsid w:val="009F68EB"/>
    <w:rsid w:val="009F750B"/>
    <w:rsid w:val="00A00435"/>
    <w:rsid w:val="00A00A4D"/>
    <w:rsid w:val="00A01FCD"/>
    <w:rsid w:val="00A025E8"/>
    <w:rsid w:val="00A03071"/>
    <w:rsid w:val="00A044F0"/>
    <w:rsid w:val="00A04764"/>
    <w:rsid w:val="00A056ED"/>
    <w:rsid w:val="00A0582B"/>
    <w:rsid w:val="00A05B11"/>
    <w:rsid w:val="00A0600A"/>
    <w:rsid w:val="00A06B7F"/>
    <w:rsid w:val="00A06FBD"/>
    <w:rsid w:val="00A07D9C"/>
    <w:rsid w:val="00A109CC"/>
    <w:rsid w:val="00A13EDB"/>
    <w:rsid w:val="00A14C4D"/>
    <w:rsid w:val="00A14C72"/>
    <w:rsid w:val="00A15504"/>
    <w:rsid w:val="00A15845"/>
    <w:rsid w:val="00A16B48"/>
    <w:rsid w:val="00A17B52"/>
    <w:rsid w:val="00A200FF"/>
    <w:rsid w:val="00A2021A"/>
    <w:rsid w:val="00A21110"/>
    <w:rsid w:val="00A2141C"/>
    <w:rsid w:val="00A21B16"/>
    <w:rsid w:val="00A22D76"/>
    <w:rsid w:val="00A2438C"/>
    <w:rsid w:val="00A24D47"/>
    <w:rsid w:val="00A25EAE"/>
    <w:rsid w:val="00A271E8"/>
    <w:rsid w:val="00A30370"/>
    <w:rsid w:val="00A31242"/>
    <w:rsid w:val="00A31E1E"/>
    <w:rsid w:val="00A32017"/>
    <w:rsid w:val="00A335F7"/>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BF6"/>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26F"/>
    <w:rsid w:val="00A86383"/>
    <w:rsid w:val="00A86960"/>
    <w:rsid w:val="00A869B7"/>
    <w:rsid w:val="00A86B01"/>
    <w:rsid w:val="00A90917"/>
    <w:rsid w:val="00A91267"/>
    <w:rsid w:val="00A91A54"/>
    <w:rsid w:val="00A91B7E"/>
    <w:rsid w:val="00A94247"/>
    <w:rsid w:val="00A96F13"/>
    <w:rsid w:val="00AA00E5"/>
    <w:rsid w:val="00AA1080"/>
    <w:rsid w:val="00AA16D3"/>
    <w:rsid w:val="00AA18CA"/>
    <w:rsid w:val="00AA1D98"/>
    <w:rsid w:val="00AA3063"/>
    <w:rsid w:val="00AA3BFA"/>
    <w:rsid w:val="00AA4BCE"/>
    <w:rsid w:val="00AA504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0AF9"/>
    <w:rsid w:val="00AD340C"/>
    <w:rsid w:val="00AD3849"/>
    <w:rsid w:val="00AD3D18"/>
    <w:rsid w:val="00AD494E"/>
    <w:rsid w:val="00AD4D41"/>
    <w:rsid w:val="00AD4DD2"/>
    <w:rsid w:val="00AD5667"/>
    <w:rsid w:val="00AD6086"/>
    <w:rsid w:val="00AD6114"/>
    <w:rsid w:val="00AD74EC"/>
    <w:rsid w:val="00AD7CA4"/>
    <w:rsid w:val="00AE01B3"/>
    <w:rsid w:val="00AE046A"/>
    <w:rsid w:val="00AE0CFD"/>
    <w:rsid w:val="00AE16D0"/>
    <w:rsid w:val="00AE1978"/>
    <w:rsid w:val="00AE1DA8"/>
    <w:rsid w:val="00AE4D94"/>
    <w:rsid w:val="00AE5612"/>
    <w:rsid w:val="00AE5C6B"/>
    <w:rsid w:val="00AE6664"/>
    <w:rsid w:val="00AE687A"/>
    <w:rsid w:val="00AE6A4B"/>
    <w:rsid w:val="00AE6EED"/>
    <w:rsid w:val="00AE74AC"/>
    <w:rsid w:val="00AE7F1F"/>
    <w:rsid w:val="00AF11E6"/>
    <w:rsid w:val="00AF2614"/>
    <w:rsid w:val="00AF4155"/>
    <w:rsid w:val="00AF78B2"/>
    <w:rsid w:val="00B005A5"/>
    <w:rsid w:val="00B01853"/>
    <w:rsid w:val="00B0186D"/>
    <w:rsid w:val="00B01A3C"/>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3451"/>
    <w:rsid w:val="00B34577"/>
    <w:rsid w:val="00B34E07"/>
    <w:rsid w:val="00B34ED0"/>
    <w:rsid w:val="00B35897"/>
    <w:rsid w:val="00B41FF2"/>
    <w:rsid w:val="00B4240C"/>
    <w:rsid w:val="00B4289E"/>
    <w:rsid w:val="00B4334F"/>
    <w:rsid w:val="00B43464"/>
    <w:rsid w:val="00B43B5E"/>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DAA"/>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644"/>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A29"/>
    <w:rsid w:val="00BE1F49"/>
    <w:rsid w:val="00BE41BE"/>
    <w:rsid w:val="00BE4EBB"/>
    <w:rsid w:val="00BE6F8C"/>
    <w:rsid w:val="00BE735F"/>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9C6"/>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1B63"/>
    <w:rsid w:val="00C33D5F"/>
    <w:rsid w:val="00C34648"/>
    <w:rsid w:val="00C34717"/>
    <w:rsid w:val="00C34B8B"/>
    <w:rsid w:val="00C34D95"/>
    <w:rsid w:val="00C34F84"/>
    <w:rsid w:val="00C35479"/>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6B9D"/>
    <w:rsid w:val="00C56D79"/>
    <w:rsid w:val="00C60706"/>
    <w:rsid w:val="00C61A1B"/>
    <w:rsid w:val="00C6464D"/>
    <w:rsid w:val="00C6491B"/>
    <w:rsid w:val="00C64FE6"/>
    <w:rsid w:val="00C66713"/>
    <w:rsid w:val="00C67BE9"/>
    <w:rsid w:val="00C70E74"/>
    <w:rsid w:val="00C71217"/>
    <w:rsid w:val="00C72672"/>
    <w:rsid w:val="00C72DBC"/>
    <w:rsid w:val="00C74041"/>
    <w:rsid w:val="00C75F5C"/>
    <w:rsid w:val="00C76B39"/>
    <w:rsid w:val="00C76F57"/>
    <w:rsid w:val="00C77891"/>
    <w:rsid w:val="00C8081E"/>
    <w:rsid w:val="00C80FCA"/>
    <w:rsid w:val="00C8194B"/>
    <w:rsid w:val="00C831A1"/>
    <w:rsid w:val="00C84ACF"/>
    <w:rsid w:val="00C8510F"/>
    <w:rsid w:val="00C856C4"/>
    <w:rsid w:val="00C8634C"/>
    <w:rsid w:val="00C86F92"/>
    <w:rsid w:val="00C87FD1"/>
    <w:rsid w:val="00C90072"/>
    <w:rsid w:val="00C91B57"/>
    <w:rsid w:val="00C9533B"/>
    <w:rsid w:val="00C95A92"/>
    <w:rsid w:val="00C97F70"/>
    <w:rsid w:val="00CA058E"/>
    <w:rsid w:val="00CA14A2"/>
    <w:rsid w:val="00CA2995"/>
    <w:rsid w:val="00CA5311"/>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C706E"/>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5219"/>
    <w:rsid w:val="00D1756F"/>
    <w:rsid w:val="00D20BC2"/>
    <w:rsid w:val="00D2100C"/>
    <w:rsid w:val="00D217E5"/>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320"/>
    <w:rsid w:val="00D367A3"/>
    <w:rsid w:val="00D36F7E"/>
    <w:rsid w:val="00D379C7"/>
    <w:rsid w:val="00D37A4D"/>
    <w:rsid w:val="00D37BDA"/>
    <w:rsid w:val="00D41D8D"/>
    <w:rsid w:val="00D42370"/>
    <w:rsid w:val="00D42755"/>
    <w:rsid w:val="00D46FE0"/>
    <w:rsid w:val="00D51C08"/>
    <w:rsid w:val="00D51F3E"/>
    <w:rsid w:val="00D52B8F"/>
    <w:rsid w:val="00D54E2F"/>
    <w:rsid w:val="00D55644"/>
    <w:rsid w:val="00D559B2"/>
    <w:rsid w:val="00D55D74"/>
    <w:rsid w:val="00D568D6"/>
    <w:rsid w:val="00D6016F"/>
    <w:rsid w:val="00D613B2"/>
    <w:rsid w:val="00D61D4F"/>
    <w:rsid w:val="00D62526"/>
    <w:rsid w:val="00D62CEA"/>
    <w:rsid w:val="00D65B3B"/>
    <w:rsid w:val="00D66284"/>
    <w:rsid w:val="00D6655A"/>
    <w:rsid w:val="00D66707"/>
    <w:rsid w:val="00D66E7E"/>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2A95"/>
    <w:rsid w:val="00D93BBB"/>
    <w:rsid w:val="00D9483F"/>
    <w:rsid w:val="00D957E5"/>
    <w:rsid w:val="00D9612C"/>
    <w:rsid w:val="00D963A4"/>
    <w:rsid w:val="00D96B41"/>
    <w:rsid w:val="00DA02CE"/>
    <w:rsid w:val="00DA0A9B"/>
    <w:rsid w:val="00DA0DFD"/>
    <w:rsid w:val="00DA26D1"/>
    <w:rsid w:val="00DA5D2A"/>
    <w:rsid w:val="00DA7EC9"/>
    <w:rsid w:val="00DB18FC"/>
    <w:rsid w:val="00DB1DFA"/>
    <w:rsid w:val="00DB240D"/>
    <w:rsid w:val="00DB2769"/>
    <w:rsid w:val="00DB4762"/>
    <w:rsid w:val="00DB4E58"/>
    <w:rsid w:val="00DB51D0"/>
    <w:rsid w:val="00DB630A"/>
    <w:rsid w:val="00DB6473"/>
    <w:rsid w:val="00DB6F6B"/>
    <w:rsid w:val="00DC1FC6"/>
    <w:rsid w:val="00DC37F6"/>
    <w:rsid w:val="00DC3D79"/>
    <w:rsid w:val="00DC3ED2"/>
    <w:rsid w:val="00DC4AE1"/>
    <w:rsid w:val="00DC5939"/>
    <w:rsid w:val="00DC6B38"/>
    <w:rsid w:val="00DC767D"/>
    <w:rsid w:val="00DC7A15"/>
    <w:rsid w:val="00DD0CDD"/>
    <w:rsid w:val="00DD26EA"/>
    <w:rsid w:val="00DD2A54"/>
    <w:rsid w:val="00DD2FC8"/>
    <w:rsid w:val="00DD35BB"/>
    <w:rsid w:val="00DD4842"/>
    <w:rsid w:val="00DD5EDD"/>
    <w:rsid w:val="00DD6551"/>
    <w:rsid w:val="00DD6935"/>
    <w:rsid w:val="00DD6B34"/>
    <w:rsid w:val="00DD7198"/>
    <w:rsid w:val="00DE10B2"/>
    <w:rsid w:val="00DE3B48"/>
    <w:rsid w:val="00DE766D"/>
    <w:rsid w:val="00DF06D5"/>
    <w:rsid w:val="00DF06E1"/>
    <w:rsid w:val="00DF0FF1"/>
    <w:rsid w:val="00DF1090"/>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2434"/>
    <w:rsid w:val="00E13609"/>
    <w:rsid w:val="00E138AE"/>
    <w:rsid w:val="00E14B3C"/>
    <w:rsid w:val="00E16067"/>
    <w:rsid w:val="00E212E3"/>
    <w:rsid w:val="00E21EB3"/>
    <w:rsid w:val="00E22505"/>
    <w:rsid w:val="00E227F4"/>
    <w:rsid w:val="00E2372E"/>
    <w:rsid w:val="00E23903"/>
    <w:rsid w:val="00E2465F"/>
    <w:rsid w:val="00E2575E"/>
    <w:rsid w:val="00E25E0D"/>
    <w:rsid w:val="00E2723D"/>
    <w:rsid w:val="00E27DAA"/>
    <w:rsid w:val="00E27FDC"/>
    <w:rsid w:val="00E303C9"/>
    <w:rsid w:val="00E30627"/>
    <w:rsid w:val="00E30E7D"/>
    <w:rsid w:val="00E31BA9"/>
    <w:rsid w:val="00E332F8"/>
    <w:rsid w:val="00E33659"/>
    <w:rsid w:val="00E40872"/>
    <w:rsid w:val="00E41594"/>
    <w:rsid w:val="00E423C2"/>
    <w:rsid w:val="00E4296F"/>
    <w:rsid w:val="00E44D88"/>
    <w:rsid w:val="00E45FE5"/>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A59"/>
    <w:rsid w:val="00E71C55"/>
    <w:rsid w:val="00E7277A"/>
    <w:rsid w:val="00E728E4"/>
    <w:rsid w:val="00E74627"/>
    <w:rsid w:val="00E7538A"/>
    <w:rsid w:val="00E755BA"/>
    <w:rsid w:val="00E76D4A"/>
    <w:rsid w:val="00E77471"/>
    <w:rsid w:val="00E777FC"/>
    <w:rsid w:val="00E77878"/>
    <w:rsid w:val="00E807FB"/>
    <w:rsid w:val="00E82651"/>
    <w:rsid w:val="00E838CB"/>
    <w:rsid w:val="00E83B54"/>
    <w:rsid w:val="00E83DB2"/>
    <w:rsid w:val="00E840FB"/>
    <w:rsid w:val="00E8555A"/>
    <w:rsid w:val="00E85DAF"/>
    <w:rsid w:val="00E86A39"/>
    <w:rsid w:val="00E86FF1"/>
    <w:rsid w:val="00E8703F"/>
    <w:rsid w:val="00E87864"/>
    <w:rsid w:val="00E90EE7"/>
    <w:rsid w:val="00E91684"/>
    <w:rsid w:val="00E9170D"/>
    <w:rsid w:val="00E9198A"/>
    <w:rsid w:val="00E929DF"/>
    <w:rsid w:val="00E92C29"/>
    <w:rsid w:val="00E931C1"/>
    <w:rsid w:val="00E93508"/>
    <w:rsid w:val="00E93D1C"/>
    <w:rsid w:val="00E93D73"/>
    <w:rsid w:val="00E94BE1"/>
    <w:rsid w:val="00E94BFD"/>
    <w:rsid w:val="00E94E0E"/>
    <w:rsid w:val="00E97186"/>
    <w:rsid w:val="00E97F6C"/>
    <w:rsid w:val="00EA04D2"/>
    <w:rsid w:val="00EA1468"/>
    <w:rsid w:val="00EA6401"/>
    <w:rsid w:val="00EA668F"/>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4270"/>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271D"/>
    <w:rsid w:val="00EF4228"/>
    <w:rsid w:val="00EF473E"/>
    <w:rsid w:val="00EF4DC8"/>
    <w:rsid w:val="00EF4F46"/>
    <w:rsid w:val="00EF59D7"/>
    <w:rsid w:val="00EF659E"/>
    <w:rsid w:val="00EF6A13"/>
    <w:rsid w:val="00EF705F"/>
    <w:rsid w:val="00F01751"/>
    <w:rsid w:val="00F023A7"/>
    <w:rsid w:val="00F02CF2"/>
    <w:rsid w:val="00F03443"/>
    <w:rsid w:val="00F0385A"/>
    <w:rsid w:val="00F04ADF"/>
    <w:rsid w:val="00F078C6"/>
    <w:rsid w:val="00F1070F"/>
    <w:rsid w:val="00F13BB5"/>
    <w:rsid w:val="00F14992"/>
    <w:rsid w:val="00F15079"/>
    <w:rsid w:val="00F16A50"/>
    <w:rsid w:val="00F21246"/>
    <w:rsid w:val="00F21456"/>
    <w:rsid w:val="00F21D20"/>
    <w:rsid w:val="00F22674"/>
    <w:rsid w:val="00F22B78"/>
    <w:rsid w:val="00F24183"/>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03D2"/>
    <w:rsid w:val="00F416A4"/>
    <w:rsid w:val="00F43040"/>
    <w:rsid w:val="00F436A2"/>
    <w:rsid w:val="00F44520"/>
    <w:rsid w:val="00F44E00"/>
    <w:rsid w:val="00F44EC3"/>
    <w:rsid w:val="00F450B4"/>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575FE"/>
    <w:rsid w:val="00F61702"/>
    <w:rsid w:val="00F62E71"/>
    <w:rsid w:val="00F63011"/>
    <w:rsid w:val="00F6306C"/>
    <w:rsid w:val="00F630C8"/>
    <w:rsid w:val="00F639B9"/>
    <w:rsid w:val="00F64C12"/>
    <w:rsid w:val="00F6552D"/>
    <w:rsid w:val="00F6573B"/>
    <w:rsid w:val="00F667F5"/>
    <w:rsid w:val="00F67278"/>
    <w:rsid w:val="00F67ABE"/>
    <w:rsid w:val="00F710E9"/>
    <w:rsid w:val="00F718E6"/>
    <w:rsid w:val="00F72E2C"/>
    <w:rsid w:val="00F733F0"/>
    <w:rsid w:val="00F75E36"/>
    <w:rsid w:val="00F75F28"/>
    <w:rsid w:val="00F76771"/>
    <w:rsid w:val="00F76A72"/>
    <w:rsid w:val="00F77340"/>
    <w:rsid w:val="00F77601"/>
    <w:rsid w:val="00F8042D"/>
    <w:rsid w:val="00F80B23"/>
    <w:rsid w:val="00F85256"/>
    <w:rsid w:val="00F8751C"/>
    <w:rsid w:val="00F87572"/>
    <w:rsid w:val="00F87CA2"/>
    <w:rsid w:val="00F87FF7"/>
    <w:rsid w:val="00F911A7"/>
    <w:rsid w:val="00F91976"/>
    <w:rsid w:val="00F92BF3"/>
    <w:rsid w:val="00F92C8D"/>
    <w:rsid w:val="00F92D86"/>
    <w:rsid w:val="00F931AD"/>
    <w:rsid w:val="00F95FE5"/>
    <w:rsid w:val="00F96E61"/>
    <w:rsid w:val="00F9741A"/>
    <w:rsid w:val="00FA0E94"/>
    <w:rsid w:val="00FA1393"/>
    <w:rsid w:val="00FA14F7"/>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6B23"/>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F025A"/>
    <w:rsid w:val="00FF161C"/>
    <w:rsid w:val="00FF2C7E"/>
    <w:rsid w:val="00FF2E19"/>
    <w:rsid w:val="00FF49B8"/>
    <w:rsid w:val="00FF568F"/>
    <w:rsid w:val="00FF756F"/>
    <w:rsid w:val="459C5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7"/>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8"/>
    <w:unhideWhenUsed/>
    <w:qFormat/>
    <w:uiPriority w:val="0"/>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9"/>
    <w:unhideWhenUsed/>
    <w:qFormat/>
    <w:uiPriority w:val="0"/>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60"/>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1"/>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2"/>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3"/>
    <w:semiHidden/>
    <w:unhideWhenUsed/>
    <w:qFormat/>
    <w:uiPriority w:val="9"/>
    <w:pPr>
      <w:numPr>
        <w:ilvl w:val="6"/>
        <w:numId w:val="1"/>
      </w:numPr>
      <w:spacing w:before="240" w:after="60"/>
      <w:outlineLvl w:val="6"/>
    </w:pPr>
  </w:style>
  <w:style w:type="paragraph" w:styleId="9">
    <w:name w:val="heading 8"/>
    <w:basedOn w:val="1"/>
    <w:next w:val="1"/>
    <w:link w:val="64"/>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5"/>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9"/>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1"/>
    <w:unhideWhenUsed/>
    <w:qFormat/>
    <w:uiPriority w:val="0"/>
    <w:pPr>
      <w:spacing w:line="400" w:lineRule="exact"/>
    </w:pPr>
    <w:rPr>
      <w:rFonts w:ascii="Calibri Light" w:hAnsi="Calibri Light" w:eastAsia="华文仿宋" w:cs="Calibri Light"/>
      <w:kern w:val="2"/>
      <w:sz w:val="28"/>
      <w:szCs w:val="28"/>
    </w:rPr>
  </w:style>
  <w:style w:type="paragraph" w:styleId="14">
    <w:name w:val="Body Text"/>
    <w:basedOn w:val="1"/>
    <w:link w:val="101"/>
    <w:semiHidden/>
    <w:qFormat/>
    <w:uiPriority w:val="0"/>
    <w:rPr>
      <w:rFonts w:ascii="黑体" w:hAnsi="黑体" w:eastAsia="黑体" w:cs="黑体"/>
      <w:sz w:val="47"/>
      <w:szCs w:val="47"/>
      <w:lang w:eastAsia="en-US"/>
    </w:rPr>
  </w:style>
  <w:style w:type="paragraph" w:styleId="15">
    <w:name w:val="Plain Text"/>
    <w:basedOn w:val="1"/>
    <w:link w:val="93"/>
    <w:unhideWhenUsed/>
    <w:qFormat/>
    <w:uiPriority w:val="0"/>
    <w:rPr>
      <w:rFonts w:ascii="宋体" w:hAnsi="Courier New" w:eastAsia="宋体" w:cs="Courier New"/>
      <w:sz w:val="21"/>
      <w:szCs w:val="21"/>
    </w:rPr>
  </w:style>
  <w:style w:type="paragraph" w:styleId="16">
    <w:name w:val="Date"/>
    <w:basedOn w:val="1"/>
    <w:next w:val="1"/>
    <w:link w:val="54"/>
    <w:semiHidden/>
    <w:unhideWhenUsed/>
    <w:qFormat/>
    <w:uiPriority w:val="99"/>
    <w:pPr>
      <w:ind w:left="100" w:leftChars="2500"/>
    </w:pPr>
  </w:style>
  <w:style w:type="paragraph" w:styleId="17">
    <w:name w:val="Balloon Text"/>
    <w:basedOn w:val="1"/>
    <w:link w:val="80"/>
    <w:semiHidden/>
    <w:unhideWhenUsed/>
    <w:qFormat/>
    <w:uiPriority w:val="99"/>
    <w:rPr>
      <w:sz w:val="18"/>
      <w:szCs w:val="18"/>
    </w:rPr>
  </w:style>
  <w:style w:type="paragraph" w:styleId="18">
    <w:name w:val="footer"/>
    <w:basedOn w:val="1"/>
    <w:link w:val="56"/>
    <w:unhideWhenUsed/>
    <w:qFormat/>
    <w:uiPriority w:val="0"/>
    <w:pPr>
      <w:tabs>
        <w:tab w:val="center" w:pos="4153"/>
        <w:tab w:val="right" w:pos="8306"/>
      </w:tabs>
      <w:snapToGrid w:val="0"/>
      <w:spacing w:line="240" w:lineRule="atLeast"/>
    </w:pPr>
    <w:rPr>
      <w:sz w:val="18"/>
      <w:szCs w:val="18"/>
    </w:rPr>
  </w:style>
  <w:style w:type="paragraph" w:styleId="19">
    <w:name w:val="header"/>
    <w:basedOn w:val="1"/>
    <w:link w:val="55"/>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1">
    <w:name w:val="Subtitle"/>
    <w:basedOn w:val="1"/>
    <w:next w:val="1"/>
    <w:link w:val="67"/>
    <w:qFormat/>
    <w:uiPriority w:val="11"/>
    <w:pPr>
      <w:keepNext/>
      <w:spacing w:before="50" w:beforeLines="50" w:after="50" w:afterLines="50"/>
      <w:jc w:val="center"/>
      <w:outlineLvl w:val="1"/>
    </w:pPr>
    <w:rPr>
      <w:rFonts w:ascii="Calibri" w:hAnsi="Calibri" w:eastAsia="黑体" w:cstheme="majorBidi"/>
      <w:sz w:val="32"/>
    </w:rPr>
  </w:style>
  <w:style w:type="paragraph" w:styleId="22">
    <w:name w:val="Normal (Web)"/>
    <w:basedOn w:val="1"/>
    <w:qFormat/>
    <w:uiPriority w:val="0"/>
  </w:style>
  <w:style w:type="paragraph" w:styleId="23">
    <w:name w:val="Title"/>
    <w:basedOn w:val="1"/>
    <w:next w:val="1"/>
    <w:link w:val="66"/>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4">
    <w:name w:val="annotation subject"/>
    <w:basedOn w:val="13"/>
    <w:next w:val="13"/>
    <w:link w:val="88"/>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qFormat/>
    <w:uiPriority w:val="0"/>
    <w:rPr>
      <w:rFonts w:ascii="Times New Roman" w:hAnsi="Times New Roman" w:eastAsia="宋体" w:cs="Times New Roman"/>
    </w:rPr>
  </w:style>
  <w:style w:type="character" w:styleId="30">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1">
    <w:name w:val="Emphasis"/>
    <w:basedOn w:val="27"/>
    <w:qFormat/>
    <w:uiPriority w:val="20"/>
    <w:rPr>
      <w:rFonts w:asciiTheme="minorHAnsi" w:hAnsiTheme="minorHAnsi"/>
      <w:b/>
      <w:i/>
      <w:iCs/>
    </w:rPr>
  </w:style>
  <w:style w:type="character" w:styleId="32">
    <w:name w:val="Hyperlink"/>
    <w:basedOn w:val="27"/>
    <w:unhideWhenUsed/>
    <w:qFormat/>
    <w:uiPriority w:val="99"/>
    <w:rPr>
      <w:color w:val="0563C1" w:themeColor="hyperlink"/>
      <w:u w:val="single"/>
      <w14:textFill>
        <w14:solidFill>
          <w14:schemeClr w14:val="hlink"/>
        </w14:solidFill>
      </w14:textFill>
    </w:rPr>
  </w:style>
  <w:style w:type="character" w:styleId="33">
    <w:name w:val="annotation reference"/>
    <w:basedOn w:val="27"/>
    <w:unhideWhenUsed/>
    <w:qFormat/>
    <w:uiPriority w:val="0"/>
    <w:rPr>
      <w:sz w:val="21"/>
      <w:szCs w:val="21"/>
    </w:rPr>
  </w:style>
  <w:style w:type="paragraph" w:customStyle="1" w:styleId="34">
    <w:name w:val="※封面大标题"/>
    <w:basedOn w:val="1"/>
    <w:next w:val="1"/>
    <w:qFormat/>
    <w:uiPriority w:val="0"/>
    <w:pPr>
      <w:jc w:val="center"/>
    </w:pPr>
    <w:rPr>
      <w:rFonts w:ascii="华文中宋" w:hAnsi="华文中宋" w:eastAsia="华文中宋"/>
      <w:sz w:val="96"/>
      <w:szCs w:val="96"/>
    </w:rPr>
  </w:style>
  <w:style w:type="paragraph" w:customStyle="1" w:styleId="35">
    <w:name w:val="※封面题颌"/>
    <w:basedOn w:val="1"/>
    <w:next w:val="1"/>
    <w:qFormat/>
    <w:uiPriority w:val="0"/>
    <w:pPr>
      <w:jc w:val="center"/>
    </w:pPr>
    <w:rPr>
      <w:rFonts w:ascii="Calibri Light" w:hAnsi="Calibri Light" w:eastAsia="华文仿宋"/>
      <w:sz w:val="36"/>
      <w:szCs w:val="36"/>
    </w:rPr>
  </w:style>
  <w:style w:type="paragraph" w:customStyle="1" w:styleId="36">
    <w:name w:val="※封面题眉"/>
    <w:basedOn w:val="1"/>
    <w:next w:val="34"/>
    <w:qFormat/>
    <w:uiPriority w:val="0"/>
    <w:pPr>
      <w:jc w:val="center"/>
    </w:pPr>
    <w:rPr>
      <w:rFonts w:ascii="华文仿宋" w:hAnsi="华文仿宋" w:eastAsia="华文仿宋"/>
      <w:sz w:val="52"/>
      <w:szCs w:val="28"/>
    </w:rPr>
  </w:style>
  <w:style w:type="paragraph" w:customStyle="1" w:styleId="37">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8">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9">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0">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1">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2">
    <w:name w:val="※小标题 一"/>
    <w:basedOn w:val="41"/>
    <w:next w:val="41"/>
    <w:qFormat/>
    <w:uiPriority w:val="0"/>
    <w:pPr>
      <w:spacing w:before="120" w:line="240" w:lineRule="auto"/>
      <w:outlineLvl w:val="2"/>
    </w:pPr>
    <w:rPr>
      <w:b/>
      <w:color w:val="203864" w:themeColor="accent5" w:themeShade="80"/>
      <w:sz w:val="32"/>
    </w:rPr>
  </w:style>
  <w:style w:type="paragraph" w:customStyle="1" w:styleId="43">
    <w:name w:val="※小标题（1）"/>
    <w:basedOn w:val="1"/>
    <w:next w:val="41"/>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4">
    <w:name w:val="※小标题（一）"/>
    <w:basedOn w:val="1"/>
    <w:next w:val="41"/>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5">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6">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7">
    <w:name w:val="※页眉"/>
    <w:basedOn w:val="41"/>
    <w:qFormat/>
    <w:uiPriority w:val="0"/>
    <w:pPr>
      <w:pBdr>
        <w:bottom w:val="single" w:color="auto" w:sz="4" w:space="1"/>
      </w:pBdr>
      <w:spacing w:line="240" w:lineRule="atLeast"/>
      <w:jc w:val="right"/>
    </w:pPr>
    <w:rPr>
      <w:rFonts w:ascii="宋体" w:hAnsi="宋体" w:eastAsia="宋体"/>
      <w:sz w:val="18"/>
    </w:rPr>
  </w:style>
  <w:style w:type="paragraph" w:customStyle="1" w:styleId="48">
    <w:name w:val="※章节标题（第X章）"/>
    <w:basedOn w:val="1"/>
    <w:qFormat/>
    <w:uiPriority w:val="0"/>
    <w:pPr>
      <w:jc w:val="center"/>
      <w:outlineLvl w:val="0"/>
    </w:pPr>
    <w:rPr>
      <w:rFonts w:ascii="Calibri Light" w:hAnsi="Calibri Light" w:eastAsia="黑体"/>
      <w:sz w:val="36"/>
      <w:szCs w:val="28"/>
    </w:rPr>
  </w:style>
  <w:style w:type="paragraph" w:customStyle="1" w:styleId="49">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0">
    <w:name w:val="※章节标题（第Z部分分项）"/>
    <w:basedOn w:val="49"/>
    <w:qFormat/>
    <w:uiPriority w:val="0"/>
    <w:pPr>
      <w:outlineLvl w:val="2"/>
    </w:pPr>
  </w:style>
  <w:style w:type="paragraph" w:customStyle="1" w:styleId="51">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2">
    <w:name w:val="※正文（缩进2）"/>
    <w:basedOn w:val="41"/>
    <w:qFormat/>
    <w:uiPriority w:val="0"/>
    <w:pPr>
      <w:ind w:firstLine="200" w:firstLineChars="200"/>
    </w:pPr>
  </w:style>
  <w:style w:type="paragraph" w:customStyle="1" w:styleId="53">
    <w:name w:val="※正文（缩进4）"/>
    <w:basedOn w:val="41"/>
    <w:qFormat/>
    <w:uiPriority w:val="0"/>
    <w:pPr>
      <w:ind w:firstLine="400" w:firstLineChars="400"/>
    </w:pPr>
  </w:style>
  <w:style w:type="character" w:customStyle="1" w:styleId="54">
    <w:name w:val="日期 Char"/>
    <w:basedOn w:val="27"/>
    <w:link w:val="16"/>
    <w:semiHidden/>
    <w:qFormat/>
    <w:uiPriority w:val="99"/>
    <w:rPr>
      <w:rFonts w:ascii="华文仿宋" w:hAnsi="华文仿宋" w:eastAsia="华文仿宋"/>
      <w:sz w:val="28"/>
      <w:szCs w:val="28"/>
    </w:rPr>
  </w:style>
  <w:style w:type="character" w:customStyle="1" w:styleId="55">
    <w:name w:val="页眉 Char"/>
    <w:basedOn w:val="27"/>
    <w:link w:val="19"/>
    <w:qFormat/>
    <w:uiPriority w:val="0"/>
    <w:rPr>
      <w:rFonts w:ascii="华文仿宋" w:hAnsi="华文仿宋" w:eastAsia="华文仿宋"/>
      <w:sz w:val="18"/>
      <w:szCs w:val="18"/>
    </w:rPr>
  </w:style>
  <w:style w:type="character" w:customStyle="1" w:styleId="56">
    <w:name w:val="页脚 Char"/>
    <w:basedOn w:val="27"/>
    <w:link w:val="18"/>
    <w:qFormat/>
    <w:uiPriority w:val="99"/>
    <w:rPr>
      <w:rFonts w:ascii="华文仿宋" w:hAnsi="华文仿宋" w:eastAsia="华文仿宋"/>
      <w:sz w:val="18"/>
      <w:szCs w:val="18"/>
    </w:rPr>
  </w:style>
  <w:style w:type="character" w:customStyle="1" w:styleId="57">
    <w:name w:val="标题 1 Char"/>
    <w:basedOn w:val="27"/>
    <w:link w:val="2"/>
    <w:qFormat/>
    <w:uiPriority w:val="9"/>
    <w:rPr>
      <w:rFonts w:ascii="Calibri" w:hAnsi="Calibri" w:eastAsia="黑体"/>
      <w:bCs/>
      <w:kern w:val="36"/>
      <w:sz w:val="32"/>
      <w:szCs w:val="32"/>
    </w:rPr>
  </w:style>
  <w:style w:type="character" w:customStyle="1" w:styleId="58">
    <w:name w:val="标题 2 Char"/>
    <w:basedOn w:val="27"/>
    <w:link w:val="3"/>
    <w:qFormat/>
    <w:uiPriority w:val="9"/>
    <w:rPr>
      <w:rFonts w:ascii="Calibri" w:hAnsi="Calibri" w:eastAsia="黑体" w:cstheme="majorBidi"/>
      <w:bCs/>
      <w:iCs/>
      <w:kern w:val="32"/>
      <w:sz w:val="28"/>
      <w:szCs w:val="28"/>
    </w:rPr>
  </w:style>
  <w:style w:type="character" w:customStyle="1" w:styleId="59">
    <w:name w:val="标题 3 Char"/>
    <w:basedOn w:val="27"/>
    <w:link w:val="4"/>
    <w:qFormat/>
    <w:uiPriority w:val="9"/>
    <w:rPr>
      <w:rFonts w:ascii="Calibri Light" w:hAnsi="Calibri Light" w:eastAsia="宋体"/>
      <w:b/>
      <w:bCs/>
      <w:kern w:val="30"/>
      <w:sz w:val="24"/>
      <w:szCs w:val="26"/>
    </w:rPr>
  </w:style>
  <w:style w:type="character" w:customStyle="1" w:styleId="60">
    <w:name w:val="标题 4 Char"/>
    <w:basedOn w:val="27"/>
    <w:link w:val="5"/>
    <w:semiHidden/>
    <w:qFormat/>
    <w:uiPriority w:val="9"/>
    <w:rPr>
      <w:rFonts w:cstheme="majorBidi"/>
      <w:b/>
      <w:bCs/>
      <w:sz w:val="28"/>
      <w:szCs w:val="28"/>
    </w:rPr>
  </w:style>
  <w:style w:type="character" w:customStyle="1" w:styleId="61">
    <w:name w:val="标题 5 Char"/>
    <w:basedOn w:val="27"/>
    <w:link w:val="6"/>
    <w:semiHidden/>
    <w:qFormat/>
    <w:uiPriority w:val="9"/>
    <w:rPr>
      <w:b/>
      <w:bCs/>
      <w:i/>
      <w:iCs/>
      <w:sz w:val="26"/>
      <w:szCs w:val="26"/>
    </w:rPr>
  </w:style>
  <w:style w:type="character" w:customStyle="1" w:styleId="62">
    <w:name w:val="标题 6 Char"/>
    <w:basedOn w:val="27"/>
    <w:link w:val="7"/>
    <w:semiHidden/>
    <w:qFormat/>
    <w:uiPriority w:val="9"/>
    <w:rPr>
      <w:rFonts w:cstheme="majorBidi"/>
      <w:b/>
      <w:bCs/>
    </w:rPr>
  </w:style>
  <w:style w:type="character" w:customStyle="1" w:styleId="63">
    <w:name w:val="标题 7 Char"/>
    <w:basedOn w:val="27"/>
    <w:link w:val="8"/>
    <w:semiHidden/>
    <w:qFormat/>
    <w:uiPriority w:val="9"/>
    <w:rPr>
      <w:sz w:val="24"/>
      <w:szCs w:val="24"/>
    </w:rPr>
  </w:style>
  <w:style w:type="character" w:customStyle="1" w:styleId="64">
    <w:name w:val="标题 8 Char"/>
    <w:basedOn w:val="27"/>
    <w:link w:val="9"/>
    <w:semiHidden/>
    <w:qFormat/>
    <w:uiPriority w:val="9"/>
    <w:rPr>
      <w:rFonts w:cstheme="majorBidi"/>
      <w:i/>
      <w:iCs/>
      <w:sz w:val="24"/>
      <w:szCs w:val="24"/>
    </w:rPr>
  </w:style>
  <w:style w:type="character" w:customStyle="1" w:styleId="65">
    <w:name w:val="标题 9 Char"/>
    <w:basedOn w:val="27"/>
    <w:link w:val="10"/>
    <w:semiHidden/>
    <w:qFormat/>
    <w:uiPriority w:val="9"/>
    <w:rPr>
      <w:rFonts w:asciiTheme="majorHAnsi" w:hAnsiTheme="majorHAnsi" w:eastAsiaTheme="majorEastAsia" w:cstheme="majorBidi"/>
    </w:rPr>
  </w:style>
  <w:style w:type="character" w:customStyle="1" w:styleId="66">
    <w:name w:val="标题 Char"/>
    <w:basedOn w:val="27"/>
    <w:link w:val="23"/>
    <w:qFormat/>
    <w:uiPriority w:val="10"/>
    <w:rPr>
      <w:rFonts w:asciiTheme="majorHAnsi" w:hAnsiTheme="majorHAnsi" w:eastAsiaTheme="majorEastAsia" w:cstheme="majorBidi"/>
      <w:b/>
      <w:bCs/>
      <w:kern w:val="28"/>
      <w:sz w:val="32"/>
      <w:szCs w:val="32"/>
    </w:rPr>
  </w:style>
  <w:style w:type="character" w:customStyle="1" w:styleId="67">
    <w:name w:val="副标题 Char"/>
    <w:basedOn w:val="27"/>
    <w:link w:val="21"/>
    <w:qFormat/>
    <w:uiPriority w:val="11"/>
    <w:rPr>
      <w:rFonts w:ascii="Calibri" w:hAnsi="Calibri" w:eastAsia="黑体" w:cstheme="majorBidi"/>
      <w:sz w:val="32"/>
      <w:szCs w:val="24"/>
    </w:rPr>
  </w:style>
  <w:style w:type="paragraph" w:styleId="68">
    <w:name w:val="No Spacing"/>
    <w:basedOn w:val="1"/>
    <w:qFormat/>
    <w:uiPriority w:val="1"/>
    <w:rPr>
      <w:szCs w:val="32"/>
    </w:rPr>
  </w:style>
  <w:style w:type="paragraph" w:styleId="69">
    <w:name w:val="List Paragraph"/>
    <w:basedOn w:val="1"/>
    <w:qFormat/>
    <w:uiPriority w:val="0"/>
    <w:pPr>
      <w:ind w:left="720"/>
      <w:contextualSpacing/>
    </w:pPr>
  </w:style>
  <w:style w:type="paragraph" w:styleId="70">
    <w:name w:val="Quote"/>
    <w:basedOn w:val="1"/>
    <w:next w:val="1"/>
    <w:link w:val="71"/>
    <w:qFormat/>
    <w:uiPriority w:val="29"/>
    <w:rPr>
      <w:i/>
    </w:rPr>
  </w:style>
  <w:style w:type="character" w:customStyle="1" w:styleId="71">
    <w:name w:val="引用 Char"/>
    <w:basedOn w:val="27"/>
    <w:link w:val="70"/>
    <w:qFormat/>
    <w:uiPriority w:val="29"/>
    <w:rPr>
      <w:i/>
      <w:sz w:val="24"/>
      <w:szCs w:val="24"/>
    </w:rPr>
  </w:style>
  <w:style w:type="paragraph" w:styleId="72">
    <w:name w:val="Intense Quote"/>
    <w:basedOn w:val="1"/>
    <w:next w:val="1"/>
    <w:link w:val="73"/>
    <w:qFormat/>
    <w:uiPriority w:val="30"/>
    <w:pPr>
      <w:ind w:left="720" w:right="720"/>
    </w:pPr>
    <w:rPr>
      <w:b/>
      <w:i/>
      <w:szCs w:val="22"/>
    </w:rPr>
  </w:style>
  <w:style w:type="character" w:customStyle="1" w:styleId="73">
    <w:name w:val="明显引用 Char"/>
    <w:basedOn w:val="27"/>
    <w:link w:val="72"/>
    <w:qFormat/>
    <w:uiPriority w:val="30"/>
    <w:rPr>
      <w:b/>
      <w:i/>
      <w:sz w:val="24"/>
    </w:rPr>
  </w:style>
  <w:style w:type="character" w:customStyle="1" w:styleId="74">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5">
    <w:name w:val="Intense Emphasis"/>
    <w:basedOn w:val="27"/>
    <w:qFormat/>
    <w:uiPriority w:val="21"/>
    <w:rPr>
      <w:b/>
      <w:i/>
      <w:sz w:val="24"/>
      <w:szCs w:val="24"/>
      <w:u w:val="single"/>
    </w:rPr>
  </w:style>
  <w:style w:type="character" w:customStyle="1" w:styleId="76">
    <w:name w:val="Subtle Reference"/>
    <w:basedOn w:val="27"/>
    <w:qFormat/>
    <w:uiPriority w:val="31"/>
    <w:rPr>
      <w:sz w:val="24"/>
      <w:szCs w:val="24"/>
      <w:u w:val="single"/>
    </w:rPr>
  </w:style>
  <w:style w:type="character" w:customStyle="1" w:styleId="77">
    <w:name w:val="Intense Reference"/>
    <w:basedOn w:val="27"/>
    <w:qFormat/>
    <w:uiPriority w:val="32"/>
    <w:rPr>
      <w:b/>
      <w:sz w:val="24"/>
      <w:u w:val="single"/>
    </w:rPr>
  </w:style>
  <w:style w:type="character" w:customStyle="1" w:styleId="78">
    <w:name w:val="Book Title"/>
    <w:basedOn w:val="27"/>
    <w:qFormat/>
    <w:uiPriority w:val="33"/>
    <w:rPr>
      <w:rFonts w:asciiTheme="majorHAnsi" w:hAnsiTheme="majorHAnsi" w:eastAsiaTheme="majorEastAsia"/>
      <w:b/>
      <w:i/>
      <w:sz w:val="24"/>
      <w:szCs w:val="24"/>
    </w:rPr>
  </w:style>
  <w:style w:type="paragraph" w:customStyle="1" w:styleId="79">
    <w:name w:val="TOC Heading"/>
    <w:basedOn w:val="2"/>
    <w:next w:val="1"/>
    <w:semiHidden/>
    <w:unhideWhenUsed/>
    <w:qFormat/>
    <w:uiPriority w:val="39"/>
    <w:pPr>
      <w:outlineLvl w:val="9"/>
    </w:pPr>
  </w:style>
  <w:style w:type="character" w:customStyle="1" w:styleId="80">
    <w:name w:val="批注框文本 Char"/>
    <w:basedOn w:val="27"/>
    <w:link w:val="17"/>
    <w:semiHidden/>
    <w:qFormat/>
    <w:uiPriority w:val="99"/>
    <w:rPr>
      <w:sz w:val="18"/>
      <w:szCs w:val="18"/>
    </w:rPr>
  </w:style>
  <w:style w:type="character" w:customStyle="1" w:styleId="81">
    <w:name w:val="批注文字 Char"/>
    <w:basedOn w:val="27"/>
    <w:link w:val="13"/>
    <w:qFormat/>
    <w:uiPriority w:val="0"/>
    <w:rPr>
      <w:rFonts w:ascii="Calibri Light" w:hAnsi="Calibri Light" w:eastAsia="华文仿宋" w:cs="Calibri Light"/>
      <w:kern w:val="2"/>
      <w:sz w:val="28"/>
      <w:szCs w:val="28"/>
    </w:rPr>
  </w:style>
  <w:style w:type="paragraph" w:customStyle="1" w:styleId="82">
    <w:name w:val="@正文"/>
    <w:basedOn w:val="41"/>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3">
    <w:name w:val="@一级小标题"/>
    <w:basedOn w:val="1"/>
    <w:next w:val="82"/>
    <w:qFormat/>
    <w:uiPriority w:val="0"/>
    <w:pPr>
      <w:keepNext/>
      <w:spacing w:before="120" w:after="60"/>
      <w:outlineLvl w:val="2"/>
    </w:pPr>
    <w:rPr>
      <w:rFonts w:ascii="Calibri" w:hAnsi="Calibri" w:eastAsia="黑体"/>
      <w:kern w:val="28"/>
      <w:sz w:val="28"/>
    </w:rPr>
  </w:style>
  <w:style w:type="paragraph" w:customStyle="1" w:styleId="84">
    <w:name w:val="@标题"/>
    <w:basedOn w:val="1"/>
    <w:next w:val="82"/>
    <w:qFormat/>
    <w:uiPriority w:val="0"/>
    <w:pPr>
      <w:keepNext/>
      <w:spacing w:before="50" w:beforeLines="50" w:after="50" w:afterLines="50"/>
      <w:jc w:val="center"/>
      <w:outlineLvl w:val="1"/>
    </w:pPr>
    <w:rPr>
      <w:rFonts w:ascii="Calibri" w:hAnsi="Calibri" w:eastAsia="黑体"/>
      <w:kern w:val="32"/>
      <w:sz w:val="32"/>
    </w:rPr>
  </w:style>
  <w:style w:type="table" w:customStyle="1" w:styleId="85">
    <w:name w:val="网格型1"/>
    <w:basedOn w:val="2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6">
    <w:name w:val="页眉 Char1"/>
    <w:basedOn w:val="27"/>
    <w:semiHidden/>
    <w:qFormat/>
    <w:uiPriority w:val="99"/>
    <w:rPr>
      <w:rFonts w:cs="Calibri Light"/>
      <w:sz w:val="18"/>
      <w:szCs w:val="18"/>
    </w:rPr>
  </w:style>
  <w:style w:type="character" w:customStyle="1" w:styleId="87">
    <w:name w:val="页脚 Char1"/>
    <w:basedOn w:val="27"/>
    <w:semiHidden/>
    <w:qFormat/>
    <w:uiPriority w:val="99"/>
    <w:rPr>
      <w:rFonts w:cs="Calibri Light"/>
      <w:sz w:val="18"/>
      <w:szCs w:val="18"/>
    </w:rPr>
  </w:style>
  <w:style w:type="character" w:customStyle="1" w:styleId="88">
    <w:name w:val="批注主题 Char"/>
    <w:basedOn w:val="81"/>
    <w:link w:val="24"/>
    <w:semiHidden/>
    <w:qFormat/>
    <w:uiPriority w:val="99"/>
    <w:rPr>
      <w:rFonts w:ascii="Calibri Light" w:hAnsi="Calibri Light" w:eastAsia="华文仿宋" w:cs="Calibri Light"/>
      <w:b/>
      <w:bCs/>
      <w:kern w:val="2"/>
      <w:sz w:val="28"/>
      <w:szCs w:val="28"/>
    </w:rPr>
  </w:style>
  <w:style w:type="character" w:customStyle="1" w:styleId="89">
    <w:name w:val="文档结构图 Char"/>
    <w:basedOn w:val="27"/>
    <w:link w:val="12"/>
    <w:semiHidden/>
    <w:qFormat/>
    <w:uiPriority w:val="99"/>
    <w:rPr>
      <w:rFonts w:ascii="宋体" w:hAnsi="Calibri Light" w:eastAsia="宋体" w:cs="Calibri Light"/>
      <w:kern w:val="2"/>
      <w:sz w:val="18"/>
      <w:szCs w:val="18"/>
    </w:rPr>
  </w:style>
  <w:style w:type="character" w:styleId="90">
    <w:name w:val="Placeholder Text"/>
    <w:basedOn w:val="27"/>
    <w:semiHidden/>
    <w:qFormat/>
    <w:uiPriority w:val="99"/>
    <w:rPr>
      <w:color w:val="808080"/>
    </w:rPr>
  </w:style>
  <w:style w:type="table" w:customStyle="1" w:styleId="91">
    <w:name w:val="网格型11"/>
    <w:basedOn w:val="25"/>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网格型2"/>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3">
    <w:name w:val="纯文本 Char"/>
    <w:basedOn w:val="27"/>
    <w:link w:val="15"/>
    <w:qFormat/>
    <w:uiPriority w:val="0"/>
    <w:rPr>
      <w:rFonts w:ascii="宋体" w:hAnsi="Courier New" w:eastAsia="宋体" w:cs="Courier New"/>
      <w:sz w:val="21"/>
      <w:szCs w:val="21"/>
    </w:rPr>
  </w:style>
  <w:style w:type="character" w:customStyle="1" w:styleId="9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5">
    <w:name w:val="明显强调1"/>
    <w:basedOn w:val="27"/>
    <w:qFormat/>
    <w:uiPriority w:val="21"/>
    <w:rPr>
      <w:b/>
      <w:i/>
      <w:sz w:val="24"/>
      <w:szCs w:val="24"/>
      <w:u w:val="single"/>
    </w:rPr>
  </w:style>
  <w:style w:type="character" w:customStyle="1" w:styleId="96">
    <w:name w:val="不明显参考1"/>
    <w:basedOn w:val="27"/>
    <w:qFormat/>
    <w:uiPriority w:val="31"/>
    <w:rPr>
      <w:sz w:val="24"/>
      <w:szCs w:val="24"/>
      <w:u w:val="single"/>
    </w:rPr>
  </w:style>
  <w:style w:type="character" w:customStyle="1" w:styleId="97">
    <w:name w:val="明显参考1"/>
    <w:basedOn w:val="27"/>
    <w:qFormat/>
    <w:uiPriority w:val="32"/>
    <w:rPr>
      <w:b/>
      <w:sz w:val="24"/>
      <w:u w:val="single"/>
    </w:rPr>
  </w:style>
  <w:style w:type="character" w:customStyle="1" w:styleId="98">
    <w:name w:val="书籍标题1"/>
    <w:basedOn w:val="27"/>
    <w:qFormat/>
    <w:uiPriority w:val="33"/>
    <w:rPr>
      <w:rFonts w:asciiTheme="majorHAnsi" w:hAnsiTheme="majorHAnsi" w:eastAsiaTheme="majorEastAsia"/>
      <w:b/>
      <w:i/>
      <w:sz w:val="24"/>
      <w:szCs w:val="24"/>
    </w:rPr>
  </w:style>
  <w:style w:type="paragraph" w:customStyle="1" w:styleId="99">
    <w:name w:val="TOC 标题1"/>
    <w:basedOn w:val="2"/>
    <w:next w:val="1"/>
    <w:semiHidden/>
    <w:unhideWhenUsed/>
    <w:qFormat/>
    <w:uiPriority w:val="39"/>
    <w:pPr>
      <w:numPr>
        <w:numId w:val="2"/>
      </w:numPr>
      <w:outlineLvl w:val="9"/>
    </w:pPr>
  </w:style>
  <w:style w:type="paragraph" w:customStyle="1" w:styleId="100">
    <w:name w:val="Table Text"/>
    <w:basedOn w:val="1"/>
    <w:semiHidden/>
    <w:qFormat/>
    <w:uiPriority w:val="0"/>
    <w:rPr>
      <w:rFonts w:ascii="宋体" w:hAnsi="宋体" w:eastAsia="宋体" w:cs="宋体"/>
      <w:sz w:val="20"/>
      <w:szCs w:val="20"/>
      <w:lang w:eastAsia="en-US"/>
    </w:rPr>
  </w:style>
  <w:style w:type="character" w:customStyle="1" w:styleId="101">
    <w:name w:val="正文文本 Char"/>
    <w:basedOn w:val="27"/>
    <w:link w:val="14"/>
    <w:semiHidden/>
    <w:uiPriority w:val="0"/>
    <w:rPr>
      <w:rFonts w:ascii="黑体" w:hAnsi="黑体" w:eastAsia="黑体" w:cs="黑体"/>
      <w:sz w:val="47"/>
      <w:szCs w:val="47"/>
      <w:lang w:eastAsia="en-US"/>
    </w:rPr>
  </w:style>
  <w:style w:type="paragraph" w:customStyle="1" w:styleId="102">
    <w:name w:val="Other|1"/>
    <w:qFormat/>
    <w:uiPriority w:val="0"/>
    <w:pPr>
      <w:widowControl w:val="0"/>
      <w:spacing w:line="326" w:lineRule="auto"/>
      <w:ind w:firstLine="400"/>
      <w:jc w:val="both"/>
    </w:pPr>
    <w:rPr>
      <w:rFonts w:ascii="宋体" w:hAnsi="宋体" w:eastAsia="宋体" w:cs="宋体"/>
      <w:kern w:val="2"/>
      <w:sz w:val="26"/>
      <w:szCs w:val="26"/>
      <w:lang w:val="zh-TW" w:eastAsia="zh-TW" w:bidi="zh-TW"/>
    </w:rPr>
  </w:style>
  <w:style w:type="table" w:customStyle="1" w:styleId="103">
    <w:name w:val="Table Normal"/>
    <w:semiHidden/>
    <w:unhideWhenUsed/>
    <w:qFormat/>
    <w:uiPriority w:val="0"/>
    <w:rPr>
      <w:rFonts w:cstheme="minorBidi"/>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numbering" Target="numbering.xml"/><Relationship Id="rId35" Type="http://schemas.openxmlformats.org/officeDocument/2006/relationships/theme" Target="theme/theme1.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36F4B"/>
    <w:rsid w:val="00046E3E"/>
    <w:rsid w:val="00057F85"/>
    <w:rsid w:val="000755CD"/>
    <w:rsid w:val="00117274"/>
    <w:rsid w:val="00117AA1"/>
    <w:rsid w:val="0016149B"/>
    <w:rsid w:val="00193516"/>
    <w:rsid w:val="001C56D8"/>
    <w:rsid w:val="001E1C14"/>
    <w:rsid w:val="001E6767"/>
    <w:rsid w:val="00203DA1"/>
    <w:rsid w:val="00206ACB"/>
    <w:rsid w:val="00211A06"/>
    <w:rsid w:val="00274A31"/>
    <w:rsid w:val="003326D5"/>
    <w:rsid w:val="00387F4C"/>
    <w:rsid w:val="003C3F85"/>
    <w:rsid w:val="003C7EB3"/>
    <w:rsid w:val="003E1596"/>
    <w:rsid w:val="00454061"/>
    <w:rsid w:val="00580B99"/>
    <w:rsid w:val="005C5C9B"/>
    <w:rsid w:val="005E51DE"/>
    <w:rsid w:val="00603607"/>
    <w:rsid w:val="0061457B"/>
    <w:rsid w:val="00616529"/>
    <w:rsid w:val="00626103"/>
    <w:rsid w:val="00636120"/>
    <w:rsid w:val="00653AFD"/>
    <w:rsid w:val="006D613E"/>
    <w:rsid w:val="006E4CF7"/>
    <w:rsid w:val="006F4890"/>
    <w:rsid w:val="006F6800"/>
    <w:rsid w:val="007217C5"/>
    <w:rsid w:val="0072520E"/>
    <w:rsid w:val="007269F0"/>
    <w:rsid w:val="00756673"/>
    <w:rsid w:val="00757048"/>
    <w:rsid w:val="00792F70"/>
    <w:rsid w:val="007B6484"/>
    <w:rsid w:val="007E2172"/>
    <w:rsid w:val="00874F14"/>
    <w:rsid w:val="008C0F26"/>
    <w:rsid w:val="008C25B5"/>
    <w:rsid w:val="008E12FD"/>
    <w:rsid w:val="0091562D"/>
    <w:rsid w:val="00921D95"/>
    <w:rsid w:val="00946FAF"/>
    <w:rsid w:val="00957667"/>
    <w:rsid w:val="009913AD"/>
    <w:rsid w:val="00992D87"/>
    <w:rsid w:val="009A1BF6"/>
    <w:rsid w:val="009C0A4E"/>
    <w:rsid w:val="009D73E7"/>
    <w:rsid w:val="009E1D2C"/>
    <w:rsid w:val="009F2A1D"/>
    <w:rsid w:val="009F6A20"/>
    <w:rsid w:val="00A36E62"/>
    <w:rsid w:val="00A37DAC"/>
    <w:rsid w:val="00A96CE4"/>
    <w:rsid w:val="00AC3820"/>
    <w:rsid w:val="00AD148E"/>
    <w:rsid w:val="00B14102"/>
    <w:rsid w:val="00B22452"/>
    <w:rsid w:val="00B72EB1"/>
    <w:rsid w:val="00BB518A"/>
    <w:rsid w:val="00BD5415"/>
    <w:rsid w:val="00BD6ED3"/>
    <w:rsid w:val="00BF29FE"/>
    <w:rsid w:val="00C04372"/>
    <w:rsid w:val="00C71590"/>
    <w:rsid w:val="00C86BD2"/>
    <w:rsid w:val="00CB0283"/>
    <w:rsid w:val="00CE439C"/>
    <w:rsid w:val="00CF08BA"/>
    <w:rsid w:val="00D031D8"/>
    <w:rsid w:val="00D7172D"/>
    <w:rsid w:val="00D938D8"/>
    <w:rsid w:val="00D93CA3"/>
    <w:rsid w:val="00DA7ECB"/>
    <w:rsid w:val="00DD1067"/>
    <w:rsid w:val="00DD6CE7"/>
    <w:rsid w:val="00DE5ECF"/>
    <w:rsid w:val="00E22C01"/>
    <w:rsid w:val="00E50A55"/>
    <w:rsid w:val="00E9317C"/>
    <w:rsid w:val="00EF03E4"/>
    <w:rsid w:val="00EF3722"/>
    <w:rsid w:val="00F000CF"/>
    <w:rsid w:val="00F049F8"/>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uiPriority w:val="0"/>
    <w:rPr>
      <w:rFonts w:cs="Times New Roman" w:asciiTheme="minorHAnsi" w:hAnsiTheme="minorHAnsi" w:eastAsiaTheme="minorEastAsia"/>
      <w:kern w:val="0"/>
      <w:sz w:val="24"/>
      <w:szCs w:val="24"/>
      <w:lang w:val="en-US" w:eastAsia="zh-CN" w:bidi="ar-SA"/>
    </w:rPr>
  </w:style>
  <w:style w:type="paragraph" w:customStyle="1" w:styleId="7">
    <w:name w:val="CF80FDE9826E4517B8C173999F8F68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52ECE0F420ED462685F9D94771832D08"/>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E6FCA-47D7-4C31-8E6A-AE80903C0ED8}">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41</Pages>
  <Words>27822</Words>
  <Characters>33109</Characters>
  <Lines>1504</Lines>
  <Paragraphs>1646</Paragraphs>
  <TotalTime>9533</TotalTime>
  <ScaleCrop>false</ScaleCrop>
  <LinksUpToDate>false</LinksUpToDate>
  <CharactersWithSpaces>59285</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2023-05-10T02:09:00Z</dcterms:created>
  <dc:creator>admin</dc:creator>
  <cp:lastModifiedBy>趋之若鹜</cp:lastModifiedBy>
  <cp:lastPrinted>2025-08-07T09:22:00Z</cp:lastPrinted>
  <dcterms:modified xsi:type="dcterms:W3CDTF">2025-09-26T07:00:48Z</dcterms:modified>
  <cp:revision>469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B313F15AD0BB4CFABE5FC8438F8D6177</vt:lpwstr>
  </property>
</Properties>
</file>