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450D9"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455F3A62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采购清单中所涉及所有货物的品牌规格型号名称，须在分项报价清单描述中注明，未注明货物品牌规格型号的响应无效。</w:t>
      </w:r>
    </w:p>
    <w:tbl>
      <w:tblPr>
        <w:tblStyle w:val="2"/>
        <w:tblpPr w:leftFromText="180" w:rightFromText="180" w:vertAnchor="text" w:horzAnchor="page" w:tblpX="1469" w:tblpY="594"/>
        <w:tblOverlap w:val="never"/>
        <w:tblW w:w="9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62"/>
        <w:gridCol w:w="375"/>
        <w:gridCol w:w="483"/>
        <w:gridCol w:w="7417"/>
      </w:tblGrid>
      <w:tr w14:paraId="5E3B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7F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6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A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 w14:paraId="1B53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4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E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定制审判台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7C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尺寸：8500*880*900mm（±10mm）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装饰：前挡装饰板装饰7个凹凸方块图案，中间方块图案装饰：一块实木雕刻圆形法徽，围边装饰：实木木线；主腿装饰：凹凸方块造型。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▲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2、▲面材：采用优质木皮，厚度≥0.6mm；木材含水率≤10%；甲醛释放量≤0.1mg/L；刨切单板规格尺寸及其偏差：±0.01mm；刨切单板表面粗糙度检测合格。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4E4B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1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定制审判台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1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A9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尺寸：5400*880*900mm（±10mm）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装饰：前挡装饰板装饰5个凹凸方块图案，中间方块图案装饰：一块实木雕刻圆形法徽，围边装饰：实木木线；主腿装饰：凹凸方块造型。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3、▲胶粘剂：采用优质环保胶粘剂，游离甲醛≤0.05g/kg，苯≤0.02g/kg，甲苯+二甲苯≤0.02g/kg，总挥发性有机物≤15g/L。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▲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5DE1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定制审判台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B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8E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尺寸：3500*880*900mm（±10mm）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装饰：前挡装饰板装饰5个凹凸方块图案，中间方块图案装饰：一块实木雕刻圆形法徽，围边装饰：实木木线；主腿装饰：凹凸方块造型。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0500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4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定制诉讼桌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D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04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尺寸：3200*700*760mm（±10mm）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装饰：前挡装饰板装饰：4个凹凸方块图案；主腿装饰：各一个凹凸方块造型。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  <w:p w14:paraId="5926A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5F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1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定制诉讼桌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9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0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43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尺寸：2400*700*760mm（±10mm）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装饰：前挡装饰板装饰：3个凹凸方块图案；主腿装饰：各一个凹凸方块造型。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2001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E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定制诉讼桌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9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2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C6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尺寸：1400*700*760mm（±10mm）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装饰：前挡装饰板装饰：2个凹凸方块图案；主腿装饰：各一个凹凸方块造型。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6567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6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8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定制书记桌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C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D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C6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尺寸：1800*800*760mm（±10mm）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装饰：前挡装饰板装饰2个凹凸方块图案，两侧挡装饰板装饰：各一个凹凸长方形图案，主腿装饰：各一个凹凸方块造型。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  <w:p w14:paraId="160B9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3A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4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定制被告人桌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D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A9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尺寸：1200*547*900mm（±10mm）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red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345F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定制法院屏风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B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97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尺寸：20000*230*950mm（±10mm）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206E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定制法院屏风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3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E2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尺寸：8500*230*950mm（±10mm）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25B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2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9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定制法院屏风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9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7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AD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尺寸：7500*230*950mm（±10mm）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10E0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E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F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定制法院屏风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2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30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尺寸：6150*230*950mm（±10mm）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6、五金件：采用优质五金配件，五金配件结合紧密，牢固，间隙细小且均匀，平整无毛刺。</w:t>
            </w:r>
          </w:p>
        </w:tc>
      </w:tr>
      <w:tr w14:paraId="2D0C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0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7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办公桌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1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9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9A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尺寸：1400*700*760mm（±10mm）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导轨：采用优质导轨，功能：操作力、耐久性（≥80000次）、垂直向下静载荷（150N）、水平侧向静载荷（75N）、拉出安全性、猛关或猛开（10次）均检测合格；下沉量≤3%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铰链：采用优质铰链，功能：操作力、垂直静载荷（≥15kg）、水平静载荷（≥30N）、耐久性（≥80000次）均检测合格；下沉量≤2.5mm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8、锁具：采用优质锁具，互开率≤0.05%；牢固度、灵活度、外观质量均检测合格；铜盐加速乙酸盐雾试验（CASS）连续喷雾≥300h，其保护评价（RP）≥10级，外观评级（RA）≥10级。</w:t>
            </w:r>
          </w:p>
        </w:tc>
      </w:tr>
      <w:tr w14:paraId="167B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5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4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0A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尺寸：2000*950*760mm（±10mm）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▲导轨：采用优质导轨，功能：操作力、耐久性（≥80000次）、垂直向下静载荷（150N）、水平侧向静载荷（75N）、拉出安全性、猛关或猛开（10次）均检测合格；下沉量≤3%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铰链：采用优质铰链，功能：操作力、垂直静载荷（≥15kg）、水平静载荷（≥30N）、耐久性（≥80000次）均检测合格；下沉量≤2.5mm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8、锁具：采用优质锁具，互开率≤0.05%；牢固度、灵活度、外观质量均检测合格；铜盐加速乙酸盐雾试验（CASS）连续喷雾≥300h，其保护评价（RP）≥10级，外观评级（RA）≥10级。</w:t>
            </w:r>
          </w:p>
        </w:tc>
      </w:tr>
      <w:tr w14:paraId="512E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9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2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1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7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05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尺寸：2000*1000*760mm（±10mm）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6CFD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F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C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45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尺寸：2700*1000*760mm（±10mm）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2225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4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D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11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尺寸：3000*1500*760mm（±10mm）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1962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5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F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83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尺寸：4500*2000*760mm（±10mm）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3379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A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会议桌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A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21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尺寸：7600*2400*760mm（±10mm）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0210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A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定制主席台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8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81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尺寸：4800*600*760mm（±10mm）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2A8E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2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定制主席台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CA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尺寸：6000*600*760mm（±10mm）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3A34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B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定制主席台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5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22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尺寸：6500*600*760mm（±10mm）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1318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C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演讲台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1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FF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尺寸：700*560*1160mm（±10mm）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6A0A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7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8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0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8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37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尺寸：620*650*1050mm（±10mm）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3、▲框架：采用优质橡胶木，甲醛释放量≤0.1mg/L，木材含水率≤10%，气干密度≥0.65g/cm³，抗弯曲强度≥80MPa，抗弯弹性模量≥12000MPa。。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  <w:p w14:paraId="6B88A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A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桌前椅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6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AB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尺寸：480*500*910mm（±10mm）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</w:tc>
      </w:tr>
      <w:tr w14:paraId="4ED6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D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大厅接待椅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0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C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0D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尺寸：530*580*1020mm（±10mm）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1、▲面料：采用优质西皮，甲醛、可萃取重金属（铅、镉）、可裂解出致癌芳香胺的偶氮染料、五氯苯酚均未检出；无异常气味；色牢度（沾色）：耐水、耐酸汗液、耐碱汗液、耐干摩擦、耐唾液均检测合格。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▲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3、弓形脚：采用优质弓形脚，铜盐加速乙酸盐雾试验（CASS）连续喷雾≥300h，其保护评价（RP）≥10级，外观评级（RA）≥10级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598A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1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定制主法官椅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4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E4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尺寸：600*680*1700mm（±10mm）</w:t>
            </w:r>
          </w:p>
          <w:p w14:paraId="7BB28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装饰：靠背上部中间为实木雕刻天平图案装饰构件、靠背上部两侧采用实木栏杆式装饰构件，扶手装饰：实木雕刻龙头型，椅腿装饰：龙爪雕刻，整体：美观大方彰显庄严气质。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▲面料：采用优质牛皮，涂层厚度≥20μm；感官要求检测合格；摩擦色牢度：干擦（500次）≥4级，湿擦（250次）≥4级，碱性汗液（80次）≥4级；涂层粘着牢度≥3.0N/10mm，耐折牢度（50000次）无裂纹，耐磨性（CS-10，500g，500r）无明显损伤、剥落；撕裂力≥35N，气味≤2级；游离甲醛未检出，挥发性有机物（VOC）未检出，可萃取重金属：铅未检出、镉未检出；禁用偶氮染料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  <w:p w14:paraId="05F3B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6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E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定制副法官椅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37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尺寸：600*680*1600mm（±10mm）</w:t>
            </w:r>
          </w:p>
          <w:p w14:paraId="76979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装饰：靠背上部中间为实木雕刻天平图案装饰构件、靠背上部两侧采用实木栏杆式装饰构件，扶手装饰：实木雕刻龙头型，椅腿装饰：龙爪雕刻，整体：美观大方彰显庄严气质。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牛皮，涂层厚度≥20μm；感官要求检测合格；摩擦色牢度：干擦（500次）≥4级，湿擦（250次）≥4级，碱性汗液（80次）≥4级；涂层粘着牢度≥3.0N/10mm，耐折牢度（50000次）无裂纹，耐磨性（CS-10，500g，500r）无明显损伤、剥落；撕裂力≥35N，气味≤2级；游离甲醛未检出，挥发性有机物（VOC）未检出，可萃取重金属：铅未检出、镉未检出；禁用偶氮染料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5、五金配件：采用优质五金配件，经防锈处理，耐腐蚀能力强。 </w:t>
            </w:r>
          </w:p>
        </w:tc>
      </w:tr>
      <w:tr w14:paraId="277C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定制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书记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诉讼椅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6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F3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尺寸：550*530*1160mm（±10mm）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牛皮，涂层厚度≥20μm；感官要求检测合格；摩擦色牢度：干擦（500次）≥4级，湿擦（250次）≥4级，碱性汗液（80次）≥4级；涂层粘着牢度≥3.0N/10mm，耐折牢度（50000次）无裂纹，耐磨性（CS-10，500g，500r）无明显损伤、剥落；撕裂力≥35N，气味≤2级；游离甲醛未检出，挥发性有机物（VOC）未检出，可萃取重金属：铅未检出、镉未检出；禁用偶氮染料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</w:tc>
      </w:tr>
      <w:tr w14:paraId="29E3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6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定制犯人椅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8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2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34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尺寸：590*500*950mm（±10mm）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3、五金配件：采用优质五金配件，经防锈处理，耐腐蚀能力强。</w:t>
            </w:r>
          </w:p>
        </w:tc>
      </w:tr>
      <w:tr w14:paraId="03E9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B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定制座椅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1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C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FC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尺寸：665*750*1000mm（±10mm）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1）椅背：海绵： 采用高密度冷发泡定型绵，舒适耐用，密度高达45 -60 kg/m3；背内板：采用优质多层板经模具成型，具有曲线，符合人体学原理；背外板：采用多层硬木成型板，厚度≥15mm，表面压木皮，经高周波，高压制成，承托力强，抗变形。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2）椅座：海绵：采用高密度冷发泡定型绵，舒适耐用，密度高达50-60 kg/m3；座框架：采用≥1.5mm厚优质冷轧钢板，经模具冲压焊接组合成型，铁框+夹板结构，摒弃了市场上依然大范围使用的木框+夹板结构，承托力更强，不易变形断裂，更坚固耐用；座外板：采用多层硬木成型板，厚度≥15mm，表面压木皮，经高周波，高压制成，承托力强，抗变形。附独特蜂窝式吸音气孔，整体吸音率0.5，全场能在0.1秒内消除回音，保证座椅的良好透气性能和整个会场无噪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3）布料：采用优质耐磨麻绒面料，软硬适中，手感舒适，长时间使用无断裂、不起球、不褪色。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4）扶手脚架：扶手框和底脚板采用优质冷轧钢板(T≥2.0mm)，脚管采用优质方管(≥80x40xT2.0mm)，经模具冲压焊接组合成型。表面采用防锈磷化处理，静电喷亚光黑，并经高温烤锔塑化。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5）扶手面：采用橡木或榉木，经6次油漆工艺精制而成。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6）写字板：三聚氰氨写字板≥270x230x15mm, 四周PU封边或黑色PP塑料写字板。配置实心铁钢制翻折支架，翻折无异响。写字板收藏于扶手脚内部，美观方便。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7）侧板：采用优质木板，面覆海绵和麻绒，并采用活动式扣钉，易于拆装。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8）回复机构：采用拉簧加阻尼器自动回复装置，使椅座能缓慢自动复位，回位轻盈，无杂音，零故障。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9）主要规格：不小于中心距：585； 座内宽：505；座深：460；座高：450；扶手高：600；扶手宽：80；全高：1000；全深（展开写字板/中途）：860；整体深度：760（座包打开），误差：±10mm；最小行距：900(单位：mm)。</w:t>
            </w:r>
          </w:p>
        </w:tc>
      </w:tr>
      <w:tr w14:paraId="06EB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A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9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休息等候椅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D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96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尺寸：1750*680*770mm（±10mm）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▲座板、背板：采用优质冷轧钢板，化学成分、表面质量检测合格；力学性能：下屈服强度≥270MPa，断后伸长率≥40%，弯曲试验检测合格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2、座板、背板面：采用聚氨酯PU注塑一体成型。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4、静电喷涂粉末：干附着力≤1级；铅笔硬度（内聚破坏中擦伤）≥2H；弯曲试验≤2mm；总铅（Pb）含量未检出；耐冲击性（正向冲击）无裂纹、皱纹及剥落现象；耐湿性500h无异常。</w:t>
            </w:r>
          </w:p>
        </w:tc>
      </w:tr>
      <w:tr w14:paraId="5082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0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休息等候椅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73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尺寸：1750*680*770mm（±10mm）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座板、背板：采用优质冷轧钢板，化学成分、表面质量检测合格；力学性能：下屈服强度≥270MPa，断后伸长率≥40%，弯曲试验检测合格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2、座板、背板面：采用聚氨酯PU注塑一体成型。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4、静电喷涂粉末：干附着力≤1级；铅笔硬度（内聚破坏中擦伤）≥2H；弯曲试验≤2mm；总铅（Pb）含量未检出；耐冲击性（正向冲击）无裂纹、皱纹及剥落现象；耐湿性500h无异常。</w:t>
            </w:r>
          </w:p>
        </w:tc>
      </w:tr>
      <w:tr w14:paraId="756A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9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会议椅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01</w:t>
            </w: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02</w:t>
            </w: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6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4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A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尺寸：480*500*910mm（±10mm）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</w:tc>
      </w:tr>
      <w:tr w14:paraId="5D92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7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会议椅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04</w:t>
            </w: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D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76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尺寸：620*670*1020mm（±10mm）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</w:tc>
      </w:tr>
      <w:tr w14:paraId="2F8D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2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5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主席台椅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A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A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D3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尺寸：650*750*1050mm（±10mm）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3、框架：采用优质橡胶木，甲醛释放量≤0.1mg/L，木材含水率≤10%，气干密度≥0.65g/cm³，抗弯曲强度≥80MPa，抗弯弹性模量≥12000MPa。。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5、五金配件：采用优质五金配件，经防锈处理，耐腐蚀能力强。</w:t>
            </w:r>
          </w:p>
        </w:tc>
      </w:tr>
      <w:tr w14:paraId="41FD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C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会议椅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2C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尺寸：600*600*1030mm（±10mm）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1、面料：采用优质西皮，甲醛、可萃取重金属（铅、镉）、可裂解出致癌芳香胺的偶氮染料、五氯苯酚均未检出；无异常气味；色牢度（沾色）：耐水、耐酸汗液、耐碱汗液、耐干摩擦、耐唾液均检测合格。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海绵：采用优质阻燃海绵，感官要求检测合格；75%压缩永久变形≤4%，回弹率≥50%；拉伸强度≥160KPa；伸长率≥130%；撕裂强度≥4.5N/cm；干热老化后拉伸强度≥160KPa；湿热老化后拉伸强度≥160KPa；甲醛释放量≤0.015mg/㎡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3、弓形脚：采用优质弓形脚，铜盐加速乙酸盐雾试验（CASS）连续喷雾≥300h，其保护评价（RP）≥10级，外观评级（RA）≥10级。</w:t>
            </w:r>
          </w:p>
        </w:tc>
      </w:tr>
      <w:tr w14:paraId="3E92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BF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尺寸：900*400*2000mm（±10mm）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▲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35FC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5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5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D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尺寸：900*400*2000mm（±10mm）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2943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0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D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D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尺寸：800*400*850mm（±10mm）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金属涂层抗盐雾无锈点；力学性能：三合一偏心连接件偏心体抗压强度≥250N；三合一偏心连接件预埋螺母抗拉强度≥600N；三合一偏心连接件中连接螺杆螺纹与预埋螺母的抗拉强度≥730N；三合一偏心连接件中偏心体与连接螺杆的扭矩≥7.8N·m。</w:t>
            </w:r>
          </w:p>
        </w:tc>
      </w:tr>
      <w:tr w14:paraId="35DB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3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6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8C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尺寸：900*500*1850mm（±10mm）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化学成分、表面质量检测合格；力学性能：下屈服强度≥270MPa，断后伸长率≥40%，弯曲试验检测合格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2、静电喷涂粉末：干附着力≤1级；铅笔硬度（内聚破坏中擦伤）≥2H；弯曲试验≤2mm；总铅（Pb）含量未检出；耐冲击性（正向冲击）无裂纹、皱纹及剥落现象；耐湿性500h无异常。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3、五金件：采用优质五金配件，所有五金件作防锈、防腐处理。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4、钢板厚度≥0.8mm；</w:t>
            </w:r>
          </w:p>
        </w:tc>
      </w:tr>
      <w:tr w14:paraId="0EC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单人床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0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29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尺寸：1000*2000*400mm（±10mm）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环保中密度纤维板，含水率≤8%；吸水厚度膨胀率≤2.5%；静曲强度≥35MPa；弹性模量≥4800MPa；表面胶合强度≥2.0MPa；内胶合强度≥1.2MPa；甲醛释放量≤0.025mg/m³；苯、甲苯、二甲苯均未检出，总挥发性有机化合物（TVOC）未检出；抗菌性能（金黄色葡萄球菌）抑菌率≥99%；防霉菌性能（宛氏拟青素）防霉菌等级：0级或1级；板面握螺钉力≥1800N，板边握螺钉力≥1000N；砂光板面质量要求（检测项≥5项）检测合格；耐高温性能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2、面材：采用优质木皮，厚度≥0.6mm；木材含水率≤10%；甲醛释放量≤0.1mg/L；刨切单板规格尺寸及其偏差：±0.01mm；刨切单板表面粗糙度检测合格。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3、胶粘剂：采用优质环保胶粘剂，游离甲醛≤0.05g/kg，苯≤0.02g/kg，甲苯+二甲苯≤0.02g/kg，总挥发性有机物≤15g/L。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4、封边条：采用优质同色实木封边条，出厂含水率≤10%，甲醛释放量≤0.05mg/L。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油漆：采用优质环保油漆，VOC含量≤20g/L；苯含量、卤代烃总和含量、乙二醇醚及醚酯总和含量、总铅含量、可溶性重金属含量（镉、铬、汞）、甲醛含量均未检出；附着力≤1级；耐磨性（750g，500r）≤0.050g；耐冲击性：涂膜无脱落、无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6、五金配件：采用优质五金配件，经防锈处理，耐腐蚀能力强。</w:t>
            </w:r>
          </w:p>
        </w:tc>
      </w:tr>
      <w:tr w14:paraId="6F7B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C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7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床垫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C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44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尺寸：1000*2000*50mm（±10mm）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1、面材采用锦纹提花全棉加厚面料，透气性好，经过抗菌、防虫、防火处理。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芯材采用优质天然棕树棕衣，密度：100-120kg/m³，防潮、防菌、透气性好、无异味。</w:t>
            </w:r>
          </w:p>
        </w:tc>
      </w:tr>
      <w:tr w14:paraId="2123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定制智能密集柜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88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单列尺寸：3780*580*3150mm（±10mm）层数8层</w:t>
            </w:r>
          </w:p>
          <w:p w14:paraId="7D89F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1、固定列采用≥15寸触摸屏，移动列采用≥8寸触摸屏，采用24V直流无刷电机，每列带有≥1.8寸LED数码列显，具备触碰屏幕控制架体开合功能，具备语音提示及语音控制架体开合功能，具备档案录入及查询功能。</w:t>
            </w:r>
          </w:p>
          <w:p w14:paraId="360AB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、摇手柄：采用圆盘式摇把，方便操作，摇动轻便。</w:t>
            </w:r>
          </w:p>
          <w:p w14:paraId="24A48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、底盘采用≥3.0mm热轧钢板折弯成型，分段焊接后整体组装式，连接牢固、运输方便。</w:t>
            </w:r>
          </w:p>
          <w:p w14:paraId="411A0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、轨芯采用≥20*20mm实心方钢，轨道板采用≥2.8mm厚钢板，分段连接，轨道表面经镀锌处理。</w:t>
            </w:r>
          </w:p>
          <w:p w14:paraId="759FF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▲三面双压筋立柱采用≥1.2mm冷轧钢板，成型尺寸≥50×39mm，整体采用七面六折边一次滚压成型工艺。立柱正面及两侧各压2条加筋（通筋），侧面为V型加筋，尺寸≥3×1mm,正面为梯形加筋，尺寸≥8×1.5mm，侧面V型加筋之间设有一排挂钩孔，排孔上下孔距为50mm，正面两端为小圆弧设计，圆弧半径≥1.75mm。多条通筋式设计更有效的增强立柱承重力及稳固性。三面双压筋立柱：检测依据GB/T 3325、GB/T 35607；检测内容包括但不限于：①抽样基数≥500件；②产品外形尺寸偏差(mm)符合；③外观性能要求-金属件（冲压件：冲压件应无脱层、裂缝；喷涂层：1.涂层应无漏喷、锈蚀和脱色、掉色现象，2.涂层应光滑均匀，色泽一致，应无流挂、疙瘩、皱皮、飞漆等缺陷）均符合要求；④有害物质限量-重金属（mg/kg）：可溶性铅、可溶性镉、可溶性铬、可溶性汞检验结果均未检出；⑤金属喷漆(塑)涂层：耐腐蚀：100h内，观察在溶剂中样板上划道两侧 3mm 以外，应无气泡产生，100h后，检查划道两侧3mm以外，应无锈迹、剥落、起皱、变色和失光等现象；⑥甲醛释放量（mg/m³）未检出，苯（mg/m³）未检出；甲苯≤0.005mg/m³，二甲苯≤0.005mg/m³，总挥发性有机化合物（TVOC)≤0.05mg/m³结论均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  <w:p w14:paraId="18883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▲三面六筋V型压筋搁板采用≥0.8mm冷轧钢板冲压成型，每块搁板采用七面六折边一体成型工艺，正面设有两组压筋，每组2条通筋（一条V型、一条梯形），V型压筋尺寸≥3×1.2mm，梯形压筋尺寸≥6.5×1.3mm，两侧面各有一条V型压筋尺寸≥3×1.2mm。三面六筋V型压筋搁板：检测依据GB/T 3325、GB/T 35607；检测内容包括但不限于：①抽样基数≥500件；②产品外形尺寸偏差(mm)符合；③邻边垂直度（mm)、翘曲度（mm)、平整度(mm)均符合；④外观性能要求-金属件（喷涂层：1.涂层应无漏喷、锈蚀和脱色、掉色现象，2.涂层应光滑均匀，色泽一致，应无流挂、疙瘩、皱皮、飞漆等缺陷）均符合要求；⑤有害物质限量-重金属（mg/kg）：可溶性铅、可溶性镉、可溶性铬、可溶性汞检验结果均未检出；⑥金属喷漆(塑)涂层：（硬度≥2H，冲击强度400mm：应无剥落、裂纹、皱纹，耐腐蚀：100h内，观察在溶剂中样板上划道两侧 3mm 以外，应无气泡产生，100h后，检查划道两侧3mm以外，应无锈迹、剥落、起皱、变色和失光等现象，附着力不低于1级）均符合；⑦甲醛释放量（mg/m³）未检出，苯（mg/m³）未检出；甲苯≤0.005mg/m³，二甲苯≤0.005mg/m³，总挥发性有机化合物（TVOC)≤0.05mg/m³结论均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  <w:p w14:paraId="2510B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、挂板采用≥0.8mm冷轧钢板冲压成型，立柱与挂板采用4挂钩扣接式，强度高，连接更牢固。</w:t>
            </w:r>
          </w:p>
          <w:p w14:paraId="28DD9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、档棒采用≥0.6mm冷轧钢板一体成型，两端可钩住挂板，不易脱离，强度高。</w:t>
            </w:r>
          </w:p>
          <w:p w14:paraId="01505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、▲侧板采用≥0.8mm冷轧钢板，一体成形。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侧板：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检测依据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GB/T228.1、GB/T4336、JIS G1253、GB/T231.1、JB/T7901、GB/T15248、GB/T5028、GB/T351、QB/T4371；检测内容包括但不限于：①力学性能：规定塑性延伸强度≥337MPa，抗拉强度：410~430MPa，断后伸长率≥34%；拉伸应变硬化指数(n值)≥0.2；②化学成分：C≤0.08%、Si≤0.15%、Mn≤0.39%、P≤0.014%、S≤0.023%；③布氏硬度HBW≥120；④全浸腐蚀试验23℃（mm/a)≥0.14，⑤疲劳试验：经10万次疲劳试验后，部件未发生开裂；⑥电阻率试验；⑦抗菌性能：抑菌率≥99.99%；                                                                                                                   </w:t>
            </w:r>
          </w:p>
          <w:p w14:paraId="277FD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10、▲门板采用≥0.8mm冷轧钢板，门面平整，款式新颖。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门板：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检测依据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GB/T4340.1、GB/T15970.5、GB/T3075、GB/T15711、GB/T22315、GB/T35690、QB/T4371；检测内容包括但不限于：①维氏硬度HV10≥129；非金属夹杂物：（细系:A≤0.5，B≤0.5，C≤0.5，D≤0.5粗系:A≤0.5，B≤0.5，C≤0.5，D≤0.5,）,弹性模量 E(GPa)≥145，均符合；②疲劳试验经10万次疲劳试验后，部件未发生开裂；③应力腐蚀试验（经100h应力腐蚀试验，不断裂）：恒定应力值:150MPa周期:100h没有断裂，符合；④磁导率试验≥1.0000000；⑤抗菌性能：抑菌率≥99.99%；                                                                                                                              </w:t>
            </w:r>
          </w:p>
          <w:p w14:paraId="4D299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、整体密集架方数偏差率±1m³。</w:t>
            </w:r>
          </w:p>
          <w:p w14:paraId="51856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、▲顶板通过M6螺栓紧固于立柱上端，经双面二次折弯，四角对焊，使其成框架结构。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顶板：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检测依据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GB/T230.1、GB/T229、GB/T 10561、GB/T5027、GB/T13012、QB/T4371、GB/T 1839；检测内容包括但不限于：①洛氏硬度HRBW≥70，冲击试验≥20，非金属夹杂物：（细系:A≤2.0，B≤2.0，C≤2.0，D≤2.0粗系:A≤2.0，B≤2.0，C≤2.0，D≤2.0），塑性应变比(r值)≥1.8，均符合；②锌层质量(g/㎡)≥36；③直流磁性能试验；④抗菌性能：抑菌率≥99.99%。 </w:t>
            </w:r>
          </w:p>
        </w:tc>
      </w:tr>
      <w:tr w14:paraId="5F16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7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4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2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A9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尺寸：900*400*1800mm（±10mm）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化学成分、表面质量检测合格；力学性能：下屈服强度≥270MPa，断后伸长率≥40%，弯曲试验检测合格；铜盐加速乙酸盐雾试验（CASS）连续喷雾≥300h，其保护评价（RP）≥10级，外观评级（RA）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2、静电喷涂粉末：干附着力≤1级；铅笔硬度（内聚破坏中擦伤）≥2H；弯曲试验≤2mm；总铅（Pb）含量未检出；耐冲击性（正向冲击）无裂纹、皱纹及剥落现象；耐湿性500h无异常。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3、五金件：采用优质五金配件，所有五金件作防锈、防腐处理。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4、钢板厚度≥0.8mm；</w:t>
            </w:r>
          </w:p>
        </w:tc>
      </w:tr>
      <w:tr w14:paraId="67CF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6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备注：1、所有产品颜色需定制，供应商中标后需提供色板经采购人确认后生产。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2、本项目核心产品：定制审判台01、定制智能密集柜。</w:t>
            </w:r>
          </w:p>
        </w:tc>
      </w:tr>
    </w:tbl>
    <w:p w14:paraId="0EB8937E">
      <w:pPr>
        <w:pStyle w:val="7"/>
        <w:spacing w:before="60" w:line="288" w:lineRule="auto"/>
        <w:ind w:right="110"/>
        <w:jc w:val="both"/>
        <w:rPr>
          <w:rFonts w:hint="eastAsia"/>
          <w:b/>
          <w:bCs/>
          <w:color w:val="auto"/>
          <w:spacing w:val="9"/>
          <w:sz w:val="32"/>
          <w:szCs w:val="32"/>
          <w:highlight w:val="none"/>
          <w:lang w:val="en-US" w:eastAsia="zh-CN"/>
        </w:rPr>
      </w:pPr>
    </w:p>
    <w:p w14:paraId="7BFE0DC6">
      <w:pPr>
        <w:pStyle w:val="7"/>
        <w:spacing w:before="60" w:line="288" w:lineRule="auto"/>
        <w:ind w:right="110"/>
        <w:jc w:val="both"/>
        <w:rPr>
          <w:rFonts w:hint="eastAsia"/>
          <w:b/>
          <w:bCs/>
          <w:color w:val="auto"/>
          <w:spacing w:val="9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22D6FF07">
      <w:pPr>
        <w:pStyle w:val="7"/>
        <w:spacing w:before="60" w:line="288" w:lineRule="auto"/>
        <w:ind w:right="110" w:firstLine="339" w:firstLineChars="100"/>
        <w:jc w:val="center"/>
        <w:rPr>
          <w:rFonts w:hint="eastAsia"/>
          <w:b/>
          <w:bCs/>
          <w:color w:val="auto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9"/>
          <w:sz w:val="32"/>
          <w:szCs w:val="32"/>
          <w:highlight w:val="none"/>
          <w:lang w:val="en-US" w:eastAsia="zh-CN"/>
        </w:rPr>
        <w:t>深化设计方案</w:t>
      </w:r>
    </w:p>
    <w:p w14:paraId="70A8D879">
      <w:pPr>
        <w:pStyle w:val="7"/>
        <w:spacing w:before="60" w:line="288" w:lineRule="auto"/>
        <w:ind w:right="110" w:firstLine="516" w:firstLineChars="200"/>
        <w:rPr>
          <w:rFonts w:hint="eastAsia"/>
          <w:color w:val="auto"/>
          <w:spacing w:val="9"/>
          <w:highlight w:val="none"/>
          <w:lang w:val="en-US" w:eastAsia="zh-CN"/>
        </w:rPr>
      </w:pPr>
      <w:r>
        <w:rPr>
          <w:rFonts w:hint="eastAsia"/>
          <w:color w:val="auto"/>
          <w:spacing w:val="9"/>
          <w:highlight w:val="none"/>
          <w:lang w:val="en-US" w:eastAsia="zh-CN"/>
        </w:rPr>
        <w:t>投标人针对该项目核心区域的深化设计方案，提供大法庭区域家具平面布置图、家具效果图。</w:t>
      </w:r>
    </w:p>
    <w:p w14:paraId="590B876F">
      <w:pPr>
        <w:pStyle w:val="7"/>
        <w:spacing w:before="60" w:line="288" w:lineRule="auto"/>
        <w:ind w:right="110" w:firstLine="258" w:firstLineChars="100"/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spacing w:val="9"/>
          <w:highlight w:val="none"/>
          <w:lang w:val="en-US" w:eastAsia="zh-CN"/>
        </w:rPr>
        <w:t>设计说明：投标人根据自身专业性及对本项目特定司法场所功能实用性、空间秩序感及司法场景适配性，自行理解</w:t>
      </w:r>
      <w:r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进行设计</w:t>
      </w:r>
      <w:r>
        <w:rPr>
          <w:rFonts w:hint="eastAsia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后附大法庭区域</w:t>
      </w:r>
      <w:r>
        <w:rPr>
          <w:rFonts w:hint="eastAsia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现场</w:t>
      </w:r>
      <w:r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平面布置图。</w:t>
      </w:r>
    </w:p>
    <w:p w14:paraId="7610334B">
      <w:pPr>
        <w:pStyle w:val="7"/>
        <w:spacing w:before="60" w:line="288" w:lineRule="auto"/>
        <w:ind w:right="110" w:firstLine="258" w:firstLineChars="100"/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</w:pPr>
    </w:p>
    <w:p w14:paraId="765CA506">
      <w:pPr>
        <w:pStyle w:val="7"/>
        <w:spacing w:before="60" w:line="288" w:lineRule="auto"/>
        <w:ind w:right="110" w:firstLine="258" w:firstLineChars="100"/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大法庭家具为：</w:t>
      </w:r>
      <w:r>
        <w:rPr>
          <w:rFonts w:hint="eastAsia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采购清单</w:t>
      </w:r>
      <w:r>
        <w:rPr>
          <w:rFonts w:hint="eastAsia" w:ascii="仿宋" w:hAnsi="仿宋" w:eastAsia="仿宋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序号1、4、7、8、9、27、28、29、30、31</w:t>
      </w:r>
      <w:r>
        <w:rPr>
          <w:rFonts w:hint="eastAsia" w:cs="仿宋"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，每个品类具体数量请投标人根据空间适配设计布局）</w:t>
      </w:r>
    </w:p>
    <w:p w14:paraId="344DE91E">
      <w:pPr>
        <w:pStyle w:val="7"/>
        <w:spacing w:before="60" w:line="288" w:lineRule="auto"/>
        <w:ind w:right="110" w:firstLine="259" w:firstLineChars="100"/>
        <w:rPr>
          <w:rFonts w:hint="eastAsia"/>
          <w:b/>
          <w:bCs/>
          <w:color w:val="auto"/>
          <w:spacing w:val="9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pacing w:val="9"/>
          <w:kern w:val="2"/>
          <w:sz w:val="24"/>
          <w:szCs w:val="24"/>
          <w:highlight w:val="none"/>
          <w:lang w:val="en-US" w:eastAsia="zh-CN" w:bidi="ar-SA"/>
        </w:rPr>
        <w:t>附件：</w:t>
      </w:r>
      <w:r>
        <w:rPr>
          <w:rFonts w:hint="eastAsia"/>
          <w:b/>
          <w:bCs/>
          <w:color w:val="auto"/>
          <w:spacing w:val="9"/>
          <w:highlight w:val="none"/>
          <w:lang w:val="en-US" w:eastAsia="zh-CN"/>
        </w:rPr>
        <w:t>大法庭区域现场平面图</w:t>
      </w:r>
    </w:p>
    <w:p w14:paraId="650437E1">
      <w:pPr>
        <w:pStyle w:val="7"/>
        <w:spacing w:before="60" w:line="288" w:lineRule="auto"/>
        <w:ind w:right="110" w:firstLine="259" w:firstLineChars="100"/>
        <w:rPr>
          <w:rFonts w:hint="eastAsia"/>
          <w:b/>
          <w:bCs/>
          <w:color w:val="auto"/>
          <w:spacing w:val="9"/>
          <w:highlight w:val="none"/>
          <w:lang w:val="en-US" w:eastAsia="zh-CN"/>
        </w:rPr>
      </w:pPr>
    </w:p>
    <w:p w14:paraId="530B8758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color w:val="auto"/>
          <w:spacing w:val="9"/>
          <w:highlight w:val="none"/>
          <w:lang w:val="en-US" w:eastAsia="zh-CN"/>
        </w:rPr>
      </w:pPr>
      <w:r>
        <w:rPr>
          <w:rFonts w:hint="eastAsia"/>
          <w:color w:val="auto"/>
          <w:spacing w:val="9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1362075</wp:posOffset>
            </wp:positionH>
            <wp:positionV relativeFrom="page">
              <wp:posOffset>4326255</wp:posOffset>
            </wp:positionV>
            <wp:extent cx="4879340" cy="5448935"/>
            <wp:effectExtent l="0" t="0" r="16510" b="18415"/>
            <wp:wrapTight wrapText="bothSides">
              <wp:wrapPolygon>
                <wp:start x="21600" y="21600"/>
                <wp:lineTo x="21600" y="78"/>
                <wp:lineTo x="96" y="78"/>
                <wp:lineTo x="96" y="21600"/>
                <wp:lineTo x="21600" y="21600"/>
              </wp:wrapPolygon>
            </wp:wrapTight>
            <wp:docPr id="1" name="图片 3" descr="1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(1)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7934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AF7B1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color w:val="auto"/>
          <w:spacing w:val="9"/>
          <w:highlight w:val="none"/>
          <w:lang w:val="en-US" w:eastAsia="zh-CN"/>
        </w:rPr>
      </w:pPr>
    </w:p>
    <w:p w14:paraId="451EF592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color w:val="auto"/>
          <w:spacing w:val="9"/>
          <w:highlight w:val="none"/>
          <w:lang w:val="en-US" w:eastAsia="zh-CN"/>
        </w:rPr>
      </w:pPr>
    </w:p>
    <w:p w14:paraId="4F510DEE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color w:val="auto"/>
          <w:spacing w:val="9"/>
          <w:highlight w:val="none"/>
          <w:lang w:val="en-US" w:eastAsia="zh-CN"/>
        </w:rPr>
      </w:pPr>
    </w:p>
    <w:p w14:paraId="3BC496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E0B1"/>
    <w:multiLevelType w:val="singleLevel"/>
    <w:tmpl w:val="54B9E0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41601"/>
    <w:rsid w:val="5804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2025-09-26T08:28:00Z</dcterms:created>
  <dc:creator>我能吃十个蛋挞</dc:creator>
  <cp:lastModifiedBy>我能吃十个蛋挞</cp:lastModifiedBy>
  <dcterms:modified xsi:type="dcterms:W3CDTF">2025-09-26T08:29:18Z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F3860C7C6A4F4D72BD7FC271FFE681CA_11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