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C4F4D">
      <w:pPr>
        <w:pStyle w:val="5"/>
        <w:widowControl/>
        <w:adjustRightInd w:val="0"/>
        <w:snapToGrid w:val="0"/>
        <w:ind w:left="0" w:leftChars="0" w:firstLine="0" w:firstLineChars="0"/>
        <w:jc w:val="center"/>
        <w:outlineLvl w:val="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lang w:val="en-US" w:eastAsia="zh-CN"/>
        </w:rPr>
        <w:t>采购需求</w:t>
      </w:r>
    </w:p>
    <w:p w14:paraId="30C2689A">
      <w:pPr>
        <w:pStyle w:val="5"/>
        <w:widowControl/>
        <w:adjustRightInd w:val="0"/>
        <w:snapToGrid w:val="0"/>
        <w:ind w:firstLine="402"/>
        <w:jc w:val="left"/>
        <w:outlineLvl w:val="0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采购项目概况</w:t>
      </w:r>
    </w:p>
    <w:p w14:paraId="0D8EF111">
      <w:pPr>
        <w:widowControl/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医院按疾病诊断相关分组系统（以下简称：DRG系统）采购项目包含质控知识库、病案首页质控、医保结算清单质控、医保结算清单上传管理、质控统计分析、智能分组器、费用管控、智能审核监管等功能的医院DRG系统以及相关运维服务，为医院全面提高全院病案首页/医保结算清单数据质量，确保医院医疗质量，控制资源消耗，优化诊疗方案，以精细化管理确保DRG付费下的合理收益，全面系统地服务于医院管理、决策和运营，实现DRG支</w:t>
      </w:r>
      <w:bookmarkStart w:id="2" w:name="_GoBack"/>
      <w:bookmarkEnd w:id="2"/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付下医院的精细化运营管理。</w:t>
      </w:r>
    </w:p>
    <w:p w14:paraId="14FB5988">
      <w:pPr>
        <w:pStyle w:val="5"/>
        <w:widowControl/>
        <w:adjustRightInd w:val="0"/>
        <w:snapToGrid w:val="0"/>
        <w:ind w:firstLine="402"/>
        <w:jc w:val="left"/>
        <w:outlineLvl w:val="0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采购内容</w:t>
      </w:r>
    </w:p>
    <w:p w14:paraId="2E09FA50">
      <w:pPr>
        <w:pStyle w:val="5"/>
        <w:widowControl/>
        <w:adjustRightInd w:val="0"/>
        <w:snapToGrid w:val="0"/>
        <w:ind w:firstLine="402"/>
        <w:jc w:val="left"/>
        <w:outlineLvl w:val="1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b/>
          <w:color w:val="auto"/>
          <w:kern w:val="0"/>
          <w:sz w:val="20"/>
          <w:szCs w:val="20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采购包预算金额</w:t>
      </w: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（元）:1405000.00</w:t>
      </w:r>
    </w:p>
    <w:p w14:paraId="761F0BCE">
      <w:pPr>
        <w:pStyle w:val="5"/>
        <w:widowControl/>
        <w:adjustRightInd w:val="0"/>
        <w:snapToGrid w:val="0"/>
        <w:ind w:firstLine="402"/>
        <w:jc w:val="left"/>
        <w:outlineLvl w:val="1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采购内容：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4368"/>
        <w:gridCol w:w="764"/>
        <w:gridCol w:w="1932"/>
        <w:gridCol w:w="655"/>
      </w:tblGrid>
      <w:tr w14:paraId="5D56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71" w:type="pct"/>
            <w:vAlign w:val="center"/>
          </w:tcPr>
          <w:p w14:paraId="20A6B165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2561" w:type="pct"/>
            <w:vAlign w:val="center"/>
          </w:tcPr>
          <w:p w14:paraId="7B7433AA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采购产品</w:t>
            </w:r>
          </w:p>
        </w:tc>
        <w:tc>
          <w:tcPr>
            <w:tcW w:w="448" w:type="pct"/>
            <w:vAlign w:val="center"/>
          </w:tcPr>
          <w:p w14:paraId="6D29D543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数量</w:t>
            </w:r>
          </w:p>
        </w:tc>
        <w:tc>
          <w:tcPr>
            <w:tcW w:w="1133" w:type="pct"/>
            <w:vAlign w:val="center"/>
          </w:tcPr>
          <w:p w14:paraId="4AE3E826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单位</w:t>
            </w:r>
          </w:p>
        </w:tc>
        <w:tc>
          <w:tcPr>
            <w:tcW w:w="384" w:type="pct"/>
            <w:vAlign w:val="center"/>
          </w:tcPr>
          <w:p w14:paraId="54169BD1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 w14:paraId="2B594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71" w:type="pct"/>
            <w:vAlign w:val="center"/>
          </w:tcPr>
          <w:p w14:paraId="689D3CAF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2561" w:type="pct"/>
            <w:vAlign w:val="center"/>
          </w:tcPr>
          <w:p w14:paraId="33856881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医院按疾病诊断相关分组系统</w:t>
            </w:r>
          </w:p>
          <w:p w14:paraId="5C9604C5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</w:rPr>
              <w:t>（核心产品）</w:t>
            </w:r>
          </w:p>
        </w:tc>
        <w:tc>
          <w:tcPr>
            <w:tcW w:w="448" w:type="pct"/>
            <w:vAlign w:val="center"/>
          </w:tcPr>
          <w:p w14:paraId="38CE844C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pct"/>
            <w:vAlign w:val="center"/>
          </w:tcPr>
          <w:p w14:paraId="116AF720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384" w:type="pct"/>
            <w:vAlign w:val="center"/>
          </w:tcPr>
          <w:p w14:paraId="0595B9D7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70F5A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71" w:type="pct"/>
            <w:vAlign w:val="center"/>
          </w:tcPr>
          <w:p w14:paraId="386D5207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2561" w:type="pct"/>
            <w:vAlign w:val="center"/>
          </w:tcPr>
          <w:p w14:paraId="546E9F1E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国产服务器</w:t>
            </w:r>
          </w:p>
        </w:tc>
        <w:tc>
          <w:tcPr>
            <w:tcW w:w="448" w:type="pct"/>
            <w:vAlign w:val="center"/>
          </w:tcPr>
          <w:p w14:paraId="66479120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pct"/>
            <w:vAlign w:val="center"/>
          </w:tcPr>
          <w:p w14:paraId="676789AD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台</w:t>
            </w:r>
          </w:p>
        </w:tc>
        <w:tc>
          <w:tcPr>
            <w:tcW w:w="384" w:type="pct"/>
            <w:vAlign w:val="center"/>
          </w:tcPr>
          <w:p w14:paraId="799CF9DB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73F4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71" w:type="pct"/>
            <w:vAlign w:val="center"/>
          </w:tcPr>
          <w:p w14:paraId="0299EB70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2561" w:type="pct"/>
            <w:vAlign w:val="center"/>
          </w:tcPr>
          <w:p w14:paraId="13EAE95C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国产操作系统</w:t>
            </w:r>
          </w:p>
        </w:tc>
        <w:tc>
          <w:tcPr>
            <w:tcW w:w="448" w:type="pct"/>
            <w:vAlign w:val="center"/>
          </w:tcPr>
          <w:p w14:paraId="60A8C15A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1133" w:type="pct"/>
            <w:vAlign w:val="center"/>
          </w:tcPr>
          <w:p w14:paraId="43B74E87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384" w:type="pct"/>
            <w:vAlign w:val="center"/>
          </w:tcPr>
          <w:p w14:paraId="32FF87B9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3F1A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71" w:type="pct"/>
            <w:vAlign w:val="center"/>
          </w:tcPr>
          <w:p w14:paraId="3D7E1D9D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4</w:t>
            </w:r>
          </w:p>
        </w:tc>
        <w:tc>
          <w:tcPr>
            <w:tcW w:w="2561" w:type="pct"/>
            <w:vAlign w:val="center"/>
          </w:tcPr>
          <w:p w14:paraId="3FE1FA12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bookmarkStart w:id="0" w:name="OLE_LINK5"/>
            <w:bookmarkStart w:id="1" w:name="OLE_LINK6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国产数据库软件</w:t>
            </w:r>
            <w:bookmarkEnd w:id="0"/>
            <w:bookmarkEnd w:id="1"/>
          </w:p>
        </w:tc>
        <w:tc>
          <w:tcPr>
            <w:tcW w:w="448" w:type="pct"/>
            <w:vAlign w:val="center"/>
          </w:tcPr>
          <w:p w14:paraId="6807CED5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pct"/>
            <w:vAlign w:val="center"/>
          </w:tcPr>
          <w:p w14:paraId="5D124EB7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套</w:t>
            </w:r>
          </w:p>
        </w:tc>
        <w:tc>
          <w:tcPr>
            <w:tcW w:w="384" w:type="pct"/>
            <w:vAlign w:val="center"/>
          </w:tcPr>
          <w:p w14:paraId="374FBF57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443D5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71" w:type="pct"/>
            <w:vAlign w:val="center"/>
          </w:tcPr>
          <w:p w14:paraId="3EF8468E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5</w:t>
            </w:r>
          </w:p>
        </w:tc>
        <w:tc>
          <w:tcPr>
            <w:tcW w:w="2561" w:type="pct"/>
            <w:vAlign w:val="center"/>
          </w:tcPr>
          <w:p w14:paraId="36768D5F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系统接口开发服务</w:t>
            </w:r>
          </w:p>
        </w:tc>
        <w:tc>
          <w:tcPr>
            <w:tcW w:w="448" w:type="pct"/>
            <w:vAlign w:val="center"/>
          </w:tcPr>
          <w:p w14:paraId="39217184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33" w:type="pct"/>
            <w:vAlign w:val="center"/>
          </w:tcPr>
          <w:p w14:paraId="0237D865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0"/>
                <w:szCs w:val="20"/>
              </w:rPr>
              <w:t>项</w:t>
            </w:r>
          </w:p>
        </w:tc>
        <w:tc>
          <w:tcPr>
            <w:tcW w:w="384" w:type="pct"/>
            <w:vAlign w:val="center"/>
          </w:tcPr>
          <w:p w14:paraId="24038316">
            <w:pPr>
              <w:pStyle w:val="5"/>
              <w:widowControl/>
              <w:adjustRightInd w:val="0"/>
              <w:snapToGrid w:val="0"/>
              <w:ind w:firstLine="0" w:firstLineChars="0"/>
              <w:jc w:val="center"/>
              <w:outlineLvl w:val="2"/>
              <w:rPr>
                <w:rFonts w:ascii="仿宋" w:hAnsi="仿宋" w:eastAsia="仿宋" w:cs="仿宋"/>
                <w:bCs/>
                <w:color w:val="auto"/>
                <w:kern w:val="0"/>
                <w:sz w:val="20"/>
                <w:szCs w:val="20"/>
              </w:rPr>
            </w:pPr>
          </w:p>
        </w:tc>
      </w:tr>
    </w:tbl>
    <w:p w14:paraId="63749156">
      <w:pPr>
        <w:pStyle w:val="5"/>
        <w:widowControl/>
        <w:adjustRightInd w:val="0"/>
        <w:snapToGrid w:val="0"/>
        <w:ind w:firstLine="402"/>
        <w:jc w:val="left"/>
        <w:outlineLvl w:val="0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  <w:t>三、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软件功能技术要求</w:t>
      </w:r>
    </w:p>
    <w:p w14:paraId="100138F1">
      <w:pPr>
        <w:pStyle w:val="5"/>
        <w:widowControl/>
        <w:adjustRightInd w:val="0"/>
        <w:snapToGrid w:val="0"/>
        <w:ind w:firstLine="402"/>
        <w:jc w:val="left"/>
        <w:outlineLvl w:val="1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  <w:t>（一）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DRG管理子系统</w:t>
      </w:r>
    </w:p>
    <w:p w14:paraId="4E7D07F8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1首页管理</w:t>
      </w:r>
    </w:p>
    <w:p w14:paraId="5E59DE7B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需提供全院 DRG 运营数据实时概览，包含总费用、总盈亏额、DRG 组数、入组率等核心指标的多维度统计分析。</w:t>
      </w:r>
    </w:p>
    <w:p w14:paraId="5529C608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支持时间消耗指数和费用消耗指数分析，直观反映医疗资源消耗情况。</w:t>
      </w:r>
    </w:p>
    <w:p w14:paraId="3FE72A2A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具备科室总权重排名、病种组数排名等统计功能，实时展示各科室医疗服务能力。</w:t>
      </w:r>
    </w:p>
    <w:p w14:paraId="7129984C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提供近一年盈亏趋势图、低风险组死亡率分析等可视化模块，支持领导驾驶舱定制化配置。</w:t>
      </w:r>
    </w:p>
    <w:p w14:paraId="2E686E32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提供低风险组死亡率、低风险组死亡人数、低风险组总出院人数的分析，综合反映医院医疗质量和安全管理情况。</w:t>
      </w:r>
    </w:p>
    <w:p w14:paraId="64CFEF1C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支持科室与个人CMI排名分析、DRG组权重分析，辅助医院科室运营发展管理；</w:t>
      </w:r>
    </w:p>
    <w:p w14:paraId="29853E69">
      <w:pPr>
        <w:pStyle w:val="5"/>
        <w:widowControl/>
        <w:tabs>
          <w:tab w:val="left" w:pos="284"/>
        </w:tabs>
        <w:adjustRightInd w:val="0"/>
        <w:snapToGrid w:val="0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2审核规则知识库</w:t>
      </w:r>
    </w:p>
    <w:p w14:paraId="1A031BF4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2.1病案首页质控规则库</w:t>
      </w:r>
    </w:p>
    <w:p w14:paraId="0BB867F3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基于《住院病案首页数据质量管理与控制指标》等政策文件，建立病案首页书写规范知识库，实现数据全面质控。</w:t>
      </w:r>
    </w:p>
    <w:p w14:paraId="6C1BDA89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依据 ICD-10/ICD-9-CM3 编码规范，构建疾病诊断与手术操作编码知识库，支持编码智能校验。</w:t>
      </w:r>
    </w:p>
    <w:p w14:paraId="109DFD21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2.2医保结算清单质控库</w:t>
      </w:r>
    </w:p>
    <w:p w14:paraId="30BD6CA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按照《医疗保障基金结算清单填写规范》，建立结算清单实时质控规则库，支持填报缺陷实时提醒。</w:t>
      </w:r>
    </w:p>
    <w:p w14:paraId="3E6BDCDA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2.3医审规则知识库</w:t>
      </w:r>
    </w:p>
    <w:p w14:paraId="1053525C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包含药品超适应症、限二线用药、材料与治疗项目不符等医保费用审核规则，支持医院自定义规则补充。</w:t>
      </w:r>
    </w:p>
    <w:p w14:paraId="5EC96CB4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color w:val="auto"/>
        </w:rPr>
        <w:t>▲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3数据质控</w:t>
      </w:r>
    </w:p>
    <w:p w14:paraId="2B91E12C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3.1数据同步与抽取</w:t>
      </w:r>
    </w:p>
    <w:p w14:paraId="5BC25406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定时从 HIS 系统同步诊疗数据和病案首页，历史数据批量同步，新增数据增量同步。</w:t>
      </w:r>
    </w:p>
    <w:p w14:paraId="2FD80241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支持按时间段设置医保结算清单抽取范围，自动触发后台质控。</w:t>
      </w:r>
    </w:p>
    <w:p w14:paraId="3E17A5EB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3.2智能转码与编辑</w:t>
      </w:r>
    </w:p>
    <w:p w14:paraId="0A6E819A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实现国临版 ICD-10/ICD-9 与医保版编码的智能映射，支持国标版编码转换。</w:t>
      </w:r>
    </w:p>
    <w:p w14:paraId="211A6077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提供结算清单编辑功能，支持根据质控提醒实时调整，编辑后自动重新质控。</w:t>
      </w:r>
    </w:p>
    <w:p w14:paraId="0B6149EC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3.3预入组与归档监测</w:t>
      </w:r>
    </w:p>
    <w:p w14:paraId="0B276751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调用 CHS-DRG 分组器，基于诊断和手术信息提供预入组服务，测算盈亏额。</w:t>
      </w:r>
    </w:p>
    <w:p w14:paraId="5189A9C8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实时监控结算清单归档状态，支持按 “已结算未归档”“质控通过未上传” 等维度分类查询。</w:t>
      </w:r>
    </w:p>
    <w:p w14:paraId="1E2F1B46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3.4病案首页管理</w:t>
      </w:r>
    </w:p>
    <w:p w14:paraId="5FDCB6E9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自动采集病案首页数据，支持多业务类型病例查询。可快速归类筛选不同状态病案，查看病案详细信息；</w:t>
      </w:r>
    </w:p>
    <w:p w14:paraId="5A32F229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通过病案号下钻修改，实现模拟分组与实时质控，辅助优化入组方案，精准定位质控问题。</w:t>
      </w:r>
    </w:p>
    <w:p w14:paraId="43DF41CE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支持病案归类查询，可快速筛选质控通过病案、重点问题病案、费用超支病案、未入组病案、费用极高病案、费用极低病案；</w:t>
      </w:r>
    </w:p>
    <w:p w14:paraId="63D59798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实时查看病案的基本信息、入组信息、质控提示信息、费用信息等；</w:t>
      </w:r>
    </w:p>
    <w:p w14:paraId="70E7D27D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3.5质控问题数据分析</w:t>
      </w:r>
    </w:p>
    <w:p w14:paraId="6A67E8DC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提供科室、医生、质控规则等多维度的医保结算清单和病案首页问题数据统计、原因分析及排名。</w:t>
      </w:r>
    </w:p>
    <w:p w14:paraId="5128AC51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提供按结算或出院时间查询，可从多维度深入分析违规情况，查看全院及科室违规排名、医生违规明细、规则错误统计，还能对 DRG 病组违规病例数、次数及分布进行分析。</w:t>
      </w:r>
    </w:p>
    <w:p w14:paraId="48B89D85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3.6质控结果统计与分析</w:t>
      </w:r>
    </w:p>
    <w:p w14:paraId="70971C64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提供科室、医生、病人多维度的医保结算清单、质控结果统计、违规分析、归档检测、入组分析与缺陷追踪。</w:t>
      </w:r>
    </w:p>
    <w:p w14:paraId="5ADE7B0A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提供结算清单与病案首页的质控结果统计分析，同时，可根据医院实际开展情况，灵活配置显示结算清单与病案首页统计；</w:t>
      </w:r>
    </w:p>
    <w:p w14:paraId="08CDFFE1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提供按结算或出院时间查询，支持科室间指标比对、多级下钻分析及数据导出，满足不同角色数据分析的需求。</w:t>
      </w:r>
    </w:p>
    <w:p w14:paraId="725D7EC3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提供按科室、角色、规则等多条件的质控违规明细数据查询、统计。</w:t>
      </w:r>
    </w:p>
    <w:p w14:paraId="16F1E5FD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提供按DRG病组维度统计违规病例数、违规次数。</w:t>
      </w:r>
    </w:p>
    <w:p w14:paraId="0DD69498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提供查询各病组的违规明细及在全院、各科室的违规分布情况。</w:t>
      </w:r>
    </w:p>
    <w:p w14:paraId="4ADD2569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对接医保局上传规范，支持个人、批量、按时间重传等多种上传方式。</w:t>
      </w:r>
    </w:p>
    <w:p w14:paraId="26680F83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3.7结算清单管理</w:t>
      </w:r>
    </w:p>
    <w:p w14:paraId="285472A6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 DRG、病种分值、特殊门诊等多类型结算清单管理，全面适配不同业务场景，实现结算业务全覆盖。</w:t>
      </w:r>
    </w:p>
    <w:p w14:paraId="2C0DA0FD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支持按结算时间、出院时间灵活筛选，精准匹配各科室、各岗位数据需求，满足多样化查询场景。​</w:t>
      </w:r>
    </w:p>
    <w:p w14:paraId="615FBF39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提供单个与批量抽取功能，针对上传失败清单，可设置自动抽取，确保数据获取及时、高效。</w:t>
      </w:r>
    </w:p>
    <w:p w14:paraId="6664C71D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自动对结算清单数据进行智能分组，针对未入组清单即时提示原因，辅助快速定位问题。​</w:t>
      </w:r>
    </w:p>
    <w:p w14:paraId="72378121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支持国家临床版与医保版诊断、手术操作编码智能转码，以及医保结算清单贯标码转换，确保编码规范统一。</w:t>
      </w:r>
    </w:p>
    <w:p w14:paraId="7A681B95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支持实时质控，用户可即时查看质控提示，处理问题清单，实现质控问题早发现、早解决。​</w:t>
      </w:r>
    </w:p>
    <w:p w14:paraId="4A269C48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按质控等级分级显示问题提示，精准定位问题字段并详细描述，点击即可跳转至对应位置，大幅提升修改效率。​</w:t>
      </w:r>
    </w:p>
    <w:p w14:paraId="6261B8FD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审核流程支持自定义配置，灵活适配医院各类审批场景，保障审核流程规范、高效。</w:t>
      </w:r>
    </w:p>
    <w:p w14:paraId="77E6F2B1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质控通过的结算清单，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支持快捷上传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、自动上传配置及批量上传，或设置系统定时自动上传，显著提升工作效率，保障清单及时上传医保系统。​</w:t>
      </w:r>
    </w:p>
    <w:p w14:paraId="733C4328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直观显示已结算天数，实时提醒上传进度，避免因超期导致的经济损失。</w:t>
      </w:r>
    </w:p>
    <w:p w14:paraId="63CEDE81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支持问题清单（上传失败、质控缺陷、无法入组等）导出，便于团队协同分析问题，提升整体工作效能。​</w:t>
      </w:r>
    </w:p>
    <w:p w14:paraId="32486B07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结算清单界面支持切换查看前后文档、简洁 / 展开模式，以及各模块快速定位与返回顶部功能，操作便捷流畅。​</w:t>
      </w:r>
    </w:p>
    <w:p w14:paraId="27433284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完整记录结算清单修改痕迹与审核日志，确保操作可追溯，为管理与审计提供可靠依据。</w:t>
      </w:r>
    </w:p>
    <w:p w14:paraId="5DE1A01D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3.8清单入组分析</w:t>
      </w:r>
    </w:p>
    <w:p w14:paraId="020C9EBC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以入组清单数、00 组清单数、歧义组清单数为指标，对科室动态排名。支持按日、周、月等周期筛选，生成可视化报表，便于定位优势与待改进科室。</w:t>
      </w:r>
    </w:p>
    <w:p w14:paraId="48424D76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在科室入组页面，可查看各科室清单总数、DRG 组数、00 组 / 歧义组 / 入组清单数等数据。支持按科室、时间筛选，提供横向、纵向数据对比，辅助分析入组合理性。</w:t>
      </w:r>
    </w:p>
    <w:p w14:paraId="40C1E1AE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支持查看各科室病例入组详细数据，涵盖患者信息、诊断操作编码、DRG 组名称等字段。可自定义筛选，并将结果以 Excel 格式导出，满足二次分析、存档等需求。​</w:t>
      </w: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3.9清单归档监测</w:t>
      </w:r>
    </w:p>
    <w:p w14:paraId="54C50EA8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支持按全院维度进行医保结算清单状态及数量的实时统计展示，提供直观可视化界面，便于管理层宏观掌握全院医保结算工作整体情况。​</w:t>
      </w:r>
    </w:p>
    <w:p w14:paraId="16F3D77E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支持按科室维度查看医保结算清单状态及数量，涵盖医院各临床科室、医技科室等，科室数据需精准区分，为科室医保结算工作考核与管理提供依据。</w:t>
      </w:r>
    </w:p>
    <w:p w14:paraId="7B49875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支持对已结算未归档、已结算已归档、质控通过、质控未通过、已上传、未上传等六种状态类型的医保结算清单进行单独查询，查询结果展示清晰，需包含清单基本信息及对应状态标识。</w:t>
      </w:r>
    </w:p>
    <w:p w14:paraId="45D4AC6D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各状态类型查询需具备快速响应能力，在数据量较大的情况下，单次查询响应时间不超过 3 秒（数据量≤10 万条），保障查询效率。</w:t>
      </w:r>
    </w:p>
    <w:p w14:paraId="47853AA0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支持按各险种（如城镇职工医保、城乡居民医保、生育保险等）、结算时间（精确到日）、医生等条件进行组合查询，组合查询逻辑需灵活且符合医保结算业务实际需求。​</w:t>
      </w:r>
    </w:p>
    <w:p w14:paraId="65F48495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支持按需导出病例结算清单，导出格式为 PDF、Excel 两种常见格式，导出文件需保持数据完整性和格式规范性，方便后续数据处理与存档。</w:t>
      </w:r>
    </w:p>
    <w:p w14:paraId="3D58010D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4智能分组器</w:t>
      </w:r>
    </w:p>
    <w:p w14:paraId="1B2615D4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依据国家医疗保障局技术规范，自主研发分组器，建立入组规则库，提供建议入组信息，与当地医保局分组器高度匹配。</w:t>
      </w:r>
    </w:p>
    <w:p w14:paraId="641687EA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color w:val="auto"/>
        </w:rPr>
        <w:t>▲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5医生助手</w:t>
      </w:r>
    </w:p>
    <w:p w14:paraId="544A736D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5.1医嘱与转科监测</w:t>
      </w:r>
    </w:p>
    <w:p w14:paraId="66474A75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在医嘱开立或护士补记账环节，提供可疑违规提醒弹窗，校验医保合理性。</w:t>
      </w:r>
    </w:p>
    <w:p w14:paraId="65F7C5DD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患者转科或预出院时，触发违规提醒，支持费用偏差预警。</w:t>
      </w:r>
    </w:p>
    <w:p w14:paraId="3710CC40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5.2诊断辅助与质控</w:t>
      </w:r>
    </w:p>
    <w:p w14:paraId="0F8BB6B6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提供诊断预入组弹窗，测算 DRG 组权重及标杆费用，辅助医生调整治疗方案。</w:t>
      </w:r>
    </w:p>
    <w:p w14:paraId="6E52806A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嵌入 HIS 系统，实时校验病案首页编码与质控规则，同步提供结算清单预入组信息与分组盈亏测算信息。</w:t>
      </w:r>
    </w:p>
    <w:p w14:paraId="3A3BC2A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提供病案首页质控分组服务，通过 HIS 调用接口服务，为临床及编码人员提供病案首页编码、质控、入组提醒等参考信息。</w:t>
      </w:r>
    </w:p>
    <w:p w14:paraId="3E165221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6费用管控</w:t>
      </w:r>
    </w:p>
    <w:p w14:paraId="5C3DC7E0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6.1在院、出院病例测算与分析</w:t>
      </w:r>
    </w:p>
    <w:p w14:paraId="6B969FD0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实时监测在院病人费用盈亏，预警超支风险，支持按科室、医生排名及费用类型分析。</w:t>
      </w:r>
    </w:p>
    <w:p w14:paraId="4159C92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支持按权限科室、病人医保身份等条件筛选数据，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支持快捷重置过滤条件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；​</w:t>
      </w:r>
    </w:p>
    <w:p w14:paraId="143D87FE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提供在院病例总览，涵盖病例总数、总费用、诊断填写与未填写病例数、入组与未入组病例数等信息，可下钻查看病例明细；​</w:t>
      </w:r>
    </w:p>
    <w:p w14:paraId="70F4360E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展示科室与医生盈亏排名，下钻可查具体病例详情；​</w:t>
      </w:r>
    </w:p>
    <w:p w14:paraId="02F4A855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支持查看在院病人费用预警播报；​</w:t>
      </w:r>
    </w:p>
    <w:p w14:paraId="65EEADF1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开展费用类型分析，包括未入组病例、超长住院病例、高 / 低倍率病例、不应入组病例等；​</w:t>
      </w:r>
    </w:p>
    <w:p w14:paraId="2DB8E722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提供出院病例盈亏测算，支持结算时间、费用类型等多条件筛选，生成同比环比数据及趋势图。</w:t>
      </w:r>
    </w:p>
    <w:p w14:paraId="3360296D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可查看出院病例盈亏明细及病例结算清单详情；​</w:t>
      </w:r>
    </w:p>
    <w:p w14:paraId="74E9C012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提供费用类型分析柱状图、年度盈亏变化趋势图；​</w:t>
      </w:r>
    </w:p>
    <w:p w14:paraId="4FB2E098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支持按月度结算和年终清算两种政策类型进行盈亏测算；​</w:t>
      </w:r>
    </w:p>
    <w:p w14:paraId="5022C778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所有列表支持自定义排序与数据导出。</w:t>
      </w:r>
    </w:p>
    <w:p w14:paraId="73ED8D54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6.2科室与病组盈亏分析</w:t>
      </w:r>
    </w:p>
    <w:p w14:paraId="64E05A7A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支持科室结算盈亏分析，包含总费用、DRG 支付费用、药占比等指标，横向对比各科室盈亏情况。</w:t>
      </w:r>
    </w:p>
    <w:p w14:paraId="36592B6B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可查看科室结算病例详情，下钻至医生盈亏详情概览与列表、病人盈亏列表；​</w:t>
      </w:r>
    </w:p>
    <w:p w14:paraId="30A2B2B5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呈现科室盈亏排名、医生盈亏排名、科室总权重排名、科室 CMI 值排名及明细列表；​</w:t>
      </w:r>
    </w:p>
    <w:p w14:paraId="00CFDC40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支持按月度结算和年终清算两种政策类型进行盈亏测算。</w:t>
      </w:r>
    </w:p>
    <w:p w14:paraId="53E1E4D0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基于 DRG 病组维度分析盈亏，支持同病组不同科室 / 医生指标对比，提供病组运营参考。</w:t>
      </w:r>
    </w:p>
    <w:p w14:paraId="745B9EF0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展示 DRG 组指标总览，包括 DRG 组数、入组总人次、歧义组人次、00 组人次、总盈亏、总权重、平均住院日等，提供同比和环比数据；​</w:t>
      </w:r>
    </w:p>
    <w:p w14:paraId="2DA20257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可查看 DRG 病组盈亏明细；</w:t>
      </w:r>
    </w:p>
    <w:p w14:paraId="07E1E74A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下钻可查看病人明细列表与结算清单详情；</w:t>
      </w:r>
    </w:p>
    <w:p w14:paraId="30DD608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所有列表支持自定义排序与数据导出；</w:t>
      </w:r>
    </w:p>
    <w:p w14:paraId="46973DFF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6.3结算类型分析</w:t>
      </w:r>
    </w:p>
    <w:p w14:paraId="47D1FE97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从正常病例、高倍率病例等维度剖析费用结构，提供盈亏额、标杆费用、总费用、总权重、CMI 值等指标分析及可视化图表。</w:t>
      </w:r>
    </w:p>
    <w:p w14:paraId="0FBAA686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提供每个结算类型的盈亏额和人次柱状图；</w:t>
      </w:r>
    </w:p>
    <w:p w14:paraId="60359AD0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支持同结算类型不同病例对比，下钻可查看病人结算清单详情；​</w:t>
      </w:r>
    </w:p>
    <w:p w14:paraId="16693865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所有列表支持自定义排序与数据导出；</w:t>
      </w:r>
    </w:p>
    <w:p w14:paraId="342D7DF5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7运营分析</w:t>
      </w:r>
    </w:p>
    <w:p w14:paraId="66BBD537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7.1服务能力与效率分析</w:t>
      </w:r>
    </w:p>
    <w:p w14:paraId="60BECAF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提供总权重、CMI 值等服务能力指标分析，支持 MDC 组排名、DRG 组分布趋势展示。</w:t>
      </w:r>
    </w:p>
    <w:p w14:paraId="04F54DAC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分析费用消耗指数、平均住院日等效率指标，支持科室 / DRG 组维度对比。</w:t>
      </w:r>
    </w:p>
    <w:p w14:paraId="27A00452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开展院内 MDC 分析，呈现所选时间段内全院 MDC 前十排名及覆盖范围，支持列表导出；​</w:t>
      </w:r>
    </w:p>
    <w:p w14:paraId="7FA27DC0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展示科室开展 DRG 组数量排名、DRG 组权重类型分布、DRG 组趋势分析、科室总权重排名、科室 CMI 值排名、CMI 值趋势图，可下钻至医师、病例明细。</w:t>
      </w:r>
    </w:p>
    <w:p w14:paraId="0912A69E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提供所选时间段内全院服务效率核心指标概览，包括费用消耗指数、时间消耗指数、药品消耗指数、耗材消耗指数、平均住院日、药品费用、耗材费用、药占比、耗占比等；​</w:t>
      </w:r>
    </w:p>
    <w:p w14:paraId="3C6CB9BE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通过散点图、趋势图分析全院费用、时间、药品、耗材消耗指数等指标运营情况，展示同比和环比数据；​</w:t>
      </w:r>
    </w:p>
    <w:p w14:paraId="01C62427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支持从科室、DRG 组维度查看核心效率指标，可下钻至医师详情。</w:t>
      </w:r>
    </w:p>
    <w:p w14:paraId="7637BC8E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7.2医疗行为安全</w:t>
      </w:r>
    </w:p>
    <w:p w14:paraId="5470AD7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通过分析低风险组死亡率指标预警医疗风险，提供所选时间段内低风险组死亡率趋势图、死亡人次 DRG 组分布图及同比环比趋势图；​</w:t>
      </w:r>
    </w:p>
    <w:p w14:paraId="3593171B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提供低风险组死亡人次列表，展示死亡病人所属医师、科室及诊断入组信息，可下钻查看病人结算清单详情。</w:t>
      </w:r>
    </w:p>
    <w:p w14:paraId="6092D9B5">
      <w:pPr>
        <w:widowControl/>
        <w:numPr>
          <w:ilvl w:val="1"/>
          <w:numId w:val="0"/>
        </w:numPr>
        <w:adjustRightInd w:val="0"/>
        <w:snapToGrid w:val="0"/>
        <w:ind w:firstLine="420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color w:val="auto"/>
        </w:rPr>
        <w:t>▲</w:t>
      </w: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7.3科室对比分析</w:t>
      </w:r>
    </w:p>
    <w:p w14:paraId="3E208B93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构建科室综合分析体系，涵盖盈亏、费用结构、病组、入组、效率、手术能力、重点病例等 7 大主题。</w:t>
      </w:r>
    </w:p>
    <w:p w14:paraId="5326B200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支持筛选 DRG 结算、非 DRG 结算、全院病例数据进行科室指标对比分析；​</w:t>
      </w:r>
    </w:p>
    <w:p w14:paraId="6C1E53BD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展示不同科室的结算人次、入组率、CMI、次均费用、盈亏额、平均住院日等核心指标，可查看单个科室时间维度核心指标变化趋势；​</w:t>
      </w:r>
    </w:p>
    <w:p w14:paraId="26195CAA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开展多维度综合对比，包括高 / 低倍率病例数、盈亏额等费用管控指标、总权重等医疗服务能力指标、入组率等质控指标、药占比等费用结构指标、时间 / 费用消耗指数等医疗服务效率指标；​</w:t>
      </w:r>
    </w:p>
    <w:p w14:paraId="6697BE8E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进行科室入组情况对比分析，展示 00 组病例、歧义组病例、入组率等指标，分类统计入组率不同等级科室，入组率标签支持自定义；​</w:t>
      </w:r>
    </w:p>
    <w:p w14:paraId="476F90AC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开展科室医疗服务效率对比分析，根据科室 CMI 与平均住院日二维坐标轴划分低效与高效科室，支持选择全院或科室 CMI 进行分析。</w:t>
      </w:r>
    </w:p>
    <w:p w14:paraId="2D566A0F">
      <w:pPr>
        <w:widowControl/>
        <w:numPr>
          <w:ilvl w:val="1"/>
          <w:numId w:val="0"/>
        </w:numPr>
        <w:adjustRightInd w:val="0"/>
        <w:snapToGrid w:val="0"/>
        <w:ind w:firstLine="420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  <w:highlight w:val="none"/>
        </w:rPr>
      </w:pPr>
      <w:r>
        <w:rPr>
          <w:rFonts w:ascii="仿宋" w:hAnsi="仿宋" w:eastAsia="仿宋" w:cs="仿宋"/>
          <w:color w:val="auto"/>
        </w:rPr>
        <w:t>▲</w:t>
      </w: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7.4科室综合分析</w:t>
      </w:r>
    </w:p>
    <w:p w14:paraId="5B40AC24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支持按年份 / 月份 / 日期、权限科室、病例范围等条件筛选，支持快捷重置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；</w:t>
      </w:r>
    </w:p>
    <w:p w14:paraId="277970B4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支持多主题分析，包括盈亏分析、入组分析、病组分析、费用结构分析、重点病例分析等；​</w:t>
      </w:r>
    </w:p>
    <w:p w14:paraId="14A71BC2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盈亏分析：展示指标总览、病例类型分布与列表，分析盈亏额等指标趋势，可下钻至病例明细，支持关键字模糊筛选；​</w:t>
      </w:r>
    </w:p>
    <w:p w14:paraId="1F017809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入组分析：展示入组率、已 / 未入组病例数、00 组与歧义组病例数，分析入 00 组和歧义组原因及病例详细信息；​</w:t>
      </w:r>
    </w:p>
    <w:p w14:paraId="4112DA57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病组分析：展示 RW 区间病组分布与明细、诊断手术组合及 DRG 组明细，支持主诊断 / 主手术模糊查询与数据导出，可下钻至同 DRG 组不同病例明细；​</w:t>
      </w:r>
    </w:p>
    <w:p w14:paraId="550A43A3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费用结构分析：展示费用结构分布与类型列表、总费用同比情况、病组费用结构分析，支持关键字模糊筛选、盈余 / 亏损病组快速筛选、诊断手术组合和 DRG 组快速筛选，可查看 DRG 组费用结构与明细分析；​</w:t>
      </w:r>
    </w:p>
    <w:p w14:paraId="53501946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重点病例分析：按高 / 低倍率病例、转科病例、15 天再入院、死亡病例、异常病例等类型分析，展示各类型明细数据及较上期数量；​</w:t>
      </w:r>
    </w:p>
    <w:p w14:paraId="5B4D4D1B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所有列表支持自定义排序与数据导出。​</w:t>
      </w:r>
    </w:p>
    <w:p w14:paraId="67261AF6">
      <w:pPr>
        <w:widowControl/>
        <w:numPr>
          <w:ilvl w:val="1"/>
          <w:numId w:val="0"/>
        </w:numPr>
        <w:adjustRightInd w:val="0"/>
        <w:snapToGrid w:val="0"/>
        <w:ind w:firstLine="420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color w:val="auto"/>
        </w:rPr>
        <w:t>▲</w:t>
      </w: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7.5 医疗组综合分析​</w:t>
      </w:r>
    </w:p>
    <w:p w14:paraId="66303CE5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支持按出院时间 / 结算时间、权限科室、病例范围、医疗组等条件筛选，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 xml:space="preserve">支持快捷重置； </w:t>
      </w:r>
    </w:p>
    <w:p w14:paraId="1CA3E1E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展示医疗组核心运营指标，包括病例数、高 / 低倍率病例数、入组率、总权重、CMI 值、平均住院日、盈亏额、各计费类别费用及占比等；​</w:t>
      </w:r>
    </w:p>
    <w:p w14:paraId="624D2652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支持自定义列表展示字段；​</w:t>
      </w:r>
    </w:p>
    <w:p w14:paraId="57F13C4C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支持快速筛选盈余病组、亏损病组等；​</w:t>
      </w:r>
    </w:p>
    <w:p w14:paraId="6078B322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支持列表自定义排序与数据导出。​</w:t>
      </w:r>
    </w:p>
    <w:p w14:paraId="70DCB8AA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7.6 医生综合分析​</w:t>
      </w:r>
    </w:p>
    <w:p w14:paraId="41ACF9B3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yellow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支持按出院时间 / 结算时间、权限科室、病例范围、医生等条件筛选，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支持快捷重置； ​</w:t>
      </w:r>
    </w:p>
    <w:p w14:paraId="4994BB3D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展示医生核心运营指标，包括病例数、高 / 低倍率病例数、入组率、总权重、CMI 值、平均住院日、盈亏额、费用消耗指数、时间消耗指数、各计费类别费用及占比等；​</w:t>
      </w:r>
    </w:p>
    <w:p w14:paraId="3D65D549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支持自定义列表展示字段；​</w:t>
      </w:r>
    </w:p>
    <w:p w14:paraId="5051B355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支持快速筛选盈余医生、亏损医生等；​</w:t>
      </w:r>
    </w:p>
    <w:p w14:paraId="198210D9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根据 CMI 与次均盈亏二维四象限图划分优质、优势、劣势、问题医生，可查看医生明细统计数据，坐标原点参考值支持选择全院或科室 CMI；​</w:t>
      </w:r>
    </w:p>
    <w:p w14:paraId="5EE1D21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展示 00 组病例、歧义组病例、入组率等指标，分类统计不同入组率等级医生，入组率标签支持自定义；​</w:t>
      </w:r>
    </w:p>
    <w:p w14:paraId="6CBDC07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开展科室医生医疗服务效率分析，根据科室医生 CMI 与平均住院日二维坐标轴划分低效与高效医生，支持选择全院或科室 CMI；​</w:t>
      </w:r>
    </w:p>
    <w:p w14:paraId="6090D1D8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支持列表自定义排序与数据导出。​</w:t>
      </w:r>
    </w:p>
    <w:p w14:paraId="02CE3035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7.7 病例综合分析​</w:t>
      </w:r>
    </w:p>
    <w:p w14:paraId="39279C46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支持按出院时间 / 结算时间、权限科室、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病例范围、医疗组、医生、盈亏区间、RW 区间等条件筛选，支持病人姓名和住院号模糊筛选，支持快捷重置； ​​</w:t>
      </w:r>
    </w:p>
    <w:p w14:paraId="4734D9F3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展示病例运营分析列表，包括病人基本信息、结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算状态、归档状态、主要诊断、主要手术、RW 值、倍率、住院日、药占比、耗占比等；​</w:t>
      </w:r>
    </w:p>
    <w:p w14:paraId="4162E94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支持自定义列表展示字段；​</w:t>
      </w:r>
    </w:p>
    <w:p w14:paraId="26F955BC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支持快速筛选盈余病例、亏损病例、正常病例、高 / 低倍率病例等；​</w:t>
      </w:r>
    </w:p>
    <w:p w14:paraId="579C2E23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支持列表自定义排序与数据导出。​</w:t>
      </w:r>
    </w:p>
    <w:p w14:paraId="355F170B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outlineLvl w:val="3"/>
        <w:rPr>
          <w:rFonts w:ascii="仿宋" w:hAnsi="仿宋" w:eastAsia="仿宋" w:cs="仿宋"/>
          <w:b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color w:val="auto"/>
          <w:kern w:val="0"/>
          <w:sz w:val="20"/>
          <w:szCs w:val="20"/>
        </w:rPr>
        <w:t>7.8 病组综合分析​</w:t>
      </w:r>
    </w:p>
    <w:p w14:paraId="20425914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支持按出院时间 / 结算时间、权限科室、病例范围、医疗组等条件筛选，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支持快捷重置； ​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​</w:t>
      </w:r>
    </w:p>
    <w:p w14:paraId="48E4C7EA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展示病组核心运营指标，包括病例数、入组率、总权重、CMI 值、平均住院日、盈亏额、各计费类别费用及占比等；​</w:t>
      </w:r>
    </w:p>
    <w:p w14:paraId="741BC1B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支持自定义列表展示字段，可设置重点关注病组；​</w:t>
      </w:r>
    </w:p>
    <w:p w14:paraId="22702554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支持快速筛选盈余病组、亏损病组、重点关注病组等；​</w:t>
      </w:r>
    </w:p>
    <w:p w14:paraId="4BA60FBB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支持列表自定义排序与数据导出。​</w:t>
      </w:r>
    </w:p>
    <w:p w14:paraId="78E688B2">
      <w:pPr>
        <w:pStyle w:val="5"/>
        <w:widowControl/>
        <w:adjustRightInd w:val="0"/>
        <w:snapToGrid w:val="0"/>
        <w:ind w:firstLine="402"/>
        <w:jc w:val="left"/>
        <w:outlineLvl w:val="1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  <w:t>（二）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智能审核监管系统</w:t>
      </w:r>
    </w:p>
    <w:p w14:paraId="60744090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1全院首页概览</w:t>
      </w:r>
    </w:p>
    <w:p w14:paraId="067A42C2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以全院视角，从科室、医生、疾病、病例、药品、耗材、项目、规则分类八大维度，全方位展示违规情况。​</w:t>
      </w:r>
    </w:p>
    <w:p w14:paraId="2BCC2F7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直观呈现出院总人次、提醒总人次、提醒总次数、涉及总金额、医生遵从率等概览数据，全面反映全院智能审核提醒状况。​</w:t>
      </w:r>
    </w:p>
    <w:p w14:paraId="098F2E0B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支持按规则等级（阻停、预警、提醒）查询，可依据触发规则的严重程度进行分类筛选分析。​</w:t>
      </w:r>
    </w:p>
    <w:p w14:paraId="7A96CA68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从项目排行（药品 / 耗材 / 医疗服务项目）、科室排行、医生排行等视角剖析，精准定位智能审核提醒高频的项目、科室与医生，并可查看详细排行，便于深入分析。</w:t>
      </w:r>
    </w:p>
    <w:p w14:paraId="5B37C2CC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从提醒金额、人次两方面，统计分析药品种类超标、超适应症用药等触发提醒规则的类别分布；同时，通过每月医审提醒涉及金额趋势，直观展现智能审核管理工作效果变化。​</w:t>
      </w:r>
    </w:p>
    <w:p w14:paraId="4338A34E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实时滚屏展示全院在院病例预审信息，包括提醒时间、违规内容、科室、医生、住院号、患者等，点击可查看历史提醒规则记录。​</w:t>
      </w:r>
    </w:p>
    <w:p w14:paraId="500B061C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color w:val="auto"/>
        </w:rPr>
        <w:t>▲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2知识规则库​</w:t>
      </w:r>
    </w:p>
    <w:p w14:paraId="3DA44029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基于智能审核和监控规则库框架，融合药典、临床诊疗指南等多源知识，按照政策类、管理类、医疗类定义规则，实现药品限用、耗材报销限制等政策类规则；医保结算清单异常监测等管理类规则；以及药品儿童专用、耗材使用规范等医疗类规则。</w:t>
      </w:r>
    </w:p>
    <w:p w14:paraId="787079F7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3规则动态管理​</w:t>
      </w:r>
    </w:p>
    <w:p w14:paraId="559E95BA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系统支持元素分类管理，涵盖诊断、手术、年龄等多种类型，可配置元素编码、判断方式等信息，为药品医保限制等规则配置提供支撑。​</w:t>
      </w:r>
    </w:p>
    <w:p w14:paraId="1FECB963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构建标准化规则类型体系，包含一级分类（政策类、管理类、医疗类）及二级分类，实现规则的规范化、体系化配置。​</w:t>
      </w:r>
    </w:p>
    <w:p w14:paraId="3942AE80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依据医保政策等制定规则，区分区域通用、地区及医院个性化规则，通过版本管理满足不同场景应用需求，提升管理灵活性。​</w:t>
      </w:r>
    </w:p>
    <w:p w14:paraId="6055DE54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系统内置多种规则类型，支持规则查询、新增、修改、批量导入等一体化管理功能，可快速完成规则创建与调整，提升管理效率。​</w:t>
      </w:r>
    </w:p>
    <w:p w14:paraId="3C234787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展示医院正在执行的规则，支持批量启用 / 停用、规则等级修改，可按多条件组合筛选，点击详情可查看规则判定逻辑。​</w:t>
      </w:r>
    </w:p>
    <w:p w14:paraId="5466F0E0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内置住院医嘱预审等多种业务场景，支持按场景批量配置规则启用、停用及等级修改，实现规则与业务场景的灵活适配。​</w:t>
      </w:r>
    </w:p>
    <w:p w14:paraId="5F62CA89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color w:val="auto"/>
        </w:rPr>
        <w:t>▲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4临床智能助手​</w:t>
      </w:r>
    </w:p>
    <w:p w14:paraId="40AFC3B0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将审核接口嵌入门诊医生站，实时筛查处方违规疑点，以阻停、预警、提醒等方式事前干预，助力医保政策落地。​</w:t>
      </w:r>
    </w:p>
    <w:p w14:paraId="6319F5A5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嵌入住院医生站，在开立医嘱时实时预警违规信息，辅助医生规避医保违规风险。</w:t>
      </w:r>
    </w:p>
    <w:p w14:paraId="75AB6E2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嵌入住院护士站，在费用补记账时核查违规详情，辅助护士规范费用管理。​</w:t>
      </w:r>
    </w:p>
    <w:p w14:paraId="6B5ECB5E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在办理转科业务时，自动核查违规信息，护士可修正违规项目，确保费用合规。</w:t>
      </w:r>
    </w:p>
    <w:p w14:paraId="6F17961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预出院时核查违规项目，护士可处理违规并复查，保障住院费用合规。​</w:t>
      </w:r>
    </w:p>
    <w:p w14:paraId="0AF2A13B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结算前自动核查费用，协助医保办审核把关，降低审核扣款风险。​</w:t>
      </w:r>
    </w:p>
    <w:p w14:paraId="0801CA0E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5过程追踪分析​</w:t>
      </w:r>
    </w:p>
    <w:p w14:paraId="797843DA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提供门诊诊疗智能审核提醒日志追踪，为审核疑点纠错溯源提供数据支持。​</w:t>
      </w:r>
    </w:p>
    <w:p w14:paraId="5E1BB06B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记录在院病例全流程审核日志，为医保办与临床医生沟通、修正违规提供依据。</w:t>
      </w:r>
    </w:p>
    <w:p w14:paraId="5D9DD6E3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追踪出院病例审核日志，辅助医保办与临床医生分析处理违规问题。​</w:t>
      </w:r>
    </w:p>
    <w:p w14:paraId="1A4CCE1A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对比业务场景提醒项目与结算预审提醒项目，分析科室、医生对违规提醒的遵从情况。​</w:t>
      </w:r>
    </w:p>
    <w:p w14:paraId="1EAE4517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统计各科室对不同审核环节规则的遵从情况，助力医保部门优化规则。​</w:t>
      </w:r>
    </w:p>
    <w:p w14:paraId="315CEF8D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6综合决策分析​</w:t>
      </w:r>
    </w:p>
    <w:p w14:paraId="385422EA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自动筛查门诊结算病例违规疑点，深度分析高频违规主体，辅助门诊智能审核管理。​</w:t>
      </w:r>
    </w:p>
    <w:p w14:paraId="6561C321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提供科室在院病例预审核结果查询，辅助临床医生与医保办处理违规问题。​</w:t>
      </w:r>
    </w:p>
    <w:p w14:paraId="2C1EE9AB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从多维度统计出院病例违规数据，支持多方式排名与下钻分析，精准定位违规问题。​</w:t>
      </w:r>
    </w:p>
    <w:p w14:paraId="19238D0E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从科室维度统计出院病人违规数据，支持列表与图表展示，方便对比分析。​</w:t>
      </w:r>
    </w:p>
    <w:p w14:paraId="70DA9904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从病人维度统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计违规数据，支持组合查询与明细导出，全面展示违规信息。​</w:t>
      </w:r>
    </w:p>
    <w:p w14:paraId="7C578E11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对比住院与出院审核结果，分析智能审核工作效果，定位高效与低效科室。​</w:t>
      </w:r>
    </w:p>
    <w:p w14:paraId="5AAAC285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从多视角全维度分析智能审核应用情况，支持多指标统计与深度分析违规主体。</w:t>
      </w:r>
    </w:p>
    <w:p w14:paraId="48FAF77E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  <w:t>7医保申诉管理​</w:t>
      </w:r>
    </w:p>
    <w:p w14:paraId="43851E96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导入医保反馈违规数据，自动核验、分配任务，支持自定义模板，实时查看任务进度与总量。​</w:t>
      </w:r>
    </w:p>
    <w:p w14:paraId="1E90E959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临床医生接收任务后，自主判定申诉结果，上传材料，查看审核驳回信息与历史处理记录。​</w:t>
      </w:r>
    </w:p>
    <w:p w14:paraId="679168B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医保科审核申诉任务，查看重新申诉信息与历史审核记录，提升审核效率。​</w:t>
      </w:r>
    </w:p>
    <w:p w14:paraId="4553C31E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追溯诊疗违规疑点，分析违规原因，提升医保基金管理透明度。​</w:t>
      </w:r>
    </w:p>
    <w:p w14:paraId="7B75CF03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自动核验导入数据，显示错误信息，便于修正重新导入。​</w:t>
      </w:r>
    </w:p>
    <w:p w14:paraId="1B4466CE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支持自定义数据上传模板，适配不同医保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标准。​</w:t>
      </w:r>
    </w:p>
    <w:p w14:paraId="0BE1B763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实时展示任务概览数据，方便查看任务明细。​</w:t>
      </w:r>
    </w:p>
    <w:p w14:paraId="7A2DA4A5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自动分配任务，支持手动下发，减轻管理工作量。​</w:t>
      </w:r>
    </w:p>
    <w:p w14:paraId="21C3C882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8自查自纠管理​</w:t>
      </w:r>
    </w:p>
    <w:p w14:paraId="0A640EEB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选定规则审核：支持选定局端监管、医院重点关注等规则审核医保数据。​</w:t>
      </w:r>
    </w:p>
    <w:p w14:paraId="42F3A4F8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创建审核任务：设定时间、病人范围等参数，创建审核任务。​</w:t>
      </w:r>
    </w:p>
    <w:p w14:paraId="67AB7152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查询审核任务：查看任务状态、进度与结果。​</w:t>
      </w:r>
    </w:p>
    <w:p w14:paraId="0C3CA664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启动计算任务：启动或重新计算审核任务。​</w:t>
      </w:r>
    </w:p>
    <w:p w14:paraId="3595C856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查看计算结果：生成详细审核报告，展示违规情况。​</w:t>
      </w:r>
    </w:p>
    <w:p w14:paraId="076EB7E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结果分析处理：依据报告处理违规问题，如提醒、退费等。</w:t>
      </w:r>
    </w:p>
    <w:p w14:paraId="7AE24E5C">
      <w:pPr>
        <w:pStyle w:val="5"/>
        <w:widowControl/>
        <w:adjustRightInd w:val="0"/>
        <w:snapToGrid w:val="0"/>
        <w:ind w:firstLine="402"/>
        <w:jc w:val="left"/>
        <w:outlineLvl w:val="1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  <w:t>（三）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数据安全与系统升级</w:t>
      </w:r>
    </w:p>
    <w:p w14:paraId="4AE14817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1数据质量检测​</w:t>
      </w:r>
    </w:p>
    <w:p w14:paraId="1F5E2540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提供对各类源数据进行 7×24 小时不间断监测，涵盖数据的完整性、准确性、一致性、规范性等多个关键维度。</w:t>
      </w:r>
    </w:p>
    <w:p w14:paraId="5571139C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提供实时校验诊断编码与用药记录、检查检验结果之间的逻辑关系是否合理。</w:t>
      </w:r>
    </w:p>
    <w:p w14:paraId="27B26C86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提供数据质量预警机制，并详细记录问题类型、出现位置及具体数据内容，便于工作人员及时处理。</w:t>
      </w:r>
    </w:p>
    <w:p w14:paraId="099FD067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提供数据库高风险操作的全程监控，并支持记录操作时间、执行用户、影响行数、SQL 语句原文等关键信息查询。</w:t>
      </w:r>
    </w:p>
    <w:p w14:paraId="1D13508D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提供完善的错误日志管理机制，支持多维度的查询功能。</w:t>
      </w:r>
    </w:p>
    <w:p w14:paraId="618AB172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2质控结果数据筛选​</w:t>
      </w:r>
    </w:p>
    <w:p w14:paraId="5748E98D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提供适用于不同用户多样化的数据筛选分析，支持按照病人就诊 ID、接口名称、数据类型、检测时间范围、问题严重程度等多种条件进行组合筛选。</w:t>
      </w:r>
    </w:p>
    <w:p w14:paraId="6990F4A6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提供可依据组合条件排查患者数据的质量情况。支持结果以清晰直观的列表或图表形式呈现，方便用户进行查看和分析。</w:t>
      </w:r>
    </w:p>
    <w:p w14:paraId="272DF343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3数据导出功能。</w:t>
      </w:r>
    </w:p>
    <w:p w14:paraId="3AB3D4C3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支持质控结果数据导出。导出的数据包含完整的问题描述、原始数据记录、检测时间等信息，确保数据的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可追溯性和完整性。</w:t>
      </w:r>
    </w:p>
    <w:p w14:paraId="568F8385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  <w:t>4系统升级服务（在质保期内无条件提供系统升级服务）​</w:t>
      </w:r>
    </w:p>
    <w:p w14:paraId="36611D2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提供系统软件包新版本发布提醒通知功能。</w:t>
      </w:r>
    </w:p>
    <w:p w14:paraId="4C0357D7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提供系统软件包升级服务，确保升级操作的可行性和安全性。​</w:t>
      </w:r>
    </w:p>
    <w:p w14:paraId="709675D8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hint="default" w:ascii="仿宋" w:hAnsi="仿宋" w:eastAsia="仿宋" w:cs="仿宋"/>
          <w:color w:val="auto"/>
          <w:kern w:val="0"/>
          <w:sz w:val="20"/>
          <w:szCs w:val="20"/>
          <w:highlight w:val="none"/>
          <w:lang w:val="en-US" w:eastAsia="zh-CN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Courier New" w:hAnsi="Courier New" w:eastAsia="仿宋" w:cs="仿宋"/>
          <w:b/>
          <w:bCs/>
          <w:color w:val="auto"/>
          <w:kern w:val="0"/>
          <w:sz w:val="20"/>
          <w:szCs w:val="20"/>
          <w:highlight w:val="none"/>
          <w:lang w:val="en-US" w:eastAsia="zh-CN"/>
        </w:rPr>
        <w:t>及时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提供医保付费政策同步服务，陕西省 CHS-DRG 分组器专项升级服务。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  <w:lang w:val="en-US" w:eastAsia="zh-CN"/>
        </w:rPr>
        <w:t>提供承诺书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  <w:lang w:eastAsia="zh-CN"/>
        </w:rPr>
        <w:t>）</w:t>
      </w:r>
    </w:p>
    <w:p w14:paraId="667814A6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提供详细的升级日志和操作指南，方便技术人员进行后续的系统维护和问题排查。</w:t>
      </w:r>
    </w:p>
    <w:p w14:paraId="1BE5E8E4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2"/>
        <w:rPr>
          <w:rFonts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</w:pPr>
      <w:r>
        <w:rPr>
          <w:rFonts w:ascii="仿宋" w:hAnsi="仿宋" w:eastAsia="仿宋" w:cs="仿宋"/>
          <w:color w:val="auto"/>
          <w:highlight w:val="none"/>
        </w:rPr>
        <w:t>▲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  <w:t>5知识规则库升级服务。</w:t>
      </w:r>
    </w:p>
    <w:p w14:paraId="139CA8D0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提供规则库新版本发布提醒通知功能。</w:t>
      </w:r>
    </w:p>
    <w:p w14:paraId="46D08172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提供知识规则库升级服务，确保升级操作的可行性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安全性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val="en-US" w:eastAsia="zh-CN"/>
        </w:rPr>
        <w:t>和及时性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。</w:t>
      </w:r>
    </w:p>
    <w:p w14:paraId="5FB9CDA9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提供详细的升级日志和操作指南，方便技术人员进行后续的系统维护和问题排查。</w:t>
      </w:r>
    </w:p>
    <w:p w14:paraId="3A0F6576">
      <w:pPr>
        <w:pStyle w:val="5"/>
        <w:widowControl/>
        <w:adjustRightInd w:val="0"/>
        <w:snapToGrid w:val="0"/>
        <w:ind w:firstLine="402"/>
        <w:jc w:val="left"/>
        <w:outlineLvl w:val="1"/>
        <w:rPr>
          <w:rFonts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</w:pPr>
      <w:r>
        <w:rPr>
          <w:rFonts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  <w:t>（四）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  <w:t>接口开发服务要求。</w:t>
      </w:r>
    </w:p>
    <w:p w14:paraId="27233FCB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eastAsia="zh-CN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提供信息系统包括但不仅限于以下系统：HIS、EMR与病案等信息系统的接口开发服务，需无缝对接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  <w:lang w:eastAsia="zh-CN"/>
        </w:rPr>
        <w:t>。</w:t>
      </w:r>
    </w:p>
    <w:p w14:paraId="6C192375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投标人应依据《陕西省医疗保障信息平台定点医药机构接口规范 V1.2》，结合采购人的具体需求，积极对接相应信息系统，保证DRG系统接口符合国家相关标准要求，确保数据完整准确。</w:t>
      </w:r>
    </w:p>
    <w:p w14:paraId="01700E4C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投标人在质保期内无条件提供省、市医保平台接口开发服务，实现医保结算系统数据上传与政策同步。</w:t>
      </w:r>
    </w:p>
    <w:p w14:paraId="43B88BED">
      <w:pPr>
        <w:widowControl/>
        <w:numPr>
          <w:ilvl w:val="1"/>
          <w:numId w:val="0"/>
        </w:numPr>
        <w:adjustRightInd w:val="0"/>
        <w:snapToGrid w:val="0"/>
        <w:ind w:firstLine="402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b/>
          <w:bCs/>
          <w:color w:val="auto"/>
          <w:kern w:val="0"/>
          <w:sz w:val="20"/>
          <w:szCs w:val="20"/>
          <w:highlight w:val="none"/>
        </w:rPr>
        <w:t>o</w:t>
      </w:r>
      <w:r>
        <w:rPr>
          <w:rFonts w:hint="eastAsia" w:ascii="Courier New" w:hAnsi="Courier New" w:eastAsia="仿宋" w:cs="仿宋"/>
          <w:b/>
          <w:bCs/>
          <w:color w:val="auto"/>
          <w:kern w:val="0"/>
          <w:sz w:val="20"/>
          <w:szCs w:val="20"/>
          <w:highlight w:val="none"/>
        </w:rPr>
        <w:t>投标人对以上要求提供郑重承诺函，并明确违约责任。招标人视投标人违约情况有权终止合同。</w:t>
      </w:r>
    </w:p>
    <w:p w14:paraId="3604A842">
      <w:pPr>
        <w:pStyle w:val="5"/>
        <w:widowControl/>
        <w:adjustRightInd w:val="0"/>
        <w:snapToGrid w:val="0"/>
        <w:ind w:firstLine="402"/>
        <w:jc w:val="left"/>
        <w:outlineLvl w:val="0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  <w:t>四、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配套硬件与系统的技术要求</w:t>
      </w:r>
    </w:p>
    <w:p w14:paraId="670AE131">
      <w:pPr>
        <w:widowControl/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804"/>
        <w:gridCol w:w="698"/>
        <w:gridCol w:w="5366"/>
      </w:tblGrid>
      <w:tr w14:paraId="2432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5DF3F99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序号</w:t>
            </w:r>
          </w:p>
        </w:tc>
        <w:tc>
          <w:tcPr>
            <w:tcW w:w="804" w:type="dxa"/>
            <w:vAlign w:val="center"/>
          </w:tcPr>
          <w:p w14:paraId="423C522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698" w:type="dxa"/>
            <w:vAlign w:val="center"/>
          </w:tcPr>
          <w:p w14:paraId="787DA94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数量</w:t>
            </w:r>
          </w:p>
        </w:tc>
        <w:tc>
          <w:tcPr>
            <w:tcW w:w="5366" w:type="dxa"/>
            <w:vAlign w:val="center"/>
          </w:tcPr>
          <w:p w14:paraId="6957CF4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技术要求</w:t>
            </w:r>
          </w:p>
        </w:tc>
      </w:tr>
      <w:tr w14:paraId="4E2BE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670D6BF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804" w:type="dxa"/>
            <w:vAlign w:val="center"/>
          </w:tcPr>
          <w:p w14:paraId="332E095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国产服务器</w:t>
            </w:r>
          </w:p>
        </w:tc>
        <w:tc>
          <w:tcPr>
            <w:tcW w:w="698" w:type="dxa"/>
            <w:vAlign w:val="center"/>
          </w:tcPr>
          <w:p w14:paraId="588C35A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2台</w:t>
            </w:r>
          </w:p>
        </w:tc>
        <w:tc>
          <w:tcPr>
            <w:tcW w:w="5366" w:type="dxa"/>
            <w:vAlign w:val="center"/>
          </w:tcPr>
          <w:p w14:paraId="294D706A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1.处理器：≥2颗国产CPU，单颗处理器核数≥64核、主频≥2.6GHz；</w:t>
            </w:r>
          </w:p>
          <w:p w14:paraId="144A33B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2.内存：≥512G DDR4内存；</w:t>
            </w:r>
          </w:p>
          <w:p w14:paraId="17F0C1B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3.硬盘容量：≥5块960GB SATA SSD，设备支持扩展≥12个3.5寸硬盘；</w:t>
            </w:r>
          </w:p>
          <w:p w14:paraId="75F1A3D2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4.网口：≥4个千兆电口，≥2个万兆光口（含模块），≥1块16GB双端口HBA卡（含光模块）；</w:t>
            </w:r>
          </w:p>
          <w:p w14:paraId="360443D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5.配置RAID卡，≥4GB缓存，支持0/1/5/6/10/50/60，配置超级电容；</w:t>
            </w:r>
          </w:p>
          <w:p w14:paraId="7A48FD6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6.电源：配置1+1冗余电源，单个电源支持负载功率900W；</w:t>
            </w:r>
          </w:p>
          <w:p w14:paraId="2308814F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7.接口：标配≥4个USB 3.0接口，≥1个千兆网络管理端口，≥1个串口；≥1个VGA接口；</w:t>
            </w:r>
          </w:p>
          <w:p w14:paraId="4F6030F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8.管理：具有独立管理接口，配置服务器监控管理系统，采用国产管理芯片，支持中文BIOS界面；</w:t>
            </w:r>
          </w:p>
        </w:tc>
      </w:tr>
      <w:tr w14:paraId="549C2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5F80E63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2</w:t>
            </w:r>
          </w:p>
        </w:tc>
        <w:tc>
          <w:tcPr>
            <w:tcW w:w="804" w:type="dxa"/>
            <w:vAlign w:val="center"/>
          </w:tcPr>
          <w:p w14:paraId="41A020F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国产数据库</w:t>
            </w:r>
          </w:p>
        </w:tc>
        <w:tc>
          <w:tcPr>
            <w:tcW w:w="698" w:type="dxa"/>
            <w:vAlign w:val="center"/>
          </w:tcPr>
          <w:p w14:paraId="42A5483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1套</w:t>
            </w:r>
          </w:p>
        </w:tc>
        <w:tc>
          <w:tcPr>
            <w:tcW w:w="5366" w:type="dxa"/>
            <w:vAlign w:val="center"/>
          </w:tcPr>
          <w:p w14:paraId="31E4138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1．产品拥有自主知识产权，完全自主可控，达到《信息技术产品自主原创测评要求》（试行）中的要求；</w:t>
            </w:r>
          </w:p>
          <w:p w14:paraId="1B5D150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2．产品符合GB/T 18336和GB/T 20273的相关规定和要求；</w:t>
            </w:r>
          </w:p>
          <w:p w14:paraId="2F40C69D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3．支持表空间自动扩展，并允许调整其扩展参数，包含支持修改扩展值：next_size值、扩展上限；</w:t>
            </w:r>
          </w:p>
          <w:p w14:paraId="49D165CD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4．提供聚集索引对数据库的主键列进行优化，支持聚集主键表，支持为现有表通过alter table命令添加聚集主键；</w:t>
            </w:r>
          </w:p>
          <w:p w14:paraId="35BB509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5．兼容PL/SQL语法和数据操作；兼容Oracle、Mysql、SQLServer、DB2、PostgreSQL等数据库；</w:t>
            </w:r>
          </w:p>
          <w:p w14:paraId="04285898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6．提供数据页级恢复功能；</w:t>
            </w:r>
          </w:p>
          <w:p w14:paraId="51523E2D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7．支持国密SM3；</w:t>
            </w:r>
          </w:p>
          <w:p w14:paraId="11417EE9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8．系统支持将加密列与指定用户进行绑定，并且只允许经过授权的用户访问这些加密的数据列；</w:t>
            </w:r>
          </w:p>
          <w:p w14:paraId="3ECB590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9．支持跨平台迁移；</w:t>
            </w:r>
          </w:p>
          <w:p w14:paraId="0C51A5AB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10．支持查询SQL执行计划，包括查看操作符执行的操作、每个操作符所花费的时间及返回的结果条数、执行节点字节数以及执行计划操作符耗时。</w:t>
            </w:r>
          </w:p>
          <w:p w14:paraId="41A325A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11．符合GB/T 27922-2011国标。</w:t>
            </w:r>
          </w:p>
        </w:tc>
      </w:tr>
      <w:tr w14:paraId="4478C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3" w:type="dxa"/>
            <w:vAlign w:val="center"/>
          </w:tcPr>
          <w:p w14:paraId="5BCC341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3</w:t>
            </w:r>
          </w:p>
        </w:tc>
        <w:tc>
          <w:tcPr>
            <w:tcW w:w="804" w:type="dxa"/>
            <w:vAlign w:val="center"/>
          </w:tcPr>
          <w:p w14:paraId="293BF62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操作系统</w:t>
            </w:r>
          </w:p>
        </w:tc>
        <w:tc>
          <w:tcPr>
            <w:tcW w:w="698" w:type="dxa"/>
            <w:vAlign w:val="center"/>
          </w:tcPr>
          <w:p w14:paraId="11085FB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2套</w:t>
            </w:r>
          </w:p>
        </w:tc>
        <w:tc>
          <w:tcPr>
            <w:tcW w:w="5366" w:type="dxa"/>
            <w:vAlign w:val="center"/>
          </w:tcPr>
          <w:p w14:paraId="5272E7E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1．CPU支持：支持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≥64位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highlight w:val="none"/>
              </w:rPr>
              <w:t>国产操作系统</w:t>
            </w:r>
          </w:p>
          <w:p w14:paraId="0AD3FD80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2．支持中文；</w:t>
            </w:r>
          </w:p>
          <w:p w14:paraId="5DA6F9F5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3．桌面环境：系统集成自研图形化桌面环境，提供设备管理器、启动盘制作工具、窗口管理器、安全中心等常用工具。</w:t>
            </w:r>
          </w:p>
          <w:p w14:paraId="0ED4DBE1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4．浏览器：系统预装同品牌自研浏览器；</w:t>
            </w:r>
          </w:p>
          <w:p w14:paraId="1715EA70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5．组件管理：系统支持AppStream应用程序流，支持相同组件多版本并存；</w:t>
            </w:r>
          </w:p>
          <w:p w14:paraId="40880428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6．支持全栈国密；</w:t>
            </w:r>
          </w:p>
          <w:p w14:paraId="345E520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7．安全加固：支持安全访问统一控制的安全框架，提供系统安全加固、完整性度量、应用管控、可信保护、三权分立等功能；</w:t>
            </w:r>
          </w:p>
          <w:p w14:paraId="5E54C78A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</w:rPr>
              <w:t>8．系统迁移：支持现有操作系统数据库；</w:t>
            </w:r>
          </w:p>
          <w:p w14:paraId="5D058662">
            <w:pPr>
              <w:widowControl/>
              <w:adjustRightInd w:val="0"/>
              <w:snapToGrid w:val="0"/>
              <w:jc w:val="left"/>
              <w:rPr>
                <w:rFonts w:ascii="仿宋" w:hAnsi="仿宋" w:cs="仿宋"/>
                <w:color w:val="auto"/>
                <w:kern w:val="0"/>
                <w:sz w:val="20"/>
                <w:szCs w:val="20"/>
              </w:rPr>
            </w:pPr>
          </w:p>
        </w:tc>
      </w:tr>
    </w:tbl>
    <w:p w14:paraId="6A825E42">
      <w:pPr>
        <w:pStyle w:val="5"/>
        <w:widowControl/>
        <w:adjustRightInd w:val="0"/>
        <w:snapToGrid w:val="0"/>
        <w:ind w:firstLine="402"/>
        <w:jc w:val="left"/>
        <w:outlineLvl w:val="0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color w:val="auto"/>
        </w:rPr>
        <w:t>▲</w:t>
      </w:r>
      <w:r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  <w:t>五、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技术性能指标</w:t>
      </w:r>
    </w:p>
    <w:p w14:paraId="2539D95E">
      <w:pPr>
        <w:widowControl/>
        <w:tabs>
          <w:tab w:val="left" w:pos="426"/>
        </w:tabs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1.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  <w:t>数据处理能力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：全院病例批量处理响应时间≤5 分钟。</w:t>
      </w:r>
    </w:p>
    <w:p w14:paraId="6E68FCBF">
      <w:pPr>
        <w:widowControl/>
        <w:tabs>
          <w:tab w:val="left" w:pos="426"/>
        </w:tabs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2.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  <w:t>系统可用性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：核心服务可用性≥99.9%，故障恢复时间≤30 分钟。</w:t>
      </w:r>
    </w:p>
    <w:p w14:paraId="48AD40C5">
      <w:pPr>
        <w:widowControl/>
        <w:tabs>
          <w:tab w:val="left" w:pos="426"/>
        </w:tabs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3.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  <w:t>安全性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：</w:t>
      </w:r>
    </w:p>
    <w:p w14:paraId="6584F822">
      <w:pPr>
        <w:pStyle w:val="5"/>
        <w:widowControl/>
        <w:numPr>
          <w:ilvl w:val="0"/>
          <w:numId w:val="0"/>
        </w:numPr>
        <w:tabs>
          <w:tab w:val="left" w:pos="579"/>
        </w:tabs>
        <w:adjustRightInd w:val="0"/>
        <w:snapToGrid w:val="0"/>
        <w:ind w:left="0"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hint="default" w:ascii="Wingdings" w:hAnsi="Wingdings" w:eastAsia="仿宋" w:cs="仿宋"/>
          <w:color w:val="auto"/>
          <w:kern w:val="0"/>
          <w:sz w:val="20"/>
          <w:szCs w:val="20"/>
          <w:highlight w:val="none"/>
          <w:lang w:val="en-US" w:eastAsia="zh-CN" w:bidi="ar-SA"/>
        </w:rPr>
        <w:t>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投标人无条件配合甲方进行国家信息安全等级保护二级备案。</w:t>
      </w:r>
    </w:p>
    <w:p w14:paraId="1349B74F">
      <w:pPr>
        <w:pStyle w:val="5"/>
        <w:widowControl/>
        <w:numPr>
          <w:ilvl w:val="0"/>
          <w:numId w:val="0"/>
        </w:numPr>
        <w:tabs>
          <w:tab w:val="left" w:pos="579"/>
        </w:tabs>
        <w:adjustRightInd w:val="0"/>
        <w:snapToGrid w:val="0"/>
        <w:ind w:left="0"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hint="default" w:ascii="Wingdings" w:hAnsi="Wingdings" w:eastAsia="仿宋" w:cs="仿宋"/>
          <w:color w:val="auto"/>
          <w:kern w:val="0"/>
          <w:sz w:val="20"/>
          <w:szCs w:val="20"/>
          <w:highlight w:val="none"/>
          <w:lang w:val="en-US" w:eastAsia="zh-CN" w:bidi="ar-SA"/>
        </w:rPr>
        <w:t>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支持访问权限控制、数据加密、操作日志审计。</w:t>
      </w:r>
    </w:p>
    <w:p w14:paraId="4FFC1C1E">
      <w:pPr>
        <w:widowControl/>
        <w:tabs>
          <w:tab w:val="left" w:pos="426"/>
        </w:tabs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4.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  <w:t>兼容性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：</w:t>
      </w:r>
    </w:p>
    <w:p w14:paraId="14DA07ED">
      <w:pPr>
        <w:pStyle w:val="5"/>
        <w:widowControl/>
        <w:numPr>
          <w:ilvl w:val="0"/>
          <w:numId w:val="0"/>
        </w:numPr>
        <w:tabs>
          <w:tab w:val="left" w:pos="579"/>
        </w:tabs>
        <w:adjustRightInd w:val="0"/>
        <w:snapToGrid w:val="0"/>
        <w:ind w:left="0" w:firstLine="402" w:firstLineChars="200"/>
        <w:jc w:val="left"/>
        <w:rPr>
          <w:rFonts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</w:pPr>
      <w:r>
        <w:rPr>
          <w:rFonts w:hint="default" w:ascii="Wingdings" w:hAnsi="Wingdings" w:eastAsia="仿宋" w:cs="仿宋"/>
          <w:b/>
          <w:bCs/>
          <w:color w:val="auto"/>
          <w:kern w:val="0"/>
          <w:sz w:val="20"/>
          <w:szCs w:val="20"/>
          <w:highlight w:val="none"/>
          <w:lang w:val="en-US" w:eastAsia="zh-CN" w:bidi="ar-SA"/>
        </w:rPr>
        <w:t>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  <w:t>本次投标软件需支持国产处理器芯片，并提供与芯片产品的兼容性互认证证书。</w:t>
      </w:r>
    </w:p>
    <w:p w14:paraId="18328FBC">
      <w:pPr>
        <w:pStyle w:val="5"/>
        <w:widowControl/>
        <w:numPr>
          <w:ilvl w:val="0"/>
          <w:numId w:val="0"/>
        </w:numPr>
        <w:tabs>
          <w:tab w:val="left" w:pos="426"/>
          <w:tab w:val="left" w:pos="579"/>
        </w:tabs>
        <w:adjustRightInd w:val="0"/>
        <w:snapToGrid w:val="0"/>
        <w:ind w:left="0" w:firstLine="422" w:firstLineChars="200"/>
        <w:jc w:val="left"/>
        <w:rPr>
          <w:color w:val="auto"/>
          <w:highlight w:val="none"/>
        </w:rPr>
      </w:pPr>
      <w:r>
        <w:rPr>
          <w:rFonts w:hint="default" w:ascii="Wingdings" w:hAnsi="Wingdings" w:eastAsiaTheme="minorEastAsia" w:cstheme="minorBidi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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  <w:t>支持国产操作系统，兼容国产数据库，并提供产品的兼容性互认证证书或兼容承诺书。</w:t>
      </w:r>
    </w:p>
    <w:p w14:paraId="631D7D5D">
      <w:pPr>
        <w:widowControl/>
        <w:tabs>
          <w:tab w:val="left" w:pos="426"/>
        </w:tabs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  <w:highlight w:val="yellow"/>
        </w:rPr>
      </w:pPr>
      <w:r>
        <w:rPr>
          <w:rFonts w:hint="eastAsia" w:ascii="仿宋" w:hAnsi="仿宋" w:eastAsia="仿宋" w:cs="仿宋"/>
          <w:color w:val="auto"/>
          <w:kern w:val="0"/>
          <w:sz w:val="20"/>
          <w:szCs w:val="20"/>
          <w:highlight w:val="none"/>
        </w:rPr>
        <w:t>5。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  <w:highlight w:val="none"/>
        </w:rPr>
        <w:t>数据备份与恢复：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0"/>
          <w:szCs w:val="20"/>
          <w:highlight w:val="none"/>
        </w:rPr>
        <w:t>建立完善的数据备份策略，定期对系统数据进行备份，确保在数据丢失或损坏时能够及时恢复。</w:t>
      </w:r>
    </w:p>
    <w:p w14:paraId="574EA9C4">
      <w:pPr>
        <w:pStyle w:val="5"/>
        <w:widowControl/>
        <w:adjustRightInd w:val="0"/>
        <w:snapToGrid w:val="0"/>
        <w:ind w:firstLine="402"/>
        <w:jc w:val="left"/>
        <w:outlineLvl w:val="0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  <w:t>六、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培训与验收要求</w:t>
      </w:r>
    </w:p>
    <w:p w14:paraId="3BDD98B1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1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1培训服务</w:t>
      </w:r>
    </w:p>
    <w:p w14:paraId="6393ABF1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提供系统管理员、操作员、管理人员专项培训，培训内容包括系统操作、维护、数据分析。</w:t>
      </w:r>
    </w:p>
    <w:p w14:paraId="1AA0B472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培训方式包含集中授课、现场演示，讲师需具备 3 年以上 DRG 系统培训经验。</w:t>
      </w:r>
    </w:p>
    <w:p w14:paraId="03B71428">
      <w:pPr>
        <w:pStyle w:val="5"/>
        <w:widowControl/>
        <w:tabs>
          <w:tab w:val="left" w:pos="284"/>
        </w:tabs>
        <w:adjustRightInd w:val="0"/>
        <w:snapToGrid w:val="0"/>
        <w:ind w:firstLine="402"/>
        <w:jc w:val="left"/>
        <w:outlineLvl w:val="1"/>
        <w:rPr>
          <w:rFonts w:ascii="仿宋" w:hAnsi="仿宋" w:eastAsia="仿宋" w:cs="仿宋"/>
          <w:b/>
          <w:bCs/>
          <w:color w:val="auto"/>
          <w:kern w:val="0"/>
          <w:sz w:val="20"/>
          <w:szCs w:val="20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0"/>
          <w:szCs w:val="20"/>
        </w:rPr>
        <w:t>2验收标准</w:t>
      </w:r>
    </w:p>
    <w:p w14:paraId="46217EAD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系统功能需通过 500 + 病例实测，入组准确率≥95%，质控规则覆盖率≥98%。</w:t>
      </w:r>
    </w:p>
    <w:p w14:paraId="720A137F">
      <w:pPr>
        <w:widowControl/>
        <w:numPr>
          <w:ilvl w:val="1"/>
          <w:numId w:val="0"/>
        </w:numPr>
        <w:adjustRightInd w:val="0"/>
        <w:snapToGrid w:val="0"/>
        <w:ind w:firstLine="400" w:firstLineChars="200"/>
        <w:jc w:val="left"/>
        <w:rPr>
          <w:rFonts w:ascii="仿宋" w:hAnsi="仿宋" w:eastAsia="仿宋" w:cs="仿宋"/>
          <w:color w:val="auto"/>
          <w:kern w:val="0"/>
          <w:sz w:val="20"/>
          <w:szCs w:val="20"/>
        </w:rPr>
      </w:pPr>
      <w:r>
        <w:rPr>
          <w:rFonts w:ascii="Courier New" w:hAnsi="Courier New" w:eastAsia="仿宋" w:cs="仿宋"/>
          <w:color w:val="auto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系统上线试运行3个月后，中标人向采购人提交验收申请。采购人收到验收申请后组织验收，验收时中标人应无条件予以配合并提供验收所需的全部资料（资料包括货物产品的检测报告、软件著作权等），若中标人不配合或者未按合同要求提供服务的，采购人将拒绝验收。</w:t>
      </w:r>
    </w:p>
    <w:p w14:paraId="6962841B">
      <w:r>
        <w:rPr>
          <w:rFonts w:ascii="Courier New" w:hAnsi="Courier New" w:eastAsia="仿宋" w:cs="仿宋"/>
          <w:snapToGrid w:val="0"/>
          <w:color w:val="auto"/>
          <w:spacing w:val="-3"/>
          <w:kern w:val="0"/>
          <w:sz w:val="20"/>
          <w:szCs w:val="20"/>
        </w:rPr>
        <w:t>o</w:t>
      </w:r>
      <w:r>
        <w:rPr>
          <w:rFonts w:hint="eastAsia" w:ascii="仿宋" w:hAnsi="仿宋" w:eastAsia="仿宋" w:cs="仿宋"/>
          <w:color w:val="auto"/>
          <w:kern w:val="0"/>
          <w:sz w:val="20"/>
          <w:szCs w:val="20"/>
        </w:rPr>
        <w:t>硬件设备需提供原厂检测报告，软件需提供功能测试报告及用户手册。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B4F14"/>
    <w:rsid w:val="1B5B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2025-10-10T01:18:00Z</dcterms:created>
  <dc:creator>德仁招标</dc:creator>
  <cp:lastModifiedBy>德仁招标</cp:lastModifiedBy>
  <dcterms:modified xsi:type="dcterms:W3CDTF">2025-10-10T01:19:08Z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96B8D3AED9814DE4B539DE7531BC6181_11</vt:lpwstr>
  </property>
  <property fmtid="{D5CDD505-2E9C-101B-9397-08002B2CF9AE}" pid="4" name="KSOTemplateDocerSaveRecord">
    <vt:lpwstr>eyJoZGlkIjoiNzNmNDZlOGE4YzBiODhkNTY3NTdiYjNiMTljZmEwZTciLCJ1c2VySWQiOiIyNzQ5OTcwMTQifQ==</vt:lpwstr>
  </property>
</Properties>
</file>