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D3FB" w14:textId="17A641A9" w:rsidR="00AB62C3" w:rsidRPr="00AB62C3" w:rsidRDefault="00AB62C3" w:rsidP="00AB62C3">
      <w:pPr>
        <w:jc w:val="center"/>
        <w:rPr>
          <w:rFonts w:ascii="宋体" w:eastAsia="宋体" w:hAnsi="宋体"/>
          <w:sz w:val="28"/>
          <w:szCs w:val="28"/>
        </w:rPr>
      </w:pPr>
      <w:r w:rsidRPr="00AB62C3">
        <w:rPr>
          <w:rFonts w:ascii="宋体" w:eastAsia="宋体" w:hAnsi="宋体" w:hint="eastAsia"/>
          <w:sz w:val="28"/>
          <w:szCs w:val="28"/>
        </w:rPr>
        <w:t>技术参数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835"/>
        <w:gridCol w:w="6531"/>
      </w:tblGrid>
      <w:tr w:rsidR="00AB62C3" w:rsidRPr="00AB62C3" w14:paraId="7E9D0FC6" w14:textId="77777777" w:rsidTr="009B336C">
        <w:tc>
          <w:tcPr>
            <w:tcW w:w="959" w:type="dxa"/>
          </w:tcPr>
          <w:p w14:paraId="030F029F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62C3">
              <w:rPr>
                <w:rFonts w:ascii="宋体" w:eastAsia="宋体" w:hAnsi="宋体"/>
                <w:sz w:val="24"/>
                <w:szCs w:val="24"/>
              </w:rPr>
              <w:t>参数性质</w:t>
            </w:r>
          </w:p>
        </w:tc>
        <w:tc>
          <w:tcPr>
            <w:tcW w:w="850" w:type="dxa"/>
          </w:tcPr>
          <w:p w14:paraId="71E434F2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62C3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6713" w:type="dxa"/>
          </w:tcPr>
          <w:p w14:paraId="5AD0280B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62C3">
              <w:rPr>
                <w:rFonts w:ascii="宋体" w:eastAsia="宋体" w:hAnsi="宋体"/>
                <w:sz w:val="24"/>
                <w:szCs w:val="24"/>
              </w:rPr>
              <w:t>技术参数与性能指标</w:t>
            </w:r>
          </w:p>
        </w:tc>
      </w:tr>
      <w:tr w:rsidR="00AB62C3" w:rsidRPr="00AB62C3" w14:paraId="1D00D8F8" w14:textId="77777777" w:rsidTr="009B336C">
        <w:tc>
          <w:tcPr>
            <w:tcW w:w="959" w:type="dxa"/>
          </w:tcPr>
          <w:p w14:paraId="6A7320B4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5DBA8A4E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AB62C3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6713" w:type="dxa"/>
          </w:tcPr>
          <w:p w14:paraId="5858C846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1.原位微分电化学质谱主机：</w:t>
            </w:r>
          </w:p>
          <w:p w14:paraId="6107FB85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(1)四极杆质谱仪；</w:t>
            </w:r>
          </w:p>
          <w:p w14:paraId="0A491235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(2)离子源：EI电子轰击电离源；</w:t>
            </w:r>
          </w:p>
          <w:p w14:paraId="304C3C85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(3)质量数范围：1-100amu；</w:t>
            </w:r>
          </w:p>
          <w:p w14:paraId="77BA75CE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(4)最小检测分压：3*10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-15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mbar，（需提交最小检测分压测试截图或测试报告）；</w:t>
            </w:r>
          </w:p>
          <w:p w14:paraId="47466894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(5)灵敏度:＞5*10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-4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A/mbar（Faraday）、灵敏度≥4.61*10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-15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A/ppm（O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bscript"/>
              </w:rPr>
              <w:t>2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），（需提交灵敏度测试报告）；</w:t>
            </w:r>
          </w:p>
          <w:p w14:paraId="7326E2A2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(6)双检测器：法拉第杯，电子倍增器；</w:t>
            </w:r>
          </w:p>
          <w:p w14:paraId="35D15E22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(7)质谱系统操作软件，具备全扫描功能Scan，选择离子检测功能MID；</w:t>
            </w:r>
          </w:p>
          <w:p w14:paraId="3C150CCD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(8)前级泵为涡旋干泵，抽速12m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3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/h，最低真空至5*10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-3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mbar；</w:t>
            </w:r>
          </w:p>
          <w:p w14:paraId="0E98F522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(9)质谱工作站联用软件1套：一个软件打开，质谱数据采集界面与工作站电化学方法在同一界面显示，实现同步实时采集电化学信号和质谱数据信号。电化学工作站质谱同步数据采集软件中具备MCD（多浓度监测）、电位阶跃，LSV，CV，恒流充放电等功能（需提交联用软件界面截图）。</w:t>
            </w:r>
          </w:p>
        </w:tc>
      </w:tr>
      <w:tr w:rsidR="00AB62C3" w:rsidRPr="00AB62C3" w14:paraId="321D8FBD" w14:textId="77777777" w:rsidTr="009B336C">
        <w:tc>
          <w:tcPr>
            <w:tcW w:w="959" w:type="dxa"/>
          </w:tcPr>
          <w:p w14:paraId="44905DBD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7168E59D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713" w:type="dxa"/>
          </w:tcPr>
          <w:p w14:paraId="603D9C96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2.进样系统：</w:t>
            </w:r>
          </w:p>
          <w:p w14:paraId="36AD1DB4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(1)双层导流管式进样，外管直径≥19mm，含两个独立电化学池接口：待测样品进样接口和预检漏接口，可满足当前样品测试的同时，进行下一个样品的检漏测试（需提交进样系统截图）；</w:t>
            </w:r>
          </w:p>
          <w:p w14:paraId="2A595BDB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(2)旁抽机械泵，极限真空：6.7*10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-1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Pa；</w:t>
            </w:r>
          </w:p>
          <w:p w14:paraId="4125B5C1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(3)连接低温冷阱，温度可调节，最低温度-70℃，适配冷凝管两套；</w:t>
            </w:r>
          </w:p>
          <w:p w14:paraId="5EBA74BE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lastRenderedPageBreak/>
              <w:t>(4)进样系统控制阀门3套。</w:t>
            </w:r>
          </w:p>
        </w:tc>
      </w:tr>
      <w:tr w:rsidR="00AB62C3" w:rsidRPr="00AB62C3" w14:paraId="7D04470D" w14:textId="77777777" w:rsidTr="009B336C">
        <w:tc>
          <w:tcPr>
            <w:tcW w:w="959" w:type="dxa"/>
          </w:tcPr>
          <w:p w14:paraId="33202306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72EC5D17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713" w:type="dxa"/>
          </w:tcPr>
          <w:p w14:paraId="70BC393B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3.探针式电化学池：</w:t>
            </w:r>
          </w:p>
          <w:p w14:paraId="7FEC92A0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(1)高清视频显微镜，含高清显示器1套，空间分辨率＜20μm；</w:t>
            </w:r>
          </w:p>
          <w:p w14:paraId="31C2109E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(2)电极探针距离微调系统，千分尺微调，最小步阶10μm，可用于精确调节控制质谱采样探针距离工作电极之间的距离。</w:t>
            </w:r>
          </w:p>
        </w:tc>
      </w:tr>
      <w:tr w:rsidR="00AB62C3" w:rsidRPr="00AB62C3" w14:paraId="17E826FC" w14:textId="77777777" w:rsidTr="009B336C">
        <w:tc>
          <w:tcPr>
            <w:tcW w:w="959" w:type="dxa"/>
          </w:tcPr>
          <w:p w14:paraId="2826ACC5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6EBEBC88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713" w:type="dxa"/>
          </w:tcPr>
          <w:p w14:paraId="2653ABBD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4.经典电化学池：</w:t>
            </w:r>
          </w:p>
          <w:p w14:paraId="72F02EB9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(1)适用于粉末催化剂，同位素标记实验，光电催化反应等；</w:t>
            </w:r>
          </w:p>
          <w:p w14:paraId="033D70D6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(2)适用于电解液体积1mL–2mL实验（提供相关证明材料，不限于产品彩页、官网截图、第三方检测报告等）；</w:t>
            </w:r>
          </w:p>
          <w:p w14:paraId="671E7E82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(3)响应速度小于1s，收集效率＞95%。</w:t>
            </w:r>
          </w:p>
        </w:tc>
      </w:tr>
      <w:tr w:rsidR="00AB62C3" w:rsidRPr="00AB62C3" w14:paraId="5462E586" w14:textId="77777777" w:rsidTr="009B336C">
        <w:tc>
          <w:tcPr>
            <w:tcW w:w="959" w:type="dxa"/>
          </w:tcPr>
          <w:p w14:paraId="402C4F4A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7EEA9721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713" w:type="dxa"/>
          </w:tcPr>
          <w:p w14:paraId="08B4D79C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5.气体扩散电极DEMS电化学池1套：</w:t>
            </w:r>
          </w:p>
          <w:p w14:paraId="1CC030A6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（1）气体扩散电极构造，大电流密度，PEEK和不锈钢材质，圆形池体，直径≤60mm，高度≤45mm，并配置池子配件一套，现场测试信号好（需提交电化学池图片证明）；</w:t>
            </w:r>
          </w:p>
          <w:p w14:paraId="141713E5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（2）气相产物和挥发性液相产物均可检测。</w:t>
            </w:r>
          </w:p>
        </w:tc>
      </w:tr>
      <w:tr w:rsidR="00AB62C3" w:rsidRPr="00AB62C3" w14:paraId="7F5F1B95" w14:textId="77777777" w:rsidTr="009B336C">
        <w:tc>
          <w:tcPr>
            <w:tcW w:w="959" w:type="dxa"/>
          </w:tcPr>
          <w:p w14:paraId="710C1B65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7883EA19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713" w:type="dxa"/>
          </w:tcPr>
          <w:p w14:paraId="77B8BD63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6.原位电化学红外附件：</w:t>
            </w:r>
          </w:p>
          <w:p w14:paraId="054665FF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单次反射红外光路附件；</w:t>
            </w:r>
          </w:p>
          <w:p w14:paraId="78C391D1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镀金反射镜；入射角：60°；</w:t>
            </w:r>
          </w:p>
          <w:p w14:paraId="01BE093F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内反射和外反射模式；</w:t>
            </w:r>
          </w:p>
          <w:p w14:paraId="72757559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PEEK材质晶体盘1套：适配晶体尺寸直径20mm，能适配氟化钙窗片，（提供相关证明材料，不限于产品彩页、官网截图、第三方检测报告等）；</w:t>
            </w:r>
          </w:p>
          <w:p w14:paraId="1F23D1C5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电催化应用：玻璃H池1只，PEEK材质池体1只，原位电化学质谱与原位红外联用池1只（需提交联用技术相关证明文件）；</w:t>
            </w:r>
          </w:p>
          <w:p w14:paraId="3C33357A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lastRenderedPageBreak/>
              <w:t>金刚石原位红外质谱联用池一套：PEEK和不锈钢材质晶体盘，长*宽50mm*30mm，波数范围：525-4000cm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-1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，pH值范围：1-14，可扩展原位红外联用功能（提供相关证明材料，不限于产品彩页、官网截图、第三方检测报告等）；</w:t>
            </w:r>
          </w:p>
          <w:p w14:paraId="13976B08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单晶硅晶体2颗，波数范围：1200-4000cm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-1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，pH值范围：1-12；</w:t>
            </w:r>
          </w:p>
          <w:p w14:paraId="32F1BFFD" w14:textId="77777777" w:rsidR="00AB62C3" w:rsidRPr="00AB62C3" w:rsidRDefault="00AB62C3" w:rsidP="00AB62C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氟化钙晶体2片，波数范围：1100-4000cm</w:t>
            </w:r>
            <w:r w:rsidRPr="00AB62C3">
              <w:rPr>
                <w:rFonts w:ascii="宋体" w:eastAsia="宋体" w:hAnsi="宋体" w:cs="宋体"/>
                <w:sz w:val="24"/>
                <w:szCs w:val="24"/>
                <w:vertAlign w:val="superscript"/>
              </w:rPr>
              <w:t>-1</w:t>
            </w:r>
            <w:r w:rsidRPr="00AB62C3">
              <w:rPr>
                <w:rFonts w:ascii="宋体" w:eastAsia="宋体" w:hAnsi="宋体" w:cs="宋体"/>
                <w:sz w:val="24"/>
                <w:szCs w:val="24"/>
              </w:rPr>
              <w:t>，pH值范围：5-8。</w:t>
            </w:r>
          </w:p>
        </w:tc>
      </w:tr>
      <w:tr w:rsidR="00AB62C3" w:rsidRPr="00AB62C3" w14:paraId="0D759DCB" w14:textId="77777777" w:rsidTr="009B336C">
        <w:tc>
          <w:tcPr>
            <w:tcW w:w="959" w:type="dxa"/>
          </w:tcPr>
          <w:p w14:paraId="7EB218B0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116A17FE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AB62C3">
              <w:rPr>
                <w:rFonts w:ascii="宋体" w:eastAsia="宋体" w:hAnsi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713" w:type="dxa"/>
          </w:tcPr>
          <w:p w14:paraId="2E272F16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备注：1、以上所有技术指标必须满足要求没有负偏离，否则按无效文件处理；</w:t>
            </w:r>
          </w:p>
          <w:p w14:paraId="3046213B" w14:textId="77777777" w:rsidR="00AB62C3" w:rsidRPr="00AB62C3" w:rsidRDefault="00AB62C3" w:rsidP="009B336C">
            <w:pPr>
              <w:pStyle w:val="null3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AB62C3">
              <w:rPr>
                <w:rFonts w:ascii="宋体" w:eastAsia="宋体" w:hAnsi="宋体" w:cs="宋体"/>
                <w:sz w:val="24"/>
                <w:szCs w:val="24"/>
              </w:rPr>
              <w:t>2、要求提供佐证材料的必须提供，否则视为负偏离，按无效文件处理。</w:t>
            </w:r>
          </w:p>
        </w:tc>
      </w:tr>
    </w:tbl>
    <w:p w14:paraId="6ED52C3D" w14:textId="77777777" w:rsidR="00AB62C3" w:rsidRPr="00AB62C3" w:rsidRDefault="00AB62C3">
      <w:pPr>
        <w:rPr>
          <w:rFonts w:ascii="宋体" w:eastAsia="宋体" w:hAnsi="宋体" w:hint="eastAsia"/>
          <w:sz w:val="24"/>
        </w:rPr>
      </w:pPr>
    </w:p>
    <w:sectPr w:rsidR="00AB62C3" w:rsidRPr="00AB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AC84C8"/>
    <w:multiLevelType w:val="singleLevel"/>
    <w:tmpl w:val="ACAC84C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118235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3"/>
    <w:rsid w:val="00AB62C3"/>
    <w:rsid w:val="00E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30B0"/>
  <w15:chartTrackingRefBased/>
  <w15:docId w15:val="{76E41C21-0890-4C2B-8E7C-0A33DE7E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2C3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hidden/>
    <w:qFormat/>
    <w:rsid w:val="00AB62C3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AB62C3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705</Characters>
  <Application>Microsoft Office Word</Application>
  <DocSecurity>0</DocSecurity>
  <Lines>88</Lines>
  <Paragraphs>63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2025-10-11T03:50:00Z</dcterms:created>
  <dcterms:modified xsi:type="dcterms:W3CDTF">2025-10-11T03:50:00Z</dcterms:modified>
</cp:coreProperties>
</file>