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F5890">
      <w:pPr>
        <w:adjustRightInd w:val="0"/>
        <w:snapToGrid w:val="0"/>
        <w:spacing w:line="360" w:lineRule="auto"/>
        <w:jc w:val="right"/>
        <w:rPr>
          <w:rFonts w:ascii="宋体" w:cs="Times New Roman"/>
          <w:b/>
          <w:bCs/>
          <w:color w:val="auto"/>
          <w:sz w:val="30"/>
          <w:szCs w:val="30"/>
        </w:rPr>
      </w:pPr>
      <w:bookmarkStart w:id="0" w:name="OLE_LINK9"/>
      <w:r>
        <w:rPr>
          <w:rFonts w:hint="eastAsia" w:ascii="宋体" w:hAnsi="宋体" w:cs="宋体"/>
          <w:b/>
          <w:bCs/>
          <w:color w:val="auto"/>
          <w:sz w:val="30"/>
          <w:szCs w:val="30"/>
          <w:lang w:val="en-US" w:eastAsia="zh-CN"/>
        </w:rPr>
        <w:t xml:space="preserve">         </w:t>
      </w:r>
      <w:r>
        <w:rPr>
          <w:rFonts w:hint="eastAsia" w:ascii="宋体" w:hAnsi="宋体" w:cs="宋体"/>
          <w:b/>
          <w:bCs/>
          <w:color w:val="auto"/>
          <w:sz w:val="30"/>
          <w:szCs w:val="30"/>
        </w:rPr>
        <w:t>政府采购项目</w:t>
      </w:r>
    </w:p>
    <w:p w14:paraId="11CEB980">
      <w:pPr>
        <w:tabs>
          <w:tab w:val="left" w:pos="7400"/>
        </w:tabs>
        <w:adjustRightInd w:val="0"/>
        <w:snapToGrid w:val="0"/>
        <w:spacing w:line="360" w:lineRule="auto"/>
        <w:rPr>
          <w:rFonts w:ascii="宋体" w:cs="Times New Roman"/>
          <w:b/>
          <w:bCs/>
          <w:sz w:val="44"/>
          <w:szCs w:val="44"/>
        </w:rPr>
      </w:pPr>
      <w:r>
        <w:rPr>
          <w:rFonts w:hint="eastAsia" w:ascii="宋体" w:hAnsi="宋体" w:cs="宋体"/>
          <w:b/>
          <w:bCs/>
          <w:color w:val="auto"/>
          <w:sz w:val="30"/>
          <w:szCs w:val="30"/>
        </w:rPr>
        <w:t>项目编号：</w:t>
      </w:r>
      <w:r>
        <w:rPr>
          <w:rFonts w:hint="eastAsia" w:ascii="宋体" w:hAnsi="宋体" w:cs="宋体"/>
          <w:b/>
          <w:bCs/>
          <w:color w:val="auto"/>
          <w:sz w:val="30"/>
          <w:szCs w:val="30"/>
          <w:lang w:eastAsia="zh-CN"/>
        </w:rPr>
        <w:t>AKSH2025-ZCS-123</w:t>
      </w:r>
      <w:r>
        <w:rPr>
          <w:rFonts w:hint="eastAsia" w:ascii="宋体" w:cs="Times New Roman"/>
          <w:b/>
          <w:bCs/>
          <w:sz w:val="44"/>
          <w:szCs w:val="44"/>
        </w:rPr>
        <w:tab/>
      </w:r>
    </w:p>
    <w:p w14:paraId="26B5D9AE">
      <w:pPr>
        <w:pStyle w:val="2"/>
      </w:pPr>
    </w:p>
    <w:p w14:paraId="5A92BCE3">
      <w:pPr>
        <w:pStyle w:val="2"/>
      </w:pPr>
    </w:p>
    <w:p w14:paraId="5CB933B6">
      <w:pPr>
        <w:pStyle w:val="2"/>
      </w:pPr>
    </w:p>
    <w:p w14:paraId="5BD99E9E">
      <w:pPr>
        <w:pStyle w:val="21"/>
        <w:jc w:val="center"/>
        <w:rPr>
          <w:rFonts w:hint="default"/>
          <w:sz w:val="16"/>
          <w:szCs w:val="16"/>
          <w:lang w:val="en-US"/>
        </w:rPr>
      </w:pPr>
      <w:bookmarkStart w:id="1" w:name="OLE_LINK5"/>
      <w:r>
        <w:rPr>
          <w:rFonts w:hint="eastAsia" w:ascii="宋体" w:hAnsi="宋体" w:cs="宋体"/>
          <w:b/>
          <w:bCs/>
          <w:color w:val="auto"/>
          <w:kern w:val="2"/>
          <w:sz w:val="52"/>
          <w:szCs w:val="52"/>
          <w:lang w:val="en-US" w:eastAsia="zh-CN" w:bidi="ar-SA"/>
        </w:rPr>
        <w:t xml:space="preserve"> </w:t>
      </w:r>
      <w:bookmarkStart w:id="2" w:name="OLE_LINK26"/>
      <w:r>
        <w:rPr>
          <w:rFonts w:hint="eastAsia" w:ascii="宋体" w:hAnsi="宋体" w:cs="宋体"/>
          <w:b/>
          <w:bCs/>
          <w:color w:val="auto"/>
          <w:kern w:val="2"/>
          <w:sz w:val="52"/>
          <w:szCs w:val="52"/>
          <w:lang w:val="en-US" w:eastAsia="zh-CN" w:bidi="ar-SA"/>
        </w:rPr>
        <w:t>恒口示范区梁沟村便民桥建设工程</w:t>
      </w:r>
    </w:p>
    <w:bookmarkEnd w:id="1"/>
    <w:bookmarkEnd w:id="2"/>
    <w:p w14:paraId="15DD90EB">
      <w:pPr>
        <w:pStyle w:val="21"/>
      </w:pPr>
    </w:p>
    <w:p w14:paraId="5A9514B5">
      <w:pPr>
        <w:pStyle w:val="21"/>
      </w:pPr>
    </w:p>
    <w:p w14:paraId="23B2E15D">
      <w:pPr>
        <w:pStyle w:val="21"/>
      </w:pPr>
    </w:p>
    <w:p w14:paraId="0DEA2D0E">
      <w:pPr>
        <w:pStyle w:val="21"/>
      </w:pPr>
    </w:p>
    <w:p w14:paraId="4A18017E">
      <w:pPr>
        <w:pStyle w:val="21"/>
      </w:pPr>
    </w:p>
    <w:p w14:paraId="030CB834">
      <w:pPr>
        <w:pStyle w:val="21"/>
      </w:pPr>
    </w:p>
    <w:p w14:paraId="0E4785B5">
      <w:pPr>
        <w:pStyle w:val="21"/>
      </w:pPr>
    </w:p>
    <w:p w14:paraId="7DC5F011">
      <w:pPr>
        <w:adjustRightInd w:val="0"/>
        <w:snapToGrid w:val="0"/>
        <w:spacing w:line="360" w:lineRule="auto"/>
        <w:jc w:val="left"/>
        <w:rPr>
          <w:rFonts w:ascii="宋体" w:cs="Times New Roman"/>
          <w:b/>
          <w:bCs/>
          <w:sz w:val="52"/>
          <w:szCs w:val="52"/>
        </w:rPr>
      </w:pPr>
      <w:r>
        <w:rPr>
          <w:rFonts w:hint="eastAsia"/>
        </w:rPr>
        <w:drawing>
          <wp:anchor distT="0" distB="0" distL="114300" distR="114300" simplePos="0" relativeHeight="251660288" behindDoc="0" locked="0" layoutInCell="1" allowOverlap="1">
            <wp:simplePos x="0" y="0"/>
            <wp:positionH relativeFrom="column">
              <wp:posOffset>2165350</wp:posOffset>
            </wp:positionH>
            <wp:positionV relativeFrom="paragraph">
              <wp:posOffset>181610</wp:posOffset>
            </wp:positionV>
            <wp:extent cx="1504315" cy="1089025"/>
            <wp:effectExtent l="0" t="0" r="635" b="15875"/>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33"/>
                    <a:stretch>
                      <a:fillRect/>
                    </a:stretch>
                  </pic:blipFill>
                  <pic:spPr>
                    <a:xfrm>
                      <a:off x="0" y="0"/>
                      <a:ext cx="1504315" cy="1089025"/>
                    </a:xfrm>
                    <a:prstGeom prst="rect">
                      <a:avLst/>
                    </a:prstGeom>
                  </pic:spPr>
                </pic:pic>
              </a:graphicData>
            </a:graphic>
          </wp:anchor>
        </w:drawing>
      </w:r>
      <w:r>
        <w:rPr>
          <w:rFonts w:hint="eastAsia" w:ascii="宋体" w:cs="Times New Roman"/>
          <w:b/>
          <w:bCs/>
          <w:sz w:val="52"/>
          <w:szCs w:val="52"/>
        </w:rPr>
        <w:t xml:space="preserve"> </w:t>
      </w:r>
    </w:p>
    <w:p w14:paraId="4B369401">
      <w:pPr>
        <w:adjustRightInd w:val="0"/>
        <w:snapToGrid w:val="0"/>
        <w:spacing w:line="360" w:lineRule="auto"/>
        <w:jc w:val="left"/>
        <w:rPr>
          <w:rFonts w:hint="eastAsia" w:ascii="宋体" w:cs="Times New Roman"/>
          <w:b/>
          <w:bCs/>
          <w:sz w:val="52"/>
          <w:szCs w:val="52"/>
        </w:rPr>
      </w:pPr>
      <w:r>
        <w:rPr>
          <w:rFonts w:hint="eastAsia" w:ascii="宋体" w:cs="Times New Roman"/>
          <w:b/>
          <w:bCs/>
          <w:sz w:val="52"/>
          <w:szCs w:val="52"/>
        </w:rPr>
        <w:t xml:space="preserve">         </w:t>
      </w:r>
    </w:p>
    <w:p w14:paraId="494C6752">
      <w:pPr>
        <w:adjustRightInd w:val="0"/>
        <w:snapToGrid w:val="0"/>
        <w:spacing w:line="360" w:lineRule="auto"/>
        <w:jc w:val="left"/>
        <w:rPr>
          <w:rFonts w:hint="eastAsia" w:ascii="宋体" w:cs="Times New Roman"/>
          <w:b/>
          <w:bCs/>
          <w:sz w:val="52"/>
          <w:szCs w:val="52"/>
        </w:rPr>
      </w:pPr>
    </w:p>
    <w:p w14:paraId="01931B41">
      <w:pPr>
        <w:pStyle w:val="30"/>
        <w:rPr>
          <w:rFonts w:hint="eastAsia"/>
        </w:rPr>
      </w:pPr>
    </w:p>
    <w:p w14:paraId="5150A52F">
      <w:pPr>
        <w:tabs>
          <w:tab w:val="left" w:pos="0"/>
        </w:tabs>
        <w:adjustRightInd w:val="0"/>
        <w:snapToGrid w:val="0"/>
        <w:spacing w:line="360" w:lineRule="auto"/>
        <w:jc w:val="center"/>
        <w:rPr>
          <w:rFonts w:ascii="宋体" w:hAnsi="宋体" w:cs="宋体"/>
          <w:b/>
          <w:bCs/>
          <w:sz w:val="56"/>
          <w:szCs w:val="56"/>
        </w:rPr>
      </w:pPr>
      <w:r>
        <w:rPr>
          <w:rFonts w:hint="eastAsia" w:ascii="宋体" w:hAnsi="宋体" w:cs="宋体"/>
          <w:b/>
          <w:bCs/>
          <w:sz w:val="56"/>
          <w:szCs w:val="56"/>
        </w:rPr>
        <w:t>竞争性磋商文件</w:t>
      </w:r>
    </w:p>
    <w:p w14:paraId="2F9E270E"/>
    <w:p w14:paraId="10D16F62">
      <w:pPr>
        <w:pStyle w:val="21"/>
      </w:pPr>
    </w:p>
    <w:p w14:paraId="77E04283">
      <w:pPr>
        <w:pStyle w:val="21"/>
      </w:pPr>
    </w:p>
    <w:p w14:paraId="4657A22F">
      <w:pPr>
        <w:pStyle w:val="21"/>
      </w:pPr>
    </w:p>
    <w:p w14:paraId="5CDFDE5A">
      <w:pPr>
        <w:pStyle w:val="21"/>
      </w:pPr>
    </w:p>
    <w:p w14:paraId="4E5463F5">
      <w:pPr>
        <w:pStyle w:val="21"/>
      </w:pPr>
    </w:p>
    <w:p w14:paraId="6CD9B422">
      <w:pPr>
        <w:pStyle w:val="21"/>
      </w:pPr>
    </w:p>
    <w:p w14:paraId="4679D084">
      <w:pPr>
        <w:pStyle w:val="21"/>
      </w:pPr>
    </w:p>
    <w:p w14:paraId="171FE439">
      <w:pPr>
        <w:keepNext w:val="0"/>
        <w:keepLines w:val="0"/>
        <w:pageBreakBefore w:val="0"/>
        <w:widowControl w:val="0"/>
        <w:kinsoku/>
        <w:wordWrap/>
        <w:overflowPunct/>
        <w:topLinePunct w:val="0"/>
        <w:autoSpaceDE/>
        <w:autoSpaceDN/>
        <w:bidi w:val="0"/>
        <w:adjustRightInd w:val="0"/>
        <w:snapToGrid w:val="0"/>
        <w:spacing w:line="480" w:lineRule="auto"/>
        <w:ind w:firstLine="1205" w:firstLineChars="400"/>
        <w:jc w:val="left"/>
        <w:textAlignment w:val="auto"/>
        <w:rPr>
          <w:rFonts w:hint="eastAsia"/>
        </w:rPr>
      </w:pPr>
      <w:r>
        <w:rPr>
          <w:rFonts w:hint="eastAsia" w:ascii="宋体" w:hAnsi="宋体" w:cs="宋体"/>
          <w:b/>
          <w:bCs/>
          <w:sz w:val="30"/>
          <w:szCs w:val="30"/>
        </w:rPr>
        <w:t>采</w:t>
      </w:r>
      <w:r>
        <w:rPr>
          <w:rFonts w:hint="eastAsia" w:ascii="宋体" w:hAnsi="宋体" w:cs="宋体"/>
          <w:b/>
          <w:bCs/>
          <w:sz w:val="30"/>
          <w:szCs w:val="30"/>
          <w:lang w:val="en-US" w:eastAsia="zh-CN"/>
        </w:rPr>
        <w:t xml:space="preserve"> </w:t>
      </w:r>
      <w:r>
        <w:rPr>
          <w:rFonts w:hint="eastAsia" w:ascii="宋体" w:hAnsi="宋体" w:cs="宋体"/>
          <w:b/>
          <w:bCs/>
          <w:sz w:val="30"/>
          <w:szCs w:val="30"/>
        </w:rPr>
        <w:t>购</w:t>
      </w:r>
      <w:r>
        <w:rPr>
          <w:rFonts w:hint="eastAsia" w:ascii="宋体" w:hAnsi="宋体" w:cs="宋体"/>
          <w:b/>
          <w:bCs/>
          <w:sz w:val="30"/>
          <w:szCs w:val="30"/>
          <w:lang w:val="en-US" w:eastAsia="zh-CN"/>
        </w:rPr>
        <w:t xml:space="preserve"> </w:t>
      </w:r>
      <w:r>
        <w:rPr>
          <w:rFonts w:hint="eastAsia" w:ascii="宋体" w:hAnsi="宋体" w:cs="宋体"/>
          <w:b/>
          <w:bCs/>
          <w:sz w:val="30"/>
          <w:szCs w:val="30"/>
        </w:rPr>
        <w:t>人：</w:t>
      </w:r>
      <w:bookmarkStart w:id="3" w:name="OLE_LINK12"/>
      <w:r>
        <w:rPr>
          <w:rFonts w:hint="eastAsia" w:ascii="宋体" w:hAnsi="宋体" w:cs="宋体"/>
          <w:b/>
          <w:bCs/>
          <w:sz w:val="30"/>
          <w:szCs w:val="30"/>
          <w:lang w:val="en-US" w:eastAsia="zh-CN"/>
        </w:rPr>
        <w:t>安康市恒口示范区（试验区）住房和城乡建设局</w:t>
      </w:r>
    </w:p>
    <w:bookmarkEnd w:id="3"/>
    <w:p w14:paraId="74D55148">
      <w:pPr>
        <w:keepNext w:val="0"/>
        <w:keepLines w:val="0"/>
        <w:pageBreakBefore w:val="0"/>
        <w:widowControl w:val="0"/>
        <w:kinsoku/>
        <w:wordWrap/>
        <w:overflowPunct/>
        <w:topLinePunct w:val="0"/>
        <w:autoSpaceDE/>
        <w:autoSpaceDN/>
        <w:bidi w:val="0"/>
        <w:adjustRightInd w:val="0"/>
        <w:snapToGrid w:val="0"/>
        <w:spacing w:line="480" w:lineRule="auto"/>
        <w:ind w:firstLine="1205" w:firstLineChars="400"/>
        <w:jc w:val="left"/>
        <w:textAlignment w:val="auto"/>
        <w:rPr>
          <w:rFonts w:ascii="宋体" w:hAnsi="宋体" w:cs="宋体"/>
          <w:b/>
          <w:bCs/>
          <w:sz w:val="30"/>
          <w:szCs w:val="30"/>
        </w:rPr>
      </w:pPr>
      <w:r>
        <w:rPr>
          <w:rFonts w:hint="eastAsia" w:ascii="宋体" w:hAnsi="宋体" w:cs="宋体"/>
          <w:b/>
          <w:bCs/>
          <w:sz w:val="30"/>
          <w:szCs w:val="30"/>
        </w:rPr>
        <w:t>代理机构：安康尚昊招标代理有限公司</w:t>
      </w:r>
    </w:p>
    <w:p w14:paraId="3C075EF8">
      <w:pPr>
        <w:keepNext w:val="0"/>
        <w:keepLines w:val="0"/>
        <w:pageBreakBefore w:val="0"/>
        <w:widowControl w:val="0"/>
        <w:kinsoku/>
        <w:wordWrap/>
        <w:overflowPunct/>
        <w:topLinePunct w:val="0"/>
        <w:autoSpaceDE/>
        <w:autoSpaceDN/>
        <w:bidi w:val="0"/>
        <w:adjustRightInd w:val="0"/>
        <w:snapToGrid w:val="0"/>
        <w:spacing w:line="480" w:lineRule="auto"/>
        <w:ind w:firstLine="1205" w:firstLineChars="400"/>
        <w:jc w:val="left"/>
        <w:textAlignment w:val="auto"/>
        <w:rPr>
          <w:rFonts w:ascii="宋体" w:cs="Times New Roman"/>
          <w:b/>
          <w:bCs/>
          <w:sz w:val="30"/>
          <w:szCs w:val="30"/>
        </w:rPr>
        <w:sectPr>
          <w:headerReference r:id="rId4" w:type="first"/>
          <w:headerReference r:id="rId3" w:type="default"/>
          <w:footerReference r:id="rId5" w:type="default"/>
          <w:pgSz w:w="11906" w:h="16838"/>
          <w:pgMar w:top="1417" w:right="1417" w:bottom="1417" w:left="1417" w:header="992" w:footer="992" w:gutter="0"/>
          <w:cols w:space="0" w:num="1"/>
          <w:titlePg/>
          <w:rtlGutter w:val="0"/>
          <w:docGrid w:type="lines" w:linePitch="333" w:charSpace="0"/>
        </w:sectPr>
      </w:pPr>
      <w:r>
        <w:rPr>
          <w:rFonts w:hint="eastAsia" w:ascii="宋体" w:hAnsi="宋体" w:cs="宋体"/>
          <w:b/>
          <w:bCs/>
          <w:sz w:val="30"/>
          <w:szCs w:val="30"/>
          <w:lang w:val="en-US" w:eastAsia="zh-CN"/>
        </w:rPr>
        <w:t>时    间：二〇</w:t>
      </w:r>
      <w:r>
        <w:rPr>
          <w:rFonts w:ascii="宋体" w:hAnsi="宋体" w:cs="宋体"/>
          <w:b/>
          <w:bCs/>
          <w:sz w:val="30"/>
          <w:szCs w:val="30"/>
        </w:rPr>
        <w:t>二</w:t>
      </w:r>
      <w:r>
        <w:rPr>
          <w:rFonts w:hint="eastAsia" w:ascii="宋体" w:hAnsi="宋体" w:cs="宋体"/>
          <w:b/>
          <w:bCs/>
          <w:sz w:val="30"/>
          <w:szCs w:val="30"/>
          <w:lang w:val="en-US" w:eastAsia="zh-CN"/>
        </w:rPr>
        <w:t>五</w:t>
      </w:r>
      <w:r>
        <w:rPr>
          <w:rFonts w:hint="eastAsia" w:ascii="宋体" w:hAnsi="宋体" w:cs="宋体"/>
          <w:b/>
          <w:bCs/>
          <w:sz w:val="30"/>
          <w:szCs w:val="30"/>
        </w:rPr>
        <w:t>年</w:t>
      </w:r>
      <w:r>
        <w:rPr>
          <w:rFonts w:hint="eastAsia" w:ascii="宋体" w:hAnsi="宋体" w:cs="宋体"/>
          <w:b/>
          <w:bCs/>
          <w:sz w:val="30"/>
          <w:szCs w:val="30"/>
          <w:lang w:val="en-US" w:eastAsia="zh-CN"/>
        </w:rPr>
        <w:t>九</w:t>
      </w:r>
      <w:r>
        <w:rPr>
          <w:rFonts w:hint="eastAsia" w:ascii="宋体" w:hAnsi="宋体" w:cs="宋体"/>
          <w:b/>
          <w:bCs/>
          <w:sz w:val="30"/>
          <w:szCs w:val="30"/>
        </w:rPr>
        <w:t>月</w:t>
      </w:r>
    </w:p>
    <w:p w14:paraId="3BB099A0">
      <w:pPr>
        <w:pStyle w:val="24"/>
        <w:tabs>
          <w:tab w:val="center" w:pos="4819"/>
          <w:tab w:val="left" w:pos="6069"/>
          <w:tab w:val="right" w:leader="dot" w:pos="8306"/>
        </w:tabs>
        <w:spacing w:before="0" w:after="0" w:line="480" w:lineRule="exact"/>
        <w:rPr>
          <w:rFonts w:ascii="宋体" w:hAnsi="宋体" w:cs="宋体"/>
          <w:b w:val="0"/>
          <w:bCs w:val="0"/>
          <w:sz w:val="48"/>
          <w:szCs w:val="52"/>
        </w:rPr>
      </w:pPr>
      <w:r>
        <w:rPr>
          <w:rFonts w:ascii="宋体" w:hAnsi="宋体" w:cs="宋体"/>
          <w:b w:val="0"/>
          <w:bCs w:val="0"/>
          <w:sz w:val="48"/>
          <w:szCs w:val="52"/>
        </w:rPr>
        <w:tab/>
      </w:r>
    </w:p>
    <w:p w14:paraId="1679C762">
      <w:pPr>
        <w:pStyle w:val="24"/>
        <w:tabs>
          <w:tab w:val="center" w:pos="4819"/>
          <w:tab w:val="left" w:pos="6069"/>
          <w:tab w:val="right" w:leader="dot" w:pos="8306"/>
        </w:tabs>
        <w:spacing w:before="0" w:after="0" w:line="480" w:lineRule="exact"/>
        <w:jc w:val="center"/>
        <w:rPr>
          <w:rFonts w:ascii="宋体" w:hAnsi="宋体" w:cs="宋体"/>
          <w:b w:val="0"/>
          <w:bCs w:val="0"/>
          <w:sz w:val="48"/>
          <w:szCs w:val="52"/>
        </w:rPr>
      </w:pPr>
      <w:r>
        <w:rPr>
          <w:rFonts w:hint="eastAsia" w:ascii="宋体" w:hAnsi="宋体" w:cs="宋体"/>
          <w:b/>
          <w:bCs/>
          <w:sz w:val="48"/>
          <w:szCs w:val="52"/>
        </w:rPr>
        <w:t xml:space="preserve">目 </w:t>
      </w:r>
      <w:r>
        <w:rPr>
          <w:rFonts w:ascii="宋体" w:hAnsi="宋体" w:cs="宋体"/>
          <w:b/>
          <w:bCs/>
          <w:sz w:val="48"/>
          <w:szCs w:val="52"/>
        </w:rPr>
        <w:t xml:space="preserve"> </w:t>
      </w:r>
      <w:r>
        <w:rPr>
          <w:rFonts w:hint="eastAsia" w:ascii="宋体" w:hAnsi="宋体" w:cs="宋体"/>
          <w:b/>
          <w:bCs/>
          <w:sz w:val="48"/>
          <w:szCs w:val="52"/>
        </w:rPr>
        <w:t>录</w:t>
      </w:r>
    </w:p>
    <w:p w14:paraId="042AA595"/>
    <w:p w14:paraId="457F8C3A"/>
    <w:p w14:paraId="66012421"/>
    <w:p w14:paraId="33615BBE"/>
    <w:p w14:paraId="114FE1B6">
      <w:pPr>
        <w:pStyle w:val="24"/>
        <w:tabs>
          <w:tab w:val="right" w:leader="dot" w:pos="9072"/>
        </w:tabs>
        <w:rPr>
          <w:rFonts w:hint="eastAsia" w:ascii="宋体" w:hAnsi="宋体" w:eastAsia="宋体" w:cs="宋体"/>
          <w:sz w:val="30"/>
          <w:szCs w:val="30"/>
        </w:rPr>
      </w:pPr>
      <w:bookmarkStart w:id="4" w:name="_Toc536202282"/>
      <w:bookmarkStart w:id="5" w:name="_Toc536429369"/>
      <w:bookmarkStart w:id="6" w:name="_Toc536202376"/>
      <w:bookmarkStart w:id="7" w:name="_Toc19543333"/>
      <w:bookmarkStart w:id="8" w:name="OLE_LINK3"/>
      <w:bookmarkStart w:id="9" w:name="_Toc438048787"/>
      <w:bookmarkStart w:id="10" w:name="_Toc30089"/>
      <w:r>
        <w:rPr>
          <w:rFonts w:hint="eastAsia" w:ascii="宋体" w:hAnsi="宋体" w:eastAsia="宋体" w:cs="宋体"/>
          <w:caps w:val="0"/>
          <w:sz w:val="30"/>
          <w:szCs w:val="30"/>
        </w:rPr>
        <w:fldChar w:fldCharType="begin"/>
      </w:r>
      <w:r>
        <w:rPr>
          <w:rFonts w:hint="eastAsia" w:ascii="宋体" w:hAnsi="宋体" w:eastAsia="宋体" w:cs="宋体"/>
          <w:caps w:val="0"/>
          <w:sz w:val="30"/>
          <w:szCs w:val="30"/>
        </w:rPr>
        <w:instrText xml:space="preserve"> TOC \o "1-1" \h \z \u </w:instrText>
      </w:r>
      <w:r>
        <w:rPr>
          <w:rFonts w:hint="eastAsia" w:ascii="宋体" w:hAnsi="宋体" w:eastAsia="宋体" w:cs="宋体"/>
          <w:caps w:val="0"/>
          <w:sz w:val="30"/>
          <w:szCs w:val="30"/>
        </w:rPr>
        <w:fldChar w:fldCharType="separate"/>
      </w:r>
      <w:r>
        <w:rPr>
          <w:rFonts w:hint="eastAsia" w:ascii="宋体" w:hAnsi="宋体" w:eastAsia="宋体" w:cs="宋体"/>
          <w:caps w:val="0"/>
          <w:sz w:val="30"/>
          <w:szCs w:val="30"/>
        </w:rPr>
        <w:fldChar w:fldCharType="begin"/>
      </w:r>
      <w:r>
        <w:rPr>
          <w:rFonts w:hint="eastAsia" w:ascii="宋体" w:hAnsi="宋体" w:eastAsia="宋体" w:cs="宋体"/>
          <w:caps w:val="0"/>
          <w:sz w:val="30"/>
          <w:szCs w:val="30"/>
        </w:rPr>
        <w:instrText xml:space="preserve"> HYPERLINK \l _Toc20047 </w:instrText>
      </w:r>
      <w:r>
        <w:rPr>
          <w:rFonts w:hint="eastAsia" w:ascii="宋体" w:hAnsi="宋体" w:eastAsia="宋体" w:cs="宋体"/>
          <w:caps w:val="0"/>
          <w:sz w:val="30"/>
          <w:szCs w:val="30"/>
        </w:rPr>
        <w:fldChar w:fldCharType="separate"/>
      </w:r>
      <w:r>
        <w:rPr>
          <w:rFonts w:hint="eastAsia" w:ascii="宋体" w:hAnsi="宋体" w:eastAsia="宋体" w:cs="宋体"/>
          <w:sz w:val="30"/>
          <w:szCs w:val="30"/>
        </w:rPr>
        <w:t>第一部分  竞争性磋商公告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_Toc20047 \h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caps w:val="0"/>
          <w:sz w:val="30"/>
          <w:szCs w:val="30"/>
        </w:rPr>
        <w:fldChar w:fldCharType="end"/>
      </w:r>
    </w:p>
    <w:p w14:paraId="4C9B4FE3">
      <w:pPr>
        <w:pStyle w:val="24"/>
        <w:tabs>
          <w:tab w:val="right" w:leader="dot" w:pos="9072"/>
        </w:tabs>
        <w:rPr>
          <w:rFonts w:hint="eastAsia" w:ascii="宋体" w:hAnsi="宋体" w:eastAsia="宋体" w:cs="宋体"/>
          <w:sz w:val="30"/>
          <w:szCs w:val="30"/>
        </w:rPr>
      </w:pPr>
      <w:r>
        <w:rPr>
          <w:rFonts w:hint="eastAsia" w:ascii="宋体" w:hAnsi="宋体" w:eastAsia="宋体" w:cs="宋体"/>
          <w:caps/>
          <w:kern w:val="2"/>
          <w:sz w:val="30"/>
          <w:szCs w:val="30"/>
        </w:rPr>
        <w:fldChar w:fldCharType="begin"/>
      </w:r>
      <w:r>
        <w:rPr>
          <w:rFonts w:hint="eastAsia" w:ascii="宋体" w:hAnsi="宋体" w:eastAsia="宋体" w:cs="宋体"/>
          <w:caps/>
          <w:kern w:val="2"/>
          <w:sz w:val="30"/>
          <w:szCs w:val="30"/>
        </w:rPr>
        <w:instrText xml:space="preserve"> HYPERLINK \l _Toc7152 </w:instrText>
      </w:r>
      <w:r>
        <w:rPr>
          <w:rFonts w:hint="eastAsia" w:ascii="宋体" w:hAnsi="宋体" w:eastAsia="宋体" w:cs="宋体"/>
          <w:caps/>
          <w:kern w:val="2"/>
          <w:sz w:val="30"/>
          <w:szCs w:val="30"/>
        </w:rPr>
        <w:fldChar w:fldCharType="separate"/>
      </w:r>
      <w:r>
        <w:rPr>
          <w:rFonts w:hint="eastAsia" w:ascii="宋体" w:hAnsi="宋体" w:eastAsia="宋体" w:cs="宋体"/>
          <w:sz w:val="30"/>
          <w:szCs w:val="30"/>
        </w:rPr>
        <w:t>第二部分  供应商须知前附表</w:t>
      </w:r>
      <w:r>
        <w:rPr>
          <w:rFonts w:hint="eastAsia" w:ascii="宋体" w:hAnsi="宋体" w:eastAsia="宋体" w:cs="宋体"/>
          <w:sz w:val="30"/>
          <w:szCs w:val="30"/>
        </w:rPr>
        <w:tab/>
      </w:r>
      <w:r>
        <w:rPr>
          <w:rFonts w:hint="eastAsia" w:ascii="宋体" w:hAnsi="宋体" w:cs="宋体"/>
          <w:sz w:val="30"/>
          <w:szCs w:val="30"/>
          <w:lang w:val="en-US" w:eastAsia="zh-CN"/>
        </w:rPr>
        <w:t>5</w:t>
      </w:r>
      <w:r>
        <w:rPr>
          <w:rFonts w:hint="eastAsia" w:ascii="宋体" w:hAnsi="宋体" w:eastAsia="宋体" w:cs="宋体"/>
          <w:caps/>
          <w:kern w:val="2"/>
          <w:sz w:val="30"/>
          <w:szCs w:val="30"/>
        </w:rPr>
        <w:fldChar w:fldCharType="end"/>
      </w:r>
    </w:p>
    <w:p w14:paraId="538AF671">
      <w:pPr>
        <w:pStyle w:val="24"/>
        <w:tabs>
          <w:tab w:val="right" w:leader="dot" w:pos="9072"/>
        </w:tabs>
        <w:rPr>
          <w:rFonts w:hint="eastAsia" w:ascii="宋体" w:hAnsi="宋体" w:eastAsia="宋体" w:cs="宋体"/>
          <w:sz w:val="30"/>
          <w:szCs w:val="30"/>
        </w:rPr>
      </w:pPr>
      <w:r>
        <w:rPr>
          <w:rFonts w:hint="eastAsia" w:ascii="宋体" w:hAnsi="宋体" w:eastAsia="宋体" w:cs="宋体"/>
          <w:caps/>
          <w:kern w:val="2"/>
          <w:sz w:val="30"/>
          <w:szCs w:val="30"/>
        </w:rPr>
        <w:fldChar w:fldCharType="begin"/>
      </w:r>
      <w:r>
        <w:rPr>
          <w:rFonts w:hint="eastAsia" w:ascii="宋体" w:hAnsi="宋体" w:eastAsia="宋体" w:cs="宋体"/>
          <w:caps/>
          <w:kern w:val="2"/>
          <w:sz w:val="30"/>
          <w:szCs w:val="30"/>
        </w:rPr>
        <w:instrText xml:space="preserve"> HYPERLINK \l _Toc15139 </w:instrText>
      </w:r>
      <w:r>
        <w:rPr>
          <w:rFonts w:hint="eastAsia" w:ascii="宋体" w:hAnsi="宋体" w:eastAsia="宋体" w:cs="宋体"/>
          <w:caps/>
          <w:kern w:val="2"/>
          <w:sz w:val="30"/>
          <w:szCs w:val="30"/>
        </w:rPr>
        <w:fldChar w:fldCharType="separate"/>
      </w:r>
      <w:r>
        <w:rPr>
          <w:rFonts w:hint="eastAsia" w:ascii="宋体" w:hAnsi="宋体" w:eastAsia="宋体" w:cs="宋体"/>
          <w:sz w:val="30"/>
          <w:szCs w:val="30"/>
        </w:rPr>
        <w:t>第三部分  供应商须知</w:t>
      </w:r>
      <w:r>
        <w:rPr>
          <w:rFonts w:hint="eastAsia" w:ascii="宋体" w:hAnsi="宋体" w:eastAsia="宋体" w:cs="宋体"/>
          <w:sz w:val="30"/>
          <w:szCs w:val="30"/>
        </w:rPr>
        <w:tab/>
      </w:r>
      <w:r>
        <w:rPr>
          <w:rFonts w:hint="eastAsia" w:ascii="宋体" w:hAnsi="宋体" w:cs="宋体"/>
          <w:sz w:val="30"/>
          <w:szCs w:val="30"/>
          <w:lang w:val="en-US" w:eastAsia="zh-CN"/>
        </w:rPr>
        <w:t>9</w:t>
      </w:r>
      <w:r>
        <w:rPr>
          <w:rFonts w:hint="eastAsia" w:ascii="宋体" w:hAnsi="宋体" w:eastAsia="宋体" w:cs="宋体"/>
          <w:caps/>
          <w:kern w:val="2"/>
          <w:sz w:val="30"/>
          <w:szCs w:val="30"/>
        </w:rPr>
        <w:fldChar w:fldCharType="end"/>
      </w:r>
    </w:p>
    <w:p w14:paraId="53F2869B">
      <w:pPr>
        <w:pStyle w:val="24"/>
        <w:tabs>
          <w:tab w:val="right" w:leader="dot" w:pos="9072"/>
        </w:tabs>
        <w:rPr>
          <w:rFonts w:hint="eastAsia" w:ascii="宋体" w:hAnsi="宋体" w:eastAsia="宋体" w:cs="宋体"/>
          <w:sz w:val="30"/>
          <w:szCs w:val="30"/>
        </w:rPr>
      </w:pPr>
      <w:r>
        <w:rPr>
          <w:rFonts w:hint="eastAsia" w:ascii="宋体" w:hAnsi="宋体" w:eastAsia="宋体" w:cs="宋体"/>
          <w:caps/>
          <w:kern w:val="2"/>
          <w:sz w:val="30"/>
          <w:szCs w:val="30"/>
        </w:rPr>
        <w:fldChar w:fldCharType="begin"/>
      </w:r>
      <w:r>
        <w:rPr>
          <w:rFonts w:hint="eastAsia" w:ascii="宋体" w:hAnsi="宋体" w:eastAsia="宋体" w:cs="宋体"/>
          <w:caps/>
          <w:kern w:val="2"/>
          <w:sz w:val="30"/>
          <w:szCs w:val="30"/>
        </w:rPr>
        <w:instrText xml:space="preserve"> HYPERLINK \l _Toc7537 </w:instrText>
      </w:r>
      <w:r>
        <w:rPr>
          <w:rFonts w:hint="eastAsia" w:ascii="宋体" w:hAnsi="宋体" w:eastAsia="宋体" w:cs="宋体"/>
          <w:caps/>
          <w:kern w:val="2"/>
          <w:sz w:val="30"/>
          <w:szCs w:val="30"/>
        </w:rPr>
        <w:fldChar w:fldCharType="separate"/>
      </w:r>
      <w:r>
        <w:rPr>
          <w:rFonts w:hint="eastAsia" w:ascii="宋体" w:hAnsi="宋体" w:eastAsia="宋体" w:cs="宋体"/>
          <w:sz w:val="30"/>
          <w:szCs w:val="30"/>
        </w:rPr>
        <w:t xml:space="preserve">第四部分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评分标准</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_Toc7537 \h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cs="宋体"/>
          <w:sz w:val="30"/>
          <w:szCs w:val="30"/>
          <w:lang w:val="en-US" w:eastAsia="zh-CN"/>
        </w:rPr>
        <w:t>5</w:t>
      </w:r>
      <w:r>
        <w:rPr>
          <w:rFonts w:hint="eastAsia" w:ascii="宋体" w:hAnsi="宋体" w:eastAsia="宋体" w:cs="宋体"/>
          <w:sz w:val="30"/>
          <w:szCs w:val="30"/>
        </w:rPr>
        <w:fldChar w:fldCharType="end"/>
      </w:r>
      <w:r>
        <w:rPr>
          <w:rFonts w:hint="eastAsia" w:ascii="宋体" w:hAnsi="宋体" w:eastAsia="宋体" w:cs="宋体"/>
          <w:caps/>
          <w:kern w:val="2"/>
          <w:sz w:val="30"/>
          <w:szCs w:val="30"/>
        </w:rPr>
        <w:fldChar w:fldCharType="end"/>
      </w:r>
    </w:p>
    <w:p w14:paraId="426646B2">
      <w:pPr>
        <w:pStyle w:val="24"/>
        <w:tabs>
          <w:tab w:val="right" w:leader="dot" w:pos="9072"/>
        </w:tabs>
        <w:rPr>
          <w:rFonts w:hint="eastAsia" w:ascii="宋体" w:hAnsi="宋体" w:eastAsia="宋体" w:cs="宋体"/>
          <w:sz w:val="30"/>
          <w:szCs w:val="30"/>
        </w:rPr>
      </w:pPr>
      <w:r>
        <w:rPr>
          <w:rFonts w:hint="eastAsia" w:ascii="宋体" w:hAnsi="宋体" w:eastAsia="宋体" w:cs="宋体"/>
          <w:caps/>
          <w:kern w:val="2"/>
          <w:sz w:val="30"/>
          <w:szCs w:val="30"/>
        </w:rPr>
        <w:fldChar w:fldCharType="begin"/>
      </w:r>
      <w:r>
        <w:rPr>
          <w:rFonts w:hint="eastAsia" w:ascii="宋体" w:hAnsi="宋体" w:eastAsia="宋体" w:cs="宋体"/>
          <w:caps/>
          <w:kern w:val="2"/>
          <w:sz w:val="30"/>
          <w:szCs w:val="30"/>
        </w:rPr>
        <w:instrText xml:space="preserve"> HYPERLINK \l _Toc28227 </w:instrText>
      </w:r>
      <w:r>
        <w:rPr>
          <w:rFonts w:hint="eastAsia" w:ascii="宋体" w:hAnsi="宋体" w:eastAsia="宋体" w:cs="宋体"/>
          <w:caps/>
          <w:kern w:val="2"/>
          <w:sz w:val="30"/>
          <w:szCs w:val="30"/>
        </w:rPr>
        <w:fldChar w:fldCharType="separate"/>
      </w:r>
      <w:r>
        <w:rPr>
          <w:rFonts w:hint="eastAsia" w:ascii="宋体" w:hAnsi="宋体" w:eastAsia="宋体" w:cs="宋体"/>
          <w:sz w:val="30"/>
          <w:szCs w:val="30"/>
          <w:lang w:eastAsia="zh-CN"/>
        </w:rPr>
        <w:t xml:space="preserve">第五部分 </w:t>
      </w:r>
      <w:r>
        <w:rPr>
          <w:rFonts w:hint="eastAsia" w:ascii="宋体" w:hAnsi="宋体" w:eastAsia="宋体" w:cs="宋体"/>
          <w:sz w:val="30"/>
          <w:szCs w:val="30"/>
          <w:lang w:val="en-US" w:eastAsia="zh-CN"/>
        </w:rPr>
        <w:t xml:space="preserve"> </w:t>
      </w:r>
      <w:bookmarkStart w:id="11" w:name="OLE_LINK8"/>
      <w:r>
        <w:rPr>
          <w:rFonts w:hint="eastAsia" w:ascii="宋体" w:hAnsi="宋体" w:eastAsia="宋体" w:cs="宋体"/>
          <w:sz w:val="30"/>
          <w:szCs w:val="30"/>
        </w:rPr>
        <w:t>采购内容及</w:t>
      </w:r>
      <w:r>
        <w:rPr>
          <w:rFonts w:hint="eastAsia" w:ascii="宋体" w:hAnsi="宋体" w:eastAsia="宋体" w:cs="宋体"/>
          <w:sz w:val="30"/>
          <w:szCs w:val="30"/>
          <w:lang w:eastAsia="zh-CN"/>
        </w:rPr>
        <w:t>要求</w:t>
      </w:r>
      <w:bookmarkEnd w:id="11"/>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_Toc28227 \h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cs="宋体"/>
          <w:sz w:val="30"/>
          <w:szCs w:val="30"/>
          <w:lang w:val="en-US" w:eastAsia="zh-CN"/>
        </w:rPr>
        <w:t>8</w:t>
      </w:r>
      <w:r>
        <w:rPr>
          <w:rFonts w:hint="eastAsia" w:ascii="宋体" w:hAnsi="宋体" w:eastAsia="宋体" w:cs="宋体"/>
          <w:sz w:val="30"/>
          <w:szCs w:val="30"/>
        </w:rPr>
        <w:fldChar w:fldCharType="end"/>
      </w:r>
      <w:r>
        <w:rPr>
          <w:rFonts w:hint="eastAsia" w:ascii="宋体" w:hAnsi="宋体" w:eastAsia="宋体" w:cs="宋体"/>
          <w:caps/>
          <w:kern w:val="2"/>
          <w:sz w:val="30"/>
          <w:szCs w:val="30"/>
        </w:rPr>
        <w:fldChar w:fldCharType="end"/>
      </w:r>
    </w:p>
    <w:p w14:paraId="7292377B">
      <w:pPr>
        <w:pStyle w:val="24"/>
        <w:tabs>
          <w:tab w:val="right" w:leader="dot" w:pos="9072"/>
        </w:tabs>
        <w:rPr>
          <w:rFonts w:hint="eastAsia" w:ascii="宋体" w:hAnsi="宋体" w:eastAsia="宋体" w:cs="宋体"/>
          <w:sz w:val="30"/>
          <w:szCs w:val="30"/>
        </w:rPr>
      </w:pPr>
      <w:r>
        <w:rPr>
          <w:rFonts w:hint="eastAsia" w:ascii="宋体" w:hAnsi="宋体" w:eastAsia="宋体" w:cs="宋体"/>
          <w:caps/>
          <w:kern w:val="2"/>
          <w:sz w:val="30"/>
          <w:szCs w:val="30"/>
        </w:rPr>
        <w:fldChar w:fldCharType="begin"/>
      </w:r>
      <w:r>
        <w:rPr>
          <w:rFonts w:hint="eastAsia" w:ascii="宋体" w:hAnsi="宋体" w:eastAsia="宋体" w:cs="宋体"/>
          <w:caps/>
          <w:kern w:val="2"/>
          <w:sz w:val="30"/>
          <w:szCs w:val="30"/>
        </w:rPr>
        <w:instrText xml:space="preserve"> HYPERLINK \l _Toc11852 </w:instrText>
      </w:r>
      <w:r>
        <w:rPr>
          <w:rFonts w:hint="eastAsia" w:ascii="宋体" w:hAnsi="宋体" w:eastAsia="宋体" w:cs="宋体"/>
          <w:caps/>
          <w:kern w:val="2"/>
          <w:sz w:val="30"/>
          <w:szCs w:val="30"/>
        </w:rPr>
        <w:fldChar w:fldCharType="separate"/>
      </w:r>
      <w:r>
        <w:rPr>
          <w:rFonts w:hint="eastAsia" w:ascii="宋体" w:hAnsi="宋体" w:eastAsia="宋体" w:cs="宋体"/>
          <w:sz w:val="30"/>
          <w:szCs w:val="30"/>
        </w:rPr>
        <w:t xml:space="preserve">第六部分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合同主要条款</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_Toc11852 \h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cs="宋体"/>
          <w:sz w:val="30"/>
          <w:szCs w:val="30"/>
          <w:lang w:val="en-US" w:eastAsia="zh-CN"/>
        </w:rPr>
        <w:t>7</w:t>
      </w:r>
      <w:r>
        <w:rPr>
          <w:rFonts w:hint="eastAsia" w:ascii="宋体" w:hAnsi="宋体" w:eastAsia="宋体" w:cs="宋体"/>
          <w:sz w:val="30"/>
          <w:szCs w:val="30"/>
        </w:rPr>
        <w:fldChar w:fldCharType="end"/>
      </w:r>
      <w:r>
        <w:rPr>
          <w:rFonts w:hint="eastAsia" w:ascii="宋体" w:hAnsi="宋体" w:eastAsia="宋体" w:cs="宋体"/>
          <w:caps/>
          <w:kern w:val="2"/>
          <w:sz w:val="30"/>
          <w:szCs w:val="30"/>
        </w:rPr>
        <w:fldChar w:fldCharType="end"/>
      </w:r>
    </w:p>
    <w:p w14:paraId="62D2A0CF">
      <w:pPr>
        <w:pStyle w:val="24"/>
        <w:tabs>
          <w:tab w:val="right" w:leader="dot" w:pos="9072"/>
        </w:tabs>
        <w:rPr>
          <w:rFonts w:hint="eastAsia" w:ascii="宋体" w:hAnsi="宋体" w:eastAsia="宋体" w:cs="宋体"/>
          <w:sz w:val="30"/>
          <w:szCs w:val="30"/>
          <w:lang w:val="en-US" w:eastAsia="zh-CN"/>
        </w:rPr>
      </w:pPr>
      <w:r>
        <w:rPr>
          <w:rFonts w:hint="eastAsia" w:ascii="宋体" w:hAnsi="宋体" w:eastAsia="宋体" w:cs="宋体"/>
          <w:caps/>
          <w:kern w:val="2"/>
          <w:sz w:val="30"/>
          <w:szCs w:val="30"/>
        </w:rPr>
        <w:fldChar w:fldCharType="begin"/>
      </w:r>
      <w:r>
        <w:rPr>
          <w:rFonts w:hint="eastAsia" w:ascii="宋体" w:hAnsi="宋体" w:eastAsia="宋体" w:cs="宋体"/>
          <w:caps/>
          <w:kern w:val="2"/>
          <w:sz w:val="30"/>
          <w:szCs w:val="30"/>
        </w:rPr>
        <w:instrText xml:space="preserve"> HYPERLINK \l _Toc18849 </w:instrText>
      </w:r>
      <w:r>
        <w:rPr>
          <w:rFonts w:hint="eastAsia" w:ascii="宋体" w:hAnsi="宋体" w:eastAsia="宋体" w:cs="宋体"/>
          <w:caps/>
          <w:kern w:val="2"/>
          <w:sz w:val="30"/>
          <w:szCs w:val="30"/>
        </w:rPr>
        <w:fldChar w:fldCharType="separate"/>
      </w:r>
      <w:r>
        <w:rPr>
          <w:rFonts w:hint="eastAsia" w:ascii="宋体" w:hAnsi="宋体" w:eastAsia="宋体" w:cs="宋体"/>
          <w:sz w:val="30"/>
          <w:szCs w:val="30"/>
        </w:rPr>
        <w:t xml:space="preserve">第七部分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响应文件格式</w:t>
      </w:r>
      <w:r>
        <w:rPr>
          <w:rFonts w:hint="eastAsia" w:ascii="宋体" w:hAnsi="宋体" w:eastAsia="宋体" w:cs="宋体"/>
          <w:sz w:val="30"/>
          <w:szCs w:val="30"/>
        </w:rPr>
        <w:tab/>
      </w:r>
      <w:r>
        <w:rPr>
          <w:rFonts w:hint="eastAsia" w:ascii="宋体" w:hAnsi="宋体" w:cs="宋体"/>
          <w:sz w:val="30"/>
          <w:szCs w:val="30"/>
          <w:lang w:val="en-US" w:eastAsia="zh-CN"/>
        </w:rPr>
        <w:t>4</w:t>
      </w:r>
      <w:r>
        <w:rPr>
          <w:rFonts w:hint="eastAsia" w:ascii="宋体" w:hAnsi="宋体" w:eastAsia="宋体" w:cs="宋体"/>
          <w:caps/>
          <w:kern w:val="2"/>
          <w:sz w:val="30"/>
          <w:szCs w:val="30"/>
        </w:rPr>
        <w:fldChar w:fldCharType="end"/>
      </w:r>
      <w:r>
        <w:rPr>
          <w:rFonts w:hint="eastAsia" w:ascii="宋体" w:hAnsi="宋体" w:cs="宋体"/>
          <w:caps/>
          <w:kern w:val="2"/>
          <w:sz w:val="30"/>
          <w:szCs w:val="30"/>
          <w:lang w:val="en-US" w:eastAsia="zh-CN"/>
        </w:rPr>
        <w:t>1</w:t>
      </w:r>
    </w:p>
    <w:p w14:paraId="10DF014A">
      <w:pPr>
        <w:pStyle w:val="3"/>
        <w:pageBreakBefore w:val="0"/>
        <w:widowControl w:val="0"/>
        <w:tabs>
          <w:tab w:val="left" w:pos="206"/>
        </w:tabs>
        <w:kinsoku/>
        <w:wordWrap/>
        <w:overflowPunct/>
        <w:topLinePunct w:val="0"/>
        <w:autoSpaceDE/>
        <w:autoSpaceDN/>
        <w:bidi w:val="0"/>
        <w:adjustRightInd/>
        <w:snapToGrid/>
        <w:spacing w:line="360" w:lineRule="auto"/>
        <w:jc w:val="left"/>
        <w:textAlignment w:val="auto"/>
        <w:rPr>
          <w:rFonts w:hint="eastAsia" w:ascii="宋体" w:hAnsi="宋体" w:eastAsia="宋体" w:cs="宋体"/>
          <w:caps/>
          <w:kern w:val="2"/>
          <w:sz w:val="30"/>
          <w:szCs w:val="30"/>
        </w:rPr>
      </w:pPr>
      <w:r>
        <w:rPr>
          <w:rFonts w:hint="eastAsia" w:ascii="宋体" w:hAnsi="宋体" w:eastAsia="宋体" w:cs="宋体"/>
          <w:caps/>
          <w:kern w:val="2"/>
          <w:sz w:val="30"/>
          <w:szCs w:val="30"/>
        </w:rPr>
        <w:fldChar w:fldCharType="end"/>
      </w:r>
    </w:p>
    <w:p w14:paraId="235FFF34">
      <w:pPr>
        <w:bidi w:val="0"/>
      </w:pPr>
    </w:p>
    <w:p w14:paraId="7E07CDDB">
      <w:pPr>
        <w:bidi w:val="0"/>
      </w:pPr>
    </w:p>
    <w:p w14:paraId="3AA06BB7">
      <w:pPr>
        <w:bidi w:val="0"/>
      </w:pPr>
    </w:p>
    <w:p w14:paraId="51232527">
      <w:pPr>
        <w:tabs>
          <w:tab w:val="left" w:pos="3533"/>
        </w:tabs>
        <w:bidi w:val="0"/>
        <w:jc w:val="left"/>
        <w:rPr>
          <w:rFonts w:hint="eastAsia" w:eastAsia="宋体"/>
          <w:lang w:eastAsia="zh-CN"/>
        </w:rPr>
        <w:sectPr>
          <w:headerReference r:id="rId7" w:type="first"/>
          <w:footerReference r:id="rId9" w:type="first"/>
          <w:headerReference r:id="rId6" w:type="default"/>
          <w:footerReference r:id="rId8" w:type="default"/>
          <w:pgSz w:w="11906" w:h="16838"/>
          <w:pgMar w:top="1417" w:right="1417" w:bottom="1417" w:left="1417" w:header="992" w:footer="992" w:gutter="0"/>
          <w:pgNumType w:fmt="decimal" w:start="1"/>
          <w:cols w:space="0" w:num="1"/>
          <w:titlePg/>
          <w:rtlGutter w:val="0"/>
          <w:docGrid w:type="lines" w:linePitch="333" w:charSpace="0"/>
        </w:sectPr>
      </w:pPr>
      <w:r>
        <w:rPr>
          <w:rFonts w:hint="eastAsia"/>
          <w:lang w:eastAsia="zh-CN"/>
        </w:rPr>
        <w:tab/>
      </w:r>
    </w:p>
    <w:p w14:paraId="3D6AB6DB">
      <w:pPr>
        <w:pStyle w:val="3"/>
        <w:pageBreakBefore w:val="0"/>
        <w:widowControl w:val="0"/>
        <w:tabs>
          <w:tab w:val="left" w:pos="206"/>
        </w:tabs>
        <w:kinsoku/>
        <w:wordWrap/>
        <w:overflowPunct/>
        <w:topLinePunct w:val="0"/>
        <w:autoSpaceDE/>
        <w:autoSpaceDN/>
        <w:bidi w:val="0"/>
        <w:adjustRightInd/>
        <w:snapToGrid/>
        <w:spacing w:line="360" w:lineRule="auto"/>
        <w:jc w:val="center"/>
        <w:textAlignment w:val="auto"/>
        <w:rPr>
          <w:sz w:val="36"/>
          <w:szCs w:val="36"/>
        </w:rPr>
      </w:pPr>
      <w:bookmarkStart w:id="12" w:name="_Toc20047"/>
      <w:r>
        <w:rPr>
          <w:rFonts w:hint="eastAsia"/>
          <w:sz w:val="36"/>
          <w:szCs w:val="36"/>
        </w:rPr>
        <w:t xml:space="preserve">第一部分  </w:t>
      </w:r>
      <w:bookmarkStart w:id="13" w:name="OLE_LINK4"/>
      <w:bookmarkStart w:id="14" w:name="OLE_LINK1"/>
      <w:r>
        <w:rPr>
          <w:rFonts w:hint="eastAsia"/>
          <w:sz w:val="36"/>
          <w:szCs w:val="36"/>
        </w:rPr>
        <w:t>竞争性</w:t>
      </w:r>
      <w:r>
        <w:rPr>
          <w:sz w:val="36"/>
          <w:szCs w:val="36"/>
        </w:rPr>
        <w:t>磋商公告</w:t>
      </w:r>
      <w:bookmarkEnd w:id="4"/>
      <w:bookmarkEnd w:id="5"/>
      <w:bookmarkEnd w:id="6"/>
      <w:bookmarkEnd w:id="7"/>
      <w:bookmarkEnd w:id="12"/>
    </w:p>
    <w:bookmarkEnd w:id="8"/>
    <w:bookmarkEnd w:id="13"/>
    <w:bookmarkEnd w:id="14"/>
    <w:p w14:paraId="23D58B18">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480" w:firstLineChars="200"/>
        <w:jc w:val="left"/>
        <w:textAlignment w:val="auto"/>
        <w:rPr>
          <w:rFonts w:hint="eastAsia" w:ascii="宋体" w:hAnsi="宋体" w:eastAsia="宋体" w:cs="宋体"/>
          <w:color w:val="auto"/>
          <w:kern w:val="0"/>
          <w:sz w:val="24"/>
          <w:szCs w:val="24"/>
        </w:rPr>
      </w:pPr>
      <w:r>
        <w:rPr>
          <w:rFonts w:hint="eastAsia" w:ascii="宋体" w:hAnsi="宋体" w:cs="宋体"/>
          <w:kern w:val="0"/>
          <w:sz w:val="24"/>
          <w:szCs w:val="24"/>
          <w:lang w:val="en-US" w:eastAsia="zh-CN"/>
        </w:rPr>
        <w:t>恒口示范区梁沟村便民桥建设工程</w:t>
      </w:r>
      <w:r>
        <w:rPr>
          <w:rFonts w:hint="eastAsia" w:ascii="宋体" w:hAnsi="宋体" w:eastAsia="宋体" w:cs="宋体"/>
          <w:kern w:val="0"/>
          <w:sz w:val="24"/>
          <w:szCs w:val="24"/>
        </w:rPr>
        <w:t>的潜在供应商应在</w:t>
      </w:r>
      <w:r>
        <w:rPr>
          <w:rFonts w:hint="eastAsia" w:ascii="宋体" w:hAnsi="宋体" w:cs="宋体"/>
          <w:color w:val="000000" w:themeColor="text1"/>
          <w:kern w:val="0"/>
          <w:sz w:val="24"/>
          <w:szCs w:val="24"/>
          <w:lang w:eastAsia="zh-CN"/>
          <w14:textFill>
            <w14:solidFill>
              <w14:schemeClr w14:val="tx1"/>
            </w14:solidFill>
          </w14:textFill>
        </w:rPr>
        <w:t>安康市高新区高新观澜8栋二单元801室</w:t>
      </w:r>
      <w:r>
        <w:rPr>
          <w:rFonts w:hint="eastAsia" w:ascii="宋体" w:hAnsi="宋体" w:eastAsia="宋体" w:cs="宋体"/>
          <w:color w:val="000000" w:themeColor="text1"/>
          <w:kern w:val="0"/>
          <w:sz w:val="24"/>
          <w:szCs w:val="24"/>
          <w14:textFill>
            <w14:solidFill>
              <w14:schemeClr w14:val="tx1"/>
            </w14:solidFill>
          </w14:textFill>
        </w:rPr>
        <w:t>获取采购文件。</w:t>
      </w:r>
      <w:r>
        <w:rPr>
          <w:rFonts w:hint="eastAsia" w:ascii="宋体" w:hAnsi="宋体" w:eastAsia="宋体" w:cs="宋体"/>
          <w:color w:val="auto"/>
          <w:kern w:val="0"/>
          <w:sz w:val="24"/>
          <w:szCs w:val="24"/>
        </w:rPr>
        <w:t>并于</w:t>
      </w:r>
      <w:r>
        <w:rPr>
          <w:rFonts w:hint="eastAsia" w:ascii="宋体" w:hAnsi="宋体" w:eastAsia="宋体" w:cs="宋体"/>
          <w:i w:val="0"/>
          <w:iCs w:val="0"/>
          <w:caps w:val="0"/>
          <w:color w:val="auto"/>
          <w:spacing w:val="0"/>
          <w:sz w:val="24"/>
          <w:szCs w:val="24"/>
          <w:shd w:val="clear" w:fill="FFFFFF"/>
        </w:rPr>
        <w:t>2025年</w:t>
      </w:r>
      <w:r>
        <w:rPr>
          <w:rFonts w:hint="eastAsia" w:ascii="宋体" w:hAnsi="宋体" w:cs="宋体"/>
          <w:i w:val="0"/>
          <w:iCs w:val="0"/>
          <w:caps w:val="0"/>
          <w:color w:val="auto"/>
          <w:spacing w:val="0"/>
          <w:sz w:val="24"/>
          <w:szCs w:val="24"/>
          <w:shd w:val="clear" w:fill="FFFFFF"/>
          <w:lang w:val="en-US" w:eastAsia="zh-CN"/>
        </w:rPr>
        <w:t>1</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日09时00分</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auto"/>
          <w:kern w:val="0"/>
          <w:sz w:val="24"/>
          <w:szCs w:val="24"/>
        </w:rPr>
        <w:t>北京时间）前提交响应文件。</w:t>
      </w:r>
    </w:p>
    <w:p w14:paraId="648D10AE">
      <w:pPr>
        <w:keepNext w:val="0"/>
        <w:keepLines w:val="0"/>
        <w:pageBreakBefore w:val="0"/>
        <w:widowControl/>
        <w:numPr>
          <w:ilvl w:val="0"/>
          <w:numId w:val="1"/>
        </w:numPr>
        <w:kinsoku/>
        <w:wordWrap/>
        <w:overflowPunct/>
        <w:topLinePunct w:val="0"/>
        <w:autoSpaceDE/>
        <w:autoSpaceDN/>
        <w:bidi w:val="0"/>
        <w:adjustRightInd/>
        <w:snapToGrid w:val="0"/>
        <w:spacing w:line="420" w:lineRule="exact"/>
        <w:ind w:left="0" w:leftChars="0" w:right="0" w:rightChars="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项目基本情况</w:t>
      </w:r>
    </w:p>
    <w:p w14:paraId="3B5EBEDC">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项目编号：</w:t>
      </w:r>
      <w:bookmarkStart w:id="15" w:name="OLE_LINK14"/>
      <w:bookmarkStart w:id="16" w:name="OLE_LINK10"/>
      <w:r>
        <w:rPr>
          <w:rFonts w:hint="eastAsia" w:ascii="宋体" w:hAnsi="宋体" w:cs="宋体"/>
          <w:color w:val="auto"/>
          <w:kern w:val="0"/>
          <w:sz w:val="24"/>
          <w:szCs w:val="24"/>
          <w:lang w:eastAsia="zh-CN"/>
        </w:rPr>
        <w:t>AKSH2025-ZCS-123</w:t>
      </w:r>
      <w:bookmarkEnd w:id="15"/>
    </w:p>
    <w:bookmarkEnd w:id="16"/>
    <w:p w14:paraId="661F0001">
      <w:pPr>
        <w:pStyle w:val="46"/>
        <w:keepNext w:val="0"/>
        <w:keepLines w:val="0"/>
        <w:pageBreakBefore w:val="0"/>
        <w:kinsoku/>
        <w:wordWrap/>
        <w:overflowPunct/>
        <w:topLinePunct w:val="0"/>
        <w:autoSpaceDE/>
        <w:autoSpaceDN/>
        <w:bidi w:val="0"/>
        <w:adjustRightInd/>
        <w:spacing w:line="420" w:lineRule="exact"/>
        <w:ind w:left="0" w:leftChars="0" w:right="0" w:rightChars="0" w:firstLine="4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项目名称：</w:t>
      </w:r>
      <w:bookmarkStart w:id="17" w:name="OLE_LINK24"/>
      <w:r>
        <w:rPr>
          <w:rFonts w:hint="eastAsia" w:ascii="宋体" w:hAnsi="宋体" w:cs="宋体"/>
          <w:color w:val="auto"/>
          <w:kern w:val="0"/>
          <w:sz w:val="24"/>
          <w:szCs w:val="24"/>
          <w:lang w:val="en-US" w:eastAsia="zh-CN"/>
        </w:rPr>
        <w:t>恒口示范区梁沟村便民桥建设工程</w:t>
      </w:r>
    </w:p>
    <w:bookmarkEnd w:id="17"/>
    <w:p w14:paraId="1015479A">
      <w:pPr>
        <w:pStyle w:val="46"/>
        <w:keepNext w:val="0"/>
        <w:keepLines w:val="0"/>
        <w:pageBreakBefore w:val="0"/>
        <w:tabs>
          <w:tab w:val="left" w:pos="8291"/>
        </w:tabs>
        <w:kinsoku/>
        <w:wordWrap/>
        <w:overflowPunct/>
        <w:topLinePunct w:val="0"/>
        <w:autoSpaceDE/>
        <w:autoSpaceDN/>
        <w:bidi w:val="0"/>
        <w:adjustRightInd/>
        <w:spacing w:line="420" w:lineRule="exact"/>
        <w:ind w:left="0" w:leftChars="0" w:right="0" w:rightChars="0" w:firstLine="48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采购方式：竞争性磋商</w:t>
      </w:r>
      <w:r>
        <w:rPr>
          <w:rFonts w:hint="eastAsia" w:ascii="宋体" w:hAnsi="宋体" w:cs="宋体"/>
          <w:color w:val="auto"/>
          <w:kern w:val="0"/>
          <w:sz w:val="24"/>
          <w:szCs w:val="24"/>
          <w:lang w:eastAsia="zh-CN"/>
        </w:rPr>
        <w:tab/>
      </w:r>
    </w:p>
    <w:p w14:paraId="34436625">
      <w:pPr>
        <w:pStyle w:val="2"/>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4</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预算金额</w:t>
      </w:r>
      <w:r>
        <w:rPr>
          <w:rFonts w:hint="eastAsia" w:ascii="宋体" w:hAnsi="宋体" w:eastAsia="宋体" w:cs="宋体"/>
          <w:color w:val="auto"/>
          <w:kern w:val="0"/>
          <w:sz w:val="24"/>
          <w:szCs w:val="24"/>
          <w:lang w:val="en-US" w:eastAsia="zh-CN" w:bidi="ar-SA"/>
        </w:rPr>
        <w:t>：285299.72元</w:t>
      </w:r>
    </w:p>
    <w:p w14:paraId="130FCE26">
      <w:pPr>
        <w:pStyle w:val="2"/>
        <w:ind w:firstLine="480" w:firstLineChars="200"/>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最高限价：</w:t>
      </w:r>
      <w:bookmarkStart w:id="18" w:name="OLE_LINK16"/>
      <w:r>
        <w:rPr>
          <w:rFonts w:hint="eastAsia" w:ascii="宋体" w:hAnsi="宋体" w:eastAsia="宋体" w:cs="宋体"/>
          <w:color w:val="auto"/>
          <w:kern w:val="0"/>
          <w:sz w:val="24"/>
          <w:szCs w:val="24"/>
          <w:lang w:val="en-US" w:eastAsia="zh-CN" w:bidi="ar-SA"/>
        </w:rPr>
        <w:t>285299.72元</w:t>
      </w:r>
    </w:p>
    <w:bookmarkEnd w:id="18"/>
    <w:p w14:paraId="1C37542B">
      <w:pPr>
        <w:keepNext w:val="0"/>
        <w:keepLines w:val="0"/>
        <w:pageBreakBefore w:val="0"/>
        <w:kinsoku/>
        <w:wordWrap/>
        <w:overflowPunct/>
        <w:topLinePunct w:val="0"/>
        <w:autoSpaceDE/>
        <w:autoSpaceDN/>
        <w:bidi w:val="0"/>
        <w:adjustRightInd/>
        <w:spacing w:line="420" w:lineRule="exact"/>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采购需求：</w:t>
      </w:r>
      <w:bookmarkStart w:id="19" w:name="OLE_LINK2"/>
      <w:r>
        <w:rPr>
          <w:rFonts w:hint="eastAsia" w:ascii="宋体" w:hAnsi="宋体" w:cs="宋体"/>
          <w:color w:val="auto"/>
          <w:kern w:val="0"/>
          <w:sz w:val="24"/>
          <w:szCs w:val="24"/>
          <w:lang w:val="en-US" w:eastAsia="zh-CN"/>
        </w:rPr>
        <w:t>恒口示范区梁沟村便民桥建设工程</w:t>
      </w:r>
      <w:r>
        <w:rPr>
          <w:rFonts w:hint="eastAsia" w:ascii="宋体" w:hAnsi="宋体" w:eastAsia="宋体" w:cs="宋体"/>
          <w:color w:val="auto"/>
          <w:kern w:val="0"/>
          <w:sz w:val="24"/>
          <w:szCs w:val="24"/>
          <w:highlight w:val="none"/>
        </w:rPr>
        <w:t>具</w:t>
      </w:r>
      <w:r>
        <w:rPr>
          <w:rFonts w:hint="eastAsia" w:ascii="宋体" w:hAnsi="宋体" w:eastAsia="宋体" w:cs="宋体"/>
          <w:color w:val="auto"/>
          <w:kern w:val="0"/>
          <w:sz w:val="24"/>
          <w:szCs w:val="24"/>
        </w:rPr>
        <w:t>体详见工程量清单。</w:t>
      </w:r>
    </w:p>
    <w:bookmarkEnd w:id="19"/>
    <w:p w14:paraId="4C1B1EC2">
      <w:pPr>
        <w:pStyle w:val="46"/>
        <w:keepNext w:val="0"/>
        <w:keepLines w:val="0"/>
        <w:pageBreakBefore w:val="0"/>
        <w:kinsoku/>
        <w:wordWrap/>
        <w:overflowPunct/>
        <w:topLinePunct w:val="0"/>
        <w:autoSpaceDE/>
        <w:autoSpaceDN/>
        <w:bidi w:val="0"/>
        <w:adjustRightInd/>
        <w:spacing w:line="420" w:lineRule="exact"/>
        <w:ind w:left="479" w:leftChars="228" w:right="0" w:rightChars="0" w:firstLine="0" w:firstLineChars="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auto"/>
          <w:kern w:val="0"/>
          <w:sz w:val="24"/>
          <w:szCs w:val="24"/>
          <w:lang w:val="en-US" w:eastAsia="zh-CN" w:bidi="ar-SA"/>
        </w:rPr>
        <w:t>7.</w:t>
      </w:r>
      <w:bookmarkStart w:id="20" w:name="OLE_LINK6"/>
      <w:r>
        <w:rPr>
          <w:rFonts w:hint="eastAsia" w:ascii="宋体" w:hAnsi="宋体" w:eastAsia="宋体" w:cs="宋体"/>
          <w:color w:val="auto"/>
          <w:kern w:val="0"/>
          <w:sz w:val="24"/>
          <w:szCs w:val="24"/>
          <w:lang w:val="en-US" w:eastAsia="zh-CN" w:bidi="ar-SA"/>
        </w:rPr>
        <w:t>合同履行期：</w:t>
      </w:r>
      <w:bookmarkEnd w:id="20"/>
      <w:bookmarkStart w:id="21" w:name="OLE_LINK17"/>
      <w:r>
        <w:rPr>
          <w:rFonts w:hint="eastAsia" w:ascii="宋体" w:hAnsi="宋体" w:eastAsia="宋体" w:cs="宋体"/>
          <w:color w:val="auto"/>
          <w:kern w:val="0"/>
          <w:sz w:val="24"/>
          <w:szCs w:val="24"/>
          <w:lang w:val="en-US" w:eastAsia="zh-CN" w:bidi="ar-SA"/>
        </w:rPr>
        <w:t>自合同签订之</w:t>
      </w:r>
      <w:r>
        <w:rPr>
          <w:rFonts w:hint="eastAsia" w:ascii="宋体" w:hAnsi="宋体" w:eastAsia="宋体" w:cs="宋体"/>
          <w:color w:val="000000" w:themeColor="text1"/>
          <w:kern w:val="0"/>
          <w:sz w:val="24"/>
          <w:szCs w:val="24"/>
          <w:lang w:val="en-US" w:eastAsia="zh-CN" w:bidi="ar-SA"/>
          <w14:textFill>
            <w14:solidFill>
              <w14:schemeClr w14:val="tx1"/>
            </w14:solidFill>
          </w14:textFill>
        </w:rPr>
        <w:t>日起</w:t>
      </w:r>
      <w:r>
        <w:rPr>
          <w:rFonts w:hint="eastAsia" w:ascii="宋体" w:hAnsi="宋体" w:cs="宋体"/>
          <w:color w:val="000000" w:themeColor="text1"/>
          <w:kern w:val="0"/>
          <w:sz w:val="24"/>
          <w:szCs w:val="24"/>
          <w:lang w:val="en-US" w:eastAsia="zh-CN" w:bidi="ar-SA"/>
          <w14:textFill>
            <w14:solidFill>
              <w14:schemeClr w14:val="tx1"/>
            </w14:solidFill>
          </w14:textFill>
        </w:rPr>
        <w:t>90天</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p>
    <w:bookmarkEnd w:id="21"/>
    <w:p w14:paraId="14DAFFBE">
      <w:pPr>
        <w:pStyle w:val="46"/>
        <w:keepNext w:val="0"/>
        <w:keepLines w:val="0"/>
        <w:pageBreakBefore w:val="0"/>
        <w:kinsoku/>
        <w:wordWrap/>
        <w:overflowPunct/>
        <w:topLinePunct w:val="0"/>
        <w:autoSpaceDE/>
        <w:autoSpaceDN/>
        <w:bidi w:val="0"/>
        <w:adjustRightInd/>
        <w:spacing w:line="420" w:lineRule="exact"/>
        <w:ind w:left="479" w:leftChars="228" w:right="0" w:rightChars="0" w:firstLine="0" w:firstLineChars="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8.</w:t>
      </w:r>
      <w:r>
        <w:rPr>
          <w:rFonts w:hint="eastAsia" w:ascii="宋体" w:hAnsi="宋体" w:eastAsia="宋体" w:cs="宋体"/>
          <w:color w:val="000000" w:themeColor="text1"/>
          <w:kern w:val="0"/>
          <w:sz w:val="24"/>
          <w:szCs w:val="24"/>
          <w14:textFill>
            <w14:solidFill>
              <w14:schemeClr w14:val="tx1"/>
            </w14:solidFill>
          </w14:textFill>
        </w:rPr>
        <w:t>本项目不接受联合体投标</w:t>
      </w:r>
      <w:r>
        <w:rPr>
          <w:rFonts w:hint="eastAsia" w:ascii="宋体" w:hAnsi="宋体" w:cs="宋体"/>
          <w:color w:val="000000" w:themeColor="text1"/>
          <w:kern w:val="0"/>
          <w:sz w:val="24"/>
          <w:szCs w:val="24"/>
          <w:lang w:eastAsia="zh-CN"/>
          <w14:textFill>
            <w14:solidFill>
              <w14:schemeClr w14:val="tx1"/>
            </w14:solidFill>
          </w14:textFill>
        </w:rPr>
        <w:t>。</w:t>
      </w:r>
    </w:p>
    <w:p w14:paraId="3344A59A">
      <w:pPr>
        <w:keepNext w:val="0"/>
        <w:keepLines w:val="0"/>
        <w:pageBreakBefore w:val="0"/>
        <w:widowControl/>
        <w:tabs>
          <w:tab w:val="left" w:pos="1620"/>
        </w:tabs>
        <w:kinsoku/>
        <w:wordWrap/>
        <w:overflowPunct/>
        <w:topLinePunct w:val="0"/>
        <w:autoSpaceDE/>
        <w:autoSpaceDN/>
        <w:bidi w:val="0"/>
        <w:adjustRightInd/>
        <w:snapToGrid w:val="0"/>
        <w:spacing w:line="420" w:lineRule="exact"/>
        <w:ind w:left="0" w:leftChars="0" w:right="0" w:rightChars="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w:t>
      </w:r>
      <w:r>
        <w:rPr>
          <w:rFonts w:hint="eastAsia" w:ascii="宋体" w:hAnsi="宋体" w:eastAsia="宋体" w:cs="宋体"/>
          <w:b/>
          <w:bCs/>
          <w:color w:val="auto"/>
          <w:kern w:val="0"/>
          <w:sz w:val="24"/>
          <w:szCs w:val="24"/>
        </w:rPr>
        <w:t>、投标人的资格要求：</w:t>
      </w:r>
    </w:p>
    <w:p w14:paraId="098DBA66">
      <w:pPr>
        <w:keepNext w:val="0"/>
        <w:keepLines w:val="0"/>
        <w:pageBreakBefore w:val="0"/>
        <w:kinsoku/>
        <w:wordWrap/>
        <w:overflowPunct/>
        <w:topLinePunct w:val="0"/>
        <w:autoSpaceDE/>
        <w:autoSpaceDN/>
        <w:bidi w:val="0"/>
        <w:adjustRightInd/>
        <w:spacing w:line="42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（一）</w:t>
      </w:r>
      <w:r>
        <w:rPr>
          <w:rFonts w:hint="eastAsia" w:ascii="宋体" w:hAnsi="宋体" w:eastAsia="宋体" w:cs="宋体"/>
          <w:color w:val="auto"/>
          <w:sz w:val="24"/>
          <w:szCs w:val="24"/>
        </w:rPr>
        <w:t>满足《中华人民共和国政府采购法》第二十二条的规定；</w:t>
      </w:r>
    </w:p>
    <w:p w14:paraId="4982D99D">
      <w:pPr>
        <w:keepNext w:val="0"/>
        <w:keepLines w:val="0"/>
        <w:pageBreakBefore w:val="0"/>
        <w:kinsoku/>
        <w:wordWrap/>
        <w:overflowPunct/>
        <w:topLinePunct w:val="0"/>
        <w:autoSpaceDE/>
        <w:autoSpaceDN/>
        <w:bidi w:val="0"/>
        <w:adjustRightInd/>
        <w:spacing w:line="42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（二）</w:t>
      </w:r>
      <w:r>
        <w:rPr>
          <w:rFonts w:hint="eastAsia" w:ascii="宋体" w:hAnsi="宋体" w:eastAsia="宋体" w:cs="宋体"/>
          <w:color w:val="auto"/>
          <w:sz w:val="24"/>
          <w:szCs w:val="24"/>
        </w:rPr>
        <w:t xml:space="preserve">特定资格条件： </w:t>
      </w:r>
    </w:p>
    <w:p w14:paraId="5F76EAD7">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bookmarkStart w:id="22" w:name="OLE_LINK22"/>
      <w:r>
        <w:rPr>
          <w:rFonts w:hint="eastAsia" w:ascii="宋体" w:hAnsi="宋体" w:eastAsia="宋体" w:cs="宋体"/>
          <w:i w:val="0"/>
          <w:iCs w:val="0"/>
          <w:caps w:val="0"/>
          <w:color w:val="333333"/>
          <w:spacing w:val="0"/>
          <w:sz w:val="24"/>
          <w:szCs w:val="24"/>
          <w:shd w:val="clear" w:fill="FFFFFF"/>
          <w:lang w:val="en-US" w:eastAsia="zh-CN"/>
        </w:rPr>
        <w:t>1.具有独立承担民事责任能力的法人、非法人组织或自然人，提供合法有效的营业执照/事业单位法人证书/专业服务机构执业许可证/民办非企业单位登记证书等相关证明，自然人参与的提供其身份证明。</w:t>
      </w:r>
    </w:p>
    <w:p w14:paraId="6BBD7515">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2.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73E7354D">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4713AC57">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 xml:space="preserve">书面声明：投标人必须提供参加政府采购活动前3年内在经营活动中没有重大违法记录的书面声明。 </w:t>
      </w:r>
    </w:p>
    <w:p w14:paraId="7694A0B5">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5.财务状况报告：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7BEB068C">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6.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3369F5E8">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7.</w:t>
      </w:r>
      <w:r>
        <w:rPr>
          <w:rFonts w:hint="eastAsia" w:ascii="宋体" w:hAnsi="宋体" w:eastAsia="宋体" w:cs="宋体"/>
          <w:i w:val="0"/>
          <w:iCs w:val="0"/>
          <w:caps w:val="0"/>
          <w:color w:val="333333"/>
          <w:spacing w:val="0"/>
          <w:sz w:val="24"/>
          <w:szCs w:val="24"/>
          <w:shd w:val="clear" w:fill="FFFFFF"/>
        </w:rPr>
        <w:t>税收缴纳证明：提供</w:t>
      </w:r>
      <w:r>
        <w:rPr>
          <w:rFonts w:hint="eastAsia" w:ascii="宋体" w:hAnsi="宋体" w:eastAsia="宋体"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2CC2767C">
      <w:pPr>
        <w:keepNext w:val="0"/>
        <w:keepLines w:val="0"/>
        <w:pageBreakBefore w:val="0"/>
        <w:kinsoku/>
        <w:wordWrap/>
        <w:overflowPunct/>
        <w:topLinePunct w:val="0"/>
        <w:autoSpaceDE/>
        <w:autoSpaceDN/>
        <w:bidi w:val="0"/>
        <w:adjustRightInd/>
        <w:spacing w:line="420" w:lineRule="exact"/>
        <w:ind w:left="0" w:leftChars="0" w:right="0" w:rightChars="0" w:firstLine="481"/>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8.具备建设行政主管部门核发的公路工程施工总承包三级及以上资质，具有有效的安全生产许可证，并在人员、设备、资金等方面具备相应的施工能力。其中，拟派项目经理具公路工程专业二级及以上注册建造师执业资格和有效的安全生产考核合格证书，且未担任其他在建工程项目的项目经理。</w:t>
      </w:r>
    </w:p>
    <w:p w14:paraId="7FA28507">
      <w:pPr>
        <w:keepNext w:val="0"/>
        <w:keepLines w:val="0"/>
        <w:pageBreakBefore w:val="0"/>
        <w:kinsoku/>
        <w:wordWrap/>
        <w:overflowPunct/>
        <w:topLinePunct w:val="0"/>
        <w:autoSpaceDE/>
        <w:autoSpaceDN/>
        <w:bidi w:val="0"/>
        <w:adjustRightInd/>
        <w:spacing w:line="420" w:lineRule="exact"/>
        <w:ind w:left="0" w:leftChars="0" w:right="0" w:rightChars="0" w:firstLine="481"/>
        <w:textAlignment w:val="auto"/>
        <w:rPr>
          <w:rFonts w:hint="eastAsia" w:ascii="宋体" w:hAnsi="宋体" w:cs="宋体"/>
          <w:color w:val="auto"/>
          <w:sz w:val="24"/>
          <w:szCs w:val="24"/>
          <w:lang w:eastAsia="zh-CN"/>
        </w:rPr>
      </w:pPr>
      <w:r>
        <w:rPr>
          <w:rFonts w:hint="eastAsia" w:ascii="宋体" w:hAnsi="宋体" w:cs="宋体"/>
          <w:color w:val="000000" w:themeColor="text1"/>
          <w:sz w:val="24"/>
          <w:szCs w:val="24"/>
          <w:lang w:eastAsia="zh-CN"/>
          <w14:textFill>
            <w14:solidFill>
              <w14:schemeClr w14:val="tx1"/>
            </w14:solidFill>
          </w14:textFill>
        </w:rPr>
        <w:t>9.本项目专门面向中小企业采购，投标人须提</w:t>
      </w:r>
      <w:r>
        <w:rPr>
          <w:rFonts w:hint="eastAsia" w:ascii="宋体" w:hAnsi="宋体" w:cs="宋体"/>
          <w:color w:val="auto"/>
          <w:sz w:val="24"/>
          <w:szCs w:val="24"/>
          <w:lang w:eastAsia="zh-CN"/>
        </w:rPr>
        <w:t>供《中小企业声明函》。</w:t>
      </w:r>
    </w:p>
    <w:p w14:paraId="43EEA98D">
      <w:pPr>
        <w:keepNext w:val="0"/>
        <w:keepLines w:val="0"/>
        <w:pageBreakBefore w:val="0"/>
        <w:kinsoku/>
        <w:wordWrap/>
        <w:overflowPunct/>
        <w:topLinePunct w:val="0"/>
        <w:autoSpaceDE/>
        <w:autoSpaceDN/>
        <w:bidi w:val="0"/>
        <w:adjustRightInd/>
        <w:spacing w:line="420" w:lineRule="exact"/>
        <w:ind w:left="0" w:leftChars="0" w:right="0" w:rightChars="0" w:firstLine="481"/>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10.本项目不接受联合体投标。</w:t>
      </w:r>
    </w:p>
    <w:bookmarkEnd w:id="22"/>
    <w:p w14:paraId="408CAC03">
      <w:pPr>
        <w:keepNext w:val="0"/>
        <w:keepLines w:val="0"/>
        <w:pageBreakBefore w:val="0"/>
        <w:kinsoku/>
        <w:wordWrap/>
        <w:overflowPunct/>
        <w:topLinePunct w:val="0"/>
        <w:autoSpaceDE/>
        <w:autoSpaceDN/>
        <w:bidi w:val="0"/>
        <w:adjustRightInd/>
        <w:spacing w:line="420" w:lineRule="exact"/>
        <w:ind w:left="0" w:leftChars="0" w:right="0" w:rightChars="0" w:firstLine="481"/>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eastAsia="宋体" w:cs="宋体"/>
          <w:color w:val="auto"/>
          <w:sz w:val="24"/>
          <w:szCs w:val="24"/>
        </w:rPr>
        <w:t>采购项目需要落实的政府采购政策</w:t>
      </w:r>
    </w:p>
    <w:p w14:paraId="1DD97686">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color w:val="auto"/>
        </w:rPr>
      </w:pPr>
      <w:bookmarkStart w:id="23" w:name="OLE_LINK23"/>
      <w:r>
        <w:rPr>
          <w:rFonts w:hint="eastAsia" w:ascii="宋体" w:hAnsi="宋体" w:eastAsia="宋体" w:cs="宋体"/>
          <w:color w:val="auto"/>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33A2FD1E">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cs="宋体"/>
          <w:i w:val="0"/>
          <w:iCs w:val="0"/>
          <w:caps w:val="0"/>
          <w:color w:val="333333"/>
          <w:spacing w:val="0"/>
          <w:kern w:val="2"/>
          <w:sz w:val="24"/>
          <w:szCs w:val="24"/>
          <w:shd w:val="clear" w:fill="FFFFFF"/>
          <w:lang w:val="en-US" w:eastAsia="zh-CN" w:bidi="ar-SA"/>
        </w:rPr>
        <w:t>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p>
    <w:p w14:paraId="4976BE80">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79ED270E">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cs="宋体"/>
          <w:i w:val="0"/>
          <w:iCs w:val="0"/>
          <w:caps w:val="0"/>
          <w:color w:val="333333"/>
          <w:spacing w:val="0"/>
          <w:kern w:val="2"/>
          <w:sz w:val="24"/>
          <w:szCs w:val="24"/>
          <w:shd w:val="clear" w:fill="FFFFFF"/>
          <w:lang w:val="en-US" w:eastAsia="zh-CN" w:bidi="ar-SA"/>
        </w:rPr>
        <w:t>3.</w:t>
      </w:r>
      <w:r>
        <w:rPr>
          <w:rFonts w:hint="eastAsia" w:ascii="宋体" w:hAnsi="宋体" w:eastAsia="宋体" w:cs="宋体"/>
          <w:i w:val="0"/>
          <w:iCs w:val="0"/>
          <w:caps w:val="0"/>
          <w:color w:val="333333"/>
          <w:spacing w:val="0"/>
          <w:sz w:val="24"/>
          <w:szCs w:val="24"/>
          <w:shd w:val="clear" w:fill="FFFFFF"/>
        </w:rPr>
        <w:t>《财政部发展改革委生态环境部市场</w:t>
      </w:r>
      <w:r>
        <w:rPr>
          <w:rFonts w:hint="eastAsia" w:ascii="宋体" w:hAnsi="宋体" w:cs="宋体"/>
          <w:i w:val="0"/>
          <w:iCs w:val="0"/>
          <w:caps w:val="0"/>
          <w:color w:val="333333"/>
          <w:spacing w:val="0"/>
          <w:sz w:val="24"/>
          <w:szCs w:val="24"/>
          <w:shd w:val="clear" w:fill="FFFFFF"/>
          <w:lang w:val="en-US" w:eastAsia="zh-CN"/>
        </w:rPr>
        <w:t>监管</w:t>
      </w:r>
      <w:r>
        <w:rPr>
          <w:rFonts w:hint="eastAsia" w:ascii="宋体" w:hAnsi="宋体" w:eastAsia="宋体" w:cs="宋体"/>
          <w:i w:val="0"/>
          <w:iCs w:val="0"/>
          <w:caps w:val="0"/>
          <w:color w:val="333333"/>
          <w:spacing w:val="0"/>
          <w:sz w:val="24"/>
          <w:szCs w:val="24"/>
          <w:shd w:val="clear" w:fill="FFFFFF"/>
        </w:rPr>
        <w:t>总局关于调整优化节能产品、环境标志产品政府采购执行机制的通知》（财库〔2019〕9号）；</w:t>
      </w:r>
    </w:p>
    <w:p w14:paraId="410A2F20">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cs="宋体"/>
          <w:i w:val="0"/>
          <w:iCs w:val="0"/>
          <w:caps w:val="0"/>
          <w:color w:val="333333"/>
          <w:spacing w:val="0"/>
          <w:kern w:val="2"/>
          <w:sz w:val="24"/>
          <w:szCs w:val="24"/>
          <w:shd w:val="clear" w:fill="FFFFFF"/>
          <w:lang w:val="en-US" w:eastAsia="zh-CN" w:bidi="ar-SA"/>
        </w:rPr>
        <w:t>4.</w:t>
      </w:r>
      <w:r>
        <w:rPr>
          <w:rFonts w:hint="eastAsia" w:ascii="宋体" w:hAnsi="宋体" w:eastAsia="宋体" w:cs="宋体"/>
          <w:i w:val="0"/>
          <w:iCs w:val="0"/>
          <w:caps w:val="0"/>
          <w:color w:val="333333"/>
          <w:spacing w:val="0"/>
          <w:sz w:val="24"/>
          <w:szCs w:val="24"/>
          <w:shd w:val="clear" w:fill="FFFFFF"/>
        </w:rPr>
        <w:t>《财政部民政部中国残疾人联合会关于促进残疾人就业政府采购政策的通知》（财库〔2017〕141号）；</w:t>
      </w:r>
    </w:p>
    <w:p w14:paraId="347CE09F">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cs="宋体"/>
          <w:i w:val="0"/>
          <w:iCs w:val="0"/>
          <w:caps w:val="0"/>
          <w:color w:val="333333"/>
          <w:spacing w:val="0"/>
          <w:kern w:val="2"/>
          <w:sz w:val="24"/>
          <w:szCs w:val="24"/>
          <w:shd w:val="clear" w:fill="FFFFFF"/>
          <w:lang w:val="en-US" w:eastAsia="zh-CN" w:bidi="ar-SA"/>
        </w:rPr>
        <w:t>5.</w:t>
      </w:r>
      <w:r>
        <w:rPr>
          <w:rFonts w:hint="eastAsia" w:ascii="宋体" w:hAnsi="宋体" w:cs="宋体"/>
          <w:color w:val="333333"/>
          <w:sz w:val="24"/>
          <w:szCs w:val="24"/>
          <w:shd w:val="clear" w:color="auto" w:fill="FFFFFF"/>
        </w:rPr>
        <w:t>《财政部农业农村部国家乡村振兴局关于运用政府采购政策支持乡村产业振兴的通知》财库〔2021〕19号</w:t>
      </w:r>
      <w:r>
        <w:rPr>
          <w:rFonts w:hint="eastAsia" w:ascii="宋体" w:hAnsi="宋体" w:eastAsia="宋体" w:cs="宋体"/>
          <w:i w:val="0"/>
          <w:iCs w:val="0"/>
          <w:caps w:val="0"/>
          <w:color w:val="333333"/>
          <w:spacing w:val="0"/>
          <w:sz w:val="24"/>
          <w:szCs w:val="24"/>
          <w:shd w:val="clear" w:fill="FFFFFF"/>
        </w:rPr>
        <w:t>；</w:t>
      </w:r>
    </w:p>
    <w:p w14:paraId="62144311">
      <w:pPr>
        <w:keepNext w:val="0"/>
        <w:keepLines w:val="0"/>
        <w:pageBreakBefore w:val="0"/>
        <w:numPr>
          <w:ilvl w:val="0"/>
          <w:numId w:val="0"/>
        </w:numPr>
        <w:kinsoku/>
        <w:overflowPunct/>
        <w:topLinePunct w:val="0"/>
        <w:autoSpaceDE/>
        <w:autoSpaceDN/>
        <w:bidi w:val="0"/>
        <w:snapToGrid w:val="0"/>
        <w:spacing w:line="42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cs="宋体"/>
          <w:i w:val="0"/>
          <w:iCs w:val="0"/>
          <w:caps w:val="0"/>
          <w:color w:val="333333"/>
          <w:spacing w:val="0"/>
          <w:kern w:val="2"/>
          <w:sz w:val="24"/>
          <w:szCs w:val="24"/>
          <w:shd w:val="clear" w:fill="FFFFFF"/>
          <w:lang w:val="en-US" w:eastAsia="zh-CN" w:bidi="ar-SA"/>
        </w:rPr>
        <w:t>6.</w:t>
      </w:r>
      <w:r>
        <w:rPr>
          <w:rFonts w:hint="eastAsia" w:ascii="宋体" w:hAnsi="宋体" w:eastAsia="宋体" w:cs="宋体"/>
          <w:b w:val="0"/>
          <w:bCs/>
          <w:color w:val="333333"/>
          <w:sz w:val="24"/>
          <w:szCs w:val="24"/>
          <w:highlight w:val="none"/>
          <w:shd w:val="clear" w:color="auto" w:fill="FFFFFF"/>
        </w:rPr>
        <w:t>《陕西省财政厅关于加快推进我省中小企业政府采购信用融资工作的通知》（陕财办采〔2020〕15 号）、陕西省财政厅关于印发《陕西省中小企业政府采购信用融资办法》（陕财办采〔2018〕23 号）</w:t>
      </w:r>
      <w:r>
        <w:rPr>
          <w:rFonts w:hint="eastAsia" w:ascii="宋体" w:hAnsi="宋体" w:eastAsia="宋体" w:cs="宋体"/>
          <w:i w:val="0"/>
          <w:iCs w:val="0"/>
          <w:caps w:val="0"/>
          <w:color w:val="333333"/>
          <w:spacing w:val="0"/>
          <w:sz w:val="24"/>
          <w:szCs w:val="24"/>
          <w:shd w:val="clear" w:fill="FFFFFF"/>
        </w:rPr>
        <w:t>；</w:t>
      </w:r>
    </w:p>
    <w:p w14:paraId="04647DE6">
      <w:pPr>
        <w:keepNext w:val="0"/>
        <w:keepLines w:val="0"/>
        <w:pageBreakBefore w:val="0"/>
        <w:kinsoku/>
        <w:wordWrap/>
        <w:overflowPunct/>
        <w:topLinePunct w:val="0"/>
        <w:autoSpaceDE/>
        <w:autoSpaceDN/>
        <w:bidi w:val="0"/>
        <w:adjustRightInd/>
        <w:spacing w:line="420" w:lineRule="exact"/>
        <w:ind w:firstLine="480" w:firstLineChars="200"/>
        <w:textAlignment w:val="auto"/>
        <w:rPr>
          <w:color w:val="auto"/>
          <w:szCs w:val="24"/>
        </w:rPr>
      </w:pPr>
      <w:r>
        <w:rPr>
          <w:rFonts w:hint="eastAsia" w:ascii="宋体" w:hAnsi="宋体" w:cs="宋体"/>
          <w:i w:val="0"/>
          <w:iCs w:val="0"/>
          <w:caps w:val="0"/>
          <w:color w:val="333333"/>
          <w:spacing w:val="0"/>
          <w:kern w:val="2"/>
          <w:sz w:val="24"/>
          <w:szCs w:val="24"/>
          <w:shd w:val="clear" w:fill="FFFFFF"/>
          <w:lang w:val="en-US" w:eastAsia="zh-CN" w:bidi="ar-SA"/>
        </w:rPr>
        <w:t>7.</w:t>
      </w:r>
      <w:r>
        <w:rPr>
          <w:rFonts w:hint="eastAsia" w:ascii="宋体" w:hAnsi="宋体" w:eastAsia="宋体" w:cs="宋体"/>
          <w:i w:val="0"/>
          <w:iCs w:val="0"/>
          <w:caps w:val="0"/>
          <w:color w:val="333333"/>
          <w:spacing w:val="0"/>
          <w:sz w:val="24"/>
          <w:szCs w:val="24"/>
          <w:shd w:val="clear" w:fill="FFFFFF"/>
        </w:rPr>
        <w:t>其他需要落实的政府采购政策。</w:t>
      </w:r>
    </w:p>
    <w:bookmarkEnd w:id="23"/>
    <w:p w14:paraId="64D5D46F">
      <w:pPr>
        <w:keepNext w:val="0"/>
        <w:keepLines w:val="0"/>
        <w:pageBreakBefore w:val="0"/>
        <w:kinsoku/>
        <w:wordWrap/>
        <w:overflowPunct/>
        <w:topLinePunct w:val="0"/>
        <w:autoSpaceDE/>
        <w:autoSpaceDN/>
        <w:bidi w:val="0"/>
        <w:adjustRightInd/>
        <w:snapToGrid w:val="0"/>
        <w:spacing w:line="420" w:lineRule="exact"/>
        <w:ind w:left="0" w:leftChars="0" w:right="0" w:righ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三、磋商文件获取 </w:t>
      </w:r>
    </w:p>
    <w:p w14:paraId="4DC145B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420" w:lineRule="exact"/>
        <w:ind w:left="0" w:right="0" w:firstLine="480"/>
        <w:jc w:val="both"/>
        <w:textAlignment w:val="auto"/>
        <w:rPr>
          <w:rFonts w:hint="eastAsia" w:ascii="宋体" w:hAnsi="宋体" w:eastAsia="宋体" w:cs="宋体"/>
          <w:color w:val="auto"/>
          <w:kern w:val="0"/>
          <w:sz w:val="24"/>
          <w:szCs w:val="24"/>
          <w:lang w:val="en-US" w:eastAsia="zh-CN" w:bidi="ar-SA"/>
        </w:rPr>
      </w:pPr>
      <w:bookmarkStart w:id="24" w:name="_Toc35529352"/>
      <w:r>
        <w:rPr>
          <w:rFonts w:hint="eastAsia" w:ascii="宋体" w:hAnsi="宋体" w:eastAsia="宋体" w:cs="宋体"/>
          <w:color w:val="auto"/>
          <w:kern w:val="0"/>
          <w:sz w:val="24"/>
          <w:szCs w:val="24"/>
        </w:rPr>
        <w:t>1</w:t>
      </w:r>
      <w:bookmarkStart w:id="25" w:name="OLE_LINK27"/>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获取时间：</w:t>
      </w:r>
      <w:bookmarkEnd w:id="24"/>
      <w:r>
        <w:rPr>
          <w:rFonts w:hint="eastAsia" w:ascii="宋体" w:hAnsi="宋体" w:eastAsia="宋体" w:cs="宋体"/>
          <w:i w:val="0"/>
          <w:iCs w:val="0"/>
          <w:caps w:val="0"/>
          <w:color w:val="auto"/>
          <w:spacing w:val="0"/>
          <w:sz w:val="24"/>
          <w:szCs w:val="24"/>
          <w:shd w:val="clear" w:fill="FFFFFF"/>
        </w:rPr>
        <w:t>2025</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年</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28</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日至2025年</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w:t>
      </w:r>
      <w:bookmarkEnd w:id="25"/>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每天上午</w:t>
      </w:r>
      <w:r>
        <w:rPr>
          <w:rFonts w:hint="eastAsia" w:ascii="宋体" w:hAnsi="宋体" w:eastAsia="宋体" w:cs="宋体"/>
          <w:i w:val="0"/>
          <w:iCs w:val="0"/>
          <w:caps w:val="0"/>
          <w:color w:val="auto"/>
          <w:spacing w:val="0"/>
          <w:sz w:val="24"/>
          <w:szCs w:val="24"/>
          <w:shd w:val="clear" w:fill="FFFFFF"/>
        </w:rPr>
        <w:t>08:00:00至12:00:00，下午14:00:00至18:00:00（北京时间）</w:t>
      </w:r>
    </w:p>
    <w:p w14:paraId="744D3BD6">
      <w:pPr>
        <w:keepNext w:val="0"/>
        <w:keepLines w:val="0"/>
        <w:pageBreakBefore w:val="0"/>
        <w:kinsoku/>
        <w:wordWrap/>
        <w:overflowPunct/>
        <w:topLinePunct w:val="0"/>
        <w:autoSpaceDE/>
        <w:autoSpaceDN/>
        <w:bidi w:val="0"/>
        <w:adjustRightInd/>
        <w:spacing w:line="420" w:lineRule="exact"/>
        <w:ind w:left="0" w:leftChars="0" w:right="0" w:rightChars="0" w:firstLine="480" w:firstLineChars="200"/>
        <w:textAlignment w:val="auto"/>
        <w:rPr>
          <w:rFonts w:hint="eastAsia" w:ascii="宋体" w:hAnsi="宋体" w:eastAsia="宋体" w:cs="宋体"/>
          <w:color w:val="auto"/>
          <w:kern w:val="0"/>
          <w:sz w:val="24"/>
          <w:szCs w:val="24"/>
        </w:rPr>
      </w:pPr>
      <w:bookmarkStart w:id="26" w:name="_Toc35529353"/>
      <w:r>
        <w:rPr>
          <w:rFonts w:hint="eastAsia" w:ascii="宋体" w:hAnsi="宋体" w:eastAsia="宋体" w:cs="宋体"/>
          <w:color w:val="auto"/>
          <w:kern w:val="0"/>
          <w:sz w:val="24"/>
          <w:szCs w:val="24"/>
        </w:rPr>
        <w:t>2</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获取地点：</w:t>
      </w:r>
      <w:bookmarkEnd w:id="26"/>
      <w:r>
        <w:rPr>
          <w:rFonts w:hint="eastAsia" w:ascii="宋体" w:hAnsi="宋体" w:cs="宋体"/>
          <w:color w:val="auto"/>
          <w:kern w:val="0"/>
          <w:sz w:val="24"/>
          <w:szCs w:val="24"/>
          <w:lang w:eastAsia="zh-CN"/>
        </w:rPr>
        <w:t>安康市高新区高新观澜8栋二单元801室</w:t>
      </w:r>
    </w:p>
    <w:p w14:paraId="216B38FB">
      <w:pPr>
        <w:pStyle w:val="46"/>
        <w:keepNext w:val="0"/>
        <w:keepLines w:val="0"/>
        <w:pageBreakBefore w:val="0"/>
        <w:kinsoku/>
        <w:wordWrap/>
        <w:overflowPunct/>
        <w:topLinePunct w:val="0"/>
        <w:autoSpaceDE/>
        <w:autoSpaceDN/>
        <w:bidi w:val="0"/>
        <w:adjustRightInd/>
        <w:spacing w:line="420" w:lineRule="exact"/>
        <w:ind w:left="0" w:leftChars="0" w:right="0" w:rightChars="0" w:firstLine="48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获取方式：现场</w:t>
      </w:r>
      <w:r>
        <w:rPr>
          <w:rFonts w:hint="eastAsia" w:ascii="宋体" w:hAnsi="宋体" w:cs="宋体"/>
          <w:color w:val="auto"/>
          <w:kern w:val="0"/>
          <w:sz w:val="24"/>
          <w:szCs w:val="24"/>
          <w:lang w:val="en-US" w:eastAsia="zh-CN"/>
        </w:rPr>
        <w:t>获取</w:t>
      </w:r>
      <w:r>
        <w:rPr>
          <w:rFonts w:hint="eastAsia" w:ascii="宋体" w:hAnsi="宋体" w:eastAsia="宋体" w:cs="宋体"/>
          <w:color w:val="auto"/>
          <w:kern w:val="0"/>
          <w:sz w:val="24"/>
          <w:szCs w:val="24"/>
        </w:rPr>
        <w:t xml:space="preserve"> </w:t>
      </w:r>
      <w:bookmarkStart w:id="27" w:name="_Toc35529356"/>
      <w:r>
        <w:rPr>
          <w:rFonts w:hint="eastAsia" w:ascii="宋体" w:hAnsi="宋体" w:eastAsia="宋体" w:cs="宋体"/>
          <w:color w:val="auto"/>
          <w:kern w:val="0"/>
          <w:sz w:val="24"/>
          <w:szCs w:val="24"/>
        </w:rPr>
        <w:t xml:space="preserve"> </w:t>
      </w:r>
    </w:p>
    <w:bookmarkEnd w:id="27"/>
    <w:p w14:paraId="6B7189DC">
      <w:pPr>
        <w:keepNext w:val="0"/>
        <w:keepLines w:val="0"/>
        <w:pageBreakBefore w:val="0"/>
        <w:kinsoku/>
        <w:wordWrap/>
        <w:overflowPunct/>
        <w:topLinePunct w:val="0"/>
        <w:autoSpaceDE/>
        <w:autoSpaceDN/>
        <w:bidi w:val="0"/>
        <w:adjustRightInd/>
        <w:spacing w:line="420" w:lineRule="exact"/>
        <w:ind w:left="0" w:leftChars="0" w:right="0" w:righ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获取</w:t>
      </w:r>
      <w:r>
        <w:rPr>
          <w:rFonts w:hint="eastAsia" w:ascii="宋体" w:hAnsi="宋体" w:eastAsia="宋体" w:cs="宋体"/>
          <w:b/>
          <w:bCs/>
          <w:color w:val="auto"/>
          <w:sz w:val="24"/>
          <w:szCs w:val="24"/>
        </w:rPr>
        <w:t>须知：投标供应商请在文件</w:t>
      </w:r>
      <w:r>
        <w:rPr>
          <w:rFonts w:hint="eastAsia" w:ascii="宋体" w:hAnsi="宋体" w:cs="宋体"/>
          <w:b/>
          <w:bCs/>
          <w:color w:val="auto"/>
          <w:sz w:val="24"/>
          <w:szCs w:val="24"/>
          <w:lang w:val="en-US" w:eastAsia="zh-CN"/>
        </w:rPr>
        <w:t>获取</w:t>
      </w:r>
      <w:r>
        <w:rPr>
          <w:rFonts w:hint="eastAsia" w:ascii="宋体" w:hAnsi="宋体" w:eastAsia="宋体" w:cs="宋体"/>
          <w:b/>
          <w:bCs/>
          <w:color w:val="auto"/>
          <w:sz w:val="24"/>
          <w:szCs w:val="24"/>
        </w:rPr>
        <w:t>时间以内将单位介绍信（备注经办人联系电话及电子邮箱）</w:t>
      </w:r>
      <w:r>
        <w:rPr>
          <w:rFonts w:hint="eastAsia" w:ascii="宋体" w:hAnsi="宋体" w:eastAsia="宋体" w:cs="宋体"/>
          <w:b/>
          <w:bCs/>
          <w:color w:val="auto"/>
          <w:sz w:val="24"/>
          <w:szCs w:val="24"/>
          <w:lang w:eastAsia="zh-CN"/>
        </w:rPr>
        <w:t>及</w:t>
      </w:r>
      <w:r>
        <w:rPr>
          <w:rFonts w:hint="eastAsia" w:ascii="宋体" w:hAnsi="宋体" w:eastAsia="宋体" w:cs="宋体"/>
          <w:b/>
          <w:bCs/>
          <w:color w:val="auto"/>
          <w:sz w:val="24"/>
          <w:szCs w:val="24"/>
        </w:rPr>
        <w:t>身份证复印件加盖公章递</w:t>
      </w:r>
      <w:r>
        <w:rPr>
          <w:rFonts w:hint="eastAsia" w:ascii="宋体" w:hAnsi="宋体" w:eastAsia="宋体" w:cs="宋体"/>
          <w:b/>
          <w:bCs/>
          <w:color w:val="auto"/>
          <w:sz w:val="24"/>
          <w:szCs w:val="24"/>
          <w:lang w:val="en-US" w:eastAsia="zh-CN"/>
        </w:rPr>
        <w:t>交</w:t>
      </w:r>
      <w:r>
        <w:rPr>
          <w:rFonts w:hint="eastAsia" w:ascii="宋体" w:hAnsi="宋体" w:eastAsia="宋体" w:cs="宋体"/>
          <w:b/>
          <w:bCs/>
          <w:color w:val="auto"/>
          <w:sz w:val="24"/>
          <w:szCs w:val="24"/>
        </w:rPr>
        <w:t>至安康尚昊招标代理有限公司</w:t>
      </w:r>
      <w:r>
        <w:rPr>
          <w:rFonts w:hint="eastAsia" w:ascii="宋体" w:hAnsi="宋体" w:eastAsia="宋体" w:cs="宋体"/>
          <w:b/>
          <w:bCs/>
          <w:color w:val="auto"/>
          <w:sz w:val="24"/>
          <w:szCs w:val="24"/>
          <w:lang w:eastAsia="zh-CN"/>
        </w:rPr>
        <w:t>（</w:t>
      </w:r>
      <w:r>
        <w:rPr>
          <w:rFonts w:hint="eastAsia" w:ascii="宋体" w:hAnsi="宋体" w:cs="宋体"/>
          <w:b/>
          <w:bCs/>
          <w:color w:val="auto"/>
          <w:sz w:val="24"/>
          <w:szCs w:val="24"/>
          <w:lang w:eastAsia="zh-CN"/>
        </w:rPr>
        <w:t>安康市高新区高新观澜8栋二单元801室，</w:t>
      </w:r>
      <w:r>
        <w:rPr>
          <w:rFonts w:hint="eastAsia" w:ascii="宋体" w:hAnsi="宋体" w:cs="宋体"/>
          <w:b/>
          <w:bCs/>
          <w:color w:val="auto"/>
          <w:sz w:val="24"/>
          <w:szCs w:val="24"/>
          <w:lang w:val="en-US" w:eastAsia="zh-CN"/>
        </w:rPr>
        <w:t>邮箱：769697590@qq.com</w:t>
      </w:r>
      <w:r>
        <w:rPr>
          <w:rFonts w:hint="eastAsia" w:ascii="宋体" w:hAnsi="宋体" w:eastAsia="宋体" w:cs="宋体"/>
          <w:b/>
          <w:bCs/>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确认完毕后采购代理机构</w:t>
      </w:r>
      <w:r>
        <w:rPr>
          <w:rFonts w:hint="eastAsia" w:ascii="宋体" w:hAnsi="宋体" w:eastAsia="宋体" w:cs="宋体"/>
          <w:b/>
          <w:bCs/>
          <w:color w:val="auto"/>
          <w:sz w:val="24"/>
          <w:szCs w:val="24"/>
          <w:lang w:eastAsia="zh-CN"/>
        </w:rPr>
        <w:t>将通过邮箱传送磋商文件，请注意查收。</w:t>
      </w:r>
    </w:p>
    <w:p w14:paraId="53B34649">
      <w:pPr>
        <w:keepNext w:val="0"/>
        <w:keepLines w:val="0"/>
        <w:pageBreakBefore w:val="0"/>
        <w:kinsoku/>
        <w:wordWrap/>
        <w:overflowPunct/>
        <w:topLinePunct w:val="0"/>
        <w:autoSpaceDE/>
        <w:autoSpaceDN/>
        <w:bidi w:val="0"/>
        <w:adjustRightInd/>
        <w:spacing w:line="420" w:lineRule="exact"/>
        <w:ind w:left="0" w:leftChars="0" w:right="0" w:rightChars="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四、</w:t>
      </w:r>
      <w:r>
        <w:rPr>
          <w:rFonts w:hint="eastAsia" w:ascii="宋体" w:hAnsi="宋体" w:eastAsia="宋体" w:cs="宋体"/>
          <w:b/>
          <w:bCs/>
          <w:color w:val="auto"/>
          <w:kern w:val="0"/>
          <w:sz w:val="24"/>
          <w:szCs w:val="24"/>
        </w:rPr>
        <w:t>响应文件递交：</w:t>
      </w:r>
    </w:p>
    <w:p w14:paraId="4CBEB6E3">
      <w:pPr>
        <w:keepNext w:val="0"/>
        <w:keepLines w:val="0"/>
        <w:pageBreakBefore w:val="0"/>
        <w:widowControl/>
        <w:tabs>
          <w:tab w:val="left" w:pos="0"/>
        </w:tabs>
        <w:kinsoku/>
        <w:wordWrap/>
        <w:overflowPunct/>
        <w:topLinePunct w:val="0"/>
        <w:autoSpaceDE/>
        <w:autoSpaceDN/>
        <w:bidi w:val="0"/>
        <w:adjustRightInd/>
        <w:snapToGrid w:val="0"/>
        <w:spacing w:line="420" w:lineRule="exact"/>
        <w:ind w:left="0" w:leftChars="0" w:right="0" w:rightChars="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响应文件递交截止时间：</w:t>
      </w:r>
      <w:bookmarkStart w:id="28" w:name="OLE_LINK19"/>
      <w:r>
        <w:rPr>
          <w:rFonts w:hint="eastAsia" w:ascii="宋体" w:hAnsi="宋体" w:eastAsia="宋体" w:cs="宋体"/>
          <w:i w:val="0"/>
          <w:iCs w:val="0"/>
          <w:caps w:val="0"/>
          <w:color w:val="auto"/>
          <w:spacing w:val="0"/>
          <w:sz w:val="24"/>
          <w:szCs w:val="24"/>
          <w:shd w:val="clear" w:fill="FFFFFF"/>
        </w:rPr>
        <w:t>2025年</w:t>
      </w: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月</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 09</w:t>
      </w:r>
      <w:r>
        <w:rPr>
          <w:rFonts w:hint="eastAsia" w:ascii="宋体" w:hAnsi="宋体" w:eastAsia="宋体" w:cs="宋体"/>
          <w:i w:val="0"/>
          <w:iCs w:val="0"/>
          <w:caps w:val="0"/>
          <w:color w:val="auto"/>
          <w:spacing w:val="0"/>
          <w:sz w:val="24"/>
          <w:szCs w:val="24"/>
          <w:shd w:val="clear" w:fill="FFFFFF"/>
        </w:rPr>
        <w:t>时00分</w:t>
      </w:r>
      <w:bookmarkEnd w:id="28"/>
      <w:r>
        <w:rPr>
          <w:rFonts w:hint="eastAsia" w:ascii="宋体" w:hAnsi="宋体" w:eastAsia="宋体" w:cs="宋体"/>
          <w:i w:val="0"/>
          <w:iCs w:val="0"/>
          <w:caps w:val="0"/>
          <w:color w:val="auto"/>
          <w:spacing w:val="0"/>
          <w:sz w:val="24"/>
          <w:szCs w:val="24"/>
          <w:shd w:val="clear" w:fill="FFFFFF"/>
        </w:rPr>
        <w:t>（北京时间）</w:t>
      </w:r>
      <w:r>
        <w:rPr>
          <w:rFonts w:hint="eastAsia" w:ascii="宋体" w:hAnsi="宋体" w:eastAsia="宋体" w:cs="宋体"/>
          <w:color w:val="auto"/>
          <w:kern w:val="0"/>
          <w:sz w:val="24"/>
          <w:szCs w:val="24"/>
        </w:rPr>
        <w:t xml:space="preserve">前 </w:t>
      </w:r>
    </w:p>
    <w:p w14:paraId="6C5C4994">
      <w:pPr>
        <w:keepNext w:val="0"/>
        <w:keepLines w:val="0"/>
        <w:pageBreakBefore w:val="0"/>
        <w:widowControl/>
        <w:tabs>
          <w:tab w:val="left" w:pos="1620"/>
        </w:tabs>
        <w:kinsoku/>
        <w:wordWrap/>
        <w:overflowPunct/>
        <w:topLinePunct w:val="0"/>
        <w:autoSpaceDE/>
        <w:autoSpaceDN/>
        <w:bidi w:val="0"/>
        <w:adjustRightInd/>
        <w:snapToGrid w:val="0"/>
        <w:spacing w:line="420" w:lineRule="exact"/>
        <w:ind w:left="0" w:leftChars="0" w:right="0" w:rightChars="0" w:firstLine="48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响应文件递交地点：</w:t>
      </w:r>
      <w:r>
        <w:rPr>
          <w:rFonts w:hint="eastAsia" w:ascii="宋体" w:hAnsi="宋体" w:cs="宋体"/>
          <w:color w:val="auto"/>
          <w:sz w:val="24"/>
          <w:szCs w:val="24"/>
          <w:lang w:eastAsia="zh-CN"/>
        </w:rPr>
        <w:t>安康市高新区高新观澜8栋二单元801室</w:t>
      </w:r>
    </w:p>
    <w:p w14:paraId="6F0C3A40">
      <w:pPr>
        <w:keepNext w:val="0"/>
        <w:keepLines w:val="0"/>
        <w:pageBreakBefore w:val="0"/>
        <w:widowControl/>
        <w:tabs>
          <w:tab w:val="left" w:pos="1620"/>
        </w:tabs>
        <w:kinsoku/>
        <w:wordWrap/>
        <w:overflowPunct/>
        <w:topLinePunct w:val="0"/>
        <w:autoSpaceDE/>
        <w:autoSpaceDN/>
        <w:bidi w:val="0"/>
        <w:adjustRightInd/>
        <w:snapToGrid w:val="0"/>
        <w:spacing w:line="420" w:lineRule="exact"/>
        <w:ind w:left="0" w:leftChars="0" w:right="0" w:rightChars="0"/>
        <w:jc w:val="left"/>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五、公告期限：</w:t>
      </w:r>
      <w:r>
        <w:rPr>
          <w:rFonts w:hint="eastAsia" w:ascii="宋体" w:hAnsi="宋体" w:eastAsia="宋体" w:cs="宋体"/>
          <w:color w:val="auto"/>
          <w:kern w:val="0"/>
          <w:sz w:val="24"/>
          <w:szCs w:val="24"/>
        </w:rPr>
        <w:t>自本公告发布之日起3个工作日。</w:t>
      </w:r>
    </w:p>
    <w:p w14:paraId="7AD5F45E">
      <w:pPr>
        <w:keepNext w:val="0"/>
        <w:keepLines w:val="0"/>
        <w:pageBreakBefore w:val="0"/>
        <w:widowControl/>
        <w:tabs>
          <w:tab w:val="left" w:pos="1620"/>
          <w:tab w:val="left" w:pos="8105"/>
        </w:tabs>
        <w:kinsoku/>
        <w:wordWrap/>
        <w:overflowPunct/>
        <w:topLinePunct w:val="0"/>
        <w:autoSpaceDE/>
        <w:autoSpaceDN/>
        <w:bidi w:val="0"/>
        <w:adjustRightInd/>
        <w:snapToGrid w:val="0"/>
        <w:spacing w:line="420" w:lineRule="exact"/>
        <w:ind w:left="0" w:leftChars="0" w:right="0" w:rightChars="0"/>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六、其他补充事宜：</w:t>
      </w:r>
      <w:r>
        <w:rPr>
          <w:rFonts w:hint="eastAsia" w:ascii="宋体" w:hAnsi="宋体" w:cs="宋体"/>
          <w:b w:val="0"/>
          <w:bCs w:val="0"/>
          <w:color w:val="auto"/>
          <w:kern w:val="0"/>
          <w:sz w:val="24"/>
          <w:szCs w:val="24"/>
          <w:lang w:eastAsia="zh-CN"/>
        </w:rPr>
        <w:t>无</w:t>
      </w:r>
      <w:r>
        <w:rPr>
          <w:rFonts w:hint="eastAsia" w:ascii="宋体" w:hAnsi="宋体" w:cs="宋体"/>
          <w:b w:val="0"/>
          <w:bCs w:val="0"/>
          <w:color w:val="auto"/>
          <w:kern w:val="0"/>
          <w:sz w:val="24"/>
          <w:szCs w:val="24"/>
          <w:lang w:eastAsia="zh-CN"/>
        </w:rPr>
        <w:tab/>
      </w:r>
    </w:p>
    <w:p w14:paraId="632F6A86">
      <w:pPr>
        <w:pStyle w:val="46"/>
        <w:keepNext w:val="0"/>
        <w:keepLines w:val="0"/>
        <w:pageBreakBefore w:val="0"/>
        <w:kinsoku/>
        <w:wordWrap/>
        <w:overflowPunct/>
        <w:topLinePunct w:val="0"/>
        <w:autoSpaceDE/>
        <w:autoSpaceDN/>
        <w:bidi w:val="0"/>
        <w:adjustRightInd/>
        <w:spacing w:line="420" w:lineRule="exact"/>
        <w:ind w:left="0" w:leftChars="0" w:right="0" w:rightChars="0" w:firstLine="0" w:firstLineChars="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七、对本次采购提出询问，请按以下方式联系</w:t>
      </w:r>
    </w:p>
    <w:p w14:paraId="2D08A0FA">
      <w:pPr>
        <w:pStyle w:val="46"/>
        <w:keepNext w:val="0"/>
        <w:keepLines w:val="0"/>
        <w:pageBreakBefore w:val="0"/>
        <w:numPr>
          <w:ilvl w:val="0"/>
          <w:numId w:val="0"/>
        </w:numPr>
        <w:kinsoku/>
        <w:wordWrap/>
        <w:overflowPunct/>
        <w:topLinePunct w:val="0"/>
        <w:autoSpaceDE/>
        <w:autoSpaceDN/>
        <w:bidi w:val="0"/>
        <w:adjustRightInd/>
        <w:spacing w:line="420" w:lineRule="exact"/>
        <w:ind w:leftChars="200" w:right="0" w:rightChars="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采购人信息</w:t>
      </w:r>
    </w:p>
    <w:p w14:paraId="65C13840">
      <w:pPr>
        <w:pStyle w:val="46"/>
        <w:keepNext w:val="0"/>
        <w:keepLines w:val="0"/>
        <w:pageBreakBefore w:val="0"/>
        <w:numPr>
          <w:ilvl w:val="0"/>
          <w:numId w:val="0"/>
        </w:numPr>
        <w:kinsoku/>
        <w:wordWrap/>
        <w:overflowPunct/>
        <w:topLinePunct w:val="0"/>
        <w:autoSpaceDE/>
        <w:autoSpaceDN/>
        <w:bidi w:val="0"/>
        <w:adjustRightInd/>
        <w:spacing w:line="420" w:lineRule="exact"/>
        <w:ind w:right="0" w:rightChars="0" w:firstLine="720" w:firstLineChars="3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w:t>
      </w:r>
      <w:bookmarkStart w:id="29" w:name="OLE_LINK11"/>
      <w:r>
        <w:rPr>
          <w:rFonts w:hint="eastAsia" w:ascii="宋体" w:hAnsi="宋体" w:cs="宋体"/>
          <w:color w:val="auto"/>
          <w:kern w:val="0"/>
          <w:sz w:val="24"/>
          <w:szCs w:val="24"/>
          <w:lang w:val="en-US" w:eastAsia="zh-CN"/>
        </w:rPr>
        <w:t>安康市恒口示范区（试验区）住房和城乡建设局</w:t>
      </w:r>
    </w:p>
    <w:bookmarkEnd w:id="29"/>
    <w:p w14:paraId="52F2A701">
      <w:pPr>
        <w:pStyle w:val="46"/>
        <w:keepNext w:val="0"/>
        <w:keepLines w:val="0"/>
        <w:pageBreakBefore w:val="0"/>
        <w:kinsoku/>
        <w:overflowPunct/>
        <w:topLinePunct w:val="0"/>
        <w:autoSpaceDE/>
        <w:autoSpaceDN/>
        <w:bidi w:val="0"/>
        <w:spacing w:line="420" w:lineRule="exact"/>
        <w:ind w:firstLine="720" w:firstLineChars="30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地    址：</w:t>
      </w:r>
      <w:bookmarkStart w:id="30" w:name="OLE_LINK21"/>
      <w:bookmarkStart w:id="31" w:name="OLE_LINK20"/>
      <w:bookmarkStart w:id="272" w:name="_GoBack"/>
      <w:r>
        <w:rPr>
          <w:rFonts w:hint="eastAsia" w:ascii="宋体" w:hAnsi="宋体" w:cs="宋体"/>
          <w:color w:val="auto"/>
          <w:kern w:val="0"/>
          <w:sz w:val="24"/>
          <w:szCs w:val="24"/>
          <w:lang w:val="en-US" w:eastAsia="zh-CN"/>
        </w:rPr>
        <w:t>恒口示范区月滨北大道</w:t>
      </w:r>
      <w:bookmarkEnd w:id="30"/>
      <w:r>
        <w:rPr>
          <w:rFonts w:hint="eastAsia" w:ascii="宋体" w:hAnsi="宋体" w:cs="宋体"/>
          <w:color w:val="auto"/>
          <w:kern w:val="0"/>
          <w:sz w:val="24"/>
          <w:szCs w:val="24"/>
          <w:lang w:val="en-US" w:eastAsia="zh-CN"/>
        </w:rPr>
        <w:t xml:space="preserve"> </w:t>
      </w:r>
      <w:bookmarkEnd w:id="31"/>
    </w:p>
    <w:bookmarkEnd w:id="272"/>
    <w:p w14:paraId="4AEB39A7">
      <w:pPr>
        <w:pStyle w:val="46"/>
        <w:keepNext w:val="0"/>
        <w:keepLines w:val="0"/>
        <w:pageBreakBefore w:val="0"/>
        <w:numPr>
          <w:ilvl w:val="0"/>
          <w:numId w:val="0"/>
        </w:numPr>
        <w:kinsoku/>
        <w:overflowPunct/>
        <w:topLinePunct w:val="0"/>
        <w:autoSpaceDE/>
        <w:autoSpaceDN/>
        <w:bidi w:val="0"/>
        <w:spacing w:line="420" w:lineRule="exact"/>
        <w:ind w:firstLine="720" w:firstLineChars="30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联 系 人：</w:t>
      </w:r>
      <w:bookmarkStart w:id="32" w:name="OLE_LINK31"/>
      <w:r>
        <w:rPr>
          <w:rFonts w:hint="eastAsia" w:ascii="宋体" w:hAnsi="宋体" w:cs="宋体"/>
          <w:color w:val="auto"/>
          <w:kern w:val="0"/>
          <w:sz w:val="24"/>
          <w:szCs w:val="24"/>
          <w:lang w:val="en-US" w:eastAsia="zh-CN"/>
        </w:rPr>
        <w:t>邝工</w:t>
      </w:r>
    </w:p>
    <w:bookmarkEnd w:id="32"/>
    <w:p w14:paraId="1574E2C5">
      <w:pPr>
        <w:pStyle w:val="46"/>
        <w:keepNext w:val="0"/>
        <w:keepLines w:val="0"/>
        <w:pageBreakBefore w:val="0"/>
        <w:numPr>
          <w:ilvl w:val="0"/>
          <w:numId w:val="0"/>
        </w:numPr>
        <w:kinsoku/>
        <w:overflowPunct/>
        <w:topLinePunct w:val="0"/>
        <w:autoSpaceDE/>
        <w:autoSpaceDN/>
        <w:bidi w:val="0"/>
        <w:spacing w:line="420" w:lineRule="exact"/>
        <w:ind w:firstLine="720" w:firstLineChars="3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联系方式：</w:t>
      </w:r>
      <w:bookmarkStart w:id="33" w:name="OLE_LINK29"/>
      <w:r>
        <w:rPr>
          <w:rFonts w:hint="eastAsia" w:ascii="宋体" w:hAnsi="宋体" w:cs="宋体"/>
          <w:color w:val="auto"/>
          <w:kern w:val="0"/>
          <w:sz w:val="24"/>
          <w:szCs w:val="24"/>
        </w:rPr>
        <w:t>0915-3629069</w:t>
      </w:r>
    </w:p>
    <w:bookmarkEnd w:id="33"/>
    <w:p w14:paraId="1A46785D">
      <w:pPr>
        <w:pStyle w:val="46"/>
        <w:keepNext w:val="0"/>
        <w:keepLines w:val="0"/>
        <w:pageBreakBefore w:val="0"/>
        <w:numPr>
          <w:ilvl w:val="0"/>
          <w:numId w:val="0"/>
        </w:numPr>
        <w:kinsoku/>
        <w:wordWrap/>
        <w:overflowPunct/>
        <w:topLinePunct w:val="0"/>
        <w:autoSpaceDE/>
        <w:autoSpaceDN/>
        <w:bidi w:val="0"/>
        <w:adjustRightInd/>
        <w:spacing w:line="420" w:lineRule="exact"/>
        <w:ind w:leftChars="200" w:right="0" w:rightChars="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采购代理机构信息</w:t>
      </w:r>
    </w:p>
    <w:p w14:paraId="3759395F">
      <w:pPr>
        <w:pStyle w:val="46"/>
        <w:keepNext w:val="0"/>
        <w:keepLines w:val="0"/>
        <w:pageBreakBefore w:val="0"/>
        <w:kinsoku/>
        <w:wordWrap/>
        <w:overflowPunct/>
        <w:topLinePunct w:val="0"/>
        <w:autoSpaceDE/>
        <w:autoSpaceDN/>
        <w:bidi w:val="0"/>
        <w:adjustRightInd/>
        <w:spacing w:line="420" w:lineRule="exact"/>
        <w:ind w:left="0" w:leftChars="0" w:right="0" w:rightChars="0" w:firstLine="720" w:firstLineChars="3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    称：安康尚昊招标代理有限公司</w:t>
      </w:r>
    </w:p>
    <w:p w14:paraId="14F5603C">
      <w:pPr>
        <w:pStyle w:val="46"/>
        <w:keepNext w:val="0"/>
        <w:keepLines w:val="0"/>
        <w:pageBreakBefore w:val="0"/>
        <w:kinsoku/>
        <w:wordWrap/>
        <w:overflowPunct/>
        <w:topLinePunct w:val="0"/>
        <w:autoSpaceDE/>
        <w:autoSpaceDN/>
        <w:bidi w:val="0"/>
        <w:adjustRightInd/>
        <w:spacing w:line="420" w:lineRule="exact"/>
        <w:ind w:left="0" w:leftChars="0" w:right="0" w:rightChars="0" w:firstLine="720" w:firstLineChars="3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    址：</w:t>
      </w:r>
      <w:bookmarkStart w:id="34" w:name="OLE_LINK30"/>
      <w:bookmarkStart w:id="35" w:name="OLE_LINK25"/>
      <w:r>
        <w:rPr>
          <w:rFonts w:hint="eastAsia" w:ascii="宋体" w:hAnsi="宋体" w:cs="宋体"/>
          <w:color w:val="auto"/>
          <w:kern w:val="0"/>
          <w:sz w:val="24"/>
          <w:szCs w:val="24"/>
          <w:lang w:eastAsia="zh-CN"/>
        </w:rPr>
        <w:t>安康市高新区高新观澜8栋二单元801室</w:t>
      </w:r>
      <w:bookmarkEnd w:id="34"/>
    </w:p>
    <w:bookmarkEnd w:id="35"/>
    <w:p w14:paraId="673214F0">
      <w:pPr>
        <w:pStyle w:val="46"/>
        <w:keepNext w:val="0"/>
        <w:keepLines w:val="0"/>
        <w:pageBreakBefore w:val="0"/>
        <w:kinsoku/>
        <w:wordWrap/>
        <w:overflowPunct/>
        <w:topLinePunct w:val="0"/>
        <w:autoSpaceDE/>
        <w:autoSpaceDN/>
        <w:bidi w:val="0"/>
        <w:adjustRightInd/>
        <w:spacing w:line="420" w:lineRule="exact"/>
        <w:ind w:left="0" w:leftChars="0" w:right="0" w:rightChars="0" w:firstLine="720" w:firstLineChars="3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联系方式：15991480332</w:t>
      </w:r>
    </w:p>
    <w:p w14:paraId="3993ED83">
      <w:pPr>
        <w:pStyle w:val="46"/>
        <w:keepNext w:val="0"/>
        <w:keepLines w:val="0"/>
        <w:pageBreakBefore w:val="0"/>
        <w:numPr>
          <w:ilvl w:val="0"/>
          <w:numId w:val="0"/>
        </w:numPr>
        <w:kinsoku/>
        <w:wordWrap/>
        <w:overflowPunct/>
        <w:topLinePunct w:val="0"/>
        <w:autoSpaceDE/>
        <w:autoSpaceDN/>
        <w:bidi w:val="0"/>
        <w:adjustRightInd/>
        <w:spacing w:line="420" w:lineRule="exact"/>
        <w:ind w:leftChars="200" w:right="0" w:rightChars="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项目联系方式</w:t>
      </w:r>
    </w:p>
    <w:p w14:paraId="1E5FF95E">
      <w:pPr>
        <w:pStyle w:val="46"/>
        <w:keepNext w:val="0"/>
        <w:keepLines w:val="0"/>
        <w:pageBreakBefore w:val="0"/>
        <w:kinsoku/>
        <w:wordWrap/>
        <w:overflowPunct/>
        <w:topLinePunct w:val="0"/>
        <w:autoSpaceDE/>
        <w:autoSpaceDN/>
        <w:bidi w:val="0"/>
        <w:adjustRightInd/>
        <w:spacing w:line="420" w:lineRule="exact"/>
        <w:ind w:left="0" w:leftChars="0" w:right="0" w:rightChars="0" w:firstLine="720" w:firstLineChars="3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项目联系人：陈工</w:t>
      </w:r>
    </w:p>
    <w:p w14:paraId="2A3D2A3A">
      <w:pPr>
        <w:pStyle w:val="46"/>
        <w:keepNext w:val="0"/>
        <w:keepLines w:val="0"/>
        <w:pageBreakBefore w:val="0"/>
        <w:kinsoku/>
        <w:wordWrap/>
        <w:overflowPunct/>
        <w:topLinePunct w:val="0"/>
        <w:autoSpaceDE/>
        <w:autoSpaceDN/>
        <w:bidi w:val="0"/>
        <w:adjustRightInd/>
        <w:spacing w:line="420" w:lineRule="exact"/>
        <w:ind w:left="0" w:leftChars="0" w:right="0" w:rightChars="0" w:firstLine="720" w:firstLineChars="3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      话</w:t>
      </w:r>
      <w:r>
        <w:rPr>
          <w:rFonts w:hint="eastAsia" w:ascii="宋体" w:hAnsi="宋体" w:cs="宋体"/>
          <w:color w:val="auto"/>
          <w:kern w:val="0"/>
          <w:sz w:val="24"/>
          <w:szCs w:val="24"/>
          <w:lang w:eastAsia="zh-CN"/>
        </w:rPr>
        <w:t>：</w:t>
      </w:r>
      <w:bookmarkStart w:id="36" w:name="OLE_LINK28"/>
      <w:r>
        <w:rPr>
          <w:rFonts w:hint="eastAsia" w:ascii="宋体" w:hAnsi="宋体" w:eastAsia="宋体" w:cs="宋体"/>
          <w:color w:val="auto"/>
          <w:kern w:val="0"/>
          <w:sz w:val="24"/>
          <w:szCs w:val="24"/>
        </w:rPr>
        <w:t>15991480332</w:t>
      </w:r>
    </w:p>
    <w:bookmarkEnd w:id="36"/>
    <w:p w14:paraId="65CE454E">
      <w:pPr>
        <w:keepNext w:val="0"/>
        <w:keepLines w:val="0"/>
        <w:pageBreakBefore w:val="0"/>
        <w:kinsoku/>
        <w:wordWrap/>
        <w:overflowPunct/>
        <w:topLinePunct w:val="0"/>
        <w:autoSpaceDE/>
        <w:autoSpaceDN/>
        <w:bidi w:val="0"/>
        <w:adjustRightInd/>
        <w:spacing w:line="420" w:lineRule="exact"/>
        <w:ind w:left="0" w:leftChars="0" w:right="0" w:rightChars="0" w:firstLine="480" w:firstLineChars="200"/>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安康尚昊招标代理有限公司</w:t>
      </w:r>
    </w:p>
    <w:p w14:paraId="7D41261E">
      <w:pPr>
        <w:keepNext w:val="0"/>
        <w:keepLines w:val="0"/>
        <w:pageBreakBefore w:val="0"/>
        <w:kinsoku/>
        <w:wordWrap/>
        <w:overflowPunct/>
        <w:topLinePunct w:val="0"/>
        <w:autoSpaceDE/>
        <w:autoSpaceDN/>
        <w:bidi w:val="0"/>
        <w:adjustRightInd/>
        <w:spacing w:line="420" w:lineRule="exact"/>
        <w:ind w:left="0" w:leftChars="0" w:right="0" w:rightChars="0" w:firstLine="480" w:firstLineChars="200"/>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auto"/>
          <w:kern w:val="0"/>
          <w:sz w:val="24"/>
          <w:szCs w:val="24"/>
        </w:rPr>
        <w:t xml:space="preserve">                                               </w:t>
      </w:r>
      <w:r>
        <w:rPr>
          <w:rFonts w:hint="default" w:ascii="宋体" w:hAnsi="宋体" w:cs="宋体"/>
          <w:color w:val="auto"/>
          <w:kern w:val="0"/>
          <w:sz w:val="24"/>
          <w:szCs w:val="24"/>
          <w:lang w:eastAsia="zh-CN"/>
        </w:rPr>
        <w:t>2025</w:t>
      </w:r>
      <w:r>
        <w:rPr>
          <w:rFonts w:hint="eastAsia" w:ascii="宋体" w:hAnsi="宋体" w:eastAsia="宋体" w:cs="宋体"/>
          <w:color w:val="auto"/>
          <w:kern w:val="0"/>
          <w:sz w:val="24"/>
          <w:szCs w:val="24"/>
          <w:lang w:val="en-US" w:eastAsia="zh-CN" w:bidi="ar-SA"/>
        </w:rPr>
        <w:t>年</w:t>
      </w:r>
      <w:r>
        <w:rPr>
          <w:rFonts w:hint="eastAsia" w:ascii="宋体" w:hAnsi="宋体" w:cs="宋体"/>
          <w:color w:val="auto"/>
          <w:kern w:val="0"/>
          <w:sz w:val="24"/>
          <w:szCs w:val="24"/>
          <w:lang w:val="en-US" w:eastAsia="zh-CN" w:bidi="ar-SA"/>
        </w:rPr>
        <w:t>0</w:t>
      </w:r>
      <w:r>
        <w:rPr>
          <w:rFonts w:hint="eastAsia" w:ascii="宋体" w:hAnsi="宋体" w:cs="宋体"/>
          <w:color w:val="000000" w:themeColor="text1"/>
          <w:kern w:val="0"/>
          <w:sz w:val="24"/>
          <w:szCs w:val="24"/>
          <w:lang w:val="en-US" w:eastAsia="zh-CN" w:bidi="ar-SA"/>
          <w14:textFill>
            <w14:solidFill>
              <w14:schemeClr w14:val="tx1"/>
            </w14:solidFill>
          </w14:textFill>
        </w:rPr>
        <w:t>9</w:t>
      </w:r>
      <w:r>
        <w:rPr>
          <w:rFonts w:hint="eastAsia" w:ascii="宋体" w:hAnsi="宋体" w:eastAsia="宋体" w:cs="宋体"/>
          <w:color w:val="000000" w:themeColor="text1"/>
          <w:kern w:val="0"/>
          <w:sz w:val="24"/>
          <w:szCs w:val="24"/>
          <w:lang w:val="en-US" w:eastAsia="zh-CN" w:bidi="ar-SA"/>
          <w14:textFill>
            <w14:solidFill>
              <w14:schemeClr w14:val="tx1"/>
            </w14:solidFill>
          </w14:textFill>
        </w:rPr>
        <w:t>月</w:t>
      </w:r>
      <w:r>
        <w:rPr>
          <w:rFonts w:hint="eastAsia" w:ascii="宋体" w:hAnsi="宋体" w:cs="宋体"/>
          <w:color w:val="000000" w:themeColor="text1"/>
          <w:kern w:val="0"/>
          <w:sz w:val="24"/>
          <w:szCs w:val="24"/>
          <w:lang w:val="en-US" w:eastAsia="zh-CN" w:bidi="ar-SA"/>
          <w14:textFill>
            <w14:solidFill>
              <w14:schemeClr w14:val="tx1"/>
            </w14:solidFill>
          </w14:textFill>
        </w:rPr>
        <w:t>26</w:t>
      </w:r>
      <w:r>
        <w:rPr>
          <w:rFonts w:hint="eastAsia" w:ascii="宋体" w:hAnsi="宋体" w:eastAsia="宋体" w:cs="宋体"/>
          <w:color w:val="000000" w:themeColor="text1"/>
          <w:kern w:val="0"/>
          <w:sz w:val="24"/>
          <w:szCs w:val="24"/>
          <w:lang w:val="en-US" w:eastAsia="zh-CN" w:bidi="ar-SA"/>
          <w14:textFill>
            <w14:solidFill>
              <w14:schemeClr w14:val="tx1"/>
            </w14:solidFill>
          </w14:textFill>
        </w:rPr>
        <w:t>日</w:t>
      </w:r>
      <w:bookmarkStart w:id="37" w:name="_Toc5018"/>
      <w:bookmarkStart w:id="38" w:name="_Toc536429317"/>
      <w:bookmarkStart w:id="39" w:name="_Toc536429370"/>
      <w:bookmarkStart w:id="40" w:name="_Toc536202377"/>
      <w:bookmarkStart w:id="41" w:name="_Toc536202283"/>
    </w:p>
    <w:p w14:paraId="33D96B3C">
      <w:pPr>
        <w:pStyle w:val="3"/>
        <w:keepNext/>
        <w:keepLines/>
        <w:pageBreakBefore w:val="0"/>
        <w:widowControl w:val="0"/>
        <w:tabs>
          <w:tab w:val="left" w:pos="206"/>
        </w:tabs>
        <w:kinsoku/>
        <w:wordWrap/>
        <w:overflowPunct/>
        <w:topLinePunct w:val="0"/>
        <w:autoSpaceDE/>
        <w:autoSpaceDN/>
        <w:bidi w:val="0"/>
        <w:adjustRightInd/>
        <w:snapToGrid/>
        <w:spacing w:line="240" w:lineRule="auto"/>
        <w:jc w:val="center"/>
        <w:textAlignment w:val="auto"/>
        <w:rPr>
          <w:rFonts w:hint="eastAsia"/>
          <w:color w:val="000000" w:themeColor="text1"/>
          <w:sz w:val="36"/>
          <w:szCs w:val="36"/>
          <w14:textFill>
            <w14:solidFill>
              <w14:schemeClr w14:val="tx1"/>
            </w14:solidFill>
          </w14:textFill>
        </w:rPr>
        <w:sectPr>
          <w:headerReference r:id="rId11" w:type="first"/>
          <w:footerReference r:id="rId13" w:type="first"/>
          <w:headerReference r:id="rId10" w:type="default"/>
          <w:footerReference r:id="rId12" w:type="default"/>
          <w:pgSz w:w="11906" w:h="16838"/>
          <w:pgMar w:top="1417" w:right="1417" w:bottom="1417" w:left="1417" w:header="992" w:footer="992" w:gutter="0"/>
          <w:pgNumType w:fmt="decimal"/>
          <w:cols w:space="0" w:num="1"/>
          <w:titlePg/>
          <w:rtlGutter w:val="0"/>
          <w:docGrid w:type="lines" w:linePitch="333" w:charSpace="0"/>
        </w:sectPr>
      </w:pPr>
      <w:bookmarkStart w:id="42" w:name="_Toc19543334"/>
    </w:p>
    <w:p w14:paraId="67E3E740">
      <w:pPr>
        <w:pStyle w:val="3"/>
        <w:keepNext/>
        <w:keepLines/>
        <w:pageBreakBefore w:val="0"/>
        <w:widowControl w:val="0"/>
        <w:tabs>
          <w:tab w:val="left" w:pos="206"/>
        </w:tabs>
        <w:kinsoku/>
        <w:wordWrap/>
        <w:overflowPunct/>
        <w:topLinePunct w:val="0"/>
        <w:autoSpaceDE/>
        <w:autoSpaceDN/>
        <w:bidi w:val="0"/>
        <w:adjustRightInd/>
        <w:snapToGrid/>
        <w:spacing w:line="240" w:lineRule="auto"/>
        <w:jc w:val="center"/>
        <w:textAlignment w:val="auto"/>
        <w:rPr>
          <w:rFonts w:hint="eastAsia"/>
          <w:sz w:val="36"/>
          <w:szCs w:val="36"/>
        </w:rPr>
      </w:pPr>
      <w:bookmarkStart w:id="43" w:name="_Toc7152"/>
      <w:r>
        <w:rPr>
          <w:rFonts w:hint="eastAsia"/>
          <w:sz w:val="36"/>
          <w:szCs w:val="36"/>
        </w:rPr>
        <w:t>第二部分  供应商须知前附表</w:t>
      </w:r>
      <w:bookmarkEnd w:id="9"/>
      <w:bookmarkEnd w:id="10"/>
      <w:bookmarkEnd w:id="37"/>
      <w:bookmarkEnd w:id="38"/>
      <w:bookmarkEnd w:id="39"/>
      <w:bookmarkEnd w:id="40"/>
      <w:bookmarkEnd w:id="41"/>
      <w:bookmarkEnd w:id="42"/>
      <w:bookmarkEnd w:id="43"/>
    </w:p>
    <w:tbl>
      <w:tblPr>
        <w:tblStyle w:val="79"/>
        <w:tblW w:w="9643" w:type="dxa"/>
        <w:jc w:val="center"/>
        <w:tblLayout w:type="fixed"/>
        <w:tblCellMar>
          <w:top w:w="147" w:type="dxa"/>
          <w:left w:w="108" w:type="dxa"/>
          <w:bottom w:w="56" w:type="dxa"/>
          <w:right w:w="0" w:type="dxa"/>
        </w:tblCellMar>
      </w:tblPr>
      <w:tblGrid>
        <w:gridCol w:w="704"/>
        <w:gridCol w:w="1518"/>
        <w:gridCol w:w="7421"/>
      </w:tblGrid>
      <w:tr w14:paraId="1F3774CD">
        <w:tblPrEx>
          <w:tblCellMar>
            <w:top w:w="147" w:type="dxa"/>
            <w:left w:w="108" w:type="dxa"/>
            <w:bottom w:w="56" w:type="dxa"/>
            <w:right w:w="0" w:type="dxa"/>
          </w:tblCellMar>
        </w:tblPrEx>
        <w:trPr>
          <w:trHeight w:val="3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86F5EC9">
            <w:pPr>
              <w:pageBreakBefore w:val="0"/>
              <w:kinsoku/>
              <w:wordWrap/>
              <w:overflowPunct/>
              <w:topLinePunct w:val="0"/>
              <w:bidi w:val="0"/>
              <w:spacing w:line="4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1518" w:type="dxa"/>
            <w:tcBorders>
              <w:top w:val="single" w:color="000000" w:sz="4" w:space="0"/>
              <w:left w:val="single" w:color="000000" w:sz="4" w:space="0"/>
              <w:bottom w:val="single" w:color="000000" w:sz="4" w:space="0"/>
              <w:right w:val="single" w:color="000000" w:sz="4" w:space="0"/>
            </w:tcBorders>
            <w:vAlign w:val="center"/>
          </w:tcPr>
          <w:p w14:paraId="611C44E3">
            <w:pPr>
              <w:pageBreakBefore w:val="0"/>
              <w:kinsoku/>
              <w:wordWrap/>
              <w:overflowPunct/>
              <w:topLinePunct w:val="0"/>
              <w:bidi w:val="0"/>
              <w:spacing w:line="460" w:lineRule="exact"/>
              <w:ind w:right="31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内 容</w:t>
            </w:r>
          </w:p>
        </w:tc>
        <w:tc>
          <w:tcPr>
            <w:tcW w:w="7421" w:type="dxa"/>
            <w:tcBorders>
              <w:top w:val="single" w:color="000000" w:sz="4" w:space="0"/>
              <w:left w:val="single" w:color="000000" w:sz="4" w:space="0"/>
              <w:bottom w:val="single" w:color="000000" w:sz="4" w:space="0"/>
              <w:right w:val="single" w:color="000000" w:sz="4" w:space="0"/>
            </w:tcBorders>
            <w:vAlign w:val="center"/>
          </w:tcPr>
          <w:p w14:paraId="6C35BEC8">
            <w:pPr>
              <w:pageBreakBefore w:val="0"/>
              <w:kinsoku/>
              <w:wordWrap/>
              <w:overflowPunct/>
              <w:topLinePunct w:val="0"/>
              <w:bidi w:val="0"/>
              <w:spacing w:line="460" w:lineRule="exact"/>
              <w:ind w:left="840" w:right="111"/>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说明与要求</w:t>
            </w:r>
          </w:p>
        </w:tc>
      </w:tr>
      <w:tr w14:paraId="1EA71403">
        <w:tblPrEx>
          <w:tblCellMar>
            <w:top w:w="147" w:type="dxa"/>
            <w:left w:w="108" w:type="dxa"/>
            <w:bottom w:w="56" w:type="dxa"/>
            <w:right w:w="0" w:type="dxa"/>
          </w:tblCellMar>
        </w:tblPrEx>
        <w:trPr>
          <w:trHeight w:val="20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66A6ACB">
            <w:pPr>
              <w:pStyle w:val="78"/>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1B003F00">
            <w:pPr>
              <w:pageBreakBefore w:val="0"/>
              <w:kinsoku/>
              <w:wordWrap/>
              <w:overflowPunct/>
              <w:topLinePunct w:val="0"/>
              <w:bidi w:val="0"/>
              <w:spacing w:line="460" w:lineRule="exact"/>
              <w:ind w:right="109"/>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采购人</w:t>
            </w:r>
          </w:p>
        </w:tc>
        <w:tc>
          <w:tcPr>
            <w:tcW w:w="7421" w:type="dxa"/>
            <w:tcBorders>
              <w:top w:val="single" w:color="000000" w:sz="4" w:space="0"/>
              <w:left w:val="single" w:color="000000" w:sz="4" w:space="0"/>
              <w:bottom w:val="single" w:color="000000" w:sz="4" w:space="0"/>
              <w:right w:val="single" w:color="000000" w:sz="4" w:space="0"/>
            </w:tcBorders>
            <w:vAlign w:val="center"/>
          </w:tcPr>
          <w:p w14:paraId="6B6142A9">
            <w:pPr>
              <w:pageBreakBefore w:val="0"/>
              <w:kinsoku/>
              <w:wordWrap/>
              <w:overflowPunct/>
              <w:topLinePunct w:val="0"/>
              <w:bidi w:val="0"/>
              <w:spacing w:line="460" w:lineRule="exact"/>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安康市恒口示范区（试验区）住房和城乡建设局</w:t>
            </w:r>
          </w:p>
        </w:tc>
      </w:tr>
      <w:tr w14:paraId="54A07540">
        <w:tblPrEx>
          <w:tblCellMar>
            <w:top w:w="147" w:type="dxa"/>
            <w:left w:w="108" w:type="dxa"/>
            <w:bottom w:w="56" w:type="dxa"/>
            <w:right w:w="0" w:type="dxa"/>
          </w:tblCellMar>
        </w:tblPrEx>
        <w:trPr>
          <w:trHeight w:val="2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0ED08A6">
            <w:pPr>
              <w:pStyle w:val="78"/>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58D44C19">
            <w:pPr>
              <w:pageBreakBefore w:val="0"/>
              <w:kinsoku/>
              <w:wordWrap/>
              <w:overflowPunct/>
              <w:topLinePunct w:val="0"/>
              <w:bidi w:val="0"/>
              <w:spacing w:line="460" w:lineRule="exact"/>
              <w:ind w:right="109"/>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代理机构</w:t>
            </w:r>
          </w:p>
        </w:tc>
        <w:tc>
          <w:tcPr>
            <w:tcW w:w="7421" w:type="dxa"/>
            <w:tcBorders>
              <w:top w:val="single" w:color="000000" w:sz="4" w:space="0"/>
              <w:left w:val="single" w:color="000000" w:sz="4" w:space="0"/>
              <w:bottom w:val="single" w:color="000000" w:sz="4" w:space="0"/>
              <w:right w:val="single" w:color="000000" w:sz="4" w:space="0"/>
            </w:tcBorders>
            <w:vAlign w:val="center"/>
          </w:tcPr>
          <w:p w14:paraId="3B137FD2">
            <w:pPr>
              <w:pageBreakBefore w:val="0"/>
              <w:kinsoku/>
              <w:wordWrap/>
              <w:overflowPunct/>
              <w:topLinePunct w:val="0"/>
              <w:bidi w:val="0"/>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安康尚昊招标代理有限公司</w:t>
            </w:r>
          </w:p>
        </w:tc>
      </w:tr>
      <w:tr w14:paraId="14CE48B6">
        <w:tblPrEx>
          <w:tblCellMar>
            <w:top w:w="147" w:type="dxa"/>
            <w:left w:w="108" w:type="dxa"/>
            <w:bottom w:w="56" w:type="dxa"/>
            <w:right w:w="0" w:type="dxa"/>
          </w:tblCellMar>
        </w:tblPrEx>
        <w:trPr>
          <w:trHeight w:val="51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314E828">
            <w:pPr>
              <w:pStyle w:val="78"/>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509E7360">
            <w:pPr>
              <w:pageBreakBefore w:val="0"/>
              <w:kinsoku/>
              <w:wordWrap/>
              <w:overflowPunct/>
              <w:topLinePunct w:val="0"/>
              <w:bidi w:val="0"/>
              <w:spacing w:line="460" w:lineRule="exact"/>
              <w:ind w:right="111"/>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项目名称</w:t>
            </w:r>
          </w:p>
        </w:tc>
        <w:tc>
          <w:tcPr>
            <w:tcW w:w="7421" w:type="dxa"/>
            <w:tcBorders>
              <w:top w:val="single" w:color="000000" w:sz="4" w:space="0"/>
              <w:left w:val="single" w:color="000000" w:sz="4" w:space="0"/>
              <w:bottom w:val="single" w:color="000000" w:sz="4" w:space="0"/>
              <w:right w:val="single" w:color="000000" w:sz="4" w:space="0"/>
            </w:tcBorders>
            <w:vAlign w:val="center"/>
          </w:tcPr>
          <w:p w14:paraId="48B0CED0">
            <w:pPr>
              <w:pStyle w:val="78"/>
              <w:pageBreakBefore w:val="0"/>
              <w:widowControl/>
              <w:kinsoku/>
              <w:wordWrap/>
              <w:overflowPunct/>
              <w:topLinePunct w:val="0"/>
              <w:bidi w:val="0"/>
              <w:snapToGrid w:val="0"/>
              <w:spacing w:line="460" w:lineRule="exact"/>
              <w:ind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4890B555">
                                  <w:pPr>
                                    <w:pStyle w:val="21"/>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1312;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4890B555">
                            <w:pPr>
                              <w:pStyle w:val="21"/>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宋体" w:hAnsi="宋体" w:cs="宋体"/>
                <w:color w:val="000000" w:themeColor="text1"/>
                <w:sz w:val="24"/>
                <w:szCs w:val="24"/>
                <w:lang w:val="en-US" w:eastAsia="zh-CN"/>
                <w14:textFill>
                  <w14:solidFill>
                    <w14:schemeClr w14:val="tx1"/>
                  </w14:solidFill>
                </w14:textFill>
              </w:rPr>
              <w:t>恒口示范区梁沟村便民桥建设工程</w:t>
            </w:r>
            <w:r>
              <w:rPr>
                <w:rFonts w:hint="eastAsia" w:ascii="宋体" w:hAnsi="宋体" w:eastAsia="宋体" w:cs="宋体"/>
                <w:color w:val="000000" w:themeColor="text1"/>
                <w:sz w:val="24"/>
                <w:szCs w:val="24"/>
                <w14:textFill>
                  <w14:solidFill>
                    <w14:schemeClr w14:val="tx1"/>
                  </w14:solidFill>
                </w14:textFill>
              </w:rPr>
              <w:t xml:space="preserve"> </w:t>
            </w:r>
          </w:p>
        </w:tc>
      </w:tr>
      <w:tr w14:paraId="59013195">
        <w:tblPrEx>
          <w:tblCellMar>
            <w:top w:w="147" w:type="dxa"/>
            <w:left w:w="108" w:type="dxa"/>
            <w:bottom w:w="56" w:type="dxa"/>
            <w:right w:w="0" w:type="dxa"/>
          </w:tblCellMar>
        </w:tblPrEx>
        <w:trPr>
          <w:trHeight w:val="49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D2C25E8">
            <w:pPr>
              <w:pStyle w:val="78"/>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tcPr>
          <w:p w14:paraId="43D5D01E">
            <w:pPr>
              <w:pageBreakBefore w:val="0"/>
              <w:kinsoku/>
              <w:wordWrap/>
              <w:overflowPunct/>
              <w:topLinePunct w:val="0"/>
              <w:bidi w:val="0"/>
              <w:spacing w:line="460" w:lineRule="exact"/>
              <w:ind w:right="111"/>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采购内容</w:t>
            </w:r>
          </w:p>
        </w:tc>
        <w:tc>
          <w:tcPr>
            <w:tcW w:w="7421" w:type="dxa"/>
            <w:tcBorders>
              <w:top w:val="single" w:color="000000" w:sz="4" w:space="0"/>
              <w:left w:val="single" w:color="000000" w:sz="4" w:space="0"/>
              <w:bottom w:val="single" w:color="000000" w:sz="4" w:space="0"/>
              <w:right w:val="single" w:color="000000" w:sz="4" w:space="0"/>
            </w:tcBorders>
          </w:tcPr>
          <w:p w14:paraId="5A48EDC6">
            <w:pPr>
              <w:pStyle w:val="46"/>
              <w:keepNext w:val="0"/>
              <w:keepLines w:val="0"/>
              <w:pageBreakBefore w:val="0"/>
              <w:kinsoku/>
              <w:wordWrap/>
              <w:overflowPunct/>
              <w:topLinePunct w:val="0"/>
              <w:autoSpaceDE/>
              <w:autoSpaceDN/>
              <w:bidi w:val="0"/>
              <w:adjustRightInd/>
              <w:spacing w:line="460" w:lineRule="exact"/>
              <w:ind w:left="0" w:leftChars="0" w:right="0" w:rightChars="0" w:firstLine="0" w:firstLineChars="0"/>
              <w:textAlignment w:val="auto"/>
              <w:rPr>
                <w:rFonts w:hint="eastAsia" w:ascii="宋体" w:hAnsi="宋体" w:eastAsia="宋体" w:cs="宋体"/>
                <w:kern w:val="0"/>
                <w:sz w:val="24"/>
                <w:szCs w:val="24"/>
                <w:lang w:eastAsia="zh-CN"/>
              </w:rPr>
            </w:pPr>
            <w:r>
              <w:rPr>
                <w:rFonts w:hint="eastAsia" w:ascii="宋体" w:hAnsi="宋体" w:eastAsia="宋体" w:cs="宋体"/>
                <w:color w:val="auto"/>
                <w:kern w:val="0"/>
                <w:sz w:val="24"/>
                <w:szCs w:val="24"/>
                <w:highlight w:val="none"/>
              </w:rPr>
              <w:t>具</w:t>
            </w:r>
            <w:r>
              <w:rPr>
                <w:rFonts w:hint="eastAsia" w:ascii="宋体" w:hAnsi="宋体" w:eastAsia="宋体" w:cs="宋体"/>
                <w:color w:val="auto"/>
                <w:kern w:val="0"/>
                <w:sz w:val="24"/>
                <w:szCs w:val="24"/>
              </w:rPr>
              <w:t>体详见工程量清单</w:t>
            </w:r>
          </w:p>
        </w:tc>
      </w:tr>
      <w:tr w14:paraId="64B8AA60">
        <w:tblPrEx>
          <w:tblCellMar>
            <w:top w:w="147" w:type="dxa"/>
            <w:left w:w="108" w:type="dxa"/>
            <w:bottom w:w="56" w:type="dxa"/>
            <w:right w:w="0" w:type="dxa"/>
          </w:tblCellMar>
        </w:tblPrEx>
        <w:trPr>
          <w:trHeight w:val="62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98EAD96">
            <w:pPr>
              <w:pStyle w:val="78"/>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color w:val="auto"/>
                <w:sz w:val="24"/>
                <w:szCs w:val="24"/>
              </w:rPr>
            </w:pPr>
          </w:p>
        </w:tc>
        <w:tc>
          <w:tcPr>
            <w:tcW w:w="1518" w:type="dxa"/>
            <w:tcBorders>
              <w:top w:val="single" w:color="000000" w:sz="4" w:space="0"/>
              <w:left w:val="single" w:color="000000" w:sz="4" w:space="0"/>
              <w:bottom w:val="single" w:color="000000" w:sz="4" w:space="0"/>
              <w:right w:val="single" w:color="000000" w:sz="4" w:space="0"/>
            </w:tcBorders>
          </w:tcPr>
          <w:p w14:paraId="378D0181">
            <w:pPr>
              <w:pageBreakBefore w:val="0"/>
              <w:kinsoku/>
              <w:wordWrap/>
              <w:overflowPunct/>
              <w:topLinePunct w:val="0"/>
              <w:bidi w:val="0"/>
              <w:spacing w:line="460" w:lineRule="exact"/>
              <w:ind w:right="111"/>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预算金额</w:t>
            </w:r>
          </w:p>
        </w:tc>
        <w:tc>
          <w:tcPr>
            <w:tcW w:w="7421" w:type="dxa"/>
            <w:tcBorders>
              <w:top w:val="single" w:color="000000" w:sz="4" w:space="0"/>
              <w:left w:val="single" w:color="000000" w:sz="4" w:space="0"/>
              <w:bottom w:val="single" w:color="000000" w:sz="4" w:space="0"/>
              <w:right w:val="single" w:color="000000" w:sz="4" w:space="0"/>
            </w:tcBorders>
          </w:tcPr>
          <w:p w14:paraId="73FB8A3B">
            <w:pPr>
              <w:pageBreakBefore w:val="0"/>
              <w:kinsoku/>
              <w:wordWrap/>
              <w:overflowPunct/>
              <w:topLinePunct w:val="0"/>
              <w:bidi w:val="0"/>
              <w:spacing w:line="460" w:lineRule="exact"/>
              <w:textAlignment w:val="auto"/>
              <w:outlineLvl w:val="9"/>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285299.72元</w:t>
            </w:r>
          </w:p>
        </w:tc>
      </w:tr>
      <w:tr w14:paraId="5652E665">
        <w:tblPrEx>
          <w:tblCellMar>
            <w:top w:w="147" w:type="dxa"/>
            <w:left w:w="108" w:type="dxa"/>
            <w:bottom w:w="56" w:type="dxa"/>
            <w:right w:w="0" w:type="dxa"/>
          </w:tblCellMar>
        </w:tblPrEx>
        <w:trPr>
          <w:trHeight w:val="62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50D1E4">
            <w:pPr>
              <w:pStyle w:val="78"/>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b w:val="0"/>
                <w:bCs w:val="0"/>
                <w:color w:val="auto"/>
                <w:sz w:val="24"/>
                <w:szCs w:val="24"/>
              </w:rPr>
            </w:pPr>
          </w:p>
        </w:tc>
        <w:tc>
          <w:tcPr>
            <w:tcW w:w="1518" w:type="dxa"/>
            <w:tcBorders>
              <w:top w:val="single" w:color="000000" w:sz="4" w:space="0"/>
              <w:left w:val="single" w:color="000000" w:sz="4" w:space="0"/>
              <w:bottom w:val="single" w:color="000000" w:sz="4" w:space="0"/>
              <w:right w:val="single" w:color="000000" w:sz="4" w:space="0"/>
            </w:tcBorders>
          </w:tcPr>
          <w:p w14:paraId="4795C8AB">
            <w:pPr>
              <w:pageBreakBefore w:val="0"/>
              <w:kinsoku/>
              <w:wordWrap/>
              <w:overflowPunct/>
              <w:topLinePunct w:val="0"/>
              <w:bidi w:val="0"/>
              <w:spacing w:line="460" w:lineRule="exact"/>
              <w:ind w:right="111"/>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最高限价</w:t>
            </w:r>
          </w:p>
        </w:tc>
        <w:tc>
          <w:tcPr>
            <w:tcW w:w="7421" w:type="dxa"/>
            <w:tcBorders>
              <w:top w:val="single" w:color="000000" w:sz="4" w:space="0"/>
              <w:left w:val="single" w:color="000000" w:sz="4" w:space="0"/>
              <w:bottom w:val="single" w:color="000000" w:sz="4" w:space="0"/>
              <w:right w:val="single" w:color="000000" w:sz="4" w:space="0"/>
            </w:tcBorders>
          </w:tcPr>
          <w:p w14:paraId="4F2C6B45">
            <w:pPr>
              <w:pageBreakBefore w:val="0"/>
              <w:kinsoku/>
              <w:wordWrap/>
              <w:overflowPunct/>
              <w:topLinePunct w:val="0"/>
              <w:bidi w:val="0"/>
              <w:spacing w:line="460" w:lineRule="exact"/>
              <w:textAlignment w:val="auto"/>
              <w:outlineLvl w:val="9"/>
              <w:rPr>
                <w:rFonts w:hint="default" w:cs="Times New Roman" w:asciiTheme="minorEastAsia" w:hAnsiTheme="minorEastAsia" w:eastAsiaTheme="minorEastAsia"/>
                <w:b w:val="0"/>
                <w:bCs w:val="0"/>
                <w:color w:val="auto"/>
                <w:sz w:val="24"/>
                <w:szCs w:val="24"/>
                <w:lang w:val="en-US" w:eastAsia="zh-CN"/>
              </w:rPr>
            </w:pPr>
            <w:bookmarkStart w:id="44" w:name="OLE_LINK18"/>
            <w:r>
              <w:rPr>
                <w:rFonts w:hint="eastAsia" w:ascii="宋体" w:hAnsi="宋体" w:cs="宋体"/>
                <w:color w:val="auto"/>
                <w:kern w:val="0"/>
                <w:sz w:val="24"/>
                <w:szCs w:val="24"/>
                <w:lang w:val="en-US" w:eastAsia="zh-CN" w:bidi="ar-SA"/>
              </w:rPr>
              <w:t>285299.72元</w:t>
            </w:r>
            <w:bookmarkEnd w:id="44"/>
          </w:p>
        </w:tc>
      </w:tr>
      <w:tr w14:paraId="1BFCF1BE">
        <w:tblPrEx>
          <w:tblCellMar>
            <w:top w:w="147" w:type="dxa"/>
            <w:left w:w="108" w:type="dxa"/>
            <w:bottom w:w="56" w:type="dxa"/>
            <w:right w:w="0" w:type="dxa"/>
          </w:tblCellMar>
        </w:tblPrEx>
        <w:trPr>
          <w:trHeight w:val="661"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EFB847C">
            <w:pPr>
              <w:pStyle w:val="78"/>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0C233B57">
            <w:pPr>
              <w:pageBreakBefore w:val="0"/>
              <w:tabs>
                <w:tab w:val="left" w:pos="567"/>
              </w:tabs>
              <w:kinsoku/>
              <w:wordWrap/>
              <w:overflowPunct/>
              <w:topLinePunct w:val="0"/>
              <w:bidi w:val="0"/>
              <w:adjustRightInd/>
              <w:spacing w:line="4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合同履行期</w:t>
            </w:r>
          </w:p>
        </w:tc>
        <w:tc>
          <w:tcPr>
            <w:tcW w:w="7421" w:type="dxa"/>
            <w:tcBorders>
              <w:top w:val="single" w:color="000000" w:sz="4" w:space="0"/>
              <w:left w:val="single" w:color="000000" w:sz="4" w:space="0"/>
              <w:bottom w:val="single" w:color="000000" w:sz="4" w:space="0"/>
              <w:right w:val="single" w:color="000000" w:sz="4" w:space="0"/>
            </w:tcBorders>
            <w:vAlign w:val="center"/>
          </w:tcPr>
          <w:p w14:paraId="44C5C171">
            <w:pPr>
              <w:pageBreakBefore w:val="0"/>
              <w:tabs>
                <w:tab w:val="left" w:pos="567"/>
              </w:tabs>
              <w:kinsoku/>
              <w:wordWrap/>
              <w:overflowPunct/>
              <w:topLinePunct w:val="0"/>
              <w:bidi w:val="0"/>
              <w:adjustRightInd/>
              <w:spacing w:line="440" w:lineRule="exact"/>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自合同签订之日</w:t>
            </w:r>
            <w:r>
              <w:rPr>
                <w:rFonts w:hint="eastAsia" w:ascii="宋体" w:hAnsi="宋体" w:eastAsia="宋体" w:cs="宋体"/>
                <w:color w:val="000000" w:themeColor="text1"/>
                <w:kern w:val="0"/>
                <w:sz w:val="24"/>
                <w:szCs w:val="24"/>
                <w:lang w:val="en-US" w:eastAsia="zh-CN" w:bidi="ar-SA"/>
                <w14:textFill>
                  <w14:solidFill>
                    <w14:schemeClr w14:val="tx1"/>
                  </w14:solidFill>
                </w14:textFill>
              </w:rPr>
              <w:t>起</w:t>
            </w:r>
            <w:r>
              <w:rPr>
                <w:rFonts w:hint="eastAsia" w:ascii="宋体" w:hAnsi="宋体" w:cs="宋体"/>
                <w:color w:val="000000" w:themeColor="text1"/>
                <w:kern w:val="0"/>
                <w:sz w:val="24"/>
                <w:szCs w:val="24"/>
                <w:lang w:val="en-US" w:eastAsia="zh-CN" w:bidi="ar-SA"/>
                <w14:textFill>
                  <w14:solidFill>
                    <w14:schemeClr w14:val="tx1"/>
                  </w14:solidFill>
                </w14:textFill>
              </w:rPr>
              <w:t>90天</w:t>
            </w:r>
          </w:p>
        </w:tc>
      </w:tr>
      <w:tr w14:paraId="6EA0FB00">
        <w:tblPrEx>
          <w:tblCellMar>
            <w:top w:w="147" w:type="dxa"/>
            <w:left w:w="108" w:type="dxa"/>
            <w:bottom w:w="56" w:type="dxa"/>
            <w:right w:w="0" w:type="dxa"/>
          </w:tblCellMar>
        </w:tblPrEx>
        <w:trPr>
          <w:trHeight w:val="734"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893E049">
            <w:pPr>
              <w:pStyle w:val="78"/>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5AB22BE7">
            <w:pPr>
              <w:pageBreakBefore w:val="0"/>
              <w:tabs>
                <w:tab w:val="left" w:pos="567"/>
              </w:tabs>
              <w:kinsoku/>
              <w:wordWrap/>
              <w:overflowPunct/>
              <w:topLinePunct w:val="0"/>
              <w:bidi w:val="0"/>
              <w:adjustRightInd/>
              <w:spacing w:line="440" w:lineRule="exact"/>
              <w:ind w:firstLine="240" w:firstLineChars="100"/>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质保期</w:t>
            </w:r>
          </w:p>
        </w:tc>
        <w:tc>
          <w:tcPr>
            <w:tcW w:w="7421" w:type="dxa"/>
            <w:tcBorders>
              <w:top w:val="single" w:color="000000" w:sz="4" w:space="0"/>
              <w:left w:val="single" w:color="000000" w:sz="4" w:space="0"/>
              <w:bottom w:val="single" w:color="000000" w:sz="4" w:space="0"/>
              <w:right w:val="single" w:color="000000" w:sz="4" w:space="0"/>
            </w:tcBorders>
            <w:vAlign w:val="center"/>
          </w:tcPr>
          <w:p w14:paraId="3CE097C0">
            <w:pPr>
              <w:pageBreakBefore w:val="0"/>
              <w:tabs>
                <w:tab w:val="left" w:pos="567"/>
              </w:tabs>
              <w:kinsoku/>
              <w:wordWrap/>
              <w:overflowPunct/>
              <w:topLinePunct w:val="0"/>
              <w:bidi w:val="0"/>
              <w:adjustRightInd/>
              <w:spacing w:line="440" w:lineRule="exact"/>
              <w:jc w:val="lef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参照</w:t>
            </w:r>
            <w:r>
              <w:rPr>
                <w:rFonts w:hint="eastAsia" w:ascii="宋体" w:hAnsi="宋体" w:eastAsia="宋体" w:cs="宋体"/>
                <w:color w:val="auto"/>
                <w:kern w:val="0"/>
                <w:sz w:val="24"/>
                <w:szCs w:val="24"/>
                <w:lang w:val="en-US" w:eastAsia="zh-CN"/>
              </w:rPr>
              <w:t>国家标准执行</w:t>
            </w:r>
          </w:p>
        </w:tc>
      </w:tr>
      <w:tr w14:paraId="717241CE">
        <w:tblPrEx>
          <w:tblCellMar>
            <w:top w:w="147" w:type="dxa"/>
            <w:left w:w="108" w:type="dxa"/>
            <w:bottom w:w="56" w:type="dxa"/>
            <w:right w:w="0" w:type="dxa"/>
          </w:tblCellMar>
        </w:tblPrEx>
        <w:trPr>
          <w:trHeight w:val="651"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6597F47">
            <w:pPr>
              <w:pStyle w:val="78"/>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4DC64705">
            <w:pPr>
              <w:keepNext w:val="0"/>
              <w:keepLines w:val="0"/>
              <w:pageBreakBefore w:val="0"/>
              <w:kinsoku/>
              <w:wordWrap/>
              <w:overflowPunct/>
              <w:topLinePunct w:val="0"/>
              <w:autoSpaceDE/>
              <w:autoSpaceDN/>
              <w:bidi w:val="0"/>
              <w:adjustRightInd/>
              <w:snapToGrid/>
              <w:spacing w:line="460" w:lineRule="exact"/>
              <w:ind w:right="111"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点</w:t>
            </w:r>
          </w:p>
        </w:tc>
        <w:tc>
          <w:tcPr>
            <w:tcW w:w="7421" w:type="dxa"/>
            <w:tcBorders>
              <w:top w:val="single" w:color="000000" w:sz="4" w:space="0"/>
              <w:left w:val="single" w:color="000000" w:sz="4" w:space="0"/>
              <w:bottom w:val="single" w:color="000000" w:sz="4" w:space="0"/>
              <w:right w:val="single" w:color="000000" w:sz="4" w:space="0"/>
            </w:tcBorders>
            <w:vAlign w:val="center"/>
          </w:tcPr>
          <w:p w14:paraId="62000D2D">
            <w:pPr>
              <w:keepNext w:val="0"/>
              <w:keepLines w:val="0"/>
              <w:pageBreakBefore w:val="0"/>
              <w:kinsoku/>
              <w:wordWrap/>
              <w:overflowPunct/>
              <w:topLinePunct w:val="0"/>
              <w:autoSpaceDE/>
              <w:autoSpaceDN/>
              <w:bidi w:val="0"/>
              <w:adjustRightInd/>
              <w:snapToGrid/>
              <w:spacing w:line="46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采购人指定地点</w:t>
            </w:r>
          </w:p>
        </w:tc>
      </w:tr>
      <w:tr w14:paraId="315AD59F">
        <w:tblPrEx>
          <w:tblCellMar>
            <w:top w:w="147" w:type="dxa"/>
            <w:left w:w="108" w:type="dxa"/>
            <w:bottom w:w="56" w:type="dxa"/>
            <w:right w:w="0" w:type="dxa"/>
          </w:tblCellMar>
        </w:tblPrEx>
        <w:trPr>
          <w:trHeight w:val="593"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6B93073">
            <w:pPr>
              <w:pStyle w:val="78"/>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tcPr>
          <w:p w14:paraId="58E67DFE">
            <w:pPr>
              <w:pageBreakBefore w:val="0"/>
              <w:kinsoku/>
              <w:wordWrap/>
              <w:overflowPunct/>
              <w:topLinePunct w:val="0"/>
              <w:bidi w:val="0"/>
              <w:spacing w:line="4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资格审查方式</w:t>
            </w:r>
          </w:p>
        </w:tc>
        <w:tc>
          <w:tcPr>
            <w:tcW w:w="7421" w:type="dxa"/>
            <w:tcBorders>
              <w:top w:val="single" w:color="000000" w:sz="4" w:space="0"/>
              <w:left w:val="single" w:color="000000" w:sz="4" w:space="0"/>
              <w:bottom w:val="single" w:color="000000" w:sz="4" w:space="0"/>
              <w:right w:val="single" w:color="000000" w:sz="4" w:space="0"/>
            </w:tcBorders>
          </w:tcPr>
          <w:p w14:paraId="2F592465">
            <w:pPr>
              <w:pageBreakBefore w:val="0"/>
              <w:kinsoku/>
              <w:wordWrap/>
              <w:overflowPunct/>
              <w:topLinePunct w:val="0"/>
              <w:bidi w:val="0"/>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资格后审</w:t>
            </w:r>
          </w:p>
        </w:tc>
      </w:tr>
      <w:tr w14:paraId="4DEE9AAF">
        <w:tblPrEx>
          <w:tblCellMar>
            <w:top w:w="147" w:type="dxa"/>
            <w:left w:w="108" w:type="dxa"/>
            <w:bottom w:w="56"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D2D196C">
            <w:pPr>
              <w:pStyle w:val="78"/>
              <w:pageBreakBefore w:val="0"/>
              <w:numPr>
                <w:ilvl w:val="0"/>
                <w:numId w:val="2"/>
              </w:numPr>
              <w:kinsoku/>
              <w:wordWrap/>
              <w:overflowPunct/>
              <w:topLinePunct w:val="0"/>
              <w:bidi w:val="0"/>
              <w:spacing w:line="460" w:lineRule="exact"/>
              <w:ind w:right="110"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18D6458F">
            <w:pPr>
              <w:pageBreakBefore w:val="0"/>
              <w:kinsoku/>
              <w:wordWrap/>
              <w:overflowPunct/>
              <w:topLinePunct w:val="0"/>
              <w:bidi w:val="0"/>
              <w:spacing w:line="460" w:lineRule="exact"/>
              <w:ind w:right="29"/>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投标人资质要求</w:t>
            </w:r>
          </w:p>
        </w:tc>
        <w:tc>
          <w:tcPr>
            <w:tcW w:w="7421" w:type="dxa"/>
            <w:tcBorders>
              <w:top w:val="single" w:color="000000" w:sz="4" w:space="0"/>
              <w:left w:val="single" w:color="000000" w:sz="4" w:space="0"/>
              <w:bottom w:val="single" w:color="000000" w:sz="4" w:space="0"/>
              <w:right w:val="single" w:color="000000" w:sz="4" w:space="0"/>
            </w:tcBorders>
          </w:tcPr>
          <w:p w14:paraId="3CE93442">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1.具有独立承担民事责任能力的法人、非法人组织或自然人，提供合法有效的营业执照/事业单位法人证书/专业服务机构执业许可证/民办非企业单位登记证书等相关证明，自然人参与的提供其身份证明。</w:t>
            </w:r>
          </w:p>
          <w:p w14:paraId="28F22C56">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2.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1988E218">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092D8978">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 xml:space="preserve">书面声明：投标人必须提供参加政府采购活动前3年内在经营活动中没有重大违法记录的书面声明。 </w:t>
            </w:r>
          </w:p>
          <w:p w14:paraId="55C0957F">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5.财务状况报告：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58C9A5C4">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6.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7ED742D4">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7.</w:t>
            </w:r>
            <w:r>
              <w:rPr>
                <w:rFonts w:hint="eastAsia" w:ascii="宋体" w:hAnsi="宋体" w:eastAsia="宋体" w:cs="宋体"/>
                <w:i w:val="0"/>
                <w:iCs w:val="0"/>
                <w:caps w:val="0"/>
                <w:color w:val="333333"/>
                <w:spacing w:val="0"/>
                <w:sz w:val="24"/>
                <w:szCs w:val="24"/>
                <w:shd w:val="clear" w:fill="FFFFFF"/>
              </w:rPr>
              <w:t>税收缴纳证明：提供</w:t>
            </w:r>
            <w:r>
              <w:rPr>
                <w:rFonts w:hint="eastAsia" w:ascii="宋体" w:hAnsi="宋体" w:eastAsia="宋体"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1DB0B21">
            <w:pPr>
              <w:keepNext w:val="0"/>
              <w:keepLines w:val="0"/>
              <w:pageBreakBefore w:val="0"/>
              <w:kinsoku/>
              <w:wordWrap/>
              <w:overflowPunct/>
              <w:topLinePunct w:val="0"/>
              <w:autoSpaceDE/>
              <w:autoSpaceDN/>
              <w:bidi w:val="0"/>
              <w:adjustRightInd/>
              <w:spacing w:line="420" w:lineRule="exact"/>
              <w:ind w:left="0" w:leftChars="0" w:right="0" w:rightChars="0" w:firstLine="481"/>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8.具备建设行政主管部门核发的公路工程施工总承包三级及以上资质，具有有效的安全生产许可证，并在人员、设备、资金等方面具备相应的施工能力。其中，拟派项目经理具公路工程专业二级及以上注册建造师执业资格和有效的安全生产考核合格证书，且未担任其他在建工程项目的项目经理。</w:t>
            </w:r>
          </w:p>
          <w:p w14:paraId="6C857827">
            <w:pPr>
              <w:keepNext w:val="0"/>
              <w:keepLines w:val="0"/>
              <w:pageBreakBefore w:val="0"/>
              <w:kinsoku/>
              <w:wordWrap/>
              <w:overflowPunct/>
              <w:topLinePunct w:val="0"/>
              <w:autoSpaceDE/>
              <w:autoSpaceDN/>
              <w:bidi w:val="0"/>
              <w:adjustRightInd/>
              <w:spacing w:line="420" w:lineRule="exact"/>
              <w:ind w:left="0" w:leftChars="0" w:right="0" w:rightChars="0" w:firstLine="481"/>
              <w:textAlignment w:val="auto"/>
              <w:rPr>
                <w:rFonts w:hint="eastAsia" w:ascii="宋体" w:hAnsi="宋体" w:cs="宋体"/>
                <w:color w:val="auto"/>
                <w:sz w:val="24"/>
                <w:szCs w:val="24"/>
                <w:lang w:eastAsia="zh-CN"/>
              </w:rPr>
            </w:pPr>
            <w:r>
              <w:rPr>
                <w:rFonts w:hint="eastAsia" w:ascii="宋体" w:hAnsi="宋体" w:cs="宋体"/>
                <w:color w:val="000000" w:themeColor="text1"/>
                <w:sz w:val="24"/>
                <w:szCs w:val="24"/>
                <w:lang w:eastAsia="zh-CN"/>
                <w14:textFill>
                  <w14:solidFill>
                    <w14:schemeClr w14:val="tx1"/>
                  </w14:solidFill>
                </w14:textFill>
              </w:rPr>
              <w:t>9.本项目专门面向中小企业采购，投标人须提</w:t>
            </w:r>
            <w:r>
              <w:rPr>
                <w:rFonts w:hint="eastAsia" w:ascii="宋体" w:hAnsi="宋体" w:cs="宋体"/>
                <w:color w:val="auto"/>
                <w:sz w:val="24"/>
                <w:szCs w:val="24"/>
                <w:lang w:eastAsia="zh-CN"/>
              </w:rPr>
              <w:t>供《中小企业声明函》。</w:t>
            </w:r>
          </w:p>
          <w:p w14:paraId="5907238D">
            <w:pPr>
              <w:keepNext w:val="0"/>
              <w:keepLines w:val="0"/>
              <w:pageBreakBefore w:val="0"/>
              <w:kinsoku/>
              <w:wordWrap/>
              <w:overflowPunct/>
              <w:topLinePunct w:val="0"/>
              <w:autoSpaceDE/>
              <w:autoSpaceDN/>
              <w:bidi w:val="0"/>
              <w:adjustRightInd/>
              <w:spacing w:line="420" w:lineRule="exact"/>
              <w:ind w:left="0" w:leftChars="0" w:right="0" w:rightChars="0" w:firstLine="481"/>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10.本项目不接受联合体投标。</w:t>
            </w:r>
          </w:p>
          <w:p w14:paraId="09D9501D">
            <w:pPr>
              <w:pageBreakBefore w:val="0"/>
              <w:kinsoku/>
              <w:wordWrap/>
              <w:overflowPunct/>
              <w:topLinePunct w:val="0"/>
              <w:bidi w:val="0"/>
              <w:spacing w:after="50" w:line="460" w:lineRule="exact"/>
              <w:ind w:firstLine="482" w:firstLineChars="200"/>
              <w:textAlignment w:val="auto"/>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注：上述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为必备</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，其中任何一项</w:t>
            </w:r>
            <w:r>
              <w:rPr>
                <w:rFonts w:hint="eastAsia" w:ascii="宋体" w:hAnsi="宋体" w:cs="宋体"/>
                <w:b/>
                <w:bCs/>
                <w:color w:val="000000" w:themeColor="text1"/>
                <w:kern w:val="0"/>
                <w:sz w:val="24"/>
                <w:szCs w:val="24"/>
                <w:lang w:val="en-US" w:eastAsia="zh-CN"/>
                <w14:textFill>
                  <w14:solidFill>
                    <w14:schemeClr w14:val="tx1"/>
                  </w14:solidFill>
                </w14:textFill>
              </w:rPr>
              <w:t>不符合要求</w:t>
            </w:r>
            <w:r>
              <w:rPr>
                <w:rFonts w:hint="eastAsia" w:ascii="宋体" w:hAnsi="宋体" w:eastAsia="宋体" w:cs="宋体"/>
                <w:b/>
                <w:bCs/>
                <w:color w:val="000000" w:themeColor="text1"/>
                <w:kern w:val="0"/>
                <w:sz w:val="24"/>
                <w:szCs w:val="24"/>
                <w14:textFill>
                  <w14:solidFill>
                    <w14:schemeClr w14:val="tx1"/>
                  </w14:solidFill>
                </w14:textFill>
              </w:rPr>
              <w:t>按无效文件处理。参加招标会议时须提供上述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文件（密封）单独递交进行审查，否则</w:t>
            </w:r>
            <w:r>
              <w:rPr>
                <w:rFonts w:hint="eastAsia" w:ascii="宋体" w:hAnsi="宋体" w:eastAsia="宋体" w:cs="宋体"/>
                <w:b/>
                <w:bCs/>
                <w:color w:val="000000" w:themeColor="text1"/>
                <w:kern w:val="0"/>
                <w:sz w:val="24"/>
                <w:szCs w:val="24"/>
                <w:lang w:eastAsia="zh-CN"/>
                <w14:textFill>
                  <w14:solidFill>
                    <w14:schemeClr w14:val="tx1"/>
                  </w14:solidFill>
                </w14:textFill>
              </w:rPr>
              <w:t>按无效文件处理</w:t>
            </w:r>
            <w:r>
              <w:rPr>
                <w:rFonts w:hint="eastAsia" w:ascii="宋体" w:hAnsi="宋体" w:eastAsia="宋体" w:cs="宋体"/>
                <w:b/>
                <w:bCs/>
                <w:color w:val="000000" w:themeColor="text1"/>
                <w:kern w:val="0"/>
                <w:sz w:val="24"/>
                <w:szCs w:val="24"/>
                <w14:textFill>
                  <w14:solidFill>
                    <w14:schemeClr w14:val="tx1"/>
                  </w14:solidFill>
                </w14:textFill>
              </w:rPr>
              <w:t>。响应文件（正、副本）中应附一套加盖投标人公章（红章）的上述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文件的复印件。投标人须保证</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文件的真实、合法、有效，因</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产生的一切纠纷由投标人承担法律责任。</w:t>
            </w:r>
          </w:p>
        </w:tc>
      </w:tr>
      <w:tr w14:paraId="285FF2C4">
        <w:tblPrEx>
          <w:tblCellMar>
            <w:top w:w="147" w:type="dxa"/>
            <w:left w:w="108" w:type="dxa"/>
            <w:bottom w:w="56" w:type="dxa"/>
            <w:right w:w="0" w:type="dxa"/>
          </w:tblCellMar>
        </w:tblPrEx>
        <w:trPr>
          <w:trHeight w:val="36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322E02A">
            <w:pPr>
              <w:pStyle w:val="78"/>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tcPr>
          <w:p w14:paraId="7E818B89">
            <w:pPr>
              <w:pageBreakBefore w:val="0"/>
              <w:kinsoku/>
              <w:wordWrap/>
              <w:overflowPunct/>
              <w:topLinePunct w:val="0"/>
              <w:bidi w:val="0"/>
              <w:spacing w:line="4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是否接受</w:t>
            </w:r>
          </w:p>
          <w:p w14:paraId="7B2251DC">
            <w:pPr>
              <w:pageBreakBefore w:val="0"/>
              <w:kinsoku/>
              <w:wordWrap/>
              <w:overflowPunct/>
              <w:topLinePunct w:val="0"/>
              <w:bidi w:val="0"/>
              <w:spacing w:line="4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联合体投标</w:t>
            </w:r>
          </w:p>
        </w:tc>
        <w:tc>
          <w:tcPr>
            <w:tcW w:w="7421" w:type="dxa"/>
            <w:tcBorders>
              <w:top w:val="single" w:color="000000" w:sz="4" w:space="0"/>
              <w:left w:val="single" w:color="000000" w:sz="4" w:space="0"/>
              <w:bottom w:val="single" w:color="000000" w:sz="4" w:space="0"/>
              <w:right w:val="single" w:color="000000" w:sz="4" w:space="0"/>
            </w:tcBorders>
            <w:vAlign w:val="center"/>
          </w:tcPr>
          <w:p w14:paraId="71C1C210">
            <w:pPr>
              <w:pageBreakBefore w:val="0"/>
              <w:kinsoku/>
              <w:wordWrap/>
              <w:overflowPunct/>
              <w:topLinePunct w:val="0"/>
              <w:bidi w:val="0"/>
              <w:spacing w:line="460" w:lineRule="exact"/>
              <w:jc w:val="left"/>
              <w:textAlignment w:val="auto"/>
              <w:outlineLvl w:val="9"/>
              <w:rPr>
                <w:rFonts w:hint="eastAsia" w:ascii="宋体" w:hAnsi="宋体" w:eastAsia="宋体" w:cs="宋体"/>
                <w:sz w:val="24"/>
                <w:szCs w:val="24"/>
              </w:rPr>
            </w:pPr>
            <w:r>
              <w:rPr>
                <w:rFonts w:hint="eastAsia" w:ascii="宋体" w:hAnsi="宋体" w:eastAsia="宋体" w:cs="宋体"/>
                <w:color w:val="FF0000"/>
                <w:sz w:val="24"/>
                <w:szCs w:val="24"/>
              </w:rPr>
              <w:t xml:space="preserve"> </w:t>
            </w:r>
            <w:r>
              <w:rPr>
                <w:rFonts w:hint="eastAsia" w:ascii="宋体" w:hAnsi="宋体" w:eastAsia="宋体" w:cs="宋体"/>
                <w:sz w:val="24"/>
                <w:szCs w:val="24"/>
              </w:rPr>
              <w:t>不接受联合体磋商。</w:t>
            </w:r>
          </w:p>
        </w:tc>
      </w:tr>
      <w:tr w14:paraId="37FFB609">
        <w:tblPrEx>
          <w:tblCellMar>
            <w:top w:w="147" w:type="dxa"/>
            <w:left w:w="108" w:type="dxa"/>
            <w:bottom w:w="56" w:type="dxa"/>
            <w:right w:w="0" w:type="dxa"/>
          </w:tblCellMar>
        </w:tblPrEx>
        <w:trPr>
          <w:trHeight w:val="46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7289476">
            <w:pPr>
              <w:pStyle w:val="78"/>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76791120">
            <w:pPr>
              <w:pageBreakBefore w:val="0"/>
              <w:kinsoku/>
              <w:wordWrap/>
              <w:overflowPunct/>
              <w:topLinePunct w:val="0"/>
              <w:bidi w:val="0"/>
              <w:spacing w:line="460" w:lineRule="exact"/>
              <w:ind w:right="111"/>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现场踏勘</w:t>
            </w:r>
          </w:p>
        </w:tc>
        <w:tc>
          <w:tcPr>
            <w:tcW w:w="7421" w:type="dxa"/>
            <w:tcBorders>
              <w:top w:val="single" w:color="000000" w:sz="4" w:space="0"/>
              <w:left w:val="single" w:color="000000" w:sz="4" w:space="0"/>
              <w:bottom w:val="single" w:color="000000" w:sz="4" w:space="0"/>
              <w:right w:val="single" w:color="000000" w:sz="4" w:space="0"/>
            </w:tcBorders>
          </w:tcPr>
          <w:p w14:paraId="50071395">
            <w:pPr>
              <w:pageBreakBefore w:val="0"/>
              <w:kinsoku/>
              <w:wordWrap/>
              <w:overflowPunct/>
              <w:topLinePunct w:val="0"/>
              <w:bidi w:val="0"/>
              <w:spacing w:line="4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自行勘察，未勘察现场造成的一切后果由投标人自行承担。（一切费用自理）。 </w:t>
            </w:r>
          </w:p>
        </w:tc>
      </w:tr>
      <w:tr w14:paraId="1E08514E">
        <w:tblPrEx>
          <w:tblCellMar>
            <w:top w:w="147" w:type="dxa"/>
            <w:left w:w="108" w:type="dxa"/>
            <w:bottom w:w="56" w:type="dxa"/>
            <w:right w:w="0" w:type="dxa"/>
          </w:tblCellMar>
        </w:tblPrEx>
        <w:trPr>
          <w:trHeight w:val="70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64EC33E">
            <w:pPr>
              <w:pStyle w:val="78"/>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21092D0D">
            <w:pPr>
              <w:pageBreakBefore w:val="0"/>
              <w:kinsoku/>
              <w:wordWrap/>
              <w:overflowPunct/>
              <w:topLinePunct w:val="0"/>
              <w:bidi w:val="0"/>
              <w:spacing w:line="46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421" w:type="dxa"/>
            <w:tcBorders>
              <w:top w:val="single" w:color="000000" w:sz="4" w:space="0"/>
              <w:left w:val="single" w:color="000000" w:sz="4" w:space="0"/>
              <w:bottom w:val="single" w:color="000000" w:sz="4" w:space="0"/>
              <w:right w:val="single" w:color="000000" w:sz="4" w:space="0"/>
            </w:tcBorders>
          </w:tcPr>
          <w:p w14:paraId="1FB04E4F">
            <w:pPr>
              <w:pageBreakBefore w:val="0"/>
              <w:kinsoku/>
              <w:wordWrap/>
              <w:overflowPunct/>
              <w:topLinePunct w:val="0"/>
              <w:bidi w:val="0"/>
              <w:spacing w:line="4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磋商时间：</w:t>
            </w:r>
            <w:r>
              <w:rPr>
                <w:rFonts w:hint="eastAsia" w:ascii="宋体" w:hAnsi="宋体" w:eastAsia="宋体" w:cs="宋体"/>
                <w:i w:val="0"/>
                <w:iCs w:val="0"/>
                <w:caps w:val="0"/>
                <w:color w:val="auto"/>
                <w:spacing w:val="0"/>
                <w:sz w:val="24"/>
                <w:szCs w:val="24"/>
                <w:shd w:val="clear" w:fill="FFFFFF"/>
              </w:rPr>
              <w:t>2025年</w:t>
            </w: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日09时</w:t>
            </w:r>
            <w:r>
              <w:rPr>
                <w:rFonts w:hint="eastAsia" w:ascii="宋体" w:hAnsi="宋体" w:eastAsia="宋体" w:cs="宋体"/>
                <w:i w:val="0"/>
                <w:iCs w:val="0"/>
                <w:caps w:val="0"/>
                <w:color w:val="auto"/>
                <w:spacing w:val="0"/>
                <w:sz w:val="24"/>
                <w:szCs w:val="24"/>
                <w:shd w:val="clear" w:fill="FFFFFF"/>
              </w:rPr>
              <w:t>00分</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 xml:space="preserve">   </w:t>
            </w:r>
          </w:p>
          <w:p w14:paraId="28DCBBC6">
            <w:pPr>
              <w:pageBreakBefore w:val="0"/>
              <w:kinsoku/>
              <w:wordWrap/>
              <w:overflowPunct/>
              <w:topLinePunct w:val="0"/>
              <w:bidi w:val="0"/>
              <w:spacing w:line="4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磋商地点：</w:t>
            </w:r>
            <w:r>
              <w:rPr>
                <w:rFonts w:hint="eastAsia" w:ascii="宋体" w:hAnsi="宋体" w:cs="宋体"/>
                <w:color w:val="auto"/>
                <w:sz w:val="24"/>
                <w:szCs w:val="24"/>
                <w:lang w:eastAsia="zh-CN"/>
              </w:rPr>
              <w:t>安康市高新区高新观澜8栋二单元801室</w:t>
            </w:r>
          </w:p>
          <w:p w14:paraId="2B683D60">
            <w:pPr>
              <w:pageBreakBefore w:val="0"/>
              <w:kinsoku/>
              <w:wordWrap/>
              <w:overflowPunct/>
              <w:topLinePunct w:val="0"/>
              <w:bidi w:val="0"/>
              <w:spacing w:line="4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（如有变动，另行通知）。 </w:t>
            </w:r>
          </w:p>
        </w:tc>
      </w:tr>
      <w:tr w14:paraId="3F5AB475">
        <w:tblPrEx>
          <w:tblCellMar>
            <w:top w:w="147" w:type="dxa"/>
            <w:left w:w="108" w:type="dxa"/>
            <w:bottom w:w="56" w:type="dxa"/>
            <w:right w:w="0" w:type="dxa"/>
          </w:tblCellMar>
        </w:tblPrEx>
        <w:trPr>
          <w:trHeight w:val="6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A77B1E3">
            <w:pPr>
              <w:pStyle w:val="78"/>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tcPr>
          <w:p w14:paraId="6DF35152">
            <w:pPr>
              <w:pageBreakBefore w:val="0"/>
              <w:kinsoku/>
              <w:wordWrap/>
              <w:overflowPunct/>
              <w:topLinePunct w:val="0"/>
              <w:bidi w:val="0"/>
              <w:spacing w:line="46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磋商响应文件递交截止时间地点</w:t>
            </w:r>
          </w:p>
        </w:tc>
        <w:tc>
          <w:tcPr>
            <w:tcW w:w="7421" w:type="dxa"/>
            <w:tcBorders>
              <w:top w:val="single" w:color="000000" w:sz="4" w:space="0"/>
              <w:left w:val="single" w:color="000000" w:sz="4" w:space="0"/>
              <w:bottom w:val="single" w:color="000000" w:sz="4" w:space="0"/>
              <w:right w:val="single" w:color="000000" w:sz="4" w:space="0"/>
            </w:tcBorders>
            <w:vAlign w:val="center"/>
          </w:tcPr>
          <w:p w14:paraId="00657402">
            <w:pPr>
              <w:pageBreakBefore w:val="0"/>
              <w:kinsoku/>
              <w:wordWrap/>
              <w:overflowPunct/>
              <w:topLinePunct w:val="0"/>
              <w:bidi w:val="0"/>
              <w:spacing w:line="460" w:lineRule="exac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递交截止时间：</w:t>
            </w:r>
            <w:r>
              <w:rPr>
                <w:rFonts w:hint="eastAsia" w:ascii="宋体" w:hAnsi="宋体" w:eastAsia="宋体" w:cs="宋体"/>
                <w:i w:val="0"/>
                <w:iCs w:val="0"/>
                <w:caps w:val="0"/>
                <w:color w:val="auto"/>
                <w:spacing w:val="0"/>
                <w:sz w:val="24"/>
                <w:szCs w:val="24"/>
                <w:shd w:val="clear" w:fill="FFFFFF"/>
              </w:rPr>
              <w:t>2025年</w:t>
            </w: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日09</w:t>
            </w:r>
            <w:r>
              <w:rPr>
                <w:rFonts w:hint="eastAsia" w:ascii="宋体" w:hAnsi="宋体" w:eastAsia="宋体" w:cs="宋体"/>
                <w:i w:val="0"/>
                <w:iCs w:val="0"/>
                <w:caps w:val="0"/>
                <w:color w:val="auto"/>
                <w:spacing w:val="0"/>
                <w:sz w:val="24"/>
                <w:szCs w:val="24"/>
                <w:shd w:val="clear" w:fill="FFFFFF"/>
              </w:rPr>
              <w:t>时00分</w:t>
            </w:r>
            <w:r>
              <w:rPr>
                <w:rFonts w:hint="eastAsia" w:ascii="宋体" w:hAnsi="宋体" w:eastAsia="宋体" w:cs="宋体"/>
                <w:color w:val="auto"/>
                <w:sz w:val="24"/>
                <w:szCs w:val="24"/>
                <w:lang w:val="en-US" w:eastAsia="zh-CN"/>
              </w:rPr>
              <w:t>止</w:t>
            </w:r>
          </w:p>
          <w:p w14:paraId="20B88C02">
            <w:pPr>
              <w:pageBreakBefore w:val="0"/>
              <w:kinsoku/>
              <w:wordWrap/>
              <w:overflowPunct/>
              <w:topLinePunct w:val="0"/>
              <w:bidi w:val="0"/>
              <w:spacing w:line="4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递交地点：</w:t>
            </w:r>
            <w:r>
              <w:rPr>
                <w:rFonts w:hint="eastAsia" w:ascii="宋体" w:hAnsi="宋体" w:cs="宋体"/>
                <w:color w:val="auto"/>
                <w:sz w:val="24"/>
                <w:szCs w:val="24"/>
                <w:lang w:eastAsia="zh-CN"/>
              </w:rPr>
              <w:t>安康市高新区高新观澜8栋二单元801室</w:t>
            </w:r>
            <w:r>
              <w:rPr>
                <w:rFonts w:hint="eastAsia" w:ascii="宋体" w:hAnsi="宋体" w:eastAsia="宋体" w:cs="宋体"/>
                <w:color w:val="auto"/>
                <w:sz w:val="24"/>
                <w:szCs w:val="24"/>
              </w:rPr>
              <w:t xml:space="preserve"> </w:t>
            </w:r>
          </w:p>
        </w:tc>
      </w:tr>
      <w:tr w14:paraId="479CF969">
        <w:tblPrEx>
          <w:tblCellMar>
            <w:top w:w="147" w:type="dxa"/>
            <w:left w:w="108" w:type="dxa"/>
            <w:bottom w:w="56" w:type="dxa"/>
            <w:right w:w="0" w:type="dxa"/>
          </w:tblCellMar>
        </w:tblPrEx>
        <w:trPr>
          <w:trHeight w:val="26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43A2A59A">
            <w:pPr>
              <w:pStyle w:val="78"/>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tcPr>
          <w:p w14:paraId="7A385A49">
            <w:pPr>
              <w:pageBreakBefore w:val="0"/>
              <w:kinsoku/>
              <w:wordWrap/>
              <w:overflowPunct/>
              <w:topLinePunct w:val="0"/>
              <w:bidi w:val="0"/>
              <w:spacing w:line="4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响应有效期</w:t>
            </w:r>
          </w:p>
        </w:tc>
        <w:tc>
          <w:tcPr>
            <w:tcW w:w="7421" w:type="dxa"/>
            <w:tcBorders>
              <w:top w:val="single" w:color="000000" w:sz="4" w:space="0"/>
              <w:left w:val="single" w:color="000000" w:sz="4" w:space="0"/>
              <w:bottom w:val="single" w:color="000000" w:sz="4" w:space="0"/>
              <w:right w:val="single" w:color="000000" w:sz="4" w:space="0"/>
            </w:tcBorders>
          </w:tcPr>
          <w:p w14:paraId="6EB8F3C7">
            <w:pPr>
              <w:pageBreakBefore w:val="0"/>
              <w:kinsoku/>
              <w:wordWrap/>
              <w:overflowPunct/>
              <w:topLinePunct w:val="0"/>
              <w:bidi w:val="0"/>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u w:val="single" w:color="000000"/>
              </w:rPr>
              <w:t>90</w:t>
            </w:r>
            <w:r>
              <w:rPr>
                <w:rFonts w:hint="eastAsia" w:ascii="宋体" w:hAnsi="宋体" w:eastAsia="宋体" w:cs="宋体"/>
                <w:sz w:val="24"/>
                <w:szCs w:val="24"/>
              </w:rPr>
              <w:t xml:space="preserve">日历天（从提交响应文件日起计算） </w:t>
            </w:r>
          </w:p>
        </w:tc>
      </w:tr>
      <w:tr w14:paraId="5BD0A2DA">
        <w:tblPrEx>
          <w:tblCellMar>
            <w:top w:w="147" w:type="dxa"/>
            <w:left w:w="108" w:type="dxa"/>
            <w:bottom w:w="56" w:type="dxa"/>
            <w:right w:w="0" w:type="dxa"/>
          </w:tblCellMar>
        </w:tblPrEx>
        <w:trPr>
          <w:trHeight w:val="371"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622007A9">
            <w:pPr>
              <w:pStyle w:val="78"/>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29FF1D22">
            <w:pPr>
              <w:pageBreakBefore w:val="0"/>
              <w:kinsoku/>
              <w:wordWrap/>
              <w:overflowPunct/>
              <w:topLinePunct w:val="0"/>
              <w:bidi w:val="0"/>
              <w:spacing w:line="46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rPr>
              <w:t>装订要求</w:t>
            </w:r>
          </w:p>
        </w:tc>
        <w:tc>
          <w:tcPr>
            <w:tcW w:w="7421" w:type="dxa"/>
            <w:tcBorders>
              <w:top w:val="single" w:color="000000" w:sz="4" w:space="0"/>
              <w:left w:val="single" w:color="000000" w:sz="4" w:space="0"/>
              <w:bottom w:val="single" w:color="000000" w:sz="4" w:space="0"/>
              <w:right w:val="single" w:color="000000" w:sz="4" w:space="0"/>
            </w:tcBorders>
          </w:tcPr>
          <w:p w14:paraId="7BACC1BE">
            <w:pPr>
              <w:pageBreakBefore w:val="0"/>
              <w:kinsoku/>
              <w:wordWrap/>
              <w:overflowPunct/>
              <w:topLinePunct w:val="0"/>
              <w:bidi w:val="0"/>
              <w:spacing w:line="4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rPr>
              <w:t>响应文件正本和副本均应采用胶封方式装订，不得采用活页夹等可随时拆换的方式装订。</w:t>
            </w:r>
          </w:p>
        </w:tc>
      </w:tr>
      <w:tr w14:paraId="61370C6C">
        <w:tblPrEx>
          <w:tblCellMar>
            <w:top w:w="147" w:type="dxa"/>
            <w:left w:w="108" w:type="dxa"/>
            <w:bottom w:w="56" w:type="dxa"/>
            <w:right w:w="0" w:type="dxa"/>
          </w:tblCellMar>
        </w:tblPrEx>
        <w:trPr>
          <w:trHeight w:val="3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60FEBBF">
            <w:pPr>
              <w:pStyle w:val="78"/>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6B823FA9">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sz w:val="24"/>
                <w:szCs w:val="24"/>
              </w:rPr>
              <w:t>磋商响应文件份数及其他要求</w:t>
            </w:r>
          </w:p>
        </w:tc>
        <w:tc>
          <w:tcPr>
            <w:tcW w:w="7421" w:type="dxa"/>
            <w:tcBorders>
              <w:top w:val="single" w:color="000000" w:sz="4" w:space="0"/>
              <w:left w:val="single" w:color="000000" w:sz="4" w:space="0"/>
              <w:bottom w:val="single" w:color="000000" w:sz="4" w:space="0"/>
              <w:right w:val="single" w:color="000000" w:sz="4" w:space="0"/>
            </w:tcBorders>
            <w:vAlign w:val="top"/>
          </w:tcPr>
          <w:p w14:paraId="68470D6B">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r>
              <w:rPr>
                <w:rFonts w:hint="eastAsia" w:ascii="宋体" w:hAnsi="宋体" w:eastAsia="宋体" w:cs="宋体"/>
                <w:color w:val="auto"/>
                <w:sz w:val="24"/>
                <w:szCs w:val="24"/>
              </w:rPr>
              <w:t>资质文件壹份</w:t>
            </w:r>
            <w:r>
              <w:rPr>
                <w:rFonts w:hint="eastAsia" w:ascii="宋体" w:hAnsi="宋体" w:cs="宋体"/>
                <w:color w:val="auto"/>
                <w:sz w:val="24"/>
                <w:szCs w:val="24"/>
                <w:lang w:eastAsia="zh-CN"/>
              </w:rPr>
              <w:t>、</w:t>
            </w:r>
            <w:r>
              <w:rPr>
                <w:rFonts w:hint="eastAsia" w:ascii="宋体" w:hAnsi="宋体" w:eastAsia="宋体" w:cs="宋体"/>
                <w:sz w:val="24"/>
                <w:szCs w:val="24"/>
              </w:rPr>
              <w:t>正本壹份，副本贰份，电子文件壹份（电子文件内容须为加盖响应单位公章正本响应文件全部内容的扫描件，格式为PDF），电子版文件装入响应文件正本密封袋内，随响应文件一同递交。</w:t>
            </w:r>
          </w:p>
          <w:p w14:paraId="6B198A1C">
            <w:pPr>
              <w:pStyle w:val="12"/>
              <w:pageBreakBefore w:val="0"/>
              <w:kinsoku/>
              <w:wordWrap/>
              <w:overflowPunct/>
              <w:topLinePunct w:val="0"/>
              <w:bidi w:val="0"/>
              <w:spacing w:line="460" w:lineRule="exact"/>
              <w:ind w:left="0" w:lef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是否要求提交电子版文件：是。</w:t>
            </w:r>
          </w:p>
        </w:tc>
      </w:tr>
      <w:tr w14:paraId="5001643D">
        <w:tblPrEx>
          <w:tblCellMar>
            <w:top w:w="147" w:type="dxa"/>
            <w:left w:w="108" w:type="dxa"/>
            <w:bottom w:w="56" w:type="dxa"/>
            <w:right w:w="0" w:type="dxa"/>
          </w:tblCellMar>
        </w:tblPrEx>
        <w:trPr>
          <w:trHeight w:val="3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ADD4E9D">
            <w:pPr>
              <w:pStyle w:val="78"/>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375385AB">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sz w:val="24"/>
                <w:szCs w:val="24"/>
                <w:lang w:val="zh-CN"/>
              </w:rPr>
              <w:t>封套上应写明的内容</w:t>
            </w:r>
          </w:p>
        </w:tc>
        <w:tc>
          <w:tcPr>
            <w:tcW w:w="7421" w:type="dxa"/>
            <w:tcBorders>
              <w:top w:val="single" w:color="000000" w:sz="4" w:space="0"/>
              <w:left w:val="single" w:color="000000" w:sz="4" w:space="0"/>
              <w:bottom w:val="single" w:color="000000" w:sz="4" w:space="0"/>
              <w:right w:val="single" w:color="000000" w:sz="4" w:space="0"/>
            </w:tcBorders>
            <w:vAlign w:val="top"/>
          </w:tcPr>
          <w:p w14:paraId="5C2F76A5">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采购项目名称：</w:t>
            </w:r>
          </w:p>
          <w:p w14:paraId="3D58358D">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采购项目编号：</w:t>
            </w:r>
          </w:p>
          <w:p w14:paraId="556CFC51">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竞争性磋商响应文件</w:t>
            </w:r>
          </w:p>
          <w:p w14:paraId="6EA7022B">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供应商名称：</w:t>
            </w:r>
          </w:p>
          <w:p w14:paraId="000C0724">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color w:val="auto"/>
                <w:kern w:val="0"/>
                <w:sz w:val="24"/>
                <w:szCs w:val="24"/>
              </w:rPr>
            </w:pPr>
            <w:r>
              <w:rPr>
                <w:rFonts w:hint="eastAsia" w:ascii="宋体" w:hAnsi="宋体" w:eastAsia="宋体" w:cs="宋体"/>
                <w:sz w:val="24"/>
                <w:szCs w:val="24"/>
              </w:rPr>
              <w:t>在</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eastAsia="宋体" w:cs="宋体"/>
                <w:sz w:val="24"/>
                <w:szCs w:val="24"/>
              </w:rPr>
              <w:t>分（磋商文件递交截止时间）前不得开启</w:t>
            </w:r>
          </w:p>
        </w:tc>
      </w:tr>
      <w:tr w14:paraId="3D431938">
        <w:tblPrEx>
          <w:tblCellMar>
            <w:top w:w="147" w:type="dxa"/>
            <w:left w:w="108" w:type="dxa"/>
            <w:bottom w:w="56" w:type="dxa"/>
            <w:right w:w="0" w:type="dxa"/>
          </w:tblCellMar>
        </w:tblPrEx>
        <w:trPr>
          <w:trHeight w:val="12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C40D50A">
            <w:pPr>
              <w:pStyle w:val="78"/>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0B587883">
            <w:pPr>
              <w:pageBreakBefore w:val="0"/>
              <w:kinsoku/>
              <w:wordWrap/>
              <w:overflowPunct/>
              <w:topLinePunct w:val="0"/>
              <w:bidi w:val="0"/>
              <w:spacing w:line="460" w:lineRule="exact"/>
              <w:ind w:right="111"/>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评分办法</w:t>
            </w:r>
          </w:p>
        </w:tc>
        <w:tc>
          <w:tcPr>
            <w:tcW w:w="7421" w:type="dxa"/>
            <w:tcBorders>
              <w:top w:val="single" w:color="000000" w:sz="4" w:space="0"/>
              <w:left w:val="single" w:color="000000" w:sz="4" w:space="0"/>
              <w:bottom w:val="single" w:color="000000" w:sz="4" w:space="0"/>
              <w:right w:val="single" w:color="000000" w:sz="4" w:space="0"/>
            </w:tcBorders>
          </w:tcPr>
          <w:p w14:paraId="304CC887">
            <w:pPr>
              <w:pageBreakBefore w:val="0"/>
              <w:kinsoku/>
              <w:wordWrap/>
              <w:overflowPunct/>
              <w:topLinePunct w:val="0"/>
              <w:bidi w:val="0"/>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综合评分法 </w:t>
            </w:r>
          </w:p>
        </w:tc>
      </w:tr>
      <w:tr w14:paraId="2A5A58EB">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C0EAD9A">
            <w:pPr>
              <w:pStyle w:val="78"/>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3D066D21">
            <w:pPr>
              <w:pageBreakBefore w:val="0"/>
              <w:kinsoku/>
              <w:wordWrap/>
              <w:overflowPunct/>
              <w:topLinePunct w:val="0"/>
              <w:bidi w:val="0"/>
              <w:spacing w:line="4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磋商小组</w:t>
            </w:r>
          </w:p>
          <w:p w14:paraId="7AE9AD6F">
            <w:pPr>
              <w:pageBreakBefore w:val="0"/>
              <w:kinsoku/>
              <w:wordWrap/>
              <w:overflowPunct/>
              <w:topLinePunct w:val="0"/>
              <w:bidi w:val="0"/>
              <w:spacing w:line="4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构成</w:t>
            </w:r>
          </w:p>
        </w:tc>
        <w:tc>
          <w:tcPr>
            <w:tcW w:w="7421" w:type="dxa"/>
            <w:tcBorders>
              <w:top w:val="single" w:color="000000" w:sz="4" w:space="0"/>
              <w:left w:val="single" w:color="000000" w:sz="4" w:space="0"/>
              <w:bottom w:val="single" w:color="000000" w:sz="4" w:space="0"/>
              <w:right w:val="single" w:color="000000" w:sz="4" w:space="0"/>
            </w:tcBorders>
          </w:tcPr>
          <w:p w14:paraId="085132CD">
            <w:pPr>
              <w:pageBreakBefore w:val="0"/>
              <w:kinsoku/>
              <w:wordWrap/>
              <w:overflowPunct/>
              <w:topLinePunct w:val="0"/>
              <w:bidi w:val="0"/>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根据《中华人民共和国政府采购法</w:t>
            </w:r>
            <w:r>
              <w:rPr>
                <w:rFonts w:hint="eastAsia" w:ascii="宋体" w:hAnsi="宋体" w:cs="宋体"/>
                <w:sz w:val="24"/>
                <w:szCs w:val="24"/>
                <w:lang w:eastAsia="zh-CN"/>
              </w:rPr>
              <w:t>》《</w:t>
            </w:r>
            <w:r>
              <w:rPr>
                <w:rFonts w:hint="eastAsia" w:ascii="宋体" w:hAnsi="宋体" w:eastAsia="宋体" w:cs="宋体"/>
                <w:sz w:val="24"/>
                <w:szCs w:val="24"/>
              </w:rPr>
              <w:t>中华人民共和国</w:t>
            </w:r>
            <w:r>
              <w:rPr>
                <w:rFonts w:hint="eastAsia" w:ascii="宋体" w:hAnsi="宋体" w:eastAsia="宋体" w:cs="宋体"/>
                <w:sz w:val="24"/>
                <w:szCs w:val="24"/>
                <w:lang w:val="en-US" w:eastAsia="zh-CN"/>
              </w:rPr>
              <w:t>政府采购法实施条例</w:t>
            </w:r>
            <w:r>
              <w:rPr>
                <w:rFonts w:hint="eastAsia" w:ascii="宋体" w:hAnsi="宋体" w:eastAsia="宋体" w:cs="宋体"/>
                <w:sz w:val="24"/>
                <w:szCs w:val="24"/>
              </w:rPr>
              <w:t xml:space="preserve">》等有关法律规定组建磋商小组。 </w:t>
            </w:r>
          </w:p>
        </w:tc>
      </w:tr>
      <w:tr w14:paraId="6B0AADC2">
        <w:tblPrEx>
          <w:tblCellMar>
            <w:top w:w="147" w:type="dxa"/>
            <w:left w:w="108" w:type="dxa"/>
            <w:bottom w:w="56" w:type="dxa"/>
            <w:right w:w="0" w:type="dxa"/>
          </w:tblCellMar>
        </w:tblPrEx>
        <w:trPr>
          <w:trHeight w:val="67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B429CFF">
            <w:pPr>
              <w:pStyle w:val="78"/>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color w:val="auto"/>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44BF7272">
            <w:pPr>
              <w:pageBreakBefore w:val="0"/>
              <w:kinsoku/>
              <w:wordWrap/>
              <w:overflowPunct/>
              <w:topLinePunct w:val="0"/>
              <w:bidi w:val="0"/>
              <w:spacing w:line="460" w:lineRule="exact"/>
              <w:ind w:right="111" w:rightChars="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付款</w:t>
            </w:r>
            <w:r>
              <w:rPr>
                <w:rFonts w:hint="eastAsia" w:ascii="宋体" w:hAnsi="宋体" w:eastAsia="宋体" w:cs="宋体"/>
                <w:color w:val="000000" w:themeColor="text1"/>
                <w:sz w:val="24"/>
                <w:szCs w:val="24"/>
                <w14:textFill>
                  <w14:solidFill>
                    <w14:schemeClr w14:val="tx1"/>
                  </w14:solidFill>
                </w14:textFill>
              </w:rPr>
              <w:t>方式</w:t>
            </w:r>
          </w:p>
        </w:tc>
        <w:tc>
          <w:tcPr>
            <w:tcW w:w="7421" w:type="dxa"/>
            <w:tcBorders>
              <w:top w:val="single" w:color="000000" w:sz="4" w:space="0"/>
              <w:left w:val="single" w:color="000000" w:sz="4" w:space="0"/>
              <w:bottom w:val="single" w:color="000000" w:sz="4" w:space="0"/>
              <w:right w:val="single" w:color="000000" w:sz="4" w:space="0"/>
            </w:tcBorders>
            <w:vAlign w:val="center"/>
          </w:tcPr>
          <w:p w14:paraId="0C6BCF60">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left"/>
              <w:textAlignment w:val="auto"/>
              <w:outlineLvl w:val="9"/>
              <w:rPr>
                <w:rFonts w:hint="eastAsia"/>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5%质保金，质保期（或者质量缺陷责任期）1年，期满后退回。</w:t>
            </w:r>
          </w:p>
        </w:tc>
      </w:tr>
      <w:tr w14:paraId="012FFAAB">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C1E48CC">
            <w:pPr>
              <w:pStyle w:val="78"/>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518" w:type="dxa"/>
            <w:tcBorders>
              <w:top w:val="single" w:color="000000" w:sz="4" w:space="0"/>
              <w:left w:val="single" w:color="000000" w:sz="4" w:space="0"/>
              <w:bottom w:val="single" w:color="000000" w:sz="4" w:space="0"/>
              <w:right w:val="single" w:color="000000" w:sz="4" w:space="0"/>
            </w:tcBorders>
            <w:vAlign w:val="center"/>
          </w:tcPr>
          <w:p w14:paraId="49FFCE3D">
            <w:pPr>
              <w:pageBreakBefore w:val="0"/>
              <w:kinsoku/>
              <w:wordWrap/>
              <w:overflowPunct/>
              <w:topLinePunct w:val="0"/>
              <w:bidi w:val="0"/>
              <w:spacing w:line="460" w:lineRule="exact"/>
              <w:ind w:right="109"/>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答疑</w:t>
            </w:r>
          </w:p>
        </w:tc>
        <w:tc>
          <w:tcPr>
            <w:tcW w:w="7421" w:type="dxa"/>
            <w:tcBorders>
              <w:top w:val="single" w:color="000000" w:sz="4" w:space="0"/>
              <w:left w:val="single" w:color="000000" w:sz="4" w:space="0"/>
              <w:bottom w:val="single" w:color="000000" w:sz="4" w:space="0"/>
              <w:right w:val="single" w:color="000000" w:sz="4" w:space="0"/>
            </w:tcBorders>
          </w:tcPr>
          <w:p w14:paraId="0BB0D03B">
            <w:pPr>
              <w:pageBreakBefore w:val="0"/>
              <w:kinsoku/>
              <w:wordWrap/>
              <w:overflowPunct/>
              <w:topLinePunct w:val="0"/>
              <w:bidi w:val="0"/>
              <w:spacing w:line="460" w:lineRule="exact"/>
              <w:ind w:right="-11"/>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如有疑问，投标人需书面提出，经采购人收集问题后，统一答疑。 </w:t>
            </w:r>
          </w:p>
        </w:tc>
      </w:tr>
      <w:tr w14:paraId="1FB4E8E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2607C17B">
            <w:pPr>
              <w:pStyle w:val="78"/>
              <w:pageBreakBefore w:val="0"/>
              <w:numPr>
                <w:ilvl w:val="0"/>
                <w:numId w:val="2"/>
              </w:numPr>
              <w:kinsoku/>
              <w:wordWrap/>
              <w:overflowPunct/>
              <w:topLinePunct w:val="0"/>
              <w:bidi w:val="0"/>
              <w:spacing w:line="460" w:lineRule="exact"/>
              <w:ind w:firstLineChars="0"/>
              <w:jc w:val="center"/>
              <w:textAlignment w:val="auto"/>
              <w:outlineLvl w:val="9"/>
              <w:rPr>
                <w:rFonts w:hint="eastAsia" w:ascii="宋体" w:hAnsi="宋体" w:eastAsia="宋体" w:cs="宋体"/>
                <w:sz w:val="24"/>
                <w:szCs w:val="24"/>
              </w:rPr>
            </w:pPr>
            <w:bookmarkStart w:id="45" w:name="_Toc536429318"/>
            <w:bookmarkStart w:id="46" w:name="_Toc536202378"/>
            <w:bookmarkStart w:id="47" w:name="_Toc21495"/>
            <w:bookmarkStart w:id="48" w:name="_Toc536202284"/>
            <w:bookmarkStart w:id="49" w:name="_Toc19272"/>
            <w:bookmarkStart w:id="50" w:name="_Toc536429371"/>
          </w:p>
        </w:tc>
        <w:tc>
          <w:tcPr>
            <w:tcW w:w="1518" w:type="dxa"/>
            <w:tcBorders>
              <w:top w:val="single" w:color="000000" w:sz="4" w:space="0"/>
              <w:left w:val="single" w:color="000000" w:sz="4" w:space="0"/>
              <w:bottom w:val="single" w:color="000000" w:sz="4" w:space="0"/>
              <w:right w:val="single" w:color="000000" w:sz="4" w:space="0"/>
            </w:tcBorders>
            <w:vAlign w:val="center"/>
          </w:tcPr>
          <w:p w14:paraId="78037D5A">
            <w:pPr>
              <w:pageBreakBefore w:val="0"/>
              <w:kinsoku/>
              <w:wordWrap/>
              <w:overflowPunct/>
              <w:topLinePunct w:val="0"/>
              <w:bidi w:val="0"/>
              <w:spacing w:line="460" w:lineRule="exact"/>
              <w:ind w:right="-11"/>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其他说明</w:t>
            </w:r>
          </w:p>
          <w:p w14:paraId="287793DF">
            <w:pPr>
              <w:pageBreakBefore w:val="0"/>
              <w:kinsoku/>
              <w:wordWrap/>
              <w:overflowPunct/>
              <w:topLinePunct w:val="0"/>
              <w:bidi w:val="0"/>
              <w:spacing w:line="460" w:lineRule="exact"/>
              <w:ind w:right="-11"/>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事项</w:t>
            </w:r>
          </w:p>
        </w:tc>
        <w:tc>
          <w:tcPr>
            <w:tcW w:w="7421" w:type="dxa"/>
            <w:tcBorders>
              <w:top w:val="single" w:color="000000" w:sz="4" w:space="0"/>
              <w:left w:val="single" w:color="000000" w:sz="4" w:space="0"/>
              <w:bottom w:val="single" w:color="000000" w:sz="4" w:space="0"/>
              <w:right w:val="single" w:color="000000" w:sz="4" w:space="0"/>
            </w:tcBorders>
          </w:tcPr>
          <w:p w14:paraId="4912B078">
            <w:pPr>
              <w:pageBreakBefore w:val="0"/>
              <w:kinsoku/>
              <w:wordWrap/>
              <w:overflowPunct/>
              <w:topLinePunct w:val="0"/>
              <w:bidi w:val="0"/>
              <w:spacing w:line="460" w:lineRule="exact"/>
              <w:ind w:right="-11"/>
              <w:textAlignment w:val="auto"/>
              <w:outlineLvl w:val="9"/>
              <w:rPr>
                <w:rFonts w:hint="eastAsia" w:ascii="宋体" w:hAnsi="宋体" w:eastAsia="宋体" w:cs="宋体"/>
                <w:sz w:val="24"/>
                <w:szCs w:val="24"/>
              </w:rPr>
            </w:pPr>
            <w:r>
              <w:rPr>
                <w:rFonts w:hint="eastAsia" w:asciiTheme="minorEastAsia" w:hAnsiTheme="minorEastAsia" w:eastAsiaTheme="minorEastAsia"/>
                <w:sz w:val="24"/>
                <w:szCs w:val="24"/>
              </w:rPr>
              <w:t>采购标的对应的中小企业划分标准所属行业为</w:t>
            </w:r>
            <w:r>
              <w:rPr>
                <w:rFonts w:hint="eastAsia" w:asciiTheme="minorEastAsia" w:hAnsiTheme="minorEastAsia" w:eastAsiaTheme="minorEastAsia"/>
                <w:sz w:val="24"/>
                <w:szCs w:val="24"/>
                <w:lang w:val="en-US" w:eastAsia="zh-CN"/>
              </w:rPr>
              <w:t>建筑业</w:t>
            </w:r>
            <w:r>
              <w:rPr>
                <w:rFonts w:hint="eastAsia" w:asciiTheme="minorEastAsia" w:hAnsiTheme="minorEastAsia" w:eastAsiaTheme="minorEastAsia"/>
                <w:sz w:val="24"/>
                <w:szCs w:val="24"/>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bl>
    <w:p w14:paraId="29F909FA">
      <w:pPr>
        <w:pStyle w:val="2"/>
        <w:pageBreakBefore w:val="0"/>
        <w:kinsoku/>
        <w:wordWrap/>
        <w:overflowPunct/>
        <w:topLinePunct w:val="0"/>
        <w:bidi w:val="0"/>
        <w:spacing w:line="460" w:lineRule="exact"/>
        <w:textAlignment w:val="auto"/>
        <w:outlineLvl w:val="9"/>
        <w:rPr>
          <w:kern w:val="44"/>
          <w:sz w:val="32"/>
          <w:szCs w:val="32"/>
        </w:rPr>
      </w:pPr>
      <w:r>
        <w:br w:type="page"/>
      </w:r>
    </w:p>
    <w:p w14:paraId="02E08903">
      <w:pPr>
        <w:pStyle w:val="3"/>
        <w:keepNext/>
        <w:keepLines/>
        <w:pageBreakBefore w:val="0"/>
        <w:widowControl w:val="0"/>
        <w:tabs>
          <w:tab w:val="left" w:pos="206"/>
        </w:tabs>
        <w:kinsoku/>
        <w:wordWrap/>
        <w:overflowPunct/>
        <w:topLinePunct w:val="0"/>
        <w:autoSpaceDE/>
        <w:autoSpaceDN/>
        <w:bidi w:val="0"/>
        <w:adjustRightInd/>
        <w:snapToGrid/>
        <w:spacing w:line="240" w:lineRule="auto"/>
        <w:jc w:val="center"/>
        <w:textAlignment w:val="auto"/>
        <w:rPr>
          <w:rFonts w:hint="eastAsia"/>
          <w:sz w:val="36"/>
          <w:szCs w:val="36"/>
        </w:rPr>
      </w:pPr>
      <w:bookmarkStart w:id="51" w:name="_Toc15139"/>
      <w:bookmarkStart w:id="52" w:name="_Toc19543335"/>
      <w:r>
        <w:rPr>
          <w:rFonts w:hint="eastAsia"/>
          <w:sz w:val="36"/>
          <w:szCs w:val="36"/>
        </w:rPr>
        <w:t>第三部分   供应商须知</w:t>
      </w:r>
      <w:bookmarkEnd w:id="45"/>
      <w:bookmarkEnd w:id="46"/>
      <w:bookmarkEnd w:id="47"/>
      <w:bookmarkEnd w:id="48"/>
      <w:bookmarkEnd w:id="49"/>
      <w:bookmarkEnd w:id="50"/>
      <w:bookmarkEnd w:id="51"/>
      <w:bookmarkEnd w:id="52"/>
    </w:p>
    <w:p w14:paraId="0DD0D431">
      <w:pPr>
        <w:keepNext/>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1"/>
        <w:rPr>
          <w:rFonts w:ascii="宋体" w:cs="Times New Roman"/>
          <w:b/>
          <w:bCs/>
          <w:kern w:val="0"/>
          <w:sz w:val="32"/>
          <w:szCs w:val="32"/>
        </w:rPr>
      </w:pPr>
      <w:bookmarkStart w:id="53" w:name="_Toc536429319"/>
      <w:bookmarkStart w:id="54" w:name="_Toc536429372"/>
      <w:bookmarkStart w:id="55" w:name="_Toc17059"/>
      <w:bookmarkStart w:id="56" w:name="_Toc26739"/>
      <w:bookmarkStart w:id="57" w:name="_Toc536202379"/>
      <w:bookmarkStart w:id="58" w:name="_Toc19543336"/>
      <w:bookmarkStart w:id="59" w:name="_Toc536202285"/>
      <w:r>
        <w:rPr>
          <w:rFonts w:hint="eastAsia" w:ascii="宋体" w:hAnsi="Calibri" w:eastAsia="宋体" w:cs="Times New Roman"/>
          <w:b/>
          <w:bCs/>
          <w:kern w:val="0"/>
          <w:sz w:val="32"/>
          <w:szCs w:val="32"/>
          <w:lang w:val="en-US" w:eastAsia="zh-CN" w:bidi="ar-SA"/>
        </w:rPr>
        <w:t>一、</w:t>
      </w:r>
      <w:r>
        <w:rPr>
          <w:rFonts w:hint="eastAsia" w:ascii="宋体" w:hAnsi="宋体" w:cs="宋体"/>
          <w:b/>
          <w:bCs/>
          <w:kern w:val="0"/>
          <w:sz w:val="32"/>
          <w:szCs w:val="32"/>
        </w:rPr>
        <w:t>总 则</w:t>
      </w:r>
      <w:bookmarkEnd w:id="53"/>
      <w:bookmarkEnd w:id="54"/>
      <w:bookmarkEnd w:id="55"/>
      <w:bookmarkEnd w:id="56"/>
      <w:bookmarkEnd w:id="57"/>
      <w:bookmarkEnd w:id="58"/>
      <w:bookmarkEnd w:id="59"/>
    </w:p>
    <w:p w14:paraId="375BB882">
      <w:pPr>
        <w:keepNext/>
        <w:keepLines w:val="0"/>
        <w:pageBreakBefore w:val="0"/>
        <w:widowControl w:val="0"/>
        <w:kinsoku/>
        <w:wordWrap/>
        <w:topLinePunct w:val="0"/>
        <w:autoSpaceDE/>
        <w:autoSpaceDN/>
        <w:bidi w:val="0"/>
        <w:snapToGrid w:val="0"/>
        <w:spacing w:line="460" w:lineRule="exac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cs="宋体"/>
          <w:b/>
          <w:bCs/>
          <w:sz w:val="24"/>
          <w:szCs w:val="24"/>
          <w:lang w:val="en-US" w:eastAsia="zh-CN"/>
        </w:rPr>
        <w:t>.</w:t>
      </w:r>
      <w:r>
        <w:rPr>
          <w:rFonts w:hint="eastAsia" w:ascii="宋体" w:hAnsi="宋体" w:eastAsia="宋体" w:cs="宋体"/>
          <w:b/>
          <w:bCs/>
          <w:sz w:val="24"/>
          <w:szCs w:val="24"/>
        </w:rPr>
        <w:t>适用范围</w:t>
      </w:r>
    </w:p>
    <w:p w14:paraId="1E3276C6">
      <w:pPr>
        <w:keepNext/>
        <w:keepLines w:val="0"/>
        <w:pageBreakBefore w:val="0"/>
        <w:widowControl w:val="0"/>
        <w:kinsoku/>
        <w:wordWrap/>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1.1本磋商文件适用于本次采购活动的全过程。</w:t>
      </w:r>
    </w:p>
    <w:p w14:paraId="52980A00">
      <w:pPr>
        <w:keepNext/>
        <w:keepLines w:val="0"/>
        <w:pageBreakBefore w:val="0"/>
        <w:widowControl w:val="0"/>
        <w:kinsoku/>
        <w:wordWrap/>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1.2本次采购属政府采购，采购人、采购代理机构、供应商、磋商小组的相关行为均</w:t>
      </w:r>
      <w:r>
        <w:rPr>
          <w:rFonts w:hint="eastAsia" w:ascii="宋体" w:hAnsi="宋体" w:cs="宋体"/>
          <w:bCs/>
          <w:sz w:val="24"/>
          <w:szCs w:val="24"/>
          <w:lang w:eastAsia="zh-CN"/>
        </w:rPr>
        <w:t>受到</w:t>
      </w:r>
      <w:r>
        <w:rPr>
          <w:rFonts w:hint="eastAsia" w:ascii="宋体" w:hAnsi="宋体" w:eastAsia="宋体" w:cs="宋体"/>
          <w:bCs/>
          <w:sz w:val="24"/>
          <w:szCs w:val="24"/>
        </w:rPr>
        <w:t>《中华人民共和国政府采购法》及实施条例、财政部规</w:t>
      </w:r>
      <w:r>
        <w:rPr>
          <w:rFonts w:hint="eastAsia" w:ascii="宋体" w:hAnsi="宋体" w:cs="宋体"/>
          <w:bCs/>
          <w:sz w:val="24"/>
          <w:szCs w:val="24"/>
          <w:lang w:eastAsia="zh-CN"/>
        </w:rPr>
        <w:t>章以</w:t>
      </w:r>
      <w:r>
        <w:rPr>
          <w:rFonts w:hint="eastAsia" w:ascii="宋体" w:hAnsi="宋体" w:eastAsia="宋体" w:cs="宋体"/>
          <w:bCs/>
          <w:sz w:val="24"/>
          <w:szCs w:val="24"/>
        </w:rPr>
        <w:t>及政府采购项目所在地有关法规、规章的约束，其权利受到上述法律法规的保护。</w:t>
      </w:r>
    </w:p>
    <w:p w14:paraId="0A38B179">
      <w:pPr>
        <w:keepNext/>
        <w:keepLines w:val="0"/>
        <w:pageBreakBefore w:val="0"/>
        <w:widowControl w:val="0"/>
        <w:kinsoku/>
        <w:wordWrap/>
        <w:topLinePunct w:val="0"/>
        <w:autoSpaceDE/>
        <w:autoSpaceDN/>
        <w:bidi w:val="0"/>
        <w:snapToGrid w:val="0"/>
        <w:spacing w:line="460" w:lineRule="exac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cs="宋体"/>
          <w:b/>
          <w:bCs/>
          <w:sz w:val="24"/>
          <w:szCs w:val="24"/>
          <w:lang w:val="en-US" w:eastAsia="zh-CN"/>
        </w:rPr>
        <w:t>.</w:t>
      </w:r>
      <w:r>
        <w:rPr>
          <w:rFonts w:hint="eastAsia" w:ascii="宋体" w:hAnsi="宋体" w:eastAsia="宋体" w:cs="宋体"/>
          <w:b/>
          <w:bCs/>
          <w:sz w:val="24"/>
          <w:szCs w:val="24"/>
        </w:rPr>
        <w:t>定义</w:t>
      </w:r>
    </w:p>
    <w:p w14:paraId="21D4DF9C">
      <w:pPr>
        <w:keepNext/>
        <w:keepLines w:val="0"/>
        <w:pageBreakBefore w:val="0"/>
        <w:widowControl w:val="0"/>
        <w:kinsoku/>
        <w:wordWrap/>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2.1采购人：</w:t>
      </w:r>
      <w:r>
        <w:rPr>
          <w:rFonts w:hint="eastAsia" w:ascii="宋体" w:hAnsi="宋体" w:cs="宋体"/>
          <w:bCs/>
          <w:sz w:val="24"/>
          <w:szCs w:val="24"/>
          <w:lang w:eastAsia="zh-CN"/>
        </w:rPr>
        <w:t>安康市恒口示范区（试验区）住房和城乡建设局</w:t>
      </w:r>
    </w:p>
    <w:p w14:paraId="54E4E002">
      <w:pPr>
        <w:keepNext/>
        <w:keepLines w:val="0"/>
        <w:pageBreakBefore w:val="0"/>
        <w:widowControl w:val="0"/>
        <w:kinsoku/>
        <w:wordWrap/>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2.2采购代理机构：安康尚昊招标代理有限公司</w:t>
      </w:r>
    </w:p>
    <w:p w14:paraId="4BCBDA42">
      <w:pPr>
        <w:keepNext/>
        <w:keepLines w:val="0"/>
        <w:pageBreakBefore w:val="0"/>
        <w:widowControl w:val="0"/>
        <w:kinsoku/>
        <w:wordWrap/>
        <w:topLinePunct w:val="0"/>
        <w:autoSpaceDE/>
        <w:autoSpaceDN/>
        <w:bidi w:val="0"/>
        <w:snapToGrid w:val="0"/>
        <w:spacing w:line="460" w:lineRule="exact"/>
        <w:ind w:right="0" w:rightChars="0" w:firstLine="480" w:firstLineChars="200"/>
        <w:jc w:val="left"/>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sz w:val="24"/>
          <w:szCs w:val="24"/>
          <w:lang w:val="en-US" w:eastAsia="zh-CN"/>
        </w:rPr>
        <w:t>2.</w:t>
      </w:r>
      <w:r>
        <w:rPr>
          <w:rFonts w:hint="eastAsia" w:ascii="宋体" w:hAnsi="宋体" w:eastAsia="宋体" w:cs="宋体"/>
          <w:bCs/>
          <w:color w:val="000000" w:themeColor="text1"/>
          <w:sz w:val="24"/>
          <w:szCs w:val="24"/>
          <w:lang w:val="en-US" w:eastAsia="zh-CN"/>
          <w14:textFill>
            <w14:solidFill>
              <w14:schemeClr w14:val="tx1"/>
            </w14:solidFill>
          </w14:textFill>
        </w:rPr>
        <w:t>3</w:t>
      </w:r>
      <w:r>
        <w:rPr>
          <w:rFonts w:hint="eastAsia" w:ascii="宋体" w:hAnsi="宋体" w:eastAsia="宋体" w:cs="宋体"/>
          <w:bCs/>
          <w:color w:val="000000" w:themeColor="text1"/>
          <w:sz w:val="24"/>
          <w:szCs w:val="24"/>
          <w:lang w:eastAsia="zh-CN"/>
          <w14:textFill>
            <w14:solidFill>
              <w14:schemeClr w14:val="tx1"/>
            </w14:solidFill>
          </w14:textFill>
        </w:rPr>
        <w:t>监管机构：安康市恒口</w:t>
      </w:r>
      <w:r>
        <w:rPr>
          <w:rFonts w:hint="eastAsia" w:ascii="宋体" w:hAnsi="宋体" w:cs="宋体"/>
          <w:bCs/>
          <w:color w:val="000000" w:themeColor="text1"/>
          <w:sz w:val="24"/>
          <w:szCs w:val="24"/>
          <w:lang w:val="en-US" w:eastAsia="zh-CN"/>
          <w14:textFill>
            <w14:solidFill>
              <w14:schemeClr w14:val="tx1"/>
            </w14:solidFill>
          </w14:textFill>
        </w:rPr>
        <w:t>示范区（试验区）财政局</w:t>
      </w:r>
    </w:p>
    <w:p w14:paraId="0D5F8228">
      <w:pPr>
        <w:keepNext/>
        <w:keepLines w:val="0"/>
        <w:pageBreakBefore w:val="0"/>
        <w:widowControl w:val="0"/>
        <w:kinsoku/>
        <w:wordWrap/>
        <w:topLinePunct w:val="0"/>
        <w:autoSpaceDE/>
        <w:autoSpaceDN/>
        <w:bidi w:val="0"/>
        <w:snapToGrid w:val="0"/>
        <w:spacing w:line="460" w:lineRule="exact"/>
        <w:ind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val="en-US" w:eastAsia="zh-CN"/>
        </w:rPr>
        <w:t>4</w:t>
      </w:r>
      <w:r>
        <w:rPr>
          <w:rFonts w:hint="eastAsia" w:ascii="宋体" w:hAnsi="宋体" w:eastAsia="宋体" w:cs="宋体"/>
          <w:bCs/>
          <w:sz w:val="24"/>
          <w:szCs w:val="24"/>
        </w:rPr>
        <w:t>供应商：是参与本项目磋商活动的法人、其他组织或自然人。</w:t>
      </w:r>
    </w:p>
    <w:p w14:paraId="45518A81">
      <w:pPr>
        <w:keepNext/>
        <w:keepLines w:val="0"/>
        <w:pageBreakBefore w:val="0"/>
        <w:widowControl w:val="0"/>
        <w:kinsoku/>
        <w:wordWrap/>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val="en-US" w:eastAsia="zh-CN"/>
        </w:rPr>
        <w:t>5</w:t>
      </w:r>
      <w:r>
        <w:rPr>
          <w:rFonts w:hint="eastAsia" w:ascii="宋体" w:hAnsi="宋体" w:eastAsia="宋体" w:cs="宋体"/>
          <w:bCs/>
          <w:sz w:val="24"/>
          <w:szCs w:val="24"/>
        </w:rPr>
        <w:t>货物：是指本次投标所需的各种形态和种类的物品。</w:t>
      </w:r>
    </w:p>
    <w:p w14:paraId="1E12B4BA">
      <w:pPr>
        <w:keepNext/>
        <w:keepLines w:val="0"/>
        <w:pageBreakBefore w:val="0"/>
        <w:widowControl w:val="0"/>
        <w:kinsoku/>
        <w:wordWrap/>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szCs w:val="24"/>
        </w:rPr>
        <w:t>2.</w:t>
      </w:r>
      <w:r>
        <w:rPr>
          <w:rFonts w:hint="eastAsia" w:ascii="宋体" w:hAnsi="宋体" w:cs="宋体"/>
          <w:bCs/>
          <w:sz w:val="24"/>
          <w:szCs w:val="24"/>
          <w:lang w:val="en-US" w:eastAsia="zh-CN"/>
        </w:rPr>
        <w:t>6</w:t>
      </w:r>
      <w:r>
        <w:rPr>
          <w:rFonts w:hint="eastAsia" w:ascii="宋体" w:hAnsi="宋体" w:eastAsia="宋体" w:cs="宋体"/>
          <w:bCs/>
          <w:sz w:val="24"/>
          <w:szCs w:val="24"/>
        </w:rPr>
        <w:t>服务：指除了货物和工程外的其他政府采购对象，包含除货物以外规定由供应商承担的</w:t>
      </w:r>
      <w:r>
        <w:rPr>
          <w:rFonts w:hint="eastAsia" w:ascii="宋体" w:hAnsi="宋体" w:eastAsia="宋体" w:cs="宋体"/>
          <w:bCs/>
          <w:color w:val="000000" w:themeColor="text1"/>
          <w:sz w:val="24"/>
          <w:szCs w:val="24"/>
          <w14:textFill>
            <w14:solidFill>
              <w14:schemeClr w14:val="tx1"/>
            </w14:solidFill>
          </w14:textFill>
        </w:rPr>
        <w:t>与货物有关的辅助服务。</w:t>
      </w:r>
    </w:p>
    <w:p w14:paraId="58485BC8">
      <w:pPr>
        <w:keepNext/>
        <w:keepLines w:val="0"/>
        <w:pageBreakBefore w:val="0"/>
        <w:widowControl w:val="0"/>
        <w:kinsoku/>
        <w:wordWrap/>
        <w:topLinePunct w:val="0"/>
        <w:autoSpaceDE/>
        <w:autoSpaceDN/>
        <w:bidi w:val="0"/>
        <w:snapToGrid w:val="0"/>
        <w:spacing w:line="460" w:lineRule="exact"/>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w:t>
      </w:r>
      <w:r>
        <w:rPr>
          <w:rFonts w:hint="eastAsia" w:ascii="宋体" w:hAnsi="宋体" w:cs="宋体"/>
          <w:b/>
          <w:bCs/>
          <w:color w:val="000000" w:themeColor="text1"/>
          <w:sz w:val="24"/>
          <w:szCs w:val="24"/>
          <w:lang w:val="en-US" w:eastAsia="zh-CN"/>
          <w14:textFill>
            <w14:solidFill>
              <w14:schemeClr w14:val="tx1"/>
            </w14:solidFill>
          </w14:textFill>
        </w:rPr>
        <w:t>.投标人资格要求</w:t>
      </w:r>
    </w:p>
    <w:p w14:paraId="44862725">
      <w:pPr>
        <w:keepNext/>
        <w:keepLines w:val="0"/>
        <w:pageBreakBefore w:val="0"/>
        <w:widowControl w:val="0"/>
        <w:kinsoku/>
        <w:wordWrap/>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投标人应具备的资格条件：见投标人须知前附表。</w:t>
      </w:r>
    </w:p>
    <w:p w14:paraId="6235E148">
      <w:pPr>
        <w:autoSpaceDE w:val="0"/>
        <w:autoSpaceDN w:val="0"/>
        <w:adjustRightInd w:val="0"/>
        <w:spacing w:line="360" w:lineRule="auto"/>
        <w:ind w:firstLine="482" w:firstLineChars="200"/>
        <w:rPr>
          <w:rFonts w:hint="default" w:ascii="宋体" w:hAnsi="宋体" w:cs="Times New Roman"/>
          <w:b/>
          <w:sz w:val="24"/>
          <w:szCs w:val="24"/>
          <w:lang w:val="en-US" w:eastAsia="zh-CN"/>
        </w:rPr>
      </w:pPr>
      <w:r>
        <w:rPr>
          <w:rFonts w:hint="eastAsia" w:ascii="宋体" w:hAnsi="宋体" w:cs="Times New Roman"/>
          <w:b/>
          <w:sz w:val="24"/>
          <w:szCs w:val="24"/>
          <w:lang w:val="en-US" w:eastAsia="zh-CN"/>
        </w:rPr>
        <w:t>4.</w:t>
      </w:r>
      <w:r>
        <w:rPr>
          <w:rFonts w:hint="eastAsia" w:ascii="宋体" w:hAnsi="宋体" w:cs="Times New Roman"/>
          <w:b/>
          <w:sz w:val="24"/>
          <w:szCs w:val="24"/>
        </w:rPr>
        <w:t xml:space="preserve"> 合格的投标人</w:t>
      </w:r>
      <w:r>
        <w:rPr>
          <w:rFonts w:hint="eastAsia" w:ascii="宋体" w:hAnsi="宋体" w:cs="Times New Roman"/>
          <w:b/>
          <w:sz w:val="24"/>
          <w:szCs w:val="24"/>
          <w:lang w:eastAsia="zh-CN"/>
        </w:rPr>
        <w:t>、</w:t>
      </w:r>
      <w:r>
        <w:rPr>
          <w:rFonts w:hint="eastAsia" w:ascii="宋体" w:hAnsi="宋体" w:cs="Times New Roman"/>
          <w:b/>
          <w:sz w:val="24"/>
          <w:szCs w:val="24"/>
          <w:lang w:val="en-US" w:eastAsia="zh-CN"/>
        </w:rPr>
        <w:t>合格的工程</w:t>
      </w:r>
    </w:p>
    <w:p w14:paraId="65F7168F">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4.1</w:t>
      </w:r>
      <w:r>
        <w:rPr>
          <w:rFonts w:hint="eastAsia" w:ascii="宋体" w:hAnsi="宋体" w:eastAsia="宋体" w:cs="宋体"/>
          <w:bCs/>
          <w:sz w:val="24"/>
          <w:szCs w:val="24"/>
        </w:rPr>
        <w:t xml:space="preserve"> 合格的投标人 </w:t>
      </w:r>
    </w:p>
    <w:p w14:paraId="7CFF3FC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4.1.1</w:t>
      </w:r>
      <w:r>
        <w:rPr>
          <w:rFonts w:hint="eastAsia" w:ascii="宋体" w:hAnsi="宋体" w:eastAsia="宋体" w:cs="宋体"/>
          <w:bCs/>
          <w:sz w:val="24"/>
          <w:szCs w:val="24"/>
        </w:rPr>
        <w:t>依照《中华人民共和国公司法》注册、具有法人资格、符合《中华人民共和国政府采购法》第二十二条要求具备的条件、并具备国家规定的相关该行业必备资质。</w:t>
      </w:r>
    </w:p>
    <w:p w14:paraId="69BDCCC9">
      <w:pPr>
        <w:pageBreakBefore w:val="0"/>
        <w:widowControl/>
        <w:numPr>
          <w:ilvl w:val="0"/>
          <w:numId w:val="0"/>
        </w:numPr>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4.1.2</w:t>
      </w:r>
      <w:r>
        <w:rPr>
          <w:rFonts w:hint="eastAsia" w:ascii="宋体" w:hAnsi="宋体" w:eastAsia="宋体" w:cs="宋体"/>
          <w:bCs/>
          <w:sz w:val="24"/>
          <w:szCs w:val="24"/>
        </w:rPr>
        <w:t>投标人必须从采购代理机构</w:t>
      </w:r>
      <w:r>
        <w:rPr>
          <w:rFonts w:hint="eastAsia" w:ascii="宋体" w:hAnsi="宋体" w:cs="宋体"/>
          <w:bCs/>
          <w:sz w:val="24"/>
          <w:szCs w:val="24"/>
          <w:lang w:val="en-US" w:eastAsia="zh-CN"/>
        </w:rPr>
        <w:t>获取磋商</w:t>
      </w:r>
      <w:r>
        <w:rPr>
          <w:rFonts w:hint="eastAsia" w:ascii="宋体" w:hAnsi="宋体" w:eastAsia="宋体" w:cs="宋体"/>
          <w:bCs/>
          <w:sz w:val="24"/>
          <w:szCs w:val="24"/>
        </w:rPr>
        <w:t>文件并登记备案，未从采购代理机构</w:t>
      </w:r>
      <w:r>
        <w:rPr>
          <w:rFonts w:hint="eastAsia" w:ascii="宋体" w:hAnsi="宋体" w:cs="宋体"/>
          <w:bCs/>
          <w:sz w:val="24"/>
          <w:szCs w:val="24"/>
          <w:lang w:val="en-US" w:eastAsia="zh-CN"/>
        </w:rPr>
        <w:t>获取磋商</w:t>
      </w:r>
      <w:r>
        <w:rPr>
          <w:rFonts w:hint="eastAsia" w:ascii="宋体" w:hAnsi="宋体" w:eastAsia="宋体" w:cs="宋体"/>
          <w:bCs/>
          <w:sz w:val="24"/>
          <w:szCs w:val="24"/>
        </w:rPr>
        <w:t>文件并登记备案的潜在投标人均无资格参加</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w:t>
      </w:r>
    </w:p>
    <w:p w14:paraId="5544E2C1">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4.1.3</w:t>
      </w:r>
      <w:r>
        <w:rPr>
          <w:rFonts w:hint="eastAsia" w:ascii="宋体" w:hAnsi="宋体" w:eastAsia="宋体" w:cs="宋体"/>
          <w:bCs/>
          <w:sz w:val="24"/>
          <w:szCs w:val="24"/>
        </w:rPr>
        <w:t>本项目不接受联合体</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w:t>
      </w:r>
    </w:p>
    <w:p w14:paraId="2BAFE150">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4.2</w:t>
      </w:r>
      <w:r>
        <w:rPr>
          <w:rFonts w:hint="eastAsia" w:ascii="宋体" w:hAnsi="宋体" w:eastAsia="宋体" w:cs="宋体"/>
          <w:bCs/>
          <w:sz w:val="24"/>
          <w:szCs w:val="24"/>
        </w:rPr>
        <w:t xml:space="preserve"> 合格的工程</w:t>
      </w:r>
    </w:p>
    <w:p w14:paraId="6E21ABA9">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4.2.1</w:t>
      </w:r>
      <w:r>
        <w:rPr>
          <w:rFonts w:hint="eastAsia" w:ascii="宋体" w:hAnsi="宋体" w:eastAsia="宋体" w:cs="宋体"/>
          <w:bCs/>
          <w:sz w:val="24"/>
          <w:szCs w:val="24"/>
        </w:rPr>
        <w:t>工程项目建设依据：采购人提供</w:t>
      </w:r>
      <w:r>
        <w:rPr>
          <w:rFonts w:hint="eastAsia" w:ascii="宋体" w:hAnsi="宋体" w:eastAsia="宋体" w:cs="宋体"/>
          <w:bCs/>
          <w:sz w:val="24"/>
          <w:szCs w:val="24"/>
          <w:lang w:eastAsia="zh-CN"/>
        </w:rPr>
        <w:t>的</w:t>
      </w:r>
      <w:r>
        <w:rPr>
          <w:rFonts w:hint="eastAsia" w:ascii="宋体" w:hAnsi="宋体" w:eastAsia="宋体" w:cs="宋体"/>
          <w:bCs/>
          <w:sz w:val="24"/>
          <w:szCs w:val="24"/>
        </w:rPr>
        <w:t>资料齐全，可满足施工需要。</w:t>
      </w:r>
    </w:p>
    <w:p w14:paraId="76B1120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4.2.2</w:t>
      </w:r>
      <w:r>
        <w:rPr>
          <w:rFonts w:hint="eastAsia" w:ascii="宋体" w:hAnsi="宋体" w:eastAsia="宋体" w:cs="宋体"/>
          <w:bCs/>
          <w:sz w:val="24"/>
          <w:szCs w:val="24"/>
        </w:rPr>
        <w:t>工程范围及工期、质量要求</w:t>
      </w:r>
    </w:p>
    <w:p w14:paraId="785C2B13">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lang w:eastAsia="zh-CN"/>
        </w:rPr>
      </w:pPr>
      <w:r>
        <w:rPr>
          <w:rFonts w:hint="eastAsia" w:ascii="宋体" w:hAnsi="宋体" w:cs="宋体"/>
          <w:bCs/>
          <w:sz w:val="24"/>
          <w:szCs w:val="24"/>
          <w:lang w:eastAsia="zh-CN"/>
        </w:rPr>
        <w:t>（</w:t>
      </w:r>
      <w:r>
        <w:rPr>
          <w:rFonts w:hint="eastAsia" w:ascii="宋体" w:hAnsi="宋体" w:eastAsia="宋体" w:cs="宋体"/>
          <w:bCs/>
          <w:sz w:val="24"/>
          <w:szCs w:val="24"/>
        </w:rPr>
        <w:t>1</w:t>
      </w:r>
      <w:r>
        <w:rPr>
          <w:rFonts w:hint="eastAsia" w:ascii="宋体" w:hAnsi="宋体" w:cs="宋体"/>
          <w:bCs/>
          <w:sz w:val="24"/>
          <w:szCs w:val="24"/>
          <w:lang w:eastAsia="zh-CN"/>
        </w:rPr>
        <w:t>）</w:t>
      </w:r>
      <w:r>
        <w:rPr>
          <w:rFonts w:hint="eastAsia" w:ascii="宋体" w:hAnsi="宋体" w:eastAsia="宋体" w:cs="宋体"/>
          <w:bCs/>
          <w:sz w:val="24"/>
          <w:szCs w:val="24"/>
        </w:rPr>
        <w:t>工程范围：详见</w:t>
      </w:r>
      <w:r>
        <w:rPr>
          <w:rFonts w:hint="eastAsia" w:ascii="宋体" w:hAnsi="宋体" w:eastAsia="宋体" w:cs="宋体"/>
          <w:bCs/>
          <w:sz w:val="24"/>
          <w:szCs w:val="24"/>
          <w:lang w:eastAsia="zh-CN"/>
        </w:rPr>
        <w:t>采购要求及技术参数</w:t>
      </w:r>
    </w:p>
    <w:p w14:paraId="737C57C0">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2</w:t>
      </w:r>
      <w:r>
        <w:rPr>
          <w:rFonts w:hint="eastAsia" w:ascii="宋体" w:hAnsi="宋体" w:cs="宋体"/>
          <w:bCs/>
          <w:sz w:val="24"/>
          <w:szCs w:val="24"/>
          <w:lang w:eastAsia="zh-CN"/>
        </w:rPr>
        <w:t>）</w:t>
      </w:r>
      <w:r>
        <w:rPr>
          <w:rFonts w:hint="eastAsia" w:ascii="宋体" w:hAnsi="宋体" w:eastAsia="宋体" w:cs="宋体"/>
          <w:bCs/>
          <w:sz w:val="24"/>
          <w:szCs w:val="24"/>
        </w:rPr>
        <w:t>质量要求：合格</w:t>
      </w:r>
    </w:p>
    <w:p w14:paraId="216256C4">
      <w:pPr>
        <w:pageBreakBefore w:val="0"/>
        <w:widowControl/>
        <w:wordWrap/>
        <w:topLinePunct w:val="0"/>
        <w:autoSpaceDE/>
        <w:autoSpaceDN/>
        <w:bidi w:val="0"/>
        <w:snapToGrid w:val="0"/>
        <w:spacing w:line="336" w:lineRule="auto"/>
        <w:ind w:right="-90" w:rightChars="-43" w:firstLine="600" w:firstLineChars="250"/>
        <w:jc w:val="left"/>
        <w:textAlignment w:val="auto"/>
        <w:rPr>
          <w:rFonts w:hint="eastAsia" w:ascii="宋体" w:hAnsi="宋体" w:eastAsia="宋体" w:cs="宋体"/>
          <w:bCs/>
          <w:sz w:val="24"/>
          <w:szCs w:val="24"/>
        </w:rPr>
      </w:pPr>
      <w:r>
        <w:rPr>
          <w:rFonts w:hint="eastAsia" w:ascii="宋体" w:hAnsi="宋体" w:eastAsia="宋体" w:cs="宋体"/>
          <w:bCs/>
          <w:sz w:val="24"/>
          <w:szCs w:val="24"/>
        </w:rPr>
        <w:t>a.本工程的工程质量应符合国家工程质量验收标准合格以上要求，投标人应按现行的国家施工验收规范和质量评定标准和施工说明书、</w:t>
      </w:r>
      <w:r>
        <w:rPr>
          <w:rFonts w:hint="eastAsia" w:ascii="宋体" w:hAnsi="宋体" w:eastAsia="宋体" w:cs="宋体"/>
          <w:bCs/>
          <w:sz w:val="24"/>
          <w:szCs w:val="24"/>
          <w:lang w:val="en-US" w:eastAsia="zh-CN"/>
        </w:rPr>
        <w:t>工程量清单、</w:t>
      </w:r>
      <w:r>
        <w:rPr>
          <w:rFonts w:hint="eastAsia" w:ascii="宋体" w:hAnsi="宋体" w:eastAsia="宋体" w:cs="宋体"/>
          <w:bCs/>
          <w:sz w:val="24"/>
          <w:szCs w:val="24"/>
        </w:rPr>
        <w:t>设备说明书、设计变更等技术文件为依据施工。</w:t>
      </w:r>
    </w:p>
    <w:p w14:paraId="1B4608C1">
      <w:pPr>
        <w:pageBreakBefore w:val="0"/>
        <w:widowControl/>
        <w:wordWrap/>
        <w:topLinePunct w:val="0"/>
        <w:autoSpaceDE/>
        <w:autoSpaceDN/>
        <w:bidi w:val="0"/>
        <w:snapToGrid w:val="0"/>
        <w:spacing w:line="336" w:lineRule="auto"/>
        <w:ind w:right="-90" w:rightChars="-43" w:firstLine="600" w:firstLineChars="250"/>
        <w:jc w:val="left"/>
        <w:textAlignment w:val="auto"/>
        <w:rPr>
          <w:rFonts w:hint="eastAsia" w:ascii="宋体" w:hAnsi="宋体" w:eastAsia="宋体" w:cs="宋体"/>
          <w:bCs/>
          <w:color w:val="auto"/>
          <w:sz w:val="24"/>
          <w:szCs w:val="24"/>
        </w:rPr>
      </w:pPr>
      <w:r>
        <w:rPr>
          <w:rFonts w:hint="eastAsia" w:ascii="宋体" w:hAnsi="宋体" w:eastAsia="宋体" w:cs="宋体"/>
          <w:bCs/>
          <w:sz w:val="24"/>
          <w:szCs w:val="24"/>
        </w:rPr>
        <w:t>b.如工程质量达不到约定条件的部分，一经发现。可要求投标人返工，直至达到合同约定条件，并由投标人承担返工费用。返工后仍达不到约定条件，应继续返工到约定条件或合格标准。投标人承诺的质量等级达不到约定条件应承担违约责任，并按合同总价格 5 %支</w:t>
      </w:r>
      <w:r>
        <w:rPr>
          <w:rFonts w:hint="eastAsia" w:ascii="宋体" w:hAnsi="宋体" w:eastAsia="宋体" w:cs="宋体"/>
          <w:bCs/>
          <w:color w:val="auto"/>
          <w:sz w:val="24"/>
          <w:szCs w:val="24"/>
        </w:rPr>
        <w:t>付赔偿金。</w:t>
      </w:r>
    </w:p>
    <w:p w14:paraId="6F748272">
      <w:pPr>
        <w:pageBreakBefore w:val="0"/>
        <w:widowControl/>
        <w:wordWrap/>
        <w:topLinePunct w:val="0"/>
        <w:autoSpaceDE/>
        <w:autoSpaceDN/>
        <w:bidi w:val="0"/>
        <w:snapToGrid w:val="0"/>
        <w:spacing w:line="336" w:lineRule="auto"/>
        <w:ind w:right="-90" w:rightChars="-43" w:firstLine="600" w:firstLineChars="25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c.工期：</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cs="宋体"/>
          <w:bCs/>
          <w:color w:val="000000" w:themeColor="text1"/>
          <w:sz w:val="24"/>
          <w:szCs w:val="24"/>
          <w:u w:val="single"/>
          <w:lang w:val="en-US" w:eastAsia="zh-CN"/>
          <w14:textFill>
            <w14:solidFill>
              <w14:schemeClr w14:val="tx1"/>
            </w14:solidFill>
          </w14:textFill>
        </w:rPr>
        <w:t>90</w:t>
      </w:r>
      <w:r>
        <w:rPr>
          <w:rFonts w:hint="eastAsia" w:ascii="宋体" w:hAnsi="宋体" w:eastAsia="宋体" w:cs="宋体"/>
          <w:bCs/>
          <w:color w:val="000000" w:themeColor="text1"/>
          <w:sz w:val="24"/>
          <w:szCs w:val="24"/>
          <w:lang w:val="en-US" w:eastAsia="zh-CN"/>
          <w14:textFill>
            <w14:solidFill>
              <w14:schemeClr w14:val="tx1"/>
            </w14:solidFill>
          </w14:textFill>
        </w:rPr>
        <w:t>天</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rPr>
        <w:t xml:space="preserve"> </w:t>
      </w:r>
    </w:p>
    <w:p w14:paraId="33107C77">
      <w:pPr>
        <w:pageBreakBefore w:val="0"/>
        <w:widowControl/>
        <w:wordWrap/>
        <w:topLinePunct w:val="0"/>
        <w:autoSpaceDE/>
        <w:autoSpaceDN/>
        <w:bidi w:val="0"/>
        <w:snapToGrid w:val="0"/>
        <w:spacing w:line="336" w:lineRule="auto"/>
        <w:ind w:right="-90" w:rightChars="-43" w:firstLine="600" w:firstLineChars="25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auto"/>
          <w:sz w:val="24"/>
          <w:szCs w:val="24"/>
        </w:rPr>
        <w:t>本工程按采购人要求施工总工期为</w:t>
      </w:r>
      <w:r>
        <w:rPr>
          <w:rFonts w:hint="eastAsia" w:ascii="宋体" w:hAnsi="宋体" w:cs="宋体"/>
          <w:bCs/>
          <w:color w:val="000000" w:themeColor="text1"/>
          <w:sz w:val="24"/>
          <w:szCs w:val="24"/>
          <w:u w:val="single"/>
          <w:lang w:val="en-US" w:eastAsia="zh-CN"/>
          <w14:textFill>
            <w14:solidFill>
              <w14:schemeClr w14:val="tx1"/>
            </w14:solidFill>
          </w14:textFill>
        </w:rPr>
        <w:t xml:space="preserve"> 90</w:t>
      </w:r>
      <w:r>
        <w:rPr>
          <w:rFonts w:hint="eastAsia" w:ascii="宋体" w:hAnsi="宋体" w:eastAsia="宋体" w:cs="宋体"/>
          <w:bCs/>
          <w:color w:val="000000" w:themeColor="text1"/>
          <w:sz w:val="24"/>
          <w:szCs w:val="24"/>
          <w14:textFill>
            <w14:solidFill>
              <w14:schemeClr w14:val="tx1"/>
            </w14:solidFill>
          </w14:textFill>
        </w:rPr>
        <w:t>天。</w:t>
      </w:r>
    </w:p>
    <w:p w14:paraId="477FB1AA">
      <w:pPr>
        <w:pageBreakBefore w:val="0"/>
        <w:widowControl/>
        <w:wordWrap/>
        <w:topLinePunct w:val="0"/>
        <w:autoSpaceDE/>
        <w:autoSpaceDN/>
        <w:bidi w:val="0"/>
        <w:snapToGrid w:val="0"/>
        <w:spacing w:line="336" w:lineRule="auto"/>
        <w:ind w:right="-90" w:rightChars="-43" w:firstLine="720" w:firstLineChars="300"/>
        <w:jc w:val="left"/>
        <w:textAlignment w:val="auto"/>
        <w:rPr>
          <w:rFonts w:hint="eastAsia" w:ascii="宋体" w:hAnsi="宋体" w:eastAsia="宋体" w:cs="宋体"/>
          <w:bCs/>
          <w:sz w:val="24"/>
          <w:szCs w:val="24"/>
        </w:rPr>
      </w:pPr>
      <w:r>
        <w:rPr>
          <w:rFonts w:hint="eastAsia" w:ascii="宋体" w:hAnsi="宋体" w:eastAsia="宋体" w:cs="宋体"/>
          <w:bCs/>
          <w:sz w:val="24"/>
          <w:szCs w:val="24"/>
        </w:rPr>
        <w:t>工期延误，如果由于以下原因造成竣工日期推迟延误，经采购人代表确认后，投标人有理由延期完成工程或部分工程，采购人应同投标人协商决定延长竣工时间的期限。</w:t>
      </w:r>
    </w:p>
    <w:p w14:paraId="39BD535E">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（1）额外的或附加的工程数量。</w:t>
      </w:r>
    </w:p>
    <w:p w14:paraId="3D123DAC">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（2）由采购人原因造成的延误、障碍、阻止。</w:t>
      </w:r>
    </w:p>
    <w:p w14:paraId="64B847D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（3）不可抗力。</w:t>
      </w:r>
    </w:p>
    <w:p w14:paraId="597469A2">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（4）可能会出现的，不属投标人的过失或违约造成的。</w:t>
      </w:r>
    </w:p>
    <w:p w14:paraId="2D9401D9">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4.2.3</w:t>
      </w:r>
      <w:r>
        <w:rPr>
          <w:rFonts w:hint="eastAsia" w:ascii="宋体" w:hAnsi="宋体" w:eastAsia="宋体" w:cs="宋体"/>
          <w:bCs/>
          <w:sz w:val="24"/>
          <w:szCs w:val="24"/>
        </w:rPr>
        <w:t xml:space="preserve"> 踏勘现场</w:t>
      </w:r>
    </w:p>
    <w:p w14:paraId="1C2D65BF">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1</w:t>
      </w:r>
      <w:r>
        <w:rPr>
          <w:rFonts w:hint="eastAsia" w:ascii="宋体" w:hAnsi="宋体" w:cs="宋体"/>
          <w:bCs/>
          <w:sz w:val="24"/>
          <w:szCs w:val="24"/>
          <w:lang w:eastAsia="zh-CN"/>
        </w:rPr>
        <w:t>）</w:t>
      </w:r>
      <w:r>
        <w:rPr>
          <w:rFonts w:hint="eastAsia" w:ascii="宋体" w:hAnsi="宋体" w:eastAsia="宋体" w:cs="宋体"/>
          <w:bCs/>
          <w:sz w:val="24"/>
          <w:szCs w:val="24"/>
        </w:rPr>
        <w:t>由投标人自行现场踏勘，投标人将需澄清的问题以书面形式提交，采购代理机构、采购人对投标人提出的问题或现场踏勘的问题进行答复，形成答疑纪要发送投标人。投标人承担踏勘现场所发生的自身费用。</w:t>
      </w:r>
    </w:p>
    <w:p w14:paraId="3B0C0AD6">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2</w:t>
      </w:r>
      <w:r>
        <w:rPr>
          <w:rFonts w:hint="eastAsia" w:ascii="宋体" w:hAnsi="宋体" w:cs="宋体"/>
          <w:bCs/>
          <w:sz w:val="24"/>
          <w:szCs w:val="24"/>
          <w:lang w:eastAsia="zh-CN"/>
        </w:rPr>
        <w:t>）</w:t>
      </w:r>
      <w:r>
        <w:rPr>
          <w:rFonts w:hint="eastAsia" w:ascii="宋体" w:hAnsi="宋体" w:eastAsia="宋体" w:cs="宋体"/>
          <w:bCs/>
          <w:sz w:val="24"/>
          <w:szCs w:val="24"/>
        </w:rPr>
        <w:t>采购人和采购代理机构向投标人提供的有关现场的数据和资料，是现有的能被投标人利用的资料，采购人和采购代理机构对投标人做出的任何推论、理解和结论均不承担责任。</w:t>
      </w:r>
    </w:p>
    <w:p w14:paraId="6DF64D3F">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3</w:t>
      </w:r>
      <w:r>
        <w:rPr>
          <w:rFonts w:hint="eastAsia" w:ascii="宋体" w:hAnsi="宋体" w:cs="宋体"/>
          <w:bCs/>
          <w:sz w:val="24"/>
          <w:szCs w:val="24"/>
          <w:lang w:eastAsia="zh-CN"/>
        </w:rPr>
        <w:t>）</w:t>
      </w:r>
      <w:r>
        <w:rPr>
          <w:rFonts w:hint="eastAsia" w:ascii="宋体" w:hAnsi="宋体" w:eastAsia="宋体" w:cs="宋体"/>
          <w:bCs/>
          <w:sz w:val="24"/>
          <w:szCs w:val="24"/>
        </w:rPr>
        <w:t>经采购人允许，投标人可为踏勘目的进入项目现场，但投标人不得因此使采购人承担有关的责任和蒙受损失。投标人应承担踏勘现场的责任和风险。</w:t>
      </w:r>
    </w:p>
    <w:p w14:paraId="09A5532F">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政府采购政策支持</w:t>
      </w:r>
    </w:p>
    <w:p w14:paraId="30AE9FD3">
      <w:pPr>
        <w:spacing w:line="360" w:lineRule="auto"/>
        <w:ind w:firstLine="480" w:firstLineChars="200"/>
        <w:rPr>
          <w:rFonts w:ascii="宋体" w:hAnsi="宋体"/>
          <w:sz w:val="24"/>
          <w:szCs w:val="24"/>
        </w:rPr>
      </w:pPr>
      <w:r>
        <w:rPr>
          <w:rFonts w:hint="eastAsia" w:ascii="宋体" w:hAnsi="宋体"/>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07172250">
      <w:pPr>
        <w:tabs>
          <w:tab w:val="left" w:pos="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sz w:val="24"/>
          <w:szCs w:val="24"/>
          <w:lang w:val="en-US" w:eastAsia="zh-CN"/>
        </w:rPr>
        <w:t>10%</w:t>
      </w:r>
      <w:r>
        <w:rPr>
          <w:rFonts w:hint="eastAsia" w:ascii="宋体" w:hAnsi="宋体"/>
          <w:sz w:val="24"/>
          <w:szCs w:val="24"/>
        </w:rPr>
        <w:t xml:space="preserve">的价格扣除，用扣除后的价格参与评标。  </w:t>
      </w:r>
    </w:p>
    <w:p w14:paraId="7E06BB59">
      <w:pPr>
        <w:tabs>
          <w:tab w:val="left" w:pos="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sz w:val="24"/>
          <w:szCs w:val="24"/>
          <w:lang w:eastAsia="zh-CN"/>
        </w:rPr>
        <w:t>给予</w:t>
      </w:r>
      <w:r>
        <w:rPr>
          <w:rFonts w:hint="eastAsia" w:ascii="宋体" w:hAnsi="宋体"/>
          <w:sz w:val="24"/>
          <w:szCs w:val="24"/>
          <w:lang w:val="en-US" w:eastAsia="zh-CN"/>
        </w:rPr>
        <w:t>10%</w:t>
      </w:r>
      <w:r>
        <w:rPr>
          <w:rFonts w:hint="eastAsia" w:ascii="宋体" w:hAnsi="宋体"/>
          <w:sz w:val="24"/>
          <w:szCs w:val="24"/>
        </w:rPr>
        <w:t>的价格扣除，用扣除后的价格参与评审；</w:t>
      </w:r>
    </w:p>
    <w:p w14:paraId="79737045">
      <w:pPr>
        <w:tabs>
          <w:tab w:val="left" w:pos="0"/>
        </w:tabs>
        <w:autoSpaceDE w:val="0"/>
        <w:autoSpaceDN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 根据财政部、民政部、中国残疾人联合会下发的《关于促进残疾人就业政府采购政策的通知》（财库〔201</w:t>
      </w:r>
      <w:r>
        <w:rPr>
          <w:rFonts w:ascii="宋体" w:hAnsi="宋体"/>
          <w:sz w:val="24"/>
          <w:szCs w:val="24"/>
        </w:rPr>
        <w:t>7</w:t>
      </w:r>
      <w:r>
        <w:rPr>
          <w:rFonts w:hint="eastAsia" w:ascii="宋体" w:hAnsi="宋体"/>
          <w:sz w:val="24"/>
          <w:szCs w:val="24"/>
        </w:rPr>
        <w:t>〕</w:t>
      </w:r>
      <w:r>
        <w:rPr>
          <w:rFonts w:ascii="宋体" w:hAnsi="宋体"/>
          <w:sz w:val="24"/>
          <w:szCs w:val="24"/>
        </w:rPr>
        <w:t>141</w:t>
      </w:r>
      <w:r>
        <w:rPr>
          <w:rFonts w:hint="eastAsia" w:ascii="宋体" w:hAnsi="宋体"/>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7ADEB629">
      <w:pPr>
        <w:tabs>
          <w:tab w:val="left" w:pos="0"/>
        </w:tabs>
        <w:autoSpaceDE w:val="0"/>
        <w:autoSpaceDN w:val="0"/>
        <w:adjustRightInd w:val="0"/>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（4）对专门面向中小企业采购项目，不再执行价格扣除政策。</w:t>
      </w:r>
    </w:p>
    <w:p w14:paraId="654918ED">
      <w:pPr>
        <w:tabs>
          <w:tab w:val="left" w:pos="0"/>
        </w:tabs>
        <w:autoSpaceDE w:val="0"/>
        <w:autoSpaceDN w:val="0"/>
        <w:adjustRightInd w:val="0"/>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（5）对非专门面向中小企业采购项目，执行以上价格扣除政策。</w:t>
      </w:r>
    </w:p>
    <w:p w14:paraId="1E72ACEF">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参加政府采购活动的中小企业/残疾人单位应提供《中小企业声明函》或《残疾人福利性单位声明函》。投标产品中有监狱企业生产的产品的，应提供由省级以上监狱管理局、戒毒管理局（含新疆生产建设兵团）出具的生产厂商属于监狱企业的证明文件复印件。未提供上述声明函证明文件的，不能享受</w:t>
      </w:r>
      <w:r>
        <w:rPr>
          <w:rFonts w:hint="eastAsia" w:ascii="宋体" w:hAnsi="宋体"/>
          <w:sz w:val="24"/>
          <w:szCs w:val="24"/>
          <w:lang w:val="en-US" w:eastAsia="zh-CN"/>
        </w:rPr>
        <w:t>磋商</w:t>
      </w:r>
      <w:r>
        <w:rPr>
          <w:rFonts w:hint="eastAsia" w:ascii="宋体" w:hAnsi="宋体"/>
          <w:sz w:val="24"/>
          <w:szCs w:val="24"/>
        </w:rPr>
        <w:t>文件规定的价格扣除，但不影响投标文件的有效性</w:t>
      </w:r>
      <w:r>
        <w:rPr>
          <w:rFonts w:hint="eastAsia" w:ascii="宋体" w:hAnsi="宋体"/>
          <w:sz w:val="24"/>
          <w:szCs w:val="24"/>
          <w:lang w:eastAsia="zh-CN"/>
        </w:rPr>
        <w:t>，</w:t>
      </w:r>
      <w:r>
        <w:rPr>
          <w:rFonts w:hint="eastAsia" w:ascii="宋体" w:hAnsi="宋体"/>
          <w:sz w:val="24"/>
          <w:szCs w:val="24"/>
        </w:rPr>
        <w:t>对既属于监狱企业、福利企业，同时又满足中小微企业规定的投标单位，其价格扣除仅适用一次。</w:t>
      </w:r>
    </w:p>
    <w:p w14:paraId="580D96B9">
      <w:pPr>
        <w:spacing w:line="360" w:lineRule="auto"/>
        <w:ind w:firstLine="480" w:firstLineChars="200"/>
        <w:rPr>
          <w:rFonts w:ascii="宋体" w:hAnsi="宋体"/>
          <w:sz w:val="24"/>
          <w:szCs w:val="24"/>
        </w:rPr>
      </w:pPr>
      <w:r>
        <w:rPr>
          <w:rFonts w:hint="eastAsia" w:ascii="宋体" w:hAnsi="宋体"/>
          <w:sz w:val="24"/>
          <w:szCs w:val="24"/>
        </w:rPr>
        <w:t>(4) ①根据财政部、国家发展改革委《关于印发〈节能产品政府采购实施意见〉的通知》（财库〔2004〕185号）所投产品属于节能产品政府采购清单所列产品，在技术、服务同等的条件下，应当优先采用清单中的节能产品；</w:t>
      </w:r>
    </w:p>
    <w:p w14:paraId="69C29BF1">
      <w:pPr>
        <w:spacing w:line="360" w:lineRule="auto"/>
        <w:ind w:firstLine="480" w:firstLineChars="200"/>
        <w:rPr>
          <w:rFonts w:ascii="宋体" w:hAnsi="宋体"/>
          <w:sz w:val="24"/>
          <w:szCs w:val="24"/>
        </w:rPr>
      </w:pPr>
      <w:r>
        <w:rPr>
          <w:rFonts w:hint="eastAsia" w:ascii="宋体" w:hAnsi="宋体"/>
          <w:sz w:val="24"/>
          <w:szCs w:val="24"/>
        </w:rPr>
        <w:t>②所投产品为“环境标志产品政府采购清单”所列产品，在性能、技术、服务等指标同等的条件下，应当优先采用；</w:t>
      </w:r>
    </w:p>
    <w:p w14:paraId="156D0DD9">
      <w:pPr>
        <w:spacing w:line="360" w:lineRule="auto"/>
        <w:ind w:firstLine="480" w:firstLineChars="200"/>
        <w:rPr>
          <w:rFonts w:ascii="宋体" w:hAnsi="宋体"/>
          <w:sz w:val="24"/>
          <w:szCs w:val="24"/>
        </w:rPr>
      </w:pPr>
      <w:r>
        <w:rPr>
          <w:rFonts w:hint="eastAsia" w:ascii="宋体" w:hAnsi="宋体"/>
          <w:sz w:val="24"/>
          <w:szCs w:val="24"/>
        </w:rPr>
        <w:t>③节能产品根据《国务院办公厅关于建立政府强制采购节能产品制度的通知》国办发</w:t>
      </w:r>
      <w:r>
        <w:rPr>
          <w:rFonts w:hint="eastAsia" w:ascii="宋体" w:hAnsi="宋体"/>
          <w:sz w:val="24"/>
          <w:szCs w:val="24"/>
          <w:lang w:eastAsia="zh-CN"/>
        </w:rPr>
        <w:t>〔</w:t>
      </w:r>
      <w:r>
        <w:rPr>
          <w:rFonts w:hint="eastAsia" w:ascii="宋体" w:hAnsi="宋体"/>
          <w:sz w:val="24"/>
          <w:szCs w:val="24"/>
        </w:rPr>
        <w:t>2007</w:t>
      </w:r>
      <w:r>
        <w:rPr>
          <w:rFonts w:hint="eastAsia" w:ascii="宋体" w:hAnsi="宋体"/>
          <w:sz w:val="24"/>
          <w:szCs w:val="24"/>
          <w:lang w:eastAsia="zh-CN"/>
        </w:rPr>
        <w:t>〕</w:t>
      </w:r>
      <w:r>
        <w:rPr>
          <w:rFonts w:hint="eastAsia" w:ascii="宋体" w:hAnsi="宋体"/>
          <w:sz w:val="24"/>
          <w:szCs w:val="24"/>
        </w:rPr>
        <w:t>51号的规定，以中国政府采购网（http://www.ccgp.gov.cn/）公布的最新一期节能产品政府采购清单为准；</w:t>
      </w:r>
    </w:p>
    <w:p w14:paraId="1008926C">
      <w:pPr>
        <w:spacing w:line="360" w:lineRule="auto"/>
        <w:ind w:firstLine="480" w:firstLineChars="200"/>
        <w:rPr>
          <w:rFonts w:ascii="宋体" w:hAnsi="宋体"/>
          <w:sz w:val="24"/>
          <w:szCs w:val="24"/>
        </w:rPr>
      </w:pPr>
      <w:r>
        <w:rPr>
          <w:rFonts w:hint="eastAsia" w:ascii="宋体" w:hAnsi="宋体"/>
          <w:sz w:val="24"/>
          <w:szCs w:val="24"/>
        </w:rPr>
        <w:t>④环境标志产品根据《环境标志产品政府采购实施的意见》（财库</w:t>
      </w:r>
      <w:r>
        <w:rPr>
          <w:rFonts w:hint="eastAsia" w:ascii="宋体" w:hAnsi="宋体"/>
          <w:sz w:val="24"/>
          <w:szCs w:val="24"/>
          <w:lang w:eastAsia="zh-CN"/>
        </w:rPr>
        <w:t>〔2006〕90号</w:t>
      </w:r>
      <w:r>
        <w:rPr>
          <w:rFonts w:hint="eastAsia" w:ascii="宋体" w:hAnsi="宋体"/>
          <w:sz w:val="24"/>
          <w:szCs w:val="24"/>
        </w:rPr>
        <w:t>）的规定，以中国政府采购网（http://www.ccgp.gov.cn/）公布的最新一期环境标志产品政府采购清单为准；</w:t>
      </w:r>
    </w:p>
    <w:p w14:paraId="38F12878">
      <w:pPr>
        <w:spacing w:line="360" w:lineRule="auto"/>
        <w:ind w:firstLine="480" w:firstLineChars="200"/>
        <w:rPr>
          <w:rFonts w:ascii="宋体" w:hAnsi="宋体"/>
          <w:sz w:val="24"/>
          <w:szCs w:val="24"/>
        </w:rPr>
      </w:pPr>
      <w:r>
        <w:rPr>
          <w:rFonts w:hint="eastAsia" w:ascii="宋体" w:hAnsi="宋体"/>
          <w:sz w:val="24"/>
          <w:szCs w:val="24"/>
        </w:rPr>
        <w:t>⑤若节能、环保、环境标志清单内的产品仅是构成投标产品的部件、组件或零件的，则该投标产品不享受鼓励优惠政策；</w:t>
      </w:r>
    </w:p>
    <w:p w14:paraId="31270023">
      <w:pPr>
        <w:ind w:firstLine="480" w:firstLineChars="200"/>
        <w:rPr>
          <w:rFonts w:ascii="Calibri" w:hAnsi="Calibri"/>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w:t>
      </w:r>
      <w:r>
        <w:rPr>
          <w:rFonts w:ascii="宋体" w:hAnsi="宋体"/>
          <w:sz w:val="24"/>
          <w:szCs w:val="24"/>
        </w:rPr>
        <w:t>关于信用记录的查询和使用</w:t>
      </w:r>
    </w:p>
    <w:p w14:paraId="2DBBD273">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采购人将在</w:t>
      </w:r>
      <w:r>
        <w:rPr>
          <w:rFonts w:ascii="宋体" w:hAnsi="宋体"/>
          <w:sz w:val="24"/>
          <w:szCs w:val="24"/>
        </w:rPr>
        <w:t>资格审查</w:t>
      </w:r>
      <w:r>
        <w:rPr>
          <w:rFonts w:hint="eastAsia" w:ascii="宋体" w:hAnsi="宋体"/>
          <w:sz w:val="24"/>
          <w:szCs w:val="24"/>
        </w:rPr>
        <w:t>阶段通过【</w:t>
      </w:r>
      <w:r>
        <w:fldChar w:fldCharType="begin"/>
      </w:r>
      <w:r>
        <w:instrText xml:space="preserve"> HYPERLINK "http://www.creditchina.gov.cn" </w:instrText>
      </w:r>
      <w:r>
        <w:fldChar w:fldCharType="separate"/>
      </w:r>
      <w:r>
        <w:rPr>
          <w:rFonts w:hint="eastAsia" w:ascii="宋体" w:hAnsi="宋体"/>
          <w:sz w:val="24"/>
          <w:szCs w:val="24"/>
        </w:rPr>
        <w:t>信用中国</w:t>
      </w:r>
      <w:r>
        <w:rPr>
          <w:rFonts w:hint="eastAsia" w:ascii="宋体" w:hAnsi="宋体"/>
          <w:sz w:val="24"/>
          <w:szCs w:val="24"/>
        </w:rPr>
        <w:fldChar w:fldCharType="end"/>
      </w:r>
      <w:r>
        <w:rPr>
          <w:rFonts w:hint="eastAsia" w:ascii="宋体" w:hAnsi="宋体"/>
          <w:sz w:val="24"/>
          <w:szCs w:val="24"/>
        </w:rPr>
        <w:t>（www.creditchina.gov.cn）】、【</w:t>
      </w:r>
      <w:r>
        <w:fldChar w:fldCharType="begin"/>
      </w:r>
      <w:r>
        <w:instrText xml:space="preserve"> HYPERLINK "http://www.ccgp.gov.cn/cr/list" </w:instrText>
      </w:r>
      <w:r>
        <w:fldChar w:fldCharType="separate"/>
      </w:r>
      <w:r>
        <w:rPr>
          <w:rFonts w:hint="eastAsia" w:ascii="宋体" w:hAnsi="宋体"/>
          <w:sz w:val="24"/>
          <w:szCs w:val="24"/>
        </w:rPr>
        <w:t>中国政府采购网</w:t>
      </w:r>
      <w:r>
        <w:rPr>
          <w:rFonts w:hint="eastAsia" w:ascii="宋体" w:hAnsi="宋体"/>
          <w:sz w:val="24"/>
          <w:szCs w:val="24"/>
        </w:rPr>
        <w:fldChar w:fldCharType="end"/>
      </w:r>
      <w:r>
        <w:rPr>
          <w:rFonts w:hint="eastAsia" w:ascii="宋体" w:hAnsi="宋体"/>
          <w:sz w:val="24"/>
          <w:szCs w:val="24"/>
        </w:rPr>
        <w:t>（www.ccgp.gov.cn）】网站对投标文件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17006331">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lang w:eastAsia="zh-CN"/>
        </w:rPr>
        <w:t>.</w:t>
      </w:r>
      <w:r>
        <w:rPr>
          <w:rFonts w:hint="eastAsia" w:ascii="宋体" w:hAnsi="宋体"/>
          <w:sz w:val="24"/>
          <w:szCs w:val="24"/>
        </w:rPr>
        <w:t>投标人在参加政府采购活动前3年内因违法经营被禁止在一定期限内参加政府采购活动，期限届满的，可以参加政府采购活动的，但投标人应提供相关证明材料；</w:t>
      </w:r>
    </w:p>
    <w:p w14:paraId="4B4BD004">
      <w:pPr>
        <w:spacing w:line="360" w:lineRule="auto"/>
        <w:ind w:firstLine="480" w:firstLineChars="200"/>
        <w:rPr>
          <w:rFonts w:hint="eastAsia" w:ascii="宋体" w:hAnsi="宋体"/>
          <w:sz w:val="24"/>
          <w:szCs w:val="24"/>
        </w:rPr>
      </w:pPr>
      <w:r>
        <w:rPr>
          <w:rFonts w:ascii="宋体" w:hAnsi="宋体"/>
          <w:sz w:val="24"/>
          <w:szCs w:val="24"/>
        </w:rPr>
        <w:t>3</w:t>
      </w:r>
      <w:r>
        <w:rPr>
          <w:rFonts w:hint="eastAsia" w:ascii="宋体" w:hAnsi="宋体"/>
          <w:sz w:val="24"/>
          <w:szCs w:val="24"/>
          <w:lang w:eastAsia="zh-CN"/>
        </w:rPr>
        <w:t>.</w:t>
      </w:r>
      <w:r>
        <w:rPr>
          <w:rFonts w:ascii="宋体" w:hAnsi="宋体"/>
          <w:sz w:val="24"/>
          <w:szCs w:val="24"/>
        </w:rPr>
        <w:t>信用记录查询的截止时点为“</w:t>
      </w:r>
      <w:r>
        <w:rPr>
          <w:rFonts w:hint="eastAsia" w:ascii="宋体" w:hAnsi="宋体"/>
          <w:sz w:val="24"/>
          <w:szCs w:val="24"/>
          <w:lang w:val="en-US" w:eastAsia="zh-CN"/>
        </w:rPr>
        <w:t>磋商</w:t>
      </w:r>
      <w:r>
        <w:rPr>
          <w:rFonts w:hint="eastAsia" w:ascii="宋体" w:hAnsi="宋体"/>
          <w:sz w:val="24"/>
          <w:szCs w:val="24"/>
        </w:rPr>
        <w:t>文件</w:t>
      </w:r>
      <w:r>
        <w:rPr>
          <w:rFonts w:hint="eastAsia" w:ascii="宋体" w:hAnsi="宋体"/>
          <w:sz w:val="24"/>
          <w:szCs w:val="24"/>
          <w:lang w:val="en-US" w:eastAsia="zh-CN"/>
        </w:rPr>
        <w:t>获取</w:t>
      </w:r>
      <w:r>
        <w:rPr>
          <w:rFonts w:hint="eastAsia" w:ascii="宋体" w:hAnsi="宋体"/>
          <w:sz w:val="24"/>
          <w:szCs w:val="24"/>
        </w:rPr>
        <w:t>之日起至投标截止日前</w:t>
      </w:r>
      <w:r>
        <w:rPr>
          <w:rFonts w:ascii="宋体" w:hAnsi="宋体"/>
          <w:sz w:val="24"/>
          <w:szCs w:val="24"/>
        </w:rPr>
        <w:t>”。</w:t>
      </w:r>
      <w:r>
        <w:rPr>
          <w:rFonts w:hint="eastAsia" w:ascii="宋体" w:hAnsi="宋体"/>
          <w:sz w:val="24"/>
          <w:szCs w:val="24"/>
        </w:rPr>
        <w:t>信用记录查询的结果，将以纸质截图或将截图保存至电子介质的形式留存。投标人未如实填报《投标人书面声明函》的，视为“投标人提供虚假材料谋取中标、成交的”行为。</w:t>
      </w:r>
    </w:p>
    <w:p w14:paraId="6D40BED0">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费用承担</w:t>
      </w:r>
    </w:p>
    <w:p w14:paraId="5A5CA321">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0AD740AF">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7.</w:t>
      </w:r>
      <w:r>
        <w:rPr>
          <w:rFonts w:hint="eastAsia" w:ascii="宋体" w:hAnsi="宋体" w:eastAsia="宋体" w:cs="宋体"/>
          <w:b/>
          <w:bCs/>
          <w:sz w:val="24"/>
          <w:szCs w:val="24"/>
        </w:rPr>
        <w:t>保密</w:t>
      </w:r>
    </w:p>
    <w:p w14:paraId="01FC1548">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参与磋商活动的各方应对磋商文件和响应文件的商业和技术等秘密保密，违者应对由此造成的后果承担法律责任。</w:t>
      </w:r>
    </w:p>
    <w:p w14:paraId="76419616">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8.</w:t>
      </w:r>
      <w:r>
        <w:rPr>
          <w:rFonts w:hint="eastAsia" w:ascii="宋体" w:hAnsi="宋体" w:eastAsia="宋体" w:cs="宋体"/>
          <w:b/>
          <w:bCs/>
          <w:sz w:val="24"/>
          <w:szCs w:val="24"/>
        </w:rPr>
        <w:t>语言文字</w:t>
      </w:r>
    </w:p>
    <w:p w14:paraId="697022DA">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除专用术语外，与磋商文件有关的语言均使用中文；必要时专用术语应附有中文注释。</w:t>
      </w:r>
    </w:p>
    <w:p w14:paraId="5AAE328C">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9.</w:t>
      </w:r>
      <w:r>
        <w:rPr>
          <w:rFonts w:hint="eastAsia" w:ascii="宋体" w:hAnsi="宋体" w:eastAsia="宋体" w:cs="宋体"/>
          <w:b/>
          <w:bCs/>
          <w:sz w:val="24"/>
          <w:szCs w:val="24"/>
        </w:rPr>
        <w:t>计量单位</w:t>
      </w:r>
    </w:p>
    <w:p w14:paraId="5DEC0141">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所有计量均采用中华人民共和国法定计量单位。</w:t>
      </w:r>
    </w:p>
    <w:p w14:paraId="4B4F9B6B">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10.</w:t>
      </w:r>
      <w:r>
        <w:rPr>
          <w:rFonts w:hint="eastAsia" w:ascii="宋体" w:hAnsi="宋体" w:eastAsia="宋体" w:cs="宋体"/>
          <w:b/>
          <w:bCs/>
          <w:sz w:val="24"/>
          <w:szCs w:val="24"/>
        </w:rPr>
        <w:t>踏勘现场</w:t>
      </w:r>
    </w:p>
    <w:p w14:paraId="4C0EE916">
      <w:pPr>
        <w:pStyle w:val="2"/>
        <w:keepNext w:val="0"/>
        <w:keepLines w:val="0"/>
        <w:pageBreakBefore w:val="0"/>
        <w:widowControl w:val="0"/>
        <w:kinsoku/>
        <w:wordWrap/>
        <w:overflowPunct/>
        <w:topLinePunct w:val="0"/>
        <w:autoSpaceDE/>
        <w:autoSpaceDN/>
        <w:bidi w:val="0"/>
        <w:adjustRightInd/>
        <w:spacing w:line="460" w:lineRule="exact"/>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自行勘察，未勘察现场造成的一切后果由投标人自行承担。（一切费用自理）。</w:t>
      </w:r>
    </w:p>
    <w:p w14:paraId="30070D1D">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11.</w:t>
      </w:r>
      <w:r>
        <w:rPr>
          <w:rFonts w:hint="eastAsia" w:ascii="宋体" w:hAnsi="宋体" w:eastAsia="宋体" w:cs="宋体"/>
          <w:b/>
          <w:bCs/>
          <w:sz w:val="24"/>
          <w:szCs w:val="24"/>
        </w:rPr>
        <w:t>偏离</w:t>
      </w:r>
    </w:p>
    <w:p w14:paraId="5B8A1892">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除供应商须知前附表另有规定外，供应商递交的响应文件不允许严重负偏离。</w:t>
      </w:r>
    </w:p>
    <w:p w14:paraId="3A736A14">
      <w:pPr>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eastAsia="宋体" w:cs="宋体"/>
          <w:b/>
          <w:bCs/>
          <w:kern w:val="0"/>
          <w:sz w:val="32"/>
          <w:szCs w:val="32"/>
        </w:rPr>
      </w:pPr>
      <w:bookmarkStart w:id="60" w:name="_Toc536202288"/>
      <w:bookmarkStart w:id="61" w:name="_Toc536202380"/>
      <w:bookmarkStart w:id="62" w:name="_Toc536429320"/>
      <w:bookmarkStart w:id="63" w:name="_Toc3976"/>
      <w:bookmarkStart w:id="64" w:name="_Toc19543337"/>
      <w:bookmarkStart w:id="65" w:name="_Toc536429373"/>
      <w:r>
        <w:rPr>
          <w:rFonts w:hint="eastAsia" w:ascii="宋体" w:hAnsi="宋体" w:eastAsia="宋体" w:cs="宋体"/>
          <w:b/>
          <w:bCs/>
          <w:kern w:val="0"/>
          <w:sz w:val="32"/>
          <w:szCs w:val="32"/>
          <w:lang w:val="en-US" w:eastAsia="zh-CN" w:bidi="ar-SA"/>
        </w:rPr>
        <w:t>二、</w:t>
      </w:r>
      <w:r>
        <w:rPr>
          <w:rFonts w:hint="eastAsia" w:ascii="宋体" w:hAnsi="宋体" w:eastAsia="宋体" w:cs="宋体"/>
          <w:b/>
          <w:bCs/>
          <w:kern w:val="0"/>
          <w:sz w:val="32"/>
          <w:szCs w:val="32"/>
        </w:rPr>
        <w:t>竞争性磋商文件</w:t>
      </w:r>
      <w:bookmarkEnd w:id="60"/>
      <w:bookmarkEnd w:id="61"/>
      <w:bookmarkEnd w:id="62"/>
      <w:bookmarkEnd w:id="63"/>
      <w:bookmarkEnd w:id="64"/>
      <w:bookmarkEnd w:id="65"/>
    </w:p>
    <w:p w14:paraId="2EB8411A">
      <w:pPr>
        <w:pStyle w:val="5"/>
        <w:keepNext/>
        <w:keepLines w:val="0"/>
        <w:pageBreakBefore w:val="0"/>
        <w:widowControl w:val="0"/>
        <w:numPr>
          <w:ilvl w:val="0"/>
          <w:numId w:val="0"/>
        </w:numPr>
        <w:kinsoku/>
        <w:wordWrap/>
        <w:topLinePunct w:val="0"/>
        <w:autoSpaceDE/>
        <w:autoSpaceDN/>
        <w:bidi w:val="0"/>
        <w:spacing w:line="460" w:lineRule="exact"/>
        <w:ind w:leftChars="200" w:right="0" w:rightChars="0"/>
        <w:textAlignment w:val="auto"/>
        <w:rPr>
          <w:rFonts w:hint="eastAsia" w:ascii="宋体" w:hAnsi="宋体" w:eastAsia="宋体" w:cs="宋体"/>
          <w:sz w:val="24"/>
          <w:szCs w:val="28"/>
        </w:rPr>
      </w:pPr>
      <w:bookmarkStart w:id="66" w:name="_Toc5801"/>
      <w:bookmarkStart w:id="67" w:name="_Toc536202289"/>
      <w:r>
        <w:rPr>
          <w:rFonts w:hint="eastAsia" w:ascii="宋体" w:hAnsi="宋体" w:cs="宋体"/>
          <w:sz w:val="24"/>
          <w:szCs w:val="28"/>
          <w:lang w:val="en-US" w:eastAsia="zh-CN"/>
        </w:rPr>
        <w:t>1.</w:t>
      </w:r>
      <w:r>
        <w:rPr>
          <w:rFonts w:hint="eastAsia" w:ascii="宋体" w:hAnsi="宋体" w:eastAsia="宋体" w:cs="宋体"/>
          <w:sz w:val="24"/>
          <w:szCs w:val="28"/>
        </w:rPr>
        <w:t>竞争性磋商文件的构成</w:t>
      </w:r>
      <w:bookmarkEnd w:id="66"/>
      <w:bookmarkEnd w:id="67"/>
    </w:p>
    <w:p w14:paraId="783759C4">
      <w:pPr>
        <w:keepNext/>
        <w:keepLines w:val="0"/>
        <w:pageBreakBefore w:val="0"/>
        <w:widowControl w:val="0"/>
        <w:tabs>
          <w:tab w:val="left" w:pos="0"/>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61FC2D05">
      <w:pPr>
        <w:keepNext/>
        <w:keepLines w:val="0"/>
        <w:pageBreakBefore w:val="0"/>
        <w:widowControl w:val="0"/>
        <w:numPr>
          <w:ilvl w:val="0"/>
          <w:numId w:val="3"/>
        </w:numPr>
        <w:tabs>
          <w:tab w:val="left" w:pos="0"/>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竞争性磋商公告；</w:t>
      </w:r>
    </w:p>
    <w:p w14:paraId="25F88126">
      <w:pPr>
        <w:keepNext/>
        <w:keepLines w:val="0"/>
        <w:pageBreakBefore w:val="0"/>
        <w:widowControl w:val="0"/>
        <w:numPr>
          <w:ilvl w:val="0"/>
          <w:numId w:val="3"/>
        </w:numPr>
        <w:tabs>
          <w:tab w:val="left" w:pos="0"/>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供应商须知前附表；</w:t>
      </w:r>
    </w:p>
    <w:p w14:paraId="09696D80">
      <w:pPr>
        <w:keepNext/>
        <w:keepLines w:val="0"/>
        <w:pageBreakBefore w:val="0"/>
        <w:widowControl w:val="0"/>
        <w:numPr>
          <w:ilvl w:val="0"/>
          <w:numId w:val="3"/>
        </w:numPr>
        <w:tabs>
          <w:tab w:val="left" w:pos="0"/>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w:t>
      </w:r>
    </w:p>
    <w:p w14:paraId="0CF8C293">
      <w:pPr>
        <w:keepNext/>
        <w:keepLines w:val="0"/>
        <w:pageBreakBefore w:val="0"/>
        <w:widowControl w:val="0"/>
        <w:numPr>
          <w:ilvl w:val="0"/>
          <w:numId w:val="3"/>
        </w:numPr>
        <w:tabs>
          <w:tab w:val="left" w:pos="0"/>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评分标准；</w:t>
      </w:r>
    </w:p>
    <w:p w14:paraId="0C207AF8">
      <w:pPr>
        <w:keepNext/>
        <w:keepLines w:val="0"/>
        <w:pageBreakBefore w:val="0"/>
        <w:widowControl w:val="0"/>
        <w:numPr>
          <w:ilvl w:val="0"/>
          <w:numId w:val="3"/>
        </w:numPr>
        <w:tabs>
          <w:tab w:val="left" w:pos="0"/>
          <w:tab w:val="left" w:pos="6093"/>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采购内容及要求；</w:t>
      </w:r>
      <w:r>
        <w:rPr>
          <w:rFonts w:hint="eastAsia" w:ascii="宋体" w:hAnsi="宋体" w:cs="宋体"/>
          <w:sz w:val="24"/>
          <w:szCs w:val="28"/>
          <w:lang w:eastAsia="zh-CN"/>
        </w:rPr>
        <w:tab/>
      </w:r>
    </w:p>
    <w:p w14:paraId="59630A62">
      <w:pPr>
        <w:keepNext/>
        <w:keepLines w:val="0"/>
        <w:pageBreakBefore w:val="0"/>
        <w:widowControl w:val="0"/>
        <w:numPr>
          <w:ilvl w:val="0"/>
          <w:numId w:val="3"/>
        </w:numPr>
        <w:tabs>
          <w:tab w:val="left" w:pos="0"/>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合同主要条款；</w:t>
      </w:r>
    </w:p>
    <w:p w14:paraId="3B697896">
      <w:pPr>
        <w:keepNext/>
        <w:keepLines w:val="0"/>
        <w:pageBreakBefore w:val="0"/>
        <w:widowControl w:val="0"/>
        <w:numPr>
          <w:ilvl w:val="0"/>
          <w:numId w:val="3"/>
        </w:numPr>
        <w:tabs>
          <w:tab w:val="left" w:pos="0"/>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响应文件格式。</w:t>
      </w:r>
    </w:p>
    <w:p w14:paraId="1100C532">
      <w:pPr>
        <w:pStyle w:val="5"/>
        <w:keepNext/>
        <w:keepLines w:val="0"/>
        <w:pageBreakBefore w:val="0"/>
        <w:widowControl w:val="0"/>
        <w:numPr>
          <w:ilvl w:val="0"/>
          <w:numId w:val="0"/>
        </w:numPr>
        <w:kinsoku/>
        <w:wordWrap/>
        <w:topLinePunct w:val="0"/>
        <w:autoSpaceDE/>
        <w:autoSpaceDN/>
        <w:bidi w:val="0"/>
        <w:spacing w:line="460" w:lineRule="exact"/>
        <w:ind w:leftChars="200" w:right="0" w:rightChars="0"/>
        <w:textAlignment w:val="auto"/>
        <w:rPr>
          <w:rFonts w:hint="eastAsia" w:ascii="宋体" w:hAnsi="宋体" w:eastAsia="宋体" w:cs="宋体"/>
          <w:sz w:val="24"/>
          <w:szCs w:val="28"/>
        </w:rPr>
      </w:pPr>
      <w:bookmarkStart w:id="68" w:name="_Toc536202290"/>
      <w:r>
        <w:rPr>
          <w:rFonts w:hint="eastAsia" w:ascii="宋体" w:hAnsi="宋体" w:cs="宋体"/>
          <w:sz w:val="24"/>
          <w:szCs w:val="28"/>
          <w:lang w:val="en-US" w:eastAsia="zh-CN"/>
        </w:rPr>
        <w:t>2.</w:t>
      </w:r>
      <w:r>
        <w:rPr>
          <w:rFonts w:hint="eastAsia" w:ascii="宋体" w:hAnsi="宋体" w:eastAsia="宋体" w:cs="宋体"/>
          <w:sz w:val="24"/>
          <w:szCs w:val="28"/>
        </w:rPr>
        <w:t>磋商文件的检查及阅读</w:t>
      </w:r>
      <w:bookmarkEnd w:id="68"/>
    </w:p>
    <w:p w14:paraId="339593C1">
      <w:pPr>
        <w:keepNext/>
        <w:keepLines w:val="0"/>
        <w:pageBreakBefore w:val="0"/>
        <w:widowControl w:val="0"/>
        <w:tabs>
          <w:tab w:val="left" w:pos="0"/>
        </w:tabs>
        <w:kinsoku/>
        <w:wordWrap/>
        <w:topLinePunct w:val="0"/>
        <w:autoSpaceDE/>
        <w:autoSpaceDN/>
        <w:bidi w:val="0"/>
        <w:adjustRightInd w:val="0"/>
        <w:snapToGrid w:val="0"/>
        <w:spacing w:line="460" w:lineRule="exact"/>
        <w:ind w:left="0" w:leftChars="0" w:right="0" w:rightChars="0" w:firstLine="600" w:firstLineChars="250"/>
        <w:jc w:val="left"/>
        <w:textAlignment w:val="auto"/>
        <w:rPr>
          <w:rFonts w:hint="eastAsia" w:ascii="宋体" w:hAnsi="宋体" w:eastAsia="宋体" w:cs="宋体"/>
          <w:sz w:val="24"/>
          <w:szCs w:val="28"/>
        </w:rPr>
      </w:pPr>
      <w:r>
        <w:rPr>
          <w:rFonts w:hint="eastAsia" w:ascii="宋体" w:hAnsi="宋体" w:eastAsia="宋体" w:cs="宋体"/>
          <w:sz w:val="24"/>
          <w:szCs w:val="28"/>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cs="宋体"/>
          <w:sz w:val="24"/>
          <w:szCs w:val="28"/>
          <w:lang w:val="en-US" w:eastAsia="zh-CN"/>
        </w:rPr>
        <w:t>无效文件</w:t>
      </w:r>
      <w:r>
        <w:rPr>
          <w:rFonts w:hint="eastAsia" w:ascii="宋体" w:hAnsi="宋体" w:eastAsia="宋体" w:cs="宋体"/>
          <w:sz w:val="24"/>
          <w:szCs w:val="28"/>
        </w:rPr>
        <w:t>处理。</w:t>
      </w:r>
    </w:p>
    <w:p w14:paraId="69A887A1">
      <w:pPr>
        <w:pStyle w:val="5"/>
        <w:keepNext/>
        <w:keepLines w:val="0"/>
        <w:pageBreakBefore w:val="0"/>
        <w:widowControl w:val="0"/>
        <w:numPr>
          <w:ilvl w:val="0"/>
          <w:numId w:val="0"/>
        </w:numPr>
        <w:kinsoku/>
        <w:wordWrap/>
        <w:topLinePunct w:val="0"/>
        <w:autoSpaceDE/>
        <w:autoSpaceDN/>
        <w:bidi w:val="0"/>
        <w:spacing w:line="460" w:lineRule="exact"/>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bookmarkStart w:id="69"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69"/>
    </w:p>
    <w:p w14:paraId="107BDD8D">
      <w:pPr>
        <w:keepNext/>
        <w:keepLines w:val="0"/>
        <w:pageBreakBefore w:val="0"/>
        <w:widowControl w:val="0"/>
        <w:tabs>
          <w:tab w:val="left" w:pos="0"/>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056BD55B">
      <w:pPr>
        <w:pStyle w:val="5"/>
        <w:keepNext/>
        <w:keepLines w:val="0"/>
        <w:pageBreakBefore w:val="0"/>
        <w:widowControl w:val="0"/>
        <w:numPr>
          <w:ilvl w:val="0"/>
          <w:numId w:val="0"/>
        </w:numPr>
        <w:kinsoku/>
        <w:wordWrap/>
        <w:topLinePunct w:val="0"/>
        <w:autoSpaceDE/>
        <w:autoSpaceDN/>
        <w:bidi w:val="0"/>
        <w:spacing w:line="460" w:lineRule="exact"/>
        <w:ind w:leftChars="200" w:right="0" w:rightChars="0"/>
        <w:textAlignment w:val="auto"/>
        <w:rPr>
          <w:rFonts w:hint="eastAsia" w:ascii="宋体" w:hAnsi="宋体" w:eastAsia="宋体" w:cs="宋体"/>
          <w:sz w:val="24"/>
          <w:szCs w:val="28"/>
        </w:rPr>
      </w:pPr>
      <w:bookmarkStart w:id="70" w:name="_Toc19797"/>
      <w:bookmarkStart w:id="71" w:name="_Toc536202293"/>
      <w:r>
        <w:rPr>
          <w:rFonts w:hint="eastAsia" w:ascii="宋体" w:hAnsi="宋体" w:cs="宋体"/>
          <w:sz w:val="24"/>
          <w:szCs w:val="28"/>
          <w:lang w:val="en-US" w:eastAsia="zh-CN"/>
        </w:rPr>
        <w:t>4.</w:t>
      </w:r>
      <w:r>
        <w:rPr>
          <w:rFonts w:hint="eastAsia" w:ascii="宋体" w:hAnsi="宋体" w:eastAsia="宋体" w:cs="宋体"/>
          <w:sz w:val="24"/>
          <w:szCs w:val="28"/>
        </w:rPr>
        <w:t>竞争性磋商文件的澄清</w:t>
      </w:r>
      <w:bookmarkEnd w:id="70"/>
      <w:bookmarkEnd w:id="71"/>
    </w:p>
    <w:p w14:paraId="2694474D">
      <w:pPr>
        <w:keepNext/>
        <w:keepLines w:val="0"/>
        <w:pageBreakBefore w:val="0"/>
        <w:widowControl w:val="0"/>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cs="宋体"/>
          <w:sz w:val="24"/>
          <w:szCs w:val="28"/>
          <w:lang w:eastAsia="zh-CN"/>
        </w:rPr>
        <w:t>或</w:t>
      </w:r>
      <w:r>
        <w:rPr>
          <w:rFonts w:hint="eastAsia" w:ascii="宋体" w:hAnsi="宋体" w:eastAsia="宋体" w:cs="宋体"/>
          <w:sz w:val="24"/>
          <w:szCs w:val="28"/>
        </w:rPr>
        <w:t>因市场行情了解不清造成的后果和风险均由供应商自负。</w:t>
      </w:r>
    </w:p>
    <w:p w14:paraId="653CD13F">
      <w:pPr>
        <w:keepNext/>
        <w:keepLines w:val="0"/>
        <w:pageBreakBefore w:val="0"/>
        <w:widowControl w:val="0"/>
        <w:tabs>
          <w:tab w:val="left" w:pos="0"/>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4.2响应人若对磋商文件有任何疑问要求澄清，或认为有必要与采购人进行技术交流的，响应人在收到采购文件之日或者采购文件公告期限届满之</w:t>
      </w:r>
      <w:r>
        <w:rPr>
          <w:rFonts w:hint="eastAsia" w:ascii="宋体" w:hAnsi="宋体" w:cs="宋体"/>
          <w:sz w:val="24"/>
          <w:szCs w:val="28"/>
          <w:lang w:eastAsia="zh-CN"/>
        </w:rPr>
        <w:t>日起</w:t>
      </w:r>
      <w:r>
        <w:rPr>
          <w:rFonts w:hint="eastAsia" w:ascii="宋体" w:hAnsi="宋体" w:eastAsia="宋体" w:cs="宋体"/>
          <w:sz w:val="24"/>
          <w:szCs w:val="24"/>
        </w:rPr>
        <w:t>七个工作日内</w:t>
      </w:r>
      <w:r>
        <w:rPr>
          <w:rFonts w:hint="eastAsia" w:ascii="宋体" w:hAnsi="宋体" w:eastAsia="宋体" w:cs="宋体"/>
          <w:sz w:val="24"/>
          <w:szCs w:val="28"/>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4C1E6C42">
      <w:pPr>
        <w:keepNext/>
        <w:keepLines w:val="0"/>
        <w:pageBreakBefore w:val="0"/>
        <w:widowControl w:val="0"/>
        <w:kinsoku/>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4.3对于在规定时间内收到的投标人依法提出的询问或者质疑，采购代理机构将按程序及时</w:t>
      </w:r>
      <w:r>
        <w:rPr>
          <w:rFonts w:hint="eastAsia" w:ascii="宋体" w:hAnsi="宋体" w:cs="宋体"/>
          <w:sz w:val="24"/>
          <w:szCs w:val="24"/>
          <w:lang w:eastAsia="zh-CN"/>
        </w:rPr>
        <w:t>作出</w:t>
      </w:r>
      <w:r>
        <w:rPr>
          <w:rFonts w:hint="eastAsia" w:ascii="宋体" w:hAnsi="宋体" w:eastAsia="宋体" w:cs="宋体"/>
          <w:sz w:val="24"/>
          <w:szCs w:val="24"/>
        </w:rPr>
        <w:t>答复，若对</w:t>
      </w:r>
      <w:r>
        <w:rPr>
          <w:rFonts w:hint="eastAsia" w:ascii="宋体" w:hAnsi="宋体" w:cs="宋体"/>
          <w:sz w:val="24"/>
          <w:szCs w:val="24"/>
          <w:lang w:val="en-US" w:eastAsia="zh-CN"/>
        </w:rPr>
        <w:t>磋商</w:t>
      </w:r>
      <w:r>
        <w:rPr>
          <w:rFonts w:hint="eastAsia" w:ascii="宋体" w:hAnsi="宋体" w:eastAsia="宋体" w:cs="宋体"/>
          <w:sz w:val="24"/>
          <w:szCs w:val="24"/>
        </w:rPr>
        <w:t>文件做出实质性变动，则按照相关规定延长投标截止时间。</w:t>
      </w:r>
    </w:p>
    <w:p w14:paraId="2CD9E11E">
      <w:pPr>
        <w:pStyle w:val="8"/>
        <w:keepNext/>
        <w:keepLines w:val="0"/>
        <w:pageBreakBefore w:val="0"/>
        <w:widowControl w:val="0"/>
        <w:kinsoku/>
        <w:wordWrap/>
        <w:topLinePunct w:val="0"/>
        <w:autoSpaceDE/>
        <w:autoSpaceDN/>
        <w:bidi w:val="0"/>
        <w:spacing w:line="460" w:lineRule="exact"/>
        <w:ind w:left="0" w:leftChars="0" w:right="0" w:rightChars="0"/>
        <w:textAlignment w:val="auto"/>
        <w:rPr>
          <w:rFonts w:hint="eastAsia" w:ascii="宋体" w:hAnsi="宋体" w:eastAsia="宋体" w:cs="宋体"/>
        </w:rPr>
      </w:pPr>
      <w:r>
        <w:rPr>
          <w:rFonts w:hint="eastAsia" w:ascii="宋体" w:hAnsi="宋体" w:eastAsia="宋体" w:cs="宋体"/>
          <w:sz w:val="24"/>
          <w:szCs w:val="24"/>
        </w:rPr>
        <w:t>4.4投标人提出质疑应当有明确的请求和必要的证明材料。</w:t>
      </w:r>
    </w:p>
    <w:p w14:paraId="140DA2B4">
      <w:pPr>
        <w:pStyle w:val="5"/>
        <w:keepNext/>
        <w:keepLines w:val="0"/>
        <w:pageBreakBefore w:val="0"/>
        <w:widowControl w:val="0"/>
        <w:numPr>
          <w:ilvl w:val="0"/>
          <w:numId w:val="0"/>
        </w:numPr>
        <w:kinsoku/>
        <w:wordWrap/>
        <w:topLinePunct w:val="0"/>
        <w:autoSpaceDE/>
        <w:autoSpaceDN/>
        <w:bidi w:val="0"/>
        <w:spacing w:line="460" w:lineRule="exact"/>
        <w:ind w:leftChars="200" w:right="0" w:rightChars="0"/>
        <w:textAlignment w:val="auto"/>
        <w:rPr>
          <w:rFonts w:hint="eastAsia" w:ascii="宋体" w:hAnsi="宋体" w:eastAsia="宋体" w:cs="宋体"/>
          <w:sz w:val="24"/>
          <w:szCs w:val="28"/>
        </w:rPr>
      </w:pPr>
      <w:bookmarkStart w:id="72" w:name="_Toc6390"/>
      <w:bookmarkStart w:id="73" w:name="_Toc536202294"/>
      <w:r>
        <w:rPr>
          <w:rFonts w:hint="eastAsia" w:ascii="宋体" w:hAnsi="宋体" w:cs="宋体"/>
          <w:sz w:val="24"/>
          <w:szCs w:val="28"/>
          <w:lang w:val="en-US" w:eastAsia="zh-CN"/>
        </w:rPr>
        <w:t>5.</w:t>
      </w:r>
      <w:r>
        <w:rPr>
          <w:rFonts w:hint="eastAsia" w:ascii="宋体" w:hAnsi="宋体" w:eastAsia="宋体" w:cs="宋体"/>
          <w:sz w:val="24"/>
          <w:szCs w:val="28"/>
        </w:rPr>
        <w:t>竞争性磋商文件的修改</w:t>
      </w:r>
      <w:bookmarkEnd w:id="72"/>
      <w:bookmarkEnd w:id="73"/>
    </w:p>
    <w:p w14:paraId="30E1AD32">
      <w:pPr>
        <w:keepNext/>
        <w:keepLines w:val="0"/>
        <w:pageBreakBefore w:val="0"/>
        <w:widowControl w:val="0"/>
        <w:kinsoku/>
        <w:wordWrap/>
        <w:overflowPunct w:val="0"/>
        <w:topLinePunct w:val="0"/>
        <w:autoSpaceDE/>
        <w:autoSpaceDN/>
        <w:bidi w:val="0"/>
        <w:adjustRightInd w:val="0"/>
        <w:snapToGrid w:val="0"/>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8"/>
        </w:rPr>
        <w:t>5.1 在磋商截止时间五日前，无论出于何种原因，代理机构可主动或在解答供应商提出的澄清问题时，对竞争性磋商文件进行修改，</w:t>
      </w:r>
      <w:r>
        <w:rPr>
          <w:rFonts w:hint="eastAsia" w:ascii="宋体" w:hAnsi="宋体" w:eastAsia="宋体" w:cs="宋体"/>
          <w:sz w:val="24"/>
          <w:szCs w:val="24"/>
        </w:rPr>
        <w:t>不足5日的，顺延提交响应文件的截止时间</w:t>
      </w:r>
      <w:r>
        <w:rPr>
          <w:rFonts w:hint="eastAsia" w:ascii="宋体" w:hAnsi="宋体" w:eastAsia="宋体" w:cs="宋体"/>
          <w:sz w:val="24"/>
          <w:szCs w:val="28"/>
        </w:rPr>
        <w:t>，并</w:t>
      </w:r>
      <w:r>
        <w:rPr>
          <w:rFonts w:hint="eastAsia" w:ascii="宋体" w:hAnsi="宋体" w:eastAsia="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磋商文件的单位。该澄清或者修改的内容为</w:t>
      </w:r>
      <w:r>
        <w:rPr>
          <w:rFonts w:hint="eastAsia" w:ascii="宋体" w:hAnsi="宋体" w:cs="宋体"/>
          <w:sz w:val="24"/>
          <w:szCs w:val="24"/>
          <w:lang w:val="en-US" w:eastAsia="zh-CN"/>
        </w:rPr>
        <w:t>磋商</w:t>
      </w:r>
      <w:r>
        <w:rPr>
          <w:rFonts w:hint="eastAsia" w:ascii="宋体" w:hAnsi="宋体" w:eastAsia="宋体" w:cs="宋体"/>
          <w:sz w:val="24"/>
          <w:szCs w:val="24"/>
        </w:rPr>
        <w:t>文件的组成部分。</w:t>
      </w:r>
    </w:p>
    <w:p w14:paraId="5491173F">
      <w:pPr>
        <w:keepNext/>
        <w:keepLines w:val="0"/>
        <w:pageBreakBefore w:val="0"/>
        <w:widowControl w:val="0"/>
        <w:kinsoku/>
        <w:wordWrap/>
        <w:overflowPunct w:val="0"/>
        <w:topLinePunct w:val="0"/>
        <w:autoSpaceDE/>
        <w:autoSpaceDN/>
        <w:bidi w:val="0"/>
        <w:adjustRightInd w:val="0"/>
        <w:snapToGrid w:val="0"/>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cs="宋体"/>
          <w:sz w:val="24"/>
          <w:szCs w:val="24"/>
          <w:lang w:val="en-US" w:eastAsia="zh-CN"/>
        </w:rPr>
        <w:t>磋商</w:t>
      </w:r>
      <w:r>
        <w:rPr>
          <w:rFonts w:hint="eastAsia" w:ascii="宋体" w:hAnsi="宋体" w:eastAsia="宋体" w:cs="宋体"/>
          <w:sz w:val="24"/>
          <w:szCs w:val="24"/>
        </w:rPr>
        <w:t>文件的修改书将构成</w:t>
      </w:r>
      <w:r>
        <w:rPr>
          <w:rFonts w:hint="eastAsia" w:ascii="宋体" w:hAnsi="宋体" w:cs="宋体"/>
          <w:sz w:val="24"/>
          <w:szCs w:val="24"/>
          <w:lang w:val="en-US" w:eastAsia="zh-CN"/>
        </w:rPr>
        <w:t>磋商</w:t>
      </w:r>
      <w:r>
        <w:rPr>
          <w:rFonts w:hint="eastAsia" w:ascii="宋体" w:hAnsi="宋体" w:eastAsia="宋体" w:cs="宋体"/>
          <w:sz w:val="24"/>
          <w:szCs w:val="24"/>
        </w:rPr>
        <w:t>文件的一部分，对采购人和投标人都具有约束力。</w:t>
      </w:r>
    </w:p>
    <w:p w14:paraId="10BC687C">
      <w:pPr>
        <w:keepNext/>
        <w:keepLines w:val="0"/>
        <w:pageBreakBefore w:val="0"/>
        <w:widowControl w:val="0"/>
        <w:kinsoku/>
        <w:wordWrap/>
        <w:topLinePunct w:val="0"/>
        <w:autoSpaceDE/>
        <w:autoSpaceDN/>
        <w:bidi w:val="0"/>
        <w:spacing w:line="460" w:lineRule="exact"/>
        <w:ind w:left="0" w:leftChars="0" w:right="0" w:rightChars="0" w:firstLine="480" w:firstLineChars="200"/>
        <w:textAlignment w:val="auto"/>
        <w:rPr>
          <w:rFonts w:hint="eastAsia"/>
        </w:rPr>
      </w:pPr>
      <w:r>
        <w:rPr>
          <w:rFonts w:hint="eastAsia" w:ascii="宋体" w:hAnsi="宋体" w:eastAsia="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w:t>
      </w:r>
    </w:p>
    <w:p w14:paraId="4ED9CE16">
      <w:pPr>
        <w:pStyle w:val="5"/>
        <w:keepNext/>
        <w:keepLines w:val="0"/>
        <w:pageBreakBefore w:val="0"/>
        <w:widowControl w:val="0"/>
        <w:numPr>
          <w:ilvl w:val="0"/>
          <w:numId w:val="0"/>
        </w:numPr>
        <w:kinsoku/>
        <w:wordWrap/>
        <w:topLinePunct w:val="0"/>
        <w:autoSpaceDE/>
        <w:autoSpaceDN/>
        <w:bidi w:val="0"/>
        <w:spacing w:line="460" w:lineRule="exact"/>
        <w:ind w:left="420" w:leftChars="0" w:right="0" w:rightChars="0"/>
        <w:textAlignment w:val="auto"/>
        <w:rPr>
          <w:rFonts w:hint="eastAsia" w:ascii="宋体" w:hAnsi="宋体" w:eastAsia="宋体" w:cs="宋体"/>
          <w:sz w:val="24"/>
          <w:szCs w:val="28"/>
        </w:rPr>
      </w:pPr>
      <w:bookmarkStart w:id="74" w:name="_Toc536202295"/>
      <w:bookmarkStart w:id="75" w:name="_Toc31188"/>
      <w:r>
        <w:rPr>
          <w:rFonts w:hint="eastAsia" w:ascii="宋体" w:hAnsi="宋体" w:cs="宋体"/>
          <w:sz w:val="24"/>
          <w:szCs w:val="28"/>
          <w:lang w:val="en-US" w:eastAsia="zh-CN"/>
        </w:rPr>
        <w:t>6.</w:t>
      </w:r>
      <w:r>
        <w:rPr>
          <w:rFonts w:hint="eastAsia" w:ascii="宋体" w:hAnsi="宋体" w:eastAsia="宋体" w:cs="宋体"/>
          <w:sz w:val="24"/>
          <w:szCs w:val="28"/>
        </w:rPr>
        <w:t>质疑</w:t>
      </w:r>
    </w:p>
    <w:p w14:paraId="620BABD0">
      <w:pPr>
        <w:pStyle w:val="5"/>
        <w:keepNext/>
        <w:keepLines w:val="0"/>
        <w:pageBreakBefore w:val="0"/>
        <w:widowControl w:val="0"/>
        <w:kinsoku/>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b w:val="0"/>
          <w:sz w:val="24"/>
          <w:szCs w:val="28"/>
        </w:rPr>
      </w:pPr>
      <w:r>
        <w:rPr>
          <w:rFonts w:hint="eastAsia" w:ascii="宋体" w:hAnsi="宋体" w:eastAsia="宋体" w:cs="宋体"/>
          <w:b w:val="0"/>
          <w:sz w:val="24"/>
          <w:szCs w:val="28"/>
        </w:rPr>
        <w:t>供应商认为磋商文件、招标过程和中标结果使自己的权益受到损害的，可以</w:t>
      </w:r>
      <w:r>
        <w:rPr>
          <w:rFonts w:hint="eastAsia" w:ascii="宋体" w:hAnsi="宋体" w:cs="宋体"/>
          <w:b w:val="0"/>
          <w:sz w:val="24"/>
          <w:szCs w:val="28"/>
          <w:lang w:eastAsia="zh-CN"/>
        </w:rPr>
        <w:t>按照</w:t>
      </w:r>
      <w:r>
        <w:rPr>
          <w:rFonts w:hint="eastAsia" w:ascii="宋体" w:hAnsi="宋体" w:eastAsia="宋体" w:cs="宋体"/>
          <w:b w:val="0"/>
          <w:sz w:val="24"/>
          <w:szCs w:val="28"/>
        </w:rPr>
        <w:t>《</w:t>
      </w:r>
      <w:r>
        <w:rPr>
          <w:rFonts w:hint="eastAsia" w:ascii="宋体" w:hAnsi="宋体" w:cs="宋体"/>
          <w:b w:val="0"/>
          <w:sz w:val="24"/>
          <w:szCs w:val="28"/>
          <w:lang w:eastAsia="zh-CN"/>
        </w:rPr>
        <w:t>中华人民共和国政府采购法》第五十二条</w:t>
      </w:r>
      <w:r>
        <w:rPr>
          <w:rFonts w:hint="eastAsia" w:ascii="宋体" w:hAnsi="宋体" w:eastAsia="宋体" w:cs="宋体"/>
          <w:b w:val="0"/>
          <w:sz w:val="24"/>
          <w:szCs w:val="28"/>
        </w:rPr>
        <w:t>执行。</w:t>
      </w:r>
    </w:p>
    <w:p w14:paraId="48FDD25D">
      <w:pPr>
        <w:pStyle w:val="5"/>
        <w:keepNext/>
        <w:keepLines w:val="0"/>
        <w:pageBreakBefore w:val="0"/>
        <w:widowControl w:val="0"/>
        <w:numPr>
          <w:ilvl w:val="0"/>
          <w:numId w:val="0"/>
        </w:numPr>
        <w:kinsoku/>
        <w:wordWrap/>
        <w:topLinePunct w:val="0"/>
        <w:autoSpaceDE/>
        <w:autoSpaceDN/>
        <w:bidi w:val="0"/>
        <w:spacing w:line="460" w:lineRule="exact"/>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74"/>
      <w:bookmarkEnd w:id="75"/>
    </w:p>
    <w:p w14:paraId="19A486F0">
      <w:pPr>
        <w:keepNext/>
        <w:keepLines w:val="0"/>
        <w:pageBreakBefore w:val="0"/>
        <w:widowControl w:val="0"/>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竞争性磋商文件，供应商自行转让或复制竞争性磋商文件视为无效。竞争性磋商文件一经</w:t>
      </w:r>
      <w:r>
        <w:rPr>
          <w:rFonts w:hint="eastAsia" w:ascii="宋体" w:hAnsi="宋体" w:cs="宋体"/>
          <w:color w:val="000000" w:themeColor="text1"/>
          <w:sz w:val="24"/>
          <w:szCs w:val="28"/>
          <w:lang w:val="en-US" w:eastAsia="zh-CN"/>
          <w14:textFill>
            <w14:solidFill>
              <w14:schemeClr w14:val="tx1"/>
            </w14:solidFill>
          </w14:textFill>
        </w:rPr>
        <w:t>发出</w:t>
      </w:r>
      <w:r>
        <w:rPr>
          <w:rFonts w:hint="eastAsia" w:ascii="宋体" w:hAnsi="宋体" w:eastAsia="宋体" w:cs="宋体"/>
          <w:color w:val="000000" w:themeColor="text1"/>
          <w:sz w:val="24"/>
          <w:szCs w:val="28"/>
          <w14:textFill>
            <w14:solidFill>
              <w14:schemeClr w14:val="tx1"/>
            </w14:solidFill>
          </w14:textFill>
        </w:rPr>
        <w:t>，一律不退，仅作为本次竞争性磋商使用。</w:t>
      </w:r>
    </w:p>
    <w:p w14:paraId="1AD8A613">
      <w:pPr>
        <w:pStyle w:val="8"/>
        <w:keepNext/>
        <w:keepLines w:val="0"/>
        <w:pageBreakBefore w:val="0"/>
        <w:widowControl w:val="0"/>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bookmarkStart w:id="76" w:name="_Toc536202296"/>
      <w:bookmarkStart w:id="77" w:name="_Toc5095"/>
      <w:r>
        <w:rPr>
          <w:rFonts w:hint="eastAsia" w:ascii="宋体" w:hAnsi="宋体" w:eastAsia="宋体" w:cs="宋体"/>
          <w:sz w:val="24"/>
          <w:szCs w:val="28"/>
        </w:rPr>
        <w:t>8</w:t>
      </w:r>
      <w:r>
        <w:rPr>
          <w:rFonts w:hint="eastAsia" w:ascii="宋体" w:hAnsi="宋体" w:cs="宋体"/>
          <w:sz w:val="24"/>
          <w:szCs w:val="28"/>
          <w:lang w:val="en-US" w:eastAsia="zh-CN"/>
        </w:rPr>
        <w:t>.</w:t>
      </w:r>
      <w:r>
        <w:rPr>
          <w:rFonts w:hint="eastAsia" w:ascii="宋体" w:hAnsi="宋体" w:eastAsia="宋体" w:cs="宋体"/>
          <w:b/>
          <w:bCs/>
          <w:sz w:val="24"/>
          <w:szCs w:val="28"/>
        </w:rPr>
        <w:t>竞争性磋商文件的解释权归代理机构</w:t>
      </w:r>
      <w:bookmarkEnd w:id="76"/>
      <w:bookmarkEnd w:id="77"/>
      <w:r>
        <w:rPr>
          <w:rFonts w:hint="eastAsia" w:ascii="宋体" w:hAnsi="宋体" w:eastAsia="宋体" w:cs="宋体"/>
          <w:sz w:val="24"/>
          <w:szCs w:val="28"/>
        </w:rPr>
        <w:t>（ 如发现</w:t>
      </w:r>
      <w:r>
        <w:rPr>
          <w:rFonts w:hint="eastAsia" w:ascii="宋体" w:hAnsi="宋体" w:cs="宋体"/>
          <w:sz w:val="24"/>
          <w:szCs w:val="28"/>
          <w:lang w:val="en-US" w:eastAsia="zh-CN"/>
        </w:rPr>
        <w:t>磋商</w:t>
      </w:r>
      <w:r>
        <w:rPr>
          <w:rFonts w:hint="eastAsia" w:ascii="宋体" w:hAnsi="宋体" w:eastAsia="宋体" w:cs="宋体"/>
          <w:sz w:val="24"/>
          <w:szCs w:val="28"/>
        </w:rPr>
        <w:t>文件内容与现行法律法规不相符的情况，以现行法律法规为准</w:t>
      </w:r>
      <w:r>
        <w:rPr>
          <w:rFonts w:hint="eastAsia" w:ascii="宋体" w:hAnsi="宋体" w:cs="宋体"/>
          <w:sz w:val="24"/>
          <w:szCs w:val="28"/>
          <w:lang w:eastAsia="zh-CN"/>
        </w:rPr>
        <w:t>）</w:t>
      </w:r>
    </w:p>
    <w:p w14:paraId="068483F3">
      <w:pPr>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eastAsia="宋体" w:cs="宋体"/>
          <w:b/>
          <w:bCs/>
          <w:kern w:val="0"/>
          <w:sz w:val="32"/>
          <w:szCs w:val="32"/>
        </w:rPr>
      </w:pPr>
      <w:bookmarkStart w:id="78" w:name="_Toc536429321"/>
      <w:bookmarkStart w:id="79" w:name="_Toc19543338"/>
      <w:bookmarkStart w:id="80" w:name="_Toc536429374"/>
      <w:bookmarkStart w:id="81" w:name="_Toc536202297"/>
      <w:bookmarkStart w:id="82" w:name="_Toc536202381"/>
      <w:bookmarkStart w:id="83" w:name="_Toc622"/>
      <w:r>
        <w:rPr>
          <w:rFonts w:hint="eastAsia" w:ascii="宋体" w:hAnsi="宋体" w:eastAsia="宋体" w:cs="宋体"/>
          <w:b/>
          <w:bCs/>
          <w:kern w:val="0"/>
          <w:sz w:val="32"/>
          <w:szCs w:val="32"/>
          <w:lang w:val="en-US" w:eastAsia="zh-CN" w:bidi="ar-SA"/>
        </w:rPr>
        <w:t>三、</w:t>
      </w:r>
      <w:r>
        <w:rPr>
          <w:rFonts w:hint="eastAsia" w:ascii="宋体" w:hAnsi="宋体" w:eastAsia="宋体" w:cs="宋体"/>
          <w:b/>
          <w:bCs/>
          <w:kern w:val="0"/>
          <w:sz w:val="32"/>
          <w:szCs w:val="32"/>
        </w:rPr>
        <w:t>响应文件</w:t>
      </w:r>
      <w:bookmarkEnd w:id="78"/>
      <w:bookmarkEnd w:id="79"/>
      <w:bookmarkEnd w:id="80"/>
      <w:bookmarkEnd w:id="81"/>
      <w:bookmarkEnd w:id="82"/>
      <w:bookmarkEnd w:id="83"/>
    </w:p>
    <w:p w14:paraId="03658AA8">
      <w:pPr>
        <w:pStyle w:val="5"/>
        <w:keepNext/>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b w:val="0"/>
          <w:bCs w:val="0"/>
          <w:sz w:val="24"/>
          <w:szCs w:val="21"/>
        </w:rPr>
      </w:pPr>
      <w:r>
        <w:rPr>
          <w:rFonts w:hint="eastAsia" w:ascii="宋体" w:hAnsi="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做出实质性响应，其磋商将被拒绝。</w:t>
      </w:r>
    </w:p>
    <w:p w14:paraId="4C2E90D2">
      <w:pPr>
        <w:pStyle w:val="5"/>
        <w:keepNext/>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b w:val="0"/>
          <w:bCs w:val="0"/>
          <w:sz w:val="24"/>
          <w:szCs w:val="21"/>
        </w:rPr>
      </w:pPr>
      <w:r>
        <w:rPr>
          <w:rFonts w:hint="eastAsia" w:ascii="宋体" w:hAnsi="宋体"/>
          <w:b w:val="0"/>
          <w:bCs w:val="0"/>
          <w:sz w:val="24"/>
          <w:szCs w:val="21"/>
        </w:rPr>
        <w:t>投标人提交的磋商响应文件（包括产品的技术资料）以及投标人与采购代理机构就有关磋商的所有来往函电均应以中文书写。</w:t>
      </w:r>
    </w:p>
    <w:p w14:paraId="49D1ECF0">
      <w:pPr>
        <w:pStyle w:val="5"/>
        <w:keepNext/>
        <w:keepLines w:val="0"/>
        <w:pageBreakBefore w:val="0"/>
        <w:widowControl w:val="0"/>
        <w:numPr>
          <w:ilvl w:val="0"/>
          <w:numId w:val="0"/>
        </w:numPr>
        <w:kinsoku/>
        <w:wordWrap/>
        <w:overflowPunct/>
        <w:topLinePunct w:val="0"/>
        <w:autoSpaceDE/>
        <w:autoSpaceDN/>
        <w:bidi w:val="0"/>
        <w:adjustRightInd/>
        <w:spacing w:line="460" w:lineRule="exact"/>
        <w:ind w:left="630" w:leftChars="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1.</w:t>
      </w:r>
      <w:r>
        <w:rPr>
          <w:rFonts w:hint="eastAsia" w:ascii="宋体" w:hAnsi="宋体" w:eastAsia="宋体" w:cs="宋体"/>
          <w:sz w:val="24"/>
          <w:szCs w:val="28"/>
        </w:rPr>
        <w:t>响应文件构成和格式</w:t>
      </w:r>
    </w:p>
    <w:p w14:paraId="2A00F452">
      <w:pPr>
        <w:keepNext/>
        <w:keepLines w:val="0"/>
        <w:pageBreakBefore w:val="0"/>
        <w:widowControl w:val="0"/>
        <w:kinsoku/>
        <w:wordWrap/>
        <w:overflowPunct/>
        <w:topLinePunct w:val="0"/>
        <w:autoSpaceDE/>
        <w:autoSpaceDN/>
        <w:bidi w:val="0"/>
        <w:adjustRightInd/>
        <w:spacing w:line="460" w:lineRule="exact"/>
        <w:ind w:left="0" w:leftChars="0" w:right="0" w:rightChars="0" w:firstLine="480" w:firstLineChars="200"/>
        <w:textAlignment w:val="auto"/>
        <w:outlineLvl w:val="1"/>
        <w:rPr>
          <w:rFonts w:hint="eastAsia" w:ascii="宋体" w:hAnsi="宋体" w:eastAsia="宋体" w:cs="宋体"/>
          <w:bCs/>
          <w:kern w:val="0"/>
          <w:sz w:val="24"/>
          <w:szCs w:val="24"/>
        </w:rPr>
      </w:pPr>
      <w:r>
        <w:rPr>
          <w:rFonts w:hint="eastAsia" w:ascii="宋体" w:hAnsi="宋体" w:eastAsia="宋体" w:cs="宋体"/>
          <w:bCs/>
          <w:kern w:val="0"/>
          <w:sz w:val="24"/>
          <w:szCs w:val="24"/>
        </w:rPr>
        <w:t>投标人应按照本须知响应文件构成和格式及第七部分提供的格式编写投标文件，不得缺少</w:t>
      </w:r>
      <w:r>
        <w:rPr>
          <w:rFonts w:hint="eastAsia" w:ascii="宋体" w:hAnsi="宋体" w:cs="宋体"/>
          <w:bCs/>
          <w:kern w:val="0"/>
          <w:sz w:val="24"/>
          <w:szCs w:val="24"/>
          <w:lang w:val="en-US" w:eastAsia="zh-CN"/>
        </w:rPr>
        <w:t>磋商</w:t>
      </w:r>
      <w:r>
        <w:rPr>
          <w:rFonts w:hint="eastAsia" w:ascii="宋体" w:hAnsi="宋体" w:eastAsia="宋体" w:cs="宋体"/>
          <w:bCs/>
          <w:kern w:val="0"/>
          <w:sz w:val="24"/>
          <w:szCs w:val="24"/>
        </w:rPr>
        <w:t>文件要求填写的表格或提交的资料。</w:t>
      </w:r>
    </w:p>
    <w:p w14:paraId="5397D35F">
      <w:pPr>
        <w:pStyle w:val="5"/>
        <w:keepNext/>
        <w:keepLines w:val="0"/>
        <w:pageBreakBefore w:val="0"/>
        <w:widowControl w:val="0"/>
        <w:numPr>
          <w:ilvl w:val="0"/>
          <w:numId w:val="0"/>
        </w:numPr>
        <w:kinsoku/>
        <w:wordWrap/>
        <w:overflowPunct/>
        <w:topLinePunct w:val="0"/>
        <w:autoSpaceDE/>
        <w:autoSpaceDN/>
        <w:bidi w:val="0"/>
        <w:adjustRightInd/>
        <w:spacing w:line="460" w:lineRule="exact"/>
        <w:ind w:left="630" w:leftChars="0" w:right="0" w:rightChars="0"/>
        <w:textAlignment w:val="auto"/>
        <w:rPr>
          <w:rFonts w:hint="eastAsia" w:ascii="宋体" w:hAnsi="宋体" w:eastAsia="宋体" w:cs="宋体"/>
          <w:sz w:val="24"/>
          <w:szCs w:val="28"/>
        </w:rPr>
      </w:pPr>
      <w:bookmarkStart w:id="84" w:name="_Toc536202299"/>
      <w:r>
        <w:rPr>
          <w:rFonts w:hint="eastAsia" w:ascii="宋体" w:hAnsi="宋体" w:cs="宋体"/>
          <w:sz w:val="24"/>
          <w:szCs w:val="28"/>
          <w:lang w:val="en-US" w:eastAsia="zh-CN"/>
        </w:rPr>
        <w:t>2.</w:t>
      </w:r>
      <w:r>
        <w:rPr>
          <w:rFonts w:hint="eastAsia" w:ascii="宋体" w:hAnsi="宋体" w:eastAsia="宋体" w:cs="宋体"/>
          <w:sz w:val="24"/>
          <w:szCs w:val="28"/>
        </w:rPr>
        <w:t>磋商报价</w:t>
      </w:r>
      <w:bookmarkEnd w:id="84"/>
    </w:p>
    <w:p w14:paraId="782CE33E">
      <w:pPr>
        <w:pStyle w:val="5"/>
        <w:keepNext/>
        <w:keepLines w:val="0"/>
        <w:pageBreakBefore w:val="0"/>
        <w:widowControl w:val="0"/>
        <w:kinsoku/>
        <w:wordWrap w:val="0"/>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b w:val="0"/>
          <w:bCs w:val="0"/>
          <w:sz w:val="24"/>
          <w:szCs w:val="24"/>
        </w:rPr>
      </w:pPr>
      <w:bookmarkStart w:id="85" w:name="_Toc29200"/>
      <w:bookmarkStart w:id="86" w:name="_Toc536202300"/>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1投标人应充分考虑磋商文件的各项条款和本工程的实际，依据磋商文件所附工程量清单、澄清和修改通知，根据企业自身情况、施工经验、现场环境以及磋商文件的要求，进行自主报价。</w:t>
      </w:r>
    </w:p>
    <w:p w14:paraId="2E637976">
      <w:pPr>
        <w:pStyle w:val="5"/>
        <w:keepNext/>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.2投标人的磋商报价，应是完成本</w:t>
      </w:r>
      <w:r>
        <w:rPr>
          <w:rFonts w:hint="eastAsia" w:ascii="宋体" w:hAnsi="宋体" w:eastAsia="宋体" w:cs="宋体"/>
          <w:b w:val="0"/>
          <w:bCs w:val="0"/>
          <w:sz w:val="24"/>
          <w:szCs w:val="24"/>
          <w:lang w:eastAsia="zh-CN"/>
        </w:rPr>
        <w:t>项目</w:t>
      </w:r>
      <w:r>
        <w:rPr>
          <w:rFonts w:hint="eastAsia" w:ascii="宋体" w:hAnsi="宋体" w:eastAsia="宋体" w:cs="宋体"/>
          <w:b w:val="0"/>
          <w:bCs w:val="0"/>
          <w:sz w:val="24"/>
          <w:szCs w:val="24"/>
        </w:rPr>
        <w:t>所列工程范围及工期、质量的全部要求，不得以任何理由予以重复。</w:t>
      </w:r>
    </w:p>
    <w:p w14:paraId="4EC496FD">
      <w:pPr>
        <w:pStyle w:val="5"/>
        <w:keepNext/>
        <w:keepLines w:val="0"/>
        <w:pageBreakBefore w:val="0"/>
        <w:widowControl w:val="0"/>
        <w:kinsoku/>
        <w:wordWrap/>
        <w:overflowPunct/>
        <w:topLinePunct w:val="0"/>
        <w:autoSpaceDE/>
        <w:autoSpaceDN/>
        <w:bidi w:val="0"/>
        <w:adjustRightInd/>
        <w:spacing w:line="336" w:lineRule="auto"/>
        <w:ind w:firstLine="600" w:firstLineChars="25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3磋商报价为投标人在响应文件中提出的各项支付金额的总和，是完成磋商文件所确定的该工程项目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磋商前以及合同明示或暗示的所有风险、责任和义务。投标人在磋商报价时应考虑以下因素：人工费、材料费、机械</w:t>
      </w:r>
      <w:r>
        <w:rPr>
          <w:rFonts w:hint="eastAsia" w:ascii="宋体" w:hAnsi="宋体" w:cs="宋体"/>
          <w:b w:val="0"/>
          <w:bCs w:val="0"/>
          <w:sz w:val="24"/>
          <w:szCs w:val="24"/>
          <w:lang w:eastAsia="zh-CN"/>
        </w:rPr>
        <w:t>费等</w:t>
      </w:r>
      <w:r>
        <w:rPr>
          <w:rFonts w:hint="eastAsia" w:ascii="宋体" w:hAnsi="宋体" w:eastAsia="宋体" w:cs="宋体"/>
          <w:b w:val="0"/>
          <w:bCs w:val="0"/>
          <w:sz w:val="24"/>
          <w:szCs w:val="24"/>
        </w:rPr>
        <w:t>社会价格浮动因素，工程所在地的交通运输条件、施工环境和地方不良势力的影响，停水、停电及发包人原因造成停窝工在连续48小时以内的损失、国家政策调整、金融汇率以及银行存款利率变化等风险等全部费用。</w:t>
      </w:r>
    </w:p>
    <w:p w14:paraId="06F3ADB4">
      <w:pPr>
        <w:pStyle w:val="12"/>
        <w:keepNext/>
        <w:keepLines w:val="0"/>
        <w:pageBreakBefore w:val="0"/>
        <w:widowControl w:val="0"/>
        <w:kinsoku/>
        <w:wordWrap/>
        <w:overflowPunct/>
        <w:topLinePunct w:val="0"/>
        <w:autoSpaceDE/>
        <w:autoSpaceDN/>
        <w:bidi w:val="0"/>
        <w:adjustRightInd/>
        <w:snapToGrid/>
        <w:spacing w:after="0" w:line="336" w:lineRule="auto"/>
        <w:ind w:left="0" w:leftChars="0"/>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bidi="ar-SA"/>
        </w:rPr>
        <w:t>.4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14:paraId="40B0F43B">
      <w:pPr>
        <w:pStyle w:val="5"/>
        <w:keepNext/>
        <w:keepLines w:val="0"/>
        <w:pageBreakBefore w:val="0"/>
        <w:widowControl w:val="0"/>
        <w:kinsoku/>
        <w:wordWrap/>
        <w:overflowPunct/>
        <w:topLinePunct w:val="0"/>
        <w:autoSpaceDE/>
        <w:autoSpaceDN/>
        <w:bidi w:val="0"/>
        <w:adjustRightInd/>
        <w:spacing w:line="336" w:lineRule="auto"/>
        <w:ind w:firstLine="600" w:firstLineChars="25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5除非采购人或采购代理机构对磋商文件予以修改，投标人应按采购人提供的工程量清单中列出的工程项目和工程量认真填报单价和合价。每一项目只允许有一个报价。任何有选择的报价将不予接受。投标人未填单价或合价的工程项目（零报价项目），视为该项费用已包括在其他价款的单价或合价内，并在工程实施后，采购人将不予支付，承包人必须按发包人代表及项目经理指令完成工程量清单中未填入单价或合价的工程项目；若投标人未填单价或合价的工程项目在实施中发生变更，无论变更增加或减少均按合同约定执行而且必须无条件执行发包人发出的变更通知。</w:t>
      </w:r>
    </w:p>
    <w:p w14:paraId="02B94531">
      <w:pPr>
        <w:pStyle w:val="5"/>
        <w:keepNext/>
        <w:keepLines w:val="0"/>
        <w:pageBreakBefore w:val="0"/>
        <w:widowControl w:val="0"/>
        <w:kinsoku/>
        <w:wordWrap/>
        <w:overflowPunct/>
        <w:topLinePunct w:val="0"/>
        <w:autoSpaceDE/>
        <w:autoSpaceDN/>
        <w:bidi w:val="0"/>
        <w:adjustRightInd/>
        <w:spacing w:line="336" w:lineRule="auto"/>
        <w:ind w:firstLine="600" w:firstLineChars="25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.6磋商报价应考虑</w:t>
      </w:r>
      <w:r>
        <w:rPr>
          <w:rFonts w:hint="eastAsia" w:ascii="宋体" w:hAnsi="宋体" w:cs="宋体"/>
          <w:b w:val="0"/>
          <w:bCs w:val="0"/>
          <w:sz w:val="24"/>
          <w:szCs w:val="24"/>
          <w:lang w:eastAsia="zh-CN"/>
        </w:rPr>
        <w:t>的其他</w:t>
      </w:r>
      <w:r>
        <w:rPr>
          <w:rFonts w:hint="eastAsia" w:ascii="宋体" w:hAnsi="宋体" w:eastAsia="宋体" w:cs="宋体"/>
          <w:b w:val="0"/>
          <w:bCs w:val="0"/>
          <w:sz w:val="24"/>
          <w:szCs w:val="24"/>
        </w:rPr>
        <w:t>风险</w:t>
      </w:r>
    </w:p>
    <w:p w14:paraId="29516D63">
      <w:pPr>
        <w:pStyle w:val="5"/>
        <w:keepNext/>
        <w:keepLines w:val="0"/>
        <w:pageBreakBefore w:val="0"/>
        <w:widowControl w:val="0"/>
        <w:kinsoku/>
        <w:wordWrap/>
        <w:overflowPunct/>
        <w:topLinePunct w:val="0"/>
        <w:autoSpaceDE/>
        <w:autoSpaceDN/>
        <w:bidi w:val="0"/>
        <w:adjustRightInd/>
        <w:spacing w:line="336" w:lineRule="auto"/>
        <w:ind w:firstLine="600" w:firstLineChars="25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14:paraId="5480BF0B">
      <w:pPr>
        <w:keepNext/>
        <w:keepLines w:val="0"/>
        <w:pageBreakBefore w:val="0"/>
        <w:widowControl w:val="0"/>
        <w:kinsoku/>
        <w:wordWrap/>
        <w:overflowPunct/>
        <w:topLinePunct w:val="0"/>
        <w:autoSpaceDE/>
        <w:autoSpaceDN/>
        <w:bidi w:val="0"/>
        <w:adjustRightInd/>
        <w:spacing w:line="336" w:lineRule="auto"/>
        <w:ind w:firstLine="600" w:firstLineChars="25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.7编制报价</w:t>
      </w:r>
      <w:r>
        <w:rPr>
          <w:rFonts w:hint="eastAsia" w:ascii="宋体" w:hAnsi="宋体" w:cs="宋体"/>
          <w:sz w:val="24"/>
          <w:szCs w:val="24"/>
          <w:lang w:eastAsia="zh-CN"/>
        </w:rPr>
        <w:t>的其他</w:t>
      </w:r>
      <w:r>
        <w:rPr>
          <w:rFonts w:hint="eastAsia" w:ascii="宋体" w:hAnsi="宋体" w:eastAsia="宋体" w:cs="宋体"/>
          <w:sz w:val="24"/>
          <w:szCs w:val="24"/>
        </w:rPr>
        <w:t>约定</w:t>
      </w:r>
    </w:p>
    <w:p w14:paraId="7610D68E">
      <w:pPr>
        <w:keepNext/>
        <w:keepLines w:val="0"/>
        <w:pageBreakBefore w:val="0"/>
        <w:widowControl w:val="0"/>
        <w:kinsoku/>
        <w:wordWrap/>
        <w:overflowPunct/>
        <w:topLinePunct w:val="0"/>
        <w:autoSpaceDE/>
        <w:autoSpaceDN/>
        <w:bidi w:val="0"/>
        <w:adjustRightInd/>
        <w:spacing w:line="336" w:lineRule="auto"/>
        <w:ind w:firstLine="600" w:firstLineChars="250"/>
        <w:textAlignment w:val="auto"/>
        <w:rPr>
          <w:rFonts w:hint="eastAsia" w:ascii="宋体" w:hAnsi="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rPr>
        <w:t>7.1投标供应商根据自行确定的施工组织设计或施工方案进行自主报价</w:t>
      </w:r>
      <w:r>
        <w:rPr>
          <w:rFonts w:hint="eastAsia" w:ascii="宋体" w:hAnsi="宋体" w:cs="宋体"/>
          <w:sz w:val="24"/>
          <w:szCs w:val="24"/>
          <w:lang w:eastAsia="zh-CN"/>
        </w:rPr>
        <w:t>，供应商的投标报价不得高于最高限价。</w:t>
      </w:r>
    </w:p>
    <w:p w14:paraId="2F3E1253">
      <w:pPr>
        <w:keepNext/>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.7.</w:t>
      </w:r>
      <w:r>
        <w:rPr>
          <w:rFonts w:hint="eastAsia" w:ascii="宋体" w:hAnsi="宋体" w:cs="宋体"/>
          <w:sz w:val="24"/>
          <w:szCs w:val="24"/>
          <w:lang w:val="en-US" w:eastAsia="zh-CN"/>
        </w:rPr>
        <w:t>2</w:t>
      </w:r>
      <w:r>
        <w:rPr>
          <w:rFonts w:hint="eastAsia" w:ascii="宋体" w:hAnsi="宋体" w:cs="宋体"/>
          <w:bCs/>
          <w:sz w:val="24"/>
          <w:szCs w:val="24"/>
          <w:lang w:val="en-US" w:eastAsia="zh-CN"/>
        </w:rPr>
        <w:t>磋商小组</w:t>
      </w:r>
      <w:r>
        <w:rPr>
          <w:rFonts w:hint="eastAsia" w:ascii="宋体" w:hAnsi="宋体" w:eastAsia="宋体" w:cs="宋体"/>
          <w:bCs/>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cs="宋体"/>
          <w:bCs/>
          <w:sz w:val="24"/>
          <w:szCs w:val="24"/>
          <w:lang w:val="en-US" w:eastAsia="zh-CN"/>
        </w:rPr>
        <w:t>磋商小组</w:t>
      </w:r>
      <w:r>
        <w:rPr>
          <w:rFonts w:hint="eastAsia" w:ascii="宋体" w:hAnsi="宋体" w:eastAsia="宋体" w:cs="宋体"/>
          <w:bCs/>
          <w:sz w:val="24"/>
          <w:szCs w:val="24"/>
        </w:rPr>
        <w:t>应当将其作为无效投标处理。</w:t>
      </w:r>
    </w:p>
    <w:p w14:paraId="0E292EAD">
      <w:pPr>
        <w:keepNext/>
        <w:keepLines w:val="0"/>
        <w:pageBreakBefore w:val="0"/>
        <w:widowControl w:val="0"/>
        <w:kinsoku/>
        <w:wordWrap/>
        <w:overflowPunct/>
        <w:topLinePunct w:val="0"/>
        <w:autoSpaceDE/>
        <w:autoSpaceDN/>
        <w:bidi w:val="0"/>
        <w:adjustRightInd/>
        <w:spacing w:line="336" w:lineRule="auto"/>
        <w:ind w:firstLine="600" w:firstLineChars="25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.7.</w:t>
      </w:r>
      <w:r>
        <w:rPr>
          <w:rFonts w:hint="eastAsia" w:ascii="宋体" w:hAnsi="宋体" w:cs="宋体"/>
          <w:sz w:val="24"/>
          <w:szCs w:val="24"/>
          <w:lang w:val="en-US" w:eastAsia="zh-CN"/>
        </w:rPr>
        <w:t>3</w:t>
      </w:r>
      <w:r>
        <w:rPr>
          <w:rFonts w:hint="eastAsia" w:ascii="宋体" w:hAnsi="宋体" w:eastAsia="宋体" w:cs="宋体"/>
          <w:sz w:val="24"/>
          <w:szCs w:val="24"/>
        </w:rPr>
        <w:t>投标供应商应针对拟建工程编制保证安全施工、文明施工和环境保护的技术措施方案。</w:t>
      </w:r>
    </w:p>
    <w:p w14:paraId="287C779E">
      <w:pPr>
        <w:pStyle w:val="5"/>
        <w:keepNext/>
        <w:keepLines w:val="0"/>
        <w:pageBreakBefore w:val="0"/>
        <w:widowControl w:val="0"/>
        <w:numPr>
          <w:ilvl w:val="0"/>
          <w:numId w:val="0"/>
        </w:numPr>
        <w:kinsoku/>
        <w:wordWrap/>
        <w:topLinePunct w:val="0"/>
        <w:autoSpaceDE/>
        <w:autoSpaceDN/>
        <w:bidi w:val="0"/>
        <w:spacing w:line="460" w:lineRule="exact"/>
        <w:ind w:left="630" w:leftChars="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3.</w:t>
      </w:r>
      <w:r>
        <w:rPr>
          <w:rFonts w:hint="eastAsia" w:ascii="宋体" w:hAnsi="宋体" w:eastAsia="宋体" w:cs="宋体"/>
          <w:sz w:val="24"/>
          <w:szCs w:val="28"/>
        </w:rPr>
        <w:t xml:space="preserve"> 磋商货币</w:t>
      </w:r>
      <w:bookmarkEnd w:id="85"/>
      <w:bookmarkEnd w:id="86"/>
    </w:p>
    <w:p w14:paraId="05A55DE4">
      <w:pPr>
        <w:keepNext/>
        <w:keepLines w:val="0"/>
        <w:pageBreakBefore w:val="0"/>
        <w:widowControl w:val="0"/>
        <w:kinsoku/>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rPr>
        <w:t>采购人只接受人民币作为唯一磋商货币。以人民币为投标货币。以元为报价单位，保留小数点后两位。</w:t>
      </w:r>
    </w:p>
    <w:p w14:paraId="68DAB159">
      <w:pPr>
        <w:pStyle w:val="5"/>
        <w:keepNext/>
        <w:keepLines w:val="0"/>
        <w:pageBreakBefore w:val="0"/>
        <w:widowControl w:val="0"/>
        <w:numPr>
          <w:ilvl w:val="0"/>
          <w:numId w:val="0"/>
        </w:numPr>
        <w:kinsoku/>
        <w:wordWrap/>
        <w:topLinePunct w:val="0"/>
        <w:autoSpaceDE/>
        <w:autoSpaceDN/>
        <w:bidi w:val="0"/>
        <w:spacing w:line="460" w:lineRule="exact"/>
        <w:ind w:left="630" w:leftChars="0" w:right="0" w:rightChars="0"/>
        <w:textAlignment w:val="auto"/>
        <w:rPr>
          <w:rFonts w:hint="eastAsia" w:ascii="宋体" w:hAnsi="宋体" w:eastAsia="宋体" w:cs="宋体"/>
          <w:sz w:val="24"/>
          <w:szCs w:val="28"/>
        </w:rPr>
      </w:pPr>
      <w:bookmarkStart w:id="87" w:name="_Toc536202302"/>
      <w:r>
        <w:rPr>
          <w:rFonts w:hint="eastAsia" w:ascii="宋体" w:hAnsi="宋体" w:cs="宋体"/>
          <w:sz w:val="24"/>
          <w:szCs w:val="28"/>
          <w:lang w:val="en-US" w:eastAsia="zh-CN"/>
        </w:rPr>
        <w:t>4.</w:t>
      </w:r>
      <w:r>
        <w:rPr>
          <w:rFonts w:hint="eastAsia" w:ascii="宋体" w:hAnsi="宋体" w:eastAsia="宋体" w:cs="宋体"/>
          <w:sz w:val="24"/>
          <w:szCs w:val="28"/>
        </w:rPr>
        <w:t>响应有效期</w:t>
      </w:r>
      <w:bookmarkEnd w:id="87"/>
    </w:p>
    <w:p w14:paraId="1B70C07D">
      <w:pPr>
        <w:keepNext/>
        <w:keepLines w:val="0"/>
        <w:pageBreakBefore w:val="0"/>
        <w:widowControl w:val="0"/>
        <w:kinsoku/>
        <w:wordWrap/>
        <w:topLinePunct w:val="0"/>
        <w:autoSpaceDE/>
        <w:autoSpaceDN/>
        <w:bidi w:val="0"/>
        <w:adjustRightInd w:val="0"/>
        <w:snapToGrid w:val="0"/>
        <w:spacing w:line="460" w:lineRule="exact"/>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39DDD315">
      <w:pPr>
        <w:pStyle w:val="5"/>
        <w:keepNext/>
        <w:keepLines w:val="0"/>
        <w:pageBreakBefore w:val="0"/>
        <w:widowControl w:val="0"/>
        <w:numPr>
          <w:ilvl w:val="0"/>
          <w:numId w:val="0"/>
        </w:numPr>
        <w:kinsoku/>
        <w:wordWrap/>
        <w:topLinePunct w:val="0"/>
        <w:autoSpaceDE/>
        <w:autoSpaceDN/>
        <w:bidi w:val="0"/>
        <w:spacing w:line="460" w:lineRule="exact"/>
        <w:ind w:left="630" w:leftChars="0" w:right="0" w:rightChars="0"/>
        <w:textAlignment w:val="auto"/>
        <w:rPr>
          <w:rFonts w:hint="eastAsia" w:ascii="宋体" w:hAnsi="宋体" w:eastAsia="宋体" w:cs="宋体"/>
          <w:sz w:val="24"/>
          <w:szCs w:val="28"/>
        </w:rPr>
      </w:pPr>
      <w:bookmarkStart w:id="88" w:name="_Toc536202303"/>
      <w:bookmarkStart w:id="89" w:name="_Toc24827"/>
      <w:r>
        <w:rPr>
          <w:rFonts w:hint="eastAsia" w:ascii="宋体" w:hAnsi="宋体" w:cs="宋体"/>
          <w:sz w:val="24"/>
          <w:szCs w:val="28"/>
          <w:lang w:val="en-US" w:eastAsia="zh-CN"/>
        </w:rPr>
        <w:t>5.</w:t>
      </w:r>
      <w:r>
        <w:rPr>
          <w:rFonts w:hint="eastAsia" w:ascii="宋体" w:hAnsi="宋体" w:eastAsia="宋体" w:cs="宋体"/>
          <w:sz w:val="24"/>
          <w:szCs w:val="28"/>
        </w:rPr>
        <w:t>响应文件的格式、装订、密封和签署</w:t>
      </w:r>
      <w:bookmarkEnd w:id="88"/>
      <w:bookmarkEnd w:id="89"/>
    </w:p>
    <w:p w14:paraId="7F177652">
      <w:pPr>
        <w:keepNext/>
        <w:keepLines w:val="0"/>
        <w:pageBreakBefore w:val="0"/>
        <w:widowControl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sz w:val="24"/>
          <w:szCs w:val="28"/>
        </w:rPr>
        <w:t>；所有的副本可以为正本的复印件。</w:t>
      </w:r>
    </w:p>
    <w:p w14:paraId="6DDBC21F">
      <w:pPr>
        <w:keepNext/>
        <w:keepLines w:val="0"/>
        <w:pageBreakBefore w:val="0"/>
        <w:widowControl w:val="0"/>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.2响应文件的装订</w:t>
      </w:r>
    </w:p>
    <w:p w14:paraId="5486A2E2">
      <w:pPr>
        <w:keepNext/>
        <w:keepLines w:val="0"/>
        <w:pageBreakBefore w:val="0"/>
        <w:widowControl w:val="0"/>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sz w:val="24"/>
          <w:szCs w:val="28"/>
        </w:rPr>
        <w:t>响应文件正本壹份、副本贰份，分别胶装装订成册，且封面须清楚地标明“正本”或“副本”；若正本和副本不符，以正本书面文件为准；同时提供与正本内容一致的电子版</w:t>
      </w:r>
      <w:r>
        <w:rPr>
          <w:rFonts w:hint="eastAsia" w:ascii="宋体" w:hAnsi="宋体" w:eastAsia="宋体" w:cs="宋体"/>
          <w:sz w:val="24"/>
          <w:szCs w:val="24"/>
        </w:rPr>
        <w:t>（</w:t>
      </w:r>
      <w:r>
        <w:rPr>
          <w:rFonts w:hint="eastAsia" w:ascii="宋体" w:hAnsi="宋体" w:cs="宋体"/>
          <w:sz w:val="24"/>
          <w:szCs w:val="28"/>
        </w:rPr>
        <w:t>电子U盘文档应为PDF格式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p>
    <w:p w14:paraId="6FC76717">
      <w:pPr>
        <w:keepNext/>
        <w:keepLines w:val="0"/>
        <w:pageBreakBefore w:val="0"/>
        <w:widowControl w:val="0"/>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.3响应文件的签署</w:t>
      </w:r>
    </w:p>
    <w:p w14:paraId="656C9B2C">
      <w:pPr>
        <w:keepNext/>
        <w:keepLines w:val="0"/>
        <w:pageBreakBefore w:val="0"/>
        <w:widowControl w:val="0"/>
        <w:numPr>
          <w:ilvl w:val="0"/>
          <w:numId w:val="4"/>
        </w:numPr>
        <w:kinsoku/>
        <w:wordWrap/>
        <w:topLinePunct w:val="0"/>
        <w:autoSpaceDE/>
        <w:autoSpaceDN/>
        <w:bidi w:val="0"/>
        <w:spacing w:line="460" w:lineRule="exact"/>
        <w:ind w:left="0" w:leftChars="0" w:right="0" w:rightChars="0"/>
        <w:jc w:val="left"/>
        <w:textAlignment w:val="auto"/>
        <w:rPr>
          <w:rFonts w:hint="eastAsia" w:ascii="宋体" w:hAnsi="宋体" w:eastAsia="宋体" w:cs="宋体"/>
          <w:sz w:val="24"/>
          <w:szCs w:val="28"/>
        </w:rPr>
      </w:pPr>
      <w:r>
        <w:rPr>
          <w:rFonts w:hint="eastAsia" w:ascii="宋体" w:hAnsi="宋体" w:eastAsia="宋体" w:cs="宋体"/>
          <w:sz w:val="24"/>
          <w:szCs w:val="28"/>
        </w:rPr>
        <w:t>供应商应在投标文件正副本中指定的页面落款处填写供应商全称，并按要求加盖公章及签字</w:t>
      </w:r>
      <w:r>
        <w:rPr>
          <w:rFonts w:hint="eastAsia" w:ascii="宋体" w:hAnsi="宋体" w:cs="宋体"/>
          <w:sz w:val="24"/>
          <w:szCs w:val="28"/>
          <w:lang w:eastAsia="zh-CN"/>
        </w:rPr>
        <w:t>（</w:t>
      </w:r>
      <w:r>
        <w:rPr>
          <w:rFonts w:hint="eastAsia" w:ascii="宋体" w:hAnsi="宋体" w:eastAsia="宋体" w:cs="宋体"/>
          <w:sz w:val="24"/>
          <w:szCs w:val="28"/>
        </w:rPr>
        <w:t>包括投标文件的封面）侧面还需加盖骑缝章。</w:t>
      </w:r>
    </w:p>
    <w:p w14:paraId="2F22BAD3">
      <w:pPr>
        <w:keepNext/>
        <w:keepLines w:val="0"/>
        <w:pageBreakBefore w:val="0"/>
        <w:widowControl w:val="0"/>
        <w:numPr>
          <w:ilvl w:val="0"/>
          <w:numId w:val="4"/>
        </w:numPr>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响应文件应字迹清楚、内容齐全、不得涂改或增删。如有修改和增删，必须有供应商公章及法定代表人或其授权代表签字。</w:t>
      </w:r>
    </w:p>
    <w:p w14:paraId="69C6CC20">
      <w:pPr>
        <w:keepNext/>
        <w:keepLines w:val="0"/>
        <w:pageBreakBefore w:val="0"/>
        <w:widowControl w:val="0"/>
        <w:numPr>
          <w:ilvl w:val="0"/>
          <w:numId w:val="4"/>
        </w:numPr>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因响应文件字迹潦草或表达不清所引起的不利后果由供应商承担。</w:t>
      </w:r>
    </w:p>
    <w:p w14:paraId="7ADEB9F5">
      <w:pPr>
        <w:keepNext/>
        <w:keepLines w:val="0"/>
        <w:pageBreakBefore w:val="0"/>
        <w:widowControl w:val="0"/>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.4响应文件的密封</w:t>
      </w:r>
    </w:p>
    <w:p w14:paraId="1D3D7F78">
      <w:pPr>
        <w:keepNext/>
        <w:keepLines w:val="0"/>
        <w:pageBreakBefore w:val="0"/>
        <w:widowControl w:val="0"/>
        <w:kinsoku/>
        <w:wordWrap/>
        <w:topLinePunct w:val="0"/>
        <w:autoSpaceDE/>
        <w:autoSpaceDN/>
        <w:bidi w:val="0"/>
        <w:spacing w:line="460" w:lineRule="exact"/>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资质文件、响应文件正本、副本应分开封装在单独的封袋中（封袋不得有破损），且在封袋正面标明</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资质文件</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F48B93A">
      <w:pPr>
        <w:keepNext/>
        <w:keepLines w:val="0"/>
        <w:pageBreakBefore w:val="0"/>
        <w:widowControl w:val="0"/>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w:t>
      </w:r>
      <w:r>
        <w:rPr>
          <w:rFonts w:hint="eastAsia" w:ascii="宋体" w:hAnsi="宋体" w:eastAsia="宋体" w:cs="宋体"/>
          <w:sz w:val="24"/>
          <w:szCs w:val="28"/>
        </w:rPr>
        <w:t>记，误投或过早启封的响应文件，将自行承担其响应文件被视为无效响应文件的风险。</w:t>
      </w:r>
    </w:p>
    <w:p w14:paraId="47ED4139">
      <w:pPr>
        <w:keepNext/>
        <w:keepLines w:val="0"/>
        <w:pageBreakBefore w:val="0"/>
        <w:widowControl w:val="0"/>
        <w:kinsoku/>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.5本次磋商只接受简体中文文字的响应文件；如响应文件中出现外文资料，必须配以中文译文。否则，由此引发的一切责任由供应商自负。</w:t>
      </w:r>
    </w:p>
    <w:p w14:paraId="3A71C5E3">
      <w:pPr>
        <w:keepNext/>
        <w:keepLines w:val="0"/>
        <w:pageBreakBefore w:val="0"/>
        <w:widowControl w:val="0"/>
        <w:kinsoku/>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cs="宋体"/>
          <w:kern w:val="0"/>
          <w:sz w:val="24"/>
          <w:szCs w:val="28"/>
          <w:lang w:val="en-US" w:eastAsia="zh-CN"/>
        </w:rPr>
        <w:t>5</w:t>
      </w:r>
      <w:r>
        <w:rPr>
          <w:rFonts w:hint="eastAsia" w:ascii="宋体" w:hAnsi="宋体" w:eastAsia="宋体" w:cs="宋体"/>
          <w:kern w:val="0"/>
          <w:sz w:val="24"/>
          <w:szCs w:val="28"/>
        </w:rPr>
        <w:t>.6拒绝接受以电话、传真、电子邮件形式的磋商。</w:t>
      </w:r>
    </w:p>
    <w:p w14:paraId="4872C410">
      <w:pPr>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eastAsia="宋体" w:cs="宋体"/>
          <w:b/>
          <w:bCs/>
          <w:kern w:val="0"/>
          <w:sz w:val="32"/>
          <w:szCs w:val="32"/>
        </w:rPr>
      </w:pPr>
      <w:bookmarkStart w:id="90" w:name="_Toc4747"/>
      <w:bookmarkStart w:id="91" w:name="_Toc3565"/>
      <w:bookmarkStart w:id="92" w:name="_Toc536429322"/>
      <w:bookmarkStart w:id="93" w:name="_Toc536202382"/>
      <w:bookmarkStart w:id="94" w:name="_Toc536202305"/>
      <w:bookmarkStart w:id="95" w:name="_Toc19543339"/>
      <w:bookmarkStart w:id="96" w:name="_Toc536429375"/>
      <w:bookmarkStart w:id="97" w:name="_Toc3736"/>
      <w:r>
        <w:rPr>
          <w:rFonts w:hint="eastAsia" w:ascii="宋体" w:hAnsi="宋体" w:eastAsia="宋体" w:cs="宋体"/>
          <w:b/>
          <w:bCs/>
          <w:kern w:val="0"/>
          <w:sz w:val="32"/>
          <w:szCs w:val="32"/>
          <w:lang w:val="en-US" w:eastAsia="zh-CN" w:bidi="ar-SA"/>
        </w:rPr>
        <w:t>四、</w:t>
      </w:r>
      <w:r>
        <w:rPr>
          <w:rFonts w:hint="eastAsia" w:ascii="宋体" w:hAnsi="宋体" w:eastAsia="宋体" w:cs="宋体"/>
          <w:b/>
          <w:bCs/>
          <w:kern w:val="0"/>
          <w:sz w:val="32"/>
          <w:szCs w:val="32"/>
        </w:rPr>
        <w:t>响应文件的递交</w:t>
      </w:r>
      <w:bookmarkEnd w:id="90"/>
      <w:bookmarkEnd w:id="91"/>
      <w:bookmarkEnd w:id="92"/>
      <w:bookmarkEnd w:id="93"/>
      <w:bookmarkEnd w:id="94"/>
      <w:bookmarkEnd w:id="95"/>
      <w:bookmarkEnd w:id="96"/>
      <w:r>
        <w:rPr>
          <w:rFonts w:hint="eastAsia" w:ascii="宋体" w:hAnsi="宋体" w:eastAsia="宋体" w:cs="宋体"/>
          <w:b/>
          <w:bCs/>
          <w:kern w:val="0"/>
          <w:sz w:val="32"/>
          <w:szCs w:val="32"/>
        </w:rPr>
        <w:t xml:space="preserve"> </w:t>
      </w:r>
    </w:p>
    <w:bookmarkEnd w:id="97"/>
    <w:p w14:paraId="57D2B469">
      <w:pPr>
        <w:pStyle w:val="5"/>
        <w:keepNext/>
        <w:keepLines w:val="0"/>
        <w:pageBreakBefore w:val="0"/>
        <w:widowControl w:val="0"/>
        <w:numPr>
          <w:ilvl w:val="0"/>
          <w:numId w:val="0"/>
        </w:numPr>
        <w:kinsoku/>
        <w:wordWrap/>
        <w:topLinePunct w:val="0"/>
        <w:autoSpaceDE/>
        <w:autoSpaceDN/>
        <w:bidi w:val="0"/>
        <w:spacing w:line="460" w:lineRule="exact"/>
        <w:ind w:leftChars="200" w:right="0" w:rightChars="0"/>
        <w:textAlignment w:val="auto"/>
        <w:rPr>
          <w:rFonts w:hint="eastAsia" w:ascii="宋体" w:hAnsi="宋体" w:eastAsia="宋体" w:cs="宋体"/>
          <w:sz w:val="24"/>
          <w:szCs w:val="28"/>
        </w:rPr>
      </w:pPr>
      <w:bookmarkStart w:id="98" w:name="_Toc536202306"/>
      <w:bookmarkStart w:id="99" w:name="_Toc3685"/>
      <w:r>
        <w:rPr>
          <w:rFonts w:hint="eastAsia" w:ascii="宋体" w:hAnsi="宋体" w:cs="宋体"/>
          <w:sz w:val="24"/>
          <w:szCs w:val="28"/>
          <w:lang w:val="en-US" w:eastAsia="zh-CN"/>
        </w:rPr>
        <w:t>1.</w:t>
      </w:r>
      <w:r>
        <w:rPr>
          <w:rFonts w:hint="eastAsia" w:ascii="宋体" w:hAnsi="宋体" w:eastAsia="宋体" w:cs="宋体"/>
          <w:sz w:val="24"/>
          <w:szCs w:val="28"/>
        </w:rPr>
        <w:t>响应文件递交</w:t>
      </w:r>
      <w:bookmarkEnd w:id="98"/>
      <w:bookmarkEnd w:id="99"/>
    </w:p>
    <w:p w14:paraId="3154FCCA">
      <w:pPr>
        <w:keepNext/>
        <w:keepLines w:val="0"/>
        <w:pageBreakBefore w:val="0"/>
        <w:widowControl w:val="0"/>
        <w:tabs>
          <w:tab w:val="left" w:pos="0"/>
        </w:tabs>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w:t>
      </w:r>
      <w:r>
        <w:rPr>
          <w:rFonts w:hint="eastAsia" w:ascii="宋体" w:hAnsi="宋体" w:cs="宋体"/>
          <w:sz w:val="24"/>
          <w:szCs w:val="28"/>
          <w:lang w:eastAsia="zh-CN"/>
        </w:rPr>
        <w:t>间之</w:t>
      </w:r>
      <w:r>
        <w:rPr>
          <w:rFonts w:hint="eastAsia" w:ascii="宋体" w:hAnsi="宋体" w:eastAsia="宋体" w:cs="宋体"/>
          <w:sz w:val="24"/>
          <w:szCs w:val="28"/>
        </w:rPr>
        <w:t>前，只负责响应文件的接收、清点、造册登记工作，并请供应商代表签字确认，对其有效性不负任何责任。</w:t>
      </w:r>
    </w:p>
    <w:p w14:paraId="2457F712">
      <w:pPr>
        <w:keepNext/>
        <w:keepLines w:val="0"/>
        <w:pageBreakBefore w:val="0"/>
        <w:widowControl w:val="0"/>
        <w:tabs>
          <w:tab w:val="left" w:pos="0"/>
        </w:tabs>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1.2代理机构在宣布递交响应文件时间截止之后，拒绝接收任何人送达、递交的响应文件及其他资料；</w:t>
      </w:r>
    </w:p>
    <w:p w14:paraId="3CFCA318">
      <w:pPr>
        <w:keepNext/>
        <w:keepLines w:val="0"/>
        <w:pageBreakBefore w:val="0"/>
        <w:widowControl w:val="0"/>
        <w:tabs>
          <w:tab w:val="left" w:pos="0"/>
        </w:tabs>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1.3代理机构不接受邮寄的响应文件；</w:t>
      </w:r>
    </w:p>
    <w:p w14:paraId="7C7131E2">
      <w:pPr>
        <w:keepNext/>
        <w:keepLines w:val="0"/>
        <w:pageBreakBefore w:val="0"/>
        <w:widowControl w:val="0"/>
        <w:tabs>
          <w:tab w:val="left" w:pos="0"/>
        </w:tabs>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1.4无论供应商成交与否，其响应文件恕不退还。</w:t>
      </w:r>
    </w:p>
    <w:p w14:paraId="52F28E1B">
      <w:pPr>
        <w:pStyle w:val="5"/>
        <w:keepNext/>
        <w:keepLines w:val="0"/>
        <w:pageBreakBefore w:val="0"/>
        <w:widowControl w:val="0"/>
        <w:numPr>
          <w:ilvl w:val="0"/>
          <w:numId w:val="0"/>
        </w:numPr>
        <w:kinsoku/>
        <w:wordWrap/>
        <w:topLinePunct w:val="0"/>
        <w:autoSpaceDE/>
        <w:autoSpaceDN/>
        <w:bidi w:val="0"/>
        <w:spacing w:line="460" w:lineRule="exact"/>
        <w:ind w:left="420" w:leftChars="0" w:right="0" w:rightChars="0"/>
        <w:textAlignment w:val="auto"/>
        <w:rPr>
          <w:rFonts w:hint="eastAsia" w:ascii="宋体" w:hAnsi="宋体" w:eastAsia="宋体" w:cs="宋体"/>
          <w:sz w:val="24"/>
          <w:szCs w:val="28"/>
        </w:rPr>
      </w:pPr>
      <w:bookmarkStart w:id="100" w:name="_Toc12741"/>
      <w:bookmarkStart w:id="101" w:name="_Toc536202307"/>
      <w:r>
        <w:rPr>
          <w:rFonts w:hint="eastAsia" w:ascii="宋体" w:hAnsi="宋体" w:cs="宋体"/>
          <w:sz w:val="24"/>
          <w:szCs w:val="28"/>
          <w:lang w:val="en-US" w:eastAsia="zh-CN"/>
        </w:rPr>
        <w:t>2.</w:t>
      </w:r>
      <w:r>
        <w:rPr>
          <w:rFonts w:hint="eastAsia" w:ascii="宋体" w:hAnsi="宋体" w:eastAsia="宋体" w:cs="宋体"/>
          <w:sz w:val="24"/>
          <w:szCs w:val="28"/>
        </w:rPr>
        <w:t>响应文件的修改和撤回</w:t>
      </w:r>
      <w:bookmarkEnd w:id="100"/>
      <w:bookmarkEnd w:id="101"/>
    </w:p>
    <w:p w14:paraId="2B959ACA">
      <w:pPr>
        <w:keepNext/>
        <w:keepLines w:val="0"/>
        <w:pageBreakBefore w:val="0"/>
        <w:widowControl w:val="0"/>
        <w:tabs>
          <w:tab w:val="left" w:pos="0"/>
        </w:tabs>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2.1供应商在递交响应文件以后，在规定的投标截止时间之前</w:t>
      </w:r>
      <w:r>
        <w:rPr>
          <w:rFonts w:hint="eastAsia" w:ascii="宋体" w:hAnsi="宋体" w:cs="宋体"/>
          <w:sz w:val="24"/>
          <w:szCs w:val="28"/>
          <w:lang w:eastAsia="zh-CN"/>
        </w:rPr>
        <w:t>，</w:t>
      </w:r>
      <w:r>
        <w:rPr>
          <w:rFonts w:hint="eastAsia" w:ascii="宋体" w:hAnsi="宋体" w:eastAsia="宋体" w:cs="宋体"/>
          <w:sz w:val="24"/>
          <w:szCs w:val="28"/>
        </w:rPr>
        <w:t>可以书面形式补充、修改或撤回已递交的响应文件，并以书面形式通知招标代理机构。补充、修改的内容应当按磋商文件要求密封、签署、盖章，并作为响应文件的组成部分；</w:t>
      </w:r>
    </w:p>
    <w:p w14:paraId="64AC7954">
      <w:pPr>
        <w:keepNext/>
        <w:keepLines w:val="0"/>
        <w:pageBreakBefore w:val="0"/>
        <w:widowControl w:val="0"/>
        <w:tabs>
          <w:tab w:val="left" w:pos="0"/>
        </w:tabs>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2.2供应商提出修改和撤标要求的，须在投标截止时间前密封</w:t>
      </w:r>
      <w:r>
        <w:rPr>
          <w:rFonts w:hint="eastAsia" w:ascii="宋体" w:hAnsi="宋体" w:cs="宋体"/>
          <w:sz w:val="24"/>
          <w:szCs w:val="28"/>
          <w:lang w:eastAsia="zh-CN"/>
        </w:rPr>
        <w:t>送达</w:t>
      </w:r>
      <w:r>
        <w:rPr>
          <w:rFonts w:hint="eastAsia" w:ascii="宋体" w:hAnsi="宋体" w:eastAsia="宋体" w:cs="宋体"/>
          <w:sz w:val="24"/>
          <w:szCs w:val="28"/>
        </w:rPr>
        <w:t>招标代理机构，并在封面上加注“修改”或“撤回”字样。招标代理机构照相留存后，将响应文件（包含纸质及电子版）退还供应商。</w:t>
      </w:r>
    </w:p>
    <w:p w14:paraId="67A53F9E">
      <w:pPr>
        <w:keepNext/>
        <w:keepLines w:val="0"/>
        <w:pageBreakBefore w:val="0"/>
        <w:widowControl w:val="0"/>
        <w:tabs>
          <w:tab w:val="left" w:pos="0"/>
        </w:tabs>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672AA89A">
      <w:pPr>
        <w:keepNext/>
        <w:keepLines w:val="0"/>
        <w:pageBreakBefore w:val="0"/>
        <w:widowControl w:val="0"/>
        <w:tabs>
          <w:tab w:val="left" w:pos="0"/>
        </w:tabs>
        <w:kinsoku/>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2.4投标截止时间之后，供应商不得补充、修改响应文件。</w:t>
      </w:r>
    </w:p>
    <w:p w14:paraId="54CB268E">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eastAsia="宋体" w:cs="宋体"/>
          <w:b/>
          <w:bCs/>
          <w:kern w:val="0"/>
          <w:sz w:val="32"/>
          <w:szCs w:val="32"/>
        </w:rPr>
      </w:pPr>
      <w:bookmarkStart w:id="102" w:name="_Toc19543340"/>
      <w:bookmarkStart w:id="103" w:name="_Toc536202308"/>
      <w:bookmarkStart w:id="104" w:name="_Toc14415"/>
      <w:bookmarkStart w:id="105" w:name="_Toc27066"/>
      <w:bookmarkStart w:id="106" w:name="_Toc536429323"/>
      <w:bookmarkStart w:id="107" w:name="_Toc175"/>
      <w:bookmarkStart w:id="108" w:name="_Toc536202383"/>
      <w:bookmarkStart w:id="109" w:name="_Toc536429376"/>
      <w:r>
        <w:rPr>
          <w:rFonts w:hint="eastAsia" w:ascii="宋体" w:hAnsi="宋体" w:eastAsia="宋体" w:cs="宋体"/>
          <w:b/>
          <w:bCs/>
          <w:kern w:val="0"/>
          <w:sz w:val="32"/>
          <w:szCs w:val="32"/>
          <w:lang w:val="en-US" w:eastAsia="zh-CN" w:bidi="ar-SA"/>
        </w:rPr>
        <w:t>五、</w:t>
      </w:r>
      <w:r>
        <w:rPr>
          <w:rFonts w:hint="eastAsia" w:ascii="宋体" w:hAnsi="宋体" w:eastAsia="宋体" w:cs="宋体"/>
          <w:b/>
          <w:bCs/>
          <w:kern w:val="0"/>
          <w:sz w:val="32"/>
          <w:szCs w:val="32"/>
        </w:rPr>
        <w:t>磋商、评审、定标</w:t>
      </w:r>
      <w:bookmarkEnd w:id="102"/>
      <w:bookmarkEnd w:id="103"/>
      <w:bookmarkEnd w:id="104"/>
      <w:bookmarkEnd w:id="105"/>
      <w:bookmarkEnd w:id="106"/>
      <w:bookmarkEnd w:id="107"/>
      <w:bookmarkEnd w:id="108"/>
      <w:bookmarkEnd w:id="109"/>
    </w:p>
    <w:p w14:paraId="44CBAA2A">
      <w:pPr>
        <w:pStyle w:val="5"/>
        <w:pageBreakBefore w:val="0"/>
        <w:numPr>
          <w:ilvl w:val="0"/>
          <w:numId w:val="0"/>
        </w:numPr>
        <w:wordWrap/>
        <w:topLinePunct w:val="0"/>
        <w:autoSpaceDE/>
        <w:autoSpaceDN/>
        <w:bidi w:val="0"/>
        <w:spacing w:line="460" w:lineRule="exact"/>
        <w:ind w:leftChars="200" w:right="0" w:rightChars="0"/>
        <w:textAlignment w:val="auto"/>
        <w:rPr>
          <w:rFonts w:hint="eastAsia" w:ascii="宋体" w:hAnsi="宋体" w:eastAsia="宋体" w:cs="宋体"/>
          <w:sz w:val="24"/>
          <w:szCs w:val="28"/>
        </w:rPr>
      </w:pPr>
      <w:bookmarkStart w:id="110" w:name="_Toc536202309"/>
      <w:r>
        <w:rPr>
          <w:rFonts w:hint="eastAsia" w:ascii="宋体" w:hAnsi="宋体" w:cs="宋体"/>
          <w:sz w:val="24"/>
          <w:szCs w:val="28"/>
          <w:lang w:val="en-US" w:eastAsia="zh-CN"/>
        </w:rPr>
        <w:t>1.</w:t>
      </w:r>
      <w:r>
        <w:rPr>
          <w:rFonts w:hint="eastAsia" w:ascii="宋体" w:hAnsi="宋体" w:eastAsia="宋体" w:cs="宋体"/>
          <w:sz w:val="24"/>
          <w:szCs w:val="28"/>
        </w:rPr>
        <w:t>磋商</w:t>
      </w:r>
      <w:bookmarkEnd w:id="110"/>
    </w:p>
    <w:p w14:paraId="7D690CB7">
      <w:pPr>
        <w:pageBreakBefore w:val="0"/>
        <w:widowControl/>
        <w:tabs>
          <w:tab w:val="left" w:pos="0"/>
        </w:tabs>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1.1采购代理机构按磋商公告中规定的时间和地点接收供应商递交的响应文件，主持磋商会议，邀请供应商代表及采购人代表参加。</w:t>
      </w:r>
      <w:r>
        <w:rPr>
          <w:rFonts w:hint="eastAsia" w:ascii="宋体" w:hAnsi="宋体" w:eastAsia="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6FC6E09C">
      <w:pPr>
        <w:pageBreakBefore w:val="0"/>
        <w:widowControl/>
        <w:tabs>
          <w:tab w:val="left" w:pos="0"/>
        </w:tabs>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1.2磋商时，当众查验投标文件密封情况，由投标人或者其推选的代表检查投标文件的密封情况，以确认各投标人的投标文件密封情况是否与递交时一致，没有被提前启封等异常情况。</w:t>
      </w:r>
    </w:p>
    <w:p w14:paraId="0525E6DD">
      <w:pPr>
        <w:pageBreakBefore w:val="0"/>
        <w:wordWrap/>
        <w:overflowPunct w:val="0"/>
        <w:topLinePunct w:val="0"/>
        <w:autoSpaceDE/>
        <w:autoSpaceDN/>
        <w:bidi w:val="0"/>
        <w:adjustRightInd w:val="0"/>
        <w:snapToGrid w:val="0"/>
        <w:spacing w:line="460" w:lineRule="exact"/>
        <w:ind w:left="0" w:leftChars="0" w:right="0" w:rightChars="0" w:firstLine="600" w:firstLineChars="250"/>
        <w:textAlignment w:val="auto"/>
        <w:rPr>
          <w:rFonts w:hint="eastAsia" w:ascii="宋体" w:hAnsi="宋体" w:eastAsia="宋体" w:cs="宋体"/>
          <w:sz w:val="24"/>
          <w:szCs w:val="24"/>
        </w:rPr>
      </w:pPr>
      <w:r>
        <w:rPr>
          <w:rFonts w:hint="eastAsia" w:ascii="宋体" w:hAnsi="宋体" w:eastAsia="宋体" w:cs="宋体"/>
          <w:color w:val="000000"/>
          <w:sz w:val="24"/>
          <w:szCs w:val="28"/>
        </w:rPr>
        <w:t>1.3经确认无误后，</w:t>
      </w:r>
      <w:r>
        <w:rPr>
          <w:rFonts w:hint="eastAsia" w:ascii="宋体" w:hAnsi="宋体" w:eastAsia="宋体" w:cs="宋体"/>
          <w:sz w:val="24"/>
          <w:szCs w:val="24"/>
        </w:rPr>
        <w:t>对密封合格的投标文件由代理机构工作人员现场拆封开启，密封不合格的投标文件以及按照“响应文件的修改和撤回”规定，提交了可接受的“撤回”通知书的投标文件将不予拆封。</w:t>
      </w:r>
    </w:p>
    <w:p w14:paraId="2E2C7F7F">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color w:val="000000"/>
          <w:sz w:val="24"/>
          <w:szCs w:val="28"/>
        </w:rPr>
      </w:pPr>
      <w:r>
        <w:rPr>
          <w:rFonts w:hint="eastAsia" w:ascii="宋体" w:hAnsi="宋体" w:eastAsia="宋体" w:cs="宋体"/>
          <w:sz w:val="24"/>
          <w:szCs w:val="24"/>
        </w:rPr>
        <w:t>1.4投标文件拆封后，宣读投标人名称</w:t>
      </w:r>
      <w:r>
        <w:rPr>
          <w:rFonts w:hint="eastAsia" w:ascii="宋体" w:hAnsi="宋体" w:eastAsia="宋体" w:cs="宋体"/>
          <w:bCs/>
          <w:color w:val="000000"/>
          <w:sz w:val="24"/>
          <w:szCs w:val="24"/>
        </w:rPr>
        <w:t>。</w:t>
      </w:r>
    </w:p>
    <w:p w14:paraId="42878600">
      <w:pPr>
        <w:pStyle w:val="5"/>
        <w:pageBreakBefore w:val="0"/>
        <w:numPr>
          <w:ilvl w:val="0"/>
          <w:numId w:val="0"/>
        </w:numPr>
        <w:wordWrap/>
        <w:topLinePunct w:val="0"/>
        <w:autoSpaceDE/>
        <w:autoSpaceDN/>
        <w:bidi w:val="0"/>
        <w:spacing w:line="460" w:lineRule="exact"/>
        <w:ind w:right="0" w:rightChars="0" w:firstLine="482" w:firstLineChars="200"/>
        <w:textAlignment w:val="auto"/>
        <w:rPr>
          <w:rFonts w:hint="eastAsia" w:ascii="宋体" w:hAnsi="宋体" w:eastAsia="宋体" w:cs="宋体"/>
          <w:sz w:val="24"/>
          <w:szCs w:val="28"/>
        </w:rPr>
      </w:pPr>
      <w:bookmarkStart w:id="111" w:name="_Toc536202310"/>
      <w:r>
        <w:rPr>
          <w:rFonts w:hint="eastAsia" w:ascii="宋体" w:hAnsi="宋体" w:cs="宋体"/>
          <w:sz w:val="24"/>
          <w:szCs w:val="28"/>
          <w:lang w:val="en-US" w:eastAsia="zh-CN"/>
        </w:rPr>
        <w:t>2.</w:t>
      </w:r>
      <w:r>
        <w:rPr>
          <w:rFonts w:hint="eastAsia" w:ascii="宋体" w:hAnsi="宋体" w:eastAsia="宋体" w:cs="宋体"/>
          <w:sz w:val="24"/>
          <w:szCs w:val="28"/>
        </w:rPr>
        <w:t>磋商小组</w:t>
      </w:r>
      <w:bookmarkEnd w:id="111"/>
    </w:p>
    <w:p w14:paraId="16C064FB">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bookmarkStart w:id="112" w:name="_Toc386129876"/>
      <w:bookmarkStart w:id="113" w:name="_Toc28085"/>
      <w:bookmarkStart w:id="114" w:name="_Toc536202311"/>
      <w:bookmarkStart w:id="115" w:name="_Toc27940"/>
      <w:bookmarkStart w:id="116" w:name="_Toc385958808"/>
      <w:r>
        <w:rPr>
          <w:rFonts w:hint="eastAsia" w:ascii="宋体" w:hAnsi="宋体" w:eastAsia="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33F5A352">
      <w:pPr>
        <w:pageBreakBefore w:val="0"/>
        <w:wordWrap/>
        <w:topLinePunct w:val="0"/>
        <w:autoSpaceDE/>
        <w:autoSpaceDN/>
        <w:bidi w:val="0"/>
        <w:spacing w:line="460" w:lineRule="exact"/>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（1）要严格遵守政府采购相关法律制度，依法履行各自职责，公正、客观、审慎地组织和参与评审工作；</w:t>
      </w:r>
    </w:p>
    <w:p w14:paraId="7262D15C">
      <w:pPr>
        <w:pageBreakBefore w:val="0"/>
        <w:tabs>
          <w:tab w:val="left" w:pos="1200"/>
        </w:tabs>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（2）对所有响应文件逐一进行资格性、符合性审查，并</w:t>
      </w:r>
      <w:r>
        <w:rPr>
          <w:rFonts w:hint="eastAsia" w:ascii="宋体" w:hAnsi="宋体" w:cs="宋体"/>
          <w:sz w:val="24"/>
          <w:lang w:eastAsia="zh-CN"/>
        </w:rPr>
        <w:t>作出评价</w:t>
      </w:r>
      <w:r>
        <w:rPr>
          <w:rFonts w:hint="eastAsia" w:ascii="宋体" w:hAnsi="宋体" w:eastAsia="宋体" w:cs="宋体"/>
          <w:sz w:val="24"/>
        </w:rPr>
        <w:t>；</w:t>
      </w:r>
    </w:p>
    <w:p w14:paraId="516BAA6C">
      <w:pPr>
        <w:pageBreakBefore w:val="0"/>
        <w:tabs>
          <w:tab w:val="left" w:pos="1200"/>
        </w:tabs>
        <w:wordWrap/>
        <w:topLinePunct w:val="0"/>
        <w:autoSpaceDE/>
        <w:autoSpaceDN/>
        <w:bidi w:val="0"/>
        <w:spacing w:line="460" w:lineRule="exact"/>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（3）按磋商文件规定的评审方法和标准，进行比较和评价；对供应商的价格分等客观评分项的评分应当一致；</w:t>
      </w:r>
    </w:p>
    <w:p w14:paraId="76A94894">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（4）要求供应商对响应文件有关事项作出解释或澄清；</w:t>
      </w:r>
    </w:p>
    <w:p w14:paraId="2446E238">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（5）要依法独立评审，按照磋商文件的要求和评标标准进行评标，推荐成交候选供应商名单，对评审意见承担个人责任；</w:t>
      </w:r>
    </w:p>
    <w:p w14:paraId="4CA8C8FD">
      <w:pPr>
        <w:pageBreakBefore w:val="0"/>
        <w:wordWrap/>
        <w:topLinePunct w:val="0"/>
        <w:autoSpaceDE/>
        <w:autoSpaceDN/>
        <w:bidi w:val="0"/>
        <w:spacing w:line="460" w:lineRule="exact"/>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（6）对需要共同认定的事项存在争议的，按照少数服从多数的原则</w:t>
      </w:r>
      <w:r>
        <w:rPr>
          <w:rFonts w:hint="eastAsia" w:ascii="宋体" w:hAnsi="宋体" w:cs="宋体"/>
          <w:sz w:val="24"/>
          <w:lang w:eastAsia="zh-CN"/>
        </w:rPr>
        <w:t>作出</w:t>
      </w:r>
      <w:r>
        <w:rPr>
          <w:rFonts w:hint="eastAsia" w:ascii="宋体" w:hAnsi="宋体" w:eastAsia="宋体" w:cs="宋体"/>
          <w:sz w:val="24"/>
        </w:rPr>
        <w:t xml:space="preserve">结论。持不同意见的磋商小组成员应当在评审报告上签署不同意见并说明理由，否则视为同意； </w:t>
      </w:r>
    </w:p>
    <w:p w14:paraId="4B526C2B">
      <w:pPr>
        <w:pageBreakBefore w:val="0"/>
        <w:wordWrap/>
        <w:topLinePunct w:val="0"/>
        <w:autoSpaceDE/>
        <w:autoSpaceDN/>
        <w:bidi w:val="0"/>
        <w:spacing w:line="460" w:lineRule="exact"/>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（7）对评审情况以及在评审过程中获悉的国家秘密、商业秘密负有保密责任；</w:t>
      </w:r>
    </w:p>
    <w:p w14:paraId="43AB601F">
      <w:pPr>
        <w:pageBreakBefore w:val="0"/>
        <w:wordWrap/>
        <w:topLinePunct w:val="0"/>
        <w:autoSpaceDE/>
        <w:autoSpaceDN/>
        <w:bidi w:val="0"/>
        <w:spacing w:line="460" w:lineRule="exact"/>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 xml:space="preserve"> 配合财政部门的投诉处理工作；</w:t>
      </w:r>
    </w:p>
    <w:p w14:paraId="6BDC8510">
      <w:pPr>
        <w:pageBreakBefore w:val="0"/>
        <w:wordWrap/>
        <w:topLinePunct w:val="0"/>
        <w:autoSpaceDE/>
        <w:autoSpaceDN/>
        <w:bidi w:val="0"/>
        <w:spacing w:line="460" w:lineRule="exact"/>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rPr>
        <w:t>配合采购人、采购代理机构答复供应商提出的质疑。</w:t>
      </w:r>
    </w:p>
    <w:bookmarkEnd w:id="112"/>
    <w:bookmarkEnd w:id="113"/>
    <w:bookmarkEnd w:id="114"/>
    <w:bookmarkEnd w:id="115"/>
    <w:bookmarkEnd w:id="116"/>
    <w:p w14:paraId="56F16F80">
      <w:pPr>
        <w:pageBreakBefore w:val="0"/>
        <w:wordWrap/>
        <w:topLinePunct w:val="0"/>
        <w:autoSpaceDE/>
        <w:autoSpaceDN/>
        <w:bidi w:val="0"/>
        <w:spacing w:line="460" w:lineRule="exact"/>
        <w:ind w:right="0" w:rightChars="0" w:firstLine="482" w:firstLineChars="200"/>
        <w:textAlignment w:val="auto"/>
        <w:rPr>
          <w:rFonts w:hint="eastAsia" w:ascii="宋体" w:hAnsi="宋体" w:eastAsia="宋体" w:cs="宋体"/>
          <w:b/>
          <w:sz w:val="24"/>
        </w:rPr>
      </w:pPr>
      <w:bookmarkStart w:id="117" w:name="_Toc536202313"/>
      <w:r>
        <w:rPr>
          <w:rFonts w:hint="eastAsia" w:ascii="宋体" w:hAnsi="宋体" w:eastAsia="宋体" w:cs="宋体"/>
          <w:b/>
          <w:sz w:val="24"/>
        </w:rPr>
        <w:t>3</w:t>
      </w:r>
      <w:r>
        <w:rPr>
          <w:rFonts w:hint="eastAsia" w:ascii="宋体" w:hAnsi="宋体" w:cs="宋体"/>
          <w:b/>
          <w:sz w:val="24"/>
          <w:lang w:val="en-US" w:eastAsia="zh-CN"/>
        </w:rPr>
        <w:t>.</w:t>
      </w:r>
      <w:r>
        <w:rPr>
          <w:rFonts w:hint="eastAsia" w:ascii="宋体" w:hAnsi="宋体" w:eastAsia="宋体" w:cs="宋体"/>
          <w:b/>
          <w:sz w:val="24"/>
        </w:rPr>
        <w:t>响应文件的初审</w:t>
      </w:r>
    </w:p>
    <w:p w14:paraId="5C9FC3C5">
      <w:pPr>
        <w:pageBreakBefore w:val="0"/>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（1）初审分为资格性审查和符合性审查。</w:t>
      </w:r>
    </w:p>
    <w:p w14:paraId="65804974">
      <w:pPr>
        <w:pageBreakBefore w:val="0"/>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（2）资格性审查：依据磋商文件的规定，对供应商的</w:t>
      </w:r>
      <w:r>
        <w:rPr>
          <w:rFonts w:hint="eastAsia" w:ascii="宋体" w:hAnsi="宋体" w:cs="宋体"/>
          <w:sz w:val="24"/>
          <w:lang w:val="en-US" w:eastAsia="zh-CN"/>
        </w:rPr>
        <w:t>资质</w:t>
      </w:r>
      <w:r>
        <w:rPr>
          <w:rFonts w:hint="eastAsia" w:ascii="宋体" w:hAnsi="宋体" w:eastAsia="宋体" w:cs="宋体"/>
          <w:sz w:val="24"/>
        </w:rPr>
        <w:t>文件进行审查，以确定供应商是否具备磋商资格。</w:t>
      </w:r>
    </w:p>
    <w:p w14:paraId="45EBD13D">
      <w:pPr>
        <w:pageBreakBefore w:val="0"/>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（3）符合性审查：依据磋商文件规定，从响应文件的有效性、完整性和对磋商文件的响应程度进行审查。</w:t>
      </w:r>
    </w:p>
    <w:tbl>
      <w:tblPr>
        <w:tblStyle w:val="3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59"/>
        <w:gridCol w:w="3770"/>
        <w:gridCol w:w="1002"/>
        <w:gridCol w:w="1497"/>
      </w:tblGrid>
      <w:tr w14:paraId="1195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5CDD6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359"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1B74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A31F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E688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F79F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1B3E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588D4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2359" w:type="dxa"/>
            <w:tcBorders>
              <w:top w:val="single" w:color="auto" w:sz="4" w:space="0"/>
              <w:left w:val="single" w:color="auto" w:sz="4" w:space="0"/>
              <w:bottom w:val="single" w:color="auto" w:sz="4" w:space="0"/>
              <w:right w:val="single" w:color="auto" w:sz="4" w:space="0"/>
            </w:tcBorders>
            <w:vAlign w:val="top"/>
          </w:tcPr>
          <w:p w14:paraId="7028E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2F350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1002" w:type="dxa"/>
            <w:tcBorders>
              <w:top w:val="single" w:color="auto" w:sz="4" w:space="0"/>
              <w:left w:val="single" w:color="auto" w:sz="4" w:space="0"/>
              <w:bottom w:val="single" w:color="auto" w:sz="4" w:space="0"/>
              <w:right w:val="single" w:color="auto" w:sz="4" w:space="0"/>
            </w:tcBorders>
            <w:vAlign w:val="top"/>
          </w:tcPr>
          <w:p w14:paraId="08FB3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B0E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846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660" w:type="dxa"/>
            <w:tcBorders>
              <w:top w:val="single" w:color="auto" w:sz="4" w:space="0"/>
              <w:left w:val="single" w:color="auto" w:sz="4" w:space="0"/>
              <w:bottom w:val="single" w:color="auto" w:sz="4" w:space="0"/>
              <w:right w:val="single" w:color="auto" w:sz="4" w:space="0"/>
            </w:tcBorders>
            <w:vAlign w:val="top"/>
          </w:tcPr>
          <w:p w14:paraId="42702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2359" w:type="dxa"/>
            <w:tcBorders>
              <w:top w:val="single" w:color="auto" w:sz="4" w:space="0"/>
              <w:left w:val="single" w:color="auto" w:sz="4" w:space="0"/>
              <w:bottom w:val="single" w:color="auto" w:sz="4" w:space="0"/>
              <w:right w:val="single" w:color="auto" w:sz="4" w:space="0"/>
            </w:tcBorders>
            <w:vAlign w:val="top"/>
          </w:tcPr>
          <w:p w14:paraId="45487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w:t>
            </w:r>
          </w:p>
        </w:tc>
        <w:tc>
          <w:tcPr>
            <w:tcW w:w="3770" w:type="dxa"/>
            <w:tcBorders>
              <w:top w:val="single" w:color="auto" w:sz="4" w:space="0"/>
              <w:left w:val="single" w:color="auto" w:sz="4" w:space="0"/>
              <w:bottom w:val="single" w:color="auto" w:sz="4" w:space="0"/>
              <w:right w:val="single" w:color="auto" w:sz="4" w:space="0"/>
            </w:tcBorders>
            <w:vAlign w:val="center"/>
          </w:tcPr>
          <w:p w14:paraId="0C21B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三处均无遗漏，且与所投项目名称、项目编号完全一致。</w:t>
            </w:r>
          </w:p>
        </w:tc>
        <w:tc>
          <w:tcPr>
            <w:tcW w:w="1002" w:type="dxa"/>
            <w:tcBorders>
              <w:top w:val="single" w:color="auto" w:sz="4" w:space="0"/>
              <w:left w:val="single" w:color="auto" w:sz="4" w:space="0"/>
              <w:bottom w:val="single" w:color="auto" w:sz="4" w:space="0"/>
              <w:right w:val="single" w:color="auto" w:sz="4" w:space="0"/>
            </w:tcBorders>
            <w:vAlign w:val="top"/>
          </w:tcPr>
          <w:p w14:paraId="253FE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898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40B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49722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p>
        </w:tc>
        <w:tc>
          <w:tcPr>
            <w:tcW w:w="2359" w:type="dxa"/>
            <w:tcBorders>
              <w:top w:val="single" w:color="auto" w:sz="4" w:space="0"/>
              <w:left w:val="single" w:color="auto" w:sz="4" w:space="0"/>
              <w:bottom w:val="single" w:color="auto" w:sz="4" w:space="0"/>
              <w:right w:val="single" w:color="auto" w:sz="4" w:space="0"/>
            </w:tcBorders>
            <w:vAlign w:val="center"/>
          </w:tcPr>
          <w:p w14:paraId="45151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3770" w:type="dxa"/>
            <w:tcBorders>
              <w:top w:val="single" w:color="auto" w:sz="4" w:space="0"/>
              <w:left w:val="single" w:color="auto" w:sz="4" w:space="0"/>
              <w:bottom w:val="single" w:color="auto" w:sz="4" w:space="0"/>
              <w:right w:val="single" w:color="auto" w:sz="4" w:space="0"/>
            </w:tcBorders>
            <w:vAlign w:val="top"/>
          </w:tcPr>
          <w:p w14:paraId="621D8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vAlign w:val="top"/>
          </w:tcPr>
          <w:p w14:paraId="59306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4B197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0EA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4C361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2359" w:type="dxa"/>
            <w:tcBorders>
              <w:top w:val="single" w:color="auto" w:sz="4" w:space="0"/>
              <w:left w:val="single" w:color="auto" w:sz="4" w:space="0"/>
              <w:bottom w:val="single" w:color="auto" w:sz="4" w:space="0"/>
              <w:right w:val="single" w:color="auto" w:sz="4" w:space="0"/>
            </w:tcBorders>
            <w:vAlign w:val="center"/>
          </w:tcPr>
          <w:p w14:paraId="74218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3770" w:type="dxa"/>
            <w:tcBorders>
              <w:top w:val="single" w:color="auto" w:sz="4" w:space="0"/>
              <w:left w:val="single" w:color="auto" w:sz="4" w:space="0"/>
              <w:bottom w:val="single" w:color="auto" w:sz="4" w:space="0"/>
              <w:right w:val="single" w:color="auto" w:sz="4" w:space="0"/>
            </w:tcBorders>
            <w:vAlign w:val="top"/>
          </w:tcPr>
          <w:p w14:paraId="20074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文件应包含以下内容：</w:t>
            </w:r>
          </w:p>
          <w:p w14:paraId="2E55BD95">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210" w:leftChars="0" w:right="0" w:right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第一章  响应函</w:t>
            </w:r>
          </w:p>
          <w:p w14:paraId="488274F6">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210" w:leftChars="0" w:right="0" w:right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第二章  响应报价表</w:t>
            </w:r>
          </w:p>
          <w:p w14:paraId="6BEDC09C">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210" w:leftChars="0" w:right="0" w:right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第三章  供应商资质证明文件</w:t>
            </w:r>
          </w:p>
          <w:p w14:paraId="2EEAF6D4">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210" w:leftChars="0" w:right="0" w:right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第四章  </w:t>
            </w:r>
            <w:r>
              <w:rPr>
                <w:rFonts w:hint="eastAsia" w:ascii="宋体" w:hAnsi="宋体" w:cs="宋体"/>
                <w:b w:val="0"/>
                <w:bCs w:val="0"/>
                <w:color w:val="auto"/>
                <w:kern w:val="0"/>
                <w:sz w:val="24"/>
                <w:szCs w:val="24"/>
                <w:highlight w:val="none"/>
                <w:lang w:val="en-US" w:eastAsia="zh-CN"/>
              </w:rPr>
              <w:t>商务</w:t>
            </w:r>
            <w:r>
              <w:rPr>
                <w:rFonts w:hint="eastAsia" w:ascii="宋体" w:hAnsi="宋体" w:eastAsia="宋体" w:cs="宋体"/>
                <w:b w:val="0"/>
                <w:bCs w:val="0"/>
                <w:color w:val="auto"/>
                <w:kern w:val="0"/>
                <w:sz w:val="24"/>
                <w:szCs w:val="24"/>
                <w:highlight w:val="none"/>
              </w:rPr>
              <w:t>偏离表</w:t>
            </w:r>
          </w:p>
          <w:p w14:paraId="7B086477">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210" w:leftChars="0" w:right="0" w:right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第五章  投标方案</w:t>
            </w:r>
          </w:p>
          <w:p w14:paraId="07646FBE">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210" w:leftChars="0" w:right="0" w:right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第六章  供应商承诺书</w:t>
            </w:r>
          </w:p>
        </w:tc>
        <w:tc>
          <w:tcPr>
            <w:tcW w:w="1002" w:type="dxa"/>
            <w:tcBorders>
              <w:top w:val="single" w:color="auto" w:sz="4" w:space="0"/>
              <w:left w:val="single" w:color="auto" w:sz="4" w:space="0"/>
              <w:bottom w:val="single" w:color="auto" w:sz="4" w:space="0"/>
              <w:right w:val="single" w:color="auto" w:sz="4" w:space="0"/>
            </w:tcBorders>
            <w:vAlign w:val="top"/>
          </w:tcPr>
          <w:p w14:paraId="28447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59DC1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5B8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2992B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w:t>
            </w:r>
          </w:p>
        </w:tc>
        <w:tc>
          <w:tcPr>
            <w:tcW w:w="2359" w:type="dxa"/>
            <w:tcBorders>
              <w:top w:val="single" w:color="auto" w:sz="4" w:space="0"/>
              <w:left w:val="single" w:color="auto" w:sz="4" w:space="0"/>
              <w:bottom w:val="single" w:color="auto" w:sz="4" w:space="0"/>
              <w:right w:val="single" w:color="auto" w:sz="4" w:space="0"/>
            </w:tcBorders>
            <w:vAlign w:val="center"/>
          </w:tcPr>
          <w:p w14:paraId="10BAE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21C14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p>
        </w:tc>
        <w:tc>
          <w:tcPr>
            <w:tcW w:w="1002" w:type="dxa"/>
            <w:tcBorders>
              <w:top w:val="single" w:color="auto" w:sz="4" w:space="0"/>
              <w:left w:val="single" w:color="auto" w:sz="4" w:space="0"/>
              <w:bottom w:val="single" w:color="auto" w:sz="4" w:space="0"/>
              <w:right w:val="single" w:color="auto" w:sz="4" w:space="0"/>
            </w:tcBorders>
            <w:vAlign w:val="center"/>
          </w:tcPr>
          <w:p w14:paraId="6DD62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4202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39F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118DB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w:t>
            </w:r>
          </w:p>
        </w:tc>
        <w:tc>
          <w:tcPr>
            <w:tcW w:w="2359" w:type="dxa"/>
            <w:tcBorders>
              <w:top w:val="single" w:color="auto" w:sz="4" w:space="0"/>
              <w:left w:val="single" w:color="auto" w:sz="4" w:space="0"/>
              <w:bottom w:val="single" w:color="auto" w:sz="4" w:space="0"/>
              <w:right w:val="single" w:color="auto" w:sz="4" w:space="0"/>
            </w:tcBorders>
            <w:vAlign w:val="center"/>
          </w:tcPr>
          <w:p w14:paraId="69E07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p>
        </w:tc>
        <w:tc>
          <w:tcPr>
            <w:tcW w:w="3770" w:type="dxa"/>
            <w:tcBorders>
              <w:top w:val="single" w:color="auto" w:sz="4" w:space="0"/>
              <w:left w:val="single" w:color="auto" w:sz="4" w:space="0"/>
              <w:bottom w:val="single" w:color="auto" w:sz="4" w:space="0"/>
              <w:right w:val="single" w:color="auto" w:sz="4" w:space="0"/>
            </w:tcBorders>
            <w:vAlign w:val="top"/>
          </w:tcPr>
          <w:p w14:paraId="16B54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报价符合唯一性要求：</w:t>
            </w:r>
          </w:p>
          <w:p w14:paraId="3DA1B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0DE87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p>
        </w:tc>
        <w:tc>
          <w:tcPr>
            <w:tcW w:w="1002" w:type="dxa"/>
            <w:tcBorders>
              <w:top w:val="single" w:color="auto" w:sz="4" w:space="0"/>
              <w:left w:val="single" w:color="auto" w:sz="4" w:space="0"/>
              <w:bottom w:val="single" w:color="auto" w:sz="4" w:space="0"/>
              <w:right w:val="single" w:color="auto" w:sz="4" w:space="0"/>
            </w:tcBorders>
            <w:vAlign w:val="top"/>
          </w:tcPr>
          <w:p w14:paraId="1FE23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2A65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B65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62778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w:t>
            </w:r>
          </w:p>
        </w:tc>
        <w:tc>
          <w:tcPr>
            <w:tcW w:w="2359" w:type="dxa"/>
            <w:tcBorders>
              <w:top w:val="single" w:color="auto" w:sz="4" w:space="0"/>
              <w:left w:val="single" w:color="auto" w:sz="4" w:space="0"/>
              <w:bottom w:val="single" w:color="auto" w:sz="4" w:space="0"/>
              <w:right w:val="single" w:color="auto" w:sz="4" w:space="0"/>
            </w:tcBorders>
            <w:vAlign w:val="center"/>
          </w:tcPr>
          <w:p w14:paraId="174D4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62BD5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p>
        </w:tc>
        <w:tc>
          <w:tcPr>
            <w:tcW w:w="1002" w:type="dxa"/>
            <w:tcBorders>
              <w:top w:val="single" w:color="auto" w:sz="4" w:space="0"/>
              <w:left w:val="single" w:color="auto" w:sz="4" w:space="0"/>
              <w:bottom w:val="single" w:color="auto" w:sz="4" w:space="0"/>
              <w:right w:val="single" w:color="auto" w:sz="4" w:space="0"/>
            </w:tcBorders>
            <w:vAlign w:val="top"/>
          </w:tcPr>
          <w:p w14:paraId="5CDDB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7A4C6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A0D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1FA02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dxa"/>
            <w:tcBorders>
              <w:top w:val="single" w:color="auto" w:sz="4" w:space="0"/>
              <w:left w:val="single" w:color="auto" w:sz="4" w:space="0"/>
              <w:bottom w:val="single" w:color="auto" w:sz="4" w:space="0"/>
              <w:right w:val="single" w:color="auto" w:sz="4" w:space="0"/>
            </w:tcBorders>
            <w:vAlign w:val="center"/>
          </w:tcPr>
          <w:p w14:paraId="19881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2ADC6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文件合同主要条款。</w:t>
            </w:r>
          </w:p>
        </w:tc>
        <w:tc>
          <w:tcPr>
            <w:tcW w:w="1002" w:type="dxa"/>
            <w:tcBorders>
              <w:top w:val="single" w:color="auto" w:sz="4" w:space="0"/>
              <w:left w:val="single" w:color="auto" w:sz="4" w:space="0"/>
              <w:bottom w:val="single" w:color="auto" w:sz="4" w:space="0"/>
              <w:right w:val="single" w:color="auto" w:sz="4" w:space="0"/>
            </w:tcBorders>
            <w:vAlign w:val="top"/>
          </w:tcPr>
          <w:p w14:paraId="7D752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2DE1B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bl>
    <w:p w14:paraId="73C55734">
      <w:pPr>
        <w:pageBreakBefore w:val="0"/>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（4）磋商时，响应文件中出现下列情况，修正原则为：</w:t>
      </w:r>
    </w:p>
    <w:p w14:paraId="4BC7BCC8">
      <w:pPr>
        <w:pageBreakBefore w:val="0"/>
        <w:wordWrap/>
        <w:topLinePunct w:val="0"/>
        <w:autoSpaceDE/>
        <w:autoSpaceDN/>
        <w:bidi w:val="0"/>
        <w:spacing w:line="460" w:lineRule="exact"/>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color w:val="000000"/>
          <w:sz w:val="24"/>
        </w:rPr>
        <w:t>A</w:t>
      </w:r>
      <w:r>
        <w:rPr>
          <w:rFonts w:hint="eastAsia" w:ascii="宋体" w:hAnsi="宋体" w:cs="宋体"/>
          <w:color w:val="000000"/>
          <w:sz w:val="24"/>
          <w:lang w:eastAsia="zh-CN"/>
        </w:rPr>
        <w:t>.</w:t>
      </w:r>
      <w:r>
        <w:rPr>
          <w:rFonts w:hint="eastAsia" w:ascii="宋体" w:hAnsi="宋体" w:eastAsia="宋体" w:cs="宋体"/>
          <w:color w:val="000000"/>
          <w:sz w:val="24"/>
        </w:rPr>
        <w:t>响应文件中响应报价表内容与响应文件中明细内容不一致的，以响应报价表为准；</w:t>
      </w:r>
    </w:p>
    <w:p w14:paraId="66646B77">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B</w:t>
      </w:r>
      <w:r>
        <w:rPr>
          <w:rFonts w:hint="eastAsia" w:ascii="宋体" w:hAnsi="宋体" w:cs="宋体"/>
          <w:sz w:val="24"/>
          <w:lang w:eastAsia="zh-CN"/>
        </w:rPr>
        <w:t>.</w:t>
      </w:r>
      <w:r>
        <w:rPr>
          <w:rFonts w:hint="eastAsia" w:ascii="宋体" w:hAnsi="宋体" w:eastAsia="宋体" w:cs="宋体"/>
          <w:sz w:val="24"/>
        </w:rPr>
        <w:t>大写金额和小写金额不一致的，以大写金额为准；</w:t>
      </w:r>
    </w:p>
    <w:p w14:paraId="2E7CBEA3">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C</w:t>
      </w:r>
      <w:r>
        <w:rPr>
          <w:rFonts w:hint="eastAsia" w:ascii="宋体" w:hAnsi="宋体" w:cs="宋体"/>
          <w:sz w:val="24"/>
          <w:lang w:eastAsia="zh-CN"/>
        </w:rPr>
        <w:t>.</w:t>
      </w:r>
      <w:r>
        <w:rPr>
          <w:rFonts w:hint="eastAsia" w:ascii="宋体" w:hAnsi="宋体" w:eastAsia="宋体" w:cs="宋体"/>
          <w:sz w:val="24"/>
        </w:rPr>
        <w:t>单价金额小数点或者百分比有明显错位的，以</w:t>
      </w:r>
      <w:r>
        <w:rPr>
          <w:rFonts w:hint="eastAsia" w:ascii="宋体" w:hAnsi="宋体" w:eastAsia="宋体" w:cs="宋体"/>
          <w:color w:val="000000"/>
          <w:sz w:val="24"/>
        </w:rPr>
        <w:t>响应报价表</w:t>
      </w:r>
      <w:r>
        <w:rPr>
          <w:rFonts w:hint="eastAsia" w:ascii="宋体" w:hAnsi="宋体" w:eastAsia="宋体" w:cs="宋体"/>
          <w:sz w:val="24"/>
        </w:rPr>
        <w:t>的总价为准，并修改单价；</w:t>
      </w:r>
    </w:p>
    <w:p w14:paraId="410CCCDD">
      <w:pPr>
        <w:pageBreakBefore w:val="0"/>
        <w:wordWrap/>
        <w:topLinePunct w:val="0"/>
        <w:autoSpaceDE/>
        <w:autoSpaceDN/>
        <w:bidi w:val="0"/>
        <w:spacing w:line="460" w:lineRule="exact"/>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sz w:val="24"/>
        </w:rPr>
        <w:t>D</w:t>
      </w:r>
      <w:r>
        <w:rPr>
          <w:rFonts w:hint="eastAsia" w:ascii="宋体" w:hAnsi="宋体" w:cs="宋体"/>
          <w:sz w:val="24"/>
          <w:lang w:eastAsia="zh-CN"/>
        </w:rPr>
        <w:t>.</w:t>
      </w:r>
      <w:r>
        <w:rPr>
          <w:rFonts w:hint="eastAsia" w:ascii="宋体" w:hAnsi="宋体" w:eastAsia="宋体" w:cs="宋体"/>
          <w:sz w:val="24"/>
        </w:rPr>
        <w:t xml:space="preserve">总价金额与按单价汇总金额不一致的，以单价金额计算结果为准； </w:t>
      </w:r>
    </w:p>
    <w:p w14:paraId="7F871692">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E</w:t>
      </w:r>
      <w:r>
        <w:rPr>
          <w:rFonts w:hint="eastAsia" w:ascii="宋体" w:hAnsi="宋体" w:cs="宋体"/>
          <w:sz w:val="24"/>
          <w:lang w:eastAsia="zh-CN"/>
        </w:rPr>
        <w:t>.</w:t>
      </w:r>
      <w:r>
        <w:rPr>
          <w:rFonts w:hint="eastAsia" w:ascii="宋体" w:hAnsi="宋体" w:eastAsia="宋体" w:cs="宋体"/>
          <w:sz w:val="24"/>
        </w:rPr>
        <w:t>响应文件正本与副本不一致的，以正本为准；</w:t>
      </w:r>
    </w:p>
    <w:p w14:paraId="3BF30AEC">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F</w:t>
      </w:r>
      <w:r>
        <w:rPr>
          <w:rFonts w:hint="eastAsia" w:ascii="宋体" w:hAnsi="宋体" w:cs="宋体"/>
          <w:sz w:val="24"/>
          <w:lang w:eastAsia="zh-CN"/>
        </w:rPr>
        <w:t>.</w:t>
      </w:r>
      <w:r>
        <w:rPr>
          <w:rFonts w:hint="eastAsia" w:ascii="宋体" w:hAnsi="宋体" w:eastAsia="宋体" w:cs="宋体"/>
          <w:sz w:val="24"/>
        </w:rPr>
        <w:t>多处内容交叉不符时，以磋商小组评审结果为准；</w:t>
      </w:r>
    </w:p>
    <w:p w14:paraId="2A3047E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sz w:val="24"/>
          <w:u w:val="none"/>
        </w:rPr>
      </w:pPr>
      <w:r>
        <w:rPr>
          <w:rFonts w:hint="eastAsia" w:ascii="宋体" w:hAnsi="宋体" w:eastAsia="宋体" w:cs="宋体"/>
          <w:sz w:val="24"/>
          <w:u w:val="none"/>
        </w:rPr>
        <w:t xml:space="preserve"> G</w:t>
      </w:r>
      <w:r>
        <w:rPr>
          <w:rFonts w:hint="eastAsia" w:ascii="宋体" w:hAnsi="宋体" w:cs="宋体"/>
          <w:sz w:val="24"/>
          <w:u w:val="none"/>
          <w:lang w:eastAsia="zh-CN"/>
        </w:rPr>
        <w:t>.</w:t>
      </w:r>
      <w:r>
        <w:rPr>
          <w:rFonts w:hint="eastAsia" w:ascii="宋体" w:hAnsi="宋体" w:eastAsia="宋体" w:cs="宋体"/>
          <w:sz w:val="24"/>
          <w:u w:val="none"/>
        </w:rPr>
        <w:t>文字与图表不符的，以文字为准。</w:t>
      </w:r>
    </w:p>
    <w:p w14:paraId="5283C14D">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349C8FCB">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（5）磋商开始后，直到向成交供应商授予合同为止，凡审查、澄清、评价和比较磋商的有关资料，磋商小组成员均不得向供应商及与磋商无关的其他人透露。</w:t>
      </w:r>
    </w:p>
    <w:p w14:paraId="7141044C">
      <w:pPr>
        <w:pageBreakBefore w:val="0"/>
        <w:kinsoku w:val="0"/>
        <w:wordWrap/>
        <w:topLinePunct w:val="0"/>
        <w:autoSpaceDE/>
        <w:autoSpaceDN/>
        <w:bidi w:val="0"/>
        <w:spacing w:line="460" w:lineRule="exact"/>
        <w:ind w:right="0" w:rightChars="0"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4.</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6586EAC9">
      <w:pPr>
        <w:pageBreakBefore w:val="0"/>
        <w:wordWrap/>
        <w:topLinePunct w:val="0"/>
        <w:autoSpaceDE/>
        <w:autoSpaceDN/>
        <w:bidi w:val="0"/>
        <w:spacing w:line="460" w:lineRule="exact"/>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3D0936D3">
      <w:pPr>
        <w:pageBreakBefore w:val="0"/>
        <w:widowControl/>
        <w:wordWrap/>
        <w:topLinePunct w:val="0"/>
        <w:autoSpaceDE/>
        <w:autoSpaceDN/>
        <w:bidi w:val="0"/>
        <w:spacing w:line="460" w:lineRule="exact"/>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2791F1CD">
      <w:pPr>
        <w:pageBreakBefore w:val="0"/>
        <w:widowControl/>
        <w:wordWrap/>
        <w:topLinePunct w:val="0"/>
        <w:autoSpaceDE/>
        <w:autoSpaceDN/>
        <w:bidi w:val="0"/>
        <w:spacing w:line="460" w:lineRule="exact"/>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1D381D77">
      <w:pPr>
        <w:pageBreakBefore w:val="0"/>
        <w:widowControl/>
        <w:wordWrap/>
        <w:topLinePunct w:val="0"/>
        <w:autoSpaceDE/>
        <w:autoSpaceDN/>
        <w:bidi w:val="0"/>
        <w:spacing w:line="460" w:lineRule="exact"/>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4E26E3DF">
      <w:pPr>
        <w:pageBreakBefore w:val="0"/>
        <w:widowControl/>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p>
    <w:p w14:paraId="2BFDD2F8">
      <w:pPr>
        <w:pStyle w:val="5"/>
        <w:keepNext w:val="0"/>
        <w:keepLines w:val="0"/>
        <w:pageBreakBefore w:val="0"/>
        <w:wordWrap/>
        <w:topLinePunct w:val="0"/>
        <w:autoSpaceDE/>
        <w:autoSpaceDN/>
        <w:bidi w:val="0"/>
        <w:spacing w:line="460" w:lineRule="exact"/>
        <w:ind w:right="0" w:rightChars="0" w:firstLine="482"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澄清</w:t>
      </w:r>
    </w:p>
    <w:p w14:paraId="7BEF81A8">
      <w:pPr>
        <w:pageBreakBefore w:val="0"/>
        <w:widowControl/>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8C3C06">
      <w:pPr>
        <w:pageBreakBefore w:val="0"/>
        <w:widowControl/>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color w:val="FF0000"/>
          <w:sz w:val="24"/>
        </w:rPr>
      </w:pPr>
      <w:r>
        <w:rPr>
          <w:rFonts w:hint="eastAsia" w:ascii="宋体" w:hAnsi="宋体" w:eastAsia="宋体" w:cs="宋体"/>
          <w:sz w:val="24"/>
        </w:rPr>
        <w:t>（2）实质性内容包括但不限于：</w:t>
      </w:r>
      <w:r>
        <w:rPr>
          <w:rFonts w:hint="eastAsia" w:ascii="宋体" w:hAnsi="宋体" w:cs="宋体"/>
          <w:color w:val="000000" w:themeColor="text1"/>
          <w:sz w:val="24"/>
          <w:lang w:val="en-US" w:eastAsia="zh-CN"/>
          <w14:textFill>
            <w14:solidFill>
              <w14:schemeClr w14:val="tx1"/>
            </w14:solidFill>
          </w14:textFill>
        </w:rPr>
        <w:t>工期</w:t>
      </w:r>
      <w:r>
        <w:rPr>
          <w:rFonts w:hint="eastAsia" w:ascii="宋体" w:hAnsi="宋体" w:eastAsia="宋体" w:cs="宋体"/>
          <w:color w:val="000000" w:themeColor="text1"/>
          <w:sz w:val="24"/>
          <w14:textFill>
            <w14:solidFill>
              <w14:schemeClr w14:val="tx1"/>
            </w14:solidFill>
          </w14:textFill>
        </w:rPr>
        <w:t>、付款方式、</w:t>
      </w:r>
      <w:r>
        <w:rPr>
          <w:rFonts w:hint="eastAsia" w:ascii="宋体" w:hAnsi="宋体" w:cs="宋体"/>
          <w:color w:val="000000" w:themeColor="text1"/>
          <w:sz w:val="24"/>
          <w:lang w:val="en-US" w:eastAsia="zh-CN"/>
          <w14:textFill>
            <w14:solidFill>
              <w14:schemeClr w14:val="tx1"/>
            </w14:solidFill>
          </w14:textFill>
        </w:rPr>
        <w:t>安全指标、</w:t>
      </w:r>
      <w:r>
        <w:rPr>
          <w:rFonts w:hint="eastAsia" w:ascii="宋体" w:hAnsi="宋体" w:eastAsia="宋体" w:cs="宋体"/>
          <w:color w:val="000000" w:themeColor="text1"/>
          <w:sz w:val="24"/>
          <w14:textFill>
            <w14:solidFill>
              <w14:schemeClr w14:val="tx1"/>
            </w14:solidFill>
          </w14:textFill>
        </w:rPr>
        <w:t>质量指标、主要技术指标等。</w:t>
      </w:r>
    </w:p>
    <w:p w14:paraId="2071557A">
      <w:pPr>
        <w:pageBreakBefore w:val="0"/>
        <w:widowControl/>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（3）磋商小组要求供应商澄清、说明或者更正响应文件应当以书面形式作出，并由其法定代表人或被授权人签字。</w:t>
      </w:r>
    </w:p>
    <w:p w14:paraId="6D5ABEC2">
      <w:pPr>
        <w:pageBreakBefore w:val="0"/>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117"/>
    <w:p w14:paraId="08B7A71E">
      <w:pPr>
        <w:pStyle w:val="5"/>
        <w:keepNext w:val="0"/>
        <w:keepLines w:val="0"/>
        <w:pageBreakBefore w:val="0"/>
        <w:wordWrap/>
        <w:topLinePunct w:val="0"/>
        <w:autoSpaceDE/>
        <w:autoSpaceDN/>
        <w:bidi w:val="0"/>
        <w:spacing w:line="460" w:lineRule="exact"/>
        <w:ind w:right="0" w:rightChars="0" w:firstLine="482" w:firstLineChars="200"/>
        <w:textAlignment w:val="auto"/>
        <w:rPr>
          <w:rFonts w:hint="eastAsia" w:ascii="宋体" w:hAnsi="宋体" w:eastAsia="宋体" w:cs="宋体"/>
          <w:sz w:val="24"/>
          <w:szCs w:val="24"/>
        </w:rPr>
      </w:pPr>
      <w:bookmarkStart w:id="118" w:name="_Toc536202314"/>
      <w:bookmarkStart w:id="119" w:name="_Toc12947"/>
      <w:r>
        <w:rPr>
          <w:rFonts w:hint="eastAsia" w:ascii="宋体" w:hAnsi="宋体" w:cs="宋体"/>
          <w:sz w:val="24"/>
          <w:szCs w:val="24"/>
          <w:lang w:val="en-US" w:eastAsia="zh-CN"/>
        </w:rPr>
        <w:t>6.</w:t>
      </w:r>
      <w:r>
        <w:rPr>
          <w:rFonts w:hint="eastAsia" w:ascii="宋体" w:hAnsi="宋体" w:eastAsia="宋体" w:cs="宋体"/>
          <w:sz w:val="24"/>
          <w:szCs w:val="24"/>
        </w:rPr>
        <w:t>评审方法及内容</w:t>
      </w:r>
      <w:r>
        <w:rPr>
          <w:rFonts w:hint="eastAsia" w:ascii="宋体" w:hAnsi="宋体" w:eastAsia="宋体" w:cs="宋体"/>
          <w:sz w:val="24"/>
          <w:szCs w:val="24"/>
        </w:rPr>
        <w:tab/>
      </w:r>
    </w:p>
    <w:p w14:paraId="78CB0853">
      <w:pPr>
        <w:pageBreakBefore w:val="0"/>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（1）按照磋商文件规定的评审方法和标准，对资格性审查和符合性审查合格的响应文件进行商务和技术评审，综合比较和评价。</w:t>
      </w:r>
    </w:p>
    <w:p w14:paraId="358568E2">
      <w:pPr>
        <w:pageBreakBefore w:val="0"/>
        <w:wordWrap/>
        <w:topLinePunct w:val="0"/>
        <w:autoSpaceDE/>
        <w:autoSpaceDN/>
        <w:bidi w:val="0"/>
        <w:spacing w:line="460" w:lineRule="exact"/>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和最后报价都相同的，按照技术指标优劣顺序推荐。</w:t>
      </w:r>
    </w:p>
    <w:p w14:paraId="7624BD53">
      <w:pPr>
        <w:pageBreakBefore w:val="0"/>
        <w:wordWrap/>
        <w:topLinePunct w:val="0"/>
        <w:autoSpaceDE/>
        <w:autoSpaceDN/>
        <w:bidi w:val="0"/>
        <w:spacing w:line="460" w:lineRule="exact"/>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1801624E">
      <w:pPr>
        <w:pageBreakBefore w:val="0"/>
        <w:wordWrap/>
        <w:topLinePunct w:val="0"/>
        <w:autoSpaceDE/>
        <w:autoSpaceDN/>
        <w:bidi w:val="0"/>
        <w:spacing w:line="460" w:lineRule="exact"/>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磋商小组须对畸高、畸低的重大差异评分进行复核或书面说明理由。</w:t>
      </w:r>
    </w:p>
    <w:p w14:paraId="4C12573D">
      <w:pPr>
        <w:pStyle w:val="5"/>
        <w:pageBreakBefore w:val="0"/>
        <w:wordWrap/>
        <w:topLinePunct w:val="0"/>
        <w:autoSpaceDE/>
        <w:autoSpaceDN/>
        <w:bidi w:val="0"/>
        <w:spacing w:line="460" w:lineRule="exact"/>
        <w:ind w:right="0" w:rightChars="0" w:firstLine="482" w:firstLineChars="200"/>
        <w:textAlignment w:val="auto"/>
        <w:rPr>
          <w:rFonts w:hint="eastAsia" w:ascii="宋体" w:hAnsi="宋体" w:eastAsia="宋体" w:cs="宋体"/>
          <w:sz w:val="24"/>
          <w:szCs w:val="28"/>
        </w:rPr>
      </w:pPr>
      <w:r>
        <w:rPr>
          <w:rFonts w:hint="eastAsia" w:ascii="宋体" w:hAnsi="宋体" w:cs="宋体"/>
          <w:sz w:val="24"/>
          <w:szCs w:val="28"/>
          <w:lang w:val="en-US" w:eastAsia="zh-CN"/>
        </w:rPr>
        <w:t>7.</w:t>
      </w:r>
      <w:r>
        <w:rPr>
          <w:rFonts w:hint="eastAsia" w:ascii="宋体" w:hAnsi="宋体" w:eastAsia="宋体" w:cs="宋体"/>
          <w:sz w:val="24"/>
          <w:szCs w:val="28"/>
        </w:rPr>
        <w:t>定标</w:t>
      </w:r>
      <w:bookmarkEnd w:id="118"/>
      <w:bookmarkEnd w:id="119"/>
    </w:p>
    <w:p w14:paraId="4A218F9B">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7</w:t>
      </w:r>
      <w:r>
        <w:rPr>
          <w:rFonts w:hint="eastAsia" w:ascii="宋体" w:hAnsi="宋体" w:eastAsia="宋体" w:cs="宋体"/>
          <w:sz w:val="24"/>
          <w:szCs w:val="28"/>
        </w:rPr>
        <w:t>.1代理机构在评审结束后2个工作日内将评审报告送达采购单位，采购单位在收到评审报告后5个工作日内，按照评审报告中推荐的成交候选人顺序确认第一成交候选人为成交单位，同时书面复函代理机构；</w:t>
      </w:r>
    </w:p>
    <w:p w14:paraId="1C39CF47">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7</w:t>
      </w:r>
      <w:r>
        <w:rPr>
          <w:rFonts w:hint="eastAsia" w:ascii="宋体" w:hAnsi="宋体" w:eastAsia="宋体" w:cs="宋体"/>
          <w:sz w:val="24"/>
          <w:szCs w:val="28"/>
        </w:rPr>
        <w:t>.2代理机构收到采购单位“定标复函”后2日内，在财政部门指定的政府采购信息媒体上发布公告，并向成交供应商发出“成交通知书”。</w:t>
      </w:r>
    </w:p>
    <w:p w14:paraId="02EFC617">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1"/>
        <w:rPr>
          <w:rFonts w:hint="eastAsia" w:ascii="宋体" w:hAnsi="宋体" w:eastAsia="宋体" w:cs="宋体"/>
          <w:b/>
          <w:bCs/>
          <w:kern w:val="0"/>
          <w:sz w:val="32"/>
          <w:szCs w:val="32"/>
        </w:rPr>
      </w:pPr>
      <w:bookmarkStart w:id="120" w:name="_Toc536429324"/>
      <w:bookmarkStart w:id="121" w:name="_Toc536202384"/>
      <w:bookmarkStart w:id="122" w:name="_Toc11870"/>
      <w:bookmarkStart w:id="123" w:name="_Toc19972"/>
      <w:bookmarkStart w:id="124" w:name="_Toc536429377"/>
      <w:bookmarkStart w:id="125" w:name="_Toc19543341"/>
      <w:bookmarkStart w:id="126" w:name="_Toc25308"/>
      <w:bookmarkStart w:id="127" w:name="_Toc536202315"/>
      <w:r>
        <w:rPr>
          <w:rFonts w:hint="eastAsia" w:ascii="宋体" w:hAnsi="宋体" w:eastAsia="宋体" w:cs="宋体"/>
          <w:b/>
          <w:bCs/>
          <w:kern w:val="0"/>
          <w:sz w:val="32"/>
          <w:szCs w:val="32"/>
          <w:lang w:val="en-US" w:eastAsia="zh-CN" w:bidi="ar-SA"/>
        </w:rPr>
        <w:t>六、</w:t>
      </w:r>
      <w:r>
        <w:rPr>
          <w:rFonts w:hint="eastAsia" w:ascii="宋体" w:hAnsi="宋体" w:eastAsia="宋体" w:cs="宋体"/>
          <w:b/>
          <w:bCs/>
          <w:kern w:val="0"/>
          <w:sz w:val="32"/>
          <w:szCs w:val="32"/>
        </w:rPr>
        <w:t>签订合同</w:t>
      </w:r>
      <w:bookmarkEnd w:id="120"/>
      <w:bookmarkEnd w:id="121"/>
      <w:bookmarkEnd w:id="122"/>
      <w:bookmarkEnd w:id="123"/>
      <w:bookmarkEnd w:id="124"/>
      <w:bookmarkEnd w:id="125"/>
      <w:bookmarkEnd w:id="126"/>
      <w:bookmarkEnd w:id="127"/>
    </w:p>
    <w:p w14:paraId="73C7DA4F">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成交后，成交供应商在收到成交通知书后</w:t>
      </w:r>
      <w:r>
        <w:rPr>
          <w:rFonts w:hint="eastAsia" w:ascii="宋体" w:hAnsi="宋体" w:cs="宋体"/>
          <w:sz w:val="24"/>
          <w:lang w:val="en-US" w:eastAsia="zh-CN"/>
        </w:rPr>
        <w:t>二十五</w:t>
      </w:r>
      <w:r>
        <w:rPr>
          <w:rFonts w:hint="eastAsia" w:ascii="宋体" w:hAnsi="宋体" w:eastAsia="宋体" w:cs="宋体"/>
          <w:sz w:val="24"/>
        </w:rPr>
        <w:t>（</w:t>
      </w:r>
      <w:r>
        <w:rPr>
          <w:rFonts w:hint="eastAsia" w:ascii="宋体" w:hAnsi="宋体" w:cs="宋体"/>
          <w:sz w:val="24"/>
          <w:lang w:val="en-US" w:eastAsia="zh-CN"/>
        </w:rPr>
        <w:t>25</w:t>
      </w:r>
      <w:r>
        <w:rPr>
          <w:rFonts w:hint="eastAsia" w:ascii="宋体" w:hAnsi="宋体" w:eastAsia="宋体" w:cs="宋体"/>
          <w:sz w:val="24"/>
        </w:rPr>
        <w:t>）个日历日内，应按磋商文件的要求与采购人洽谈合同条款，并签订供货合同，同时送监督机构备案，磋商文件及成交供应商的响应文件均作为合同的组成部分；</w:t>
      </w:r>
    </w:p>
    <w:p w14:paraId="0ACF3044">
      <w:pPr>
        <w:pageBreakBefore w:val="0"/>
        <w:wordWrap/>
        <w:topLinePunct w:val="0"/>
        <w:autoSpaceDE/>
        <w:autoSpaceDN/>
        <w:bidi w:val="0"/>
        <w:spacing w:line="460" w:lineRule="exact"/>
        <w:ind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val="en-US" w:eastAsia="zh-CN"/>
        </w:rPr>
        <w:t>.</w:t>
      </w:r>
      <w:r>
        <w:rPr>
          <w:rFonts w:hint="eastAsia" w:ascii="宋体" w:hAnsi="宋体" w:eastAsia="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6F9356DF">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cs="宋体"/>
          <w:sz w:val="24"/>
          <w:lang w:val="en-US" w:eastAsia="zh-CN"/>
        </w:rPr>
        <w:t>.</w:t>
      </w:r>
      <w:r>
        <w:rPr>
          <w:rFonts w:hint="eastAsia" w:ascii="宋体" w:hAnsi="宋体" w:eastAsia="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38B981B0">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cs="宋体"/>
          <w:sz w:val="24"/>
          <w:lang w:val="en-US" w:eastAsia="zh-CN"/>
        </w:rPr>
        <w:t>.</w:t>
      </w:r>
      <w:r>
        <w:rPr>
          <w:rFonts w:hint="eastAsia" w:ascii="宋体" w:hAnsi="宋体" w:eastAsia="宋体" w:cs="宋体"/>
          <w:sz w:val="24"/>
          <w:lang w:val="en-US" w:eastAsia="zh-CN"/>
        </w:rPr>
        <w:t>政府采购合同在执行过程中，确需修改、变更时，应当按照相应的审核批准程序办理。</w:t>
      </w:r>
    </w:p>
    <w:p w14:paraId="08382B78">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cs="宋体"/>
          <w:sz w:val="24"/>
          <w:lang w:val="en-US" w:eastAsia="zh-CN"/>
        </w:rPr>
        <w:t>.</w:t>
      </w:r>
      <w:r>
        <w:rPr>
          <w:rFonts w:hint="eastAsia" w:ascii="宋体" w:hAnsi="宋体" w:eastAsia="宋体" w:cs="宋体"/>
          <w:sz w:val="24"/>
          <w:lang w:val="en-US" w:eastAsia="zh-CN"/>
        </w:rPr>
        <w:t>磋商文件、响应文件、澄清等为政府采购合同的组成部分，具有同等法律效力。</w:t>
      </w:r>
    </w:p>
    <w:p w14:paraId="3002CBFA">
      <w:pPr>
        <w:pageBreakBefore w:val="0"/>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color w:val="auto"/>
          <w:sz w:val="24"/>
          <w:lang w:val="en-US" w:eastAsia="zh-CN"/>
        </w:rPr>
      </w:pPr>
      <w:bookmarkStart w:id="128" w:name="_Toc536202316"/>
      <w:bookmarkStart w:id="129" w:name="_Toc536429325"/>
      <w:bookmarkStart w:id="130" w:name="_Toc32237"/>
      <w:bookmarkStart w:id="131" w:name="_Toc536202385"/>
      <w:bookmarkStart w:id="132" w:name="_Toc26132"/>
      <w:bookmarkStart w:id="133" w:name="_Toc536429378"/>
      <w:bookmarkStart w:id="134" w:name="_Toc28110"/>
      <w:r>
        <w:rPr>
          <w:rFonts w:hint="eastAsia" w:ascii="宋体" w:hAnsi="宋体" w:eastAsia="宋体" w:cs="宋体"/>
          <w:sz w:val="24"/>
          <w:lang w:val="en-US" w:eastAsia="zh-CN"/>
        </w:rPr>
        <w:t>6</w:t>
      </w:r>
      <w:r>
        <w:rPr>
          <w:rFonts w:hint="eastAsia" w:ascii="宋体" w:hAnsi="宋体" w:cs="宋体"/>
          <w:sz w:val="24"/>
          <w:lang w:val="en-US" w:eastAsia="zh-CN"/>
        </w:rPr>
        <w:t>.</w:t>
      </w:r>
      <w:r>
        <w:rPr>
          <w:rFonts w:hint="eastAsia" w:ascii="宋体" w:hAnsi="宋体" w:eastAsia="宋体" w:cs="宋体"/>
          <w:sz w:val="24"/>
          <w:lang w:val="en-US" w:eastAsia="zh-CN"/>
        </w:rPr>
        <w:t>政府采购管理部门在合同履行期间以及履行期后，可以随时检查项目的执行情况，对采购标准、采购内容进</w:t>
      </w:r>
      <w:r>
        <w:rPr>
          <w:rFonts w:hint="eastAsia" w:ascii="宋体" w:hAnsi="宋体" w:eastAsia="宋体" w:cs="宋体"/>
          <w:color w:val="auto"/>
          <w:sz w:val="24"/>
          <w:lang w:val="en-US" w:eastAsia="zh-CN"/>
        </w:rPr>
        <w:t>行调查核实，并对发现的问题进行处理。</w:t>
      </w:r>
    </w:p>
    <w:p w14:paraId="379ACD6B">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eastAsia="宋体" w:cs="宋体"/>
          <w:b/>
          <w:bCs/>
          <w:color w:val="auto"/>
          <w:kern w:val="0"/>
          <w:sz w:val="32"/>
          <w:szCs w:val="32"/>
        </w:rPr>
      </w:pPr>
      <w:bookmarkStart w:id="135" w:name="_Toc19543342"/>
      <w:r>
        <w:rPr>
          <w:rFonts w:hint="eastAsia" w:ascii="宋体" w:hAnsi="宋体" w:eastAsia="宋体" w:cs="宋体"/>
          <w:b/>
          <w:bCs/>
          <w:color w:val="auto"/>
          <w:kern w:val="0"/>
          <w:sz w:val="32"/>
          <w:szCs w:val="32"/>
          <w:lang w:val="en-US" w:eastAsia="zh-CN" w:bidi="ar-SA"/>
        </w:rPr>
        <w:t>七、</w:t>
      </w:r>
      <w:r>
        <w:rPr>
          <w:rFonts w:hint="eastAsia" w:ascii="宋体" w:hAnsi="宋体" w:eastAsia="宋体" w:cs="宋体"/>
          <w:b/>
          <w:bCs/>
          <w:color w:val="auto"/>
          <w:kern w:val="0"/>
          <w:sz w:val="32"/>
          <w:szCs w:val="32"/>
        </w:rPr>
        <w:t>代理服务费</w:t>
      </w:r>
      <w:bookmarkEnd w:id="128"/>
      <w:bookmarkEnd w:id="129"/>
      <w:bookmarkEnd w:id="130"/>
      <w:bookmarkEnd w:id="131"/>
      <w:bookmarkEnd w:id="132"/>
      <w:bookmarkEnd w:id="133"/>
      <w:bookmarkEnd w:id="134"/>
      <w:bookmarkEnd w:id="135"/>
    </w:p>
    <w:p w14:paraId="2689114D">
      <w:pPr>
        <w:pageBreakBefore w:val="0"/>
        <w:widowControl/>
        <w:numPr>
          <w:ilvl w:val="0"/>
          <w:numId w:val="0"/>
        </w:numPr>
        <w:wordWrap/>
        <w:topLinePunct w:val="0"/>
        <w:autoSpaceDE/>
        <w:autoSpaceDN/>
        <w:bidi w:val="0"/>
        <w:spacing w:line="480" w:lineRule="exact"/>
        <w:ind w:firstLine="480" w:firstLineChars="20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w:t>
      </w:r>
      <w:r>
        <w:rPr>
          <w:rFonts w:hint="eastAsia" w:ascii="宋体" w:hAnsi="宋体" w:eastAsia="宋体" w:cs="宋体"/>
          <w:color w:val="auto"/>
          <w:sz w:val="24"/>
          <w:szCs w:val="24"/>
        </w:rPr>
        <w:t>参照国家计委颁发的《招标代理服务收费管理暂行办法》（计价格</w:t>
      </w:r>
      <w:r>
        <w:rPr>
          <w:rFonts w:hint="eastAsia" w:ascii="宋体" w:hAnsi="宋体" w:cs="宋体"/>
          <w:color w:val="auto"/>
          <w:sz w:val="24"/>
          <w:szCs w:val="24"/>
          <w:lang w:eastAsia="zh-CN"/>
        </w:rPr>
        <w:t>〔2002〕1980号</w:t>
      </w:r>
      <w:r>
        <w:rPr>
          <w:rFonts w:hint="eastAsia" w:ascii="宋体" w:hAnsi="宋体" w:eastAsia="宋体" w:cs="宋体"/>
          <w:color w:val="auto"/>
          <w:sz w:val="24"/>
          <w:szCs w:val="24"/>
        </w:rPr>
        <w:t>）和</w:t>
      </w:r>
      <w:r>
        <w:rPr>
          <w:rFonts w:hint="eastAsia" w:ascii="宋体" w:hAnsi="宋体" w:cs="宋体"/>
          <w:color w:val="auto"/>
          <w:sz w:val="24"/>
          <w:szCs w:val="24"/>
          <w:lang w:eastAsia="zh-CN"/>
        </w:rPr>
        <w:t>国家发展和改革委员会</w:t>
      </w:r>
      <w:r>
        <w:rPr>
          <w:rFonts w:hint="eastAsia" w:ascii="宋体" w:hAnsi="宋体" w:eastAsia="宋体" w:cs="宋体"/>
          <w:color w:val="auto"/>
          <w:sz w:val="24"/>
          <w:szCs w:val="24"/>
        </w:rPr>
        <w:t>办公厅颁发的《关于招标代理服务收费有关问题的通知》（发改办价格</w:t>
      </w:r>
      <w:r>
        <w:rPr>
          <w:rFonts w:hint="eastAsia" w:ascii="宋体" w:hAnsi="宋体" w:cs="宋体"/>
          <w:color w:val="auto"/>
          <w:sz w:val="24"/>
          <w:szCs w:val="24"/>
          <w:lang w:eastAsia="zh-CN"/>
        </w:rPr>
        <w:t>〔2003〕857号</w:t>
      </w:r>
      <w:r>
        <w:rPr>
          <w:rFonts w:hint="eastAsia" w:ascii="宋体" w:hAnsi="宋体" w:eastAsia="宋体" w:cs="宋体"/>
          <w:color w:val="auto"/>
          <w:sz w:val="24"/>
          <w:szCs w:val="24"/>
        </w:rPr>
        <w:t>）的标准收取</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rPr>
        <w:t xml:space="preserve">（采购代理机构开户名称：安康尚昊招标代理有限公司  开户行名称：中国建设银行股份有限公司安康分行营业部  </w:t>
      </w:r>
      <w:r>
        <w:rPr>
          <w:rFonts w:hint="eastAsia" w:ascii="宋体" w:hAnsi="宋体" w:eastAsia="宋体" w:cs="宋体"/>
          <w:color w:val="auto"/>
          <w:sz w:val="24"/>
          <w:szCs w:val="24"/>
          <w:lang w:eastAsia="zh-CN"/>
        </w:rPr>
        <w:t>账号</w:t>
      </w:r>
      <w:r>
        <w:rPr>
          <w:rFonts w:hint="eastAsia" w:ascii="宋体" w:hAnsi="宋体" w:eastAsia="宋体" w:cs="宋体"/>
          <w:color w:val="auto"/>
          <w:sz w:val="24"/>
          <w:szCs w:val="24"/>
        </w:rPr>
        <w:t>：61050166371100000492）</w:t>
      </w:r>
    </w:p>
    <w:p w14:paraId="4E2AF6CF">
      <w:pPr>
        <w:pageBreakBefore w:val="0"/>
        <w:widowControl/>
        <w:numPr>
          <w:ilvl w:val="0"/>
          <w:numId w:val="0"/>
        </w:numPr>
        <w:wordWrap/>
        <w:topLinePunct w:val="0"/>
        <w:autoSpaceDE/>
        <w:autoSpaceDN/>
        <w:bidi w:val="0"/>
        <w:spacing w:line="480" w:lineRule="exact"/>
        <w:ind w:firstLine="480" w:firstLineChars="200"/>
        <w:jc w:val="both"/>
        <w:textAlignment w:val="auto"/>
        <w:outlineLvl w:val="1"/>
        <w:rPr>
          <w:rFonts w:hint="eastAsia" w:ascii="宋体" w:hAnsi="宋体" w:eastAsia="宋体" w:cs="宋体"/>
          <w:color w:val="auto"/>
          <w:sz w:val="24"/>
          <w:szCs w:val="24"/>
        </w:rPr>
      </w:pPr>
      <w:bookmarkStart w:id="136" w:name="_Toc17012"/>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成交单位在领取成交通知书前，须向采购代理机构一次性支付招标代理服务费；代理服务费以转账、电汇或现金等形式交纳。</w:t>
      </w:r>
      <w:bookmarkEnd w:id="136"/>
    </w:p>
    <w:p w14:paraId="7F6C9E7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1"/>
        <w:rPr>
          <w:rFonts w:hint="eastAsia" w:ascii="宋体" w:hAnsi="宋体" w:eastAsia="宋体" w:cs="宋体"/>
          <w:b/>
          <w:bCs/>
          <w:kern w:val="0"/>
          <w:sz w:val="32"/>
          <w:szCs w:val="32"/>
        </w:rPr>
      </w:pPr>
      <w:bookmarkStart w:id="137" w:name="_Toc11491"/>
      <w:bookmarkStart w:id="138" w:name="_Toc536202317"/>
      <w:bookmarkStart w:id="139" w:name="_Toc536429326"/>
      <w:bookmarkStart w:id="140" w:name="_Toc19543343"/>
      <w:bookmarkStart w:id="141" w:name="_Toc536202386"/>
      <w:bookmarkStart w:id="142" w:name="_Toc536429379"/>
      <w:bookmarkStart w:id="143" w:name="_Toc664"/>
      <w:r>
        <w:rPr>
          <w:rFonts w:hint="eastAsia" w:ascii="宋体" w:hAnsi="宋体" w:eastAsia="宋体" w:cs="宋体"/>
          <w:b/>
          <w:bCs/>
          <w:kern w:val="0"/>
          <w:sz w:val="32"/>
          <w:szCs w:val="32"/>
          <w:lang w:val="en-US" w:eastAsia="zh-CN" w:bidi="ar-SA"/>
        </w:rPr>
        <w:t>八、</w:t>
      </w:r>
      <w:r>
        <w:rPr>
          <w:rFonts w:hint="eastAsia" w:ascii="宋体" w:hAnsi="宋体" w:eastAsia="宋体" w:cs="宋体"/>
          <w:b/>
          <w:bCs/>
          <w:kern w:val="0"/>
          <w:sz w:val="32"/>
          <w:szCs w:val="32"/>
        </w:rPr>
        <w:t>质疑和投诉</w:t>
      </w:r>
      <w:bookmarkEnd w:id="137"/>
      <w:bookmarkEnd w:id="138"/>
      <w:bookmarkEnd w:id="139"/>
      <w:bookmarkEnd w:id="140"/>
      <w:bookmarkEnd w:id="141"/>
      <w:bookmarkEnd w:id="142"/>
      <w:bookmarkEnd w:id="143"/>
    </w:p>
    <w:p w14:paraId="05CACAA9">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质疑或投诉的接收和处理应当按照《中华人民共和国政府采购法》及其实施条例、《政府采购质疑和投诉办法</w:t>
      </w:r>
      <w:r>
        <w:rPr>
          <w:rFonts w:hint="eastAsia" w:ascii="宋体" w:hAnsi="宋体" w:cs="宋体"/>
          <w:sz w:val="24"/>
          <w:szCs w:val="28"/>
          <w:lang w:eastAsia="zh-CN"/>
        </w:rPr>
        <w:t>》《</w:t>
      </w:r>
      <w:r>
        <w:rPr>
          <w:rFonts w:hint="eastAsia" w:ascii="宋体" w:hAnsi="宋体" w:eastAsia="宋体" w:cs="宋体"/>
          <w:sz w:val="24"/>
          <w:szCs w:val="28"/>
        </w:rPr>
        <w:t>财政部关于加强政府采购供应商投诉受理审查工作的通知》等的相关规定办理。</w:t>
      </w:r>
    </w:p>
    <w:p w14:paraId="684E2EE9">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val="en-US" w:eastAsia="zh-CN"/>
        </w:rPr>
        <w:t>.</w:t>
      </w:r>
      <w:r>
        <w:rPr>
          <w:rFonts w:hint="eastAsia" w:ascii="宋体" w:hAnsi="宋体" w:eastAsia="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3E0A92B3">
      <w:pPr>
        <w:pageBreakBefore w:val="0"/>
        <w:wordWrap/>
        <w:topLinePunct w:val="0"/>
        <w:autoSpaceDE/>
        <w:autoSpaceDN/>
        <w:bidi w:val="0"/>
        <w:spacing w:line="460" w:lineRule="exact"/>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（1）对采购文件提出质疑的，为收到采购文件之日或者采购文件公告期限届满之日；</w:t>
      </w:r>
    </w:p>
    <w:p w14:paraId="482C5046">
      <w:pPr>
        <w:pageBreakBefore w:val="0"/>
        <w:wordWrap/>
        <w:topLinePunct w:val="0"/>
        <w:autoSpaceDE/>
        <w:autoSpaceDN/>
        <w:bidi w:val="0"/>
        <w:spacing w:line="460" w:lineRule="exact"/>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（2）对采购过程提出质疑的，为各采购程序环节结束之日；</w:t>
      </w:r>
    </w:p>
    <w:p w14:paraId="63D04A79">
      <w:pPr>
        <w:pageBreakBefore w:val="0"/>
        <w:wordWrap/>
        <w:topLinePunct w:val="0"/>
        <w:autoSpaceDE/>
        <w:autoSpaceDN/>
        <w:bidi w:val="0"/>
        <w:spacing w:line="460" w:lineRule="exact"/>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（3）对中标或者成交结果提出质疑的，为中标或者成交结果公告期限届满之日。</w:t>
      </w:r>
    </w:p>
    <w:p w14:paraId="471EC913">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val="en-US" w:eastAsia="zh-CN"/>
        </w:rPr>
        <w:t>.</w:t>
      </w:r>
      <w:r>
        <w:rPr>
          <w:rFonts w:hint="eastAsia" w:ascii="宋体" w:hAnsi="宋体" w:eastAsia="宋体" w:cs="宋体"/>
          <w:sz w:val="24"/>
          <w:szCs w:val="28"/>
        </w:rPr>
        <w:t>供应商应当在法定质疑期内一次性提出针对同一采购程序环节的质疑。</w:t>
      </w:r>
    </w:p>
    <w:p w14:paraId="6423D2FB">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w:t>
      </w:r>
      <w:r>
        <w:rPr>
          <w:rFonts w:hint="eastAsia" w:ascii="宋体" w:hAnsi="宋体" w:cs="宋体"/>
          <w:sz w:val="24"/>
          <w:szCs w:val="28"/>
          <w:lang w:val="en-US" w:eastAsia="zh-CN"/>
        </w:rPr>
        <w:t>.</w:t>
      </w:r>
      <w:r>
        <w:rPr>
          <w:rFonts w:hint="eastAsia" w:ascii="宋体" w:hAnsi="宋体" w:eastAsia="宋体" w:cs="宋体"/>
          <w:sz w:val="24"/>
          <w:szCs w:val="28"/>
        </w:rPr>
        <w:t>质疑函应当包括下列主要内容：</w:t>
      </w:r>
    </w:p>
    <w:p w14:paraId="056D0D47">
      <w:pPr>
        <w:pageBreakBefore w:val="0"/>
        <w:wordWrap/>
        <w:topLinePunct w:val="0"/>
        <w:autoSpaceDE/>
        <w:autoSpaceDN/>
        <w:bidi w:val="0"/>
        <w:spacing w:line="460" w:lineRule="exact"/>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（1）供应商的姓名或者名称、地址、邮编、联系人及联系电话；</w:t>
      </w:r>
    </w:p>
    <w:p w14:paraId="3A90A5CD">
      <w:pPr>
        <w:pageBreakBefore w:val="0"/>
        <w:wordWrap/>
        <w:topLinePunct w:val="0"/>
        <w:autoSpaceDE/>
        <w:autoSpaceDN/>
        <w:bidi w:val="0"/>
        <w:spacing w:line="460" w:lineRule="exact"/>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（2）质疑项目的名称、编号；</w:t>
      </w:r>
    </w:p>
    <w:p w14:paraId="56DB876D">
      <w:pPr>
        <w:pageBreakBefore w:val="0"/>
        <w:wordWrap/>
        <w:topLinePunct w:val="0"/>
        <w:autoSpaceDE/>
        <w:autoSpaceDN/>
        <w:bidi w:val="0"/>
        <w:spacing w:line="460" w:lineRule="exact"/>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（3）具体、明确的质疑事项和与质疑事项相关的请求；</w:t>
      </w:r>
    </w:p>
    <w:p w14:paraId="1DFC6E73">
      <w:pPr>
        <w:pageBreakBefore w:val="0"/>
        <w:wordWrap/>
        <w:topLinePunct w:val="0"/>
        <w:autoSpaceDE/>
        <w:autoSpaceDN/>
        <w:bidi w:val="0"/>
        <w:spacing w:line="460" w:lineRule="exact"/>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（4）事实依据；</w:t>
      </w:r>
    </w:p>
    <w:p w14:paraId="7030643A">
      <w:pPr>
        <w:pageBreakBefore w:val="0"/>
        <w:wordWrap/>
        <w:topLinePunct w:val="0"/>
        <w:autoSpaceDE/>
        <w:autoSpaceDN/>
        <w:bidi w:val="0"/>
        <w:spacing w:line="460" w:lineRule="exact"/>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（5）必要的法律依据；</w:t>
      </w:r>
    </w:p>
    <w:p w14:paraId="1807D10A">
      <w:pPr>
        <w:pageBreakBefore w:val="0"/>
        <w:wordWrap/>
        <w:topLinePunct w:val="0"/>
        <w:autoSpaceDE/>
        <w:autoSpaceDN/>
        <w:bidi w:val="0"/>
        <w:spacing w:line="460" w:lineRule="exact"/>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（6）提出质疑的日期。</w:t>
      </w:r>
    </w:p>
    <w:p w14:paraId="4CFACBBB">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w:t>
      </w:r>
      <w:r>
        <w:rPr>
          <w:rFonts w:hint="eastAsia" w:ascii="宋体" w:hAnsi="宋体" w:cs="宋体"/>
          <w:sz w:val="24"/>
          <w:szCs w:val="28"/>
          <w:lang w:val="en-US" w:eastAsia="zh-CN"/>
        </w:rPr>
        <w:t>.</w:t>
      </w:r>
      <w:r>
        <w:rPr>
          <w:rFonts w:hint="eastAsia" w:ascii="宋体" w:hAnsi="宋体" w:eastAsia="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404DB69F">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5</w:t>
      </w:r>
      <w:r>
        <w:rPr>
          <w:rFonts w:hint="eastAsia" w:ascii="宋体" w:hAnsi="宋体" w:cs="宋体"/>
          <w:sz w:val="24"/>
          <w:szCs w:val="28"/>
          <w:lang w:val="en-US" w:eastAsia="zh-CN"/>
        </w:rPr>
        <w:t>.</w:t>
      </w:r>
      <w:r>
        <w:rPr>
          <w:rFonts w:hint="eastAsia" w:ascii="宋体" w:hAnsi="宋体" w:eastAsia="宋体" w:cs="宋体"/>
          <w:sz w:val="24"/>
          <w:szCs w:val="28"/>
        </w:rPr>
        <w:t>质疑函内容不得含有虚假、恶意</w:t>
      </w:r>
      <w:r>
        <w:rPr>
          <w:rFonts w:hint="eastAsia" w:ascii="宋体" w:hAnsi="宋体" w:cs="宋体"/>
          <w:sz w:val="24"/>
          <w:szCs w:val="28"/>
          <w:lang w:eastAsia="zh-CN"/>
        </w:rPr>
        <w:t>成分</w:t>
      </w:r>
      <w:r>
        <w:rPr>
          <w:rFonts w:hint="eastAsia" w:ascii="宋体" w:hAnsi="宋体" w:eastAsia="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cs="宋体"/>
          <w:sz w:val="24"/>
          <w:szCs w:val="28"/>
          <w:lang w:eastAsia="zh-CN"/>
        </w:rPr>
        <w:t>滥用职权</w:t>
      </w:r>
      <w:r>
        <w:rPr>
          <w:rFonts w:hint="eastAsia" w:ascii="宋体" w:hAnsi="宋体" w:eastAsia="宋体" w:cs="宋体"/>
          <w:sz w:val="24"/>
          <w:szCs w:val="28"/>
        </w:rPr>
        <w:t>扰乱采购秩序的恶意质疑者，采购人、采购代理机构应当依法驳回。</w:t>
      </w:r>
    </w:p>
    <w:p w14:paraId="12E0A189">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6</w:t>
      </w:r>
      <w:r>
        <w:rPr>
          <w:rFonts w:hint="eastAsia" w:ascii="宋体" w:hAnsi="宋体" w:cs="宋体"/>
          <w:sz w:val="24"/>
          <w:szCs w:val="28"/>
          <w:lang w:val="en-US" w:eastAsia="zh-CN"/>
        </w:rPr>
        <w:t>.</w:t>
      </w:r>
      <w:r>
        <w:rPr>
          <w:rFonts w:hint="eastAsia" w:ascii="宋体" w:hAnsi="宋体" w:eastAsia="宋体" w:cs="宋体"/>
          <w:sz w:val="24"/>
          <w:szCs w:val="28"/>
        </w:rPr>
        <w:t xml:space="preserve">质疑函接收方式：由自然人本人或法定代表人或者其授权代表携带书面原件及身份证明原件到现场递交，否则不予受理 。 </w:t>
      </w:r>
    </w:p>
    <w:p w14:paraId="48339186">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7</w:t>
      </w:r>
      <w:r>
        <w:rPr>
          <w:rFonts w:hint="eastAsia" w:ascii="宋体" w:hAnsi="宋体" w:cs="宋体"/>
          <w:sz w:val="24"/>
          <w:szCs w:val="28"/>
          <w:lang w:val="en-US" w:eastAsia="zh-CN"/>
        </w:rPr>
        <w:t>.</w:t>
      </w:r>
      <w:r>
        <w:rPr>
          <w:rFonts w:hint="eastAsia" w:ascii="宋体" w:hAnsi="宋体" w:eastAsia="宋体" w:cs="宋体"/>
          <w:sz w:val="24"/>
          <w:szCs w:val="28"/>
        </w:rPr>
        <w:t>质疑受理部门：安康尚昊招标代理有限公司</w:t>
      </w:r>
    </w:p>
    <w:p w14:paraId="1D71BBA1">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 xml:space="preserve">   质疑受理电话：15991480332</w:t>
      </w:r>
    </w:p>
    <w:p w14:paraId="745ACB9B">
      <w:pPr>
        <w:pageBreakBefore w:val="0"/>
        <w:wordWrap/>
        <w:topLinePunct w:val="0"/>
        <w:autoSpaceDE/>
        <w:autoSpaceDN/>
        <w:bidi w:val="0"/>
        <w:spacing w:line="460" w:lineRule="exact"/>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8</w:t>
      </w:r>
      <w:r>
        <w:rPr>
          <w:rFonts w:hint="eastAsia" w:ascii="宋体" w:hAnsi="宋体" w:cs="宋体"/>
          <w:sz w:val="24"/>
          <w:szCs w:val="28"/>
          <w:lang w:val="en-US" w:eastAsia="zh-CN"/>
        </w:rPr>
        <w:t>.</w:t>
      </w:r>
      <w:r>
        <w:rPr>
          <w:rFonts w:hint="eastAsia" w:ascii="宋体" w:hAnsi="宋体" w:eastAsia="宋体" w:cs="宋体"/>
          <w:sz w:val="24"/>
          <w:szCs w:val="28"/>
        </w:rPr>
        <w:t>提交质疑函地点：</w:t>
      </w:r>
      <w:r>
        <w:rPr>
          <w:rFonts w:hint="eastAsia" w:ascii="宋体" w:hAnsi="宋体" w:cs="宋体"/>
          <w:sz w:val="24"/>
          <w:szCs w:val="28"/>
          <w:lang w:eastAsia="zh-CN"/>
        </w:rPr>
        <w:t>安康市高新区高新观澜8栋二单元801室</w:t>
      </w:r>
    </w:p>
    <w:p w14:paraId="38F33C83">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9</w:t>
      </w:r>
      <w:r>
        <w:rPr>
          <w:rFonts w:hint="eastAsia" w:ascii="宋体" w:hAnsi="宋体" w:cs="宋体"/>
          <w:sz w:val="24"/>
          <w:szCs w:val="28"/>
          <w:lang w:val="en-US" w:eastAsia="zh-CN"/>
        </w:rPr>
        <w:t>.</w:t>
      </w:r>
      <w:r>
        <w:rPr>
          <w:rFonts w:hint="eastAsia" w:ascii="宋体" w:hAnsi="宋体" w:eastAsia="宋体" w:cs="宋体"/>
          <w:sz w:val="24"/>
          <w:szCs w:val="28"/>
        </w:rPr>
        <w:t>本次采购活动中，采购代理机构对质疑函回复的书面文件的送达方式为现场取件。</w:t>
      </w:r>
    </w:p>
    <w:p w14:paraId="6F892E3C">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如所质疑的问题比较复杂，采购人或者采购代理机构在规定的答复时间内无法回复，应事先告知提出质疑的供应商，同时向同级政府采购监督管理部门报告。</w:t>
      </w:r>
    </w:p>
    <w:p w14:paraId="4B675420">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10</w:t>
      </w:r>
      <w:r>
        <w:rPr>
          <w:rFonts w:hint="eastAsia" w:ascii="宋体" w:hAnsi="宋体" w:cs="宋体"/>
          <w:sz w:val="24"/>
          <w:szCs w:val="28"/>
          <w:lang w:val="en-US" w:eastAsia="zh-CN"/>
        </w:rPr>
        <w:t>.</w:t>
      </w:r>
      <w:r>
        <w:rPr>
          <w:rFonts w:hint="eastAsia" w:ascii="宋体" w:hAnsi="宋体" w:eastAsia="宋体" w:cs="宋体"/>
          <w:sz w:val="24"/>
          <w:szCs w:val="28"/>
        </w:rPr>
        <w:t>质疑供应商对采购人、采购代理机构的答复不满意，或者采购人、采购代理机构未在规定的时间内作出答复的，可以在答复期满后15个工作日内向采购人的同级政府采购监督管理部门投诉。</w:t>
      </w:r>
    </w:p>
    <w:p w14:paraId="4589010F">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w:t>
      </w:r>
      <w:r>
        <w:rPr>
          <w:rFonts w:hint="eastAsia" w:ascii="宋体" w:hAnsi="宋体" w:cs="宋体"/>
          <w:sz w:val="24"/>
          <w:szCs w:val="28"/>
          <w:lang w:val="en-US" w:eastAsia="zh-CN"/>
        </w:rPr>
        <w:t>.</w:t>
      </w:r>
      <w:r>
        <w:rPr>
          <w:rFonts w:hint="eastAsia" w:ascii="宋体" w:hAnsi="宋体" w:eastAsia="宋体" w:cs="宋体"/>
          <w:sz w:val="24"/>
          <w:szCs w:val="28"/>
        </w:rPr>
        <w:t>质疑函应当使用中文。</w:t>
      </w:r>
    </w:p>
    <w:p w14:paraId="3FBD3E9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1"/>
        <w:rPr>
          <w:rFonts w:hint="eastAsia" w:ascii="宋体" w:hAnsi="宋体" w:eastAsia="宋体" w:cs="宋体"/>
          <w:b/>
          <w:bCs/>
          <w:kern w:val="0"/>
          <w:sz w:val="32"/>
          <w:szCs w:val="32"/>
        </w:rPr>
      </w:pPr>
      <w:bookmarkStart w:id="144" w:name="_Toc536202387"/>
      <w:bookmarkStart w:id="145" w:name="_Toc536429327"/>
      <w:bookmarkStart w:id="146" w:name="_Toc536202318"/>
      <w:bookmarkStart w:id="147" w:name="_Toc19543344"/>
      <w:bookmarkStart w:id="148" w:name="_Toc536429380"/>
      <w:r>
        <w:rPr>
          <w:rFonts w:hint="eastAsia" w:ascii="宋体" w:hAnsi="宋体" w:eastAsia="宋体" w:cs="宋体"/>
          <w:b/>
          <w:bCs/>
          <w:kern w:val="0"/>
          <w:sz w:val="32"/>
          <w:szCs w:val="32"/>
          <w:lang w:val="en-US" w:eastAsia="zh-CN" w:bidi="ar-SA"/>
        </w:rPr>
        <w:t>九、</w:t>
      </w:r>
      <w:r>
        <w:rPr>
          <w:rFonts w:hint="eastAsia" w:ascii="宋体" w:hAnsi="宋体" w:eastAsia="宋体" w:cs="宋体"/>
          <w:b/>
          <w:bCs/>
          <w:kern w:val="0"/>
          <w:sz w:val="32"/>
          <w:szCs w:val="32"/>
        </w:rPr>
        <w:t>其他</w:t>
      </w:r>
      <w:bookmarkEnd w:id="144"/>
      <w:bookmarkEnd w:id="145"/>
      <w:bookmarkEnd w:id="146"/>
      <w:bookmarkEnd w:id="147"/>
      <w:bookmarkEnd w:id="148"/>
    </w:p>
    <w:p w14:paraId="19758BC8">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8"/>
        </w:rPr>
      </w:pPr>
      <w:bookmarkStart w:id="149" w:name="_Toc3298"/>
      <w:r>
        <w:rPr>
          <w:rFonts w:hint="eastAsia" w:ascii="宋体" w:hAnsi="宋体" w:eastAsia="宋体" w:cs="宋体"/>
          <w:sz w:val="24"/>
          <w:szCs w:val="28"/>
        </w:rPr>
        <w:t>1</w:t>
      </w:r>
      <w:r>
        <w:rPr>
          <w:rFonts w:hint="eastAsia" w:ascii="宋体" w:hAnsi="宋体" w:cs="宋体"/>
          <w:sz w:val="24"/>
          <w:szCs w:val="28"/>
          <w:lang w:val="en-US" w:eastAsia="zh-CN"/>
        </w:rPr>
        <w:t>.</w:t>
      </w:r>
      <w:r>
        <w:rPr>
          <w:rFonts w:hint="eastAsia" w:ascii="宋体" w:hAnsi="宋体" w:eastAsia="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4A787309">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（1）因情况变化，不再符合规定的竞争性磋商采购方式适用情形的；</w:t>
      </w:r>
    </w:p>
    <w:p w14:paraId="46649362">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（2）出现影响采购公正的违法、违规行为的；</w:t>
      </w:r>
    </w:p>
    <w:p w14:paraId="5679DC5B">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66731C34">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（4）因重大变故，采购任务取消的。</w:t>
      </w:r>
    </w:p>
    <w:p w14:paraId="5585A5D4">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val="en-US" w:eastAsia="zh-CN"/>
        </w:rPr>
        <w:t>.</w:t>
      </w:r>
      <w:r>
        <w:rPr>
          <w:rFonts w:hint="eastAsia" w:ascii="宋体" w:hAnsi="宋体" w:eastAsia="宋体" w:cs="宋体"/>
          <w:sz w:val="24"/>
          <w:szCs w:val="28"/>
        </w:rPr>
        <w:t>磋商失败后，除采购任务取消外，将重新组织采购</w:t>
      </w:r>
      <w:bookmarkEnd w:id="149"/>
      <w:bookmarkStart w:id="150" w:name="_Toc536202388"/>
      <w:bookmarkStart w:id="151" w:name="_Toc536429328"/>
      <w:bookmarkStart w:id="152" w:name="_Toc536429381"/>
      <w:bookmarkStart w:id="153" w:name="_Toc25345"/>
      <w:bookmarkStart w:id="154" w:name="_Toc536202319"/>
      <w:r>
        <w:rPr>
          <w:rFonts w:hint="eastAsia" w:ascii="宋体" w:hAnsi="宋体" w:eastAsia="宋体" w:cs="宋体"/>
          <w:sz w:val="24"/>
          <w:szCs w:val="28"/>
        </w:rPr>
        <w:t>。</w:t>
      </w:r>
      <w:bookmarkEnd w:id="150"/>
      <w:bookmarkEnd w:id="151"/>
      <w:bookmarkEnd w:id="152"/>
      <w:bookmarkEnd w:id="153"/>
      <w:bookmarkEnd w:id="154"/>
    </w:p>
    <w:p w14:paraId="42EF94E4">
      <w:pPr>
        <w:pageBreakBefore w:val="0"/>
        <w:widowControl/>
        <w:wordWrap/>
        <w:topLinePunct w:val="0"/>
        <w:autoSpaceDE/>
        <w:autoSpaceDN/>
        <w:bidi w:val="0"/>
        <w:spacing w:line="460" w:lineRule="exact"/>
        <w:ind w:left="0" w:leftChars="0" w:right="0" w:rightChars="0"/>
        <w:jc w:val="left"/>
        <w:textAlignment w:val="auto"/>
        <w:rPr>
          <w:rFonts w:hint="eastAsia" w:ascii="宋体" w:hAnsi="宋体" w:eastAsia="宋体" w:cs="宋体"/>
          <w:b/>
          <w:bCs/>
          <w:caps/>
          <w:color w:val="000000" w:themeColor="text1"/>
          <w:sz w:val="36"/>
          <w:szCs w:val="20"/>
          <w14:textFill>
            <w14:solidFill>
              <w14:schemeClr w14:val="tx1"/>
            </w14:solidFill>
          </w14:textFill>
        </w:rPr>
      </w:pPr>
      <w:bookmarkStart w:id="155" w:name="_Toc19543345"/>
      <w:r>
        <w:rPr>
          <w:rFonts w:hint="eastAsia" w:ascii="宋体" w:hAnsi="宋体" w:eastAsia="宋体" w:cs="宋体"/>
          <w:color w:val="000000" w:themeColor="text1"/>
          <w:sz w:val="36"/>
          <w14:textFill>
            <w14:solidFill>
              <w14:schemeClr w14:val="tx1"/>
            </w14:solidFill>
          </w14:textFill>
        </w:rPr>
        <w:br w:type="page"/>
      </w:r>
    </w:p>
    <w:p w14:paraId="258DC89F">
      <w:pPr>
        <w:pStyle w:val="24"/>
        <w:keepNext w:val="0"/>
        <w:keepLines w:val="0"/>
        <w:pageBreakBefore w:val="0"/>
        <w:widowControl w:val="0"/>
        <w:numPr>
          <w:ilvl w:val="0"/>
          <w:numId w:val="5"/>
        </w:numPr>
        <w:kinsoku/>
        <w:wordWrap/>
        <w:overflowPunct/>
        <w:topLinePunct w:val="0"/>
        <w:autoSpaceDE/>
        <w:autoSpaceDN/>
        <w:bidi w:val="0"/>
        <w:adjustRightInd/>
        <w:snapToGrid/>
        <w:spacing w:before="0" w:after="0" w:line="240" w:lineRule="auto"/>
        <w:jc w:val="center"/>
        <w:textAlignment w:val="auto"/>
        <w:outlineLvl w:val="0"/>
        <w:rPr>
          <w:color w:val="auto"/>
          <w:sz w:val="36"/>
        </w:rPr>
      </w:pPr>
      <w:r>
        <w:rPr>
          <w:rFonts w:hint="eastAsia"/>
          <w:color w:val="auto"/>
          <w:sz w:val="36"/>
        </w:rPr>
        <w:t xml:space="preserve"> </w:t>
      </w:r>
      <w:bookmarkStart w:id="156" w:name="_Toc7537"/>
      <w:r>
        <w:rPr>
          <w:rFonts w:hint="eastAsia"/>
          <w:color w:val="auto"/>
          <w:sz w:val="36"/>
        </w:rPr>
        <w:t>评分</w:t>
      </w:r>
      <w:r>
        <w:rPr>
          <w:color w:val="auto"/>
          <w:sz w:val="36"/>
        </w:rPr>
        <w:t>标准</w:t>
      </w:r>
      <w:bookmarkEnd w:id="155"/>
      <w:bookmarkEnd w:id="156"/>
      <w:bookmarkStart w:id="157" w:name="_Toc262"/>
    </w:p>
    <w:tbl>
      <w:tblPr>
        <w:tblStyle w:val="35"/>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708"/>
        <w:gridCol w:w="7205"/>
      </w:tblGrid>
      <w:tr w14:paraId="36CD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1C3F62D6">
            <w:pPr>
              <w:keepNext w:val="0"/>
              <w:keepLines w:val="0"/>
              <w:suppressLineNumbers w:val="0"/>
              <w:spacing w:before="0" w:beforeAutospacing="0" w:after="0" w:afterAutospacing="0"/>
              <w:ind w:left="0" w:right="0"/>
              <w:jc w:val="center"/>
              <w:rPr>
                <w:rFonts w:hint="default" w:ascii="仿宋" w:hAnsi="仿宋"/>
                <w:color w:val="auto"/>
                <w:sz w:val="24"/>
              </w:rPr>
            </w:pPr>
            <w:r>
              <w:rPr>
                <w:rFonts w:hint="eastAsia" w:ascii="仿宋" w:hAnsi="仿宋"/>
                <w:color w:val="auto"/>
                <w:sz w:val="24"/>
              </w:rPr>
              <w:t>序号</w:t>
            </w:r>
          </w:p>
        </w:tc>
        <w:tc>
          <w:tcPr>
            <w:tcW w:w="1276" w:type="dxa"/>
            <w:noWrap w:val="0"/>
            <w:vAlign w:val="top"/>
          </w:tcPr>
          <w:p w14:paraId="24E39192">
            <w:pPr>
              <w:keepNext w:val="0"/>
              <w:keepLines w:val="0"/>
              <w:suppressLineNumbers w:val="0"/>
              <w:spacing w:before="0" w:beforeAutospacing="0" w:after="0" w:afterAutospacing="0"/>
              <w:ind w:left="0" w:right="0"/>
              <w:jc w:val="center"/>
              <w:rPr>
                <w:rFonts w:hint="default" w:ascii="仿宋" w:hAnsi="仿宋"/>
                <w:color w:val="auto"/>
                <w:sz w:val="24"/>
              </w:rPr>
            </w:pPr>
            <w:r>
              <w:rPr>
                <w:rFonts w:hint="eastAsia" w:ascii="仿宋" w:hAnsi="仿宋"/>
                <w:color w:val="auto"/>
                <w:sz w:val="24"/>
              </w:rPr>
              <w:t>评分因素</w:t>
            </w:r>
          </w:p>
        </w:tc>
        <w:tc>
          <w:tcPr>
            <w:tcW w:w="708" w:type="dxa"/>
            <w:noWrap w:val="0"/>
            <w:vAlign w:val="top"/>
          </w:tcPr>
          <w:p w14:paraId="30906F36">
            <w:pPr>
              <w:keepNext w:val="0"/>
              <w:keepLines w:val="0"/>
              <w:suppressLineNumbers w:val="0"/>
              <w:spacing w:before="0" w:beforeAutospacing="0" w:after="0" w:afterAutospacing="0"/>
              <w:ind w:left="480" w:right="0" w:hanging="480" w:hangingChars="200"/>
              <w:jc w:val="center"/>
              <w:rPr>
                <w:rFonts w:hint="default" w:ascii="仿宋" w:hAnsi="仿宋"/>
                <w:color w:val="auto"/>
                <w:sz w:val="24"/>
              </w:rPr>
            </w:pPr>
            <w:r>
              <w:rPr>
                <w:rFonts w:hint="eastAsia" w:ascii="仿宋" w:hAnsi="仿宋"/>
                <w:color w:val="auto"/>
                <w:sz w:val="24"/>
              </w:rPr>
              <w:t>分值</w:t>
            </w:r>
          </w:p>
        </w:tc>
        <w:tc>
          <w:tcPr>
            <w:tcW w:w="7205" w:type="dxa"/>
            <w:noWrap w:val="0"/>
            <w:vAlign w:val="top"/>
          </w:tcPr>
          <w:p w14:paraId="02F418FB">
            <w:pPr>
              <w:keepNext w:val="0"/>
              <w:keepLines w:val="0"/>
              <w:suppressLineNumbers w:val="0"/>
              <w:spacing w:before="0" w:beforeAutospacing="0" w:after="0" w:afterAutospacing="0"/>
              <w:ind w:left="480" w:right="0" w:hanging="480" w:hangingChars="200"/>
              <w:jc w:val="center"/>
              <w:rPr>
                <w:rFonts w:hint="default" w:ascii="仿宋" w:hAnsi="仿宋"/>
                <w:color w:val="auto"/>
                <w:sz w:val="24"/>
              </w:rPr>
            </w:pPr>
            <w:r>
              <w:rPr>
                <w:rFonts w:hint="eastAsia" w:ascii="仿宋" w:hAnsi="仿宋"/>
                <w:color w:val="auto"/>
                <w:sz w:val="24"/>
              </w:rPr>
              <w:t>评分标准</w:t>
            </w:r>
          </w:p>
        </w:tc>
      </w:tr>
      <w:tr w14:paraId="1CDE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090959B5">
            <w:pPr>
              <w:keepNext w:val="0"/>
              <w:keepLines w:val="0"/>
              <w:suppressLineNumbers w:val="0"/>
              <w:spacing w:before="0" w:beforeAutospacing="0" w:after="0" w:afterAutospacing="0"/>
              <w:ind w:left="0" w:right="0"/>
              <w:jc w:val="center"/>
              <w:rPr>
                <w:rFonts w:hint="default" w:ascii="仿宋" w:hAnsi="仿宋"/>
                <w:color w:val="auto"/>
                <w:sz w:val="24"/>
              </w:rPr>
            </w:pPr>
            <w:r>
              <w:rPr>
                <w:rFonts w:hint="eastAsia" w:ascii="仿宋" w:hAnsi="仿宋"/>
                <w:color w:val="auto"/>
                <w:sz w:val="24"/>
              </w:rPr>
              <w:t>1</w:t>
            </w:r>
          </w:p>
        </w:tc>
        <w:tc>
          <w:tcPr>
            <w:tcW w:w="1276" w:type="dxa"/>
            <w:noWrap w:val="0"/>
            <w:vAlign w:val="center"/>
          </w:tcPr>
          <w:p w14:paraId="203C3613">
            <w:pPr>
              <w:keepNext w:val="0"/>
              <w:keepLines w:val="0"/>
              <w:suppressLineNumbers w:val="0"/>
              <w:spacing w:before="0" w:beforeAutospacing="0" w:after="0" w:afterAutospacing="0"/>
              <w:ind w:left="0" w:right="0"/>
              <w:jc w:val="center"/>
              <w:rPr>
                <w:rFonts w:hint="default" w:ascii="仿宋" w:hAnsi="仿宋"/>
                <w:color w:val="auto"/>
                <w:sz w:val="24"/>
              </w:rPr>
            </w:pPr>
            <w:r>
              <w:rPr>
                <w:rFonts w:hint="eastAsia" w:ascii="仿宋" w:hAnsi="仿宋"/>
                <w:color w:val="auto"/>
                <w:sz w:val="24"/>
                <w:lang w:val="en-US" w:eastAsia="zh-CN"/>
              </w:rPr>
              <w:t>投标</w:t>
            </w:r>
            <w:r>
              <w:rPr>
                <w:rFonts w:hint="eastAsia" w:ascii="仿宋" w:hAnsi="仿宋"/>
                <w:color w:val="auto"/>
                <w:sz w:val="24"/>
              </w:rPr>
              <w:t>报价</w:t>
            </w:r>
          </w:p>
          <w:p w14:paraId="021A52A3">
            <w:pPr>
              <w:keepNext w:val="0"/>
              <w:keepLines w:val="0"/>
              <w:suppressLineNumbers w:val="0"/>
              <w:spacing w:before="0" w:beforeAutospacing="0" w:after="0" w:afterAutospacing="0"/>
              <w:ind w:left="0" w:right="0"/>
              <w:jc w:val="center"/>
              <w:rPr>
                <w:rFonts w:hint="eastAsia" w:ascii="仿宋" w:hAnsi="仿宋"/>
                <w:color w:val="auto"/>
                <w:sz w:val="24"/>
              </w:rPr>
            </w:pPr>
            <w:r>
              <w:rPr>
                <w:rFonts w:hint="eastAsia" w:ascii="仿宋" w:hAnsi="仿宋"/>
                <w:color w:val="auto"/>
                <w:sz w:val="24"/>
              </w:rPr>
              <w:t>（3</w:t>
            </w:r>
            <w:r>
              <w:rPr>
                <w:rFonts w:hint="default" w:ascii="仿宋" w:hAnsi="仿宋"/>
                <w:color w:val="auto"/>
                <w:sz w:val="24"/>
              </w:rPr>
              <w:t>0</w:t>
            </w:r>
            <w:r>
              <w:rPr>
                <w:rFonts w:hint="eastAsia" w:ascii="仿宋" w:hAnsi="仿宋"/>
                <w:color w:val="auto"/>
                <w:sz w:val="24"/>
              </w:rPr>
              <w:t>分）</w:t>
            </w:r>
          </w:p>
        </w:tc>
        <w:tc>
          <w:tcPr>
            <w:tcW w:w="708" w:type="dxa"/>
            <w:noWrap w:val="0"/>
            <w:vAlign w:val="center"/>
          </w:tcPr>
          <w:p w14:paraId="39ADC60B">
            <w:pPr>
              <w:keepNext w:val="0"/>
              <w:keepLines w:val="0"/>
              <w:suppressLineNumbers w:val="0"/>
              <w:spacing w:before="0" w:beforeAutospacing="0" w:after="0" w:afterAutospacing="0"/>
              <w:ind w:left="0" w:right="0"/>
              <w:jc w:val="center"/>
              <w:rPr>
                <w:rFonts w:hint="default" w:ascii="仿宋" w:hAnsi="仿宋"/>
                <w:color w:val="auto"/>
                <w:sz w:val="24"/>
              </w:rPr>
            </w:pPr>
            <w:r>
              <w:rPr>
                <w:rFonts w:hint="eastAsia" w:ascii="仿宋" w:hAnsi="仿宋"/>
                <w:color w:val="auto"/>
                <w:sz w:val="24"/>
              </w:rPr>
              <w:t>30</w:t>
            </w:r>
          </w:p>
        </w:tc>
        <w:tc>
          <w:tcPr>
            <w:tcW w:w="7205" w:type="dxa"/>
            <w:noWrap w:val="0"/>
            <w:vAlign w:val="center"/>
          </w:tcPr>
          <w:p w14:paraId="2EB6F15E">
            <w:pPr>
              <w:keepNext w:val="0"/>
              <w:keepLines w:val="0"/>
              <w:suppressLineNumbers w:val="0"/>
              <w:spacing w:before="0" w:beforeAutospacing="0" w:after="0" w:afterAutospacing="0"/>
              <w:ind w:left="0" w:right="0"/>
              <w:jc w:val="left"/>
              <w:rPr>
                <w:rFonts w:hint="eastAsia" w:ascii="仿宋" w:hAnsi="仿宋"/>
                <w:color w:val="auto"/>
                <w:sz w:val="24"/>
              </w:rPr>
            </w:pPr>
            <w:r>
              <w:rPr>
                <w:rFonts w:hint="eastAsia" w:ascii="仿宋" w:hAnsi="仿宋"/>
                <w:color w:val="auto"/>
                <w:sz w:val="24"/>
              </w:rPr>
              <w:t>价格分统一采用低价优先法计算，即满足</w:t>
            </w:r>
            <w:r>
              <w:rPr>
                <w:rFonts w:hint="eastAsia" w:ascii="仿宋" w:hAnsi="仿宋"/>
                <w:color w:val="auto"/>
                <w:sz w:val="24"/>
                <w:lang w:val="en-US" w:eastAsia="zh-CN"/>
              </w:rPr>
              <w:t>投标</w:t>
            </w:r>
            <w:r>
              <w:rPr>
                <w:rFonts w:hint="eastAsia" w:ascii="仿宋" w:hAnsi="仿宋"/>
                <w:color w:val="auto"/>
                <w:sz w:val="24"/>
              </w:rPr>
              <w:t>文件要求且响应价格最低的响应报价为评标基准价，其价格分为满分。其他供应商的价格分统一按照下列公式计算：</w:t>
            </w:r>
          </w:p>
          <w:p w14:paraId="4D531F08">
            <w:pPr>
              <w:keepNext w:val="0"/>
              <w:keepLines w:val="0"/>
              <w:suppressLineNumbers w:val="0"/>
              <w:spacing w:before="0" w:beforeAutospacing="0" w:after="0" w:afterAutospacing="0"/>
              <w:ind w:left="0" w:right="0"/>
              <w:jc w:val="left"/>
              <w:rPr>
                <w:rFonts w:hint="eastAsia" w:ascii="仿宋" w:hAnsi="仿宋"/>
                <w:color w:val="auto"/>
                <w:sz w:val="24"/>
              </w:rPr>
            </w:pPr>
            <w:r>
              <w:rPr>
                <w:rFonts w:hint="eastAsia" w:ascii="仿宋" w:hAnsi="仿宋"/>
                <w:color w:val="auto"/>
                <w:sz w:val="24"/>
              </w:rPr>
              <w:t xml:space="preserve">价格分=(评标基准价／响应报价)×报价分值    </w:t>
            </w:r>
          </w:p>
          <w:p w14:paraId="6520B120">
            <w:pPr>
              <w:keepNext w:val="0"/>
              <w:keepLines w:val="0"/>
              <w:suppressLineNumbers w:val="0"/>
              <w:spacing w:before="0" w:beforeAutospacing="0" w:after="0" w:afterAutospacing="0"/>
              <w:ind w:left="0" w:right="0"/>
              <w:jc w:val="left"/>
              <w:rPr>
                <w:rFonts w:hint="eastAsia" w:ascii="仿宋" w:hAnsi="仿宋"/>
                <w:color w:val="auto"/>
                <w:sz w:val="24"/>
              </w:rPr>
            </w:pPr>
            <w:r>
              <w:rPr>
                <w:rFonts w:hint="eastAsia" w:ascii="仿宋" w:hAnsi="仿宋"/>
                <w:color w:val="auto"/>
                <w:sz w:val="24"/>
              </w:rPr>
              <w:t>注：</w:t>
            </w:r>
            <w:r>
              <w:rPr>
                <w:rFonts w:hint="eastAsia" w:ascii="仿宋" w:hAnsi="仿宋"/>
                <w:color w:val="auto"/>
                <w:sz w:val="24"/>
                <w:lang w:eastAsia="zh-CN"/>
              </w:rPr>
              <w:t>1.</w:t>
            </w:r>
            <w:r>
              <w:rPr>
                <w:rFonts w:hint="eastAsia" w:ascii="仿宋" w:hAnsi="仿宋"/>
                <w:color w:val="auto"/>
                <w:sz w:val="24"/>
              </w:rPr>
              <w:t>计算分数时四舍五入取小数点后两位；</w:t>
            </w:r>
          </w:p>
          <w:p w14:paraId="5907E515">
            <w:pPr>
              <w:keepNext w:val="0"/>
              <w:keepLines w:val="0"/>
              <w:suppressLineNumbers w:val="0"/>
              <w:spacing w:before="0" w:beforeAutospacing="0" w:after="0" w:afterAutospacing="0"/>
              <w:ind w:left="0" w:right="0" w:firstLine="480" w:firstLineChars="200"/>
              <w:jc w:val="left"/>
              <w:rPr>
                <w:rFonts w:hint="default" w:ascii="仿宋" w:hAnsi="仿宋"/>
                <w:color w:val="auto"/>
                <w:sz w:val="24"/>
              </w:rPr>
            </w:pPr>
            <w:r>
              <w:rPr>
                <w:rFonts w:hint="eastAsia" w:ascii="仿宋" w:hAnsi="仿宋"/>
                <w:color w:val="auto"/>
                <w:sz w:val="24"/>
                <w:lang w:eastAsia="zh-CN"/>
              </w:rPr>
              <w:t>2.</w:t>
            </w:r>
            <w:r>
              <w:rPr>
                <w:rFonts w:hint="eastAsia" w:ascii="仿宋" w:hAnsi="仿宋"/>
                <w:color w:val="auto"/>
                <w:sz w:val="24"/>
              </w:rPr>
              <w:t>落实政府采购政策：参见供应商须知前附表。</w:t>
            </w:r>
          </w:p>
        </w:tc>
      </w:tr>
      <w:tr w14:paraId="45BB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09" w:type="dxa"/>
            <w:noWrap w:val="0"/>
            <w:vAlign w:val="center"/>
          </w:tcPr>
          <w:p w14:paraId="6AE4FB81">
            <w:pPr>
              <w:keepNext w:val="0"/>
              <w:keepLines w:val="0"/>
              <w:suppressLineNumbers w:val="0"/>
              <w:spacing w:before="0" w:beforeAutospacing="0" w:after="0" w:afterAutospacing="0"/>
              <w:ind w:left="0" w:right="0"/>
              <w:jc w:val="center"/>
              <w:rPr>
                <w:rFonts w:hint="eastAsia" w:ascii="仿宋" w:hAnsi="仿宋" w:eastAsia="宋体"/>
                <w:color w:val="auto"/>
                <w:sz w:val="24"/>
                <w:lang w:val="en-US" w:eastAsia="zh-CN"/>
              </w:rPr>
            </w:pPr>
            <w:r>
              <w:rPr>
                <w:rFonts w:hint="eastAsia" w:ascii="仿宋" w:hAnsi="仿宋"/>
                <w:color w:val="auto"/>
                <w:sz w:val="24"/>
                <w:lang w:val="en-US" w:eastAsia="zh-CN"/>
              </w:rPr>
              <w:t>2</w:t>
            </w:r>
          </w:p>
        </w:tc>
        <w:tc>
          <w:tcPr>
            <w:tcW w:w="1276" w:type="dxa"/>
            <w:noWrap w:val="0"/>
            <w:vAlign w:val="center"/>
          </w:tcPr>
          <w:p w14:paraId="6DCB350F">
            <w:pPr>
              <w:keepNext w:val="0"/>
              <w:keepLines w:val="0"/>
              <w:suppressLineNumbers w:val="0"/>
              <w:spacing w:before="0" w:beforeAutospacing="0" w:after="0" w:afterAutospacing="0"/>
              <w:ind w:left="0" w:right="0"/>
              <w:jc w:val="center"/>
              <w:rPr>
                <w:rFonts w:hint="default" w:ascii="仿宋" w:hAnsi="仿宋" w:eastAsia="宋体"/>
                <w:color w:val="auto"/>
                <w:sz w:val="24"/>
                <w:lang w:val="en-US" w:eastAsia="zh-CN"/>
              </w:rPr>
            </w:pPr>
            <w:r>
              <w:rPr>
                <w:rFonts w:hint="eastAsia" w:ascii="仿宋" w:hAnsi="仿宋"/>
                <w:color w:val="auto"/>
                <w:sz w:val="24"/>
                <w:lang w:val="en-US" w:eastAsia="zh-CN"/>
              </w:rPr>
              <w:t>商务响应（3分）</w:t>
            </w:r>
          </w:p>
        </w:tc>
        <w:tc>
          <w:tcPr>
            <w:tcW w:w="708" w:type="dxa"/>
            <w:noWrap w:val="0"/>
            <w:vAlign w:val="center"/>
          </w:tcPr>
          <w:p w14:paraId="592D77B0">
            <w:pPr>
              <w:keepNext w:val="0"/>
              <w:keepLines w:val="0"/>
              <w:suppressLineNumbers w:val="0"/>
              <w:spacing w:before="0" w:beforeAutospacing="0" w:after="0" w:afterAutospacing="0" w:line="400" w:lineRule="exact"/>
              <w:ind w:left="0" w:right="0"/>
              <w:jc w:val="center"/>
              <w:rPr>
                <w:rFonts w:hint="default" w:ascii="仿宋" w:hAnsi="仿宋"/>
                <w:color w:val="auto"/>
                <w:sz w:val="24"/>
                <w:lang w:val="en-US" w:eastAsia="zh-CN"/>
              </w:rPr>
            </w:pPr>
            <w:r>
              <w:rPr>
                <w:rFonts w:hint="eastAsia" w:ascii="仿宋" w:hAnsi="仿宋"/>
                <w:color w:val="auto"/>
                <w:sz w:val="24"/>
                <w:lang w:val="en-US" w:eastAsia="zh-CN"/>
              </w:rPr>
              <w:t>3</w:t>
            </w:r>
          </w:p>
        </w:tc>
        <w:tc>
          <w:tcPr>
            <w:tcW w:w="7205" w:type="dxa"/>
            <w:noWrap w:val="0"/>
            <w:vAlign w:val="center"/>
          </w:tcPr>
          <w:p w14:paraId="6430013C">
            <w:pPr>
              <w:keepNext w:val="0"/>
              <w:keepLines w:val="0"/>
              <w:suppressLineNumbers w:val="0"/>
              <w:spacing w:before="0" w:beforeAutospacing="0" w:after="0" w:afterAutospacing="0" w:line="400" w:lineRule="exact"/>
              <w:ind w:left="0" w:right="0"/>
              <w:rPr>
                <w:rFonts w:hint="eastAsia" w:ascii="仿宋" w:hAnsi="仿宋" w:cs="仿宋"/>
                <w:color w:val="auto"/>
                <w:sz w:val="24"/>
                <w:highlight w:val="none"/>
              </w:rPr>
            </w:pPr>
            <w:r>
              <w:rPr>
                <w:rFonts w:hint="eastAsia" w:ascii="宋体" w:hAnsi="宋体" w:cs="宋体"/>
                <w:color w:val="auto"/>
                <w:sz w:val="24"/>
                <w:szCs w:val="24"/>
                <w:lang w:val="zh-CN"/>
              </w:rPr>
              <w:t>经过有效性和符合性审核合格的投标人，对付款方式、工期、质保期</w:t>
            </w:r>
            <w:r>
              <w:rPr>
                <w:rFonts w:hint="eastAsia" w:ascii="宋体" w:hAnsi="宋体" w:cs="宋体"/>
                <w:color w:val="auto"/>
                <w:sz w:val="24"/>
                <w:szCs w:val="24"/>
                <w:lang w:val="en-US" w:eastAsia="zh-CN"/>
              </w:rPr>
              <w:t>等商务条款</w:t>
            </w:r>
            <w:r>
              <w:rPr>
                <w:rFonts w:hint="eastAsia" w:ascii="宋体" w:hAnsi="宋体" w:cs="宋体"/>
                <w:color w:val="auto"/>
                <w:sz w:val="24"/>
                <w:szCs w:val="24"/>
                <w:lang w:val="zh-CN"/>
              </w:rPr>
              <w:t>的响应要求完全响应且优于磋商文件要求的计</w:t>
            </w:r>
            <w:r>
              <w:rPr>
                <w:rFonts w:hint="eastAsia" w:ascii="宋体" w:hAnsi="宋体" w:cs="宋体"/>
                <w:color w:val="auto"/>
                <w:sz w:val="24"/>
                <w:szCs w:val="24"/>
                <w:lang w:val="en-US" w:eastAsia="zh-CN"/>
              </w:rPr>
              <w:t>2.1-3</w:t>
            </w:r>
            <w:r>
              <w:rPr>
                <w:rFonts w:hint="eastAsia" w:ascii="宋体" w:hAnsi="宋体" w:cs="宋体"/>
                <w:color w:val="auto"/>
                <w:sz w:val="24"/>
                <w:szCs w:val="24"/>
                <w:lang w:val="zh-CN"/>
              </w:rPr>
              <w:t>分</w:t>
            </w:r>
            <w:r>
              <w:rPr>
                <w:rFonts w:hint="eastAsia" w:ascii="宋体" w:hAnsi="宋体" w:cs="宋体"/>
                <w:color w:val="auto"/>
                <w:sz w:val="24"/>
                <w:szCs w:val="24"/>
              </w:rPr>
              <w:t>，未做详细响应的，按响应程度低于评标基准的赋</w:t>
            </w:r>
            <w:r>
              <w:rPr>
                <w:rFonts w:hint="eastAsia" w:ascii="宋体" w:hAnsi="宋体" w:cs="宋体"/>
                <w:color w:val="auto"/>
                <w:sz w:val="24"/>
                <w:szCs w:val="24"/>
                <w:lang w:val="en-US" w:eastAsia="zh-CN"/>
              </w:rPr>
              <w:t>0.</w:t>
            </w:r>
            <w:r>
              <w:rPr>
                <w:rFonts w:hint="eastAsia" w:ascii="宋体" w:hAnsi="宋体" w:cs="宋体"/>
                <w:color w:val="auto"/>
                <w:sz w:val="24"/>
                <w:szCs w:val="24"/>
              </w:rPr>
              <w:t>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tc>
      </w:tr>
      <w:tr w14:paraId="6E86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09" w:type="dxa"/>
            <w:vMerge w:val="restart"/>
            <w:noWrap w:val="0"/>
            <w:vAlign w:val="center"/>
          </w:tcPr>
          <w:p w14:paraId="341FA42D">
            <w:pPr>
              <w:keepNext w:val="0"/>
              <w:keepLines w:val="0"/>
              <w:suppressLineNumbers w:val="0"/>
              <w:spacing w:before="0" w:beforeAutospacing="0" w:after="0" w:afterAutospacing="0"/>
              <w:ind w:left="0" w:right="0"/>
              <w:jc w:val="center"/>
              <w:rPr>
                <w:rFonts w:hint="default" w:ascii="仿宋" w:hAnsi="仿宋" w:eastAsia="宋体"/>
                <w:color w:val="auto"/>
                <w:sz w:val="24"/>
                <w:lang w:val="en-US" w:eastAsia="zh-CN"/>
              </w:rPr>
            </w:pPr>
            <w:r>
              <w:rPr>
                <w:rFonts w:hint="eastAsia" w:ascii="仿宋" w:hAnsi="仿宋" w:eastAsia="宋体"/>
                <w:color w:val="auto"/>
                <w:sz w:val="24"/>
                <w:lang w:val="en-US" w:eastAsia="zh-CN"/>
              </w:rPr>
              <w:t>3</w:t>
            </w:r>
          </w:p>
        </w:tc>
        <w:tc>
          <w:tcPr>
            <w:tcW w:w="1276" w:type="dxa"/>
            <w:vMerge w:val="restart"/>
            <w:noWrap w:val="0"/>
            <w:vAlign w:val="center"/>
          </w:tcPr>
          <w:p w14:paraId="559426F2">
            <w:pPr>
              <w:keepNext w:val="0"/>
              <w:keepLines w:val="0"/>
              <w:suppressLineNumbers w:val="0"/>
              <w:spacing w:before="0" w:beforeAutospacing="0" w:after="0" w:afterAutospacing="0"/>
              <w:ind w:left="0" w:right="0"/>
              <w:jc w:val="center"/>
              <w:rPr>
                <w:rFonts w:hint="eastAsia" w:ascii="仿宋" w:hAnsi="仿宋"/>
                <w:color w:val="auto"/>
                <w:sz w:val="24"/>
              </w:rPr>
            </w:pPr>
            <w:r>
              <w:rPr>
                <w:rFonts w:hint="eastAsia" w:ascii="仿宋" w:hAnsi="仿宋"/>
                <w:color w:val="auto"/>
                <w:sz w:val="24"/>
              </w:rPr>
              <w:t>施工组织设计</w:t>
            </w:r>
          </w:p>
          <w:p w14:paraId="0BF5B673">
            <w:pPr>
              <w:keepNext w:val="0"/>
              <w:keepLines w:val="0"/>
              <w:suppressLineNumbers w:val="0"/>
              <w:spacing w:before="0" w:beforeAutospacing="0" w:after="0" w:afterAutospacing="0"/>
              <w:ind w:left="0" w:right="0"/>
              <w:jc w:val="center"/>
              <w:rPr>
                <w:rFonts w:hint="eastAsia" w:ascii="仿宋" w:hAnsi="仿宋"/>
                <w:color w:val="auto"/>
                <w:sz w:val="24"/>
              </w:rPr>
            </w:pPr>
            <w:r>
              <w:rPr>
                <w:rFonts w:hint="eastAsia" w:ascii="仿宋" w:hAnsi="仿宋"/>
                <w:color w:val="auto"/>
                <w:sz w:val="24"/>
              </w:rPr>
              <w:t>（</w:t>
            </w:r>
            <w:r>
              <w:rPr>
                <w:rFonts w:hint="eastAsia" w:ascii="仿宋" w:hAnsi="仿宋"/>
                <w:color w:val="auto"/>
                <w:sz w:val="24"/>
                <w:lang w:val="en-US" w:eastAsia="zh-CN"/>
              </w:rPr>
              <w:t>49</w:t>
            </w:r>
            <w:r>
              <w:rPr>
                <w:rFonts w:hint="eastAsia" w:ascii="仿宋" w:hAnsi="仿宋"/>
                <w:color w:val="auto"/>
                <w:sz w:val="24"/>
              </w:rPr>
              <w:t>分）</w:t>
            </w:r>
          </w:p>
        </w:tc>
        <w:tc>
          <w:tcPr>
            <w:tcW w:w="708" w:type="dxa"/>
            <w:noWrap w:val="0"/>
            <w:vAlign w:val="center"/>
          </w:tcPr>
          <w:p w14:paraId="61D07574">
            <w:pPr>
              <w:keepNext w:val="0"/>
              <w:keepLines w:val="0"/>
              <w:suppressLineNumbers w:val="0"/>
              <w:spacing w:before="0" w:beforeAutospacing="0" w:after="0" w:afterAutospacing="0" w:line="400" w:lineRule="exact"/>
              <w:ind w:left="0" w:right="0"/>
              <w:jc w:val="center"/>
              <w:rPr>
                <w:rFonts w:hint="eastAsia" w:ascii="仿宋" w:hAnsi="仿宋" w:eastAsiaTheme="minorEastAsia"/>
                <w:color w:val="auto"/>
                <w:sz w:val="24"/>
                <w:lang w:eastAsia="zh-CN"/>
              </w:rPr>
            </w:pPr>
            <w:r>
              <w:rPr>
                <w:rFonts w:hint="eastAsia" w:ascii="仿宋" w:hAnsi="仿宋"/>
                <w:color w:val="auto"/>
                <w:sz w:val="24"/>
                <w:lang w:val="en-US" w:eastAsia="zh-CN"/>
              </w:rPr>
              <w:t>5</w:t>
            </w:r>
          </w:p>
        </w:tc>
        <w:tc>
          <w:tcPr>
            <w:tcW w:w="7205" w:type="dxa"/>
            <w:noWrap w:val="0"/>
            <w:vAlign w:val="center"/>
          </w:tcPr>
          <w:p w14:paraId="7FB10126">
            <w:pPr>
              <w:keepNext w:val="0"/>
              <w:keepLines w:val="0"/>
              <w:suppressLineNumbers w:val="0"/>
              <w:spacing w:before="0" w:beforeAutospacing="0" w:after="0" w:afterAutospacing="0" w:line="400" w:lineRule="exact"/>
              <w:ind w:left="0" w:right="0"/>
              <w:rPr>
                <w:rFonts w:hint="eastAsia" w:ascii="仿宋" w:hAnsi="仿宋"/>
                <w:color w:val="auto"/>
                <w:sz w:val="24"/>
              </w:rPr>
            </w:pPr>
            <w:r>
              <w:rPr>
                <w:rFonts w:hint="eastAsia" w:ascii="仿宋" w:hAnsi="仿宋" w:cs="仿宋"/>
                <w:color w:val="auto"/>
                <w:sz w:val="24"/>
                <w:highlight w:val="none"/>
              </w:rPr>
              <w:t>项目经理部组成</w:t>
            </w:r>
            <w:r>
              <w:rPr>
                <w:rFonts w:hint="eastAsia" w:ascii="仿宋" w:hAnsi="仿宋" w:cs="仿宋"/>
                <w:color w:val="auto"/>
                <w:sz w:val="24"/>
                <w:highlight w:val="none"/>
                <w:lang w:eastAsia="zh-CN"/>
              </w:rPr>
              <w:t>（</w:t>
            </w:r>
            <w:r>
              <w:rPr>
                <w:rFonts w:hint="eastAsia" w:ascii="仿宋" w:hAnsi="仿宋" w:cs="仿宋"/>
                <w:color w:val="auto"/>
                <w:sz w:val="24"/>
                <w:highlight w:val="none"/>
                <w:lang w:val="en-US" w:eastAsia="zh-CN"/>
              </w:rPr>
              <w:t>项目经理，技术负责人、五大员</w:t>
            </w:r>
            <w:r>
              <w:rPr>
                <w:rFonts w:hint="eastAsia" w:ascii="仿宋" w:hAnsi="仿宋" w:cs="仿宋"/>
                <w:color w:val="auto"/>
                <w:sz w:val="24"/>
                <w:highlight w:val="none"/>
                <w:lang w:eastAsia="zh-CN"/>
              </w:rPr>
              <w:t>）</w:t>
            </w:r>
            <w:r>
              <w:rPr>
                <w:rFonts w:hint="eastAsia" w:ascii="仿宋" w:hAnsi="仿宋" w:cs="仿宋"/>
                <w:color w:val="auto"/>
                <w:sz w:val="24"/>
                <w:highlight w:val="none"/>
              </w:rPr>
              <w:t>：项目经理部组成人员安排合理完善计</w:t>
            </w:r>
            <w:r>
              <w:rPr>
                <w:rFonts w:hint="eastAsia" w:ascii="仿宋" w:hAnsi="仿宋" w:cs="仿宋"/>
                <w:color w:val="auto"/>
                <w:sz w:val="24"/>
                <w:highlight w:val="none"/>
                <w:lang w:val="en-US" w:eastAsia="zh-CN"/>
              </w:rPr>
              <w:t>4.1-5</w:t>
            </w:r>
            <w:r>
              <w:rPr>
                <w:rFonts w:hint="eastAsia" w:ascii="仿宋" w:hAnsi="仿宋" w:cs="仿宋"/>
                <w:color w:val="auto"/>
                <w:sz w:val="24"/>
                <w:highlight w:val="none"/>
              </w:rPr>
              <w:t>分；</w:t>
            </w:r>
            <w:r>
              <w:rPr>
                <w:rFonts w:hint="eastAsia" w:ascii="仿宋" w:hAnsi="仿宋" w:cs="仿宋"/>
                <w:color w:val="auto"/>
                <w:sz w:val="24"/>
                <w:highlight w:val="none"/>
                <w:lang w:val="en-US" w:eastAsia="zh-CN"/>
              </w:rPr>
              <w:t>组成人员配置较为完善计2.1-4分；组成人员安排欠缺计0.1-2分；未提供不计分</w:t>
            </w:r>
            <w:r>
              <w:rPr>
                <w:rFonts w:hint="eastAsia" w:ascii="仿宋" w:hAnsi="仿宋" w:cs="仿宋"/>
                <w:color w:val="auto"/>
                <w:sz w:val="24"/>
                <w:highlight w:val="none"/>
              </w:rPr>
              <w:t>（</w:t>
            </w:r>
            <w:r>
              <w:rPr>
                <w:rFonts w:hint="eastAsia" w:ascii="仿宋" w:hAnsi="仿宋" w:cs="仿宋"/>
                <w:color w:val="auto"/>
                <w:sz w:val="24"/>
                <w:highlight w:val="none"/>
                <w:lang w:val="en-US" w:eastAsia="zh-CN"/>
              </w:rPr>
              <w:t>附</w:t>
            </w:r>
            <w:r>
              <w:rPr>
                <w:rFonts w:hint="eastAsia" w:ascii="仿宋" w:hAnsi="仿宋" w:cs="仿宋"/>
                <w:color w:val="auto"/>
                <w:sz w:val="24"/>
                <w:highlight w:val="none"/>
              </w:rPr>
              <w:t>身份证、资格证复印件</w:t>
            </w:r>
            <w:r>
              <w:rPr>
                <w:rFonts w:hint="eastAsia" w:ascii="仿宋" w:hAnsi="仿宋" w:cs="仿宋"/>
                <w:color w:val="auto"/>
                <w:sz w:val="24"/>
                <w:highlight w:val="none"/>
                <w:lang w:val="en-US" w:eastAsia="zh-CN"/>
              </w:rPr>
              <w:t>于投标文件</w:t>
            </w:r>
            <w:r>
              <w:rPr>
                <w:rFonts w:hint="eastAsia" w:ascii="仿宋" w:hAnsi="仿宋" w:cs="仿宋"/>
                <w:color w:val="auto"/>
                <w:sz w:val="24"/>
                <w:highlight w:val="none"/>
              </w:rPr>
              <w:t>中）</w:t>
            </w:r>
          </w:p>
        </w:tc>
      </w:tr>
      <w:tr w14:paraId="2D03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9" w:type="dxa"/>
            <w:vMerge w:val="continue"/>
            <w:noWrap w:val="0"/>
            <w:vAlign w:val="center"/>
          </w:tcPr>
          <w:p w14:paraId="6A05AAC7">
            <w:pPr>
              <w:keepNext w:val="0"/>
              <w:keepLines w:val="0"/>
              <w:suppressLineNumbers w:val="0"/>
              <w:spacing w:before="0" w:beforeAutospacing="0" w:after="0" w:afterAutospacing="0"/>
              <w:ind w:left="0" w:right="0"/>
              <w:jc w:val="center"/>
              <w:rPr>
                <w:rFonts w:hint="eastAsia" w:ascii="仿宋" w:hAnsi="仿宋"/>
                <w:color w:val="auto"/>
                <w:sz w:val="24"/>
              </w:rPr>
            </w:pPr>
          </w:p>
        </w:tc>
        <w:tc>
          <w:tcPr>
            <w:tcW w:w="1276" w:type="dxa"/>
            <w:vMerge w:val="continue"/>
            <w:noWrap w:val="0"/>
            <w:vAlign w:val="center"/>
          </w:tcPr>
          <w:p w14:paraId="5A90865F">
            <w:pPr>
              <w:keepNext w:val="0"/>
              <w:keepLines w:val="0"/>
              <w:suppressLineNumbers w:val="0"/>
              <w:spacing w:before="0" w:beforeAutospacing="0" w:after="0" w:afterAutospacing="0"/>
              <w:ind w:left="0" w:right="0"/>
              <w:jc w:val="center"/>
              <w:rPr>
                <w:rFonts w:hint="eastAsia" w:ascii="仿宋" w:hAnsi="仿宋"/>
                <w:color w:val="auto"/>
                <w:sz w:val="24"/>
              </w:rPr>
            </w:pPr>
          </w:p>
        </w:tc>
        <w:tc>
          <w:tcPr>
            <w:tcW w:w="708" w:type="dxa"/>
            <w:noWrap w:val="0"/>
            <w:vAlign w:val="center"/>
          </w:tcPr>
          <w:p w14:paraId="0CDFDB03">
            <w:pPr>
              <w:keepNext w:val="0"/>
              <w:keepLines w:val="0"/>
              <w:suppressLineNumbers w:val="0"/>
              <w:spacing w:before="0" w:beforeAutospacing="0" w:after="0" w:afterAutospacing="0" w:line="400" w:lineRule="exact"/>
              <w:ind w:left="0" w:right="0"/>
              <w:jc w:val="center"/>
              <w:rPr>
                <w:rFonts w:hint="eastAsia" w:ascii="仿宋" w:hAnsi="仿宋" w:eastAsia="宋体"/>
                <w:color w:val="auto"/>
                <w:sz w:val="24"/>
                <w:lang w:eastAsia="zh-CN"/>
              </w:rPr>
            </w:pPr>
            <w:r>
              <w:rPr>
                <w:rFonts w:hint="eastAsia" w:ascii="仿宋" w:hAnsi="仿宋"/>
                <w:color w:val="auto"/>
                <w:sz w:val="24"/>
                <w:lang w:val="en-US" w:eastAsia="zh-CN"/>
              </w:rPr>
              <w:t>3</w:t>
            </w:r>
          </w:p>
        </w:tc>
        <w:tc>
          <w:tcPr>
            <w:tcW w:w="7205" w:type="dxa"/>
            <w:noWrap w:val="0"/>
            <w:vAlign w:val="center"/>
          </w:tcPr>
          <w:p w14:paraId="7253C324">
            <w:pPr>
              <w:keepNext w:val="0"/>
              <w:keepLines w:val="0"/>
              <w:suppressLineNumbers w:val="0"/>
              <w:spacing w:before="0" w:beforeAutospacing="0" w:after="0" w:afterAutospacing="0" w:line="400" w:lineRule="exact"/>
              <w:ind w:left="0" w:right="0"/>
              <w:rPr>
                <w:rFonts w:hint="eastAsia" w:ascii="仿宋" w:hAnsi="仿宋"/>
                <w:color w:val="auto"/>
                <w:sz w:val="24"/>
              </w:rPr>
            </w:pPr>
            <w:r>
              <w:rPr>
                <w:rFonts w:hint="eastAsia" w:ascii="仿宋" w:hAnsi="仿宋"/>
                <w:color w:val="auto"/>
                <w:sz w:val="24"/>
                <w:highlight w:val="none"/>
              </w:rPr>
              <w:t>施工进度表或施工网络图：进度表或网络图结构清晰、安排科学合理计</w:t>
            </w:r>
            <w:r>
              <w:rPr>
                <w:rFonts w:hint="eastAsia" w:ascii="仿宋" w:hAnsi="仿宋" w:cs="仿宋"/>
                <w:color w:val="auto"/>
                <w:sz w:val="24"/>
                <w:highlight w:val="none"/>
                <w:lang w:val="en-US" w:eastAsia="zh-CN"/>
              </w:rPr>
              <w:t>2.1—3</w:t>
            </w:r>
            <w:r>
              <w:rPr>
                <w:rFonts w:hint="eastAsia" w:ascii="仿宋" w:hAnsi="仿宋"/>
                <w:color w:val="auto"/>
                <w:sz w:val="24"/>
                <w:highlight w:val="none"/>
              </w:rPr>
              <w:t>分；进度表或网络图结构基本清晰、安排合理计</w:t>
            </w:r>
            <w:r>
              <w:rPr>
                <w:rFonts w:hint="eastAsia" w:ascii="仿宋" w:hAnsi="仿宋" w:cs="仿宋"/>
                <w:color w:val="auto"/>
                <w:sz w:val="24"/>
                <w:highlight w:val="none"/>
                <w:lang w:val="en-US" w:eastAsia="zh-CN"/>
              </w:rPr>
              <w:t>1.1—2</w:t>
            </w:r>
            <w:r>
              <w:rPr>
                <w:rFonts w:hint="eastAsia" w:ascii="仿宋" w:hAnsi="仿宋"/>
                <w:color w:val="auto"/>
                <w:sz w:val="24"/>
                <w:highlight w:val="none"/>
              </w:rPr>
              <w:t>分；进度表或网络图结构不清晰，不能体现项目整体安排的计</w:t>
            </w:r>
            <w:r>
              <w:rPr>
                <w:rFonts w:hint="eastAsia" w:ascii="仿宋" w:hAnsi="仿宋"/>
                <w:color w:val="auto"/>
                <w:sz w:val="24"/>
                <w:highlight w:val="none"/>
                <w:lang w:val="en-US" w:eastAsia="zh-CN"/>
              </w:rPr>
              <w:t>0.</w:t>
            </w:r>
            <w:r>
              <w:rPr>
                <w:rFonts w:hint="eastAsia" w:ascii="仿宋" w:hAnsi="仿宋" w:cs="仿宋"/>
                <w:color w:val="auto"/>
                <w:sz w:val="24"/>
                <w:highlight w:val="none"/>
                <w:lang w:val="en-US" w:eastAsia="zh-CN"/>
              </w:rPr>
              <w:t>1-1</w:t>
            </w:r>
            <w:r>
              <w:rPr>
                <w:rFonts w:hint="eastAsia" w:ascii="仿宋" w:hAnsi="仿宋"/>
                <w:color w:val="auto"/>
                <w:sz w:val="24"/>
                <w:highlight w:val="none"/>
              </w:rPr>
              <w:t>分；未提供不计分。</w:t>
            </w:r>
          </w:p>
        </w:tc>
      </w:tr>
      <w:tr w14:paraId="40C7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709" w:type="dxa"/>
            <w:vMerge w:val="continue"/>
            <w:noWrap w:val="0"/>
            <w:vAlign w:val="center"/>
          </w:tcPr>
          <w:p w14:paraId="3CBDE32C">
            <w:pPr>
              <w:keepNext w:val="0"/>
              <w:keepLines w:val="0"/>
              <w:suppressLineNumbers w:val="0"/>
              <w:spacing w:before="0" w:beforeAutospacing="0" w:after="0" w:afterAutospacing="0"/>
              <w:ind w:left="0" w:right="0"/>
              <w:jc w:val="center"/>
              <w:rPr>
                <w:rFonts w:hint="eastAsia" w:ascii="仿宋" w:hAnsi="仿宋"/>
                <w:color w:val="auto"/>
                <w:sz w:val="24"/>
              </w:rPr>
            </w:pPr>
          </w:p>
        </w:tc>
        <w:tc>
          <w:tcPr>
            <w:tcW w:w="1276" w:type="dxa"/>
            <w:vMerge w:val="continue"/>
            <w:noWrap w:val="0"/>
            <w:vAlign w:val="center"/>
          </w:tcPr>
          <w:p w14:paraId="3FA7CA87">
            <w:pPr>
              <w:keepNext w:val="0"/>
              <w:keepLines w:val="0"/>
              <w:suppressLineNumbers w:val="0"/>
              <w:spacing w:before="0" w:beforeAutospacing="0" w:after="0" w:afterAutospacing="0"/>
              <w:ind w:left="0" w:right="0"/>
              <w:jc w:val="center"/>
              <w:rPr>
                <w:rFonts w:hint="eastAsia" w:ascii="仿宋" w:hAnsi="仿宋"/>
                <w:color w:val="auto"/>
                <w:sz w:val="24"/>
              </w:rPr>
            </w:pPr>
          </w:p>
        </w:tc>
        <w:tc>
          <w:tcPr>
            <w:tcW w:w="708" w:type="dxa"/>
            <w:noWrap w:val="0"/>
            <w:vAlign w:val="center"/>
          </w:tcPr>
          <w:p w14:paraId="053A37C0">
            <w:pPr>
              <w:keepNext w:val="0"/>
              <w:keepLines w:val="0"/>
              <w:suppressLineNumbers w:val="0"/>
              <w:spacing w:before="0" w:beforeAutospacing="0" w:after="0" w:afterAutospacing="0" w:line="400" w:lineRule="exact"/>
              <w:ind w:left="0" w:right="0"/>
              <w:jc w:val="center"/>
              <w:rPr>
                <w:rFonts w:hint="eastAsia" w:ascii="仿宋" w:hAnsi="仿宋" w:eastAsiaTheme="minorEastAsia"/>
                <w:color w:val="auto"/>
                <w:sz w:val="24"/>
                <w:lang w:eastAsia="zh-CN"/>
              </w:rPr>
            </w:pPr>
            <w:r>
              <w:rPr>
                <w:rFonts w:hint="eastAsia" w:ascii="仿宋" w:hAnsi="仿宋"/>
                <w:color w:val="auto"/>
                <w:sz w:val="24"/>
                <w:lang w:val="en-US" w:eastAsia="zh-CN"/>
              </w:rPr>
              <w:t>6</w:t>
            </w:r>
          </w:p>
        </w:tc>
        <w:tc>
          <w:tcPr>
            <w:tcW w:w="7205" w:type="dxa"/>
            <w:noWrap w:val="0"/>
            <w:vAlign w:val="center"/>
          </w:tcPr>
          <w:p w14:paraId="3064109C">
            <w:pPr>
              <w:keepNext w:val="0"/>
              <w:keepLines w:val="0"/>
              <w:suppressLineNumbers w:val="0"/>
              <w:spacing w:before="0" w:beforeAutospacing="0" w:after="0" w:afterAutospacing="0" w:line="400" w:lineRule="exact"/>
              <w:ind w:left="0" w:right="0"/>
              <w:rPr>
                <w:rFonts w:hint="eastAsia" w:ascii="仿宋" w:hAnsi="仿宋"/>
                <w:color w:val="auto"/>
                <w:sz w:val="24"/>
              </w:rPr>
            </w:pPr>
            <w:r>
              <w:rPr>
                <w:rFonts w:hint="eastAsia" w:ascii="仿宋" w:hAnsi="仿宋"/>
                <w:color w:val="auto"/>
                <w:sz w:val="24"/>
                <w:highlight w:val="none"/>
              </w:rPr>
              <w:t>施工进度计划及措施：措施完善、合理可行计</w:t>
            </w:r>
            <w:r>
              <w:rPr>
                <w:rFonts w:hint="eastAsia" w:ascii="仿宋" w:hAnsi="仿宋"/>
                <w:color w:val="auto"/>
                <w:sz w:val="24"/>
                <w:highlight w:val="none"/>
                <w:lang w:val="en-US" w:eastAsia="zh-CN"/>
              </w:rPr>
              <w:t>3</w:t>
            </w:r>
            <w:r>
              <w:rPr>
                <w:rFonts w:hint="eastAsia" w:ascii="仿宋" w:hAnsi="仿宋" w:cs="仿宋"/>
                <w:color w:val="auto"/>
                <w:sz w:val="24"/>
                <w:highlight w:val="none"/>
                <w:lang w:val="en-US" w:eastAsia="zh-CN"/>
              </w:rPr>
              <w:t>.1-6</w:t>
            </w:r>
            <w:r>
              <w:rPr>
                <w:rFonts w:hint="eastAsia" w:ascii="仿宋" w:hAnsi="仿宋"/>
                <w:color w:val="auto"/>
                <w:sz w:val="24"/>
                <w:highlight w:val="none"/>
              </w:rPr>
              <w:t>分；措施基本完善、合理计</w:t>
            </w:r>
            <w:r>
              <w:rPr>
                <w:rFonts w:hint="eastAsia" w:ascii="仿宋" w:hAnsi="仿宋" w:cs="仿宋"/>
                <w:color w:val="auto"/>
                <w:sz w:val="24"/>
                <w:highlight w:val="none"/>
                <w:lang w:val="en-US" w:eastAsia="zh-CN"/>
              </w:rPr>
              <w:t>1.1-3分</w:t>
            </w:r>
            <w:r>
              <w:rPr>
                <w:rFonts w:hint="eastAsia" w:ascii="仿宋" w:hAnsi="仿宋"/>
                <w:color w:val="auto"/>
                <w:sz w:val="24"/>
                <w:highlight w:val="none"/>
              </w:rPr>
              <w:t>；措施欠缺、不利于项目实施计</w:t>
            </w:r>
            <w:r>
              <w:rPr>
                <w:rFonts w:hint="eastAsia" w:ascii="仿宋" w:hAnsi="仿宋"/>
                <w:color w:val="auto"/>
                <w:sz w:val="24"/>
                <w:highlight w:val="none"/>
                <w:lang w:val="en-US" w:eastAsia="zh-CN"/>
              </w:rPr>
              <w:t>0.1-</w:t>
            </w:r>
            <w:r>
              <w:rPr>
                <w:rFonts w:hint="eastAsia" w:ascii="仿宋" w:hAnsi="仿宋" w:cs="仿宋"/>
                <w:color w:val="auto"/>
                <w:sz w:val="24"/>
                <w:highlight w:val="none"/>
                <w:lang w:val="en-US" w:eastAsia="zh-CN"/>
              </w:rPr>
              <w:t>1</w:t>
            </w:r>
            <w:r>
              <w:rPr>
                <w:rFonts w:hint="eastAsia" w:ascii="仿宋" w:hAnsi="仿宋"/>
                <w:color w:val="auto"/>
                <w:sz w:val="24"/>
                <w:highlight w:val="none"/>
              </w:rPr>
              <w:t>分；未提供不计分。</w:t>
            </w:r>
          </w:p>
        </w:tc>
      </w:tr>
      <w:tr w14:paraId="59DB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9" w:type="dxa"/>
            <w:vMerge w:val="continue"/>
            <w:noWrap w:val="0"/>
            <w:vAlign w:val="center"/>
          </w:tcPr>
          <w:p w14:paraId="0C92832B">
            <w:pPr>
              <w:keepNext w:val="0"/>
              <w:keepLines w:val="0"/>
              <w:suppressLineNumbers w:val="0"/>
              <w:spacing w:before="0" w:beforeAutospacing="0" w:after="0" w:afterAutospacing="0"/>
              <w:ind w:left="0" w:right="0"/>
              <w:jc w:val="center"/>
              <w:rPr>
                <w:rFonts w:hint="eastAsia" w:ascii="仿宋" w:hAnsi="仿宋"/>
                <w:color w:val="auto"/>
                <w:sz w:val="24"/>
              </w:rPr>
            </w:pPr>
          </w:p>
        </w:tc>
        <w:tc>
          <w:tcPr>
            <w:tcW w:w="1276" w:type="dxa"/>
            <w:vMerge w:val="continue"/>
            <w:noWrap w:val="0"/>
            <w:vAlign w:val="center"/>
          </w:tcPr>
          <w:p w14:paraId="183ADEB7">
            <w:pPr>
              <w:keepNext w:val="0"/>
              <w:keepLines w:val="0"/>
              <w:suppressLineNumbers w:val="0"/>
              <w:spacing w:before="0" w:beforeAutospacing="0" w:after="0" w:afterAutospacing="0"/>
              <w:ind w:left="0" w:right="0"/>
              <w:jc w:val="center"/>
              <w:rPr>
                <w:rFonts w:hint="eastAsia" w:ascii="仿宋" w:hAnsi="仿宋"/>
                <w:color w:val="auto"/>
                <w:sz w:val="24"/>
              </w:rPr>
            </w:pPr>
          </w:p>
        </w:tc>
        <w:tc>
          <w:tcPr>
            <w:tcW w:w="708" w:type="dxa"/>
            <w:noWrap w:val="0"/>
            <w:vAlign w:val="center"/>
          </w:tcPr>
          <w:p w14:paraId="350F5A76">
            <w:pPr>
              <w:keepNext w:val="0"/>
              <w:keepLines w:val="0"/>
              <w:suppressLineNumbers w:val="0"/>
              <w:spacing w:before="0" w:beforeAutospacing="0" w:after="0" w:afterAutospacing="0" w:line="400" w:lineRule="exact"/>
              <w:ind w:left="0" w:right="0"/>
              <w:jc w:val="center"/>
              <w:rPr>
                <w:rFonts w:hint="eastAsia" w:ascii="仿宋" w:hAnsi="仿宋" w:eastAsia="仿宋"/>
                <w:color w:val="auto"/>
                <w:sz w:val="24"/>
                <w:lang w:eastAsia="zh-CN"/>
              </w:rPr>
            </w:pPr>
            <w:r>
              <w:rPr>
                <w:rFonts w:hint="eastAsia" w:ascii="仿宋" w:hAnsi="仿宋"/>
                <w:color w:val="auto"/>
                <w:sz w:val="24"/>
                <w:lang w:val="en-US" w:eastAsia="zh-CN"/>
              </w:rPr>
              <w:t>6</w:t>
            </w:r>
          </w:p>
        </w:tc>
        <w:tc>
          <w:tcPr>
            <w:tcW w:w="7205" w:type="dxa"/>
            <w:noWrap w:val="0"/>
            <w:vAlign w:val="center"/>
          </w:tcPr>
          <w:p w14:paraId="1F7D14D8">
            <w:pPr>
              <w:keepNext w:val="0"/>
              <w:keepLines w:val="0"/>
              <w:suppressLineNumbers w:val="0"/>
              <w:spacing w:before="0" w:beforeAutospacing="0" w:after="0" w:afterAutospacing="0" w:line="400" w:lineRule="exact"/>
              <w:ind w:left="0" w:right="0"/>
              <w:rPr>
                <w:rFonts w:hint="eastAsia" w:ascii="仿宋" w:hAnsi="仿宋"/>
                <w:color w:val="auto"/>
                <w:sz w:val="24"/>
              </w:rPr>
            </w:pPr>
            <w:r>
              <w:rPr>
                <w:rFonts w:hint="eastAsia" w:ascii="仿宋" w:hAnsi="仿宋"/>
                <w:color w:val="auto"/>
                <w:sz w:val="24"/>
                <w:highlight w:val="none"/>
              </w:rPr>
              <w:t>施工方案：方案科学合理、可行性强，并有针对性</w:t>
            </w:r>
            <w:r>
              <w:rPr>
                <w:rFonts w:hint="eastAsia" w:ascii="仿宋" w:hAnsi="仿宋"/>
                <w:color w:val="auto"/>
                <w:sz w:val="24"/>
                <w:highlight w:val="none"/>
                <w:lang w:eastAsia="zh-CN"/>
              </w:rPr>
              <w:t>地</w:t>
            </w:r>
            <w:r>
              <w:rPr>
                <w:rFonts w:hint="eastAsia" w:ascii="仿宋" w:hAnsi="仿宋"/>
                <w:color w:val="auto"/>
                <w:sz w:val="24"/>
                <w:highlight w:val="none"/>
              </w:rPr>
              <w:t>计</w:t>
            </w:r>
            <w:r>
              <w:rPr>
                <w:rFonts w:hint="eastAsia" w:ascii="仿宋" w:hAnsi="仿宋" w:cs="仿宋"/>
                <w:color w:val="auto"/>
                <w:sz w:val="24"/>
                <w:highlight w:val="none"/>
                <w:lang w:val="en-US" w:eastAsia="zh-CN"/>
              </w:rPr>
              <w:t>4.1—6</w:t>
            </w:r>
            <w:r>
              <w:rPr>
                <w:rFonts w:hint="eastAsia" w:ascii="仿宋" w:hAnsi="仿宋"/>
                <w:color w:val="auto"/>
                <w:sz w:val="24"/>
                <w:highlight w:val="none"/>
              </w:rPr>
              <w:t>分；方案完整、基本可行、无针对性计</w:t>
            </w:r>
            <w:r>
              <w:rPr>
                <w:rFonts w:hint="eastAsia" w:ascii="仿宋" w:hAnsi="仿宋" w:cs="仿宋"/>
                <w:color w:val="auto"/>
                <w:sz w:val="24"/>
                <w:highlight w:val="none"/>
                <w:lang w:val="en-US" w:eastAsia="zh-CN"/>
              </w:rPr>
              <w:t>2.1—4</w:t>
            </w:r>
            <w:r>
              <w:rPr>
                <w:rFonts w:hint="eastAsia" w:ascii="仿宋" w:hAnsi="仿宋"/>
                <w:color w:val="auto"/>
                <w:sz w:val="24"/>
                <w:highlight w:val="none"/>
              </w:rPr>
              <w:t>分；方案基本完整、可行性较差计</w:t>
            </w:r>
            <w:r>
              <w:rPr>
                <w:rFonts w:hint="eastAsia" w:ascii="仿宋" w:hAnsi="仿宋"/>
                <w:color w:val="auto"/>
                <w:sz w:val="24"/>
                <w:highlight w:val="none"/>
                <w:lang w:val="en-US" w:eastAsia="zh-CN"/>
              </w:rPr>
              <w:t>0.</w:t>
            </w:r>
            <w:r>
              <w:rPr>
                <w:rFonts w:hint="eastAsia" w:ascii="仿宋" w:hAnsi="仿宋" w:cs="仿宋"/>
                <w:color w:val="auto"/>
                <w:sz w:val="24"/>
                <w:highlight w:val="none"/>
                <w:lang w:val="en-US" w:eastAsia="zh-CN"/>
              </w:rPr>
              <w:t>1—2分</w:t>
            </w:r>
            <w:r>
              <w:rPr>
                <w:rFonts w:hint="eastAsia" w:ascii="仿宋" w:hAnsi="仿宋"/>
                <w:color w:val="auto"/>
                <w:sz w:val="24"/>
                <w:highlight w:val="none"/>
              </w:rPr>
              <w:t>；未提供不计分。</w:t>
            </w:r>
          </w:p>
        </w:tc>
      </w:tr>
      <w:tr w14:paraId="01F2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Merge w:val="continue"/>
            <w:noWrap w:val="0"/>
            <w:vAlign w:val="center"/>
          </w:tcPr>
          <w:p w14:paraId="56ACAC63">
            <w:pPr>
              <w:keepNext w:val="0"/>
              <w:keepLines w:val="0"/>
              <w:suppressLineNumbers w:val="0"/>
              <w:spacing w:before="0" w:beforeAutospacing="0" w:after="0" w:afterAutospacing="0"/>
              <w:ind w:left="0" w:right="0"/>
              <w:jc w:val="center"/>
              <w:rPr>
                <w:rFonts w:hint="eastAsia" w:ascii="仿宋" w:hAnsi="仿宋"/>
                <w:color w:val="auto"/>
                <w:sz w:val="24"/>
              </w:rPr>
            </w:pPr>
          </w:p>
        </w:tc>
        <w:tc>
          <w:tcPr>
            <w:tcW w:w="1276" w:type="dxa"/>
            <w:vMerge w:val="continue"/>
            <w:noWrap w:val="0"/>
            <w:vAlign w:val="center"/>
          </w:tcPr>
          <w:p w14:paraId="68DCEC88">
            <w:pPr>
              <w:keepNext w:val="0"/>
              <w:keepLines w:val="0"/>
              <w:suppressLineNumbers w:val="0"/>
              <w:spacing w:before="0" w:beforeAutospacing="0" w:after="0" w:afterAutospacing="0"/>
              <w:ind w:left="0" w:right="0"/>
              <w:jc w:val="center"/>
              <w:rPr>
                <w:rFonts w:hint="eastAsia" w:ascii="仿宋" w:hAnsi="仿宋"/>
                <w:color w:val="auto"/>
                <w:sz w:val="24"/>
              </w:rPr>
            </w:pPr>
          </w:p>
        </w:tc>
        <w:tc>
          <w:tcPr>
            <w:tcW w:w="708" w:type="dxa"/>
            <w:noWrap w:val="0"/>
            <w:vAlign w:val="center"/>
          </w:tcPr>
          <w:p w14:paraId="05FF3326">
            <w:pPr>
              <w:keepNext w:val="0"/>
              <w:keepLines w:val="0"/>
              <w:suppressLineNumbers w:val="0"/>
              <w:spacing w:before="0" w:beforeAutospacing="0" w:after="0" w:afterAutospacing="0" w:line="400" w:lineRule="exact"/>
              <w:ind w:left="0" w:right="0"/>
              <w:jc w:val="center"/>
              <w:rPr>
                <w:rFonts w:hint="eastAsia" w:ascii="仿宋" w:hAnsi="仿宋" w:eastAsia="宋体"/>
                <w:color w:val="auto"/>
                <w:sz w:val="24"/>
                <w:lang w:eastAsia="zh-CN"/>
              </w:rPr>
            </w:pPr>
            <w:r>
              <w:rPr>
                <w:rFonts w:hint="eastAsia" w:ascii="仿宋" w:hAnsi="仿宋"/>
                <w:color w:val="auto"/>
                <w:sz w:val="24"/>
                <w:lang w:val="en-US" w:eastAsia="zh-CN"/>
              </w:rPr>
              <w:t>6</w:t>
            </w:r>
          </w:p>
        </w:tc>
        <w:tc>
          <w:tcPr>
            <w:tcW w:w="7205" w:type="dxa"/>
            <w:noWrap w:val="0"/>
            <w:vAlign w:val="center"/>
          </w:tcPr>
          <w:p w14:paraId="7EDD9855">
            <w:pPr>
              <w:keepNext w:val="0"/>
              <w:keepLines w:val="0"/>
              <w:suppressLineNumbers w:val="0"/>
              <w:spacing w:before="0" w:beforeAutospacing="0" w:after="0" w:afterAutospacing="0" w:line="400" w:lineRule="exact"/>
              <w:ind w:left="0" w:right="0"/>
              <w:rPr>
                <w:rFonts w:hint="eastAsia" w:ascii="仿宋" w:hAnsi="仿宋"/>
                <w:color w:val="auto"/>
                <w:sz w:val="24"/>
              </w:rPr>
            </w:pPr>
            <w:r>
              <w:rPr>
                <w:rFonts w:hint="eastAsia" w:ascii="仿宋" w:hAnsi="仿宋"/>
                <w:color w:val="auto"/>
                <w:sz w:val="24"/>
                <w:highlight w:val="none"/>
              </w:rPr>
              <w:t>确保工程质量技术组织措施：措施完善、合理可行计</w:t>
            </w:r>
            <w:r>
              <w:rPr>
                <w:rFonts w:hint="eastAsia" w:ascii="仿宋" w:hAnsi="仿宋" w:cs="仿宋"/>
                <w:color w:val="auto"/>
                <w:sz w:val="24"/>
                <w:highlight w:val="none"/>
                <w:lang w:val="en-US" w:eastAsia="zh-CN"/>
              </w:rPr>
              <w:t>4.1—6</w:t>
            </w:r>
            <w:r>
              <w:rPr>
                <w:rFonts w:hint="eastAsia" w:ascii="仿宋" w:hAnsi="仿宋"/>
                <w:color w:val="auto"/>
                <w:sz w:val="24"/>
                <w:highlight w:val="none"/>
              </w:rPr>
              <w:t>分；措施基本完善、合理计</w:t>
            </w:r>
            <w:r>
              <w:rPr>
                <w:rFonts w:hint="eastAsia" w:ascii="仿宋" w:hAnsi="仿宋" w:cs="仿宋"/>
                <w:color w:val="auto"/>
                <w:sz w:val="24"/>
                <w:highlight w:val="none"/>
                <w:lang w:val="en-US" w:eastAsia="zh-CN"/>
              </w:rPr>
              <w:t>2.1—4</w:t>
            </w:r>
            <w:r>
              <w:rPr>
                <w:rFonts w:hint="eastAsia" w:ascii="仿宋" w:hAnsi="仿宋"/>
                <w:color w:val="auto"/>
                <w:sz w:val="24"/>
                <w:highlight w:val="none"/>
              </w:rPr>
              <w:t>分；措施欠缺、不利于项目实施计</w:t>
            </w:r>
            <w:r>
              <w:rPr>
                <w:rFonts w:hint="eastAsia" w:ascii="仿宋" w:hAnsi="仿宋"/>
                <w:color w:val="auto"/>
                <w:sz w:val="24"/>
                <w:highlight w:val="none"/>
                <w:lang w:val="en-US" w:eastAsia="zh-CN"/>
              </w:rPr>
              <w:t>0.1-2</w:t>
            </w:r>
            <w:r>
              <w:rPr>
                <w:rFonts w:hint="eastAsia" w:ascii="仿宋" w:hAnsi="仿宋"/>
                <w:color w:val="auto"/>
                <w:sz w:val="24"/>
                <w:highlight w:val="none"/>
              </w:rPr>
              <w:t>分；未提供不计分。</w:t>
            </w:r>
          </w:p>
        </w:tc>
      </w:tr>
      <w:tr w14:paraId="2DA6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9" w:type="dxa"/>
            <w:vMerge w:val="continue"/>
            <w:noWrap w:val="0"/>
            <w:vAlign w:val="center"/>
          </w:tcPr>
          <w:p w14:paraId="528CC6AA">
            <w:pPr>
              <w:keepNext w:val="0"/>
              <w:keepLines w:val="0"/>
              <w:suppressLineNumbers w:val="0"/>
              <w:spacing w:before="0" w:beforeAutospacing="0" w:after="0" w:afterAutospacing="0"/>
              <w:ind w:left="0" w:right="0"/>
              <w:jc w:val="center"/>
              <w:rPr>
                <w:rFonts w:hint="eastAsia" w:ascii="仿宋" w:hAnsi="仿宋"/>
                <w:color w:val="auto"/>
                <w:sz w:val="24"/>
              </w:rPr>
            </w:pPr>
          </w:p>
        </w:tc>
        <w:tc>
          <w:tcPr>
            <w:tcW w:w="1276" w:type="dxa"/>
            <w:vMerge w:val="continue"/>
            <w:noWrap w:val="0"/>
            <w:vAlign w:val="center"/>
          </w:tcPr>
          <w:p w14:paraId="1F685D6E">
            <w:pPr>
              <w:keepNext w:val="0"/>
              <w:keepLines w:val="0"/>
              <w:suppressLineNumbers w:val="0"/>
              <w:spacing w:before="0" w:beforeAutospacing="0" w:after="0" w:afterAutospacing="0"/>
              <w:ind w:left="0" w:right="0"/>
              <w:jc w:val="center"/>
              <w:rPr>
                <w:rFonts w:hint="eastAsia" w:ascii="仿宋" w:hAnsi="仿宋"/>
                <w:color w:val="auto"/>
                <w:sz w:val="24"/>
              </w:rPr>
            </w:pPr>
          </w:p>
        </w:tc>
        <w:tc>
          <w:tcPr>
            <w:tcW w:w="708" w:type="dxa"/>
            <w:noWrap w:val="0"/>
            <w:vAlign w:val="center"/>
          </w:tcPr>
          <w:p w14:paraId="792BE0D6">
            <w:pPr>
              <w:keepNext w:val="0"/>
              <w:keepLines w:val="0"/>
              <w:suppressLineNumbers w:val="0"/>
              <w:spacing w:before="0" w:beforeAutospacing="0" w:after="0" w:afterAutospacing="0"/>
              <w:ind w:left="0" w:right="0"/>
              <w:jc w:val="center"/>
              <w:rPr>
                <w:rFonts w:hint="eastAsia" w:ascii="仿宋" w:hAnsi="仿宋" w:eastAsia="仿宋"/>
                <w:color w:val="auto"/>
                <w:sz w:val="24"/>
                <w:lang w:eastAsia="zh-CN"/>
              </w:rPr>
            </w:pPr>
            <w:r>
              <w:rPr>
                <w:rFonts w:hint="eastAsia" w:ascii="仿宋" w:hAnsi="仿宋"/>
                <w:color w:val="auto"/>
                <w:sz w:val="24"/>
                <w:lang w:val="en-US" w:eastAsia="zh-CN"/>
              </w:rPr>
              <w:t>6</w:t>
            </w:r>
          </w:p>
        </w:tc>
        <w:tc>
          <w:tcPr>
            <w:tcW w:w="7205" w:type="dxa"/>
            <w:noWrap w:val="0"/>
            <w:vAlign w:val="center"/>
          </w:tcPr>
          <w:p w14:paraId="3FFA0FD7">
            <w:pPr>
              <w:keepNext w:val="0"/>
              <w:keepLines w:val="0"/>
              <w:suppressLineNumbers w:val="0"/>
              <w:spacing w:before="0" w:beforeAutospacing="0" w:after="0" w:afterAutospacing="0" w:line="400" w:lineRule="exact"/>
              <w:ind w:left="0" w:right="0"/>
              <w:rPr>
                <w:rFonts w:hint="eastAsia" w:ascii="仿宋" w:hAnsi="仿宋"/>
                <w:color w:val="auto"/>
                <w:sz w:val="24"/>
              </w:rPr>
            </w:pPr>
            <w:r>
              <w:rPr>
                <w:rFonts w:hint="eastAsia" w:ascii="仿宋" w:hAnsi="仿宋"/>
                <w:color w:val="auto"/>
                <w:sz w:val="24"/>
                <w:highlight w:val="none"/>
              </w:rPr>
              <w:t>确保安全生产技术组织措施：</w:t>
            </w:r>
            <w:r>
              <w:rPr>
                <w:rFonts w:hint="eastAsia" w:ascii="仿宋" w:hAnsi="仿宋"/>
                <w:color w:val="auto"/>
                <w:sz w:val="24"/>
                <w:highlight w:val="none"/>
                <w:lang w:val="en-US" w:eastAsia="zh-CN"/>
              </w:rPr>
              <w:t>制定</w:t>
            </w:r>
            <w:r>
              <w:rPr>
                <w:rFonts w:hint="default" w:ascii="Segoe UI" w:hAnsi="Segoe UI" w:eastAsia="Segoe UI" w:cs="Segoe UI"/>
                <w:i w:val="0"/>
                <w:iCs w:val="0"/>
                <w:caps w:val="0"/>
                <w:spacing w:val="0"/>
                <w:sz w:val="24"/>
                <w:szCs w:val="24"/>
                <w:shd w:val="clear" w:fill="FFFFFF"/>
              </w:rPr>
              <w:t>校园安全防护</w:t>
            </w:r>
            <w:r>
              <w:rPr>
                <w:rFonts w:hint="eastAsia" w:ascii="仿宋" w:hAnsi="仿宋"/>
                <w:color w:val="auto"/>
                <w:sz w:val="24"/>
                <w:highlight w:val="none"/>
                <w:lang w:val="en-US" w:eastAsia="zh-CN"/>
              </w:rPr>
              <w:t>等</w:t>
            </w:r>
            <w:r>
              <w:rPr>
                <w:rFonts w:hint="default" w:ascii="Segoe UI" w:hAnsi="Segoe UI" w:eastAsia="Segoe UI" w:cs="Segoe UI"/>
                <w:i w:val="0"/>
                <w:iCs w:val="0"/>
                <w:caps w:val="0"/>
                <w:spacing w:val="0"/>
                <w:sz w:val="24"/>
                <w:szCs w:val="24"/>
                <w:shd w:val="clear" w:fill="FFFFFF"/>
              </w:rPr>
              <w:t>措施</w:t>
            </w:r>
            <w:r>
              <w:rPr>
                <w:rFonts w:hint="eastAsia" w:ascii="仿宋" w:hAnsi="仿宋"/>
                <w:color w:val="auto"/>
                <w:sz w:val="24"/>
                <w:highlight w:val="none"/>
                <w:lang w:eastAsia="zh-CN"/>
              </w:rPr>
              <w:t>，</w:t>
            </w:r>
            <w:r>
              <w:rPr>
                <w:rFonts w:hint="eastAsia" w:ascii="仿宋" w:hAnsi="仿宋"/>
                <w:color w:val="auto"/>
                <w:sz w:val="24"/>
                <w:highlight w:val="none"/>
                <w:lang w:val="en-US" w:eastAsia="zh-CN"/>
              </w:rPr>
              <w:t>措施</w:t>
            </w:r>
            <w:r>
              <w:rPr>
                <w:rFonts w:hint="eastAsia" w:ascii="仿宋" w:hAnsi="仿宋"/>
                <w:color w:val="auto"/>
                <w:sz w:val="24"/>
                <w:highlight w:val="none"/>
              </w:rPr>
              <w:t>完善、合理可行计</w:t>
            </w:r>
            <w:r>
              <w:rPr>
                <w:rFonts w:hint="eastAsia" w:ascii="仿宋" w:hAnsi="仿宋" w:cs="仿宋"/>
                <w:color w:val="auto"/>
                <w:sz w:val="24"/>
                <w:highlight w:val="none"/>
                <w:lang w:val="en-US" w:eastAsia="zh-CN"/>
              </w:rPr>
              <w:t>3.1—6分</w:t>
            </w:r>
            <w:r>
              <w:rPr>
                <w:rFonts w:hint="eastAsia" w:ascii="仿宋" w:hAnsi="仿宋"/>
                <w:color w:val="auto"/>
                <w:sz w:val="24"/>
                <w:highlight w:val="none"/>
              </w:rPr>
              <w:t>；措施欠缺、不利于项目实施计</w:t>
            </w:r>
            <w:r>
              <w:rPr>
                <w:rFonts w:hint="eastAsia" w:ascii="仿宋" w:hAnsi="仿宋"/>
                <w:color w:val="auto"/>
                <w:sz w:val="24"/>
                <w:highlight w:val="none"/>
                <w:lang w:val="en-US" w:eastAsia="zh-CN"/>
              </w:rPr>
              <w:t>0.</w:t>
            </w:r>
            <w:r>
              <w:rPr>
                <w:rFonts w:hint="eastAsia" w:ascii="仿宋" w:hAnsi="仿宋" w:cs="仿宋"/>
                <w:color w:val="auto"/>
                <w:sz w:val="24"/>
                <w:highlight w:val="none"/>
                <w:lang w:val="en-US" w:eastAsia="zh-CN"/>
              </w:rPr>
              <w:t>1—3分；</w:t>
            </w:r>
            <w:r>
              <w:rPr>
                <w:rFonts w:hint="eastAsia" w:ascii="仿宋" w:hAnsi="仿宋"/>
                <w:color w:val="auto"/>
                <w:sz w:val="24"/>
                <w:highlight w:val="none"/>
              </w:rPr>
              <w:t>未提供不计分。</w:t>
            </w:r>
          </w:p>
        </w:tc>
      </w:tr>
      <w:tr w14:paraId="33D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9" w:type="dxa"/>
            <w:vMerge w:val="continue"/>
            <w:noWrap w:val="0"/>
            <w:vAlign w:val="center"/>
          </w:tcPr>
          <w:p w14:paraId="2C7F22AC">
            <w:pPr>
              <w:keepNext w:val="0"/>
              <w:keepLines w:val="0"/>
              <w:suppressLineNumbers w:val="0"/>
              <w:spacing w:before="0" w:beforeAutospacing="0" w:after="0" w:afterAutospacing="0"/>
              <w:ind w:left="0" w:right="0"/>
              <w:jc w:val="center"/>
              <w:rPr>
                <w:rFonts w:hint="eastAsia" w:ascii="仿宋" w:hAnsi="仿宋"/>
                <w:color w:val="auto"/>
                <w:sz w:val="24"/>
              </w:rPr>
            </w:pPr>
          </w:p>
        </w:tc>
        <w:tc>
          <w:tcPr>
            <w:tcW w:w="1276" w:type="dxa"/>
            <w:vMerge w:val="continue"/>
            <w:noWrap w:val="0"/>
            <w:vAlign w:val="center"/>
          </w:tcPr>
          <w:p w14:paraId="5C62708B">
            <w:pPr>
              <w:keepNext w:val="0"/>
              <w:keepLines w:val="0"/>
              <w:suppressLineNumbers w:val="0"/>
              <w:spacing w:before="0" w:beforeAutospacing="0" w:after="0" w:afterAutospacing="0"/>
              <w:ind w:left="0" w:right="0"/>
              <w:jc w:val="center"/>
              <w:rPr>
                <w:rFonts w:hint="eastAsia" w:ascii="仿宋" w:hAnsi="仿宋"/>
                <w:color w:val="auto"/>
                <w:sz w:val="24"/>
              </w:rPr>
            </w:pPr>
          </w:p>
        </w:tc>
        <w:tc>
          <w:tcPr>
            <w:tcW w:w="708" w:type="dxa"/>
            <w:noWrap w:val="0"/>
            <w:vAlign w:val="center"/>
          </w:tcPr>
          <w:p w14:paraId="2A9D3961">
            <w:pPr>
              <w:keepNext w:val="0"/>
              <w:keepLines w:val="0"/>
              <w:suppressLineNumbers w:val="0"/>
              <w:spacing w:before="0" w:beforeAutospacing="0" w:after="0" w:afterAutospacing="0"/>
              <w:ind w:left="0" w:right="0"/>
              <w:jc w:val="center"/>
              <w:rPr>
                <w:rFonts w:hint="eastAsia" w:ascii="仿宋" w:hAnsi="仿宋" w:eastAsia="仿宋"/>
                <w:color w:val="auto"/>
                <w:sz w:val="24"/>
                <w:lang w:eastAsia="zh-CN"/>
              </w:rPr>
            </w:pPr>
            <w:r>
              <w:rPr>
                <w:rFonts w:hint="eastAsia" w:ascii="仿宋" w:hAnsi="仿宋"/>
                <w:color w:val="auto"/>
                <w:sz w:val="24"/>
                <w:lang w:val="en-US" w:eastAsia="zh-CN"/>
              </w:rPr>
              <w:t>5</w:t>
            </w:r>
          </w:p>
        </w:tc>
        <w:tc>
          <w:tcPr>
            <w:tcW w:w="7205" w:type="dxa"/>
            <w:noWrap w:val="0"/>
            <w:vAlign w:val="center"/>
          </w:tcPr>
          <w:p w14:paraId="5F20E3F8">
            <w:pPr>
              <w:keepNext w:val="0"/>
              <w:keepLines w:val="0"/>
              <w:suppressLineNumbers w:val="0"/>
              <w:spacing w:before="0" w:beforeAutospacing="0" w:after="0" w:afterAutospacing="0" w:line="400" w:lineRule="exact"/>
              <w:ind w:left="0" w:right="0"/>
              <w:rPr>
                <w:rFonts w:hint="eastAsia" w:ascii="仿宋" w:hAnsi="仿宋"/>
                <w:color w:val="auto"/>
                <w:sz w:val="24"/>
              </w:rPr>
            </w:pPr>
            <w:r>
              <w:rPr>
                <w:rFonts w:hint="eastAsia" w:ascii="仿宋" w:hAnsi="仿宋"/>
                <w:color w:val="auto"/>
                <w:sz w:val="24"/>
                <w:highlight w:val="none"/>
              </w:rPr>
              <w:t>新技术新产品新工艺新材料应用：提供拟投入材料明细</w:t>
            </w:r>
            <w:r>
              <w:rPr>
                <w:rFonts w:hint="eastAsia" w:ascii="仿宋" w:hAnsi="仿宋"/>
                <w:color w:val="auto"/>
                <w:sz w:val="24"/>
                <w:highlight w:val="none"/>
                <w:lang w:val="en-US" w:eastAsia="zh-CN"/>
              </w:rPr>
              <w:t>及</w:t>
            </w:r>
            <w:r>
              <w:rPr>
                <w:rFonts w:hint="eastAsia" w:ascii="仿宋" w:hAnsi="仿宋"/>
                <w:color w:val="auto"/>
                <w:sz w:val="24"/>
                <w:highlight w:val="none"/>
              </w:rPr>
              <w:t>材料质量</w:t>
            </w:r>
            <w:r>
              <w:rPr>
                <w:rFonts w:hint="eastAsia" w:ascii="仿宋" w:hAnsi="仿宋"/>
                <w:color w:val="auto"/>
                <w:sz w:val="24"/>
                <w:highlight w:val="none"/>
                <w:lang w:val="en-US" w:eastAsia="zh-CN"/>
              </w:rPr>
              <w:t>符合环保要求的证明材料，</w:t>
            </w:r>
            <w:r>
              <w:rPr>
                <w:rFonts w:hint="eastAsia" w:ascii="仿宋" w:hAnsi="仿宋"/>
                <w:color w:val="auto"/>
                <w:sz w:val="24"/>
                <w:highlight w:val="none"/>
              </w:rPr>
              <w:t>提供完整计</w:t>
            </w:r>
            <w:r>
              <w:rPr>
                <w:rFonts w:hint="eastAsia" w:ascii="仿宋" w:hAnsi="仿宋" w:cs="仿宋"/>
                <w:color w:val="auto"/>
                <w:sz w:val="24"/>
                <w:highlight w:val="none"/>
                <w:lang w:val="en-US" w:eastAsia="zh-CN"/>
              </w:rPr>
              <w:t>3.1-5分</w:t>
            </w:r>
            <w:r>
              <w:rPr>
                <w:rFonts w:hint="eastAsia" w:ascii="仿宋" w:hAnsi="仿宋"/>
                <w:color w:val="auto"/>
                <w:sz w:val="24"/>
                <w:highlight w:val="none"/>
              </w:rPr>
              <w:t>，过于简单计</w:t>
            </w:r>
            <w:r>
              <w:rPr>
                <w:rFonts w:hint="eastAsia" w:ascii="仿宋" w:hAnsi="仿宋"/>
                <w:color w:val="auto"/>
                <w:sz w:val="24"/>
                <w:highlight w:val="none"/>
                <w:lang w:val="en-US" w:eastAsia="zh-CN"/>
              </w:rPr>
              <w:t>0.</w:t>
            </w:r>
            <w:r>
              <w:rPr>
                <w:rFonts w:hint="eastAsia" w:ascii="仿宋" w:hAnsi="仿宋" w:cs="仿宋"/>
                <w:color w:val="auto"/>
                <w:sz w:val="24"/>
                <w:highlight w:val="none"/>
                <w:lang w:val="en-US" w:eastAsia="zh-CN"/>
              </w:rPr>
              <w:t>1—3分</w:t>
            </w:r>
            <w:r>
              <w:rPr>
                <w:rFonts w:hint="eastAsia" w:ascii="仿宋" w:hAnsi="仿宋"/>
                <w:color w:val="auto"/>
                <w:sz w:val="24"/>
                <w:highlight w:val="none"/>
              </w:rPr>
              <w:t>，未提供不得分。</w:t>
            </w:r>
          </w:p>
        </w:tc>
      </w:tr>
      <w:tr w14:paraId="2C60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noWrap w:val="0"/>
            <w:vAlign w:val="center"/>
          </w:tcPr>
          <w:p w14:paraId="5782370C">
            <w:pPr>
              <w:keepNext w:val="0"/>
              <w:keepLines w:val="0"/>
              <w:suppressLineNumbers w:val="0"/>
              <w:spacing w:before="0" w:beforeAutospacing="0" w:after="0" w:afterAutospacing="0"/>
              <w:ind w:left="0" w:right="0"/>
              <w:jc w:val="center"/>
              <w:rPr>
                <w:rFonts w:hint="eastAsia" w:ascii="仿宋" w:hAnsi="仿宋"/>
                <w:color w:val="auto"/>
                <w:sz w:val="24"/>
              </w:rPr>
            </w:pPr>
          </w:p>
        </w:tc>
        <w:tc>
          <w:tcPr>
            <w:tcW w:w="1276" w:type="dxa"/>
            <w:vMerge w:val="continue"/>
            <w:noWrap w:val="0"/>
            <w:vAlign w:val="center"/>
          </w:tcPr>
          <w:p w14:paraId="72CF6986">
            <w:pPr>
              <w:keepNext w:val="0"/>
              <w:keepLines w:val="0"/>
              <w:suppressLineNumbers w:val="0"/>
              <w:spacing w:before="0" w:beforeAutospacing="0" w:after="0" w:afterAutospacing="0"/>
              <w:ind w:left="0" w:right="0"/>
              <w:jc w:val="center"/>
              <w:rPr>
                <w:rFonts w:hint="eastAsia" w:ascii="仿宋" w:hAnsi="仿宋"/>
                <w:color w:val="auto"/>
                <w:sz w:val="24"/>
              </w:rPr>
            </w:pPr>
          </w:p>
        </w:tc>
        <w:tc>
          <w:tcPr>
            <w:tcW w:w="708" w:type="dxa"/>
            <w:noWrap w:val="0"/>
            <w:vAlign w:val="center"/>
          </w:tcPr>
          <w:p w14:paraId="2EB6D2D2">
            <w:pPr>
              <w:keepNext w:val="0"/>
              <w:keepLines w:val="0"/>
              <w:suppressLineNumbers w:val="0"/>
              <w:spacing w:before="0" w:beforeAutospacing="0" w:after="0" w:afterAutospacing="0"/>
              <w:ind w:left="0" w:right="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6</w:t>
            </w:r>
          </w:p>
        </w:tc>
        <w:tc>
          <w:tcPr>
            <w:tcW w:w="7205" w:type="dxa"/>
            <w:noWrap w:val="0"/>
            <w:vAlign w:val="center"/>
          </w:tcPr>
          <w:p w14:paraId="3B07C9BA">
            <w:pPr>
              <w:keepNext w:val="0"/>
              <w:keepLines w:val="0"/>
              <w:suppressLineNumbers w:val="0"/>
              <w:spacing w:before="0" w:beforeAutospacing="0" w:after="0" w:afterAutospacing="0" w:line="400" w:lineRule="exact"/>
              <w:ind w:left="0" w:right="0"/>
              <w:rPr>
                <w:rFonts w:hint="eastAsia" w:ascii="仿宋" w:hAnsi="仿宋"/>
                <w:color w:val="auto"/>
                <w:sz w:val="24"/>
              </w:rPr>
            </w:pPr>
            <w:r>
              <w:rPr>
                <w:rFonts w:hint="eastAsia" w:ascii="仿宋" w:hAnsi="仿宋"/>
                <w:color w:val="auto"/>
                <w:sz w:val="24"/>
                <w:highlight w:val="none"/>
                <w:lang w:val="en-US" w:eastAsia="zh-CN"/>
              </w:rPr>
              <w:t>工器具</w:t>
            </w:r>
            <w:r>
              <w:rPr>
                <w:rFonts w:hint="eastAsia" w:ascii="仿宋" w:hAnsi="仿宋"/>
                <w:color w:val="auto"/>
                <w:sz w:val="24"/>
                <w:highlight w:val="none"/>
              </w:rPr>
              <w:t>配备和材料投入计划：提供拟配备</w:t>
            </w:r>
            <w:r>
              <w:rPr>
                <w:rFonts w:hint="eastAsia" w:ascii="仿宋" w:hAnsi="仿宋"/>
                <w:color w:val="auto"/>
                <w:sz w:val="24"/>
                <w:highlight w:val="none"/>
                <w:lang w:val="en-US" w:eastAsia="zh-CN"/>
              </w:rPr>
              <w:t>工器具</w:t>
            </w:r>
            <w:r>
              <w:rPr>
                <w:rFonts w:hint="eastAsia" w:ascii="仿宋" w:hAnsi="仿宋"/>
                <w:color w:val="auto"/>
                <w:sz w:val="24"/>
                <w:highlight w:val="none"/>
              </w:rPr>
              <w:t>及拟投入材料明细，提供完整计</w:t>
            </w:r>
            <w:r>
              <w:rPr>
                <w:rFonts w:hint="eastAsia" w:ascii="仿宋" w:hAnsi="仿宋" w:cs="仿宋"/>
                <w:color w:val="auto"/>
                <w:sz w:val="24"/>
                <w:highlight w:val="none"/>
                <w:lang w:val="en-US" w:eastAsia="zh-CN"/>
              </w:rPr>
              <w:t>3.1—6</w:t>
            </w:r>
            <w:r>
              <w:rPr>
                <w:rFonts w:hint="eastAsia" w:ascii="仿宋" w:hAnsi="仿宋"/>
                <w:color w:val="auto"/>
                <w:sz w:val="24"/>
                <w:highlight w:val="none"/>
              </w:rPr>
              <w:t>分，过于简单计</w:t>
            </w:r>
            <w:r>
              <w:rPr>
                <w:rFonts w:hint="eastAsia" w:ascii="仿宋" w:hAnsi="仿宋"/>
                <w:color w:val="auto"/>
                <w:sz w:val="24"/>
                <w:highlight w:val="none"/>
                <w:lang w:val="en-US" w:eastAsia="zh-CN"/>
              </w:rPr>
              <w:t>0.</w:t>
            </w:r>
            <w:r>
              <w:rPr>
                <w:rFonts w:hint="eastAsia" w:ascii="仿宋" w:hAnsi="仿宋" w:cs="仿宋"/>
                <w:color w:val="auto"/>
                <w:sz w:val="24"/>
                <w:highlight w:val="none"/>
                <w:lang w:val="en-US" w:eastAsia="zh-CN"/>
              </w:rPr>
              <w:t>1—3</w:t>
            </w:r>
            <w:r>
              <w:rPr>
                <w:rFonts w:hint="eastAsia" w:ascii="仿宋" w:hAnsi="仿宋"/>
                <w:color w:val="auto"/>
                <w:sz w:val="24"/>
                <w:highlight w:val="none"/>
              </w:rPr>
              <w:t>分，未提供不得分。</w:t>
            </w:r>
          </w:p>
        </w:tc>
      </w:tr>
      <w:tr w14:paraId="6343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9" w:type="dxa"/>
            <w:vMerge w:val="continue"/>
            <w:noWrap w:val="0"/>
            <w:vAlign w:val="center"/>
          </w:tcPr>
          <w:p w14:paraId="4254458D">
            <w:pPr>
              <w:keepNext w:val="0"/>
              <w:keepLines w:val="0"/>
              <w:suppressLineNumbers w:val="0"/>
              <w:spacing w:before="0" w:beforeAutospacing="0" w:after="0" w:afterAutospacing="0"/>
              <w:ind w:left="0" w:right="0"/>
              <w:jc w:val="center"/>
              <w:rPr>
                <w:rFonts w:hint="eastAsia" w:ascii="仿宋" w:hAnsi="仿宋"/>
                <w:color w:val="auto"/>
                <w:sz w:val="24"/>
              </w:rPr>
            </w:pPr>
          </w:p>
        </w:tc>
        <w:tc>
          <w:tcPr>
            <w:tcW w:w="1276" w:type="dxa"/>
            <w:vMerge w:val="continue"/>
            <w:noWrap w:val="0"/>
            <w:vAlign w:val="center"/>
          </w:tcPr>
          <w:p w14:paraId="565CCA11">
            <w:pPr>
              <w:keepNext w:val="0"/>
              <w:keepLines w:val="0"/>
              <w:suppressLineNumbers w:val="0"/>
              <w:spacing w:before="0" w:beforeAutospacing="0" w:after="0" w:afterAutospacing="0"/>
              <w:ind w:left="0" w:right="0"/>
              <w:jc w:val="center"/>
              <w:rPr>
                <w:rFonts w:hint="eastAsia" w:ascii="仿宋" w:hAnsi="仿宋"/>
                <w:color w:val="auto"/>
                <w:sz w:val="24"/>
              </w:rPr>
            </w:pPr>
          </w:p>
        </w:tc>
        <w:tc>
          <w:tcPr>
            <w:tcW w:w="708" w:type="dxa"/>
            <w:noWrap w:val="0"/>
            <w:vAlign w:val="center"/>
          </w:tcPr>
          <w:p w14:paraId="11B39F49">
            <w:pPr>
              <w:keepNext w:val="0"/>
              <w:keepLines w:val="0"/>
              <w:suppressLineNumbers w:val="0"/>
              <w:spacing w:before="0" w:beforeAutospacing="0" w:after="0" w:afterAutospacing="0"/>
              <w:ind w:left="0" w:right="0"/>
              <w:jc w:val="center"/>
              <w:rPr>
                <w:rFonts w:hint="eastAsia" w:ascii="仿宋" w:hAnsi="仿宋" w:eastAsia="宋体"/>
                <w:color w:val="auto"/>
                <w:sz w:val="24"/>
                <w:lang w:eastAsia="zh-CN"/>
              </w:rPr>
            </w:pPr>
            <w:r>
              <w:rPr>
                <w:rFonts w:hint="eastAsia" w:ascii="仿宋" w:hAnsi="仿宋"/>
                <w:color w:val="auto"/>
                <w:sz w:val="24"/>
                <w:lang w:val="en-US" w:eastAsia="zh-CN"/>
              </w:rPr>
              <w:t>6</w:t>
            </w:r>
          </w:p>
        </w:tc>
        <w:tc>
          <w:tcPr>
            <w:tcW w:w="7205" w:type="dxa"/>
            <w:noWrap w:val="0"/>
            <w:vAlign w:val="center"/>
          </w:tcPr>
          <w:p w14:paraId="02B387ED">
            <w:pPr>
              <w:keepNext w:val="0"/>
              <w:keepLines w:val="0"/>
              <w:suppressLineNumbers w:val="0"/>
              <w:spacing w:before="0" w:beforeAutospacing="0" w:after="0" w:afterAutospacing="0" w:line="400" w:lineRule="exact"/>
              <w:ind w:left="0" w:right="0"/>
              <w:rPr>
                <w:rFonts w:hint="eastAsia" w:ascii="仿宋" w:hAnsi="仿宋"/>
                <w:color w:val="auto"/>
                <w:sz w:val="24"/>
              </w:rPr>
            </w:pPr>
            <w:r>
              <w:rPr>
                <w:rFonts w:hint="eastAsia" w:ascii="仿宋" w:hAnsi="仿宋"/>
                <w:color w:val="auto"/>
                <w:sz w:val="24"/>
                <w:highlight w:val="none"/>
              </w:rPr>
              <w:t>确保文明施工的技术组织措施</w:t>
            </w:r>
            <w:r>
              <w:rPr>
                <w:rFonts w:hint="eastAsia" w:ascii="仿宋" w:hAnsi="仿宋"/>
                <w:color w:val="auto"/>
                <w:sz w:val="24"/>
                <w:highlight w:val="none"/>
                <w:lang w:eastAsia="zh-CN"/>
              </w:rPr>
              <w:t>：</w:t>
            </w:r>
            <w:r>
              <w:rPr>
                <w:rFonts w:hint="default" w:ascii="Segoe UI" w:hAnsi="Segoe UI" w:eastAsia="Segoe UI" w:cs="Segoe UI"/>
                <w:i w:val="0"/>
                <w:iCs w:val="0"/>
                <w:caps w:val="0"/>
                <w:spacing w:val="0"/>
                <w:sz w:val="24"/>
                <w:szCs w:val="24"/>
                <w:shd w:val="clear" w:fill="FFFFFF"/>
              </w:rPr>
              <w:t>制定降噪降尘</w:t>
            </w:r>
            <w:r>
              <w:rPr>
                <w:rFonts w:hint="eastAsia" w:ascii="Segoe UI" w:hAnsi="Segoe UI" w:eastAsia="宋体" w:cs="Segoe UI"/>
                <w:i w:val="0"/>
                <w:iCs w:val="0"/>
                <w:caps w:val="0"/>
                <w:spacing w:val="0"/>
                <w:sz w:val="24"/>
                <w:szCs w:val="24"/>
                <w:shd w:val="clear" w:fill="FFFFFF"/>
                <w:lang w:val="en-US" w:eastAsia="zh-CN"/>
              </w:rPr>
              <w:t>、</w:t>
            </w:r>
            <w:r>
              <w:rPr>
                <w:rFonts w:hint="eastAsia" w:ascii="仿宋" w:hAnsi="仿宋"/>
                <w:color w:val="auto"/>
                <w:sz w:val="24"/>
                <w:highlight w:val="none"/>
              </w:rPr>
              <w:t>环境保护</w:t>
            </w:r>
            <w:r>
              <w:rPr>
                <w:rFonts w:hint="eastAsia" w:ascii="仿宋" w:hAnsi="仿宋"/>
                <w:color w:val="auto"/>
                <w:sz w:val="24"/>
                <w:highlight w:val="none"/>
                <w:lang w:eastAsia="zh-CN"/>
              </w:rPr>
              <w:t>、</w:t>
            </w:r>
            <w:r>
              <w:rPr>
                <w:rFonts w:hint="eastAsia" w:ascii="仿宋" w:hAnsi="仿宋"/>
                <w:color w:val="auto"/>
                <w:sz w:val="24"/>
                <w:highlight w:val="none"/>
                <w:lang w:val="en-US" w:eastAsia="zh-CN"/>
              </w:rPr>
              <w:t>文明施工等</w:t>
            </w:r>
            <w:r>
              <w:rPr>
                <w:rFonts w:hint="eastAsia" w:ascii="仿宋" w:hAnsi="仿宋"/>
                <w:color w:val="auto"/>
                <w:sz w:val="24"/>
                <w:highlight w:val="none"/>
                <w:lang w:eastAsia="zh-CN"/>
              </w:rPr>
              <w:t>措施，</w:t>
            </w:r>
            <w:r>
              <w:rPr>
                <w:rFonts w:hint="eastAsia" w:ascii="仿宋" w:hAnsi="仿宋"/>
                <w:color w:val="auto"/>
                <w:sz w:val="24"/>
                <w:highlight w:val="none"/>
                <w:lang w:val="en-US" w:eastAsia="zh-CN"/>
              </w:rPr>
              <w:t>措施</w:t>
            </w:r>
            <w:r>
              <w:rPr>
                <w:rFonts w:hint="eastAsia" w:ascii="仿宋" w:hAnsi="仿宋"/>
                <w:color w:val="auto"/>
                <w:sz w:val="24"/>
                <w:highlight w:val="none"/>
              </w:rPr>
              <w:t>完善、合理可行计</w:t>
            </w:r>
            <w:r>
              <w:rPr>
                <w:rFonts w:hint="eastAsia" w:ascii="仿宋" w:hAnsi="仿宋" w:cs="仿宋"/>
                <w:color w:val="auto"/>
                <w:sz w:val="24"/>
                <w:highlight w:val="none"/>
                <w:lang w:val="en-US" w:eastAsia="zh-CN"/>
              </w:rPr>
              <w:t>3.1—6分</w:t>
            </w:r>
            <w:r>
              <w:rPr>
                <w:rFonts w:hint="eastAsia" w:ascii="仿宋" w:hAnsi="仿宋"/>
                <w:color w:val="auto"/>
                <w:sz w:val="24"/>
                <w:highlight w:val="none"/>
              </w:rPr>
              <w:t>；措施简单、考虑不全面计</w:t>
            </w:r>
            <w:r>
              <w:rPr>
                <w:rFonts w:hint="eastAsia" w:ascii="仿宋" w:hAnsi="仿宋"/>
                <w:color w:val="auto"/>
                <w:sz w:val="24"/>
                <w:highlight w:val="none"/>
                <w:lang w:val="en-US" w:eastAsia="zh-CN"/>
              </w:rPr>
              <w:t>0.</w:t>
            </w:r>
            <w:r>
              <w:rPr>
                <w:rFonts w:hint="eastAsia" w:ascii="仿宋" w:hAnsi="仿宋" w:cs="仿宋"/>
                <w:color w:val="auto"/>
                <w:sz w:val="24"/>
                <w:highlight w:val="none"/>
                <w:lang w:val="en-US" w:eastAsia="zh-CN"/>
              </w:rPr>
              <w:t>1—3分</w:t>
            </w:r>
            <w:r>
              <w:rPr>
                <w:rFonts w:hint="eastAsia" w:ascii="仿宋" w:hAnsi="仿宋"/>
                <w:color w:val="auto"/>
                <w:sz w:val="24"/>
                <w:highlight w:val="none"/>
              </w:rPr>
              <w:t>；未提供不计分。</w:t>
            </w:r>
          </w:p>
        </w:tc>
      </w:tr>
      <w:tr w14:paraId="03B2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09" w:type="dxa"/>
            <w:noWrap w:val="0"/>
            <w:vAlign w:val="center"/>
          </w:tcPr>
          <w:p w14:paraId="41039F53">
            <w:pPr>
              <w:keepNext w:val="0"/>
              <w:keepLines w:val="0"/>
              <w:suppressLineNumbers w:val="0"/>
              <w:spacing w:before="0" w:beforeAutospacing="0" w:after="0" w:afterAutospacing="0"/>
              <w:ind w:left="0" w:right="0"/>
              <w:jc w:val="center"/>
              <w:rPr>
                <w:rFonts w:hint="default" w:ascii="仿宋" w:hAnsi="仿宋"/>
                <w:color w:val="auto"/>
                <w:sz w:val="24"/>
                <w:lang w:val="en-US" w:eastAsia="zh-CN"/>
              </w:rPr>
            </w:pPr>
            <w:r>
              <w:rPr>
                <w:rFonts w:hint="eastAsia" w:ascii="仿宋" w:hAnsi="仿宋"/>
                <w:color w:val="auto"/>
                <w:sz w:val="24"/>
                <w:lang w:val="en-US" w:eastAsia="zh-CN"/>
              </w:rPr>
              <w:t>4</w:t>
            </w:r>
          </w:p>
        </w:tc>
        <w:tc>
          <w:tcPr>
            <w:tcW w:w="1276" w:type="dxa"/>
            <w:noWrap w:val="0"/>
            <w:vAlign w:val="center"/>
          </w:tcPr>
          <w:p w14:paraId="05B3EFD1">
            <w:pPr>
              <w:keepNext w:val="0"/>
              <w:keepLines w:val="0"/>
              <w:suppressLineNumbers w:val="0"/>
              <w:spacing w:before="0" w:beforeAutospacing="0" w:after="0" w:afterAutospacing="0"/>
              <w:ind w:left="0" w:right="0"/>
              <w:jc w:val="center"/>
              <w:rPr>
                <w:rFonts w:hint="default" w:ascii="仿宋" w:hAnsi="仿宋" w:eastAsia="宋体"/>
                <w:color w:val="auto"/>
                <w:sz w:val="24"/>
                <w:lang w:val="en-US" w:eastAsia="zh-CN"/>
              </w:rPr>
            </w:pPr>
            <w:r>
              <w:rPr>
                <w:rFonts w:hint="eastAsia" w:ascii="仿宋" w:hAnsi="仿宋"/>
                <w:color w:val="auto"/>
                <w:sz w:val="24"/>
                <w:lang w:val="en-US" w:eastAsia="zh-CN"/>
              </w:rPr>
              <w:t>应急预案（4分）</w:t>
            </w:r>
          </w:p>
        </w:tc>
        <w:tc>
          <w:tcPr>
            <w:tcW w:w="708" w:type="dxa"/>
            <w:noWrap w:val="0"/>
            <w:vAlign w:val="center"/>
          </w:tcPr>
          <w:p w14:paraId="694B6A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 w:hAnsi="仿宋" w:eastAsia="仿宋"/>
                <w:color w:val="auto"/>
                <w:sz w:val="24"/>
                <w:lang w:val="en-US" w:eastAsia="zh-CN"/>
              </w:rPr>
            </w:pPr>
            <w:r>
              <w:rPr>
                <w:rFonts w:hint="eastAsia" w:ascii="仿宋" w:hAnsi="仿宋" w:eastAsia="仿宋"/>
                <w:color w:val="auto"/>
                <w:sz w:val="24"/>
                <w:lang w:val="en-US" w:eastAsia="zh-CN"/>
              </w:rPr>
              <w:t>4</w:t>
            </w:r>
          </w:p>
        </w:tc>
        <w:tc>
          <w:tcPr>
            <w:tcW w:w="7205" w:type="dxa"/>
            <w:noWrap w:val="0"/>
            <w:vAlign w:val="center"/>
          </w:tcPr>
          <w:p w14:paraId="117670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仿宋" w:hAnsi="仿宋" w:eastAsia="宋体"/>
                <w:color w:val="auto"/>
                <w:sz w:val="24"/>
                <w:lang w:val="en-US" w:eastAsia="zh-CN"/>
              </w:rPr>
            </w:pPr>
            <w:r>
              <w:rPr>
                <w:rFonts w:hint="eastAsia" w:ascii="仿宋" w:hAnsi="仿宋" w:eastAsia="宋体"/>
                <w:color w:val="auto"/>
                <w:sz w:val="24"/>
                <w:highlight w:val="none"/>
                <w:lang w:val="en-US" w:eastAsia="zh-CN"/>
              </w:rPr>
              <w:t>针对本项目有可能发生的</w:t>
            </w:r>
            <w:r>
              <w:rPr>
                <w:rFonts w:hint="eastAsia" w:ascii="仿宋" w:hAnsi="仿宋" w:eastAsia="宋体"/>
                <w:color w:val="auto"/>
                <w:sz w:val="24"/>
                <w:highlight w:val="none"/>
              </w:rPr>
              <w:t>突发事件的应急措施和解决方案，各项措施方案合理、可行，方法得当、阐述条理清晰详尽、符合本项目要求的得</w:t>
            </w:r>
            <w:r>
              <w:rPr>
                <w:rFonts w:hint="eastAsia" w:ascii="仿宋" w:hAnsi="仿宋" w:eastAsia="宋体"/>
                <w:color w:val="auto"/>
                <w:sz w:val="24"/>
                <w:highlight w:val="none"/>
                <w:lang w:val="en-US" w:eastAsia="zh-CN"/>
              </w:rPr>
              <w:t>3.1-4</w:t>
            </w:r>
            <w:r>
              <w:rPr>
                <w:rFonts w:hint="eastAsia" w:ascii="仿宋" w:hAnsi="仿宋" w:eastAsia="宋体"/>
                <w:color w:val="auto"/>
                <w:sz w:val="24"/>
                <w:highlight w:val="none"/>
              </w:rPr>
              <w:t>分</w:t>
            </w:r>
            <w:r>
              <w:rPr>
                <w:rFonts w:hint="eastAsia" w:ascii="仿宋" w:hAnsi="仿宋" w:eastAsia="宋体"/>
                <w:color w:val="auto"/>
                <w:sz w:val="24"/>
                <w:highlight w:val="none"/>
                <w:lang w:eastAsia="zh-CN"/>
              </w:rPr>
              <w:t>；</w:t>
            </w:r>
            <w:r>
              <w:rPr>
                <w:rFonts w:hint="eastAsia" w:ascii="仿宋" w:hAnsi="仿宋" w:eastAsia="宋体"/>
                <w:color w:val="auto"/>
                <w:sz w:val="24"/>
                <w:highlight w:val="none"/>
                <w:lang w:val="en-US" w:eastAsia="zh-CN"/>
              </w:rPr>
              <w:t>措施方案基本合理可行，方法基本得当，阐述</w:t>
            </w:r>
            <w:r>
              <w:rPr>
                <w:rFonts w:hint="eastAsia" w:ascii="仿宋" w:hAnsi="仿宋" w:eastAsia="宋体"/>
                <w:color w:val="auto"/>
                <w:sz w:val="24"/>
                <w:highlight w:val="none"/>
              </w:rPr>
              <w:t>条理</w:t>
            </w:r>
            <w:r>
              <w:rPr>
                <w:rFonts w:hint="eastAsia" w:ascii="仿宋" w:hAnsi="仿宋" w:eastAsia="宋体"/>
                <w:color w:val="auto"/>
                <w:sz w:val="24"/>
                <w:highlight w:val="none"/>
                <w:lang w:val="en-US" w:eastAsia="zh-CN"/>
              </w:rPr>
              <w:t>较为</w:t>
            </w:r>
            <w:r>
              <w:rPr>
                <w:rFonts w:hint="eastAsia" w:ascii="仿宋" w:hAnsi="仿宋" w:eastAsia="宋体"/>
                <w:color w:val="auto"/>
                <w:sz w:val="24"/>
                <w:highlight w:val="none"/>
              </w:rPr>
              <w:t>清晰详尽</w:t>
            </w:r>
            <w:r>
              <w:rPr>
                <w:rFonts w:hint="eastAsia" w:ascii="仿宋" w:hAnsi="仿宋" w:eastAsia="宋体"/>
                <w:color w:val="auto"/>
                <w:sz w:val="24"/>
                <w:highlight w:val="none"/>
                <w:lang w:eastAsia="zh-CN"/>
              </w:rPr>
              <w:t>，</w:t>
            </w:r>
            <w:r>
              <w:rPr>
                <w:rFonts w:hint="eastAsia" w:ascii="仿宋" w:hAnsi="仿宋" w:eastAsia="宋体"/>
                <w:color w:val="auto"/>
                <w:sz w:val="24"/>
                <w:highlight w:val="none"/>
                <w:lang w:val="en-US" w:eastAsia="zh-CN"/>
              </w:rPr>
              <w:t>基本符合本项目要求的得1.1-3分；措施方案合理可行性不足，方法有所欠缺，不够清晰详尽，和本项目有差异的得0.1-1分；</w:t>
            </w:r>
            <w:r>
              <w:rPr>
                <w:rFonts w:hint="eastAsia" w:ascii="仿宋" w:hAnsi="仿宋"/>
                <w:color w:val="auto"/>
                <w:sz w:val="24"/>
                <w:highlight w:val="none"/>
              </w:rPr>
              <w:t>未提供不计分。</w:t>
            </w:r>
          </w:p>
        </w:tc>
      </w:tr>
      <w:tr w14:paraId="4B7E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09" w:type="dxa"/>
            <w:noWrap w:val="0"/>
            <w:vAlign w:val="center"/>
          </w:tcPr>
          <w:p w14:paraId="3FD535AC">
            <w:pPr>
              <w:keepNext w:val="0"/>
              <w:keepLines w:val="0"/>
              <w:suppressLineNumbers w:val="0"/>
              <w:spacing w:before="0" w:beforeAutospacing="0" w:after="0" w:afterAutospacing="0"/>
              <w:ind w:left="0" w:right="0"/>
              <w:jc w:val="center"/>
              <w:rPr>
                <w:rFonts w:hint="eastAsia" w:ascii="仿宋" w:hAnsi="仿宋" w:eastAsia="宋体"/>
                <w:color w:val="auto"/>
                <w:sz w:val="24"/>
                <w:lang w:eastAsia="zh-CN"/>
              </w:rPr>
            </w:pPr>
            <w:r>
              <w:rPr>
                <w:rFonts w:hint="eastAsia" w:ascii="仿宋" w:hAnsi="仿宋"/>
                <w:color w:val="auto"/>
                <w:sz w:val="24"/>
                <w:lang w:val="en-US" w:eastAsia="zh-CN"/>
              </w:rPr>
              <w:t>5</w:t>
            </w:r>
          </w:p>
        </w:tc>
        <w:tc>
          <w:tcPr>
            <w:tcW w:w="1276" w:type="dxa"/>
            <w:noWrap w:val="0"/>
            <w:vAlign w:val="center"/>
          </w:tcPr>
          <w:p w14:paraId="35A18D0C">
            <w:pPr>
              <w:keepNext w:val="0"/>
              <w:keepLines w:val="0"/>
              <w:suppressLineNumbers w:val="0"/>
              <w:spacing w:before="0" w:beforeAutospacing="0" w:after="0" w:afterAutospacing="0"/>
              <w:ind w:left="0" w:right="0"/>
              <w:jc w:val="center"/>
              <w:rPr>
                <w:rFonts w:hint="default" w:ascii="仿宋" w:hAnsi="仿宋"/>
                <w:color w:val="auto"/>
                <w:sz w:val="24"/>
              </w:rPr>
            </w:pPr>
            <w:r>
              <w:rPr>
                <w:rFonts w:hint="eastAsia" w:ascii="仿宋" w:hAnsi="仿宋"/>
                <w:color w:val="auto"/>
                <w:sz w:val="24"/>
              </w:rPr>
              <w:t>业绩（</w:t>
            </w:r>
            <w:r>
              <w:rPr>
                <w:rFonts w:hint="eastAsia" w:ascii="仿宋" w:hAnsi="仿宋"/>
                <w:color w:val="auto"/>
                <w:sz w:val="24"/>
                <w:lang w:val="en-US" w:eastAsia="zh-CN"/>
              </w:rPr>
              <w:t>6</w:t>
            </w:r>
            <w:r>
              <w:rPr>
                <w:rFonts w:hint="eastAsia" w:ascii="仿宋" w:hAnsi="仿宋"/>
                <w:color w:val="auto"/>
                <w:sz w:val="24"/>
              </w:rPr>
              <w:t>分）</w:t>
            </w:r>
          </w:p>
        </w:tc>
        <w:tc>
          <w:tcPr>
            <w:tcW w:w="708" w:type="dxa"/>
            <w:noWrap w:val="0"/>
            <w:vAlign w:val="center"/>
          </w:tcPr>
          <w:p w14:paraId="44F0F798">
            <w:pPr>
              <w:keepNext w:val="0"/>
              <w:keepLines w:val="0"/>
              <w:suppressLineNumbers w:val="0"/>
              <w:spacing w:before="0" w:beforeAutospacing="0" w:after="0" w:afterAutospacing="0"/>
              <w:ind w:left="0" w:right="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6</w:t>
            </w:r>
          </w:p>
        </w:tc>
        <w:tc>
          <w:tcPr>
            <w:tcW w:w="7205" w:type="dxa"/>
            <w:noWrap w:val="0"/>
            <w:vAlign w:val="center"/>
          </w:tcPr>
          <w:p w14:paraId="3C44493A">
            <w:pPr>
              <w:keepNext w:val="0"/>
              <w:keepLines w:val="0"/>
              <w:suppressLineNumbers w:val="0"/>
              <w:spacing w:before="0" w:beforeAutospacing="0" w:after="0" w:afterAutospacing="0"/>
              <w:ind w:left="0" w:right="0"/>
              <w:jc w:val="left"/>
              <w:rPr>
                <w:rFonts w:hint="default" w:ascii="仿宋" w:hAnsi="仿宋" w:eastAsia="宋体"/>
                <w:color w:val="auto"/>
                <w:sz w:val="24"/>
                <w:lang w:val="en-US" w:eastAsia="zh-CN"/>
              </w:rPr>
            </w:pPr>
            <w:r>
              <w:rPr>
                <w:rFonts w:hint="eastAsia" w:ascii="仿宋" w:hAnsi="仿宋"/>
                <w:color w:val="auto"/>
                <w:sz w:val="24"/>
              </w:rPr>
              <w:t>业绩：</w:t>
            </w:r>
            <w:r>
              <w:rPr>
                <w:rFonts w:hint="eastAsia" w:ascii="宋体" w:hAnsi="宋体" w:eastAsia="宋体" w:cs="宋体"/>
                <w:bCs/>
                <w:color w:val="auto"/>
                <w:sz w:val="24"/>
                <w:szCs w:val="24"/>
              </w:rPr>
              <w:t>投标</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提供</w:t>
            </w:r>
            <w:r>
              <w:rPr>
                <w:rFonts w:hint="eastAsia" w:ascii="宋体" w:hAnsi="宋体" w:cs="宋体"/>
                <w:bCs/>
                <w:color w:val="auto"/>
                <w:sz w:val="24"/>
                <w:szCs w:val="24"/>
                <w:lang w:val="en-US" w:eastAsia="zh-CN"/>
              </w:rPr>
              <w:t>2022</w:t>
            </w:r>
            <w:r>
              <w:rPr>
                <w:rFonts w:hint="eastAsia" w:ascii="宋体" w:hAnsi="宋体" w:eastAsia="宋体" w:cs="宋体"/>
                <w:bCs/>
                <w:color w:val="auto"/>
                <w:sz w:val="24"/>
                <w:szCs w:val="24"/>
                <w:lang w:val="en-US" w:eastAsia="zh-CN"/>
              </w:rPr>
              <w:t>年</w:t>
            </w:r>
            <w:r>
              <w:rPr>
                <w:rFonts w:hint="eastAsia" w:ascii="宋体" w:hAnsi="宋体" w:cs="宋体"/>
                <w:bCs/>
                <w:color w:val="auto"/>
                <w:sz w:val="24"/>
                <w:szCs w:val="24"/>
                <w:lang w:val="en-US" w:eastAsia="zh-CN"/>
              </w:rPr>
              <w:t>9</w:t>
            </w:r>
            <w:r>
              <w:rPr>
                <w:rFonts w:hint="eastAsia" w:ascii="宋体" w:hAnsi="宋体" w:eastAsia="宋体" w:cs="宋体"/>
                <w:bCs/>
                <w:color w:val="auto"/>
                <w:sz w:val="24"/>
                <w:szCs w:val="24"/>
                <w:lang w:val="en-US" w:eastAsia="zh-CN"/>
              </w:rPr>
              <w:t>月以</w:t>
            </w:r>
            <w:r>
              <w:rPr>
                <w:rFonts w:hint="eastAsia" w:ascii="宋体" w:hAnsi="宋体" w:eastAsia="宋体" w:cs="宋体"/>
                <w:bCs/>
                <w:color w:val="auto"/>
                <w:sz w:val="24"/>
                <w:szCs w:val="24"/>
              </w:rPr>
              <w:t>来类似项目业绩，每</w:t>
            </w:r>
            <w:r>
              <w:rPr>
                <w:rFonts w:hint="eastAsia" w:ascii="宋体" w:hAnsi="宋体" w:eastAsia="宋体" w:cs="宋体"/>
                <w:bCs/>
                <w:color w:val="auto"/>
                <w:sz w:val="24"/>
                <w:szCs w:val="24"/>
                <w:lang w:val="en-US" w:eastAsia="zh-CN"/>
              </w:rPr>
              <w:t>提供一个</w:t>
            </w:r>
            <w:r>
              <w:rPr>
                <w:rFonts w:hint="eastAsia" w:ascii="宋体" w:hAnsi="宋体" w:eastAsia="宋体" w:cs="宋体"/>
                <w:bCs/>
                <w:color w:val="auto"/>
                <w:sz w:val="24"/>
                <w:szCs w:val="24"/>
              </w:rPr>
              <w:t>得</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分，最多得</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分</w:t>
            </w:r>
            <w:r>
              <w:rPr>
                <w:rFonts w:hint="eastAsia" w:ascii="宋体" w:hAnsi="宋体" w:eastAsia="宋体" w:cs="宋体"/>
                <w:color w:val="auto"/>
                <w:sz w:val="24"/>
                <w:szCs w:val="24"/>
              </w:rPr>
              <w:t>（</w:t>
            </w:r>
            <w:r>
              <w:rPr>
                <w:rFonts w:hint="eastAsia" w:ascii="仿宋" w:hAnsi="仿宋" w:cs="仿宋"/>
                <w:color w:val="auto"/>
                <w:sz w:val="24"/>
                <w:highlight w:val="none"/>
                <w:lang w:val="en-US" w:eastAsia="zh-CN"/>
              </w:rPr>
              <w:t>以合同日期为准，所有内容应清晰可辨，否则不予认可</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。未提供不得分。</w:t>
            </w:r>
          </w:p>
        </w:tc>
      </w:tr>
      <w:tr w14:paraId="6840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09" w:type="dxa"/>
            <w:vMerge w:val="restart"/>
            <w:noWrap w:val="0"/>
            <w:vAlign w:val="center"/>
          </w:tcPr>
          <w:p w14:paraId="7424E222">
            <w:pPr>
              <w:keepNext w:val="0"/>
              <w:keepLines w:val="0"/>
              <w:suppressLineNumbers w:val="0"/>
              <w:spacing w:before="0" w:beforeAutospacing="0" w:after="0" w:afterAutospacing="0"/>
              <w:ind w:left="0" w:right="0"/>
              <w:jc w:val="center"/>
              <w:rPr>
                <w:rFonts w:hint="eastAsia" w:ascii="仿宋" w:hAnsi="仿宋" w:eastAsia="宋体"/>
                <w:color w:val="auto"/>
                <w:sz w:val="24"/>
                <w:lang w:eastAsia="zh-CN"/>
              </w:rPr>
            </w:pPr>
            <w:r>
              <w:rPr>
                <w:rFonts w:hint="eastAsia" w:ascii="仿宋" w:hAnsi="仿宋"/>
                <w:color w:val="auto"/>
                <w:sz w:val="24"/>
                <w:lang w:val="en-US" w:eastAsia="zh-CN"/>
              </w:rPr>
              <w:t>6</w:t>
            </w:r>
          </w:p>
        </w:tc>
        <w:tc>
          <w:tcPr>
            <w:tcW w:w="1276" w:type="dxa"/>
            <w:vMerge w:val="restart"/>
            <w:noWrap w:val="0"/>
            <w:vAlign w:val="center"/>
          </w:tcPr>
          <w:p w14:paraId="26C6F9C4">
            <w:pPr>
              <w:keepNext w:val="0"/>
              <w:keepLines w:val="0"/>
              <w:suppressLineNumbers w:val="0"/>
              <w:spacing w:before="0" w:beforeAutospacing="0" w:after="0" w:afterAutospacing="0"/>
              <w:ind w:left="0" w:right="0"/>
              <w:jc w:val="center"/>
              <w:rPr>
                <w:rFonts w:hint="default" w:ascii="仿宋" w:hAnsi="仿宋"/>
                <w:color w:val="auto"/>
                <w:sz w:val="24"/>
              </w:rPr>
            </w:pPr>
            <w:r>
              <w:rPr>
                <w:rFonts w:hint="eastAsia" w:ascii="仿宋" w:hAnsi="仿宋"/>
                <w:color w:val="auto"/>
                <w:sz w:val="24"/>
                <w:lang w:val="en-US" w:eastAsia="zh-CN"/>
              </w:rPr>
              <w:t>工程质量及</w:t>
            </w:r>
            <w:r>
              <w:rPr>
                <w:rFonts w:hint="eastAsia" w:ascii="仿宋" w:hAnsi="仿宋"/>
                <w:color w:val="auto"/>
                <w:sz w:val="24"/>
              </w:rPr>
              <w:t>保修承诺（</w:t>
            </w:r>
            <w:r>
              <w:rPr>
                <w:rFonts w:hint="eastAsia" w:ascii="仿宋" w:hAnsi="仿宋"/>
                <w:color w:val="auto"/>
                <w:sz w:val="24"/>
                <w:lang w:val="en-US" w:eastAsia="zh-CN"/>
              </w:rPr>
              <w:t>8</w:t>
            </w:r>
            <w:r>
              <w:rPr>
                <w:rFonts w:hint="eastAsia" w:ascii="仿宋" w:hAnsi="仿宋"/>
                <w:color w:val="auto"/>
                <w:sz w:val="24"/>
              </w:rPr>
              <w:t>分）</w:t>
            </w:r>
          </w:p>
        </w:tc>
        <w:tc>
          <w:tcPr>
            <w:tcW w:w="708" w:type="dxa"/>
            <w:noWrap w:val="0"/>
            <w:vAlign w:val="center"/>
          </w:tcPr>
          <w:p w14:paraId="79A2DBBA">
            <w:pPr>
              <w:keepNext w:val="0"/>
              <w:keepLines w:val="0"/>
              <w:suppressLineNumbers w:val="0"/>
              <w:spacing w:before="0" w:beforeAutospacing="0" w:after="0" w:afterAutospacing="0"/>
              <w:ind w:left="0" w:right="0"/>
              <w:jc w:val="center"/>
              <w:rPr>
                <w:rFonts w:hint="eastAsia" w:ascii="仿宋" w:hAnsi="仿宋" w:eastAsia="仿宋"/>
                <w:color w:val="auto"/>
                <w:sz w:val="24"/>
                <w:lang w:eastAsia="zh-CN"/>
              </w:rPr>
            </w:pPr>
            <w:r>
              <w:rPr>
                <w:rFonts w:hint="eastAsia" w:ascii="仿宋" w:hAnsi="仿宋"/>
                <w:color w:val="auto"/>
                <w:sz w:val="24"/>
                <w:lang w:val="en-US" w:eastAsia="zh-CN"/>
              </w:rPr>
              <w:t>4</w:t>
            </w:r>
          </w:p>
        </w:tc>
        <w:tc>
          <w:tcPr>
            <w:tcW w:w="7205" w:type="dxa"/>
            <w:noWrap w:val="0"/>
            <w:vAlign w:val="center"/>
          </w:tcPr>
          <w:p w14:paraId="54701CEF">
            <w:pPr>
              <w:keepNext w:val="0"/>
              <w:keepLines w:val="0"/>
              <w:suppressLineNumbers w:val="0"/>
              <w:spacing w:before="0" w:beforeAutospacing="0" w:after="0" w:afterAutospacing="0" w:line="400" w:lineRule="exact"/>
              <w:ind w:left="0" w:right="0"/>
              <w:rPr>
                <w:rFonts w:hint="eastAsia" w:ascii="仿宋" w:hAnsi="仿宋"/>
                <w:color w:val="auto"/>
                <w:sz w:val="24"/>
              </w:rPr>
            </w:pPr>
            <w:r>
              <w:rPr>
                <w:rFonts w:hint="eastAsia" w:ascii="仿宋" w:hAnsi="仿宋"/>
                <w:color w:val="auto"/>
                <w:sz w:val="24"/>
                <w:highlight w:val="none"/>
                <w:lang w:val="en-US" w:eastAsia="zh-CN"/>
              </w:rPr>
              <w:t>提供针对本项目的</w:t>
            </w:r>
            <w:r>
              <w:rPr>
                <w:rFonts w:hint="eastAsia" w:ascii="仿宋" w:hAnsi="仿宋"/>
                <w:color w:val="auto"/>
                <w:sz w:val="24"/>
                <w:highlight w:val="none"/>
              </w:rPr>
              <w:t>施工保修承诺书，保修承诺</w:t>
            </w:r>
            <w:r>
              <w:rPr>
                <w:rFonts w:hint="eastAsia" w:ascii="仿宋" w:hAnsi="仿宋"/>
                <w:color w:val="auto"/>
                <w:sz w:val="24"/>
                <w:highlight w:val="none"/>
                <w:lang w:val="en-US" w:eastAsia="zh-CN"/>
              </w:rPr>
              <w:t>的</w:t>
            </w:r>
            <w:r>
              <w:rPr>
                <w:rFonts w:hint="eastAsia" w:ascii="仿宋" w:hAnsi="仿宋"/>
                <w:color w:val="auto"/>
                <w:sz w:val="24"/>
                <w:highlight w:val="none"/>
              </w:rPr>
              <w:t>内容</w:t>
            </w:r>
            <w:r>
              <w:rPr>
                <w:rFonts w:hint="eastAsia" w:ascii="仿宋" w:hAnsi="仿宋"/>
                <w:color w:val="auto"/>
                <w:sz w:val="24"/>
                <w:highlight w:val="none"/>
                <w:lang w:val="en-US" w:eastAsia="zh-CN"/>
              </w:rPr>
              <w:t>考虑周到、</w:t>
            </w:r>
            <w:r>
              <w:rPr>
                <w:rFonts w:hint="eastAsia" w:ascii="仿宋" w:hAnsi="仿宋"/>
                <w:color w:val="auto"/>
                <w:sz w:val="24"/>
                <w:highlight w:val="none"/>
              </w:rPr>
              <w:t>全面计</w:t>
            </w:r>
            <w:r>
              <w:rPr>
                <w:rFonts w:hint="eastAsia" w:ascii="仿宋" w:hAnsi="仿宋" w:cs="仿宋"/>
                <w:color w:val="auto"/>
                <w:sz w:val="24"/>
                <w:highlight w:val="none"/>
                <w:lang w:val="en-US" w:eastAsia="zh-CN"/>
              </w:rPr>
              <w:t>2.1—4分</w:t>
            </w:r>
            <w:r>
              <w:rPr>
                <w:rFonts w:hint="eastAsia" w:ascii="仿宋" w:hAnsi="仿宋"/>
                <w:color w:val="auto"/>
                <w:sz w:val="24"/>
                <w:highlight w:val="none"/>
                <w:lang w:eastAsia="zh-CN"/>
              </w:rPr>
              <w:t>；</w:t>
            </w:r>
            <w:r>
              <w:rPr>
                <w:rFonts w:hint="eastAsia" w:ascii="仿宋" w:hAnsi="仿宋"/>
                <w:color w:val="auto"/>
                <w:sz w:val="24"/>
                <w:highlight w:val="none"/>
              </w:rPr>
              <w:t>保修承诺内容</w:t>
            </w:r>
            <w:r>
              <w:rPr>
                <w:rFonts w:hint="eastAsia" w:ascii="仿宋" w:hAnsi="仿宋"/>
                <w:color w:val="auto"/>
                <w:sz w:val="24"/>
                <w:highlight w:val="none"/>
                <w:lang w:val="en-US" w:eastAsia="zh-CN"/>
              </w:rPr>
              <w:t>比较完整</w:t>
            </w:r>
            <w:r>
              <w:rPr>
                <w:rFonts w:hint="eastAsia" w:ascii="仿宋" w:hAnsi="仿宋"/>
                <w:color w:val="auto"/>
                <w:sz w:val="24"/>
                <w:highlight w:val="none"/>
              </w:rPr>
              <w:t>计</w:t>
            </w:r>
            <w:r>
              <w:rPr>
                <w:rFonts w:hint="eastAsia" w:ascii="仿宋" w:hAnsi="仿宋" w:cs="仿宋"/>
                <w:color w:val="auto"/>
                <w:sz w:val="24"/>
                <w:highlight w:val="none"/>
                <w:lang w:val="en-US" w:eastAsia="zh-CN"/>
              </w:rPr>
              <w:t>0.1—2分</w:t>
            </w:r>
            <w:r>
              <w:rPr>
                <w:rFonts w:hint="eastAsia" w:ascii="仿宋" w:hAnsi="仿宋"/>
                <w:color w:val="auto"/>
                <w:sz w:val="24"/>
                <w:highlight w:val="none"/>
              </w:rPr>
              <w:t>，未提供的不计分。</w:t>
            </w:r>
          </w:p>
        </w:tc>
      </w:tr>
      <w:tr w14:paraId="0200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09" w:type="dxa"/>
            <w:vMerge w:val="continue"/>
            <w:noWrap w:val="0"/>
            <w:vAlign w:val="center"/>
          </w:tcPr>
          <w:p w14:paraId="71D49D9D">
            <w:pPr>
              <w:keepNext w:val="0"/>
              <w:keepLines w:val="0"/>
              <w:suppressLineNumbers w:val="0"/>
              <w:spacing w:before="0" w:beforeAutospacing="0" w:after="0" w:afterAutospacing="0"/>
              <w:ind w:left="0" w:right="0"/>
              <w:jc w:val="center"/>
              <w:rPr>
                <w:rFonts w:hint="eastAsia" w:ascii="仿宋" w:hAnsi="仿宋"/>
                <w:color w:val="auto"/>
                <w:sz w:val="24"/>
              </w:rPr>
            </w:pPr>
          </w:p>
        </w:tc>
        <w:tc>
          <w:tcPr>
            <w:tcW w:w="1276" w:type="dxa"/>
            <w:vMerge w:val="continue"/>
            <w:noWrap w:val="0"/>
            <w:vAlign w:val="center"/>
          </w:tcPr>
          <w:p w14:paraId="2328E6C1">
            <w:pPr>
              <w:keepNext w:val="0"/>
              <w:keepLines w:val="0"/>
              <w:suppressLineNumbers w:val="0"/>
              <w:spacing w:before="0" w:beforeAutospacing="0" w:after="0" w:afterAutospacing="0"/>
              <w:ind w:left="0" w:right="0"/>
              <w:jc w:val="center"/>
              <w:rPr>
                <w:rFonts w:hint="eastAsia" w:ascii="仿宋" w:hAnsi="仿宋"/>
                <w:color w:val="auto"/>
                <w:sz w:val="24"/>
              </w:rPr>
            </w:pPr>
          </w:p>
        </w:tc>
        <w:tc>
          <w:tcPr>
            <w:tcW w:w="708" w:type="dxa"/>
            <w:noWrap w:val="0"/>
            <w:vAlign w:val="center"/>
          </w:tcPr>
          <w:p w14:paraId="5354B9DF">
            <w:pPr>
              <w:keepNext w:val="0"/>
              <w:keepLines w:val="0"/>
              <w:suppressLineNumbers w:val="0"/>
              <w:spacing w:before="0" w:beforeAutospacing="0" w:after="0" w:afterAutospacing="0"/>
              <w:ind w:left="0" w:right="0"/>
              <w:jc w:val="center"/>
              <w:rPr>
                <w:rFonts w:hint="eastAsia" w:ascii="仿宋" w:hAnsi="仿宋" w:eastAsia="宋体"/>
                <w:color w:val="auto"/>
                <w:sz w:val="24"/>
                <w:lang w:eastAsia="zh-CN"/>
              </w:rPr>
            </w:pPr>
            <w:r>
              <w:rPr>
                <w:rFonts w:hint="eastAsia" w:ascii="仿宋" w:hAnsi="仿宋"/>
                <w:color w:val="auto"/>
                <w:sz w:val="24"/>
                <w:lang w:val="en-US" w:eastAsia="zh-CN"/>
              </w:rPr>
              <w:t>4</w:t>
            </w:r>
          </w:p>
        </w:tc>
        <w:tc>
          <w:tcPr>
            <w:tcW w:w="7205" w:type="dxa"/>
            <w:noWrap w:val="0"/>
            <w:vAlign w:val="center"/>
          </w:tcPr>
          <w:p w14:paraId="3BA54EF9">
            <w:pPr>
              <w:keepNext w:val="0"/>
              <w:keepLines w:val="0"/>
              <w:suppressLineNumbers w:val="0"/>
              <w:spacing w:before="0" w:beforeAutospacing="0" w:after="0" w:afterAutospacing="0" w:line="400" w:lineRule="exact"/>
              <w:ind w:left="0" w:right="0"/>
              <w:rPr>
                <w:rFonts w:hint="eastAsia" w:ascii="仿宋" w:hAnsi="仿宋" w:eastAsia="仿宋"/>
                <w:color w:val="auto"/>
                <w:sz w:val="24"/>
                <w:lang w:eastAsia="zh-CN"/>
              </w:rPr>
            </w:pPr>
            <w:r>
              <w:rPr>
                <w:rFonts w:hint="eastAsia" w:ascii="仿宋" w:hAnsi="仿宋"/>
                <w:color w:val="auto"/>
                <w:sz w:val="24"/>
                <w:highlight w:val="none"/>
              </w:rPr>
              <w:t>供应商须确保工程质量，符合国家安全、环保、节能等强制性标准，并满足工程技术要求，施工符合国家标准、规范，</w:t>
            </w:r>
            <w:r>
              <w:rPr>
                <w:rFonts w:hint="eastAsia" w:ascii="仿宋" w:hAnsi="仿宋"/>
                <w:color w:val="auto"/>
                <w:sz w:val="24"/>
                <w:highlight w:val="none"/>
                <w:lang w:val="en-US" w:eastAsia="zh-CN"/>
              </w:rPr>
              <w:t>根据响应程度计0.1</w:t>
            </w:r>
            <w:r>
              <w:rPr>
                <w:rFonts w:hint="eastAsia" w:ascii="仿宋" w:hAnsi="仿宋"/>
                <w:color w:val="auto"/>
                <w:sz w:val="24"/>
                <w:highlight w:val="none"/>
              </w:rPr>
              <w:t>-</w:t>
            </w:r>
            <w:r>
              <w:rPr>
                <w:rFonts w:hint="eastAsia" w:ascii="仿宋" w:hAnsi="仿宋"/>
                <w:color w:val="auto"/>
                <w:sz w:val="24"/>
                <w:highlight w:val="none"/>
                <w:lang w:val="en-US" w:eastAsia="zh-CN"/>
              </w:rPr>
              <w:t>4</w:t>
            </w:r>
            <w:r>
              <w:rPr>
                <w:rFonts w:hint="eastAsia" w:ascii="仿宋" w:hAnsi="仿宋"/>
                <w:color w:val="auto"/>
                <w:sz w:val="24"/>
                <w:highlight w:val="none"/>
              </w:rPr>
              <w:t>分；未提供不计分。</w:t>
            </w:r>
          </w:p>
        </w:tc>
      </w:tr>
    </w:tbl>
    <w:p w14:paraId="13D9AB62">
      <w:pPr>
        <w:pageBreakBefore w:val="0"/>
        <w:wordWrap/>
        <w:topLinePunct w:val="0"/>
        <w:bidi w:val="0"/>
        <w:spacing w:line="460" w:lineRule="exact"/>
        <w:textAlignment w:val="auto"/>
        <w:rPr>
          <w:rFonts w:hint="eastAsia" w:cs="宋体" w:asciiTheme="minorEastAsia" w:hAnsiTheme="minorEastAsia" w:eastAsiaTheme="minorEastAsia"/>
          <w:bCs/>
          <w:sz w:val="24"/>
          <w:szCs w:val="24"/>
        </w:rPr>
      </w:pPr>
      <w:r>
        <w:rPr>
          <w:rFonts w:hint="eastAsia" w:cs="宋体" w:asciiTheme="minorEastAsia" w:hAnsiTheme="minorEastAsia" w:eastAsiaTheme="minorEastAsia"/>
          <w:b/>
          <w:bCs/>
          <w:sz w:val="24"/>
          <w:szCs w:val="24"/>
        </w:rPr>
        <w:t>备注</w:t>
      </w:r>
      <w:r>
        <w:rPr>
          <w:rFonts w:hint="eastAsia" w:cs="宋体" w:asciiTheme="minorEastAsia" w:hAnsiTheme="minorEastAsia" w:eastAsiaTheme="minorEastAsia"/>
          <w:bCs/>
          <w:sz w:val="24"/>
          <w:szCs w:val="24"/>
        </w:rPr>
        <w:t>：</w:t>
      </w:r>
    </w:p>
    <w:p w14:paraId="145F508D">
      <w:pPr>
        <w:pageBreakBefore w:val="0"/>
        <w:wordWrap/>
        <w:topLinePunct w:val="0"/>
        <w:bidi w:val="0"/>
        <w:spacing w:line="460" w:lineRule="exact"/>
        <w:ind w:firstLine="600" w:firstLineChars="250"/>
        <w:textAlignment w:val="auto"/>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1</w:t>
      </w:r>
      <w:r>
        <w:rPr>
          <w:rFonts w:hint="eastAsia" w:cs="宋体" w:asciiTheme="minorEastAsia" w:hAnsiTheme="minorEastAsia" w:eastAsiaTheme="minorEastAsia"/>
          <w:bCs/>
          <w:sz w:val="24"/>
          <w:szCs w:val="24"/>
          <w:lang w:val="en-US" w:eastAsia="zh-CN"/>
        </w:rPr>
        <w:t>.</w:t>
      </w:r>
      <w:r>
        <w:rPr>
          <w:rFonts w:hint="eastAsia" w:cs="宋体" w:asciiTheme="minorEastAsia" w:hAnsiTheme="minorEastAsia" w:eastAsiaTheme="minorEastAsia"/>
          <w:bCs/>
          <w:sz w:val="24"/>
          <w:szCs w:val="24"/>
        </w:rPr>
        <w:t>以上各项打分均由</w:t>
      </w:r>
      <w:r>
        <w:rPr>
          <w:rFonts w:hint="eastAsia" w:cs="宋体" w:asciiTheme="minorEastAsia" w:hAnsiTheme="minorEastAsia" w:eastAsiaTheme="minorEastAsia"/>
          <w:bCs/>
          <w:sz w:val="24"/>
          <w:szCs w:val="24"/>
          <w:lang w:val="en-US" w:eastAsia="zh-CN"/>
        </w:rPr>
        <w:t>磋商小组</w:t>
      </w:r>
      <w:r>
        <w:rPr>
          <w:rFonts w:hint="eastAsia" w:cs="宋体" w:asciiTheme="minorEastAsia" w:hAnsiTheme="minorEastAsia" w:eastAsiaTheme="minorEastAsia"/>
          <w:bCs/>
          <w:sz w:val="24"/>
          <w:szCs w:val="24"/>
        </w:rPr>
        <w:t>独立评分，评分相邻</w:t>
      </w:r>
      <w:r>
        <w:rPr>
          <w:rFonts w:hint="eastAsia" w:cs="宋体" w:asciiTheme="minorEastAsia" w:hAnsiTheme="minorEastAsia" w:eastAsiaTheme="minorEastAsia"/>
          <w:bCs/>
          <w:sz w:val="24"/>
          <w:szCs w:val="24"/>
          <w:lang w:eastAsia="zh-CN"/>
        </w:rPr>
        <w:t>两档之间的</w:t>
      </w:r>
      <w:r>
        <w:rPr>
          <w:rFonts w:hint="eastAsia" w:cs="宋体" w:asciiTheme="minorEastAsia" w:hAnsiTheme="minorEastAsia" w:eastAsiaTheme="minorEastAsia"/>
          <w:bCs/>
          <w:sz w:val="24"/>
          <w:szCs w:val="24"/>
        </w:rPr>
        <w:t>得分，归属于较低一档</w:t>
      </w: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sz w:val="24"/>
          <w:szCs w:val="24"/>
        </w:rPr>
        <w:t>两档之间可取小数点进行打分，按评审后综合得分由高到低推荐一至三名中标候选人。</w:t>
      </w:r>
    </w:p>
    <w:p w14:paraId="2B0EB16B">
      <w:pPr>
        <w:pageBreakBefore w:val="0"/>
        <w:wordWrap/>
        <w:topLinePunct w:val="0"/>
        <w:bidi w:val="0"/>
        <w:spacing w:line="460" w:lineRule="exact"/>
        <w:ind w:firstLine="600" w:firstLineChars="250"/>
        <w:textAlignment w:val="auto"/>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2</w:t>
      </w:r>
      <w:r>
        <w:rPr>
          <w:rFonts w:hint="eastAsia" w:cs="宋体" w:asciiTheme="minorEastAsia" w:hAnsiTheme="minorEastAsia" w:eastAsiaTheme="minorEastAsia"/>
          <w:bCs/>
          <w:sz w:val="24"/>
          <w:szCs w:val="24"/>
          <w:lang w:val="en-US" w:eastAsia="zh-CN"/>
        </w:rPr>
        <w:t>.</w:t>
      </w:r>
      <w:r>
        <w:rPr>
          <w:rFonts w:hint="eastAsia" w:cs="宋体" w:asciiTheme="minorEastAsia" w:hAnsiTheme="minorEastAsia" w:eastAsiaTheme="minorEastAsia"/>
          <w:bCs/>
          <w:sz w:val="24"/>
          <w:szCs w:val="24"/>
        </w:rPr>
        <w:t>对于非专门面向中小企业的项目，对小型和微型企业产品的价格给予</w:t>
      </w:r>
      <w:r>
        <w:rPr>
          <w:rFonts w:hint="eastAsia" w:cs="宋体" w:asciiTheme="minorEastAsia" w:hAnsiTheme="minorEastAsia" w:eastAsiaTheme="minorEastAsia"/>
          <w:bCs/>
          <w:sz w:val="24"/>
          <w:szCs w:val="24"/>
          <w:lang w:val="en-US" w:eastAsia="zh-CN"/>
        </w:rPr>
        <w:t>10</w:t>
      </w:r>
      <w:r>
        <w:rPr>
          <w:rFonts w:hint="eastAsia" w:cs="宋体" w:asciiTheme="minorEastAsia" w:hAnsiTheme="minorEastAsia" w:eastAsiaTheme="minorEastAsia"/>
          <w:bCs/>
          <w:sz w:val="24"/>
          <w:szCs w:val="24"/>
        </w:rPr>
        <w:t>%的扣除，用扣除后的价格参与评审；</w:t>
      </w:r>
    </w:p>
    <w:p w14:paraId="39884C7D">
      <w:pPr>
        <w:pageBreakBefore w:val="0"/>
        <w:wordWrap/>
        <w:topLinePunct w:val="0"/>
        <w:bidi w:val="0"/>
        <w:spacing w:line="460" w:lineRule="exact"/>
        <w:ind w:firstLine="600" w:firstLineChars="250"/>
        <w:textAlignment w:val="auto"/>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3</w:t>
      </w:r>
      <w:r>
        <w:rPr>
          <w:rFonts w:hint="eastAsia" w:cs="宋体" w:asciiTheme="minorEastAsia" w:hAnsiTheme="minorEastAsia" w:eastAsiaTheme="minorEastAsia"/>
          <w:bCs/>
          <w:sz w:val="24"/>
          <w:szCs w:val="24"/>
          <w:lang w:val="en-US" w:eastAsia="zh-CN"/>
        </w:rPr>
        <w:t>.</w:t>
      </w:r>
      <w:r>
        <w:rPr>
          <w:rFonts w:hint="eastAsia" w:cs="宋体" w:asciiTheme="minorEastAsia" w:hAnsiTheme="minorEastAsia" w:eastAsiaTheme="minorEastAsia"/>
          <w:bCs/>
          <w:sz w:val="24"/>
          <w:szCs w:val="24"/>
        </w:rPr>
        <w:t>对于非专门面向残疾人福利性单位的项目，对残疾人福利性单位产品的价格给予</w:t>
      </w:r>
      <w:r>
        <w:rPr>
          <w:rFonts w:hint="eastAsia" w:cs="宋体" w:asciiTheme="minorEastAsia" w:hAnsiTheme="minorEastAsia" w:eastAsiaTheme="minorEastAsia"/>
          <w:bCs/>
          <w:sz w:val="24"/>
          <w:szCs w:val="24"/>
          <w:lang w:val="en-US" w:eastAsia="zh-CN"/>
        </w:rPr>
        <w:t>10</w:t>
      </w:r>
      <w:r>
        <w:rPr>
          <w:rFonts w:hint="eastAsia" w:cs="宋体" w:asciiTheme="minorEastAsia" w:hAnsiTheme="minorEastAsia" w:eastAsiaTheme="minorEastAsia"/>
          <w:bCs/>
          <w:sz w:val="24"/>
          <w:szCs w:val="24"/>
        </w:rPr>
        <w:t>%的扣除，用扣除后的价格参与评审，残疾人福利性单位属于小型、微型企业的，不重复享受政策；</w:t>
      </w:r>
    </w:p>
    <w:p w14:paraId="4099BFB5">
      <w:pPr>
        <w:pageBreakBefore w:val="0"/>
        <w:wordWrap/>
        <w:topLinePunct w:val="0"/>
        <w:bidi w:val="0"/>
        <w:spacing w:line="460" w:lineRule="exact"/>
        <w:ind w:firstLine="600" w:firstLineChars="250"/>
        <w:textAlignment w:val="auto"/>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4</w:t>
      </w:r>
      <w:r>
        <w:rPr>
          <w:rFonts w:hint="eastAsia" w:cs="宋体" w:asciiTheme="minorEastAsia" w:hAnsiTheme="minorEastAsia" w:eastAsiaTheme="minorEastAsia"/>
          <w:bCs/>
          <w:sz w:val="24"/>
          <w:szCs w:val="24"/>
          <w:lang w:val="en-US" w:eastAsia="zh-CN"/>
        </w:rPr>
        <w:t>.</w:t>
      </w:r>
      <w:r>
        <w:rPr>
          <w:rFonts w:hint="eastAsia" w:cs="宋体" w:asciiTheme="minorEastAsia" w:hAnsiTheme="minorEastAsia" w:eastAsiaTheme="minorEastAsia"/>
          <w:bCs/>
          <w:sz w:val="24"/>
          <w:szCs w:val="24"/>
        </w:rPr>
        <w:t>《关于政府采购支持监狱企业发展有关问题的通知》（财库</w:t>
      </w:r>
      <w:r>
        <w:rPr>
          <w:rFonts w:hint="eastAsia" w:cs="宋体" w:asciiTheme="minorEastAsia" w:hAnsiTheme="minorEastAsia" w:eastAsiaTheme="minorEastAsia"/>
          <w:bCs/>
          <w:sz w:val="24"/>
          <w:szCs w:val="24"/>
          <w:lang w:eastAsia="zh-CN"/>
        </w:rPr>
        <w:t>〔2014〕68号</w:t>
      </w:r>
      <w:r>
        <w:rPr>
          <w:rFonts w:hint="eastAsia" w:cs="宋体" w:asciiTheme="minorEastAsia" w:hAnsiTheme="minorEastAsia" w:eastAsiaTheme="minorEastAsia"/>
          <w:bCs/>
          <w:sz w:val="24"/>
          <w:szCs w:val="24"/>
        </w:rPr>
        <w:t>）的规定，对监狱企业给予</w:t>
      </w:r>
      <w:r>
        <w:rPr>
          <w:rFonts w:hint="eastAsia" w:cs="宋体" w:asciiTheme="minorEastAsia" w:hAnsiTheme="minorEastAsia" w:eastAsiaTheme="minorEastAsia"/>
          <w:bCs/>
          <w:sz w:val="24"/>
          <w:szCs w:val="24"/>
          <w:lang w:val="en-US" w:eastAsia="zh-CN"/>
        </w:rPr>
        <w:t>10</w:t>
      </w:r>
      <w:r>
        <w:rPr>
          <w:rFonts w:hint="eastAsia" w:cs="宋体" w:asciiTheme="minorEastAsia" w:hAnsiTheme="minorEastAsia" w:eastAsiaTheme="minorEastAsia"/>
          <w:bCs/>
          <w:sz w:val="24"/>
          <w:szCs w:val="24"/>
        </w:rPr>
        <w:t>%的价格扣除，用扣除后的价格参与评审。（提供由省级以上监狱管理局、戒毒管理局（含新疆生产建设兵团）出具的属于监狱企业的证明文件）</w:t>
      </w:r>
    </w:p>
    <w:p w14:paraId="12C2F843">
      <w:pPr>
        <w:pageBreakBefore w:val="0"/>
        <w:wordWrap/>
        <w:topLinePunct w:val="0"/>
        <w:bidi w:val="0"/>
        <w:spacing w:line="460" w:lineRule="exact"/>
        <w:ind w:firstLine="600" w:firstLineChars="250"/>
        <w:textAlignment w:val="auto"/>
        <w:rPr>
          <w:rFonts w:hint="eastAsia" w:cs="宋体" w:asciiTheme="minorEastAsia" w:hAnsiTheme="minorEastAsia" w:eastAsiaTheme="minorEastAsia"/>
          <w:bCs/>
          <w:sz w:val="24"/>
          <w:szCs w:val="24"/>
        </w:rPr>
        <w:sectPr>
          <w:pgSz w:w="11906" w:h="16838"/>
          <w:pgMar w:top="1417" w:right="1417" w:bottom="1417" w:left="1417" w:header="992" w:footer="992" w:gutter="0"/>
          <w:pgNumType w:fmt="decimal"/>
          <w:cols w:space="0" w:num="1"/>
          <w:titlePg/>
          <w:rtlGutter w:val="0"/>
          <w:docGrid w:type="lines" w:linePitch="333" w:charSpace="0"/>
        </w:sectPr>
      </w:pPr>
      <w:r>
        <w:rPr>
          <w:rFonts w:cs="宋体" w:asciiTheme="minorEastAsia" w:hAnsiTheme="minorEastAsia" w:eastAsiaTheme="minorEastAsia"/>
          <w:bCs/>
          <w:sz w:val="24"/>
          <w:szCs w:val="24"/>
        </w:rPr>
        <w:t>5</w:t>
      </w:r>
      <w:r>
        <w:rPr>
          <w:rFonts w:hint="eastAsia" w:cs="宋体" w:asciiTheme="minorEastAsia" w:hAnsiTheme="minorEastAsia" w:eastAsiaTheme="minorEastAsia"/>
          <w:bCs/>
          <w:sz w:val="24"/>
          <w:szCs w:val="24"/>
          <w:lang w:val="en-US" w:eastAsia="zh-CN"/>
        </w:rPr>
        <w:t>.磋商小组</w:t>
      </w:r>
      <w:r>
        <w:rPr>
          <w:rFonts w:hint="eastAsia" w:cs="宋体" w:asciiTheme="minorEastAsia" w:hAnsiTheme="minorEastAsia" w:eastAsiaTheme="minorEastAsia"/>
          <w:bCs/>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cs="宋体" w:asciiTheme="minorEastAsia" w:hAnsiTheme="minorEastAsia" w:eastAsiaTheme="minorEastAsia"/>
          <w:bCs/>
          <w:sz w:val="24"/>
          <w:szCs w:val="24"/>
          <w:lang w:val="en-US" w:eastAsia="zh-CN"/>
        </w:rPr>
        <w:t>磋商小组</w:t>
      </w:r>
      <w:r>
        <w:rPr>
          <w:rFonts w:hint="eastAsia" w:cs="宋体" w:asciiTheme="minorEastAsia" w:hAnsiTheme="minorEastAsia" w:eastAsiaTheme="minorEastAsia"/>
          <w:bCs/>
          <w:sz w:val="24"/>
          <w:szCs w:val="24"/>
        </w:rPr>
        <w:t>应当将其作为无效投标处理。</w:t>
      </w:r>
    </w:p>
    <w:bookmarkEnd w:id="157"/>
    <w:p w14:paraId="3632C014">
      <w:pPr>
        <w:pStyle w:val="24"/>
        <w:keepNext w:val="0"/>
        <w:keepLines w:val="0"/>
        <w:pageBreakBefore w:val="0"/>
        <w:widowControl w:val="0"/>
        <w:numPr>
          <w:ilvl w:val="0"/>
          <w:numId w:val="5"/>
        </w:numPr>
        <w:kinsoku/>
        <w:wordWrap/>
        <w:overflowPunct/>
        <w:topLinePunct w:val="0"/>
        <w:autoSpaceDE/>
        <w:autoSpaceDN/>
        <w:bidi w:val="0"/>
        <w:adjustRightInd/>
        <w:snapToGrid/>
        <w:spacing w:before="0" w:after="0" w:line="240" w:lineRule="auto"/>
        <w:jc w:val="center"/>
        <w:textAlignment w:val="auto"/>
        <w:outlineLvl w:val="0"/>
        <w:rPr>
          <w:rFonts w:hint="eastAsia" w:eastAsia="宋体"/>
          <w:color w:val="auto"/>
          <w:sz w:val="36"/>
          <w:lang w:eastAsia="zh-CN"/>
        </w:rPr>
      </w:pPr>
      <w:bookmarkStart w:id="158" w:name="_Toc28227"/>
      <w:bookmarkStart w:id="159" w:name="_Toc6835"/>
      <w:bookmarkStart w:id="160" w:name="_Toc15647"/>
      <w:r>
        <w:rPr>
          <w:rFonts w:hint="eastAsia" w:eastAsia="宋体"/>
          <w:color w:val="auto"/>
          <w:sz w:val="36"/>
        </w:rPr>
        <w:t>采购内容及</w:t>
      </w:r>
      <w:r>
        <w:rPr>
          <w:rFonts w:hint="eastAsia" w:eastAsia="宋体"/>
          <w:color w:val="auto"/>
          <w:sz w:val="36"/>
          <w:lang w:eastAsia="zh-CN"/>
        </w:rPr>
        <w:t>要求</w:t>
      </w:r>
      <w:bookmarkEnd w:id="158"/>
    </w:p>
    <w:p w14:paraId="7E5D9E9F">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color w:val="auto"/>
          <w:sz w:val="24"/>
          <w:szCs w:val="24"/>
        </w:rPr>
      </w:pPr>
      <w:bookmarkStart w:id="161" w:name="OLE_LINK13"/>
      <w:r>
        <w:rPr>
          <w:rFonts w:hint="eastAsia" w:ascii="宋体" w:hAnsi="宋体" w:eastAsia="宋体" w:cs="宋体"/>
          <w:b/>
          <w:color w:val="auto"/>
          <w:sz w:val="24"/>
          <w:szCs w:val="24"/>
        </w:rPr>
        <w:t>一、工程内容</w:t>
      </w:r>
    </w:p>
    <w:p w14:paraId="4D501284">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本工程为：</w:t>
      </w:r>
      <w:r>
        <w:rPr>
          <w:rFonts w:hint="eastAsia" w:ascii="宋体" w:hAnsi="宋体" w:cs="宋体"/>
          <w:color w:val="auto"/>
          <w:sz w:val="24"/>
          <w:szCs w:val="24"/>
          <w:lang w:eastAsia="zh-CN"/>
        </w:rPr>
        <w:t>恒口示范区梁沟村便民桥建设工程</w:t>
      </w:r>
    </w:p>
    <w:p w14:paraId="5CC2C4E2">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施工地点：</w:t>
      </w:r>
      <w:r>
        <w:rPr>
          <w:rFonts w:hint="eastAsia" w:ascii="宋体" w:hAnsi="宋体" w:cs="宋体"/>
          <w:color w:val="auto"/>
          <w:sz w:val="24"/>
          <w:szCs w:val="24"/>
          <w:lang w:val="en-US" w:eastAsia="zh-CN"/>
        </w:rPr>
        <w:t>采购人指定地点</w:t>
      </w:r>
    </w:p>
    <w:p w14:paraId="454A5EB5">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二、工程</w:t>
      </w:r>
      <w:r>
        <w:rPr>
          <w:rFonts w:hint="eastAsia" w:ascii="宋体" w:hAnsi="宋体" w:cs="宋体"/>
          <w:b/>
          <w:color w:val="auto"/>
          <w:sz w:val="24"/>
          <w:szCs w:val="24"/>
          <w:lang w:val="en-US" w:eastAsia="zh-CN"/>
        </w:rPr>
        <w:t>概况</w:t>
      </w:r>
    </w:p>
    <w:p w14:paraId="6C92EDE2">
      <w:pPr>
        <w:keepNext w:val="0"/>
        <w:keepLines w:val="0"/>
        <w:pageBreakBefore w:val="0"/>
        <w:kinsoku/>
        <w:wordWrap/>
        <w:overflowPunct/>
        <w:topLinePunct w:val="0"/>
        <w:autoSpaceDE/>
        <w:autoSpaceDN/>
        <w:bidi w:val="0"/>
        <w:adjustRightInd/>
        <w:spacing w:line="460" w:lineRule="exact"/>
        <w:ind w:left="0" w:leftChars="0" w:right="0" w:rightChars="0" w:firstLine="480" w:firstLineChars="200"/>
        <w:textAlignment w:val="auto"/>
        <w:rPr>
          <w:rFonts w:hint="eastAsia" w:ascii="宋体" w:hAnsi="宋体" w:eastAsia="宋体" w:cs="宋体"/>
          <w:color w:val="auto"/>
          <w:sz w:val="24"/>
          <w:szCs w:val="24"/>
          <w:lang w:val="en-US" w:eastAsia="zh-CN"/>
        </w:rPr>
      </w:pPr>
      <w:bookmarkStart w:id="162" w:name="OLE_LINK15"/>
      <w:r>
        <w:rPr>
          <w:rFonts w:hint="eastAsia" w:ascii="宋体" w:hAnsi="宋体" w:eastAsia="宋体" w:cs="宋体"/>
          <w:color w:val="auto"/>
          <w:sz w:val="24"/>
          <w:szCs w:val="24"/>
          <w:lang w:val="en-US" w:eastAsia="zh-CN"/>
        </w:rPr>
        <w:t>该项目为</w:t>
      </w:r>
      <w:r>
        <w:rPr>
          <w:rFonts w:hint="eastAsia" w:ascii="宋体" w:hAnsi="宋体" w:cs="宋体"/>
          <w:color w:val="auto"/>
          <w:sz w:val="24"/>
          <w:szCs w:val="24"/>
          <w:lang w:val="en-US" w:eastAsia="zh-CN"/>
        </w:rPr>
        <w:t>恒口示范区梁沟村便民桥建设工程，</w:t>
      </w:r>
      <w:r>
        <w:rPr>
          <w:rFonts w:hint="eastAsia" w:ascii="宋体" w:hAnsi="宋体" w:eastAsia="宋体" w:cs="宋体"/>
          <w:color w:val="auto"/>
          <w:kern w:val="0"/>
          <w:sz w:val="24"/>
          <w:szCs w:val="24"/>
          <w:highlight w:val="none"/>
        </w:rPr>
        <w:t>具</w:t>
      </w:r>
      <w:r>
        <w:rPr>
          <w:rFonts w:hint="eastAsia" w:ascii="宋体" w:hAnsi="宋体" w:eastAsia="宋体" w:cs="宋体"/>
          <w:color w:val="auto"/>
          <w:kern w:val="0"/>
          <w:sz w:val="24"/>
          <w:szCs w:val="24"/>
        </w:rPr>
        <w:t>体详见工程量清单。</w:t>
      </w:r>
    </w:p>
    <w:p w14:paraId="77690016">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宋体" w:hAnsi="宋体" w:cs="宋体"/>
          <w:b/>
          <w:color w:val="auto"/>
          <w:sz w:val="24"/>
          <w:szCs w:val="24"/>
          <w:lang w:val="en-US" w:eastAsia="zh-CN"/>
        </w:rPr>
      </w:pPr>
      <w:r>
        <w:rPr>
          <w:rFonts w:hint="eastAsia" w:ascii="宋体" w:hAnsi="宋体" w:eastAsia="宋体" w:cs="宋体"/>
          <w:b/>
          <w:color w:val="auto"/>
          <w:sz w:val="24"/>
          <w:szCs w:val="24"/>
        </w:rPr>
        <w:t>三、</w:t>
      </w:r>
      <w:bookmarkEnd w:id="159"/>
      <w:bookmarkEnd w:id="160"/>
      <w:bookmarkEnd w:id="161"/>
      <w:bookmarkEnd w:id="162"/>
      <w:bookmarkStart w:id="163" w:name="_Toc3837039"/>
      <w:bookmarkStart w:id="164" w:name="_Toc19543347"/>
      <w:r>
        <w:rPr>
          <w:rFonts w:hint="eastAsia" w:ascii="宋体" w:hAnsi="宋体" w:cs="宋体"/>
          <w:b/>
          <w:color w:val="auto"/>
          <w:sz w:val="24"/>
          <w:szCs w:val="24"/>
          <w:lang w:val="en-US" w:eastAsia="zh-CN"/>
        </w:rPr>
        <w:t>质量要求及验收程序</w:t>
      </w:r>
    </w:p>
    <w:p w14:paraId="34CB756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严格按合同约定时间完成全部施工内容，并在保修期内承担保修义务</w:t>
      </w:r>
      <w:r>
        <w:rPr>
          <w:rFonts w:hint="eastAsia" w:ascii="宋体" w:hAnsi="宋体" w:cs="宋体"/>
          <w:sz w:val="24"/>
          <w:szCs w:val="24"/>
          <w:lang w:val="en-US" w:eastAsia="zh-CN"/>
        </w:rPr>
        <w:t>。</w:t>
      </w:r>
    </w:p>
    <w:p w14:paraId="1E05901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按法律规定和合同约定采取施工安全和环境保护措施，办理工伤保险，确保工程及人员、材料、设备和设施的安全</w:t>
      </w:r>
      <w:r>
        <w:rPr>
          <w:rFonts w:hint="eastAsia" w:ascii="宋体" w:hAnsi="宋体" w:cs="宋体"/>
          <w:sz w:val="24"/>
          <w:szCs w:val="24"/>
          <w:lang w:val="en-US" w:eastAsia="zh-CN"/>
        </w:rPr>
        <w:t>。</w:t>
      </w:r>
    </w:p>
    <w:p w14:paraId="5A31421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按要求编制施工组织设计，对所有施工作业和施工方法的完备性和安全可靠性负责</w:t>
      </w:r>
      <w:r>
        <w:rPr>
          <w:rFonts w:hint="eastAsia" w:ascii="宋体" w:hAnsi="宋体" w:cs="宋体"/>
          <w:sz w:val="24"/>
          <w:szCs w:val="24"/>
          <w:lang w:val="en-US" w:eastAsia="zh-CN"/>
        </w:rPr>
        <w:t>。</w:t>
      </w:r>
    </w:p>
    <w:p w14:paraId="64F2F10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承包人应在施工组织设计中列明环境保护的具体措施，在合同履行期间，承包人应采取合理措施保护施工现场环境，对施工作业过程中可能引起的大气、水、噪音以及固体废物污染采取具体可行的防范措施</w:t>
      </w:r>
      <w:r>
        <w:rPr>
          <w:rFonts w:hint="eastAsia" w:ascii="宋体" w:hAnsi="宋体" w:cs="宋体"/>
          <w:sz w:val="24"/>
          <w:szCs w:val="24"/>
          <w:lang w:val="en-US" w:eastAsia="zh-CN"/>
        </w:rPr>
        <w:t>。</w:t>
      </w:r>
    </w:p>
    <w:p w14:paraId="7AD4EBD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工程所选的材料符合招标文件、投标文件、合同等要求的技术标准及国家有关的质量标准规定</w:t>
      </w:r>
      <w:r>
        <w:rPr>
          <w:rFonts w:hint="eastAsia" w:ascii="宋体" w:hAnsi="宋体" w:cs="宋体"/>
          <w:sz w:val="24"/>
          <w:szCs w:val="24"/>
          <w:lang w:val="en-US" w:eastAsia="zh-CN"/>
        </w:rPr>
        <w:t>。</w:t>
      </w:r>
    </w:p>
    <w:p w14:paraId="6C63A97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工程完工后，承包人向发包人提出书面验收申请并提供完整的验收申请材料，申请材料经发包人审核合格后，组织验收并出具验收结论或整改意见</w:t>
      </w:r>
      <w:r>
        <w:rPr>
          <w:rFonts w:hint="eastAsia" w:ascii="宋体" w:hAnsi="宋体" w:cs="宋体"/>
          <w:sz w:val="24"/>
          <w:szCs w:val="24"/>
          <w:lang w:val="en-US" w:eastAsia="zh-CN"/>
        </w:rPr>
        <w:t>。</w:t>
      </w:r>
    </w:p>
    <w:p w14:paraId="367E472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若验收结论为不合格承包人应在规定时限内进行整改，整改完毕后再次向发包人提出书面验收申请，发包人应按照验收质量、标准等相关要求择机进行再次验收</w:t>
      </w:r>
      <w:r>
        <w:rPr>
          <w:rFonts w:hint="eastAsia" w:ascii="宋体" w:hAnsi="宋体" w:cs="宋体"/>
          <w:sz w:val="24"/>
          <w:szCs w:val="24"/>
          <w:lang w:val="en-US" w:eastAsia="zh-CN"/>
        </w:rPr>
        <w:t>。</w:t>
      </w:r>
    </w:p>
    <w:p w14:paraId="205533D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如果在规定日期内无法整改完毕或再次验收结论仍为不合格，发包人有权解除合同，同时承包人应向发包人支付违约金。若两次验收均不合格，发包人将有权无限期延迟项目验收时间，延长期限视情而定。</w:t>
      </w:r>
    </w:p>
    <w:p w14:paraId="133D6395">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四</w:t>
      </w:r>
      <w:r>
        <w:rPr>
          <w:rFonts w:hint="eastAsia" w:ascii="宋体" w:hAnsi="宋体" w:eastAsia="宋体" w:cs="宋体"/>
          <w:b/>
          <w:sz w:val="24"/>
          <w:szCs w:val="24"/>
        </w:rPr>
        <w:t>、质量验收标准</w:t>
      </w:r>
    </w:p>
    <w:p w14:paraId="6AD9C4F6">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按照</w:t>
      </w:r>
      <w:r>
        <w:rPr>
          <w:rFonts w:hint="eastAsia" w:ascii="宋体" w:hAnsi="宋体" w:eastAsia="宋体" w:cs="宋体"/>
          <w:color w:val="auto"/>
          <w:sz w:val="24"/>
          <w:szCs w:val="24"/>
        </w:rPr>
        <w:t>国家及相关地方政策规范执行</w:t>
      </w:r>
      <w:r>
        <w:rPr>
          <w:rFonts w:hint="eastAsia" w:ascii="宋体" w:hAnsi="宋体" w:eastAsia="宋体" w:cs="宋体"/>
          <w:color w:val="auto"/>
          <w:sz w:val="24"/>
          <w:szCs w:val="24"/>
          <w:lang w:eastAsia="zh-CN"/>
        </w:rPr>
        <w:t>。</w:t>
      </w:r>
    </w:p>
    <w:p w14:paraId="0B0B0C6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firstLine="482" w:firstLineChars="200"/>
        <w:textAlignment w:val="auto"/>
        <w:rPr>
          <w:rFonts w:hint="eastAsia" w:ascii="宋体" w:hAnsi="宋体" w:eastAsia="宋体" w:cs="宋体"/>
          <w:b/>
          <w:color w:val="auto"/>
          <w:sz w:val="24"/>
          <w:szCs w:val="24"/>
          <w:lang w:val="en-US" w:eastAsia="zh-CN"/>
        </w:rPr>
      </w:pPr>
      <w:r>
        <w:rPr>
          <w:rFonts w:hint="eastAsia" w:ascii="宋体" w:hAnsi="宋体" w:cs="宋体"/>
          <w:b/>
          <w:color w:val="auto"/>
          <w:kern w:val="2"/>
          <w:sz w:val="24"/>
          <w:szCs w:val="24"/>
          <w:lang w:val="en-US" w:eastAsia="zh-CN" w:bidi="ar-SA"/>
        </w:rPr>
        <w:t>五</w:t>
      </w:r>
      <w:r>
        <w:rPr>
          <w:rFonts w:hint="eastAsia" w:ascii="宋体" w:hAnsi="宋体" w:eastAsia="宋体" w:cs="宋体"/>
          <w:b/>
          <w:color w:val="auto"/>
          <w:kern w:val="2"/>
          <w:sz w:val="24"/>
          <w:szCs w:val="24"/>
          <w:lang w:val="en-US" w:eastAsia="zh-CN" w:bidi="ar-SA"/>
        </w:rPr>
        <w:t>、</w:t>
      </w:r>
      <w:r>
        <w:rPr>
          <w:rFonts w:hint="eastAsia" w:ascii="宋体" w:hAnsi="宋体" w:eastAsia="宋体" w:cs="宋体"/>
          <w:b/>
          <w:color w:val="auto"/>
          <w:sz w:val="24"/>
          <w:szCs w:val="24"/>
          <w:lang w:val="en-US" w:eastAsia="zh-CN"/>
        </w:rPr>
        <w:t>质保期</w:t>
      </w:r>
      <w:r>
        <w:rPr>
          <w:rFonts w:hint="eastAsia" w:ascii="宋体" w:hAnsi="宋体" w:eastAsia="宋体" w:cs="宋体"/>
          <w:b/>
          <w:color w:val="auto"/>
          <w:sz w:val="24"/>
          <w:szCs w:val="24"/>
          <w:lang w:eastAsia="zh-CN"/>
        </w:rPr>
        <w:t>：</w:t>
      </w:r>
      <w:r>
        <w:rPr>
          <w:rFonts w:hint="eastAsia" w:ascii="宋体" w:hAnsi="宋体" w:cs="宋体"/>
          <w:b/>
          <w:color w:val="auto"/>
          <w:sz w:val="24"/>
          <w:szCs w:val="24"/>
          <w:lang w:val="en-US" w:eastAsia="zh-CN"/>
        </w:rPr>
        <w:t>参照</w:t>
      </w:r>
      <w:r>
        <w:rPr>
          <w:rFonts w:hint="eastAsia" w:ascii="宋体" w:hAnsi="宋体" w:eastAsia="宋体" w:cs="宋体"/>
          <w:b/>
          <w:color w:val="auto"/>
          <w:sz w:val="24"/>
          <w:szCs w:val="24"/>
          <w:lang w:val="en-US" w:eastAsia="zh-CN"/>
        </w:rPr>
        <w:t>国家标准执行</w:t>
      </w:r>
    </w:p>
    <w:p w14:paraId="57379F8C">
      <w:pPr>
        <w:pStyle w:val="46"/>
        <w:keepNext w:val="0"/>
        <w:keepLines w:val="0"/>
        <w:pageBreakBefore w:val="0"/>
        <w:kinsoku/>
        <w:wordWrap/>
        <w:overflowPunct/>
        <w:topLinePunct w:val="0"/>
        <w:autoSpaceDE/>
        <w:autoSpaceDN/>
        <w:bidi w:val="0"/>
        <w:adjustRightInd/>
        <w:snapToGrid/>
        <w:spacing w:line="470" w:lineRule="exact"/>
        <w:ind w:left="0" w:leftChars="0" w:firstLine="482" w:firstLineChars="200"/>
        <w:rPr>
          <w:rFonts w:hint="default" w:ascii="Times New Roman" w:hAnsi="宋体" w:eastAsia="宋体" w:cs="Times New Roman"/>
          <w:b/>
          <w:color w:val="auto"/>
          <w:sz w:val="24"/>
          <w:szCs w:val="24"/>
          <w:lang w:val="en-US" w:eastAsia="zh-CN"/>
        </w:rPr>
      </w:pPr>
      <w:r>
        <w:rPr>
          <w:rFonts w:hint="eastAsia" w:ascii="宋体" w:hAnsi="宋体" w:cs="宋体"/>
          <w:b/>
          <w:color w:val="auto"/>
          <w:kern w:val="2"/>
          <w:sz w:val="24"/>
          <w:szCs w:val="24"/>
          <w:lang w:val="en-US" w:eastAsia="zh-CN" w:bidi="ar-SA"/>
        </w:rPr>
        <w:t>六</w:t>
      </w:r>
      <w:r>
        <w:rPr>
          <w:rFonts w:hint="eastAsia" w:ascii="宋体" w:hAnsi="宋体" w:eastAsia="宋体" w:cs="宋体"/>
          <w:b/>
          <w:color w:val="auto"/>
          <w:kern w:val="2"/>
          <w:sz w:val="24"/>
          <w:szCs w:val="24"/>
          <w:lang w:val="en-US" w:eastAsia="zh-CN" w:bidi="ar-SA"/>
        </w:rPr>
        <w:t>、</w:t>
      </w:r>
      <w:r>
        <w:rPr>
          <w:rFonts w:hint="eastAsia" w:ascii="Times New Roman" w:hAnsi="宋体" w:eastAsia="宋体" w:cs="Times New Roman"/>
          <w:b/>
          <w:color w:val="auto"/>
          <w:sz w:val="24"/>
          <w:szCs w:val="24"/>
          <w:lang w:val="en-US" w:eastAsia="zh-CN"/>
        </w:rPr>
        <w:t>编制说明及工程量清单</w:t>
      </w:r>
      <w:r>
        <w:rPr>
          <w:rFonts w:hint="eastAsia" w:ascii="Times New Roman" w:hAnsi="宋体" w:cs="Times New Roman"/>
          <w:b/>
          <w:color w:val="auto"/>
          <w:sz w:val="24"/>
          <w:szCs w:val="24"/>
          <w:lang w:val="en-US" w:eastAsia="zh-CN"/>
        </w:rPr>
        <w:t>（施工图纸另附）</w:t>
      </w:r>
    </w:p>
    <w:p w14:paraId="34428A86">
      <w:pPr>
        <w:pStyle w:val="46"/>
        <w:keepNext w:val="0"/>
        <w:keepLines w:val="0"/>
        <w:pageBreakBefore w:val="0"/>
        <w:kinsoku/>
        <w:wordWrap/>
        <w:overflowPunct/>
        <w:topLinePunct w:val="0"/>
        <w:autoSpaceDE/>
        <w:autoSpaceDN/>
        <w:bidi w:val="0"/>
        <w:adjustRightInd/>
        <w:snapToGrid/>
        <w:spacing w:line="470" w:lineRule="exact"/>
        <w:ind w:left="0" w:leftChars="0" w:firstLine="482" w:firstLineChars="200"/>
        <w:rPr>
          <w:rFonts w:hint="eastAsia" w:ascii="宋体" w:hAnsi="宋体" w:eastAsia="宋体" w:cs="宋体"/>
          <w:b/>
          <w:color w:val="auto"/>
          <w:kern w:val="2"/>
          <w:sz w:val="24"/>
          <w:szCs w:val="24"/>
          <w:lang w:val="en-US" w:eastAsia="zh-CN" w:bidi="ar-SA"/>
        </w:rPr>
      </w:pPr>
      <w:r>
        <w:rPr>
          <w:rFonts w:hint="eastAsia" w:asciiTheme="majorEastAsia" w:hAnsiTheme="majorEastAsia" w:eastAsiaTheme="majorEastAsia" w:cstheme="majorEastAsia"/>
          <w:b/>
          <w:bCs w:val="0"/>
          <w:kern w:val="2"/>
          <w:sz w:val="24"/>
          <w:szCs w:val="24"/>
          <w:lang w:val="en-US" w:eastAsia="zh-CN" w:bidi="ar-SA"/>
        </w:rPr>
        <w:t>七</w:t>
      </w:r>
      <w:r>
        <w:rPr>
          <w:rFonts w:hint="eastAsia" w:ascii="宋体" w:hAnsi="宋体" w:eastAsia="宋体" w:cs="宋体"/>
          <w:b/>
          <w:color w:val="auto"/>
          <w:sz w:val="24"/>
          <w:szCs w:val="24"/>
        </w:rPr>
        <w:t>、</w:t>
      </w:r>
      <w:r>
        <w:rPr>
          <w:rFonts w:hint="eastAsia" w:ascii="宋体" w:hAnsi="宋体" w:eastAsia="宋体" w:cs="宋体"/>
          <w:b/>
          <w:color w:val="auto"/>
          <w:kern w:val="2"/>
          <w:sz w:val="24"/>
          <w:szCs w:val="24"/>
          <w:lang w:val="en-US" w:eastAsia="zh-CN" w:bidi="ar-SA"/>
        </w:rPr>
        <w:t>商务要求</w:t>
      </w:r>
    </w:p>
    <w:p w14:paraId="2B641501">
      <w:pPr>
        <w:pStyle w:val="46"/>
        <w:keepNext w:val="0"/>
        <w:keepLines w:val="0"/>
        <w:pageBreakBefore w:val="0"/>
        <w:kinsoku/>
        <w:wordWrap/>
        <w:overflowPunct/>
        <w:topLinePunct w:val="0"/>
        <w:autoSpaceDE/>
        <w:autoSpaceDN/>
        <w:bidi w:val="0"/>
        <w:adjustRightInd/>
        <w:snapToGrid/>
        <w:spacing w:line="470" w:lineRule="exact"/>
        <w:ind w:left="0" w:leftChars="0" w:firstLine="482" w:firstLineChars="200"/>
        <w:rPr>
          <w:rFonts w:hint="eastAsia" w:asciiTheme="majorEastAsia" w:hAnsiTheme="majorEastAsia" w:eastAsiaTheme="majorEastAsia" w:cstheme="majorEastAsia"/>
          <w:b w:val="0"/>
          <w:bCs/>
          <w:kern w:val="2"/>
          <w:sz w:val="24"/>
          <w:szCs w:val="24"/>
          <w:lang w:val="en-US" w:eastAsia="zh-CN" w:bidi="ar-SA"/>
        </w:rPr>
      </w:pPr>
      <w:r>
        <w:rPr>
          <w:rFonts w:hint="eastAsia" w:asciiTheme="majorEastAsia" w:hAnsiTheme="majorEastAsia" w:eastAsiaTheme="majorEastAsia" w:cstheme="majorEastAsia"/>
          <w:b/>
          <w:bCs w:val="0"/>
          <w:kern w:val="2"/>
          <w:sz w:val="24"/>
          <w:szCs w:val="24"/>
          <w:lang w:val="en-US" w:eastAsia="zh-CN" w:bidi="ar-SA"/>
        </w:rPr>
        <w:t>1.工期：</w:t>
      </w:r>
      <w:r>
        <w:rPr>
          <w:rFonts w:hint="eastAsia" w:asciiTheme="majorEastAsia" w:hAnsiTheme="majorEastAsia" w:eastAsiaTheme="majorEastAsia" w:cstheme="majorEastAsia"/>
          <w:b w:val="0"/>
          <w:bCs/>
          <w:kern w:val="2"/>
          <w:sz w:val="24"/>
          <w:szCs w:val="24"/>
          <w:lang w:val="en-US" w:eastAsia="zh-CN" w:bidi="ar-SA"/>
        </w:rPr>
        <w:t>自合同签订生效之日起90天</w:t>
      </w:r>
    </w:p>
    <w:p w14:paraId="3DBEF5EC">
      <w:pPr>
        <w:pStyle w:val="46"/>
        <w:keepNext w:val="0"/>
        <w:keepLines w:val="0"/>
        <w:pageBreakBefore w:val="0"/>
        <w:kinsoku/>
        <w:wordWrap/>
        <w:overflowPunct/>
        <w:topLinePunct w:val="0"/>
        <w:autoSpaceDE/>
        <w:autoSpaceDN/>
        <w:bidi w:val="0"/>
        <w:adjustRightInd/>
        <w:snapToGrid/>
        <w:spacing w:line="470" w:lineRule="exact"/>
        <w:ind w:left="0" w:leftChars="0" w:firstLine="482" w:firstLineChars="200"/>
        <w:rPr>
          <w:rFonts w:hint="eastAsia" w:asciiTheme="majorEastAsia" w:hAnsiTheme="majorEastAsia" w:eastAsiaTheme="majorEastAsia" w:cstheme="majorEastAsia"/>
          <w:b w:val="0"/>
          <w:bCs/>
          <w:kern w:val="2"/>
          <w:sz w:val="24"/>
          <w:szCs w:val="24"/>
          <w:lang w:val="en-US" w:eastAsia="zh-CN" w:bidi="ar-SA"/>
        </w:rPr>
      </w:pPr>
      <w:r>
        <w:rPr>
          <w:rFonts w:hint="eastAsia" w:asciiTheme="majorEastAsia" w:hAnsiTheme="majorEastAsia" w:eastAsiaTheme="majorEastAsia" w:cstheme="majorEastAsia"/>
          <w:b/>
          <w:bCs w:val="0"/>
          <w:kern w:val="2"/>
          <w:sz w:val="24"/>
          <w:szCs w:val="24"/>
          <w:lang w:val="en-US" w:eastAsia="zh-CN" w:bidi="ar-SA"/>
        </w:rPr>
        <w:t>2.服务地点：</w:t>
      </w:r>
      <w:r>
        <w:rPr>
          <w:rFonts w:hint="eastAsia" w:asciiTheme="majorEastAsia" w:hAnsiTheme="majorEastAsia" w:eastAsiaTheme="majorEastAsia" w:cstheme="majorEastAsia"/>
          <w:b w:val="0"/>
          <w:bCs/>
          <w:kern w:val="2"/>
          <w:sz w:val="24"/>
          <w:szCs w:val="24"/>
          <w:lang w:val="en-US" w:eastAsia="zh-CN" w:bidi="ar-SA"/>
        </w:rPr>
        <w:t>采购人指定地点</w:t>
      </w:r>
    </w:p>
    <w:p w14:paraId="3AE29338">
      <w:pPr>
        <w:pStyle w:val="46"/>
        <w:keepNext w:val="0"/>
        <w:keepLines w:val="0"/>
        <w:pageBreakBefore w:val="0"/>
        <w:kinsoku/>
        <w:wordWrap/>
        <w:overflowPunct/>
        <w:topLinePunct w:val="0"/>
        <w:autoSpaceDE/>
        <w:autoSpaceDN/>
        <w:bidi w:val="0"/>
        <w:adjustRightInd/>
        <w:snapToGrid/>
        <w:spacing w:line="470" w:lineRule="exact"/>
        <w:ind w:left="0" w:leftChars="0" w:firstLine="482" w:firstLineChars="200"/>
        <w:rPr>
          <w:rFonts w:hint="eastAsia" w:asciiTheme="majorEastAsia" w:hAnsiTheme="majorEastAsia" w:eastAsiaTheme="majorEastAsia" w:cstheme="majorEastAsia"/>
          <w:b w:val="0"/>
          <w:bCs/>
          <w:color w:val="FF0000"/>
          <w:kern w:val="2"/>
          <w:sz w:val="24"/>
          <w:szCs w:val="24"/>
          <w:lang w:val="en-US" w:eastAsia="zh-CN" w:bidi="ar-SA"/>
        </w:rPr>
      </w:pPr>
      <w:r>
        <w:rPr>
          <w:rFonts w:hint="eastAsia" w:asciiTheme="majorEastAsia" w:hAnsiTheme="majorEastAsia" w:eastAsiaTheme="majorEastAsia" w:cstheme="majorEastAsia"/>
          <w:b/>
          <w:bCs w:val="0"/>
          <w:kern w:val="2"/>
          <w:sz w:val="24"/>
          <w:szCs w:val="24"/>
          <w:lang w:val="en-US" w:eastAsia="zh-CN" w:bidi="ar-SA"/>
        </w:rPr>
        <w:t>3.付款方式：</w:t>
      </w:r>
      <w:r>
        <w:rPr>
          <w:rFonts w:hint="eastAsia" w:asciiTheme="majorEastAsia" w:hAnsiTheme="majorEastAsia" w:eastAsiaTheme="majorEastAsia" w:cstheme="majorEastAsia"/>
          <w:b w:val="0"/>
          <w:bCs/>
          <w:kern w:val="2"/>
          <w:sz w:val="24"/>
          <w:szCs w:val="24"/>
          <w:lang w:val="en-US" w:eastAsia="zh-CN" w:bidi="ar-SA"/>
        </w:rPr>
        <w:t>5%质保金，质保期（或者质量缺陷责任期）1年，期满后退回。</w:t>
      </w:r>
    </w:p>
    <w:p w14:paraId="742385B2">
      <w:pPr>
        <w:pStyle w:val="46"/>
        <w:keepNext w:val="0"/>
        <w:keepLines w:val="0"/>
        <w:pageBreakBefore w:val="0"/>
        <w:kinsoku/>
        <w:wordWrap/>
        <w:overflowPunct/>
        <w:topLinePunct w:val="0"/>
        <w:autoSpaceDE/>
        <w:autoSpaceDN/>
        <w:bidi w:val="0"/>
        <w:adjustRightInd/>
        <w:snapToGrid/>
        <w:spacing w:line="470" w:lineRule="exact"/>
        <w:ind w:left="0" w:leftChars="0" w:firstLine="482" w:firstLineChars="200"/>
        <w:rPr>
          <w:rFonts w:hint="eastAsia" w:asciiTheme="majorEastAsia" w:hAnsiTheme="majorEastAsia" w:eastAsiaTheme="majorEastAsia" w:cstheme="majorEastAsia"/>
          <w:b w:val="0"/>
          <w:bCs/>
          <w:kern w:val="2"/>
          <w:sz w:val="24"/>
          <w:szCs w:val="24"/>
          <w:lang w:val="en-US" w:eastAsia="zh-CN" w:bidi="ar-SA"/>
        </w:rPr>
      </w:pPr>
      <w:r>
        <w:rPr>
          <w:rFonts w:hint="eastAsia" w:asciiTheme="majorEastAsia" w:hAnsiTheme="majorEastAsia" w:eastAsiaTheme="majorEastAsia" w:cstheme="majorEastAsia"/>
          <w:b/>
          <w:bCs w:val="0"/>
          <w:kern w:val="2"/>
          <w:sz w:val="24"/>
          <w:szCs w:val="24"/>
          <w:lang w:val="en-US" w:eastAsia="zh-CN" w:bidi="ar-SA"/>
        </w:rPr>
        <w:t>4.质量等级：</w:t>
      </w:r>
      <w:r>
        <w:rPr>
          <w:rFonts w:hint="eastAsia" w:asciiTheme="majorEastAsia" w:hAnsiTheme="majorEastAsia" w:eastAsiaTheme="majorEastAsia" w:cstheme="majorEastAsia"/>
          <w:b w:val="0"/>
          <w:bCs/>
          <w:kern w:val="2"/>
          <w:sz w:val="24"/>
          <w:szCs w:val="24"/>
          <w:lang w:val="en-US" w:eastAsia="zh-CN" w:bidi="ar-SA"/>
        </w:rPr>
        <w:t>符合国家现行施工及验收规范的合格标准。</w:t>
      </w:r>
    </w:p>
    <w:p w14:paraId="36E85CC7">
      <w:pPr>
        <w:pStyle w:val="46"/>
        <w:keepNext w:val="0"/>
        <w:keepLines w:val="0"/>
        <w:pageBreakBefore w:val="0"/>
        <w:kinsoku/>
        <w:wordWrap/>
        <w:overflowPunct/>
        <w:topLinePunct w:val="0"/>
        <w:autoSpaceDE/>
        <w:autoSpaceDN/>
        <w:bidi w:val="0"/>
        <w:adjustRightInd/>
        <w:snapToGrid/>
        <w:spacing w:line="470" w:lineRule="exact"/>
        <w:ind w:left="0" w:leftChars="0" w:firstLine="482" w:firstLineChars="200"/>
        <w:rPr>
          <w:rFonts w:hint="eastAsia" w:asciiTheme="majorEastAsia" w:hAnsiTheme="majorEastAsia" w:eastAsiaTheme="majorEastAsia" w:cstheme="majorEastAsia"/>
          <w:b w:val="0"/>
          <w:bCs/>
          <w:kern w:val="2"/>
          <w:sz w:val="24"/>
          <w:szCs w:val="24"/>
          <w:lang w:val="en-US" w:eastAsia="zh-CN" w:bidi="ar-SA"/>
        </w:rPr>
      </w:pPr>
      <w:r>
        <w:rPr>
          <w:rFonts w:hint="eastAsia" w:asciiTheme="majorEastAsia" w:hAnsiTheme="majorEastAsia" w:eastAsiaTheme="majorEastAsia" w:cstheme="majorEastAsia"/>
          <w:b/>
          <w:bCs w:val="0"/>
          <w:kern w:val="2"/>
          <w:sz w:val="24"/>
          <w:szCs w:val="24"/>
          <w:lang w:val="en-US" w:eastAsia="zh-CN" w:bidi="ar-SA"/>
        </w:rPr>
        <w:t>5.验收标准和方法：</w:t>
      </w:r>
      <w:r>
        <w:rPr>
          <w:rFonts w:hint="eastAsia" w:asciiTheme="majorEastAsia" w:hAnsiTheme="majorEastAsia" w:eastAsiaTheme="majorEastAsia" w:cstheme="majorEastAsia"/>
          <w:b w:val="0"/>
          <w:bCs/>
          <w:kern w:val="2"/>
          <w:sz w:val="24"/>
          <w:szCs w:val="24"/>
          <w:lang w:val="en-US" w:eastAsia="zh-CN" w:bidi="ar-SA"/>
        </w:rPr>
        <w:t>按采购文件、投标文件等服务指标进行逐项验收，各项指标均应符合验收标准及要求。验收合格后，填写验收单，双方盖章、签字生效。</w:t>
      </w:r>
    </w:p>
    <w:p w14:paraId="5AC90EFF">
      <w:pPr>
        <w:pStyle w:val="46"/>
        <w:keepNext w:val="0"/>
        <w:keepLines w:val="0"/>
        <w:pageBreakBefore w:val="0"/>
        <w:kinsoku/>
        <w:wordWrap/>
        <w:overflowPunct/>
        <w:topLinePunct w:val="0"/>
        <w:autoSpaceDE/>
        <w:autoSpaceDN/>
        <w:bidi w:val="0"/>
        <w:adjustRightInd/>
        <w:snapToGrid/>
        <w:spacing w:line="470" w:lineRule="exact"/>
        <w:ind w:left="0" w:leftChars="0" w:firstLine="482" w:firstLineChars="200"/>
        <w:rPr>
          <w:rFonts w:hint="eastAsia" w:asciiTheme="majorEastAsia" w:hAnsiTheme="majorEastAsia" w:eastAsiaTheme="majorEastAsia" w:cstheme="majorEastAsia"/>
          <w:b w:val="0"/>
          <w:bCs/>
          <w:kern w:val="2"/>
          <w:sz w:val="24"/>
          <w:szCs w:val="24"/>
          <w:lang w:val="en-US" w:eastAsia="zh-CN" w:bidi="ar-SA"/>
        </w:rPr>
      </w:pPr>
      <w:r>
        <w:rPr>
          <w:rFonts w:hint="eastAsia" w:asciiTheme="majorEastAsia" w:hAnsiTheme="majorEastAsia" w:eastAsiaTheme="majorEastAsia" w:cstheme="majorEastAsia"/>
          <w:b/>
          <w:bCs w:val="0"/>
          <w:kern w:val="2"/>
          <w:sz w:val="24"/>
          <w:szCs w:val="24"/>
          <w:lang w:val="en-US" w:eastAsia="zh-CN" w:bidi="ar-SA"/>
        </w:rPr>
        <w:t>6.验收依据：</w:t>
      </w:r>
      <w:r>
        <w:rPr>
          <w:rFonts w:hint="eastAsia" w:asciiTheme="majorEastAsia" w:hAnsiTheme="majorEastAsia" w:eastAsiaTheme="majorEastAsia" w:cstheme="majorEastAsia"/>
          <w:b w:val="0"/>
          <w:bCs/>
          <w:kern w:val="2"/>
          <w:sz w:val="24"/>
          <w:szCs w:val="24"/>
          <w:lang w:val="en-US" w:eastAsia="zh-CN" w:bidi="ar-SA"/>
        </w:rPr>
        <w:t>合同、响应文件、采购文件、澄清函（如有）、国家和行业制定的相应的标准和规范。</w:t>
      </w:r>
    </w:p>
    <w:p w14:paraId="69494E90">
      <w:pPr>
        <w:pStyle w:val="46"/>
        <w:keepNext w:val="0"/>
        <w:keepLines w:val="0"/>
        <w:pageBreakBefore w:val="0"/>
        <w:kinsoku/>
        <w:wordWrap/>
        <w:overflowPunct/>
        <w:topLinePunct w:val="0"/>
        <w:autoSpaceDE/>
        <w:autoSpaceDN/>
        <w:bidi w:val="0"/>
        <w:adjustRightInd/>
        <w:snapToGrid/>
        <w:spacing w:line="470" w:lineRule="exact"/>
        <w:ind w:left="0" w:leftChars="0" w:firstLine="0" w:firstLineChars="0"/>
        <w:rPr>
          <w:rFonts w:hint="eastAsia" w:asciiTheme="majorEastAsia" w:hAnsiTheme="majorEastAsia" w:eastAsiaTheme="majorEastAsia" w:cstheme="majorEastAsia"/>
          <w:b w:val="0"/>
          <w:bCs/>
          <w:kern w:val="2"/>
          <w:sz w:val="24"/>
          <w:szCs w:val="24"/>
          <w:lang w:val="en-US" w:eastAsia="zh-CN" w:bidi="ar-SA"/>
        </w:rPr>
        <w:sectPr>
          <w:footerReference r:id="rId16" w:type="first"/>
          <w:headerReference r:id="rId14" w:type="default"/>
          <w:footerReference r:id="rId15" w:type="default"/>
          <w:pgSz w:w="11906" w:h="16838"/>
          <w:pgMar w:top="1417" w:right="1417" w:bottom="1417" w:left="1417" w:header="992" w:footer="992" w:gutter="0"/>
          <w:pgNumType w:fmt="decimal"/>
          <w:cols w:space="0" w:num="1"/>
          <w:titlePg/>
          <w:rtlGutter w:val="0"/>
          <w:docGrid w:type="lines" w:linePitch="333" w:charSpace="0"/>
        </w:sectPr>
      </w:pPr>
    </w:p>
    <w:p w14:paraId="764F2D4A">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Times New Roman" w:hAnsi="宋体" w:eastAsia="宋体" w:cs="Times New Roman"/>
          <w:b/>
          <w:color w:val="auto"/>
          <w:sz w:val="24"/>
          <w:szCs w:val="24"/>
          <w:lang w:val="en-US" w:eastAsia="zh-CN"/>
        </w:rPr>
      </w:pPr>
    </w:p>
    <w:p w14:paraId="15B19999">
      <w:pPr>
        <w:spacing w:line="580" w:lineRule="exact"/>
        <w:jc w:val="center"/>
        <w:rPr>
          <w:rFonts w:asciiTheme="majorEastAsia" w:hAnsiTheme="majorEastAsia" w:eastAsiaTheme="majorEastAsia" w:cstheme="majorEastAsia"/>
          <w:b/>
          <w:bCs/>
          <w:sz w:val="48"/>
          <w:szCs w:val="48"/>
        </w:rPr>
      </w:pPr>
      <w:r>
        <w:rPr>
          <w:rFonts w:hint="eastAsia" w:asciiTheme="majorEastAsia" w:hAnsiTheme="majorEastAsia" w:eastAsiaTheme="majorEastAsia" w:cstheme="majorEastAsia"/>
          <w:b/>
          <w:bCs/>
          <w:sz w:val="48"/>
          <w:szCs w:val="48"/>
        </w:rPr>
        <w:t>编制说明</w:t>
      </w:r>
    </w:p>
    <w:p w14:paraId="30D0BBAA">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一、项目概述</w:t>
      </w:r>
    </w:p>
    <w:p w14:paraId="3C408B1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恒口示范区梁沟村便民桥建设工程，路线全长39</w:t>
      </w:r>
      <w:r>
        <w:rPr>
          <w:rFonts w:hint="eastAsia" w:ascii="宋体" w:hAnsi="宋体" w:eastAsia="宋体" w:cs="宋体"/>
          <w:color w:val="auto"/>
          <w:sz w:val="24"/>
          <w:szCs w:val="24"/>
          <w:lang w:val="en-US" w:eastAsia="zh-CN"/>
        </w:rPr>
        <w:t>米，预算详细内容请参阅预算文件各表，现就预算编制如下说明：</w:t>
      </w:r>
    </w:p>
    <w:p w14:paraId="06DD1356">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二、预算编制依据</w:t>
      </w:r>
    </w:p>
    <w:p w14:paraId="17CEF65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（1）交通运输部公告2018年第86号发布的《公路工程建设项目概算预算编制办法》（JTG 3830—2018，以下简称“编制办法”。</w:t>
      </w:r>
    </w:p>
    <w:p w14:paraId="58D5FDD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（2）交通运输部公告2018年第86号发布的《公路工程预算定额》（JTG/T 3832—2018）。</w:t>
      </w:r>
    </w:p>
    <w:p w14:paraId="36DE19B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（3）交通运输部公告2018年第86号发布的《公路工程机械台班费用定额》（JTG/T 3833—2018）。</w:t>
      </w:r>
    </w:p>
    <w:p w14:paraId="343B5B00">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（4）陕西省交通运输厅公布的最新公路工程主要材料价格信息的通知。</w:t>
      </w:r>
    </w:p>
    <w:p w14:paraId="4DBC8C6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（5）交通运输部关于调整《公路工程建设项目投资估算编制办法》(JTG 3820-2018)和《公路工程建设项目概算预算编制办法》(JTG 3830-2018)中“税金”有关规定的公告（交通运输部2019年第26号）。</w:t>
      </w:r>
    </w:p>
    <w:p w14:paraId="28F05B5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（6）本项目施工图设计图纸。</w:t>
      </w:r>
    </w:p>
    <w:p w14:paraId="5455A944">
      <w:pPr>
        <w:keepNext w:val="0"/>
        <w:keepLines w:val="0"/>
        <w:pageBreakBefore w:val="0"/>
        <w:widowControl w:val="0"/>
        <w:tabs>
          <w:tab w:val="center" w:pos="4536"/>
        </w:tabs>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三、相关取费问题的说明</w:t>
      </w:r>
      <w:r>
        <w:rPr>
          <w:rFonts w:hint="eastAsia" w:ascii="宋体" w:hAnsi="宋体" w:eastAsia="宋体" w:cs="宋体"/>
          <w:b/>
          <w:bCs/>
          <w:sz w:val="24"/>
          <w:szCs w:val="24"/>
          <w:lang w:val="en-US" w:eastAsia="zh-CN"/>
        </w:rPr>
        <w:tab/>
      </w:r>
    </w:p>
    <w:p w14:paraId="32B6C0AC">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（一）建筑安装工程费</w:t>
      </w:r>
    </w:p>
    <w:p w14:paraId="134C59F9">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1、直接费</w:t>
      </w:r>
    </w:p>
    <w:p w14:paraId="55118B2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（1）人工费：根据补充规定，陕西省公路工程新建、改（扩）建人工工日单价为105.89元/工日（含机械工），人工工日单价仅作为编制投资估算、设计概算和施工图预算的依据，不作为施工企业实发工资的依据。</w:t>
      </w:r>
    </w:p>
    <w:p w14:paraId="0951741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材料费：根据补充规定，公路工程建设项目材料价格参照省交通运输厅工程造价事务中心的信息价和工程所在地的市场调查价综合取定。本工程项目材料价格参照陕西省公路工程2025年第5月安康市信息价，部分材料价格根据工程项目所在地市场调查价格取定。</w:t>
      </w:r>
    </w:p>
    <w:p w14:paraId="314B1B9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（3）施工机械使用费：根据补充规定，机械台班预算价格按《公路工程机械台班费用定额》（JTG/T 3833—2018）计算，其中台班人工费工日单价同生产工人人工工日单价，动力燃料费按工程项目的材料预算价格计算，车船使用税按陕西省税务部门有关规定执行。</w:t>
      </w:r>
    </w:p>
    <w:p w14:paraId="5C0981A2">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bookmarkStart w:id="165" w:name="OLE_LINK7"/>
      <w:r>
        <w:rPr>
          <w:rFonts w:hint="eastAsia" w:ascii="宋体" w:hAnsi="宋体" w:eastAsia="宋体" w:cs="宋体"/>
          <w:b/>
          <w:bCs/>
          <w:sz w:val="24"/>
          <w:szCs w:val="24"/>
          <w:lang w:val="en-US" w:eastAsia="zh-CN"/>
        </w:rPr>
        <w:t>、</w:t>
      </w:r>
      <w:bookmarkEnd w:id="165"/>
      <w:r>
        <w:rPr>
          <w:rFonts w:hint="eastAsia" w:ascii="宋体" w:hAnsi="宋体" w:eastAsia="宋体" w:cs="宋体"/>
          <w:b/>
          <w:bCs/>
          <w:sz w:val="24"/>
          <w:szCs w:val="24"/>
          <w:lang w:val="en-US" w:eastAsia="zh-CN"/>
        </w:rPr>
        <w:t>设备购置费</w:t>
      </w:r>
    </w:p>
    <w:p w14:paraId="45AF82A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本工程项目不计取设备购置费。</w:t>
      </w:r>
    </w:p>
    <w:p w14:paraId="2FB42398">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3、措施费</w:t>
      </w:r>
    </w:p>
    <w:p w14:paraId="6DEC9990">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冬季施工增加费：根据编制办法，本工程项目按准二区费率计取。</w:t>
      </w:r>
    </w:p>
    <w:p w14:paraId="6E7CE8E0">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雨季施工增加费：根据编制办法，本工程项目按Ⅰ区3个月的费率计取。</w:t>
      </w:r>
    </w:p>
    <w:p w14:paraId="49A9353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夜间施工增加费：本工程项不计取。</w:t>
      </w:r>
    </w:p>
    <w:p w14:paraId="13F312E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特殊地区施工增加费：本工程项目不计取。</w:t>
      </w:r>
    </w:p>
    <w:p w14:paraId="32E2F13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行车干扰施工增加费：本工程项目计取。</w:t>
      </w:r>
    </w:p>
    <w:p w14:paraId="131AFE9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施工辅助费：按编制办法计取。</w:t>
      </w:r>
    </w:p>
    <w:p w14:paraId="03B73F4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工地转移费：按编制办法计取。</w:t>
      </w:r>
    </w:p>
    <w:p w14:paraId="0181FF24">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4、企业管理费</w:t>
      </w:r>
    </w:p>
    <w:p w14:paraId="0AFB738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基本费用：本工程项目计取。</w:t>
      </w:r>
    </w:p>
    <w:p w14:paraId="3BCC75F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主副食运费补贴：本工程项目计取。</w:t>
      </w:r>
    </w:p>
    <w:p w14:paraId="1D60BF0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职工探亲路费：本工程项目计取。</w:t>
      </w:r>
    </w:p>
    <w:p w14:paraId="0600FD6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职工取暖补贴：本工程项目计取。</w:t>
      </w:r>
    </w:p>
    <w:p w14:paraId="51C472F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财务费用：本工程项目计取。</w:t>
      </w:r>
    </w:p>
    <w:p w14:paraId="681640EE">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5、规费</w:t>
      </w:r>
    </w:p>
    <w:p w14:paraId="5289749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养老保险费、失业保险费、医疗保险费、工伤保险费、住房公积金费率均按&lt;补充规定&gt;计取。</w:t>
      </w:r>
    </w:p>
    <w:p w14:paraId="569ED3A7">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6、利润</w:t>
      </w:r>
    </w:p>
    <w:p w14:paraId="7421489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根据编制办法，利润按定额直接费及措施费、企业管理费之和的7.42%计取。</w:t>
      </w:r>
    </w:p>
    <w:p w14:paraId="05720010">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7、税金</w:t>
      </w:r>
    </w:p>
    <w:p w14:paraId="6E8B856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根据交通运输部2019年第26号公告，税金按9%的费率计取。</w:t>
      </w:r>
    </w:p>
    <w:p w14:paraId="6FD9BEA6">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8、专项费用</w:t>
      </w:r>
    </w:p>
    <w:p w14:paraId="6C9DDD6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安全生产费按照编制办法记取。</w:t>
      </w:r>
    </w:p>
    <w:p w14:paraId="6EEE4E2B">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（二）土地使用及拆迁补偿费</w:t>
      </w:r>
    </w:p>
    <w:p w14:paraId="2DB45E7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本次预算文件中暂不计土地征用及补偿等费用。</w:t>
      </w:r>
    </w:p>
    <w:p w14:paraId="7D6E0D71">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（三）工程建设其他费</w:t>
      </w:r>
    </w:p>
    <w:p w14:paraId="52AD0F15">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1、建设项目管理费</w:t>
      </w:r>
    </w:p>
    <w:p w14:paraId="30D8B2F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工程监理费：根据编制办法计取。</w:t>
      </w:r>
    </w:p>
    <w:p w14:paraId="7FE48FC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设计文件审查费：根据编制办法计取。</w:t>
      </w:r>
    </w:p>
    <w:p w14:paraId="73A32B1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竣（交）工验收试验检测费：按编制办法计取。</w:t>
      </w:r>
    </w:p>
    <w:p w14:paraId="00CF0910">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2、研究试验费：不计取。</w:t>
      </w:r>
    </w:p>
    <w:p w14:paraId="63E175CC">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3、施工图设计的勘察费、设计费、预算编制费按建筑安装工程费的3%计取。</w:t>
      </w:r>
    </w:p>
    <w:p w14:paraId="00914151">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4、设计、监理、施工招标文件及招标标底文件编制费等按建筑安装工程费的0.6%计取。</w:t>
      </w:r>
    </w:p>
    <w:p w14:paraId="2CDB07ED">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5、工程保险费：根据编制办法计取。</w:t>
      </w:r>
    </w:p>
    <w:p w14:paraId="01896707">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6、专项评估费、联合试运转费、生产准备费等其他费用均不计。</w:t>
      </w:r>
    </w:p>
    <w:p w14:paraId="039A8CA4">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（四）预备费</w:t>
      </w:r>
    </w:p>
    <w:p w14:paraId="21D8BF1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1、基本预备费：根据编制办法，施工图设计按一、二、三 部分费用之和的3%计取。</w:t>
      </w:r>
    </w:p>
    <w:p w14:paraId="1E166A6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2、价差预备费不计。</w:t>
      </w:r>
    </w:p>
    <w:p w14:paraId="728608CE">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Times New Roman" w:hAnsi="宋体" w:eastAsia="宋体" w:cs="Times New Roman"/>
          <w:b/>
          <w:color w:val="auto"/>
          <w:sz w:val="24"/>
          <w:szCs w:val="24"/>
          <w:lang w:val="en-US" w:eastAsia="zh-CN"/>
        </w:rPr>
      </w:pPr>
    </w:p>
    <w:p w14:paraId="17079C1B">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Times New Roman" w:hAnsi="宋体" w:eastAsia="宋体" w:cs="Times New Roman"/>
          <w:b/>
          <w:color w:val="auto"/>
          <w:sz w:val="24"/>
          <w:szCs w:val="24"/>
          <w:lang w:val="en-US" w:eastAsia="zh-CN"/>
        </w:rPr>
      </w:pPr>
    </w:p>
    <w:p w14:paraId="2A2FB337">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Times New Roman" w:hAnsi="宋体" w:eastAsia="宋体" w:cs="Times New Roman"/>
          <w:b/>
          <w:color w:val="auto"/>
          <w:sz w:val="24"/>
          <w:szCs w:val="24"/>
          <w:lang w:val="en-US" w:eastAsia="zh-CN"/>
        </w:rPr>
      </w:pPr>
    </w:p>
    <w:p w14:paraId="4D9C178C">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Times New Roman" w:hAnsi="宋体" w:eastAsia="宋体" w:cs="Times New Roman"/>
          <w:b/>
          <w:color w:val="auto"/>
          <w:sz w:val="24"/>
          <w:szCs w:val="24"/>
          <w:lang w:val="en-US" w:eastAsia="zh-CN"/>
        </w:rPr>
      </w:pPr>
    </w:p>
    <w:p w14:paraId="47ACCD53">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Times New Roman" w:hAnsi="宋体" w:eastAsia="宋体" w:cs="Times New Roman"/>
          <w:b/>
          <w:color w:val="auto"/>
          <w:sz w:val="24"/>
          <w:szCs w:val="24"/>
          <w:lang w:val="en-US" w:eastAsia="zh-CN"/>
        </w:rPr>
      </w:pPr>
    </w:p>
    <w:p w14:paraId="5EE38F3D">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Times New Roman" w:hAnsi="宋体" w:eastAsia="宋体" w:cs="Times New Roman"/>
          <w:b/>
          <w:color w:val="auto"/>
          <w:sz w:val="24"/>
          <w:szCs w:val="24"/>
          <w:lang w:val="en-US" w:eastAsia="zh-CN"/>
        </w:rPr>
      </w:pPr>
    </w:p>
    <w:p w14:paraId="598E2252">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Times New Roman" w:hAnsi="宋体" w:eastAsia="宋体" w:cs="Times New Roman"/>
          <w:b/>
          <w:color w:val="auto"/>
          <w:sz w:val="24"/>
          <w:szCs w:val="24"/>
          <w:lang w:val="en-US" w:eastAsia="zh-CN"/>
        </w:rPr>
      </w:pPr>
    </w:p>
    <w:p w14:paraId="15B0AB9E">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Times New Roman" w:hAnsi="宋体" w:eastAsia="宋体" w:cs="Times New Roman"/>
          <w:b/>
          <w:color w:val="auto"/>
          <w:sz w:val="24"/>
          <w:szCs w:val="24"/>
          <w:lang w:val="en-US" w:eastAsia="zh-CN"/>
        </w:rPr>
      </w:pPr>
    </w:p>
    <w:p w14:paraId="6B9AD566">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Times New Roman" w:hAnsi="宋体" w:eastAsia="宋体" w:cs="Times New Roman"/>
          <w:b/>
          <w:color w:val="auto"/>
          <w:sz w:val="24"/>
          <w:szCs w:val="24"/>
          <w:lang w:val="en-US" w:eastAsia="zh-CN"/>
        </w:rPr>
      </w:pPr>
    </w:p>
    <w:p w14:paraId="15A00FD8">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Times New Roman" w:hAnsi="宋体" w:eastAsia="宋体" w:cs="Times New Roman"/>
          <w:b/>
          <w:color w:val="auto"/>
          <w:sz w:val="24"/>
          <w:szCs w:val="24"/>
          <w:lang w:val="en-US" w:eastAsia="zh-CN"/>
        </w:rPr>
      </w:pPr>
    </w:p>
    <w:p w14:paraId="224E47CB">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Times New Roman" w:hAnsi="宋体" w:eastAsia="宋体" w:cs="Times New Roman"/>
          <w:b/>
          <w:color w:val="auto"/>
          <w:sz w:val="24"/>
          <w:szCs w:val="24"/>
          <w:lang w:val="en-US" w:eastAsia="zh-CN"/>
        </w:rPr>
      </w:pPr>
    </w:p>
    <w:p w14:paraId="75A22596">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Times New Roman" w:hAnsi="宋体" w:eastAsia="宋体" w:cs="Times New Roman"/>
          <w:b/>
          <w:color w:val="auto"/>
          <w:sz w:val="24"/>
          <w:szCs w:val="24"/>
          <w:lang w:val="en-US" w:eastAsia="zh-CN"/>
        </w:rPr>
      </w:pPr>
    </w:p>
    <w:p w14:paraId="6F2C5244">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Times New Roman" w:hAnsi="宋体" w:eastAsia="宋体" w:cs="Times New Roman"/>
          <w:b/>
          <w:color w:val="auto"/>
          <w:sz w:val="24"/>
          <w:szCs w:val="24"/>
          <w:lang w:val="en-US" w:eastAsia="zh-CN"/>
        </w:rPr>
      </w:pPr>
    </w:p>
    <w:p w14:paraId="60285182">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Times New Roman" w:hAnsi="宋体" w:eastAsia="宋体" w:cs="Times New Roman"/>
          <w:b/>
          <w:color w:val="auto"/>
          <w:sz w:val="24"/>
          <w:szCs w:val="24"/>
          <w:lang w:val="en-US" w:eastAsia="zh-CN"/>
        </w:rPr>
      </w:pPr>
    </w:p>
    <w:p w14:paraId="57E8CE84">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Times New Roman" w:hAnsi="宋体" w:eastAsia="宋体" w:cs="Times New Roman"/>
          <w:b/>
          <w:color w:val="auto"/>
          <w:sz w:val="24"/>
          <w:szCs w:val="24"/>
          <w:lang w:val="en-US" w:eastAsia="zh-CN"/>
        </w:rPr>
      </w:pPr>
    </w:p>
    <w:p w14:paraId="03D5FBCE">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Times New Roman" w:hAnsi="宋体" w:eastAsia="宋体" w:cs="Times New Roman"/>
          <w:b/>
          <w:color w:val="auto"/>
          <w:sz w:val="24"/>
          <w:szCs w:val="24"/>
          <w:lang w:val="en-US" w:eastAsia="zh-CN"/>
        </w:rPr>
      </w:pPr>
    </w:p>
    <w:p w14:paraId="36171B3E">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Times New Roman" w:hAnsi="宋体" w:eastAsia="宋体" w:cs="Times New Roman"/>
          <w:b/>
          <w:color w:val="auto"/>
          <w:sz w:val="24"/>
          <w:szCs w:val="24"/>
          <w:lang w:val="en-US" w:eastAsia="zh-CN"/>
        </w:rPr>
      </w:pPr>
    </w:p>
    <w:tbl>
      <w:tblPr>
        <w:tblStyle w:val="35"/>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3750"/>
        <w:gridCol w:w="704"/>
        <w:gridCol w:w="1057"/>
        <w:gridCol w:w="1056"/>
        <w:gridCol w:w="1056"/>
      </w:tblGrid>
      <w:tr w14:paraId="2C38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05" w:type="dxa"/>
            <w:gridSpan w:val="6"/>
            <w:tcBorders>
              <w:top w:val="nil"/>
              <w:left w:val="nil"/>
              <w:bottom w:val="nil"/>
              <w:right w:val="nil"/>
            </w:tcBorders>
            <w:shd w:val="clear" w:color="auto" w:fill="FFFFFF"/>
            <w:vAlign w:val="top"/>
          </w:tcPr>
          <w:p w14:paraId="7C553AA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45AC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62E64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3D03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1A4D0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345902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00D801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7174C9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14:paraId="5A56D0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14:paraId="61003B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6A29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03838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14:paraId="4CE776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14:paraId="107274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7FBC67D">
            <w:pPr>
              <w:keepNext w:val="0"/>
              <w:keepLines w:val="0"/>
              <w:suppressLineNumbers w:val="0"/>
              <w:spacing w:before="0" w:beforeAutospacing="0" w:after="0" w:afterAutospacing="0"/>
              <w:ind w:left="0" w:right="0"/>
              <w:jc w:val="right"/>
              <w:rPr>
                <w:rFonts w:hint="eastAsia"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DD65FD7">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14:paraId="6B47D766">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1127B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BC7A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14:paraId="5E504E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14:paraId="06AD72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E8D1B92">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FFCBA15">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14:paraId="3F859F1C">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26A9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542D3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4F0160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14:paraId="3182CB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14:paraId="32BD06B0">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6" w:type="dxa"/>
            <w:tcBorders>
              <w:top w:val="nil"/>
              <w:left w:val="nil"/>
              <w:bottom w:val="single" w:color="000000" w:sz="4" w:space="0"/>
              <w:right w:val="single" w:color="000000" w:sz="4" w:space="0"/>
            </w:tcBorders>
            <w:shd w:val="clear" w:color="auto" w:fill="FFFFFF"/>
            <w:vAlign w:val="center"/>
          </w:tcPr>
          <w:p w14:paraId="0686CBF7">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c>
          <w:tcPr>
            <w:tcW w:w="1056" w:type="dxa"/>
            <w:tcBorders>
              <w:top w:val="nil"/>
              <w:left w:val="nil"/>
              <w:bottom w:val="single" w:color="000000" w:sz="4" w:space="0"/>
              <w:right w:val="single" w:color="000000" w:sz="8" w:space="0"/>
            </w:tcBorders>
            <w:shd w:val="clear" w:color="auto" w:fill="FFFFFF"/>
            <w:vAlign w:val="center"/>
          </w:tcPr>
          <w:p w14:paraId="3E0ABB97">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488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ABF8F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05C07E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14:paraId="249606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14:paraId="667D639B">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6" w:type="dxa"/>
            <w:tcBorders>
              <w:top w:val="nil"/>
              <w:left w:val="nil"/>
              <w:bottom w:val="single" w:color="000000" w:sz="4" w:space="0"/>
              <w:right w:val="single" w:color="000000" w:sz="4" w:space="0"/>
            </w:tcBorders>
            <w:shd w:val="clear" w:color="auto" w:fill="FFFFFF"/>
            <w:vAlign w:val="center"/>
          </w:tcPr>
          <w:p w14:paraId="0CC51F8D">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c>
          <w:tcPr>
            <w:tcW w:w="1056" w:type="dxa"/>
            <w:tcBorders>
              <w:top w:val="nil"/>
              <w:left w:val="nil"/>
              <w:bottom w:val="single" w:color="000000" w:sz="4" w:space="0"/>
              <w:right w:val="single" w:color="000000" w:sz="8" w:space="0"/>
            </w:tcBorders>
            <w:shd w:val="clear" w:color="auto" w:fill="FFFFFF"/>
            <w:vAlign w:val="center"/>
          </w:tcPr>
          <w:p w14:paraId="00A0A98F">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1D8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49377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14:paraId="35EF94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14:paraId="7EACC0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B81ABED">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29484AE">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14:paraId="7691D940">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25BA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17BA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14:paraId="5C66B4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14:paraId="0D1D3C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7" w:type="dxa"/>
            <w:tcBorders>
              <w:top w:val="nil"/>
              <w:left w:val="nil"/>
              <w:bottom w:val="single" w:color="000000" w:sz="4" w:space="0"/>
              <w:right w:val="single" w:color="000000" w:sz="4" w:space="0"/>
            </w:tcBorders>
            <w:shd w:val="clear" w:color="auto" w:fill="FFFFFF"/>
            <w:vAlign w:val="center"/>
          </w:tcPr>
          <w:p w14:paraId="56593279">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6" w:type="dxa"/>
            <w:tcBorders>
              <w:top w:val="nil"/>
              <w:left w:val="nil"/>
              <w:bottom w:val="single" w:color="000000" w:sz="4" w:space="0"/>
              <w:right w:val="single" w:color="000000" w:sz="4" w:space="0"/>
            </w:tcBorders>
            <w:shd w:val="clear" w:color="auto" w:fill="FFFFFF"/>
            <w:vAlign w:val="center"/>
          </w:tcPr>
          <w:p w14:paraId="532211B1">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c>
          <w:tcPr>
            <w:tcW w:w="1056" w:type="dxa"/>
            <w:tcBorders>
              <w:top w:val="nil"/>
              <w:left w:val="nil"/>
              <w:bottom w:val="single" w:color="000000" w:sz="4" w:space="0"/>
              <w:right w:val="single" w:color="000000" w:sz="8" w:space="0"/>
            </w:tcBorders>
            <w:shd w:val="clear" w:color="auto" w:fill="FFFFFF"/>
            <w:vAlign w:val="center"/>
          </w:tcPr>
          <w:p w14:paraId="386F3826">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812E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4"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5D0F7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4E98522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7FA62AE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14ABE09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57EC545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40995B6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05626B9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48C3047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1BAA73E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3F0867D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4174872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005B093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349EF0C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21C3F6F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6EFCC13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1A6F7D9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576D54E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12FEFF7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1FE9346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5759FC1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7797E30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26185EA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181E44C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08F1042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76FEF1F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p w14:paraId="1E3FD96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283385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97764CC">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CA991A1">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14:paraId="658E4EF5">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7C1D1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2" w:type="dxa"/>
            <w:gridSpan w:val="2"/>
            <w:tcBorders>
              <w:top w:val="nil"/>
              <w:left w:val="single" w:color="000000" w:sz="8" w:space="0"/>
              <w:bottom w:val="single" w:color="000000" w:sz="8" w:space="0"/>
              <w:right w:val="nil"/>
            </w:tcBorders>
            <w:shd w:val="clear" w:color="auto" w:fill="FFFFFF"/>
            <w:vAlign w:val="center"/>
          </w:tcPr>
          <w:p w14:paraId="4324C6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61" w:type="dxa"/>
            <w:gridSpan w:val="2"/>
            <w:tcBorders>
              <w:top w:val="nil"/>
              <w:left w:val="nil"/>
              <w:bottom w:val="single" w:color="000000" w:sz="8" w:space="0"/>
              <w:right w:val="nil"/>
            </w:tcBorders>
            <w:shd w:val="clear" w:color="auto" w:fill="FFFFFF"/>
            <w:vAlign w:val="center"/>
          </w:tcPr>
          <w:p w14:paraId="6F1E7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12" w:type="dxa"/>
            <w:gridSpan w:val="2"/>
            <w:tcBorders>
              <w:top w:val="nil"/>
              <w:left w:val="nil"/>
              <w:bottom w:val="single" w:color="000000" w:sz="8" w:space="0"/>
              <w:right w:val="single" w:color="000000" w:sz="8" w:space="0"/>
            </w:tcBorders>
            <w:shd w:val="clear" w:color="auto" w:fill="FFFFFF"/>
            <w:vAlign w:val="center"/>
          </w:tcPr>
          <w:p w14:paraId="335F1A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14:paraId="1A5AA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82" w:type="dxa"/>
            <w:tcBorders>
              <w:top w:val="nil"/>
              <w:left w:val="nil"/>
              <w:bottom w:val="nil"/>
              <w:right w:val="nil"/>
            </w:tcBorders>
            <w:shd w:val="clear" w:color="auto" w:fill="FFFFFF"/>
            <w:vAlign w:val="top"/>
          </w:tcPr>
          <w:p w14:paraId="5C3D1D92">
            <w:pPr>
              <w:keepNext w:val="0"/>
              <w:keepLines w:val="0"/>
              <w:suppressLineNumbers w:val="0"/>
              <w:spacing w:before="0" w:beforeAutospacing="0" w:after="0" w:afterAutospacing="0"/>
              <w:ind w:left="0" w:right="0"/>
              <w:jc w:val="left"/>
              <w:rPr>
                <w:rFonts w:hint="eastAsia" w:ascii="SansSerif" w:hAnsi="SansSerif" w:eastAsia="SansSerif" w:cs="SansSerif"/>
                <w:i w:val="0"/>
                <w:iCs w:val="0"/>
                <w:color w:val="000000"/>
                <w:sz w:val="20"/>
                <w:szCs w:val="20"/>
                <w:u w:val="none"/>
              </w:rPr>
            </w:pPr>
          </w:p>
        </w:tc>
        <w:tc>
          <w:tcPr>
            <w:tcW w:w="3750" w:type="dxa"/>
            <w:tcBorders>
              <w:top w:val="nil"/>
              <w:left w:val="nil"/>
              <w:bottom w:val="nil"/>
              <w:right w:val="nil"/>
            </w:tcBorders>
            <w:shd w:val="clear" w:color="auto" w:fill="FFFFFF"/>
            <w:vAlign w:val="top"/>
          </w:tcPr>
          <w:p w14:paraId="044B6E80">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704" w:type="dxa"/>
            <w:tcBorders>
              <w:top w:val="nil"/>
              <w:left w:val="nil"/>
              <w:bottom w:val="nil"/>
              <w:right w:val="nil"/>
            </w:tcBorders>
            <w:shd w:val="clear" w:color="auto" w:fill="FFFFFF"/>
            <w:vAlign w:val="top"/>
          </w:tcPr>
          <w:p w14:paraId="0B150F68">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14:paraId="50B2D7EE">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14:paraId="649C6E00">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14:paraId="3B23174A">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r>
      <w:tr w14:paraId="5B19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05" w:type="dxa"/>
            <w:gridSpan w:val="6"/>
            <w:tcBorders>
              <w:top w:val="nil"/>
              <w:left w:val="nil"/>
              <w:bottom w:val="nil"/>
              <w:right w:val="nil"/>
            </w:tcBorders>
            <w:shd w:val="clear" w:color="auto" w:fill="FFFFFF"/>
            <w:vAlign w:val="top"/>
          </w:tcPr>
          <w:p w14:paraId="200E527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i w:val="0"/>
                <w:iCs w:val="0"/>
                <w:color w:val="000000"/>
                <w:kern w:val="0"/>
                <w:sz w:val="28"/>
                <w:szCs w:val="28"/>
                <w:u w:val="none"/>
                <w:lang w:val="en-US" w:eastAsia="zh-CN" w:bidi="ar"/>
              </w:rPr>
            </w:pPr>
          </w:p>
          <w:p w14:paraId="355BE77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3B6AB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5D64E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39E4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B604D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067E72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5B72E0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39758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14:paraId="69497C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14:paraId="25D08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7D0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0D98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50" w:type="dxa"/>
            <w:tcBorders>
              <w:top w:val="nil"/>
              <w:left w:val="nil"/>
              <w:bottom w:val="single" w:color="000000" w:sz="4" w:space="0"/>
              <w:right w:val="single" w:color="000000" w:sz="4" w:space="0"/>
            </w:tcBorders>
            <w:shd w:val="clear" w:color="auto" w:fill="FFFFFF"/>
            <w:vAlign w:val="center"/>
          </w:tcPr>
          <w:p w14:paraId="2A5410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4" w:type="dxa"/>
            <w:tcBorders>
              <w:top w:val="nil"/>
              <w:left w:val="nil"/>
              <w:bottom w:val="single" w:color="000000" w:sz="4" w:space="0"/>
              <w:right w:val="single" w:color="000000" w:sz="4" w:space="0"/>
            </w:tcBorders>
            <w:shd w:val="clear" w:color="auto" w:fill="FFFFFF"/>
            <w:vAlign w:val="center"/>
          </w:tcPr>
          <w:p w14:paraId="2B3B1C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F4BA612">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05C6C83A">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14:paraId="6F3A37CA">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5D511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04F9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50" w:type="dxa"/>
            <w:tcBorders>
              <w:top w:val="nil"/>
              <w:left w:val="nil"/>
              <w:bottom w:val="single" w:color="000000" w:sz="4" w:space="0"/>
              <w:right w:val="single" w:color="000000" w:sz="4" w:space="0"/>
            </w:tcBorders>
            <w:shd w:val="clear" w:color="auto" w:fill="FFFFFF"/>
            <w:vAlign w:val="center"/>
          </w:tcPr>
          <w:p w14:paraId="72B88D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4" w:type="dxa"/>
            <w:tcBorders>
              <w:top w:val="nil"/>
              <w:left w:val="nil"/>
              <w:bottom w:val="single" w:color="000000" w:sz="4" w:space="0"/>
              <w:right w:val="single" w:color="000000" w:sz="4" w:space="0"/>
            </w:tcBorders>
            <w:shd w:val="clear" w:color="auto" w:fill="FFFFFF"/>
            <w:vAlign w:val="center"/>
          </w:tcPr>
          <w:p w14:paraId="69785F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A9D46CC">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B088D3F">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14:paraId="73614827">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5E62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3650F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63B827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4" w:type="dxa"/>
            <w:tcBorders>
              <w:top w:val="nil"/>
              <w:left w:val="nil"/>
              <w:bottom w:val="single" w:color="000000" w:sz="4" w:space="0"/>
              <w:right w:val="single" w:color="000000" w:sz="4" w:space="0"/>
            </w:tcBorders>
            <w:shd w:val="clear" w:color="auto" w:fill="FFFFFF"/>
            <w:vAlign w:val="center"/>
          </w:tcPr>
          <w:p w14:paraId="524DC1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662A01CA">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w:t>
            </w:r>
          </w:p>
        </w:tc>
        <w:tc>
          <w:tcPr>
            <w:tcW w:w="1056" w:type="dxa"/>
            <w:tcBorders>
              <w:top w:val="nil"/>
              <w:left w:val="nil"/>
              <w:bottom w:val="single" w:color="000000" w:sz="4" w:space="0"/>
              <w:right w:val="single" w:color="000000" w:sz="4" w:space="0"/>
            </w:tcBorders>
            <w:shd w:val="clear" w:color="auto" w:fill="FFFFFF"/>
            <w:vAlign w:val="center"/>
          </w:tcPr>
          <w:p w14:paraId="05280C11">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c>
          <w:tcPr>
            <w:tcW w:w="1056" w:type="dxa"/>
            <w:tcBorders>
              <w:top w:val="nil"/>
              <w:left w:val="nil"/>
              <w:bottom w:val="single" w:color="000000" w:sz="4" w:space="0"/>
              <w:right w:val="single" w:color="000000" w:sz="8" w:space="0"/>
            </w:tcBorders>
            <w:shd w:val="clear" w:color="auto" w:fill="FFFFFF"/>
            <w:vAlign w:val="center"/>
          </w:tcPr>
          <w:p w14:paraId="7EFC1C72">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8F6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1C25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50" w:type="dxa"/>
            <w:tcBorders>
              <w:top w:val="nil"/>
              <w:left w:val="nil"/>
              <w:bottom w:val="single" w:color="000000" w:sz="4" w:space="0"/>
              <w:right w:val="single" w:color="000000" w:sz="4" w:space="0"/>
            </w:tcBorders>
            <w:shd w:val="clear" w:color="auto" w:fill="FFFFFF"/>
            <w:vAlign w:val="center"/>
          </w:tcPr>
          <w:p w14:paraId="47A860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4" w:type="dxa"/>
            <w:tcBorders>
              <w:top w:val="nil"/>
              <w:left w:val="nil"/>
              <w:bottom w:val="single" w:color="000000" w:sz="4" w:space="0"/>
              <w:right w:val="single" w:color="000000" w:sz="4" w:space="0"/>
            </w:tcBorders>
            <w:shd w:val="clear" w:color="auto" w:fill="FFFFFF"/>
            <w:vAlign w:val="center"/>
          </w:tcPr>
          <w:p w14:paraId="23020E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851695D">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E0E7CAF">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14:paraId="24F8C2B3">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35E4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BE90D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50" w:type="dxa"/>
            <w:tcBorders>
              <w:top w:val="nil"/>
              <w:left w:val="nil"/>
              <w:bottom w:val="single" w:color="000000" w:sz="4" w:space="0"/>
              <w:right w:val="single" w:color="000000" w:sz="4" w:space="0"/>
            </w:tcBorders>
            <w:shd w:val="clear" w:color="auto" w:fill="FFFFFF"/>
            <w:vAlign w:val="center"/>
          </w:tcPr>
          <w:p w14:paraId="756975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路基填筑（包括填前压实）</w:t>
            </w:r>
          </w:p>
        </w:tc>
        <w:tc>
          <w:tcPr>
            <w:tcW w:w="704" w:type="dxa"/>
            <w:tcBorders>
              <w:top w:val="nil"/>
              <w:left w:val="nil"/>
              <w:bottom w:val="single" w:color="000000" w:sz="4" w:space="0"/>
              <w:right w:val="single" w:color="000000" w:sz="4" w:space="0"/>
            </w:tcBorders>
            <w:shd w:val="clear" w:color="auto" w:fill="FFFFFF"/>
            <w:vAlign w:val="center"/>
          </w:tcPr>
          <w:p w14:paraId="0635B7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591DEFE">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06905787">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14:paraId="3359A300">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623D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DFED7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5E23CE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w:t>
            </w:r>
          </w:p>
        </w:tc>
        <w:tc>
          <w:tcPr>
            <w:tcW w:w="704" w:type="dxa"/>
            <w:tcBorders>
              <w:top w:val="nil"/>
              <w:left w:val="nil"/>
              <w:bottom w:val="single" w:color="000000" w:sz="4" w:space="0"/>
              <w:right w:val="single" w:color="000000" w:sz="4" w:space="0"/>
            </w:tcBorders>
            <w:shd w:val="clear" w:color="auto" w:fill="FFFFFF"/>
            <w:vAlign w:val="center"/>
          </w:tcPr>
          <w:p w14:paraId="4E45A8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1D4BC13A">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w:t>
            </w:r>
          </w:p>
        </w:tc>
        <w:tc>
          <w:tcPr>
            <w:tcW w:w="1056" w:type="dxa"/>
            <w:tcBorders>
              <w:top w:val="nil"/>
              <w:left w:val="nil"/>
              <w:bottom w:val="single" w:color="000000" w:sz="4" w:space="0"/>
              <w:right w:val="single" w:color="000000" w:sz="4" w:space="0"/>
            </w:tcBorders>
            <w:shd w:val="clear" w:color="auto" w:fill="FFFFFF"/>
            <w:vAlign w:val="center"/>
          </w:tcPr>
          <w:p w14:paraId="7776789B">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c>
          <w:tcPr>
            <w:tcW w:w="1056" w:type="dxa"/>
            <w:tcBorders>
              <w:top w:val="nil"/>
              <w:left w:val="nil"/>
              <w:bottom w:val="single" w:color="000000" w:sz="4" w:space="0"/>
              <w:right w:val="single" w:color="000000" w:sz="8" w:space="0"/>
            </w:tcBorders>
            <w:shd w:val="clear" w:color="auto" w:fill="FFFFFF"/>
            <w:vAlign w:val="center"/>
          </w:tcPr>
          <w:p w14:paraId="7F3F5A33">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C50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7B2B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0" w:type="dxa"/>
            <w:tcBorders>
              <w:top w:val="nil"/>
              <w:left w:val="nil"/>
              <w:bottom w:val="single" w:color="000000" w:sz="4" w:space="0"/>
              <w:right w:val="single" w:color="000000" w:sz="4" w:space="0"/>
            </w:tcBorders>
            <w:shd w:val="clear" w:color="auto" w:fill="FFFFFF"/>
            <w:vAlign w:val="center"/>
          </w:tcPr>
          <w:p w14:paraId="0C4904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借土填方</w:t>
            </w:r>
          </w:p>
        </w:tc>
        <w:tc>
          <w:tcPr>
            <w:tcW w:w="704" w:type="dxa"/>
            <w:tcBorders>
              <w:top w:val="nil"/>
              <w:left w:val="nil"/>
              <w:bottom w:val="single" w:color="000000" w:sz="4" w:space="0"/>
              <w:right w:val="single" w:color="000000" w:sz="4" w:space="0"/>
            </w:tcBorders>
            <w:shd w:val="clear" w:color="auto" w:fill="FFFFFF"/>
            <w:vAlign w:val="center"/>
          </w:tcPr>
          <w:p w14:paraId="79047E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29752549">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230</w:t>
            </w:r>
          </w:p>
        </w:tc>
        <w:tc>
          <w:tcPr>
            <w:tcW w:w="1056" w:type="dxa"/>
            <w:tcBorders>
              <w:top w:val="nil"/>
              <w:left w:val="nil"/>
              <w:bottom w:val="single" w:color="000000" w:sz="4" w:space="0"/>
              <w:right w:val="single" w:color="000000" w:sz="4" w:space="0"/>
            </w:tcBorders>
            <w:shd w:val="clear" w:color="auto" w:fill="FFFFFF"/>
            <w:vAlign w:val="center"/>
          </w:tcPr>
          <w:p w14:paraId="662CD7C6">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c>
          <w:tcPr>
            <w:tcW w:w="1056" w:type="dxa"/>
            <w:tcBorders>
              <w:top w:val="nil"/>
              <w:left w:val="nil"/>
              <w:bottom w:val="single" w:color="000000" w:sz="4" w:space="0"/>
              <w:right w:val="single" w:color="000000" w:sz="8" w:space="0"/>
            </w:tcBorders>
            <w:shd w:val="clear" w:color="auto" w:fill="FFFFFF"/>
            <w:vAlign w:val="center"/>
          </w:tcPr>
          <w:p w14:paraId="5CEEE6D1">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05DE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C785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50" w:type="dxa"/>
            <w:tcBorders>
              <w:top w:val="nil"/>
              <w:left w:val="nil"/>
              <w:bottom w:val="single" w:color="000000" w:sz="4" w:space="0"/>
              <w:right w:val="single" w:color="000000" w:sz="4" w:space="0"/>
            </w:tcBorders>
            <w:shd w:val="clear" w:color="auto" w:fill="FFFFFF"/>
            <w:vAlign w:val="center"/>
          </w:tcPr>
          <w:p w14:paraId="6FB730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4" w:type="dxa"/>
            <w:tcBorders>
              <w:top w:val="nil"/>
              <w:left w:val="nil"/>
              <w:bottom w:val="single" w:color="000000" w:sz="4" w:space="0"/>
              <w:right w:val="single" w:color="000000" w:sz="4" w:space="0"/>
            </w:tcBorders>
            <w:shd w:val="clear" w:color="auto" w:fill="FFFFFF"/>
            <w:vAlign w:val="center"/>
          </w:tcPr>
          <w:p w14:paraId="2FB52B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61BA068">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6F47F4A">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14:paraId="7BF93A56">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1357C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53DD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207-11</w:t>
            </w:r>
          </w:p>
        </w:tc>
        <w:tc>
          <w:tcPr>
            <w:tcW w:w="3750" w:type="dxa"/>
            <w:tcBorders>
              <w:top w:val="nil"/>
              <w:left w:val="nil"/>
              <w:bottom w:val="single" w:color="000000" w:sz="4" w:space="0"/>
              <w:right w:val="single" w:color="000000" w:sz="4" w:space="0"/>
            </w:tcBorders>
            <w:shd w:val="clear" w:color="auto" w:fill="FFFFFF"/>
            <w:vAlign w:val="center"/>
          </w:tcPr>
          <w:p w14:paraId="349412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过户涵洞</w:t>
            </w:r>
          </w:p>
        </w:tc>
        <w:tc>
          <w:tcPr>
            <w:tcW w:w="704" w:type="dxa"/>
            <w:tcBorders>
              <w:top w:val="nil"/>
              <w:left w:val="nil"/>
              <w:bottom w:val="single" w:color="000000" w:sz="4" w:space="0"/>
              <w:right w:val="single" w:color="000000" w:sz="4" w:space="0"/>
            </w:tcBorders>
            <w:shd w:val="clear" w:color="auto" w:fill="FFFFFF"/>
            <w:vAlign w:val="center"/>
          </w:tcPr>
          <w:p w14:paraId="646AB3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nil"/>
              <w:left w:val="nil"/>
              <w:bottom w:val="single" w:color="000000" w:sz="4" w:space="0"/>
              <w:right w:val="single" w:color="000000" w:sz="4" w:space="0"/>
            </w:tcBorders>
            <w:shd w:val="clear" w:color="auto" w:fill="FFFFFF"/>
            <w:vAlign w:val="center"/>
          </w:tcPr>
          <w:p w14:paraId="7C2B1B50">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w:t>
            </w:r>
          </w:p>
        </w:tc>
        <w:tc>
          <w:tcPr>
            <w:tcW w:w="1056" w:type="dxa"/>
            <w:tcBorders>
              <w:top w:val="nil"/>
              <w:left w:val="nil"/>
              <w:bottom w:val="single" w:color="000000" w:sz="4" w:space="0"/>
              <w:right w:val="single" w:color="000000" w:sz="4" w:space="0"/>
            </w:tcBorders>
            <w:shd w:val="clear" w:color="auto" w:fill="FFFFFF"/>
            <w:vAlign w:val="center"/>
          </w:tcPr>
          <w:p w14:paraId="3FCE1A9E">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c>
          <w:tcPr>
            <w:tcW w:w="1056" w:type="dxa"/>
            <w:tcBorders>
              <w:top w:val="nil"/>
              <w:left w:val="nil"/>
              <w:bottom w:val="single" w:color="000000" w:sz="4" w:space="0"/>
              <w:right w:val="single" w:color="000000" w:sz="8" w:space="0"/>
            </w:tcBorders>
            <w:shd w:val="clear" w:color="auto" w:fill="FFFFFF"/>
            <w:vAlign w:val="center"/>
          </w:tcPr>
          <w:p w14:paraId="71E8CF25">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5C9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D0076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7C5CB47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3A61AB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0BDEA03">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AE6B6EF">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14:paraId="6A524D28">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1E9B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4632" w:type="dxa"/>
            <w:gridSpan w:val="2"/>
            <w:tcBorders>
              <w:top w:val="nil"/>
              <w:left w:val="single" w:color="000000" w:sz="8" w:space="0"/>
              <w:bottom w:val="single" w:color="000000" w:sz="8" w:space="0"/>
              <w:right w:val="nil"/>
            </w:tcBorders>
            <w:shd w:val="clear" w:color="auto" w:fill="FFFFFF"/>
            <w:vAlign w:val="center"/>
          </w:tcPr>
          <w:p w14:paraId="038ADC7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1" w:type="dxa"/>
            <w:gridSpan w:val="2"/>
            <w:tcBorders>
              <w:top w:val="nil"/>
              <w:left w:val="nil"/>
              <w:bottom w:val="single" w:color="000000" w:sz="8" w:space="0"/>
              <w:right w:val="nil"/>
            </w:tcBorders>
            <w:shd w:val="clear" w:color="auto" w:fill="FFFFFF"/>
            <w:vAlign w:val="center"/>
          </w:tcPr>
          <w:p w14:paraId="40781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12" w:type="dxa"/>
            <w:gridSpan w:val="2"/>
            <w:tcBorders>
              <w:top w:val="nil"/>
              <w:left w:val="nil"/>
              <w:bottom w:val="single" w:color="000000" w:sz="8" w:space="0"/>
              <w:right w:val="single" w:color="000000" w:sz="8" w:space="0"/>
            </w:tcBorders>
            <w:shd w:val="clear" w:color="auto" w:fill="FFFFFF"/>
            <w:vAlign w:val="center"/>
          </w:tcPr>
          <w:p w14:paraId="6F67A6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14:paraId="753D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82" w:type="dxa"/>
            <w:tcBorders>
              <w:top w:val="nil"/>
              <w:left w:val="nil"/>
              <w:bottom w:val="nil"/>
              <w:right w:val="nil"/>
            </w:tcBorders>
            <w:shd w:val="clear" w:color="auto" w:fill="FFFFFF"/>
            <w:vAlign w:val="top"/>
          </w:tcPr>
          <w:p w14:paraId="42A97AB4">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3750" w:type="dxa"/>
            <w:tcBorders>
              <w:top w:val="nil"/>
              <w:left w:val="nil"/>
              <w:bottom w:val="nil"/>
              <w:right w:val="nil"/>
            </w:tcBorders>
            <w:shd w:val="clear" w:color="auto" w:fill="FFFFFF"/>
            <w:vAlign w:val="top"/>
          </w:tcPr>
          <w:p w14:paraId="4B1ABFA4">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p w14:paraId="77278839">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p w14:paraId="0AB4AF27">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704" w:type="dxa"/>
            <w:tcBorders>
              <w:top w:val="nil"/>
              <w:left w:val="nil"/>
              <w:bottom w:val="nil"/>
              <w:right w:val="nil"/>
            </w:tcBorders>
            <w:shd w:val="clear" w:color="auto" w:fill="FFFFFF"/>
            <w:vAlign w:val="top"/>
          </w:tcPr>
          <w:p w14:paraId="37BA14F3">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14:paraId="6A6C98D1">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14:paraId="2E119A7A">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14:paraId="230BF04A">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r>
      <w:tr w14:paraId="0344A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05" w:type="dxa"/>
            <w:gridSpan w:val="6"/>
            <w:tcBorders>
              <w:top w:val="nil"/>
              <w:left w:val="nil"/>
              <w:bottom w:val="nil"/>
              <w:right w:val="nil"/>
            </w:tcBorders>
            <w:shd w:val="clear" w:color="auto" w:fill="FFFFFF"/>
            <w:vAlign w:val="top"/>
          </w:tcPr>
          <w:p w14:paraId="7FFF5D7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5D0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7EF87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0568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FF5D2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00A17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1A709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67EC9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14:paraId="2BDD3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14:paraId="09837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9F1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D9318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0" w:type="dxa"/>
            <w:tcBorders>
              <w:top w:val="nil"/>
              <w:left w:val="nil"/>
              <w:bottom w:val="single" w:color="000000" w:sz="4" w:space="0"/>
              <w:right w:val="single" w:color="000000" w:sz="4" w:space="0"/>
            </w:tcBorders>
            <w:shd w:val="clear" w:color="auto" w:fill="FFFFFF"/>
            <w:vAlign w:val="center"/>
          </w:tcPr>
          <w:p w14:paraId="676018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04" w:type="dxa"/>
            <w:tcBorders>
              <w:top w:val="nil"/>
              <w:left w:val="nil"/>
              <w:bottom w:val="single" w:color="000000" w:sz="4" w:space="0"/>
              <w:right w:val="single" w:color="000000" w:sz="4" w:space="0"/>
            </w:tcBorders>
            <w:shd w:val="clear" w:color="auto" w:fill="FFFFFF"/>
            <w:vAlign w:val="center"/>
          </w:tcPr>
          <w:p w14:paraId="6751E6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1A5054D">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04BF941">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14:paraId="32E7E753">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20D4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8879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419-3</w:t>
            </w:r>
          </w:p>
        </w:tc>
        <w:tc>
          <w:tcPr>
            <w:tcW w:w="3750" w:type="dxa"/>
            <w:tcBorders>
              <w:top w:val="nil"/>
              <w:left w:val="nil"/>
              <w:bottom w:val="single" w:color="000000" w:sz="4" w:space="0"/>
              <w:right w:val="single" w:color="000000" w:sz="4" w:space="0"/>
            </w:tcBorders>
            <w:shd w:val="clear" w:color="auto" w:fill="FFFFFF"/>
            <w:vAlign w:val="center"/>
          </w:tcPr>
          <w:p w14:paraId="307C97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多孔钢筋混凝土圆管涵</w:t>
            </w:r>
          </w:p>
        </w:tc>
        <w:tc>
          <w:tcPr>
            <w:tcW w:w="704" w:type="dxa"/>
            <w:tcBorders>
              <w:top w:val="nil"/>
              <w:left w:val="nil"/>
              <w:bottom w:val="single" w:color="000000" w:sz="4" w:space="0"/>
              <w:right w:val="single" w:color="000000" w:sz="4" w:space="0"/>
            </w:tcBorders>
            <w:shd w:val="clear" w:color="auto" w:fill="FFFFFF"/>
            <w:vAlign w:val="center"/>
          </w:tcPr>
          <w:p w14:paraId="294640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AA5FFAD">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91EF64D">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14:paraId="20901B35">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24AF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EF2F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67DE70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8-1.5m</w:t>
            </w:r>
          </w:p>
        </w:tc>
        <w:tc>
          <w:tcPr>
            <w:tcW w:w="704" w:type="dxa"/>
            <w:tcBorders>
              <w:top w:val="nil"/>
              <w:left w:val="nil"/>
              <w:bottom w:val="single" w:color="000000" w:sz="4" w:space="0"/>
              <w:right w:val="single" w:color="000000" w:sz="4" w:space="0"/>
            </w:tcBorders>
            <w:shd w:val="clear" w:color="auto" w:fill="FFFFFF"/>
            <w:vAlign w:val="center"/>
          </w:tcPr>
          <w:p w14:paraId="7C533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m/道</w:t>
            </w:r>
          </w:p>
        </w:tc>
        <w:tc>
          <w:tcPr>
            <w:tcW w:w="1057" w:type="dxa"/>
            <w:tcBorders>
              <w:top w:val="nil"/>
              <w:left w:val="nil"/>
              <w:bottom w:val="single" w:color="000000" w:sz="4" w:space="0"/>
              <w:right w:val="single" w:color="000000" w:sz="4" w:space="0"/>
            </w:tcBorders>
            <w:shd w:val="clear" w:color="auto" w:fill="FFFFFF"/>
            <w:vAlign w:val="center"/>
          </w:tcPr>
          <w:p w14:paraId="37B87743">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w:t>
            </w:r>
          </w:p>
        </w:tc>
        <w:tc>
          <w:tcPr>
            <w:tcW w:w="1056" w:type="dxa"/>
            <w:tcBorders>
              <w:top w:val="nil"/>
              <w:left w:val="nil"/>
              <w:bottom w:val="single" w:color="000000" w:sz="4" w:space="0"/>
              <w:right w:val="single" w:color="000000" w:sz="4" w:space="0"/>
            </w:tcBorders>
            <w:shd w:val="clear" w:color="auto" w:fill="FFFFFF"/>
            <w:vAlign w:val="center"/>
          </w:tcPr>
          <w:p w14:paraId="588EB297">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c>
          <w:tcPr>
            <w:tcW w:w="1056" w:type="dxa"/>
            <w:tcBorders>
              <w:top w:val="nil"/>
              <w:left w:val="nil"/>
              <w:bottom w:val="single" w:color="000000" w:sz="4" w:space="0"/>
              <w:right w:val="single" w:color="000000" w:sz="8" w:space="0"/>
            </w:tcBorders>
            <w:shd w:val="clear" w:color="auto" w:fill="FFFFFF"/>
            <w:vAlign w:val="center"/>
          </w:tcPr>
          <w:p w14:paraId="7E0F8D11">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03F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806CB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5FF3EE9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6D7552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E0B1759">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5BC7FF0">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14:paraId="48BA53BB">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7C74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2" w:type="dxa"/>
            <w:gridSpan w:val="2"/>
            <w:tcBorders>
              <w:top w:val="nil"/>
              <w:left w:val="single" w:color="000000" w:sz="8" w:space="0"/>
              <w:bottom w:val="single" w:color="000000" w:sz="8" w:space="0"/>
              <w:right w:val="nil"/>
            </w:tcBorders>
            <w:shd w:val="clear" w:color="auto" w:fill="FFFFFF"/>
            <w:vAlign w:val="center"/>
          </w:tcPr>
          <w:p w14:paraId="13CAB3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1" w:type="dxa"/>
            <w:gridSpan w:val="2"/>
            <w:tcBorders>
              <w:top w:val="nil"/>
              <w:left w:val="nil"/>
              <w:bottom w:val="single" w:color="000000" w:sz="8" w:space="0"/>
              <w:right w:val="nil"/>
            </w:tcBorders>
            <w:shd w:val="clear" w:color="auto" w:fill="FFFFFF"/>
            <w:vAlign w:val="center"/>
          </w:tcPr>
          <w:p w14:paraId="77B05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12" w:type="dxa"/>
            <w:gridSpan w:val="2"/>
            <w:tcBorders>
              <w:top w:val="nil"/>
              <w:left w:val="nil"/>
              <w:bottom w:val="single" w:color="000000" w:sz="8" w:space="0"/>
              <w:right w:val="single" w:color="000000" w:sz="8" w:space="0"/>
            </w:tcBorders>
            <w:shd w:val="clear" w:color="auto" w:fill="FFFFFF"/>
            <w:vAlign w:val="center"/>
          </w:tcPr>
          <w:p w14:paraId="4457E6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14:paraId="4D15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82" w:type="dxa"/>
            <w:tcBorders>
              <w:top w:val="nil"/>
              <w:left w:val="nil"/>
              <w:bottom w:val="nil"/>
              <w:right w:val="nil"/>
            </w:tcBorders>
            <w:shd w:val="clear" w:color="auto" w:fill="FFFFFF"/>
            <w:vAlign w:val="top"/>
          </w:tcPr>
          <w:p w14:paraId="4C7893F8">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3750" w:type="dxa"/>
            <w:tcBorders>
              <w:top w:val="nil"/>
              <w:left w:val="nil"/>
              <w:bottom w:val="nil"/>
              <w:right w:val="nil"/>
            </w:tcBorders>
            <w:shd w:val="clear" w:color="auto" w:fill="FFFFFF"/>
            <w:vAlign w:val="top"/>
          </w:tcPr>
          <w:p w14:paraId="61DFD9B1">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704" w:type="dxa"/>
            <w:tcBorders>
              <w:top w:val="nil"/>
              <w:left w:val="nil"/>
              <w:bottom w:val="nil"/>
              <w:right w:val="nil"/>
            </w:tcBorders>
            <w:shd w:val="clear" w:color="auto" w:fill="FFFFFF"/>
            <w:vAlign w:val="top"/>
          </w:tcPr>
          <w:p w14:paraId="5261E659">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14:paraId="584F8BC5">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14:paraId="3C24916B">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14:paraId="46BD4BB4">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r>
      <w:tr w14:paraId="1429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82" w:type="dxa"/>
            <w:tcBorders>
              <w:top w:val="nil"/>
              <w:left w:val="nil"/>
              <w:bottom w:val="nil"/>
              <w:right w:val="nil"/>
            </w:tcBorders>
            <w:shd w:val="clear" w:color="auto" w:fill="FFFFFF"/>
            <w:vAlign w:val="top"/>
          </w:tcPr>
          <w:p w14:paraId="04AACA3A">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3750" w:type="dxa"/>
            <w:tcBorders>
              <w:top w:val="nil"/>
              <w:left w:val="nil"/>
              <w:bottom w:val="nil"/>
              <w:right w:val="nil"/>
            </w:tcBorders>
            <w:shd w:val="clear" w:color="auto" w:fill="FFFFFF"/>
            <w:vAlign w:val="top"/>
          </w:tcPr>
          <w:p w14:paraId="6117118F">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704" w:type="dxa"/>
            <w:tcBorders>
              <w:top w:val="nil"/>
              <w:left w:val="nil"/>
              <w:bottom w:val="nil"/>
              <w:right w:val="nil"/>
            </w:tcBorders>
            <w:shd w:val="clear" w:color="auto" w:fill="FFFFFF"/>
            <w:vAlign w:val="top"/>
          </w:tcPr>
          <w:p w14:paraId="49ACAE20">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14:paraId="27CED980">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14:paraId="54564442">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14:paraId="52770BFF">
            <w:pPr>
              <w:keepNext w:val="0"/>
              <w:keepLines w:val="0"/>
              <w:suppressLineNumbers w:val="0"/>
              <w:spacing w:before="0" w:beforeAutospacing="0" w:after="0" w:afterAutospacing="0"/>
              <w:ind w:left="0" w:right="0"/>
              <w:jc w:val="left"/>
              <w:rPr>
                <w:rFonts w:hint="default" w:ascii="SansSerif" w:hAnsi="SansSerif" w:eastAsia="SansSerif" w:cs="SansSerif"/>
                <w:i w:val="0"/>
                <w:iCs w:val="0"/>
                <w:color w:val="000000"/>
                <w:sz w:val="20"/>
                <w:szCs w:val="20"/>
                <w:u w:val="none"/>
              </w:rPr>
            </w:pPr>
          </w:p>
        </w:tc>
      </w:tr>
      <w:tr w14:paraId="6B94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05" w:type="dxa"/>
            <w:gridSpan w:val="6"/>
            <w:tcBorders>
              <w:top w:val="nil"/>
              <w:left w:val="nil"/>
              <w:bottom w:val="nil"/>
              <w:right w:val="nil"/>
            </w:tcBorders>
            <w:shd w:val="clear" w:color="auto" w:fill="FFFFFF"/>
            <w:vAlign w:val="top"/>
          </w:tcPr>
          <w:p w14:paraId="42CC34D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178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28E5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32B1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CE75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5468F4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2B687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2E4948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14:paraId="4330A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14:paraId="6F4557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C91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E8A1D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50" w:type="dxa"/>
            <w:tcBorders>
              <w:top w:val="nil"/>
              <w:left w:val="nil"/>
              <w:bottom w:val="single" w:color="000000" w:sz="4" w:space="0"/>
              <w:right w:val="single" w:color="000000" w:sz="4" w:space="0"/>
            </w:tcBorders>
            <w:shd w:val="clear" w:color="auto" w:fill="FFFFFF"/>
            <w:vAlign w:val="center"/>
          </w:tcPr>
          <w:p w14:paraId="73A72F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14:paraId="2F179C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29076D9">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6D424CE">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14:paraId="77107C07">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0925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B449F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604-14</w:t>
            </w:r>
          </w:p>
        </w:tc>
        <w:tc>
          <w:tcPr>
            <w:tcW w:w="3750" w:type="dxa"/>
            <w:tcBorders>
              <w:top w:val="nil"/>
              <w:left w:val="nil"/>
              <w:bottom w:val="single" w:color="000000" w:sz="4" w:space="0"/>
              <w:right w:val="single" w:color="000000" w:sz="4" w:space="0"/>
            </w:tcBorders>
            <w:shd w:val="clear" w:color="auto" w:fill="FFFFFF"/>
            <w:vAlign w:val="center"/>
          </w:tcPr>
          <w:p w14:paraId="72028D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示警桩</w:t>
            </w:r>
          </w:p>
        </w:tc>
        <w:tc>
          <w:tcPr>
            <w:tcW w:w="704" w:type="dxa"/>
            <w:tcBorders>
              <w:top w:val="nil"/>
              <w:left w:val="nil"/>
              <w:bottom w:val="single" w:color="000000" w:sz="4" w:space="0"/>
              <w:right w:val="single" w:color="000000" w:sz="4" w:space="0"/>
            </w:tcBorders>
            <w:shd w:val="clear" w:color="auto" w:fill="FFFFFF"/>
            <w:vAlign w:val="center"/>
          </w:tcPr>
          <w:p w14:paraId="3A6F3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1F09F7A7">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w:t>
            </w:r>
          </w:p>
        </w:tc>
        <w:tc>
          <w:tcPr>
            <w:tcW w:w="1056" w:type="dxa"/>
            <w:tcBorders>
              <w:top w:val="nil"/>
              <w:left w:val="nil"/>
              <w:bottom w:val="single" w:color="000000" w:sz="4" w:space="0"/>
              <w:right w:val="single" w:color="000000" w:sz="4" w:space="0"/>
            </w:tcBorders>
            <w:shd w:val="clear" w:color="auto" w:fill="FFFFFF"/>
            <w:vAlign w:val="center"/>
          </w:tcPr>
          <w:p w14:paraId="06FE467F">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c>
          <w:tcPr>
            <w:tcW w:w="1056" w:type="dxa"/>
            <w:tcBorders>
              <w:top w:val="nil"/>
              <w:left w:val="nil"/>
              <w:bottom w:val="single" w:color="000000" w:sz="4" w:space="0"/>
              <w:right w:val="single" w:color="000000" w:sz="8" w:space="0"/>
            </w:tcBorders>
            <w:shd w:val="clear" w:color="auto" w:fill="FFFFFF"/>
            <w:vAlign w:val="center"/>
          </w:tcPr>
          <w:p w14:paraId="3E434880">
            <w:pPr>
              <w:keepNext w:val="0"/>
              <w:keepLines w:val="0"/>
              <w:widowControl/>
              <w:suppressLineNumbers w:val="0"/>
              <w:spacing w:before="0" w:beforeAutospacing="0" w:after="0" w:afterAutospacing="0"/>
              <w:ind w:left="0" w:right="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B20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91C8E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251E702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47EB3F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E6C624C">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4212A04">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14:paraId="6D167DAE">
            <w:pPr>
              <w:keepNext w:val="0"/>
              <w:keepLines w:val="0"/>
              <w:suppressLineNumbers w:val="0"/>
              <w:spacing w:before="0" w:beforeAutospacing="0" w:after="0" w:afterAutospacing="0"/>
              <w:ind w:left="0" w:right="0"/>
              <w:jc w:val="right"/>
              <w:rPr>
                <w:rFonts w:hint="default" w:ascii="Arial Narrow" w:hAnsi="Arial Narrow" w:eastAsia="Arial Narrow" w:cs="Arial Narrow"/>
                <w:i w:val="0"/>
                <w:iCs w:val="0"/>
                <w:color w:val="000000"/>
                <w:sz w:val="16"/>
                <w:szCs w:val="16"/>
                <w:u w:val="none"/>
              </w:rPr>
            </w:pPr>
          </w:p>
        </w:tc>
      </w:tr>
      <w:tr w14:paraId="74B0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2" w:type="dxa"/>
            <w:gridSpan w:val="2"/>
            <w:tcBorders>
              <w:top w:val="nil"/>
              <w:left w:val="single" w:color="000000" w:sz="8" w:space="0"/>
              <w:bottom w:val="single" w:color="000000" w:sz="8" w:space="0"/>
              <w:right w:val="nil"/>
            </w:tcBorders>
            <w:shd w:val="clear" w:color="auto" w:fill="FFFFFF"/>
            <w:vAlign w:val="center"/>
          </w:tcPr>
          <w:p w14:paraId="3A5B19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w:t>
            </w:r>
          </w:p>
        </w:tc>
        <w:tc>
          <w:tcPr>
            <w:tcW w:w="1761" w:type="dxa"/>
            <w:gridSpan w:val="2"/>
            <w:tcBorders>
              <w:top w:val="nil"/>
              <w:left w:val="nil"/>
              <w:bottom w:val="single" w:color="000000" w:sz="8" w:space="0"/>
              <w:right w:val="nil"/>
            </w:tcBorders>
            <w:shd w:val="clear" w:color="auto" w:fill="FFFFFF"/>
            <w:vAlign w:val="center"/>
          </w:tcPr>
          <w:p w14:paraId="5EC6F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112" w:type="dxa"/>
            <w:gridSpan w:val="2"/>
            <w:tcBorders>
              <w:top w:val="nil"/>
              <w:left w:val="nil"/>
              <w:bottom w:val="single" w:color="000000" w:sz="8" w:space="0"/>
              <w:right w:val="single" w:color="000000" w:sz="8" w:space="0"/>
            </w:tcBorders>
            <w:shd w:val="clear" w:color="auto" w:fill="FFFFFF"/>
            <w:vAlign w:val="center"/>
          </w:tcPr>
          <w:p w14:paraId="222C44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49C40415">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Times New Roman" w:hAnsi="宋体" w:eastAsia="宋体" w:cs="Times New Roman"/>
          <w:b/>
          <w:color w:val="auto"/>
          <w:sz w:val="24"/>
          <w:szCs w:val="24"/>
          <w:lang w:val="en-US" w:eastAsia="zh-CN"/>
        </w:rPr>
      </w:pPr>
    </w:p>
    <w:p w14:paraId="61CC6F71">
      <w:pPr>
        <w:pStyle w:val="46"/>
        <w:keepNext w:val="0"/>
        <w:keepLines w:val="0"/>
        <w:pageBreakBefore w:val="0"/>
        <w:kinsoku/>
        <w:wordWrap/>
        <w:overflowPunct/>
        <w:topLinePunct w:val="0"/>
        <w:autoSpaceDE/>
        <w:autoSpaceDN/>
        <w:bidi w:val="0"/>
        <w:adjustRightInd/>
        <w:snapToGrid/>
        <w:spacing w:line="470" w:lineRule="exact"/>
        <w:ind w:left="0" w:leftChars="0" w:firstLine="0" w:firstLineChars="0"/>
        <w:rPr>
          <w:rFonts w:hint="eastAsia" w:asciiTheme="majorEastAsia" w:hAnsiTheme="majorEastAsia" w:eastAsiaTheme="majorEastAsia" w:cstheme="majorEastAsia"/>
          <w:b/>
          <w:bCs w:val="0"/>
          <w:kern w:val="2"/>
          <w:sz w:val="24"/>
          <w:szCs w:val="24"/>
          <w:lang w:val="en-US" w:eastAsia="zh-CN" w:bidi="ar-SA"/>
        </w:rPr>
        <w:sectPr>
          <w:footerReference r:id="rId19" w:type="first"/>
          <w:footerReference r:id="rId17" w:type="default"/>
          <w:footerReference r:id="rId18" w:type="even"/>
          <w:pgSz w:w="11906" w:h="16838"/>
          <w:pgMar w:top="1417" w:right="1417" w:bottom="1417" w:left="1417" w:header="992" w:footer="992" w:gutter="0"/>
          <w:pgNumType w:fmt="decimal"/>
          <w:cols w:space="0" w:num="1"/>
          <w:titlePg/>
          <w:rtlGutter w:val="0"/>
          <w:docGrid w:type="lines" w:linePitch="333" w:charSpace="0"/>
        </w:sectPr>
      </w:pPr>
    </w:p>
    <w:p w14:paraId="42E6AA7A">
      <w:pPr>
        <w:pStyle w:val="24"/>
        <w:keepNext w:val="0"/>
        <w:keepLines w:val="0"/>
        <w:pageBreakBefore w:val="0"/>
        <w:widowControl w:val="0"/>
        <w:numPr>
          <w:ilvl w:val="0"/>
          <w:numId w:val="5"/>
        </w:numPr>
        <w:kinsoku/>
        <w:wordWrap/>
        <w:overflowPunct/>
        <w:topLinePunct w:val="0"/>
        <w:autoSpaceDE/>
        <w:autoSpaceDN/>
        <w:bidi w:val="0"/>
        <w:adjustRightInd/>
        <w:snapToGrid/>
        <w:spacing w:before="0" w:after="0" w:line="240" w:lineRule="auto"/>
        <w:jc w:val="center"/>
        <w:textAlignment w:val="auto"/>
        <w:outlineLvl w:val="0"/>
        <w:rPr>
          <w:rFonts w:hint="eastAsia" w:eastAsia="宋体"/>
          <w:color w:val="auto"/>
          <w:sz w:val="36"/>
        </w:rPr>
      </w:pPr>
      <w:bookmarkStart w:id="166" w:name="_Toc11852"/>
      <w:r>
        <w:rPr>
          <w:rFonts w:hint="eastAsia" w:eastAsia="宋体"/>
          <w:color w:val="auto"/>
          <w:sz w:val="36"/>
        </w:rPr>
        <w:t>合同主要条款</w:t>
      </w:r>
      <w:bookmarkEnd w:id="163"/>
      <w:bookmarkEnd w:id="164"/>
      <w:bookmarkEnd w:id="166"/>
    </w:p>
    <w:p w14:paraId="53729F27">
      <w:pPr>
        <w:rPr>
          <w:rFonts w:hint="eastAsia"/>
        </w:rPr>
      </w:pPr>
    </w:p>
    <w:p w14:paraId="2CA2C466">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（说明：本合同作为合同的基本格式，不作为最终合同，甲方有权在签订合同时对合同的相关条款及内容</w:t>
      </w:r>
      <w:r>
        <w:rPr>
          <w:rFonts w:hint="eastAsia" w:ascii="宋体" w:hAnsi="宋体" w:cs="宋体"/>
          <w:b/>
          <w:bCs/>
          <w:sz w:val="24"/>
          <w:szCs w:val="24"/>
          <w:lang w:eastAsia="zh-CN"/>
        </w:rPr>
        <w:t>做</w:t>
      </w:r>
      <w:r>
        <w:rPr>
          <w:rFonts w:hint="eastAsia" w:ascii="宋体" w:hAnsi="宋体" w:cs="宋体"/>
          <w:b/>
          <w:bCs/>
          <w:sz w:val="24"/>
          <w:szCs w:val="24"/>
        </w:rPr>
        <w:t>进一步的细化和修改）</w:t>
      </w:r>
    </w:p>
    <w:p w14:paraId="0B51247F">
      <w:pPr>
        <w:spacing w:before="101" w:line="236" w:lineRule="auto"/>
        <w:rPr>
          <w:rFonts w:ascii="仿宋" w:hAnsi="仿宋" w:eastAsia="仿宋" w:cs="仿宋"/>
          <w:sz w:val="31"/>
          <w:szCs w:val="31"/>
        </w:rPr>
      </w:pPr>
      <w:r>
        <w:rPr>
          <w:rFonts w:ascii="仿宋" w:hAnsi="仿宋" w:eastAsia="仿宋" w:cs="仿宋"/>
          <w:spacing w:val="6"/>
          <w:sz w:val="31"/>
          <w:szCs w:val="31"/>
        </w:rPr>
        <w:t>（</w:t>
      </w:r>
      <w:r>
        <w:rPr>
          <w:rFonts w:ascii="Times New Roman" w:hAnsi="Times New Roman" w:eastAsia="Times New Roman" w:cs="Times New Roman"/>
          <w:sz w:val="31"/>
          <w:szCs w:val="31"/>
        </w:rPr>
        <w:t>GF</w:t>
      </w:r>
      <w:r>
        <w:rPr>
          <w:rFonts w:ascii="Times New Roman" w:hAnsi="Times New Roman" w:eastAsia="Times New Roman" w:cs="Times New Roman"/>
          <w:spacing w:val="6"/>
          <w:sz w:val="31"/>
          <w:szCs w:val="31"/>
        </w:rPr>
        <w:t>—2017—0201</w:t>
      </w:r>
      <w:r>
        <w:rPr>
          <w:rFonts w:ascii="仿宋" w:hAnsi="仿宋" w:eastAsia="仿宋" w:cs="仿宋"/>
          <w:spacing w:val="6"/>
          <w:sz w:val="31"/>
          <w:szCs w:val="31"/>
        </w:rPr>
        <w:t>）</w:t>
      </w:r>
    </w:p>
    <w:p w14:paraId="343591F6">
      <w:pPr>
        <w:spacing w:line="263" w:lineRule="auto"/>
        <w:rPr>
          <w:rFonts w:ascii="Arial"/>
          <w:sz w:val="21"/>
        </w:rPr>
      </w:pPr>
    </w:p>
    <w:p w14:paraId="05860749">
      <w:pPr>
        <w:spacing w:line="263" w:lineRule="auto"/>
        <w:rPr>
          <w:rFonts w:ascii="Arial"/>
          <w:sz w:val="21"/>
        </w:rPr>
      </w:pPr>
    </w:p>
    <w:p w14:paraId="58AC19AA">
      <w:pPr>
        <w:spacing w:line="263" w:lineRule="auto"/>
        <w:rPr>
          <w:rFonts w:ascii="Arial"/>
          <w:sz w:val="21"/>
        </w:rPr>
      </w:pPr>
    </w:p>
    <w:p w14:paraId="6001E080">
      <w:pPr>
        <w:spacing w:line="263" w:lineRule="auto"/>
        <w:rPr>
          <w:rFonts w:ascii="Arial"/>
          <w:sz w:val="21"/>
        </w:rPr>
      </w:pPr>
    </w:p>
    <w:p w14:paraId="6ACD9BA1">
      <w:pPr>
        <w:spacing w:line="263" w:lineRule="auto"/>
        <w:rPr>
          <w:rFonts w:ascii="Arial"/>
          <w:sz w:val="21"/>
        </w:rPr>
      </w:pPr>
    </w:p>
    <w:p w14:paraId="44A75D7C">
      <w:pPr>
        <w:spacing w:line="263" w:lineRule="auto"/>
        <w:rPr>
          <w:rFonts w:ascii="Arial"/>
          <w:sz w:val="21"/>
        </w:rPr>
      </w:pPr>
    </w:p>
    <w:p w14:paraId="722EE44E">
      <w:pPr>
        <w:pStyle w:val="2"/>
        <w:spacing w:before="231" w:line="213" w:lineRule="auto"/>
        <w:ind w:left="1537"/>
        <w:outlineLvl w:val="1"/>
        <w:rPr>
          <w:sz w:val="71"/>
          <w:szCs w:val="71"/>
        </w:rPr>
      </w:pPr>
      <w:bookmarkStart w:id="167" w:name="bookmark207"/>
      <w:bookmarkEnd w:id="167"/>
      <w:bookmarkStart w:id="168" w:name="bookmark205"/>
      <w:bookmarkEnd w:id="168"/>
      <w:bookmarkStart w:id="169" w:name="bookmark209"/>
      <w:bookmarkEnd w:id="169"/>
      <w:bookmarkStart w:id="170" w:name="bookmark211"/>
      <w:bookmarkEnd w:id="170"/>
      <w:bookmarkStart w:id="171" w:name="bookmark213"/>
      <w:bookmarkEnd w:id="171"/>
      <w:bookmarkStart w:id="172" w:name="bookmark152"/>
      <w:bookmarkEnd w:id="172"/>
      <w:r>
        <w:rPr>
          <w:spacing w:val="8"/>
          <w:sz w:val="71"/>
          <w:szCs w:val="71"/>
          <w14:textOutline w14:w="13075" w14:cap="sq" w14:cmpd="sng">
            <w14:solidFill>
              <w14:srgbClr w14:val="000000"/>
            </w14:solidFill>
            <w14:prstDash w14:val="solid"/>
            <w14:bevel/>
          </w14:textOutline>
        </w:rPr>
        <w:t>建设工程施工合同</w:t>
      </w:r>
    </w:p>
    <w:p w14:paraId="25BDAAD2">
      <w:pPr>
        <w:pStyle w:val="2"/>
        <w:spacing w:before="241" w:line="690" w:lineRule="exact"/>
        <w:ind w:left="2923"/>
        <w:rPr>
          <w:sz w:val="52"/>
          <w:szCs w:val="52"/>
        </w:rPr>
      </w:pPr>
      <w:r>
        <w:rPr>
          <w:spacing w:val="-13"/>
          <w:position w:val="2"/>
          <w:sz w:val="52"/>
          <w:szCs w:val="52"/>
          <w14:textOutline w14:w="9461" w14:cap="sq" w14:cmpd="sng">
            <w14:solidFill>
              <w14:srgbClr w14:val="000000"/>
            </w14:solidFill>
            <w14:prstDash w14:val="solid"/>
            <w14:bevel/>
          </w14:textOutline>
        </w:rPr>
        <w:t>（示范文本）</w:t>
      </w:r>
    </w:p>
    <w:p w14:paraId="06986C8B">
      <w:pPr>
        <w:spacing w:line="245" w:lineRule="auto"/>
        <w:rPr>
          <w:rFonts w:ascii="Arial"/>
          <w:sz w:val="21"/>
        </w:rPr>
      </w:pPr>
    </w:p>
    <w:p w14:paraId="77CFC436">
      <w:pPr>
        <w:spacing w:line="245" w:lineRule="auto"/>
        <w:rPr>
          <w:rFonts w:ascii="Arial"/>
          <w:sz w:val="21"/>
        </w:rPr>
      </w:pPr>
    </w:p>
    <w:p w14:paraId="319D067E">
      <w:pPr>
        <w:spacing w:line="245" w:lineRule="auto"/>
        <w:rPr>
          <w:rFonts w:ascii="Arial"/>
          <w:sz w:val="21"/>
        </w:rPr>
      </w:pPr>
    </w:p>
    <w:p w14:paraId="1FA3C35C">
      <w:pPr>
        <w:spacing w:line="245" w:lineRule="auto"/>
        <w:rPr>
          <w:rFonts w:ascii="Arial"/>
          <w:sz w:val="21"/>
        </w:rPr>
      </w:pPr>
    </w:p>
    <w:p w14:paraId="1D51BC88">
      <w:pPr>
        <w:spacing w:line="245" w:lineRule="auto"/>
        <w:rPr>
          <w:rFonts w:ascii="Arial"/>
          <w:sz w:val="21"/>
        </w:rPr>
      </w:pPr>
    </w:p>
    <w:p w14:paraId="3D1608BF">
      <w:pPr>
        <w:spacing w:line="245" w:lineRule="auto"/>
        <w:rPr>
          <w:rFonts w:ascii="Arial"/>
          <w:sz w:val="21"/>
        </w:rPr>
      </w:pPr>
    </w:p>
    <w:p w14:paraId="2D333071">
      <w:pPr>
        <w:spacing w:line="245" w:lineRule="auto"/>
        <w:rPr>
          <w:rFonts w:ascii="Arial"/>
          <w:sz w:val="21"/>
        </w:rPr>
      </w:pPr>
    </w:p>
    <w:p w14:paraId="76658862">
      <w:pPr>
        <w:spacing w:line="245" w:lineRule="auto"/>
        <w:rPr>
          <w:rFonts w:ascii="Arial"/>
          <w:sz w:val="21"/>
        </w:rPr>
      </w:pPr>
    </w:p>
    <w:p w14:paraId="041ED44F">
      <w:pPr>
        <w:spacing w:line="246" w:lineRule="auto"/>
        <w:rPr>
          <w:rFonts w:ascii="Arial"/>
          <w:sz w:val="21"/>
        </w:rPr>
      </w:pPr>
    </w:p>
    <w:p w14:paraId="6674749D">
      <w:pPr>
        <w:spacing w:line="246" w:lineRule="auto"/>
        <w:rPr>
          <w:rFonts w:ascii="Arial"/>
          <w:sz w:val="21"/>
        </w:rPr>
      </w:pPr>
    </w:p>
    <w:p w14:paraId="4DF7E573">
      <w:pPr>
        <w:spacing w:line="246" w:lineRule="auto"/>
        <w:rPr>
          <w:rFonts w:ascii="Arial"/>
          <w:sz w:val="21"/>
        </w:rPr>
      </w:pPr>
    </w:p>
    <w:p w14:paraId="4C2AE13B">
      <w:pPr>
        <w:spacing w:line="246" w:lineRule="auto"/>
        <w:rPr>
          <w:rFonts w:ascii="Arial"/>
          <w:sz w:val="21"/>
        </w:rPr>
      </w:pPr>
    </w:p>
    <w:p w14:paraId="4B3985BE">
      <w:pPr>
        <w:spacing w:line="246" w:lineRule="auto"/>
        <w:rPr>
          <w:rFonts w:ascii="Arial"/>
          <w:sz w:val="21"/>
        </w:rPr>
      </w:pPr>
    </w:p>
    <w:p w14:paraId="66ACC043">
      <w:pPr>
        <w:spacing w:line="246" w:lineRule="auto"/>
        <w:rPr>
          <w:rFonts w:ascii="Arial"/>
          <w:sz w:val="21"/>
        </w:rPr>
      </w:pPr>
    </w:p>
    <w:p w14:paraId="287BDE64">
      <w:pPr>
        <w:spacing w:line="246" w:lineRule="auto"/>
        <w:rPr>
          <w:rFonts w:ascii="Arial"/>
          <w:sz w:val="21"/>
        </w:rPr>
      </w:pPr>
    </w:p>
    <w:p w14:paraId="2696515F">
      <w:pPr>
        <w:pStyle w:val="2"/>
        <w:spacing w:before="101" w:line="624" w:lineRule="exact"/>
        <w:ind w:left="2745"/>
        <w:rPr>
          <w:sz w:val="31"/>
          <w:szCs w:val="31"/>
        </w:rPr>
      </w:pPr>
      <w:r>
        <mc:AlternateContent>
          <mc:Choice Requires="wps">
            <w:drawing>
              <wp:anchor distT="0" distB="0" distL="114300" distR="114300" simplePos="0" relativeHeight="251672576" behindDoc="0" locked="0" layoutInCell="1" allowOverlap="1">
                <wp:simplePos x="0" y="0"/>
                <wp:positionH relativeFrom="column">
                  <wp:posOffset>3949065</wp:posOffset>
                </wp:positionH>
                <wp:positionV relativeFrom="paragraph">
                  <wp:posOffset>68580</wp:posOffset>
                </wp:positionV>
                <wp:extent cx="758825" cy="4927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58825" cy="492760"/>
                        </a:xfrm>
                        <a:prstGeom prst="rect">
                          <a:avLst/>
                        </a:prstGeom>
                        <a:noFill/>
                        <a:ln>
                          <a:noFill/>
                        </a:ln>
                      </wps:spPr>
                      <wps:txbx>
                        <w:txbxContent>
                          <w:p w14:paraId="1542FB76">
                            <w:pPr>
                              <w:spacing w:line="20" w:lineRule="exact"/>
                            </w:pPr>
                          </w:p>
                          <w:tbl>
                            <w:tblPr>
                              <w:tblStyle w:val="112"/>
                              <w:tblW w:w="1139" w:type="dxa"/>
                              <w:tblInd w:w="2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139"/>
                            </w:tblGrid>
                            <w:tr w14:paraId="7003793E">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705" w:hRule="atLeast"/>
                              </w:trPr>
                              <w:tc>
                                <w:tcPr>
                                  <w:tcW w:w="1139" w:type="dxa"/>
                                  <w:vAlign w:val="top"/>
                                </w:tcPr>
                                <w:p w14:paraId="20FA24DB">
                                  <w:pPr>
                                    <w:spacing w:before="227" w:line="226" w:lineRule="auto"/>
                                    <w:ind w:left="157"/>
                                    <w:rPr>
                                      <w:rFonts w:ascii="宋体" w:hAnsi="宋体" w:eastAsia="宋体" w:cs="宋体"/>
                                      <w:sz w:val="31"/>
                                      <w:szCs w:val="31"/>
                                    </w:rPr>
                                  </w:pPr>
                                  <w:r>
                                    <w:rPr>
                                      <w:rFonts w:ascii="宋体" w:hAnsi="宋体" w:eastAsia="宋体" w:cs="宋体"/>
                                      <w:spacing w:val="3"/>
                                      <w:sz w:val="31"/>
                                      <w:szCs w:val="31"/>
                                      <w14:textOutline w14:w="5793" w14:cap="sq" w14:cmpd="sng">
                                        <w14:solidFill>
                                          <w14:srgbClr w14:val="000000"/>
                                        </w14:solidFill>
                                        <w14:prstDash w14:val="solid"/>
                                        <w14:bevel/>
                                      </w14:textOutline>
                                    </w:rPr>
                                    <w:t>制定</w:t>
                                  </w:r>
                                </w:p>
                              </w:tc>
                            </w:tr>
                          </w:tbl>
                          <w:p w14:paraId="6E2DA07F">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10.95pt;margin-top:5.4pt;height:38.8pt;width:59.75pt;z-index:251672576;mso-width-relative:page;mso-height-relative:page;" filled="f" stroked="f" coordsize="21600,21600" o:gfxdata="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iq3C7XAAAACQEAAA8AAAAAAAAAAQAgAAAAIgAAAGRycy9kb3ducmV2LnhtbFBLAQIU&#10;ABQAAAAIAIdO4kCAogt/uwEAAHEDAAAOAAAAAAAAAAEAIAAAACYBAABkcnMvZTJvRG9jLnhtbFBL&#10;BQYAAAAABgAGAFkBAABTBQAAAAA=&#10;">
                <v:fill on="f" focussize="0,0"/>
                <v:stroke on="f"/>
                <v:imagedata o:title=""/>
                <o:lock v:ext="edit" aspectratio="f"/>
                <v:textbox inset="0mm,0mm,0mm,0mm">
                  <w:txbxContent>
                    <w:p w14:paraId="1542FB76">
                      <w:pPr>
                        <w:spacing w:line="20" w:lineRule="exact"/>
                      </w:pPr>
                    </w:p>
                    <w:tbl>
                      <w:tblPr>
                        <w:tblStyle w:val="112"/>
                        <w:tblW w:w="1139" w:type="dxa"/>
                        <w:tblInd w:w="2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139"/>
                      </w:tblGrid>
                      <w:tr w14:paraId="7003793E">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705" w:hRule="atLeast"/>
                        </w:trPr>
                        <w:tc>
                          <w:tcPr>
                            <w:tcW w:w="1139" w:type="dxa"/>
                            <w:vAlign w:val="top"/>
                          </w:tcPr>
                          <w:p w14:paraId="20FA24DB">
                            <w:pPr>
                              <w:spacing w:before="227" w:line="226" w:lineRule="auto"/>
                              <w:ind w:left="157"/>
                              <w:rPr>
                                <w:rFonts w:ascii="宋体" w:hAnsi="宋体" w:eastAsia="宋体" w:cs="宋体"/>
                                <w:sz w:val="31"/>
                                <w:szCs w:val="31"/>
                              </w:rPr>
                            </w:pPr>
                            <w:r>
                              <w:rPr>
                                <w:rFonts w:ascii="宋体" w:hAnsi="宋体" w:eastAsia="宋体" w:cs="宋体"/>
                                <w:spacing w:val="3"/>
                                <w:sz w:val="31"/>
                                <w:szCs w:val="31"/>
                                <w14:textOutline w14:w="5793" w14:cap="sq" w14:cmpd="sng">
                                  <w14:solidFill>
                                    <w14:srgbClr w14:val="000000"/>
                                  </w14:solidFill>
                                  <w14:prstDash w14:val="solid"/>
                                  <w14:bevel/>
                                </w14:textOutline>
                              </w:rPr>
                              <w:t>制定</w:t>
                            </w:r>
                          </w:p>
                        </w:tc>
                      </w:tr>
                    </w:tbl>
                    <w:p w14:paraId="6E2DA07F">
                      <w:pPr>
                        <w:rPr>
                          <w:rFonts w:ascii="Arial"/>
                          <w:sz w:val="21"/>
                        </w:rPr>
                      </w:pPr>
                    </w:p>
                  </w:txbxContent>
                </v:textbox>
              </v:shape>
            </w:pict>
          </mc:Fallback>
        </mc:AlternateContent>
      </w:r>
      <w:r>
        <w:rPr>
          <w:spacing w:val="-7"/>
          <w:position w:val="23"/>
          <w:sz w:val="31"/>
          <w:szCs w:val="31"/>
          <w14:textOutline w14:w="5793" w14:cap="sq" w14:cmpd="sng">
            <w14:solidFill>
              <w14:srgbClr w14:val="000000"/>
            </w14:solidFill>
            <w14:prstDash w14:val="solid"/>
            <w14:bevel/>
          </w14:textOutline>
        </w:rPr>
        <w:t>住</w:t>
      </w:r>
      <w:r>
        <w:rPr>
          <w:spacing w:val="50"/>
          <w:position w:val="23"/>
          <w:sz w:val="31"/>
          <w:szCs w:val="31"/>
        </w:rPr>
        <w:t xml:space="preserve"> </w:t>
      </w:r>
      <w:r>
        <w:rPr>
          <w:spacing w:val="-7"/>
          <w:position w:val="23"/>
          <w:sz w:val="31"/>
          <w:szCs w:val="31"/>
          <w14:textOutline w14:w="5793" w14:cap="sq" w14:cmpd="sng">
            <w14:solidFill>
              <w14:srgbClr w14:val="000000"/>
            </w14:solidFill>
            <w14:prstDash w14:val="solid"/>
            <w14:bevel/>
          </w14:textOutline>
        </w:rPr>
        <w:t>房</w:t>
      </w:r>
      <w:r>
        <w:rPr>
          <w:spacing w:val="45"/>
          <w:position w:val="23"/>
          <w:sz w:val="31"/>
          <w:szCs w:val="31"/>
        </w:rPr>
        <w:t xml:space="preserve"> </w:t>
      </w:r>
      <w:r>
        <w:rPr>
          <w:spacing w:val="-7"/>
          <w:position w:val="23"/>
          <w:sz w:val="31"/>
          <w:szCs w:val="31"/>
          <w14:textOutline w14:w="5793" w14:cap="sq" w14:cmpd="sng">
            <w14:solidFill>
              <w14:srgbClr w14:val="000000"/>
            </w14:solidFill>
            <w14:prstDash w14:val="solid"/>
            <w14:bevel/>
          </w14:textOutline>
        </w:rPr>
        <w:t>城</w:t>
      </w:r>
      <w:r>
        <w:rPr>
          <w:spacing w:val="59"/>
          <w:position w:val="23"/>
          <w:sz w:val="31"/>
          <w:szCs w:val="31"/>
        </w:rPr>
        <w:t xml:space="preserve"> </w:t>
      </w:r>
      <w:r>
        <w:rPr>
          <w:spacing w:val="-7"/>
          <w:position w:val="23"/>
          <w:sz w:val="31"/>
          <w:szCs w:val="31"/>
          <w14:textOutline w14:w="5793" w14:cap="sq" w14:cmpd="sng">
            <w14:solidFill>
              <w14:srgbClr w14:val="000000"/>
            </w14:solidFill>
            <w14:prstDash w14:val="solid"/>
            <w14:bevel/>
          </w14:textOutline>
        </w:rPr>
        <w:t>乡</w:t>
      </w:r>
      <w:r>
        <w:rPr>
          <w:spacing w:val="51"/>
          <w:position w:val="23"/>
          <w:sz w:val="31"/>
          <w:szCs w:val="31"/>
        </w:rPr>
        <w:t xml:space="preserve"> </w:t>
      </w:r>
      <w:r>
        <w:rPr>
          <w:spacing w:val="-7"/>
          <w:position w:val="23"/>
          <w:sz w:val="31"/>
          <w:szCs w:val="31"/>
          <w14:textOutline w14:w="5793" w14:cap="sq" w14:cmpd="sng">
            <w14:solidFill>
              <w14:srgbClr w14:val="000000"/>
            </w14:solidFill>
            <w14:prstDash w14:val="solid"/>
            <w14:bevel/>
          </w14:textOutline>
        </w:rPr>
        <w:t>建</w:t>
      </w:r>
      <w:r>
        <w:rPr>
          <w:spacing w:val="50"/>
          <w:position w:val="23"/>
          <w:sz w:val="31"/>
          <w:szCs w:val="31"/>
        </w:rPr>
        <w:t xml:space="preserve"> </w:t>
      </w:r>
      <w:r>
        <w:rPr>
          <w:spacing w:val="-7"/>
          <w:position w:val="23"/>
          <w:sz w:val="31"/>
          <w:szCs w:val="31"/>
          <w14:textOutline w14:w="5793" w14:cap="sq" w14:cmpd="sng">
            <w14:solidFill>
              <w14:srgbClr w14:val="000000"/>
            </w14:solidFill>
            <w14:prstDash w14:val="solid"/>
            <w14:bevel/>
          </w14:textOutline>
        </w:rPr>
        <w:t>设</w:t>
      </w:r>
      <w:r>
        <w:rPr>
          <w:spacing w:val="48"/>
          <w:position w:val="23"/>
          <w:sz w:val="31"/>
          <w:szCs w:val="31"/>
        </w:rPr>
        <w:t xml:space="preserve"> </w:t>
      </w:r>
      <w:r>
        <w:rPr>
          <w:spacing w:val="-7"/>
          <w:position w:val="23"/>
          <w:sz w:val="31"/>
          <w:szCs w:val="31"/>
          <w14:textOutline w14:w="5793" w14:cap="sq" w14:cmpd="sng">
            <w14:solidFill>
              <w14:srgbClr w14:val="000000"/>
            </w14:solidFill>
            <w14:prstDash w14:val="solid"/>
            <w14:bevel/>
          </w14:textOutline>
        </w:rPr>
        <w:t>部</w:t>
      </w:r>
    </w:p>
    <w:p w14:paraId="06AB689A">
      <w:pPr>
        <w:pStyle w:val="2"/>
        <w:spacing w:line="225" w:lineRule="auto"/>
        <w:ind w:left="2777"/>
        <w:rPr>
          <w:sz w:val="31"/>
          <w:szCs w:val="31"/>
        </w:rPr>
      </w:pPr>
      <w:r>
        <w:rPr>
          <w:spacing w:val="21"/>
          <w:sz w:val="31"/>
          <w:szCs w:val="31"/>
          <w14:textOutline w14:w="5793" w14:cap="sq" w14:cmpd="sng">
            <w14:solidFill>
              <w14:srgbClr w14:val="000000"/>
            </w14:solidFill>
            <w14:prstDash w14:val="solid"/>
            <w14:bevel/>
          </w14:textOutline>
        </w:rPr>
        <w:t>国家工商行政管理总局</w:t>
      </w:r>
    </w:p>
    <w:p w14:paraId="2F2B5356">
      <w:pPr>
        <w:adjustRightInd w:val="0"/>
        <w:snapToGrid w:val="0"/>
        <w:spacing w:line="360" w:lineRule="auto"/>
        <w:ind w:right="338" w:rightChars="161"/>
        <w:rPr>
          <w:rFonts w:ascii="宋体" w:hAnsi="宋体" w:cs="仿宋_GB2312"/>
          <w:sz w:val="24"/>
        </w:rPr>
        <w:sectPr>
          <w:pgSz w:w="11906" w:h="16838"/>
          <w:pgMar w:top="1417" w:right="1417" w:bottom="1417" w:left="1417" w:header="992" w:footer="992" w:gutter="0"/>
          <w:pgNumType w:fmt="decimal"/>
          <w:cols w:space="0" w:num="1"/>
          <w:titlePg/>
          <w:rtlGutter w:val="0"/>
          <w:docGrid w:type="lines" w:linePitch="333" w:charSpace="0"/>
        </w:sectPr>
      </w:pPr>
    </w:p>
    <w:p w14:paraId="69E5421E">
      <w:pPr>
        <w:pStyle w:val="5"/>
        <w:jc w:val="center"/>
        <w:rPr>
          <w:rFonts w:ascii="Times New Roman" w:hAnsi="Times New Roman" w:eastAsia="华文中宋"/>
          <w:b w:val="0"/>
          <w:color w:val="000000"/>
          <w:sz w:val="44"/>
          <w:szCs w:val="44"/>
        </w:rPr>
      </w:pPr>
      <w:r>
        <w:rPr>
          <w:rFonts w:ascii="华文中宋" w:hAnsi="华文中宋" w:eastAsia="华文中宋"/>
          <w:sz w:val="44"/>
          <w:szCs w:val="44"/>
        </w:rPr>
        <w:t>第一部分 合同协议书</w:t>
      </w:r>
    </w:p>
    <w:p w14:paraId="124C95D5">
      <w:pPr>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发包人（全称）：</w:t>
      </w:r>
      <w:r>
        <w:rPr>
          <w:rFonts w:hint="eastAsia" w:ascii="宋体" w:hAnsi="宋体" w:eastAsia="宋体" w:cs="宋体"/>
          <w:b/>
          <w:color w:val="000000"/>
          <w:sz w:val="24"/>
          <w:szCs w:val="24"/>
          <w:u w:val="single"/>
        </w:rPr>
        <w:t>                       </w:t>
      </w:r>
    </w:p>
    <w:p w14:paraId="2E3F2853">
      <w:pPr>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承包人（全称）：</w:t>
      </w:r>
      <w:r>
        <w:rPr>
          <w:rFonts w:hint="eastAsia" w:ascii="宋体" w:hAnsi="宋体" w:eastAsia="宋体" w:cs="宋体"/>
          <w:b/>
          <w:color w:val="000000"/>
          <w:sz w:val="24"/>
          <w:szCs w:val="24"/>
          <w:u w:val="single"/>
        </w:rPr>
        <w:t>                      </w:t>
      </w:r>
    </w:p>
    <w:p w14:paraId="416DAA4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w:t>
      </w:r>
      <w:r>
        <w:rPr>
          <w:rFonts w:hint="eastAsia" w:ascii="宋体" w:hAnsi="宋体" w:cs="宋体"/>
          <w:color w:val="000000"/>
          <w:sz w:val="24"/>
          <w:szCs w:val="24"/>
          <w:lang w:val="en-US" w:eastAsia="zh-CN"/>
        </w:rPr>
        <w:t>民法典</w:t>
      </w:r>
      <w:r>
        <w:rPr>
          <w:rFonts w:hint="eastAsia" w:ascii="宋体" w:hAnsi="宋体" w:eastAsia="宋体" w:cs="宋体"/>
          <w:color w:val="000000"/>
          <w:sz w:val="24"/>
          <w:szCs w:val="24"/>
        </w:rPr>
        <w:t>》《中华人民共和国建筑法》及有关法律规定，遵循平等、自愿、公平和诚实信用的原则，双方就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工程施工及有关事项协商一致，共同达成如下协议：</w:t>
      </w:r>
    </w:p>
    <w:p w14:paraId="54476BAA">
      <w:pPr>
        <w:pStyle w:val="6"/>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bCs w:val="0"/>
          <w:color w:val="000000"/>
          <w:sz w:val="24"/>
          <w:szCs w:val="24"/>
        </w:rPr>
        <w:t xml:space="preserve"> </w:t>
      </w:r>
      <w:bookmarkStart w:id="173" w:name="_Toc351203481"/>
      <w:r>
        <w:rPr>
          <w:rFonts w:hint="eastAsia" w:ascii="宋体" w:hAnsi="宋体" w:eastAsia="宋体" w:cs="宋体"/>
          <w:b/>
          <w:bCs w:val="0"/>
          <w:color w:val="000000"/>
          <w:sz w:val="24"/>
          <w:szCs w:val="24"/>
        </w:rPr>
        <w:t>一、工程概况</w:t>
      </w:r>
      <w:bookmarkEnd w:id="173"/>
    </w:p>
    <w:p w14:paraId="0738798C">
      <w:pPr>
        <w:pageBreakBefore w:val="0"/>
        <w:widowControl w:val="0"/>
        <w:kinsoku/>
        <w:wordWrap/>
        <w:overflowPunct/>
        <w:topLinePunct w:val="0"/>
        <w:bidi w:val="0"/>
        <w:adjustRightInd w:val="0"/>
        <w:snapToGrid w:val="0"/>
        <w:spacing w:line="360" w:lineRule="auto"/>
        <w:ind w:firstLine="470" w:firstLineChars="196"/>
        <w:textAlignment w:val="auto"/>
        <w:rPr>
          <w:rFonts w:hint="eastAsia" w:ascii="宋体" w:hAnsi="宋体" w:eastAsia="宋体" w:cs="宋体"/>
          <w:color w:val="000000"/>
          <w:sz w:val="24"/>
          <w:szCs w:val="24"/>
          <w:u w:val="single"/>
        </w:rPr>
      </w:pPr>
      <w:r>
        <w:rPr>
          <w:rFonts w:hint="eastAsia" w:ascii="宋体" w:hAnsi="宋体" w:eastAsia="宋体" w:cs="宋体"/>
          <w:bCs/>
          <w:color w:val="000000"/>
          <w:sz w:val="24"/>
          <w:szCs w:val="24"/>
        </w:rPr>
        <w:t>1.工程名称</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8F35E75">
      <w:pPr>
        <w:pageBreakBefore w:val="0"/>
        <w:widowControl w:val="0"/>
        <w:kinsoku/>
        <w:wordWrap/>
        <w:overflowPunct/>
        <w:topLinePunct w:val="0"/>
        <w:bidi w:val="0"/>
        <w:adjustRightInd w:val="0"/>
        <w:snapToGrid w:val="0"/>
        <w:spacing w:line="360" w:lineRule="auto"/>
        <w:ind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2.工程地点：</w:t>
      </w:r>
      <w:r>
        <w:rPr>
          <w:rFonts w:hint="eastAsia" w:ascii="宋体" w:hAnsi="宋体" w:eastAsia="宋体" w:cs="宋体"/>
          <w:color w:val="000000"/>
          <w:sz w:val="24"/>
          <w:szCs w:val="24"/>
          <w:u w:val="single"/>
        </w:rPr>
        <w:t></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12B13E4">
      <w:pPr>
        <w:pageBreakBefore w:val="0"/>
        <w:widowControl w:val="0"/>
        <w:kinsoku/>
        <w:wordWrap/>
        <w:overflowPunct/>
        <w:topLinePunct w:val="0"/>
        <w:bidi w:val="0"/>
        <w:adjustRightInd w:val="0"/>
        <w:snapToGrid w:val="0"/>
        <w:spacing w:line="360" w:lineRule="auto"/>
        <w:ind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3.工程立项批准文号：</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 </w:t>
      </w:r>
      <w:r>
        <w:rPr>
          <w:rFonts w:hint="eastAsia" w:ascii="宋体" w:hAnsi="宋体" w:eastAsia="宋体" w:cs="宋体"/>
          <w:bCs/>
          <w:color w:val="000000"/>
          <w:sz w:val="24"/>
          <w:szCs w:val="24"/>
        </w:rPr>
        <w:t>。</w:t>
      </w:r>
    </w:p>
    <w:p w14:paraId="20723FFD">
      <w:pPr>
        <w:pageBreakBefore w:val="0"/>
        <w:widowControl w:val="0"/>
        <w:kinsoku/>
        <w:wordWrap/>
        <w:overflowPunct/>
        <w:topLinePunct w:val="0"/>
        <w:bidi w:val="0"/>
        <w:adjustRightInd w:val="0"/>
        <w:snapToGrid w:val="0"/>
        <w:spacing w:line="360" w:lineRule="auto"/>
        <w:ind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4.资金来源：</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 </w:t>
      </w:r>
      <w:r>
        <w:rPr>
          <w:rFonts w:hint="eastAsia" w:ascii="宋体" w:hAnsi="宋体" w:eastAsia="宋体" w:cs="宋体"/>
          <w:bCs/>
          <w:color w:val="000000"/>
          <w:sz w:val="24"/>
          <w:szCs w:val="24"/>
        </w:rPr>
        <w:t>。</w:t>
      </w:r>
    </w:p>
    <w:p w14:paraId="751AE28B">
      <w:pPr>
        <w:pageBreakBefore w:val="0"/>
        <w:widowControl w:val="0"/>
        <w:kinsoku/>
        <w:wordWrap/>
        <w:overflowPunct/>
        <w:topLinePunct w:val="0"/>
        <w:bidi w:val="0"/>
        <w:adjustRightInd w:val="0"/>
        <w:snapToGrid w:val="0"/>
        <w:spacing w:line="360" w:lineRule="auto"/>
        <w:ind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5.工程内容：</w:t>
      </w:r>
      <w:r>
        <w:rPr>
          <w:rFonts w:hint="eastAsia" w:ascii="宋体" w:hAnsi="宋体" w:eastAsia="宋体" w:cs="宋体"/>
          <w:color w:val="000000"/>
          <w:sz w:val="24"/>
          <w:szCs w:val="24"/>
          <w:u w:val="single"/>
        </w:rPr>
        <w:t></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 </w:t>
      </w:r>
      <w:r>
        <w:rPr>
          <w:rFonts w:hint="eastAsia" w:ascii="宋体" w:hAnsi="宋体" w:eastAsia="宋体" w:cs="宋体"/>
          <w:bCs/>
          <w:color w:val="000000"/>
          <w:sz w:val="24"/>
          <w:szCs w:val="24"/>
        </w:rPr>
        <w:t>。</w:t>
      </w:r>
    </w:p>
    <w:p w14:paraId="0E39CCF6">
      <w:pPr>
        <w:pageBreakBefore w:val="0"/>
        <w:widowControl w:val="0"/>
        <w:kinsoku/>
        <w:wordWrap/>
        <w:overflowPunct/>
        <w:topLinePunct w:val="0"/>
        <w:bidi w:val="0"/>
        <w:adjustRightInd w:val="0"/>
        <w:snapToGrid w:val="0"/>
        <w:spacing w:line="360" w:lineRule="auto"/>
        <w:ind w:firstLine="470" w:firstLineChars="196"/>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群体工程应附《承包人承揽工程项目一览表》（附件1）。</w:t>
      </w:r>
    </w:p>
    <w:p w14:paraId="51A6196E">
      <w:pPr>
        <w:pageBreakBefore w:val="0"/>
        <w:widowControl w:val="0"/>
        <w:kinsoku/>
        <w:wordWrap/>
        <w:overflowPunct/>
        <w:topLinePunct w:val="0"/>
        <w:bidi w:val="0"/>
        <w:adjustRightInd w:val="0"/>
        <w:snapToGrid w:val="0"/>
        <w:spacing w:line="36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bCs/>
          <w:color w:val="000000"/>
          <w:sz w:val="24"/>
          <w:szCs w:val="24"/>
        </w:rPr>
        <w:t>6.工程承包范围：</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14:paraId="77BFF3BE">
      <w:pPr>
        <w:pStyle w:val="6"/>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val="0"/>
          <w:color w:val="000000"/>
          <w:sz w:val="24"/>
          <w:szCs w:val="24"/>
        </w:rPr>
      </w:pPr>
      <w:r>
        <w:rPr>
          <w:rFonts w:hint="eastAsia" w:ascii="宋体" w:hAnsi="宋体" w:eastAsia="宋体" w:cs="宋体"/>
          <w:b w:val="0"/>
          <w:color w:val="000000"/>
          <w:sz w:val="24"/>
          <w:szCs w:val="24"/>
        </w:rPr>
        <w:t xml:space="preserve">  </w:t>
      </w:r>
      <w:r>
        <w:rPr>
          <w:rFonts w:hint="eastAsia" w:ascii="宋体" w:hAnsi="宋体" w:eastAsia="宋体" w:cs="宋体"/>
          <w:b/>
          <w:bCs w:val="0"/>
          <w:color w:val="000000"/>
          <w:sz w:val="24"/>
          <w:szCs w:val="24"/>
        </w:rPr>
        <w:t xml:space="preserve"> </w:t>
      </w:r>
      <w:bookmarkStart w:id="174" w:name="_Toc351203482"/>
      <w:r>
        <w:rPr>
          <w:rFonts w:hint="eastAsia" w:ascii="宋体" w:hAnsi="宋体" w:eastAsia="宋体" w:cs="宋体"/>
          <w:b/>
          <w:bCs w:val="0"/>
          <w:color w:val="000000"/>
          <w:sz w:val="24"/>
          <w:szCs w:val="24"/>
        </w:rPr>
        <w:t>二、合同工期</w:t>
      </w:r>
      <w:bookmarkEnd w:id="174"/>
    </w:p>
    <w:p w14:paraId="434D39A7">
      <w:pPr>
        <w:pageBreakBefore w:val="0"/>
        <w:widowControl w:val="0"/>
        <w:kinsoku/>
        <w:wordWrap/>
        <w:overflowPunct/>
        <w:topLinePunct w:val="0"/>
        <w:bidi w:val="0"/>
        <w:adjustRightInd w:val="0"/>
        <w:snapToGrid w:val="0"/>
        <w:spacing w:line="360" w:lineRule="auto"/>
        <w:ind w:firstLine="45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计划开工日期：</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日。</w:t>
      </w:r>
    </w:p>
    <w:p w14:paraId="7E223233">
      <w:pPr>
        <w:pageBreakBefore w:val="0"/>
        <w:widowControl w:val="0"/>
        <w:kinsoku/>
        <w:wordWrap/>
        <w:overflowPunct/>
        <w:topLinePunct w:val="0"/>
        <w:bidi w:val="0"/>
        <w:adjustRightInd w:val="0"/>
        <w:snapToGrid w:val="0"/>
        <w:spacing w:line="360" w:lineRule="auto"/>
        <w:ind w:firstLine="45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计划竣工日期：</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日。</w:t>
      </w:r>
    </w:p>
    <w:p w14:paraId="6AEA35BB">
      <w:pPr>
        <w:pageBreakBefore w:val="0"/>
        <w:widowControl w:val="0"/>
        <w:kinsoku/>
        <w:wordWrap/>
        <w:overflowPunct/>
        <w:topLinePunct w:val="0"/>
        <w:bidi w:val="0"/>
        <w:adjustRightInd w:val="0"/>
        <w:snapToGrid w:val="0"/>
        <w:spacing w:line="360" w:lineRule="auto"/>
        <w:ind w:firstLine="45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工期总日历天数：</w:t>
      </w:r>
      <w:r>
        <w:rPr>
          <w:rFonts w:hint="eastAsia" w:ascii="宋体" w:hAnsi="宋体" w:eastAsia="宋体" w:cs="宋体"/>
          <w:color w:val="000000"/>
          <w:sz w:val="24"/>
          <w:szCs w:val="24"/>
          <w:u w:val="single"/>
        </w:rPr>
        <w:t></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天。工期总日历天数与根据前述计划开竣工日期计算的工期天数不一致的，以工期总日历天数为准。</w:t>
      </w:r>
    </w:p>
    <w:p w14:paraId="613861F5">
      <w:pPr>
        <w:pStyle w:val="6"/>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val="0"/>
          <w:bCs/>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bCs/>
          <w:color w:val="000000"/>
          <w:sz w:val="24"/>
          <w:szCs w:val="24"/>
        </w:rPr>
        <w:t xml:space="preserve">  </w:t>
      </w:r>
      <w:bookmarkStart w:id="175" w:name="_Toc351203483"/>
      <w:r>
        <w:rPr>
          <w:rFonts w:hint="eastAsia" w:ascii="宋体" w:hAnsi="宋体" w:eastAsia="宋体" w:cs="宋体"/>
          <w:b w:val="0"/>
          <w:bCs/>
          <w:color w:val="000000"/>
          <w:sz w:val="24"/>
          <w:szCs w:val="24"/>
        </w:rPr>
        <w:t>三、质量标准</w:t>
      </w:r>
      <w:bookmarkEnd w:id="175"/>
    </w:p>
    <w:p w14:paraId="75CF4B43">
      <w:pPr>
        <w:pageBreakBefore w:val="0"/>
        <w:widowControl w:val="0"/>
        <w:kinsoku/>
        <w:wordWrap/>
        <w:overflowPunct/>
        <w:topLinePunct w:val="0"/>
        <w:bidi w:val="0"/>
        <w:adjustRightInd w:val="0"/>
        <w:snapToGrid w:val="0"/>
        <w:spacing w:line="360" w:lineRule="auto"/>
        <w:ind w:firstLine="45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工程质量符合</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标准。</w:t>
      </w:r>
    </w:p>
    <w:p w14:paraId="0D396FB4">
      <w:pPr>
        <w:pStyle w:val="6"/>
        <w:pageBreakBefore w:val="0"/>
        <w:widowControl w:val="0"/>
        <w:tabs>
          <w:tab w:val="left" w:pos="7772"/>
        </w:tabs>
        <w:kinsoku/>
        <w:wordWrap/>
        <w:overflowPunct/>
        <w:topLinePunct w:val="0"/>
        <w:bidi w:val="0"/>
        <w:adjustRightInd w:val="0"/>
        <w:snapToGrid w:val="0"/>
        <w:spacing w:line="360" w:lineRule="auto"/>
        <w:textAlignment w:val="auto"/>
        <w:rPr>
          <w:rFonts w:hint="eastAsia" w:ascii="宋体" w:hAnsi="宋体" w:eastAsia="宋体" w:cs="宋体"/>
          <w:bCs w:val="0"/>
          <w:color w:val="000000"/>
          <w:sz w:val="24"/>
          <w:szCs w:val="24"/>
          <w:lang w:eastAsia="zh-CN"/>
        </w:rPr>
      </w:pPr>
      <w:r>
        <w:rPr>
          <w:rFonts w:hint="eastAsia" w:ascii="宋体" w:hAnsi="宋体" w:eastAsia="宋体" w:cs="宋体"/>
          <w:bCs w:val="0"/>
          <w:color w:val="000000"/>
          <w:sz w:val="24"/>
          <w:szCs w:val="24"/>
        </w:rPr>
        <w:t xml:space="preserve">  </w:t>
      </w:r>
      <w:r>
        <w:rPr>
          <w:rFonts w:hint="eastAsia" w:ascii="宋体" w:hAnsi="宋体" w:eastAsia="宋体" w:cs="宋体"/>
          <w:b w:val="0"/>
          <w:bCs/>
          <w:color w:val="000000"/>
          <w:sz w:val="24"/>
          <w:szCs w:val="24"/>
        </w:rPr>
        <w:t xml:space="preserve">  </w:t>
      </w:r>
      <w:bookmarkStart w:id="176" w:name="_Toc351203484"/>
      <w:r>
        <w:rPr>
          <w:rFonts w:hint="eastAsia" w:ascii="宋体" w:hAnsi="宋体" w:eastAsia="宋体" w:cs="宋体"/>
          <w:b w:val="0"/>
          <w:bCs/>
          <w:color w:val="000000"/>
          <w:sz w:val="24"/>
          <w:szCs w:val="24"/>
        </w:rPr>
        <w:t>四、签约合同价与合同价格形式</w:t>
      </w:r>
      <w:bookmarkEnd w:id="176"/>
      <w:r>
        <w:rPr>
          <w:rFonts w:hint="eastAsia" w:ascii="宋体" w:hAnsi="宋体" w:eastAsia="宋体" w:cs="宋体"/>
          <w:b w:val="0"/>
          <w:color w:val="000000"/>
          <w:sz w:val="24"/>
          <w:szCs w:val="24"/>
        </w:rPr>
        <w:tab/>
      </w:r>
      <w:r>
        <w:rPr>
          <w:rFonts w:hint="eastAsia" w:ascii="宋体" w:hAnsi="宋体" w:cs="宋体"/>
          <w:b w:val="0"/>
          <w:color w:val="000000"/>
          <w:sz w:val="24"/>
          <w:szCs w:val="24"/>
          <w:lang w:eastAsia="zh-CN"/>
        </w:rPr>
        <w:tab/>
      </w:r>
    </w:p>
    <w:p w14:paraId="3FAC8AE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1.签约合同价为：</w:t>
      </w:r>
    </w:p>
    <w:p w14:paraId="4045B5A0">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61F67567">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其中：</w:t>
      </w:r>
    </w:p>
    <w:p w14:paraId="4831B05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（1）安全文明施工费：</w:t>
      </w:r>
    </w:p>
    <w:p w14:paraId="5A877A99">
      <w:pPr>
        <w:pageBreakBefore w:val="0"/>
        <w:widowControl w:val="0"/>
        <w:kinsoku/>
        <w:wordWrap/>
        <w:overflowPunct/>
        <w:topLinePunct w:val="0"/>
        <w:bidi w:val="0"/>
        <w:adjustRightInd w:val="0"/>
        <w:snapToGrid w:val="0"/>
        <w:spacing w:line="360" w:lineRule="auto"/>
        <w:ind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7B7C9017">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（2）材料和工程设备暂估价金额：</w:t>
      </w:r>
    </w:p>
    <w:p w14:paraId="68044862">
      <w:pPr>
        <w:pageBreakBefore w:val="0"/>
        <w:widowControl w:val="0"/>
        <w:kinsoku/>
        <w:wordWrap/>
        <w:overflowPunct/>
        <w:topLinePunct w:val="0"/>
        <w:bidi w:val="0"/>
        <w:adjustRightInd w:val="0"/>
        <w:snapToGrid w:val="0"/>
        <w:spacing w:line="360" w:lineRule="auto"/>
        <w:ind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2DA5E00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（3）专业工程暂估价金额：</w:t>
      </w:r>
    </w:p>
    <w:p w14:paraId="5E9DB4EC">
      <w:pPr>
        <w:pageBreakBefore w:val="0"/>
        <w:widowControl w:val="0"/>
        <w:kinsoku/>
        <w:wordWrap/>
        <w:overflowPunct/>
        <w:topLinePunct w:val="0"/>
        <w:bidi w:val="0"/>
        <w:adjustRightInd w:val="0"/>
        <w:snapToGrid w:val="0"/>
        <w:spacing w:line="360" w:lineRule="auto"/>
        <w:ind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20D5F16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（4）暂列金额：</w:t>
      </w:r>
    </w:p>
    <w:p w14:paraId="68C78256">
      <w:pPr>
        <w:pageBreakBefore w:val="0"/>
        <w:widowControl w:val="0"/>
        <w:kinsoku/>
        <w:wordWrap/>
        <w:overflowPunct/>
        <w:topLinePunct w:val="0"/>
        <w:bidi w:val="0"/>
        <w:adjustRightInd w:val="0"/>
        <w:snapToGrid w:val="0"/>
        <w:spacing w:line="360" w:lineRule="auto"/>
        <w:ind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3A1FEC6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2.合同价格形式：</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14:paraId="604B9A85">
      <w:pPr>
        <w:pStyle w:val="6"/>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bCs w:val="0"/>
          <w:color w:val="000000"/>
          <w:sz w:val="24"/>
          <w:szCs w:val="24"/>
        </w:rPr>
        <w:t xml:space="preserve"> </w:t>
      </w:r>
      <w:bookmarkStart w:id="177" w:name="_Toc351203485"/>
      <w:r>
        <w:rPr>
          <w:rFonts w:hint="eastAsia" w:ascii="宋体" w:hAnsi="宋体" w:eastAsia="宋体" w:cs="宋体"/>
          <w:b/>
          <w:bCs w:val="0"/>
          <w:color w:val="000000"/>
          <w:sz w:val="24"/>
          <w:szCs w:val="24"/>
        </w:rPr>
        <w:t>五、</w:t>
      </w:r>
      <w:bookmarkEnd w:id="177"/>
      <w:r>
        <w:rPr>
          <w:rFonts w:hint="eastAsia" w:ascii="宋体" w:hAnsi="宋体" w:eastAsia="宋体" w:cs="宋体"/>
          <w:b/>
          <w:bCs w:val="0"/>
          <w:color w:val="000000"/>
          <w:sz w:val="24"/>
          <w:szCs w:val="24"/>
        </w:rPr>
        <w:t>项目经理</w:t>
      </w:r>
    </w:p>
    <w:p w14:paraId="0F8C2C7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承包人项目经理：</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14:paraId="62D516EB">
      <w:pPr>
        <w:pStyle w:val="6"/>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bCs w:val="0"/>
          <w:color w:val="000000"/>
          <w:sz w:val="24"/>
          <w:szCs w:val="24"/>
        </w:rPr>
        <w:t xml:space="preserve"> </w:t>
      </w:r>
      <w:bookmarkStart w:id="178" w:name="_Toc351203486"/>
      <w:r>
        <w:rPr>
          <w:rFonts w:hint="eastAsia" w:ascii="宋体" w:hAnsi="宋体" w:eastAsia="宋体" w:cs="宋体"/>
          <w:b/>
          <w:bCs w:val="0"/>
          <w:color w:val="000000"/>
          <w:sz w:val="24"/>
          <w:szCs w:val="24"/>
        </w:rPr>
        <w:t>六、合同文件构成</w:t>
      </w:r>
      <w:bookmarkEnd w:id="178"/>
    </w:p>
    <w:p w14:paraId="6B92A42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本协议书与下列文件一起构成合同文件：</w:t>
      </w:r>
    </w:p>
    <w:p w14:paraId="0AE035F2">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（1）中标通知书（如果有）；</w:t>
      </w:r>
    </w:p>
    <w:p w14:paraId="5EF0B2AE">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（2）投标函及其附录（如果有）； </w:t>
      </w:r>
    </w:p>
    <w:p w14:paraId="71667BF8">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（3）专用合同条款及其附件；</w:t>
      </w:r>
    </w:p>
    <w:p w14:paraId="063C3107">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（4）通用合同条款；</w:t>
      </w:r>
    </w:p>
    <w:p w14:paraId="28F73DFF">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（5）技术标准和要求；</w:t>
      </w:r>
    </w:p>
    <w:p w14:paraId="21090B72">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（6）图纸；</w:t>
      </w:r>
    </w:p>
    <w:p w14:paraId="3D79E52F">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（7）已标价工程量清单或预算书；</w:t>
      </w:r>
    </w:p>
    <w:p w14:paraId="472FC1C3">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（8）其他合同文件。</w:t>
      </w:r>
    </w:p>
    <w:p w14:paraId="7368A84C">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w:t>
      </w:r>
    </w:p>
    <w:p w14:paraId="4A4EFE7F">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54F61CB2">
      <w:pPr>
        <w:pStyle w:val="6"/>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color w:val="000000"/>
          <w:sz w:val="24"/>
          <w:szCs w:val="24"/>
        </w:rPr>
        <w:t xml:space="preserve"> </w:t>
      </w:r>
      <w:bookmarkStart w:id="179" w:name="_Toc351203487"/>
      <w:r>
        <w:rPr>
          <w:rFonts w:hint="eastAsia" w:ascii="宋体" w:hAnsi="宋体" w:eastAsia="宋体" w:cs="宋体"/>
          <w:b/>
          <w:bCs w:val="0"/>
          <w:color w:val="000000"/>
          <w:sz w:val="24"/>
          <w:szCs w:val="24"/>
        </w:rPr>
        <w:t>七、承诺</w:t>
      </w:r>
      <w:bookmarkEnd w:id="179"/>
    </w:p>
    <w:p w14:paraId="3D75B5B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1.发包人承诺按照法律规定履行项目审批手续、筹集工程建设资金并按照合同约定的期限和方式支付合同价款。</w:t>
      </w:r>
    </w:p>
    <w:p w14:paraId="5AD0A86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2.承包人承诺按照法律规定及合同约定组织完成工程施工，确保工程质量和安全，不进行转包及违法分包，并在缺陷责任期及保修期内承担相应的工程维修责任。</w:t>
      </w:r>
    </w:p>
    <w:p w14:paraId="42EAE43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3.发包人和承包人通过招投标形式签订合同的，双方理解并承诺不再就同一工程另行签订与合同实质性内容相背离的协议。</w:t>
      </w:r>
    </w:p>
    <w:p w14:paraId="755E39C2">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Cs/>
          <w:color w:val="000000"/>
          <w:sz w:val="24"/>
          <w:szCs w:val="24"/>
        </w:rPr>
      </w:pPr>
      <w:bookmarkStart w:id="180" w:name="_Toc351203488"/>
      <w:r>
        <w:rPr>
          <w:rFonts w:hint="eastAsia" w:ascii="宋体" w:hAnsi="宋体" w:eastAsia="宋体" w:cs="宋体"/>
          <w:b/>
          <w:color w:val="000000"/>
          <w:sz w:val="24"/>
          <w:szCs w:val="24"/>
        </w:rPr>
        <w:t xml:space="preserve">    八、词语含义</w:t>
      </w:r>
      <w:bookmarkEnd w:id="180"/>
    </w:p>
    <w:p w14:paraId="38FDA93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本协议书中词语含义与第二部分通用合同条款中赋予的含义相同。</w:t>
      </w:r>
    </w:p>
    <w:p w14:paraId="11FE5E61">
      <w:pPr>
        <w:pStyle w:val="6"/>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bCs w:val="0"/>
          <w:color w:val="000000"/>
          <w:sz w:val="24"/>
          <w:szCs w:val="24"/>
        </w:rPr>
        <w:t xml:space="preserve">  </w:t>
      </w:r>
      <w:bookmarkStart w:id="181" w:name="_Toc351203489"/>
      <w:r>
        <w:rPr>
          <w:rFonts w:hint="eastAsia" w:ascii="宋体" w:hAnsi="宋体" w:eastAsia="宋体" w:cs="宋体"/>
          <w:b/>
          <w:bCs w:val="0"/>
          <w:color w:val="000000"/>
          <w:sz w:val="24"/>
          <w:szCs w:val="24"/>
        </w:rPr>
        <w:t>九、签订时间</w:t>
      </w:r>
      <w:bookmarkEnd w:id="181"/>
    </w:p>
    <w:p w14:paraId="23DC687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本合同于</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日签订。</w:t>
      </w:r>
    </w:p>
    <w:p w14:paraId="268B5D95">
      <w:pPr>
        <w:pStyle w:val="6"/>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bCs/>
          <w:color w:val="000000"/>
          <w:sz w:val="24"/>
          <w:szCs w:val="24"/>
        </w:rPr>
        <w:t xml:space="preserve"> </w:t>
      </w:r>
      <w:bookmarkStart w:id="182" w:name="_Toc351203490"/>
      <w:r>
        <w:rPr>
          <w:rFonts w:hint="eastAsia" w:ascii="宋体" w:hAnsi="宋体" w:eastAsia="宋体" w:cs="宋体"/>
          <w:b/>
          <w:bCs w:val="0"/>
          <w:color w:val="000000"/>
          <w:sz w:val="24"/>
          <w:szCs w:val="24"/>
        </w:rPr>
        <w:t>十、签订地点</w:t>
      </w:r>
      <w:bookmarkEnd w:id="182"/>
    </w:p>
    <w:p w14:paraId="1DD993C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本合同在</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签订。</w:t>
      </w:r>
    </w:p>
    <w:p w14:paraId="565949F8">
      <w:pPr>
        <w:pStyle w:val="6"/>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val="0"/>
          <w:color w:val="000000"/>
          <w:sz w:val="24"/>
          <w:szCs w:val="24"/>
        </w:rPr>
      </w:pPr>
      <w:r>
        <w:rPr>
          <w:rFonts w:hint="eastAsia" w:ascii="宋体" w:hAnsi="宋体" w:eastAsia="宋体" w:cs="宋体"/>
          <w:bCs w:val="0"/>
          <w:color w:val="000000"/>
          <w:sz w:val="24"/>
          <w:szCs w:val="24"/>
        </w:rPr>
        <w:t xml:space="preserve">    </w:t>
      </w:r>
      <w:bookmarkStart w:id="183" w:name="_Toc351203491"/>
      <w:r>
        <w:rPr>
          <w:rFonts w:hint="eastAsia" w:ascii="宋体" w:hAnsi="宋体" w:eastAsia="宋体" w:cs="宋体"/>
          <w:b/>
          <w:bCs w:val="0"/>
          <w:color w:val="000000"/>
          <w:sz w:val="24"/>
          <w:szCs w:val="24"/>
        </w:rPr>
        <w:t>十一、补充协议</w:t>
      </w:r>
      <w:bookmarkEnd w:id="183"/>
    </w:p>
    <w:p w14:paraId="4EB698E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bCs/>
          <w:color w:val="000000"/>
          <w:sz w:val="24"/>
          <w:szCs w:val="24"/>
        </w:rPr>
        <w:t>合同未尽事宜，合同当事人另行签订补充协议，补充协议是合同的组成部分。</w:t>
      </w:r>
    </w:p>
    <w:p w14:paraId="565E1A11">
      <w:pPr>
        <w:pStyle w:val="6"/>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val="0"/>
          <w:color w:val="000000"/>
          <w:sz w:val="24"/>
          <w:szCs w:val="24"/>
        </w:rPr>
      </w:pPr>
      <w:r>
        <w:rPr>
          <w:rFonts w:hint="eastAsia" w:ascii="宋体" w:hAnsi="宋体" w:eastAsia="宋体" w:cs="宋体"/>
          <w:bCs w:val="0"/>
          <w:color w:val="000000"/>
          <w:sz w:val="24"/>
          <w:szCs w:val="24"/>
        </w:rPr>
        <w:t xml:space="preserve">    </w:t>
      </w:r>
      <w:bookmarkStart w:id="184" w:name="_Toc351203492"/>
      <w:r>
        <w:rPr>
          <w:rFonts w:hint="eastAsia" w:ascii="宋体" w:hAnsi="宋体" w:eastAsia="宋体" w:cs="宋体"/>
          <w:b/>
          <w:bCs w:val="0"/>
          <w:color w:val="000000"/>
          <w:sz w:val="24"/>
          <w:szCs w:val="24"/>
        </w:rPr>
        <w:t>十二、合同生效</w:t>
      </w:r>
      <w:bookmarkEnd w:id="184"/>
    </w:p>
    <w:p w14:paraId="7F31CF0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本合同自</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生效。</w:t>
      </w:r>
    </w:p>
    <w:p w14:paraId="2141900D">
      <w:pPr>
        <w:pStyle w:val="6"/>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bCs/>
          <w:color w:val="000000"/>
          <w:sz w:val="24"/>
          <w:szCs w:val="24"/>
        </w:rPr>
        <w:t xml:space="preserve"> </w:t>
      </w:r>
      <w:bookmarkStart w:id="185" w:name="_Toc351203493"/>
      <w:r>
        <w:rPr>
          <w:rFonts w:hint="eastAsia" w:ascii="宋体" w:hAnsi="宋体" w:eastAsia="宋体" w:cs="宋体"/>
          <w:b/>
          <w:bCs w:val="0"/>
          <w:color w:val="000000"/>
          <w:sz w:val="24"/>
          <w:szCs w:val="24"/>
        </w:rPr>
        <w:t>十三、合同份数</w:t>
      </w:r>
      <w:bookmarkEnd w:id="185"/>
    </w:p>
    <w:p w14:paraId="475ECC5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本合同一式</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份，均具有同等法律效力，发包人执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份，承包人执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w:t>
      </w:r>
    </w:p>
    <w:p w14:paraId="14648C1F">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p>
    <w:p w14:paraId="073CAB98">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p>
    <w:p w14:paraId="2452179A">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p>
    <w:p w14:paraId="21EF88B2">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p>
    <w:p w14:paraId="3D8A9625">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发包人：  (公章)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  承包人：  (公章)</w:t>
      </w:r>
    </w:p>
    <w:p w14:paraId="0826F7C5">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                                 </w:t>
      </w:r>
    </w:p>
    <w:p w14:paraId="6F4E454E">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法定代表人或其委托代理人：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法定代表人或其委托代理人：</w:t>
      </w:r>
    </w:p>
    <w:p w14:paraId="4B8E7975">
      <w:pPr>
        <w:pageBreakBefore w:val="0"/>
        <w:widowControl w:val="0"/>
        <w:tabs>
          <w:tab w:val="right" w:pos="9072"/>
        </w:tabs>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（签字）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（签字）</w:t>
      </w:r>
      <w:r>
        <w:rPr>
          <w:rFonts w:hint="eastAsia" w:ascii="宋体" w:hAnsi="宋体" w:cs="宋体"/>
          <w:color w:val="000000"/>
          <w:sz w:val="24"/>
          <w:szCs w:val="24"/>
          <w:lang w:eastAsia="zh-CN"/>
        </w:rPr>
        <w:tab/>
      </w:r>
    </w:p>
    <w:p w14:paraId="0F684019">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u w:val="single"/>
        </w:rPr>
      </w:pPr>
    </w:p>
    <w:p w14:paraId="350BF22A">
      <w:pPr>
        <w:pageBreakBefore w:val="0"/>
        <w:widowControl w:val="0"/>
        <w:tabs>
          <w:tab w:val="left" w:pos="4410"/>
        </w:tabs>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组织机构代码：</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 组织机构代码：</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p>
    <w:p w14:paraId="3ABDC661">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       </w:t>
      </w:r>
    </w:p>
    <w:p w14:paraId="354159FC">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14:paraId="537CA3CC">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       </w:t>
      </w:r>
    </w:p>
    <w:p w14:paraId="1A85BB02">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p>
    <w:p w14:paraId="195DDF7A">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14:paraId="7255C97A">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   </w:t>
      </w:r>
    </w:p>
    <w:p w14:paraId="00981227">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p>
    <w:p w14:paraId="10BB26AF">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14:paraId="027D2069">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p>
    <w:p w14:paraId="705B6CC1">
      <w:pPr>
        <w:widowControl/>
        <w:spacing w:line="30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BBA7445">
      <w:pPr>
        <w:pStyle w:val="2"/>
        <w:sectPr>
          <w:pgSz w:w="11906" w:h="16838"/>
          <w:pgMar w:top="1417" w:right="1417" w:bottom="1417" w:left="1417" w:header="992" w:footer="992" w:gutter="0"/>
          <w:pgNumType w:fmt="decimal"/>
          <w:cols w:space="0" w:num="1"/>
          <w:titlePg/>
          <w:rtlGutter w:val="0"/>
          <w:docGrid w:type="lines" w:linePitch="333" w:charSpace="0"/>
        </w:sectPr>
      </w:pPr>
    </w:p>
    <w:p w14:paraId="6B176863">
      <w:pPr>
        <w:pStyle w:val="24"/>
        <w:keepNext w:val="0"/>
        <w:keepLines w:val="0"/>
        <w:pageBreakBefore w:val="0"/>
        <w:widowControl w:val="0"/>
        <w:numPr>
          <w:ilvl w:val="0"/>
          <w:numId w:val="5"/>
        </w:numPr>
        <w:kinsoku/>
        <w:wordWrap/>
        <w:overflowPunct/>
        <w:topLinePunct w:val="0"/>
        <w:autoSpaceDE/>
        <w:autoSpaceDN/>
        <w:bidi w:val="0"/>
        <w:adjustRightInd/>
        <w:snapToGrid/>
        <w:spacing w:before="0" w:after="0" w:line="240" w:lineRule="auto"/>
        <w:jc w:val="center"/>
        <w:textAlignment w:val="auto"/>
        <w:outlineLvl w:val="0"/>
        <w:rPr>
          <w:rFonts w:hint="eastAsia" w:eastAsia="宋体"/>
          <w:color w:val="auto"/>
          <w:sz w:val="36"/>
        </w:rPr>
      </w:pPr>
      <w:r>
        <w:rPr>
          <w:rFonts w:hint="eastAsia" w:eastAsia="宋体"/>
          <w:color w:val="auto"/>
          <w:sz w:val="36"/>
        </w:rPr>
        <w:t xml:space="preserve">  </w:t>
      </w:r>
      <w:bookmarkStart w:id="186" w:name="_Toc18849"/>
      <w:r>
        <w:rPr>
          <w:rFonts w:hint="eastAsia" w:eastAsia="宋体"/>
          <w:color w:val="auto"/>
          <w:sz w:val="36"/>
        </w:rPr>
        <w:t>响应文件格式</w:t>
      </w:r>
      <w:bookmarkEnd w:id="186"/>
    </w:p>
    <w:p w14:paraId="5959B22F">
      <w:pPr>
        <w:keepNext w:val="0"/>
        <w:keepLines w:val="0"/>
        <w:pageBreakBefore w:val="0"/>
        <w:widowControl/>
        <w:kinsoku/>
        <w:wordWrap/>
        <w:overflowPunct/>
        <w:topLinePunct w:val="0"/>
        <w:autoSpaceDE/>
        <w:autoSpaceDN/>
        <w:bidi w:val="0"/>
        <w:adjustRightInd/>
        <w:snapToGrid/>
        <w:spacing w:before="168" w:beforeLines="50" w:after="168" w:afterLines="50" w:line="240" w:lineRule="auto"/>
        <w:jc w:val="right"/>
        <w:textAlignment w:val="auto"/>
        <w:outlineLvl w:val="0"/>
        <w:rPr>
          <w:rFonts w:cs="仿宋" w:asciiTheme="minorEastAsia" w:hAnsiTheme="minorEastAsia" w:eastAsiaTheme="minorEastAsia"/>
          <w:b/>
          <w:sz w:val="36"/>
          <w:szCs w:val="36"/>
          <w:bdr w:val="single" w:color="auto" w:sz="4" w:space="0"/>
          <w:shd w:val="pct10" w:color="auto" w:fill="FFFFFF"/>
        </w:rPr>
      </w:pPr>
    </w:p>
    <w:p w14:paraId="174A9767">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2F495CD2">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rPr>
        <w:t>项目编号</w:t>
      </w:r>
      <w:r>
        <w:rPr>
          <w:rFonts w:hint="eastAsia" w:ascii="宋体" w:hAnsi="宋体" w:cs="宋体"/>
          <w:b/>
          <w:bCs/>
          <w:kern w:val="44"/>
          <w:sz w:val="32"/>
          <w:szCs w:val="32"/>
          <w:lang w:eastAsia="zh-CN"/>
        </w:rPr>
        <w:t>：</w:t>
      </w:r>
      <w:r>
        <w:rPr>
          <w:rFonts w:hint="eastAsia" w:cs="仿宋" w:asciiTheme="minorEastAsia" w:hAnsiTheme="minorEastAsia" w:eastAsiaTheme="minorEastAsia"/>
          <w:bCs/>
          <w:sz w:val="32"/>
          <w:szCs w:val="32"/>
        </w:rPr>
        <w:t xml:space="preserve"> </w:t>
      </w:r>
    </w:p>
    <w:p w14:paraId="2DF3AE42">
      <w:pPr>
        <w:widowControl/>
        <w:spacing w:line="600" w:lineRule="exact"/>
        <w:rPr>
          <w:rFonts w:cs="仿宋" w:asciiTheme="minorEastAsia" w:hAnsiTheme="minorEastAsia" w:eastAsiaTheme="minorEastAsia"/>
          <w:bCs/>
          <w:spacing w:val="20"/>
          <w:kern w:val="0"/>
          <w:sz w:val="84"/>
          <w:szCs w:val="84"/>
        </w:rPr>
      </w:pPr>
    </w:p>
    <w:p w14:paraId="38B419BE">
      <w:pPr>
        <w:pStyle w:val="6"/>
      </w:pPr>
    </w:p>
    <w:p w14:paraId="0E159B17"/>
    <w:p w14:paraId="06E0DAB7">
      <w:pPr>
        <w:pStyle w:val="21"/>
        <w:jc w:val="center"/>
        <w:rPr>
          <w:rFonts w:ascii="宋体" w:hAnsi="宋体" w:cs="宋体"/>
          <w:b/>
          <w:bCs/>
          <w:sz w:val="56"/>
          <w:szCs w:val="56"/>
        </w:rPr>
      </w:pPr>
      <w:r>
        <w:rPr>
          <w:rFonts w:hint="eastAsia" w:ascii="宋体" w:hAnsi="宋体" w:cs="宋体"/>
          <w:b/>
          <w:bCs/>
          <w:sz w:val="56"/>
          <w:szCs w:val="56"/>
          <w:u w:val="single"/>
          <w:lang w:val="en-US" w:eastAsia="zh-CN"/>
        </w:rPr>
        <w:t xml:space="preserve">          </w:t>
      </w:r>
      <w:r>
        <w:rPr>
          <w:rFonts w:hint="eastAsia" w:ascii="宋体" w:hAnsi="宋体" w:cs="宋体"/>
          <w:b/>
          <w:bCs/>
          <w:sz w:val="56"/>
          <w:szCs w:val="56"/>
        </w:rPr>
        <w:t>项目</w:t>
      </w:r>
    </w:p>
    <w:p w14:paraId="046A2634">
      <w:pPr>
        <w:pStyle w:val="21"/>
        <w:jc w:val="center"/>
        <w:rPr>
          <w:rFonts w:ascii="宋体" w:hAnsi="宋体" w:cs="宋体"/>
          <w:b/>
          <w:bCs/>
          <w:sz w:val="48"/>
          <w:szCs w:val="48"/>
        </w:rPr>
      </w:pPr>
    </w:p>
    <w:p w14:paraId="424B0CAD">
      <w:pPr>
        <w:pStyle w:val="21"/>
      </w:pPr>
    </w:p>
    <w:p w14:paraId="345BC3C3">
      <w:pPr>
        <w:pStyle w:val="21"/>
      </w:pPr>
    </w:p>
    <w:p w14:paraId="353F79BF">
      <w:pPr>
        <w:pStyle w:val="21"/>
      </w:pPr>
    </w:p>
    <w:p w14:paraId="3488A106">
      <w:pPr>
        <w:pStyle w:val="21"/>
      </w:pPr>
    </w:p>
    <w:p w14:paraId="320445E0">
      <w:pPr>
        <w:widowControl/>
        <w:spacing w:beforeLines="50" w:line="800" w:lineRule="exact"/>
        <w:jc w:val="center"/>
        <w:rPr>
          <w:rFonts w:cs="仿宋" w:asciiTheme="minorEastAsia" w:hAnsiTheme="minorEastAsia" w:eastAsiaTheme="minorEastAsia"/>
          <w:b/>
          <w:spacing w:val="20"/>
          <w:kern w:val="0"/>
          <w:sz w:val="84"/>
          <w:szCs w:val="84"/>
        </w:rPr>
      </w:pPr>
      <w:r>
        <w:rPr>
          <w:rFonts w:hint="eastAsia" w:cs="仿宋" w:asciiTheme="minorEastAsia" w:hAnsiTheme="minorEastAsia" w:eastAsiaTheme="minorEastAsia"/>
          <w:b/>
          <w:spacing w:val="20"/>
          <w:kern w:val="0"/>
          <w:sz w:val="84"/>
          <w:szCs w:val="84"/>
        </w:rPr>
        <w:t>响应文件</w:t>
      </w:r>
    </w:p>
    <w:p w14:paraId="00C68022">
      <w:pPr>
        <w:pStyle w:val="21"/>
      </w:pPr>
    </w:p>
    <w:p w14:paraId="61736D11">
      <w:pPr>
        <w:widowControl/>
        <w:spacing w:line="480" w:lineRule="exact"/>
        <w:rPr>
          <w:rFonts w:cs="仿宋" w:asciiTheme="minorEastAsia" w:hAnsiTheme="minorEastAsia" w:eastAsiaTheme="minorEastAsia"/>
          <w:bCs/>
          <w:sz w:val="44"/>
          <w:szCs w:val="44"/>
        </w:rPr>
      </w:pPr>
      <w:r>
        <w:rPr>
          <w:rFonts w:hint="eastAsia" w:cs="仿宋" w:asciiTheme="minorEastAsia" w:hAnsiTheme="minorEastAsia" w:eastAsiaTheme="minorEastAsia"/>
          <w:bCs/>
          <w:sz w:val="32"/>
          <w:szCs w:val="28"/>
        </w:rPr>
        <w:t xml:space="preserve">                     </w:t>
      </w:r>
      <w:r>
        <w:rPr>
          <w:rFonts w:hint="eastAsia" w:cs="仿宋" w:asciiTheme="minorEastAsia" w:hAnsiTheme="minorEastAsia" w:eastAsiaTheme="minorEastAsia"/>
          <w:bCs/>
          <w:sz w:val="44"/>
          <w:szCs w:val="44"/>
        </w:rPr>
        <w:t>（正/副本）</w:t>
      </w:r>
    </w:p>
    <w:p w14:paraId="0687D179">
      <w:pPr>
        <w:widowControl/>
        <w:spacing w:line="400" w:lineRule="exact"/>
        <w:rPr>
          <w:rFonts w:cs="仿宋" w:asciiTheme="minorEastAsia" w:hAnsiTheme="minorEastAsia" w:eastAsiaTheme="minorEastAsia"/>
          <w:bCs/>
          <w:sz w:val="18"/>
          <w:szCs w:val="18"/>
        </w:rPr>
      </w:pPr>
    </w:p>
    <w:p w14:paraId="32376924">
      <w:pPr>
        <w:widowControl/>
        <w:spacing w:line="400" w:lineRule="exact"/>
        <w:rPr>
          <w:rFonts w:cs="仿宋" w:asciiTheme="minorEastAsia" w:hAnsiTheme="minorEastAsia" w:eastAsiaTheme="minorEastAsia"/>
          <w:bCs/>
          <w:sz w:val="18"/>
          <w:szCs w:val="18"/>
        </w:rPr>
      </w:pPr>
    </w:p>
    <w:p w14:paraId="1E124D02">
      <w:pPr>
        <w:widowControl/>
        <w:spacing w:line="400" w:lineRule="exact"/>
        <w:rPr>
          <w:rFonts w:cs="仿宋" w:asciiTheme="minorEastAsia" w:hAnsiTheme="minorEastAsia" w:eastAsiaTheme="minorEastAsia"/>
          <w:bCs/>
          <w:sz w:val="18"/>
          <w:szCs w:val="18"/>
        </w:rPr>
      </w:pPr>
    </w:p>
    <w:p w14:paraId="43D4132A">
      <w:pPr>
        <w:pStyle w:val="30"/>
        <w:rPr>
          <w:rFonts w:cs="仿宋" w:asciiTheme="minorEastAsia" w:hAnsiTheme="minorEastAsia" w:eastAsiaTheme="minorEastAsia"/>
          <w:bCs/>
          <w:sz w:val="18"/>
          <w:szCs w:val="18"/>
        </w:rPr>
      </w:pPr>
    </w:p>
    <w:p w14:paraId="070B987E">
      <w:pPr>
        <w:pStyle w:val="30"/>
        <w:tabs>
          <w:tab w:val="left" w:pos="2973"/>
        </w:tabs>
        <w:jc w:val="left"/>
        <w:rPr>
          <w:rFonts w:hint="eastAsia" w:cs="仿宋" w:asciiTheme="minorEastAsia" w:hAnsiTheme="minorEastAsia" w:eastAsiaTheme="minorEastAsia"/>
          <w:bCs/>
          <w:sz w:val="18"/>
          <w:szCs w:val="18"/>
          <w:lang w:eastAsia="zh-CN"/>
        </w:rPr>
      </w:pPr>
      <w:r>
        <w:rPr>
          <w:rFonts w:hint="eastAsia" w:cs="仿宋" w:asciiTheme="minorEastAsia" w:hAnsiTheme="minorEastAsia" w:eastAsiaTheme="minorEastAsia"/>
          <w:bCs/>
          <w:sz w:val="18"/>
          <w:szCs w:val="18"/>
          <w:lang w:eastAsia="zh-CN"/>
        </w:rPr>
        <w:tab/>
      </w:r>
    </w:p>
    <w:p w14:paraId="394451A2">
      <w:pPr>
        <w:pStyle w:val="30"/>
        <w:rPr>
          <w:rFonts w:cs="仿宋" w:asciiTheme="minorEastAsia" w:hAnsiTheme="minorEastAsia" w:eastAsiaTheme="minorEastAsia"/>
          <w:bCs/>
          <w:sz w:val="18"/>
          <w:szCs w:val="18"/>
        </w:rPr>
      </w:pPr>
    </w:p>
    <w:p w14:paraId="1F7F6C58">
      <w:pPr>
        <w:pStyle w:val="30"/>
        <w:rPr>
          <w:rFonts w:cs="仿宋" w:asciiTheme="minorEastAsia" w:hAnsiTheme="minorEastAsia" w:eastAsiaTheme="minorEastAsia"/>
          <w:bCs/>
          <w:sz w:val="18"/>
          <w:szCs w:val="18"/>
        </w:rPr>
      </w:pPr>
    </w:p>
    <w:p w14:paraId="09952F60">
      <w:pPr>
        <w:widowControl/>
        <w:spacing w:line="480" w:lineRule="auto"/>
        <w:rPr>
          <w:rFonts w:cs="仿宋" w:asciiTheme="minorEastAsia" w:hAnsiTheme="minorEastAsia" w:eastAsiaTheme="minorEastAsia"/>
          <w:bCs/>
          <w:sz w:val="36"/>
          <w:szCs w:val="36"/>
        </w:rPr>
      </w:pPr>
    </w:p>
    <w:p w14:paraId="5A4ABA5D">
      <w:pPr>
        <w:widowControl/>
        <w:spacing w:line="480" w:lineRule="auto"/>
        <w:rPr>
          <w:rFonts w:cs="仿宋" w:asciiTheme="minorEastAsia" w:hAnsiTheme="minorEastAsia" w:eastAsiaTheme="minorEastAsia"/>
          <w:bCs/>
          <w:sz w:val="36"/>
          <w:szCs w:val="36"/>
        </w:rPr>
      </w:pPr>
    </w:p>
    <w:p w14:paraId="6098B2F2">
      <w:pPr>
        <w:pStyle w:val="2"/>
      </w:pPr>
    </w:p>
    <w:p w14:paraId="11985BC0">
      <w:pPr>
        <w:snapToGrid w:val="0"/>
        <w:spacing w:line="360" w:lineRule="auto"/>
        <w:ind w:firstLine="480" w:firstLineChars="200"/>
        <w:jc w:val="left"/>
        <w:rPr>
          <w:rFonts w:ascii="宋体" w:cs="Times New Roman"/>
          <w:sz w:val="24"/>
          <w:szCs w:val="24"/>
          <w:u w:val="single"/>
        </w:rPr>
      </w:pPr>
      <w:r>
        <w:rPr>
          <w:rFonts w:hint="eastAsia" w:ascii="宋体" w:hAnsi="宋体" w:cs="宋体"/>
          <w:sz w:val="24"/>
          <w:szCs w:val="24"/>
          <w:lang w:val="zh-CN"/>
        </w:rPr>
        <w:t>供应商（单位名称及公章）：</w:t>
      </w:r>
      <w:r>
        <w:rPr>
          <w:rFonts w:hint="eastAsia" w:ascii="宋体" w:hAnsi="宋体" w:cs="宋体"/>
          <w:sz w:val="24"/>
          <w:szCs w:val="24"/>
        </w:rPr>
        <w:t>____________________________</w:t>
      </w:r>
    </w:p>
    <w:p w14:paraId="224EF860">
      <w:pPr>
        <w:snapToGrid w:val="0"/>
        <w:spacing w:line="360" w:lineRule="auto"/>
        <w:ind w:firstLine="480" w:firstLineChars="200"/>
        <w:jc w:val="left"/>
        <w:rPr>
          <w:rFonts w:cs="Times New Roman"/>
          <w:sz w:val="24"/>
          <w:szCs w:val="24"/>
        </w:rPr>
      </w:pPr>
      <w:r>
        <w:rPr>
          <w:rFonts w:hint="eastAsia" w:ascii="宋体" w:hAnsi="宋体" w:cs="宋体"/>
          <w:sz w:val="24"/>
          <w:szCs w:val="24"/>
          <w:lang w:val="zh-CN"/>
        </w:rPr>
        <w:t>法定代表人或被授权人（签字</w:t>
      </w:r>
      <w:r>
        <w:rPr>
          <w:rFonts w:hint="eastAsia" w:ascii="宋体" w:hAnsi="宋体" w:cs="宋体"/>
          <w:sz w:val="24"/>
          <w:szCs w:val="24"/>
          <w:lang w:val="en-US" w:eastAsia="zh-CN"/>
        </w:rPr>
        <w:t>或盖章</w:t>
      </w:r>
      <w:r>
        <w:rPr>
          <w:rFonts w:hint="eastAsia" w:ascii="宋体" w:hAnsi="宋体" w:cs="宋体"/>
          <w:sz w:val="24"/>
          <w:szCs w:val="24"/>
          <w:lang w:val="zh-CN"/>
        </w:rPr>
        <w:t>）：</w:t>
      </w:r>
      <w:r>
        <w:rPr>
          <w:rFonts w:hint="eastAsia" w:ascii="宋体" w:hAnsi="宋体" w:cs="宋体"/>
          <w:sz w:val="24"/>
          <w:szCs w:val="24"/>
        </w:rPr>
        <w:t>____________________________</w:t>
      </w:r>
    </w:p>
    <w:p w14:paraId="67BCA5AB">
      <w:pPr>
        <w:snapToGrid w:val="0"/>
        <w:spacing w:line="360" w:lineRule="auto"/>
        <w:ind w:firstLine="480" w:firstLineChars="200"/>
        <w:jc w:val="left"/>
        <w:rPr>
          <w:rFonts w:ascii="宋体" w:cs="Times New Roman"/>
          <w:sz w:val="24"/>
          <w:szCs w:val="24"/>
          <w:u w:val="single"/>
        </w:rPr>
      </w:pPr>
      <w:r>
        <w:rPr>
          <w:rFonts w:hint="eastAsia" w:ascii="宋体" w:hAnsi="宋体" w:cs="宋体"/>
          <w:sz w:val="24"/>
          <w:szCs w:val="24"/>
        </w:rPr>
        <w:t>日期</w:t>
      </w:r>
      <w:r>
        <w:rPr>
          <w:rFonts w:hint="eastAsia" w:ascii="宋体" w:hAnsi="宋体" w:cs="宋体"/>
          <w:sz w:val="24"/>
          <w:szCs w:val="24"/>
          <w:lang w:val="zh-CN"/>
        </w:rPr>
        <w:t>：</w:t>
      </w:r>
      <w:r>
        <w:rPr>
          <w:rFonts w:hint="eastAsia" w:ascii="宋体" w:hAnsi="宋体" w:cs="宋体"/>
          <w:sz w:val="24"/>
          <w:szCs w:val="24"/>
        </w:rPr>
        <w:t>________________________________________________________</w:t>
      </w:r>
    </w:p>
    <w:p w14:paraId="16560B82">
      <w:pPr>
        <w:pageBreakBefore/>
        <w:ind w:firstLine="1004" w:firstLineChars="200"/>
        <w:jc w:val="center"/>
        <w:rPr>
          <w:rFonts w:ascii="宋体" w:hAnsi="宋体" w:cs="宋体"/>
          <w:b/>
          <w:bCs/>
          <w:color w:val="auto"/>
          <w:sz w:val="50"/>
          <w:szCs w:val="50"/>
        </w:rPr>
      </w:pPr>
      <w:r>
        <w:rPr>
          <w:rFonts w:hint="eastAsia" w:ascii="宋体" w:hAnsi="宋体" w:cs="宋体"/>
          <w:b/>
          <w:bCs/>
          <w:color w:val="auto"/>
          <w:sz w:val="50"/>
          <w:szCs w:val="50"/>
        </w:rPr>
        <w:t>目</w:t>
      </w:r>
      <w:r>
        <w:rPr>
          <w:rFonts w:hint="eastAsia" w:ascii="宋体" w:hAnsi="宋体" w:cs="宋体"/>
          <w:b/>
          <w:bCs/>
          <w:color w:val="auto"/>
          <w:sz w:val="50"/>
          <w:szCs w:val="50"/>
          <w:lang w:val="en-US" w:eastAsia="zh-CN"/>
        </w:rPr>
        <w:t xml:space="preserve"> </w:t>
      </w:r>
      <w:r>
        <w:rPr>
          <w:rFonts w:hint="eastAsia" w:ascii="宋体" w:hAnsi="宋体" w:cs="宋体"/>
          <w:b/>
          <w:bCs/>
          <w:color w:val="auto"/>
          <w:sz w:val="50"/>
          <w:szCs w:val="50"/>
        </w:rPr>
        <w:t>录</w:t>
      </w:r>
    </w:p>
    <w:p w14:paraId="57B1B4F7">
      <w:pPr>
        <w:pStyle w:val="21"/>
        <w:spacing w:line="360" w:lineRule="auto"/>
        <w:ind w:left="1155" w:leftChars="550"/>
        <w:rPr>
          <w:rFonts w:ascii="宋体" w:hAnsi="宋体"/>
          <w:color w:val="auto"/>
          <w:sz w:val="32"/>
          <w:szCs w:val="28"/>
        </w:rPr>
      </w:pPr>
      <w:r>
        <w:rPr>
          <w:rFonts w:hint="eastAsia" w:ascii="宋体" w:hAnsi="宋体"/>
          <w:color w:val="auto"/>
          <w:sz w:val="32"/>
          <w:szCs w:val="28"/>
        </w:rPr>
        <w:t xml:space="preserve">第一章 </w:t>
      </w:r>
      <w:r>
        <w:rPr>
          <w:rFonts w:ascii="宋体" w:hAnsi="宋体"/>
          <w:color w:val="auto"/>
          <w:sz w:val="32"/>
          <w:szCs w:val="28"/>
        </w:rPr>
        <w:t xml:space="preserve">  </w:t>
      </w:r>
      <w:r>
        <w:rPr>
          <w:rFonts w:hint="eastAsia" w:ascii="宋体" w:hAnsi="宋体"/>
          <w:color w:val="auto"/>
          <w:sz w:val="32"/>
          <w:szCs w:val="28"/>
        </w:rPr>
        <w:t>响应函</w:t>
      </w:r>
    </w:p>
    <w:p w14:paraId="13B98F07">
      <w:pPr>
        <w:pStyle w:val="21"/>
        <w:spacing w:line="360" w:lineRule="auto"/>
        <w:ind w:left="1155" w:leftChars="550"/>
        <w:rPr>
          <w:rFonts w:ascii="宋体" w:hAnsi="宋体"/>
          <w:color w:val="auto"/>
          <w:sz w:val="32"/>
          <w:szCs w:val="28"/>
        </w:rPr>
      </w:pPr>
      <w:r>
        <w:rPr>
          <w:rFonts w:hint="eastAsia" w:ascii="宋体" w:hAnsi="宋体"/>
          <w:color w:val="auto"/>
          <w:sz w:val="32"/>
          <w:szCs w:val="28"/>
        </w:rPr>
        <w:t xml:space="preserve">第二章 </w:t>
      </w:r>
      <w:r>
        <w:rPr>
          <w:rFonts w:ascii="宋体" w:hAnsi="宋体"/>
          <w:color w:val="auto"/>
          <w:sz w:val="32"/>
          <w:szCs w:val="28"/>
        </w:rPr>
        <w:t xml:space="preserve">  </w:t>
      </w:r>
      <w:r>
        <w:rPr>
          <w:rFonts w:hint="eastAsia" w:ascii="宋体" w:hAnsi="宋体"/>
          <w:color w:val="auto"/>
          <w:sz w:val="32"/>
          <w:szCs w:val="28"/>
        </w:rPr>
        <w:t>响应报价表</w:t>
      </w:r>
    </w:p>
    <w:p w14:paraId="32EB890F">
      <w:pPr>
        <w:pStyle w:val="21"/>
        <w:spacing w:line="360" w:lineRule="auto"/>
        <w:ind w:left="1155" w:leftChars="550"/>
        <w:rPr>
          <w:rFonts w:ascii="宋体" w:hAnsi="宋体"/>
          <w:color w:val="auto"/>
          <w:sz w:val="32"/>
          <w:szCs w:val="28"/>
        </w:rPr>
      </w:pPr>
      <w:r>
        <w:rPr>
          <w:rFonts w:hint="eastAsia" w:ascii="宋体" w:hAnsi="宋体"/>
          <w:color w:val="auto"/>
          <w:sz w:val="32"/>
          <w:szCs w:val="28"/>
        </w:rPr>
        <w:t xml:space="preserve">第三章  </w:t>
      </w:r>
      <w:r>
        <w:rPr>
          <w:rFonts w:ascii="宋体" w:hAnsi="宋体"/>
          <w:color w:val="auto"/>
          <w:sz w:val="32"/>
          <w:szCs w:val="28"/>
        </w:rPr>
        <w:t xml:space="preserve"> </w:t>
      </w:r>
      <w:r>
        <w:rPr>
          <w:rFonts w:hint="eastAsia" w:ascii="宋体" w:hAnsi="宋体"/>
          <w:color w:val="auto"/>
          <w:sz w:val="32"/>
          <w:szCs w:val="28"/>
        </w:rPr>
        <w:t>供应商资质证明文件</w:t>
      </w:r>
    </w:p>
    <w:p w14:paraId="59BC1DD1">
      <w:pPr>
        <w:pStyle w:val="21"/>
        <w:spacing w:line="360" w:lineRule="auto"/>
        <w:ind w:left="1155" w:leftChars="550"/>
        <w:rPr>
          <w:rFonts w:ascii="宋体" w:hAnsi="宋体"/>
          <w:color w:val="auto"/>
          <w:sz w:val="32"/>
          <w:szCs w:val="28"/>
        </w:rPr>
      </w:pPr>
      <w:r>
        <w:rPr>
          <w:rFonts w:hint="eastAsia" w:ascii="宋体" w:hAnsi="宋体"/>
          <w:color w:val="auto"/>
          <w:sz w:val="32"/>
          <w:szCs w:val="28"/>
        </w:rPr>
        <w:t xml:space="preserve">第四章   </w:t>
      </w:r>
      <w:r>
        <w:rPr>
          <w:rFonts w:hint="eastAsia" w:ascii="宋体" w:hAnsi="宋体"/>
          <w:color w:val="auto"/>
          <w:sz w:val="32"/>
          <w:szCs w:val="28"/>
          <w:lang w:val="en-US" w:eastAsia="zh-CN"/>
        </w:rPr>
        <w:t>商务</w:t>
      </w:r>
      <w:r>
        <w:rPr>
          <w:rFonts w:hint="eastAsia" w:ascii="宋体" w:hAnsi="宋体"/>
          <w:color w:val="auto"/>
          <w:sz w:val="32"/>
          <w:szCs w:val="28"/>
        </w:rPr>
        <w:t>偏离表</w:t>
      </w:r>
    </w:p>
    <w:p w14:paraId="790B5757">
      <w:pPr>
        <w:pStyle w:val="21"/>
        <w:spacing w:line="360" w:lineRule="auto"/>
        <w:ind w:left="1155" w:leftChars="550"/>
        <w:rPr>
          <w:rFonts w:ascii="宋体" w:hAnsi="宋体"/>
          <w:color w:val="auto"/>
          <w:sz w:val="32"/>
          <w:szCs w:val="28"/>
        </w:rPr>
      </w:pPr>
      <w:r>
        <w:rPr>
          <w:rFonts w:hint="eastAsia" w:ascii="宋体" w:hAnsi="宋体"/>
          <w:color w:val="auto"/>
          <w:sz w:val="32"/>
          <w:szCs w:val="28"/>
        </w:rPr>
        <w:t>第五章   投标方案</w:t>
      </w:r>
    </w:p>
    <w:p w14:paraId="5DD11E41">
      <w:pPr>
        <w:pStyle w:val="21"/>
        <w:spacing w:line="360" w:lineRule="auto"/>
        <w:ind w:left="1155" w:leftChars="550"/>
        <w:rPr>
          <w:rFonts w:ascii="宋体" w:hAnsi="宋体"/>
          <w:color w:val="auto"/>
          <w:sz w:val="32"/>
          <w:szCs w:val="28"/>
        </w:rPr>
      </w:pPr>
      <w:r>
        <w:rPr>
          <w:rFonts w:hint="eastAsia" w:ascii="宋体" w:hAnsi="宋体"/>
          <w:color w:val="auto"/>
          <w:sz w:val="32"/>
          <w:szCs w:val="28"/>
        </w:rPr>
        <w:t>第六章   供应商承诺书</w:t>
      </w:r>
    </w:p>
    <w:p w14:paraId="4F2DF861">
      <w:pPr>
        <w:pStyle w:val="21"/>
        <w:spacing w:line="360" w:lineRule="auto"/>
        <w:ind w:left="1155" w:leftChars="550"/>
        <w:rPr>
          <w:rFonts w:ascii="宋体" w:hAnsi="宋体"/>
          <w:sz w:val="32"/>
          <w:szCs w:val="28"/>
        </w:rPr>
      </w:pPr>
    </w:p>
    <w:p w14:paraId="6B5B3DC2">
      <w:pPr>
        <w:pStyle w:val="21"/>
        <w:spacing w:line="360" w:lineRule="auto"/>
        <w:ind w:left="1155" w:leftChars="550"/>
        <w:rPr>
          <w:rFonts w:ascii="宋体" w:hAnsi="宋体"/>
          <w:sz w:val="32"/>
          <w:szCs w:val="28"/>
        </w:rPr>
      </w:pPr>
      <w:r>
        <w:rPr>
          <w:rFonts w:hint="eastAsia" w:ascii="宋体" w:hAnsi="宋体"/>
          <w:sz w:val="32"/>
          <w:szCs w:val="28"/>
        </w:rPr>
        <w:t xml:space="preserve">   </w:t>
      </w:r>
    </w:p>
    <w:p w14:paraId="7581EFC5">
      <w:pPr>
        <w:pStyle w:val="21"/>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7EB33345">
      <w:pPr>
        <w:pStyle w:val="21"/>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4C4F55BC">
      <w:pPr>
        <w:pStyle w:val="21"/>
        <w:spacing w:line="360" w:lineRule="auto"/>
        <w:ind w:left="1155" w:leftChars="550"/>
        <w:rPr>
          <w:rFonts w:ascii="宋体" w:hAnsi="宋体"/>
          <w:sz w:val="32"/>
          <w:szCs w:val="28"/>
        </w:rPr>
      </w:pPr>
    </w:p>
    <w:p w14:paraId="02D43040">
      <w:pPr>
        <w:pStyle w:val="21"/>
        <w:spacing w:line="480" w:lineRule="auto"/>
        <w:ind w:left="945" w:leftChars="450"/>
      </w:pPr>
      <w:r>
        <w:rPr>
          <w:rFonts w:hint="eastAsia"/>
          <w:sz w:val="30"/>
          <w:szCs w:val="30"/>
        </w:rPr>
        <w:tab/>
      </w:r>
    </w:p>
    <w:p w14:paraId="68966ECB">
      <w:pPr>
        <w:pStyle w:val="4"/>
        <w:pageBreakBefore/>
        <w:rPr>
          <w:rFonts w:ascii="宋体" w:cs="Times New Roman"/>
        </w:rPr>
      </w:pPr>
      <w:bookmarkStart w:id="187" w:name="_Toc2536"/>
      <w:bookmarkStart w:id="188" w:name="_Toc536202324"/>
      <w:bookmarkStart w:id="189" w:name="_Toc10356"/>
      <w:bookmarkStart w:id="190" w:name="_Toc536429386"/>
      <w:bookmarkStart w:id="191" w:name="_Toc536202393"/>
      <w:bookmarkStart w:id="192" w:name="_Toc536429333"/>
      <w:bookmarkStart w:id="193" w:name="_Toc19543349"/>
      <w:r>
        <w:rPr>
          <w:rFonts w:hint="eastAsia" w:ascii="宋体" w:hAnsi="宋体" w:cs="宋体"/>
        </w:rPr>
        <w:t>第一</w:t>
      </w:r>
      <w:bookmarkEnd w:id="187"/>
      <w:r>
        <w:rPr>
          <w:rFonts w:hint="eastAsia" w:ascii="宋体" w:hAnsi="宋体" w:cs="宋体"/>
        </w:rPr>
        <w:t>章</w:t>
      </w:r>
      <w:r>
        <w:rPr>
          <w:rFonts w:ascii="宋体" w:hAnsi="宋体" w:cs="宋体"/>
        </w:rPr>
        <w:t xml:space="preserve">  </w:t>
      </w:r>
      <w:r>
        <w:rPr>
          <w:rFonts w:hint="eastAsia" w:ascii="宋体" w:hAnsi="宋体" w:cs="宋体"/>
        </w:rPr>
        <w:t>响应函</w:t>
      </w:r>
      <w:bookmarkEnd w:id="188"/>
      <w:bookmarkEnd w:id="189"/>
      <w:bookmarkEnd w:id="190"/>
      <w:bookmarkEnd w:id="191"/>
      <w:bookmarkEnd w:id="192"/>
      <w:bookmarkEnd w:id="193"/>
    </w:p>
    <w:p w14:paraId="67D06513">
      <w:pPr>
        <w:adjustRightInd w:val="0"/>
        <w:snapToGrid w:val="0"/>
        <w:spacing w:line="480" w:lineRule="exact"/>
        <w:jc w:val="left"/>
        <w:rPr>
          <w:rFonts w:ascii="宋体" w:cs="Times New Roman"/>
          <w:sz w:val="24"/>
          <w:szCs w:val="24"/>
        </w:rPr>
      </w:pPr>
      <w:r>
        <w:rPr>
          <w:rFonts w:hint="eastAsia" w:ascii="宋体" w:hAnsi="宋体" w:cs="宋体"/>
          <w:sz w:val="24"/>
          <w:szCs w:val="24"/>
        </w:rPr>
        <w:t>安康尚昊招标代理有限公司：</w:t>
      </w:r>
    </w:p>
    <w:p w14:paraId="22F09C38">
      <w:pPr>
        <w:adjustRightInd w:val="0"/>
        <w:snapToGrid w:val="0"/>
        <w:spacing w:line="480" w:lineRule="exact"/>
        <w:ind w:firstLine="480" w:firstLineChars="200"/>
        <w:jc w:val="left"/>
        <w:rPr>
          <w:rFonts w:ascii="宋体" w:cs="Times New Roman"/>
          <w:sz w:val="24"/>
          <w:szCs w:val="24"/>
        </w:rPr>
      </w:pPr>
      <w:r>
        <w:rPr>
          <w:rFonts w:hint="eastAsia" w:ascii="宋体" w:hAnsi="宋体"/>
          <w:sz w:val="24"/>
          <w:szCs w:val="24"/>
        </w:rPr>
        <w:t>我单位收到贵公司</w:t>
      </w:r>
      <w:r>
        <w:rPr>
          <w:rFonts w:hint="eastAsia" w:ascii="宋体" w:hAnsi="宋体"/>
          <w:sz w:val="24"/>
          <w:szCs w:val="24"/>
          <w:u w:val="single"/>
        </w:rPr>
        <w:t xml:space="preserve">  （项目名称） （项目编号）</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cs="宋体"/>
          <w:sz w:val="24"/>
          <w:szCs w:val="24"/>
        </w:rPr>
        <w:t>竞争性磋商文件，经详细研究，我公司决定参加本次磋商活动。为此，我方郑重承诺以下诸点，并负法律责任。</w:t>
      </w:r>
    </w:p>
    <w:p w14:paraId="6E8C85FF">
      <w:pPr>
        <w:adjustRightInd w:val="0"/>
        <w:snapToGrid w:val="0"/>
        <w:spacing w:line="480" w:lineRule="exact"/>
        <w:ind w:firstLine="480" w:firstLineChars="200"/>
        <w:jc w:val="left"/>
        <w:rPr>
          <w:rFonts w:ascii="宋体" w:cs="Times New Roman"/>
          <w:sz w:val="24"/>
          <w:szCs w:val="24"/>
        </w:rPr>
      </w:pPr>
      <w:r>
        <w:rPr>
          <w:rFonts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愿意按照竞争性磋商文件中的全部要求，提供合格的产品及完善的技术服务，履行合同的责任和义务。</w:t>
      </w:r>
    </w:p>
    <w:p w14:paraId="3643B321">
      <w:pPr>
        <w:spacing w:line="480" w:lineRule="exact"/>
        <w:ind w:firstLine="480" w:firstLineChars="200"/>
        <w:rPr>
          <w:rFonts w:hint="eastAsia" w:ascii="宋体" w:hAnsi="宋体" w:cs="宋体"/>
          <w:sz w:val="24"/>
          <w:szCs w:val="24"/>
        </w:rPr>
      </w:pPr>
      <w:r>
        <w:rPr>
          <w:rFonts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按照竞争性磋商文件的规定，我公司的响应</w:t>
      </w:r>
      <w:r>
        <w:rPr>
          <w:rFonts w:hint="eastAsia" w:ascii="宋体" w:hAnsi="宋体" w:cs="宋体"/>
          <w:sz w:val="24"/>
          <w:szCs w:val="24"/>
          <w:lang w:val="en-US" w:eastAsia="zh-CN"/>
        </w:rPr>
        <w:t>投标总价</w:t>
      </w:r>
      <w:r>
        <w:rPr>
          <w:rFonts w:hint="eastAsia" w:ascii="宋体" w:hAnsi="宋体" w:cs="宋体"/>
          <w:sz w:val="24"/>
          <w:szCs w:val="24"/>
        </w:rPr>
        <w:t>为：</w:t>
      </w:r>
    </w:p>
    <w:p w14:paraId="44EAA80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eastAsia="宋体"/>
          <w:lang w:val="en-US" w:eastAsia="zh-CN"/>
        </w:rPr>
      </w:pPr>
      <w:r>
        <w:rPr>
          <w:rFonts w:hint="eastAsia" w:ascii="宋体" w:hAnsi="宋体" w:cs="宋体"/>
          <w:sz w:val="24"/>
          <w:szCs w:val="24"/>
        </w:rPr>
        <w:t>人民币（大写）：______________元；（小写）￥：______元；</w:t>
      </w:r>
    </w:p>
    <w:p w14:paraId="3B20CF5B">
      <w:pPr>
        <w:adjustRightInd w:val="0"/>
        <w:snapToGrid w:val="0"/>
        <w:spacing w:line="480" w:lineRule="exact"/>
        <w:ind w:firstLine="480" w:firstLineChars="200"/>
        <w:jc w:val="left"/>
        <w:rPr>
          <w:rFonts w:ascii="宋体" w:hAnsi="宋体" w:cs="宋体"/>
          <w:sz w:val="24"/>
          <w:szCs w:val="24"/>
        </w:rPr>
      </w:pPr>
      <w:r>
        <w:rPr>
          <w:rFonts w:ascii="宋体" w:hAnsi="宋体" w:cs="宋体"/>
          <w:sz w:val="24"/>
          <w:szCs w:val="24"/>
        </w:rPr>
        <w:t>3</w:t>
      </w:r>
      <w:r>
        <w:rPr>
          <w:rFonts w:hint="eastAsia" w:ascii="宋体" w:hAnsi="宋体" w:cs="宋体"/>
          <w:sz w:val="24"/>
          <w:szCs w:val="24"/>
          <w:lang w:val="en-US" w:eastAsia="zh-CN"/>
        </w:rPr>
        <w:t>.</w:t>
      </w:r>
      <w:r>
        <w:rPr>
          <w:rFonts w:hint="eastAsia" w:ascii="宋体" w:hAnsi="宋体" w:cs="宋体"/>
          <w:sz w:val="24"/>
          <w:szCs w:val="24"/>
        </w:rPr>
        <w:t>我方提交的响应文件正本</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份，电子文件</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w:t>
      </w:r>
    </w:p>
    <w:p w14:paraId="700F0A16">
      <w:pPr>
        <w:adjustRightInd w:val="0"/>
        <w:snapToGrid w:val="0"/>
        <w:spacing w:line="480" w:lineRule="exact"/>
        <w:ind w:firstLine="480" w:firstLineChars="200"/>
        <w:jc w:val="left"/>
        <w:rPr>
          <w:rFonts w:ascii="宋体" w:cs="Times New Roman"/>
          <w:sz w:val="24"/>
          <w:szCs w:val="24"/>
        </w:rPr>
      </w:pPr>
      <w:r>
        <w:rPr>
          <w:rFonts w:ascii="宋体" w:hAnsi="宋体" w:cs="宋体"/>
          <w:sz w:val="24"/>
          <w:szCs w:val="24"/>
        </w:rPr>
        <w:t>4</w:t>
      </w:r>
      <w:r>
        <w:rPr>
          <w:rFonts w:hint="eastAsia" w:ascii="宋体" w:hAnsi="宋体" w:cs="宋体"/>
          <w:sz w:val="24"/>
          <w:szCs w:val="24"/>
          <w:lang w:val="en-US" w:eastAsia="zh-CN"/>
        </w:rPr>
        <w:t>.</w:t>
      </w:r>
      <w:r>
        <w:rPr>
          <w:rFonts w:hint="eastAsia" w:ascii="宋体" w:hAnsi="宋体" w:cs="宋体"/>
          <w:sz w:val="24"/>
          <w:szCs w:val="24"/>
        </w:rPr>
        <w:t>我们已详细阅读了竞争性磋商文件，完全理解并同意放弃提出含糊不清和误解问题的权力。</w:t>
      </w:r>
    </w:p>
    <w:p w14:paraId="297F2A41">
      <w:pPr>
        <w:adjustRightInd w:val="0"/>
        <w:snapToGrid w:val="0"/>
        <w:spacing w:line="480" w:lineRule="exact"/>
        <w:ind w:firstLine="480" w:firstLineChars="200"/>
        <w:jc w:val="left"/>
        <w:rPr>
          <w:rFonts w:ascii="宋体" w:cs="Times New Roman"/>
          <w:color w:val="FF0000"/>
          <w:sz w:val="24"/>
          <w:szCs w:val="24"/>
        </w:rPr>
      </w:pPr>
      <w:r>
        <w:rPr>
          <w:rFonts w:ascii="宋体" w:hAnsi="宋体" w:cs="宋体"/>
          <w:sz w:val="24"/>
          <w:szCs w:val="24"/>
        </w:rPr>
        <w:t>5</w:t>
      </w:r>
      <w:r>
        <w:rPr>
          <w:rFonts w:hint="eastAsia" w:ascii="宋体" w:hAnsi="宋体" w:cs="宋体"/>
          <w:sz w:val="24"/>
          <w:szCs w:val="24"/>
          <w:lang w:val="en-US" w:eastAsia="zh-CN"/>
        </w:rPr>
        <w:t>.</w:t>
      </w:r>
      <w:r>
        <w:rPr>
          <w:rFonts w:hint="eastAsia" w:ascii="宋体" w:hAnsi="宋体" w:cs="宋体"/>
          <w:sz w:val="24"/>
          <w:szCs w:val="24"/>
        </w:rPr>
        <w:t>如果我方在磋商后到规定的响应有效期内撤回响应文件及承诺，</w:t>
      </w:r>
      <w:r>
        <w:rPr>
          <w:rFonts w:hint="eastAsia" w:ascii="宋体" w:hAnsi="宋体" w:cs="宋体"/>
          <w:color w:val="auto"/>
          <w:sz w:val="24"/>
          <w:szCs w:val="24"/>
        </w:rPr>
        <w:t>我们</w:t>
      </w:r>
      <w:r>
        <w:rPr>
          <w:rFonts w:hint="eastAsia" w:ascii="宋体" w:hAnsi="宋体" w:cs="宋体"/>
          <w:color w:val="auto"/>
          <w:sz w:val="24"/>
          <w:szCs w:val="24"/>
          <w:lang w:val="en-US" w:eastAsia="zh-CN"/>
        </w:rPr>
        <w:t>将承担相关法律责任</w:t>
      </w:r>
      <w:r>
        <w:rPr>
          <w:rFonts w:hint="eastAsia" w:ascii="宋体" w:hAnsi="宋体" w:cs="宋体"/>
          <w:color w:val="auto"/>
          <w:sz w:val="24"/>
          <w:szCs w:val="24"/>
        </w:rPr>
        <w:t>。</w:t>
      </w:r>
    </w:p>
    <w:p w14:paraId="7BB844E7">
      <w:pPr>
        <w:adjustRightInd w:val="0"/>
        <w:snapToGrid w:val="0"/>
        <w:spacing w:line="480" w:lineRule="exact"/>
        <w:ind w:firstLine="480" w:firstLineChars="200"/>
        <w:jc w:val="left"/>
        <w:rPr>
          <w:rFonts w:ascii="宋体" w:cs="Times New Roman"/>
          <w:sz w:val="24"/>
          <w:szCs w:val="24"/>
        </w:rPr>
      </w:pPr>
      <w:r>
        <w:rPr>
          <w:rFonts w:ascii="宋体" w:hAnsi="宋体" w:cs="宋体"/>
          <w:sz w:val="24"/>
          <w:szCs w:val="24"/>
        </w:rPr>
        <w:t>6</w:t>
      </w:r>
      <w:r>
        <w:rPr>
          <w:rFonts w:hint="eastAsia" w:ascii="宋体" w:hAnsi="宋体" w:cs="宋体"/>
          <w:sz w:val="24"/>
          <w:szCs w:val="24"/>
          <w:lang w:val="en-US" w:eastAsia="zh-CN"/>
        </w:rPr>
        <w:t>.</w:t>
      </w:r>
      <w:r>
        <w:rPr>
          <w:rFonts w:hint="eastAsia" w:ascii="宋体" w:hAnsi="宋体" w:cs="宋体"/>
          <w:sz w:val="24"/>
          <w:szCs w:val="24"/>
        </w:rPr>
        <w:t>同意向贵方提供贵方可能要求的、与本次磋商有关的任何证据资料。</w:t>
      </w:r>
    </w:p>
    <w:p w14:paraId="74C59BC1">
      <w:pPr>
        <w:adjustRightInd w:val="0"/>
        <w:snapToGrid w:val="0"/>
        <w:spacing w:line="480" w:lineRule="exact"/>
        <w:ind w:firstLine="480" w:firstLineChars="200"/>
        <w:jc w:val="left"/>
        <w:rPr>
          <w:rFonts w:ascii="宋体" w:cs="Times New Roman"/>
          <w:sz w:val="24"/>
          <w:szCs w:val="24"/>
        </w:rPr>
      </w:pPr>
      <w:r>
        <w:rPr>
          <w:rFonts w:ascii="宋体" w:hAnsi="宋体" w:cs="宋体"/>
          <w:sz w:val="24"/>
          <w:szCs w:val="24"/>
        </w:rPr>
        <w:t>7</w:t>
      </w:r>
      <w:r>
        <w:rPr>
          <w:rFonts w:hint="eastAsia" w:ascii="宋体" w:hAnsi="宋体" w:cs="宋体"/>
          <w:sz w:val="24"/>
          <w:szCs w:val="24"/>
          <w:lang w:val="en-US" w:eastAsia="zh-CN"/>
        </w:rPr>
        <w:t>.</w:t>
      </w:r>
      <w:r>
        <w:rPr>
          <w:rFonts w:hint="eastAsia" w:ascii="宋体" w:hAnsi="宋体" w:cs="宋体"/>
          <w:sz w:val="24"/>
          <w:szCs w:val="24"/>
        </w:rPr>
        <w:t>我方承诺响应有效期为磋商后______日历日内有效。</w:t>
      </w:r>
    </w:p>
    <w:p w14:paraId="35B24E68">
      <w:pPr>
        <w:adjustRightInd w:val="0"/>
        <w:snapToGrid w:val="0"/>
        <w:spacing w:line="480" w:lineRule="exact"/>
        <w:ind w:firstLine="480" w:firstLineChars="200"/>
        <w:jc w:val="left"/>
        <w:rPr>
          <w:rFonts w:ascii="宋体" w:cs="Times New Roman"/>
          <w:sz w:val="24"/>
          <w:szCs w:val="24"/>
        </w:rPr>
      </w:pPr>
      <w:r>
        <w:rPr>
          <w:rFonts w:ascii="宋体" w:hAnsi="宋体" w:cs="宋体"/>
          <w:sz w:val="24"/>
          <w:szCs w:val="24"/>
        </w:rPr>
        <w:t>8</w:t>
      </w:r>
      <w:r>
        <w:rPr>
          <w:rFonts w:hint="eastAsia" w:ascii="宋体" w:hAnsi="宋体" w:cs="宋体"/>
          <w:sz w:val="24"/>
          <w:szCs w:val="24"/>
          <w:lang w:val="en-US" w:eastAsia="zh-CN"/>
        </w:rPr>
        <w:t>.</w:t>
      </w:r>
      <w:r>
        <w:rPr>
          <w:rFonts w:hint="eastAsia" w:ascii="宋体" w:hAnsi="宋体" w:cs="宋体"/>
          <w:sz w:val="24"/>
          <w:szCs w:val="24"/>
        </w:rPr>
        <w:t>所有关于本次磋商的函电，请按下列地址联系：</w:t>
      </w:r>
    </w:p>
    <w:p w14:paraId="29C70D8E">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供应商（单位名称及公章）：_____________________</w:t>
      </w:r>
    </w:p>
    <w:p w14:paraId="32378EE4">
      <w:pPr>
        <w:adjustRightInd w:val="0"/>
        <w:snapToGrid w:val="0"/>
        <w:spacing w:line="480" w:lineRule="exact"/>
        <w:ind w:firstLine="480" w:firstLineChars="200"/>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w:t>
      </w:r>
    </w:p>
    <w:p w14:paraId="32CD3D6A">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址：___________________________________</w:t>
      </w:r>
    </w:p>
    <w:p w14:paraId="2F654582">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开户银行：___________________________________</w:t>
      </w:r>
    </w:p>
    <w:p w14:paraId="3C03505C">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帐</w:t>
      </w:r>
      <w:r>
        <w:rPr>
          <w:rFonts w:ascii="宋体" w:hAnsi="宋体" w:cs="宋体"/>
          <w:sz w:val="24"/>
          <w:szCs w:val="24"/>
        </w:rPr>
        <w:t xml:space="preserve">    </w:t>
      </w:r>
      <w:r>
        <w:rPr>
          <w:rFonts w:hint="eastAsia" w:ascii="宋体" w:hAnsi="宋体" w:cs="宋体"/>
          <w:sz w:val="24"/>
          <w:szCs w:val="24"/>
        </w:rPr>
        <w:t>号：___________________________________</w:t>
      </w:r>
    </w:p>
    <w:p w14:paraId="0974CF88">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话：___________________________________</w:t>
      </w:r>
    </w:p>
    <w:p w14:paraId="55D25BD4">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编：___________________________________</w:t>
      </w:r>
    </w:p>
    <w:p w14:paraId="70BA05F1">
      <w:pPr>
        <w:adjustRightInd w:val="0"/>
        <w:snapToGrid w:val="0"/>
        <w:spacing w:line="480" w:lineRule="exact"/>
        <w:ind w:firstLine="480" w:firstLineChars="200"/>
        <w:rPr>
          <w:rFonts w:ascii="宋体" w:cs="Times New Roman"/>
          <w:sz w:val="24"/>
          <w:szCs w:val="24"/>
        </w:rPr>
        <w:sectPr>
          <w:headerReference r:id="rId20" w:type="default"/>
          <w:footerReference r:id="rId21" w:type="default"/>
          <w:pgSz w:w="11906" w:h="16838"/>
          <w:pgMar w:top="1417" w:right="1417" w:bottom="1417" w:left="1417" w:header="992" w:footer="992" w:gutter="0"/>
          <w:pgNumType w:fmt="decimal"/>
          <w:cols w:space="0" w:num="1"/>
          <w:titlePg/>
          <w:rtlGutter w:val="0"/>
          <w:docGrid w:type="lines" w:linePitch="333"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bookmarkStart w:id="194" w:name="_Toc28494"/>
    </w:p>
    <w:p w14:paraId="1A714E06">
      <w:pPr>
        <w:pStyle w:val="4"/>
        <w:pageBreakBefore/>
        <w:rPr>
          <w:rFonts w:ascii="宋体" w:hAnsi="宋体" w:cs="宋体"/>
        </w:rPr>
      </w:pPr>
      <w:bookmarkStart w:id="195" w:name="_Toc30983"/>
      <w:bookmarkStart w:id="196" w:name="_Toc536429387"/>
      <w:bookmarkStart w:id="197" w:name="_Toc536202325"/>
      <w:bookmarkStart w:id="198" w:name="_Toc536429334"/>
      <w:bookmarkStart w:id="199" w:name="_Toc536202394"/>
      <w:bookmarkStart w:id="200" w:name="_Toc19543350"/>
      <w:r>
        <w:rPr>
          <w:rFonts w:hint="eastAsia" w:ascii="宋体" w:hAnsi="宋体" w:cs="宋体"/>
        </w:rPr>
        <w:t>第二</w:t>
      </w:r>
      <w:bookmarkEnd w:id="194"/>
      <w:r>
        <w:rPr>
          <w:rFonts w:hint="eastAsia" w:ascii="宋体" w:hAnsi="宋体" w:cs="宋体"/>
        </w:rPr>
        <w:t>章</w:t>
      </w:r>
      <w:r>
        <w:rPr>
          <w:rFonts w:ascii="宋体" w:hAnsi="宋体" w:cs="宋体"/>
        </w:rPr>
        <w:t xml:space="preserve">  </w:t>
      </w:r>
      <w:bookmarkEnd w:id="195"/>
      <w:r>
        <w:rPr>
          <w:rFonts w:hint="eastAsia" w:ascii="宋体" w:hAnsi="宋体" w:cs="宋体"/>
        </w:rPr>
        <w:t>响应报价表</w:t>
      </w:r>
      <w:bookmarkEnd w:id="196"/>
      <w:bookmarkEnd w:id="197"/>
      <w:bookmarkEnd w:id="198"/>
      <w:bookmarkEnd w:id="199"/>
      <w:bookmarkEnd w:id="200"/>
    </w:p>
    <w:p w14:paraId="06528E6D">
      <w:pPr>
        <w:rPr>
          <w:rFonts w:cs="Times New Roman" w:asciiTheme="minorEastAsia" w:hAnsiTheme="minorEastAsia" w:eastAsiaTheme="minorEastAsia"/>
          <w:sz w:val="28"/>
          <w:szCs w:val="28"/>
        </w:rPr>
      </w:pPr>
      <w:bookmarkStart w:id="201" w:name="_Toc536202395"/>
      <w:bookmarkStart w:id="202" w:name="_Toc536202326"/>
      <w:bookmarkStart w:id="203" w:name="_Toc536429335"/>
      <w:bookmarkStart w:id="204" w:name="_Toc536429388"/>
      <w:r>
        <w:rPr>
          <w:rFonts w:hint="eastAsia" w:cs="Times New Roman" w:asciiTheme="minorEastAsia" w:hAnsiTheme="minorEastAsia" w:eastAsiaTheme="minorEastAsia"/>
          <w:sz w:val="28"/>
          <w:szCs w:val="28"/>
        </w:rPr>
        <w:t>供应商名称：</w:t>
      </w:r>
      <w:bookmarkEnd w:id="201"/>
      <w:bookmarkEnd w:id="202"/>
      <w:bookmarkEnd w:id="203"/>
      <w:bookmarkEnd w:id="204"/>
      <w:r>
        <w:rPr>
          <w:rFonts w:hint="eastAsia" w:cs="Times New Roman" w:asciiTheme="minorEastAsia" w:hAnsiTheme="minorEastAsia" w:eastAsiaTheme="minorEastAsia"/>
          <w:sz w:val="28"/>
          <w:szCs w:val="28"/>
        </w:rPr>
        <w:t xml:space="preserve">                                        </w:t>
      </w:r>
    </w:p>
    <w:p w14:paraId="7E6B6486">
      <w:pPr>
        <w:kinsoku w:val="0"/>
        <w:spacing w:line="360" w:lineRule="auto"/>
        <w:jc w:val="left"/>
        <w:rPr>
          <w:rFonts w:ascii="宋体" w:cs="Times New Roman"/>
          <w:sz w:val="24"/>
          <w:szCs w:val="24"/>
        </w:rPr>
      </w:pPr>
      <w:r>
        <w:rPr>
          <w:rFonts w:hint="eastAsia" w:cs="Times New Roman" w:asciiTheme="minorEastAsia" w:hAnsiTheme="minorEastAsia" w:eastAsiaTheme="minorEastAsia"/>
          <w:sz w:val="28"/>
          <w:szCs w:val="28"/>
        </w:rPr>
        <w:t xml:space="preserve">项目名称：                                          </w:t>
      </w:r>
      <w:r>
        <w:rPr>
          <w:rFonts w:hint="eastAsia" w:cs="Times New Roman" w:asciiTheme="minorEastAsia" w:hAnsiTheme="minorEastAsia" w:eastAsiaTheme="minorEastAsia"/>
          <w:sz w:val="28"/>
          <w:szCs w:val="28"/>
          <w:lang w:val="en-US" w:eastAsia="zh-CN"/>
        </w:rPr>
        <w:t>单位：元</w:t>
      </w:r>
      <w:r>
        <w:rPr>
          <w:rFonts w:hint="eastAsia" w:cs="Times New Roman" w:asciiTheme="minorEastAsia" w:hAnsiTheme="minorEastAsia" w:eastAsiaTheme="minorEastAsia"/>
          <w:sz w:val="28"/>
          <w:szCs w:val="28"/>
        </w:rPr>
        <w:t xml:space="preserve">  </w:t>
      </w:r>
    </w:p>
    <w:tbl>
      <w:tblPr>
        <w:tblStyle w:val="35"/>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1817"/>
        <w:gridCol w:w="1635"/>
        <w:gridCol w:w="1640"/>
        <w:gridCol w:w="1653"/>
      </w:tblGrid>
      <w:tr w14:paraId="11C2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2845" w:type="dxa"/>
            <w:tcBorders>
              <w:tl2br w:val="single" w:color="auto" w:sz="4" w:space="0"/>
            </w:tcBorders>
          </w:tcPr>
          <w:p w14:paraId="75696478">
            <w:pPr>
              <w:keepNext w:val="0"/>
              <w:keepLines w:val="0"/>
              <w:suppressLineNumbers w:val="0"/>
              <w:tabs>
                <w:tab w:val="left" w:pos="1091"/>
              </w:tabs>
              <w:kinsoku w:val="0"/>
              <w:spacing w:before="0" w:beforeAutospacing="0" w:after="0" w:afterAutospacing="0" w:line="500" w:lineRule="exact"/>
              <w:ind w:left="0" w:right="0" w:firstLine="1200" w:firstLineChars="500"/>
              <w:rPr>
                <w:rFonts w:hint="default" w:ascii="宋体" w:hAnsi="宋体" w:cs="Times New Roman"/>
                <w:sz w:val="24"/>
                <w:szCs w:val="24"/>
              </w:rPr>
            </w:pPr>
            <w:r>
              <w:rPr>
                <w:rFonts w:hint="eastAsia" w:ascii="宋体" w:hAnsi="宋体" w:cs="Times New Roman"/>
                <w:sz w:val="24"/>
                <w:szCs w:val="24"/>
                <w:lang w:eastAsia="zh-CN"/>
              </w:rPr>
              <w:tab/>
            </w:r>
            <w:r>
              <w:rPr>
                <w:rFonts w:hint="eastAsia" w:ascii="宋体" w:hAnsi="宋体" w:cs="Times New Roman"/>
                <w:sz w:val="24"/>
                <w:szCs w:val="24"/>
                <w:lang w:val="en-US" w:eastAsia="zh-CN"/>
              </w:rPr>
              <w:t xml:space="preserve">   </w:t>
            </w:r>
            <w:r>
              <w:rPr>
                <w:rFonts w:hint="eastAsia" w:ascii="宋体" w:hAnsi="宋体" w:cs="Times New Roman"/>
                <w:sz w:val="24"/>
                <w:szCs w:val="24"/>
              </w:rPr>
              <w:t>报价内容</w:t>
            </w:r>
          </w:p>
          <w:p w14:paraId="20B11901">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0BD46FB7">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12D52237">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6951809B">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sz w:val="24"/>
                <w:szCs w:val="24"/>
              </w:rPr>
              <w:t>投标内容</w:t>
            </w:r>
          </w:p>
        </w:tc>
        <w:tc>
          <w:tcPr>
            <w:tcW w:w="1817" w:type="dxa"/>
            <w:vAlign w:val="center"/>
          </w:tcPr>
          <w:p w14:paraId="1DF86547">
            <w:pPr>
              <w:keepNext w:val="0"/>
              <w:keepLines w:val="0"/>
              <w:suppressLineNumbers w:val="0"/>
              <w:kinsoku w:val="0"/>
              <w:spacing w:before="0" w:beforeAutospacing="0" w:after="0" w:afterAutospacing="0" w:line="500" w:lineRule="exact"/>
              <w:ind w:left="0" w:right="0"/>
              <w:jc w:val="center"/>
              <w:rPr>
                <w:rFonts w:hint="eastAsia" w:ascii="宋体" w:hAnsi="宋体" w:cs="Times New Roman"/>
                <w:color w:val="000000" w:themeColor="text1"/>
                <w:sz w:val="24"/>
                <w:szCs w:val="24"/>
                <w:lang w:eastAsia="zh-CN"/>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总报价</w:t>
            </w:r>
          </w:p>
          <w:p w14:paraId="6B79A9D9">
            <w:pPr>
              <w:keepNext w:val="0"/>
              <w:keepLines w:val="0"/>
              <w:suppressLineNumbers w:val="0"/>
              <w:kinsoku w:val="0"/>
              <w:spacing w:before="0" w:beforeAutospacing="0" w:after="0" w:afterAutospacing="0" w:line="500" w:lineRule="exact"/>
              <w:ind w:left="0" w:right="0"/>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元</w:t>
            </w:r>
            <w:r>
              <w:rPr>
                <w:rFonts w:hint="eastAsia" w:ascii="宋体" w:hAnsi="宋体" w:cs="Times New Roman"/>
                <w:color w:val="000000" w:themeColor="text1"/>
                <w:sz w:val="24"/>
                <w:szCs w:val="24"/>
                <w:lang w:eastAsia="zh-CN"/>
                <w14:textFill>
                  <w14:solidFill>
                    <w14:schemeClr w14:val="tx1"/>
                  </w14:solidFill>
                </w14:textFill>
              </w:rPr>
              <w:t>）</w:t>
            </w:r>
          </w:p>
        </w:tc>
        <w:tc>
          <w:tcPr>
            <w:tcW w:w="1635" w:type="dxa"/>
            <w:vAlign w:val="center"/>
          </w:tcPr>
          <w:p w14:paraId="13F6073F">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工期</w:t>
            </w:r>
          </w:p>
          <w:p w14:paraId="6A5F29C6">
            <w:pPr>
              <w:keepNext w:val="0"/>
              <w:keepLines w:val="0"/>
              <w:suppressLineNumbers w:val="0"/>
              <w:kinsoku w:val="0"/>
              <w:spacing w:before="0" w:beforeAutospacing="0" w:after="0" w:afterAutospacing="0" w:line="500" w:lineRule="exact"/>
              <w:ind w:left="0" w:right="0" w:firstLine="141" w:firstLineChars="59"/>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（日历天）</w:t>
            </w:r>
          </w:p>
        </w:tc>
        <w:tc>
          <w:tcPr>
            <w:tcW w:w="1640" w:type="dxa"/>
            <w:vAlign w:val="center"/>
          </w:tcPr>
          <w:p w14:paraId="2B194AF5">
            <w:pPr>
              <w:pStyle w:val="47"/>
              <w:keepNext w:val="0"/>
              <w:keepLines w:val="0"/>
              <w:suppressLineNumbers w:val="0"/>
              <w:spacing w:before="0" w:beforeAutospacing="0" w:after="0" w:afterAutospacing="0"/>
              <w:ind w:left="0" w:leftChars="0" w:right="0" w:firstLine="0" w:firstLineChars="0"/>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Calibri" w:hAnsi="宋体" w:eastAsia="宋体" w:cs="Calibri"/>
                <w:bCs/>
                <w:kern w:val="2"/>
                <w:sz w:val="24"/>
                <w:szCs w:val="21"/>
                <w:lang w:val="en-US" w:eastAsia="zh-CN" w:bidi="ar-SA"/>
              </w:rPr>
              <w:t>质保期</w:t>
            </w:r>
          </w:p>
        </w:tc>
        <w:tc>
          <w:tcPr>
            <w:tcW w:w="1653" w:type="dxa"/>
            <w:vAlign w:val="center"/>
          </w:tcPr>
          <w:p w14:paraId="0C852E04">
            <w:pPr>
              <w:keepNext w:val="0"/>
              <w:keepLines w:val="0"/>
              <w:suppressLineNumbers w:val="0"/>
              <w:spacing w:before="0" w:beforeAutospacing="0" w:after="0" w:afterAutospacing="0" w:line="560" w:lineRule="exact"/>
              <w:ind w:left="0" w:right="0"/>
              <w:jc w:val="center"/>
              <w:rPr>
                <w:rFonts w:hint="eastAsia" w:ascii="宋体" w:hAnsi="宋体" w:cs="Times New Roman"/>
                <w:sz w:val="24"/>
                <w:szCs w:val="24"/>
              </w:rPr>
            </w:pPr>
            <w:r>
              <w:rPr>
                <w:rFonts w:hint="eastAsia" w:ascii="Calibri" w:hAnsi="宋体" w:eastAsia="宋体" w:cs="Calibri"/>
                <w:bCs/>
                <w:kern w:val="2"/>
                <w:sz w:val="24"/>
                <w:szCs w:val="21"/>
                <w:lang w:val="en-US" w:eastAsia="zh-CN" w:bidi="ar-SA"/>
              </w:rPr>
              <w:t>质量等级</w:t>
            </w:r>
          </w:p>
        </w:tc>
      </w:tr>
      <w:tr w14:paraId="681A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845" w:type="dxa"/>
            <w:vAlign w:val="center"/>
          </w:tcPr>
          <w:p w14:paraId="264DAAD1">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1817" w:type="dxa"/>
            <w:vAlign w:val="center"/>
          </w:tcPr>
          <w:p w14:paraId="1287DA4C">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tc>
        <w:tc>
          <w:tcPr>
            <w:tcW w:w="1635" w:type="dxa"/>
            <w:vAlign w:val="center"/>
          </w:tcPr>
          <w:p w14:paraId="4A763F81">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1640" w:type="dxa"/>
            <w:vAlign w:val="center"/>
          </w:tcPr>
          <w:p w14:paraId="4C58D1E7">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1653" w:type="dxa"/>
            <w:vAlign w:val="center"/>
          </w:tcPr>
          <w:p w14:paraId="1A18A15E">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r>
      <w:tr w14:paraId="659E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590" w:type="dxa"/>
            <w:gridSpan w:val="5"/>
            <w:vAlign w:val="center"/>
          </w:tcPr>
          <w:p w14:paraId="353A1B63">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报</w:t>
            </w:r>
            <w:r>
              <w:rPr>
                <w:rFonts w:hint="eastAsia" w:ascii="宋体" w:hAnsi="宋体" w:cs="Times New Roman"/>
                <w:color w:val="000000" w:themeColor="text1"/>
                <w:sz w:val="24"/>
                <w:szCs w:val="24"/>
                <w:lang w:eastAsia="zh-CN"/>
                <w14:textFill>
                  <w14:solidFill>
                    <w14:schemeClr w14:val="tx1"/>
                  </w14:solidFill>
                </w14:textFill>
              </w:rPr>
              <w:t>价</w:t>
            </w:r>
            <w:r>
              <w:rPr>
                <w:rFonts w:hint="eastAsia" w:ascii="宋体" w:hAnsi="宋体" w:cs="Times New Roman"/>
                <w:color w:val="000000" w:themeColor="text1"/>
                <w:sz w:val="24"/>
                <w:szCs w:val="24"/>
                <w14:textFill>
                  <w14:solidFill>
                    <w14:schemeClr w14:val="tx1"/>
                  </w14:solidFill>
                </w14:textFill>
              </w:rPr>
              <w:t xml:space="preserve">：（大写） </w:t>
            </w:r>
            <w:r>
              <w:rPr>
                <w:rFonts w:hint="eastAsia" w:ascii="宋体" w:hAnsi="宋体" w:cs="Times New Roman"/>
                <w:color w:val="FF0000"/>
                <w:sz w:val="24"/>
                <w:szCs w:val="24"/>
              </w:rPr>
              <w:t xml:space="preserve">  </w:t>
            </w:r>
            <w:r>
              <w:rPr>
                <w:rFonts w:hint="eastAsia" w:ascii="宋体" w:hAnsi="宋体" w:cs="Times New Roman"/>
                <w:sz w:val="24"/>
                <w:szCs w:val="24"/>
              </w:rPr>
              <w:t xml:space="preserve">                                </w:t>
            </w:r>
          </w:p>
        </w:tc>
      </w:tr>
      <w:tr w14:paraId="782A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590" w:type="dxa"/>
            <w:gridSpan w:val="5"/>
            <w:vAlign w:val="center"/>
          </w:tcPr>
          <w:p w14:paraId="005B108B">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lang w:val="en-US"/>
              </w:rPr>
            </w:pPr>
            <w:r>
              <w:rPr>
                <w:rFonts w:hint="eastAsia" w:ascii="宋体" w:hAnsi="宋体" w:cs="Times New Roman"/>
                <w:sz w:val="24"/>
                <w:szCs w:val="24"/>
              </w:rPr>
              <w:t>备注：表内</w:t>
            </w:r>
            <w:r>
              <w:rPr>
                <w:rFonts w:hint="eastAsia" w:ascii="宋体" w:hAnsi="宋体" w:cs="Times New Roman"/>
                <w:sz w:val="24"/>
                <w:szCs w:val="24"/>
                <w:lang w:eastAsia="zh-CN"/>
              </w:rPr>
              <w:t>投标</w:t>
            </w:r>
            <w:r>
              <w:rPr>
                <w:rFonts w:hint="eastAsia" w:ascii="宋体" w:hAnsi="宋体" w:cs="Times New Roman"/>
                <w:sz w:val="24"/>
                <w:szCs w:val="24"/>
              </w:rPr>
              <w:t>报价</w:t>
            </w:r>
            <w:r>
              <w:rPr>
                <w:rFonts w:hint="eastAsia" w:ascii="宋体" w:hAnsi="宋体" w:cs="Times New Roman"/>
                <w:sz w:val="24"/>
                <w:szCs w:val="24"/>
                <w:lang w:eastAsia="zh-CN"/>
              </w:rPr>
              <w:t>以元为单位，保留小数点后两位。</w:t>
            </w:r>
          </w:p>
        </w:tc>
      </w:tr>
    </w:tbl>
    <w:p w14:paraId="5C10921A">
      <w:pPr>
        <w:spacing w:line="360" w:lineRule="auto"/>
        <w:jc w:val="left"/>
        <w:rPr>
          <w:rFonts w:ascii="宋体" w:hAnsi="宋体" w:cs="仿宋"/>
          <w:sz w:val="24"/>
          <w:szCs w:val="24"/>
        </w:rPr>
      </w:pPr>
      <w:r>
        <w:rPr>
          <w:rFonts w:hint="eastAsia" w:ascii="宋体" w:hAnsi="宋体" w:cs="仿宋"/>
          <w:sz w:val="24"/>
          <w:szCs w:val="24"/>
        </w:rPr>
        <w:t>备注</w:t>
      </w:r>
      <w:r>
        <w:rPr>
          <w:rFonts w:ascii="宋体" w:hAnsi="宋体" w:cs="仿宋"/>
          <w:sz w:val="24"/>
          <w:szCs w:val="24"/>
        </w:rPr>
        <w:t>：</w:t>
      </w:r>
    </w:p>
    <w:p w14:paraId="0DF31041">
      <w:pPr>
        <w:spacing w:line="360" w:lineRule="auto"/>
        <w:ind w:firstLine="360" w:firstLineChars="150"/>
        <w:jc w:val="left"/>
        <w:rPr>
          <w:rFonts w:ascii="宋体" w:hAnsi="宋体" w:cs="仿宋"/>
          <w:sz w:val="24"/>
          <w:szCs w:val="24"/>
        </w:rPr>
      </w:pPr>
      <w:r>
        <w:rPr>
          <w:rFonts w:hint="eastAsia" w:ascii="宋体" w:hAnsi="宋体" w:cs="仿宋"/>
          <w:sz w:val="24"/>
          <w:szCs w:val="24"/>
        </w:rPr>
        <w:t>投标人所报的价格应考虑到可能发生的所有与完成本项目相关服务及履行合同义务有关的一切费用。</w:t>
      </w:r>
    </w:p>
    <w:p w14:paraId="4A89F670">
      <w:pPr>
        <w:kinsoku w:val="0"/>
        <w:spacing w:line="360" w:lineRule="auto"/>
        <w:jc w:val="left"/>
        <w:rPr>
          <w:rFonts w:ascii="宋体" w:cs="Times New Roman"/>
          <w:sz w:val="24"/>
          <w:szCs w:val="24"/>
        </w:rPr>
      </w:pPr>
    </w:p>
    <w:p w14:paraId="366F26CF">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1F9BF1A4">
      <w:pPr>
        <w:adjustRightInd w:val="0"/>
        <w:snapToGrid w:val="0"/>
        <w:spacing w:line="480" w:lineRule="auto"/>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）：____________________________</w:t>
      </w:r>
    </w:p>
    <w:p w14:paraId="6D286DE9">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61C6332D">
      <w:pPr>
        <w:kinsoku w:val="0"/>
        <w:spacing w:line="480" w:lineRule="auto"/>
        <w:jc w:val="left"/>
        <w:rPr>
          <w:rFonts w:ascii="宋体" w:cs="Times New Roman"/>
          <w:sz w:val="24"/>
          <w:szCs w:val="24"/>
        </w:rPr>
      </w:pPr>
    </w:p>
    <w:p w14:paraId="58A89D3C">
      <w:pPr>
        <w:pStyle w:val="4"/>
        <w:rPr>
          <w:rFonts w:hint="eastAsia" w:ascii="宋体" w:hAnsi="宋体" w:cs="宋体"/>
        </w:rPr>
        <w:sectPr>
          <w:pgSz w:w="11906" w:h="16838"/>
          <w:pgMar w:top="1417" w:right="1417" w:bottom="1417" w:left="1417" w:header="992" w:footer="992" w:gutter="0"/>
          <w:pgNumType w:fmt="decimal"/>
          <w:cols w:space="0" w:num="1"/>
          <w:titlePg/>
          <w:rtlGutter w:val="0"/>
          <w:docGrid w:type="lines" w:linePitch="333" w:charSpace="0"/>
        </w:sectPr>
      </w:pPr>
      <w:bookmarkStart w:id="205" w:name="_Toc484890088"/>
      <w:bookmarkStart w:id="206" w:name="_Toc19543351"/>
      <w:bookmarkStart w:id="207" w:name="_Toc15021755"/>
    </w:p>
    <w:bookmarkEnd w:id="205"/>
    <w:bookmarkEnd w:id="206"/>
    <w:bookmarkEnd w:id="207"/>
    <w:p w14:paraId="5B6B87F8">
      <w:pPr>
        <w:autoSpaceDE w:val="0"/>
        <w:autoSpaceDN w:val="0"/>
        <w:adjustRightInd w:val="0"/>
        <w:snapToGrid w:val="0"/>
        <w:spacing w:line="360" w:lineRule="auto"/>
        <w:ind w:firstLine="3855" w:firstLineChars="1200"/>
        <w:jc w:val="left"/>
        <w:rPr>
          <w:rFonts w:hint="eastAsia" w:hAnsi="宋体"/>
          <w:b/>
          <w:color w:val="auto"/>
          <w:sz w:val="32"/>
          <w:szCs w:val="32"/>
        </w:rPr>
      </w:pPr>
      <w:r>
        <w:rPr>
          <w:rFonts w:hint="eastAsia" w:hAnsi="宋体"/>
          <w:b/>
          <w:color w:val="auto"/>
          <w:sz w:val="32"/>
          <w:szCs w:val="32"/>
          <w:lang w:val="en-US" w:eastAsia="zh-CN"/>
        </w:rPr>
        <w:t>已标价</w:t>
      </w:r>
      <w:r>
        <w:rPr>
          <w:rFonts w:hint="eastAsia" w:hAnsi="宋体"/>
          <w:b/>
          <w:color w:val="auto"/>
          <w:sz w:val="32"/>
          <w:szCs w:val="32"/>
        </w:rPr>
        <w:t>工程量清单</w:t>
      </w:r>
    </w:p>
    <w:p w14:paraId="427EC937">
      <w:pPr>
        <w:spacing w:line="440" w:lineRule="exact"/>
        <w:jc w:val="center"/>
        <w:outlineLvl w:val="1"/>
        <w:rPr>
          <w:rFonts w:hint="eastAsia" w:hAnsi="宋体"/>
          <w:b/>
          <w:sz w:val="32"/>
          <w:szCs w:val="32"/>
        </w:rPr>
      </w:pPr>
    </w:p>
    <w:p w14:paraId="59E605D0">
      <w:pPr>
        <w:adjustRightInd w:val="0"/>
        <w:snapToGrid w:val="0"/>
        <w:spacing w:line="520" w:lineRule="exact"/>
        <w:ind w:firstLine="562" w:firstLineChars="200"/>
        <w:rPr>
          <w:rFonts w:hAnsi="宋体"/>
          <w:b/>
          <w:sz w:val="28"/>
          <w:szCs w:val="28"/>
        </w:rPr>
      </w:pPr>
      <w:r>
        <w:rPr>
          <w:rFonts w:hint="eastAsia" w:hAnsi="宋体"/>
          <w:b/>
          <w:sz w:val="28"/>
          <w:szCs w:val="28"/>
        </w:rPr>
        <w:t>报价时须按</w:t>
      </w:r>
      <w:r>
        <w:rPr>
          <w:rFonts w:hint="eastAsia" w:hAnsi="宋体"/>
          <w:b/>
          <w:sz w:val="28"/>
          <w:szCs w:val="28"/>
          <w:lang w:val="en-US" w:eastAsia="zh-CN"/>
        </w:rPr>
        <w:t>磋商文件中</w:t>
      </w:r>
      <w:r>
        <w:rPr>
          <w:rFonts w:hint="eastAsia" w:hAnsi="宋体" w:eastAsia="宋体"/>
          <w:b/>
          <w:sz w:val="28"/>
          <w:szCs w:val="28"/>
          <w:lang w:val="en-US" w:eastAsia="zh-CN"/>
        </w:rPr>
        <w:t>的</w:t>
      </w:r>
      <w:r>
        <w:rPr>
          <w:rFonts w:hint="eastAsia" w:hAnsi="宋体"/>
          <w:b/>
          <w:sz w:val="28"/>
          <w:szCs w:val="28"/>
        </w:rPr>
        <w:t>工程量所列</w:t>
      </w:r>
      <w:r>
        <w:rPr>
          <w:rFonts w:hint="eastAsia" w:hAnsi="宋体"/>
          <w:b/>
          <w:sz w:val="28"/>
          <w:szCs w:val="28"/>
          <w:lang w:val="en-US" w:eastAsia="zh-CN"/>
        </w:rPr>
        <w:t>全部</w:t>
      </w:r>
      <w:r>
        <w:rPr>
          <w:rFonts w:hint="eastAsia" w:hAnsi="宋体"/>
          <w:b/>
          <w:sz w:val="28"/>
          <w:szCs w:val="28"/>
        </w:rPr>
        <w:t>内容进行报价，不得更改</w:t>
      </w:r>
      <w:r>
        <w:rPr>
          <w:rFonts w:hint="eastAsia" w:hAnsi="宋体"/>
          <w:b/>
          <w:sz w:val="28"/>
          <w:szCs w:val="28"/>
          <w:lang w:val="en-US" w:eastAsia="zh-CN"/>
        </w:rPr>
        <w:t>工程量</w:t>
      </w:r>
      <w:r>
        <w:rPr>
          <w:rFonts w:hint="eastAsia" w:hAnsi="宋体"/>
          <w:b/>
          <w:sz w:val="28"/>
          <w:szCs w:val="28"/>
        </w:rPr>
        <w:t>，凡</w:t>
      </w:r>
      <w:r>
        <w:rPr>
          <w:rFonts w:hint="eastAsia" w:hAnsi="宋体"/>
          <w:b/>
          <w:sz w:val="28"/>
          <w:szCs w:val="28"/>
          <w:lang w:val="en-US" w:eastAsia="zh-CN"/>
        </w:rPr>
        <w:t>工程量有少项、漏项</w:t>
      </w:r>
      <w:r>
        <w:rPr>
          <w:rFonts w:hint="eastAsia" w:hAnsi="宋体"/>
          <w:b/>
          <w:sz w:val="28"/>
          <w:szCs w:val="28"/>
        </w:rPr>
        <w:t>一律视为无效投标。</w:t>
      </w:r>
    </w:p>
    <w:p w14:paraId="3D79DC10">
      <w:pPr>
        <w:spacing w:line="360" w:lineRule="auto"/>
        <w:ind w:firstLine="480" w:firstLineChars="200"/>
        <w:rPr>
          <w:rFonts w:ascii="宋体" w:hAnsi="宋体" w:cs="仿宋"/>
          <w:color w:val="auto"/>
          <w:sz w:val="24"/>
          <w:szCs w:val="24"/>
        </w:rPr>
      </w:pPr>
    </w:p>
    <w:p w14:paraId="11D024C1">
      <w:pPr>
        <w:pStyle w:val="21"/>
        <w:rPr>
          <w:color w:val="auto"/>
        </w:rPr>
      </w:pPr>
    </w:p>
    <w:p w14:paraId="28128A9C">
      <w:pPr>
        <w:pStyle w:val="21"/>
        <w:rPr>
          <w:color w:val="auto"/>
        </w:rPr>
      </w:pPr>
    </w:p>
    <w:p w14:paraId="1AE53C80">
      <w:pPr>
        <w:bidi w:val="0"/>
        <w:jc w:val="left"/>
        <w:rPr>
          <w:rFonts w:hint="eastAsia"/>
        </w:rPr>
        <w:sectPr>
          <w:headerReference r:id="rId22" w:type="default"/>
          <w:footerReference r:id="rId23" w:type="default"/>
          <w:pgSz w:w="11906" w:h="16838"/>
          <w:pgMar w:top="1417" w:right="1417" w:bottom="1417" w:left="1417" w:header="992" w:footer="992" w:gutter="0"/>
          <w:pgNumType w:fmt="decimal"/>
          <w:cols w:space="0" w:num="1"/>
          <w:titlePg/>
          <w:rtlGutter w:val="0"/>
          <w:docGrid w:type="lines" w:linePitch="333" w:charSpace="0"/>
        </w:sectPr>
      </w:pPr>
      <w:bookmarkStart w:id="208" w:name="_Toc11309"/>
    </w:p>
    <w:p w14:paraId="234B673A">
      <w:pPr>
        <w:pStyle w:val="4"/>
        <w:keepNext/>
        <w:keepLines/>
        <w:pageBreakBefore/>
        <w:widowControl w:val="0"/>
        <w:kinsoku/>
        <w:wordWrap/>
        <w:overflowPunct/>
        <w:topLinePunct w:val="0"/>
        <w:autoSpaceDE/>
        <w:autoSpaceDN/>
        <w:bidi w:val="0"/>
        <w:adjustRightInd/>
        <w:snapToGrid/>
        <w:spacing w:after="168" w:afterLines="50" w:line="240" w:lineRule="auto"/>
        <w:jc w:val="center"/>
        <w:textAlignment w:val="auto"/>
        <w:rPr>
          <w:rFonts w:ascii="宋体" w:hAnsi="宋体" w:cs="宋体"/>
        </w:rPr>
      </w:pPr>
      <w:r>
        <w:rPr>
          <w:rFonts w:hint="eastAsia" w:ascii="Calibri Light" w:hAnsi="Calibri Light" w:cs="Times New Roman"/>
          <w:sz w:val="32"/>
          <w:szCs w:val="32"/>
        </w:rPr>
        <w:t>第三章 供应商资质证明文件</w:t>
      </w:r>
    </w:p>
    <w:p w14:paraId="2F0054B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1.具有独立承担民事责任能力的法人、非法人组织或自然人，提供合法有效的营业执照/事业单位法人证书/专业服务机构执业许可证/民办非企业单位登记证书等相关证明，自然人参与的提供其身份证明。</w:t>
      </w:r>
    </w:p>
    <w:p w14:paraId="5EAF2A8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2.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3AB9821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5B64A77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 xml:space="preserve">书面声明：投标人必须提供参加政府采购活动前3年内在经营活动中没有重大违法记录的书面声明。 </w:t>
      </w:r>
    </w:p>
    <w:p w14:paraId="21D9865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5.财务状况报告：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51AD12E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6.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58E66DA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7.</w:t>
      </w:r>
      <w:r>
        <w:rPr>
          <w:rFonts w:hint="eastAsia" w:ascii="宋体" w:hAnsi="宋体" w:eastAsia="宋体" w:cs="宋体"/>
          <w:i w:val="0"/>
          <w:iCs w:val="0"/>
          <w:caps w:val="0"/>
          <w:color w:val="333333"/>
          <w:spacing w:val="0"/>
          <w:sz w:val="24"/>
          <w:szCs w:val="24"/>
          <w:shd w:val="clear" w:fill="FFFFFF"/>
        </w:rPr>
        <w:t>税收缴纳证明：提供</w:t>
      </w:r>
      <w:r>
        <w:rPr>
          <w:rFonts w:hint="eastAsia" w:ascii="宋体" w:hAnsi="宋体" w:eastAsia="宋体"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0A9D924">
      <w:pPr>
        <w:keepNext w:val="0"/>
        <w:keepLines w:val="0"/>
        <w:pageBreakBefore w:val="0"/>
        <w:widowControl w:val="0"/>
        <w:kinsoku/>
        <w:wordWrap/>
        <w:overflowPunct/>
        <w:topLinePunct w:val="0"/>
        <w:autoSpaceDE/>
        <w:autoSpaceDN/>
        <w:bidi w:val="0"/>
        <w:adjustRightInd/>
        <w:spacing w:line="500" w:lineRule="exact"/>
        <w:ind w:left="0" w:leftChars="0" w:right="0" w:rightChars="0" w:firstLine="481"/>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8.具备建设行政主管部门核发的公路工程施工总承包三级及以上资质，具有有效的安全生产许可证，并在人员、设备、资金等方面具备相应的施工能力。其中，拟派项目经理具公路工程专业二级及以上注册建造师执业资格和有效的安全生产考核合格证书，且未担任其他在建工程项目的项目经理。</w:t>
      </w:r>
    </w:p>
    <w:p w14:paraId="29DE938C">
      <w:pPr>
        <w:keepNext w:val="0"/>
        <w:keepLines w:val="0"/>
        <w:pageBreakBefore w:val="0"/>
        <w:widowControl w:val="0"/>
        <w:kinsoku/>
        <w:wordWrap/>
        <w:overflowPunct/>
        <w:topLinePunct w:val="0"/>
        <w:autoSpaceDE/>
        <w:autoSpaceDN/>
        <w:bidi w:val="0"/>
        <w:adjustRightInd/>
        <w:spacing w:line="500" w:lineRule="exact"/>
        <w:ind w:left="0" w:leftChars="0" w:right="0" w:rightChars="0" w:firstLine="481"/>
        <w:textAlignment w:val="auto"/>
        <w:rPr>
          <w:rFonts w:hint="eastAsia" w:ascii="宋体" w:hAnsi="宋体" w:cs="宋体"/>
          <w:color w:val="auto"/>
          <w:sz w:val="24"/>
          <w:szCs w:val="24"/>
          <w:lang w:eastAsia="zh-CN"/>
        </w:rPr>
      </w:pPr>
      <w:r>
        <w:rPr>
          <w:rFonts w:hint="eastAsia" w:ascii="宋体" w:hAnsi="宋体" w:cs="宋体"/>
          <w:color w:val="000000" w:themeColor="text1"/>
          <w:sz w:val="24"/>
          <w:szCs w:val="24"/>
          <w:lang w:eastAsia="zh-CN"/>
          <w14:textFill>
            <w14:solidFill>
              <w14:schemeClr w14:val="tx1"/>
            </w14:solidFill>
          </w14:textFill>
        </w:rPr>
        <w:t>9.本项目专门面向中小企业采购，投标人须提供《中小企业声明函》</w:t>
      </w:r>
      <w:r>
        <w:rPr>
          <w:rFonts w:hint="eastAsia" w:ascii="宋体" w:hAnsi="宋体" w:cs="宋体"/>
          <w:color w:val="auto"/>
          <w:sz w:val="24"/>
          <w:szCs w:val="24"/>
          <w:lang w:eastAsia="zh-CN"/>
        </w:rPr>
        <w:t>。</w:t>
      </w:r>
    </w:p>
    <w:p w14:paraId="1A6FEC71">
      <w:pPr>
        <w:keepNext w:val="0"/>
        <w:keepLines w:val="0"/>
        <w:pageBreakBefore w:val="0"/>
        <w:widowControl w:val="0"/>
        <w:kinsoku/>
        <w:wordWrap/>
        <w:overflowPunct/>
        <w:topLinePunct w:val="0"/>
        <w:autoSpaceDE/>
        <w:autoSpaceDN/>
        <w:bidi w:val="0"/>
        <w:adjustRightInd/>
        <w:spacing w:line="500" w:lineRule="exact"/>
        <w:ind w:left="0" w:leftChars="0" w:right="0" w:rightChars="0" w:firstLine="481"/>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10.本项目不接受联合体投标。</w:t>
      </w:r>
    </w:p>
    <w:p w14:paraId="724629E7">
      <w:pPr>
        <w:pageBreakBefore w:val="0"/>
        <w:tabs>
          <w:tab w:val="left" w:pos="567"/>
        </w:tabs>
        <w:kinsoku/>
        <w:wordWrap/>
        <w:overflowPunct/>
        <w:topLinePunct w:val="0"/>
        <w:bidi w:val="0"/>
        <w:adjustRightInd/>
        <w:spacing w:line="440" w:lineRule="exact"/>
        <w:ind w:left="0" w:firstLine="643" w:firstLineChars="200"/>
        <w:textAlignment w:val="auto"/>
        <w:rPr>
          <w:rFonts w:ascii="宋体" w:hAnsi="宋体" w:cs="Arial"/>
          <w:b/>
          <w:color w:val="000000"/>
          <w:kern w:val="0"/>
          <w:sz w:val="32"/>
          <w:szCs w:val="32"/>
        </w:rPr>
      </w:pPr>
      <w:r>
        <w:rPr>
          <w:rFonts w:ascii="宋体" w:hAnsi="宋体" w:cs="Arial"/>
          <w:b/>
          <w:color w:val="000000"/>
          <w:kern w:val="0"/>
          <w:sz w:val="32"/>
          <w:szCs w:val="32"/>
        </w:rPr>
        <w:br w:type="page"/>
      </w:r>
    </w:p>
    <w:p w14:paraId="15C93837">
      <w:pPr>
        <w:keepNext w:val="0"/>
        <w:keepLines w:val="0"/>
        <w:pageBreakBefore w:val="0"/>
        <w:widowControl w:val="0"/>
        <w:tabs>
          <w:tab w:val="left" w:pos="210"/>
        </w:tabs>
        <w:kinsoku/>
        <w:wordWrap/>
        <w:overflowPunct/>
        <w:topLinePunct w:val="0"/>
        <w:autoSpaceDE/>
        <w:autoSpaceDN/>
        <w:bidi w:val="0"/>
        <w:adjustRightInd/>
        <w:snapToGrid/>
        <w:spacing w:line="240" w:lineRule="auto"/>
        <w:jc w:val="center"/>
        <w:textAlignment w:val="auto"/>
        <w:rPr>
          <w:rFonts w:hint="eastAsia" w:ascii="Calibri Light" w:hAnsi="Calibri Light" w:eastAsia="宋体" w:cs="Times New Roman"/>
          <w:b/>
          <w:bCs/>
          <w:kern w:val="2"/>
          <w:sz w:val="32"/>
          <w:szCs w:val="32"/>
          <w:lang w:val="en-US" w:eastAsia="zh-CN" w:bidi="ar-SA"/>
        </w:rPr>
      </w:pPr>
      <w:r>
        <w:rPr>
          <w:rFonts w:hint="eastAsia" w:ascii="宋体" w:hAnsi="宋体" w:cs="Arial"/>
          <w:b/>
          <w:color w:val="000000"/>
          <w:kern w:val="0"/>
          <w:sz w:val="32"/>
          <w:szCs w:val="32"/>
        </w:rPr>
        <w:t xml:space="preserve">        </w:t>
      </w:r>
      <w:r>
        <w:rPr>
          <w:rFonts w:hint="eastAsia" w:ascii="Calibri Light" w:hAnsi="Calibri Light" w:eastAsia="宋体" w:cs="Times New Roman"/>
          <w:b/>
          <w:bCs/>
          <w:kern w:val="2"/>
          <w:sz w:val="32"/>
          <w:szCs w:val="32"/>
          <w:lang w:val="en-US" w:eastAsia="zh-CN" w:bidi="ar-SA"/>
        </w:rPr>
        <w:t xml:space="preserve"> 法定代表人证明书</w:t>
      </w:r>
    </w:p>
    <w:tbl>
      <w:tblPr>
        <w:tblStyle w:val="35"/>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3C03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3A81D7C7">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r>
              <w:rPr>
                <w:rFonts w:hint="eastAsia" w:ascii="宋体" w:hAnsi="宋体" w:cs="Arial"/>
                <w:color w:val="000000"/>
                <w:kern w:val="0"/>
                <w:sz w:val="24"/>
                <w:szCs w:val="24"/>
              </w:rPr>
              <w:t>致：</w:t>
            </w:r>
          </w:p>
        </w:tc>
      </w:tr>
      <w:tr w14:paraId="5086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550A7C7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w:t>
            </w:r>
          </w:p>
          <w:p w14:paraId="2A081B7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2EA7173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业</w:t>
            </w:r>
          </w:p>
          <w:p w14:paraId="7608C2E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7C9EBF7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w:t>
            </w:r>
          </w:p>
          <w:p w14:paraId="041A067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311D502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7977979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312FFA6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4BA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03B26FB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6E2FB94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598FD28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3AD1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EF41C3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1DEDEDB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699FDB8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69C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20A3164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1D6B637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vAlign w:val="center"/>
          </w:tcPr>
          <w:p w14:paraId="4255F5A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E6E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3B7DA45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3AC7892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vAlign w:val="center"/>
          </w:tcPr>
          <w:p w14:paraId="0509ABE0">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p>
        </w:tc>
      </w:tr>
      <w:tr w14:paraId="7435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408CC44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3B92389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vAlign w:val="center"/>
          </w:tcPr>
          <w:p w14:paraId="76BF49F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1519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4ACFC7B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5958690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421DBA4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4266ADF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38A81E3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1A6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3531F1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832B3A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2C83C19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72C80B3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4435165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390B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7D68875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393694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5186032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8B2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4564DA0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0E7941D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3B8E986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4BDB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4964F20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441" w:type="dxa"/>
            <w:gridSpan w:val="2"/>
            <w:vMerge w:val="continue"/>
            <w:vAlign w:val="center"/>
          </w:tcPr>
          <w:p w14:paraId="79BA69B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579" w:type="dxa"/>
            <w:gridSpan w:val="3"/>
            <w:vAlign w:val="bottom"/>
          </w:tcPr>
          <w:p w14:paraId="4492422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（公章）</w:t>
            </w:r>
          </w:p>
          <w:p w14:paraId="4C798F5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02CA562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4F8598D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3DFEA6EA">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189C5B0A">
      <w:pPr>
        <w:pStyle w:val="4"/>
        <w:pageBreakBefore/>
        <w:rPr>
          <w:rFonts w:hint="eastAsia" w:ascii="Calibri Light" w:hAnsi="Calibri Light" w:eastAsia="宋体" w:cs="Times New Roman"/>
          <w:b/>
          <w:bCs/>
          <w:kern w:val="2"/>
          <w:sz w:val="32"/>
          <w:szCs w:val="32"/>
          <w:lang w:val="en-US" w:eastAsia="zh-CN" w:bidi="ar-SA"/>
        </w:rPr>
      </w:pPr>
      <w:bookmarkStart w:id="209" w:name="_Toc19543356"/>
      <w:r>
        <w:rPr>
          <w:rFonts w:hint="eastAsia" w:ascii="Calibri Light" w:hAnsi="Calibri Light" w:eastAsia="宋体" w:cs="Times New Roman"/>
          <w:b/>
          <w:bCs/>
          <w:kern w:val="2"/>
          <w:sz w:val="32"/>
          <w:szCs w:val="32"/>
          <w:lang w:val="en-US" w:eastAsia="zh-CN" w:bidi="ar-SA"/>
        </w:rPr>
        <w:t>法定代表人授权书</w:t>
      </w:r>
      <w:bookmarkEnd w:id="209"/>
    </w:p>
    <w:p w14:paraId="1BC8EBD5">
      <w:pPr>
        <w:pStyle w:val="16"/>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安康尚昊招标代理有限公司：</w:t>
      </w:r>
    </w:p>
    <w:p w14:paraId="5EFF3078">
      <w:pPr>
        <w:tabs>
          <w:tab w:val="left" w:pos="8820"/>
        </w:tabs>
        <w:spacing w:line="400" w:lineRule="exact"/>
        <w:ind w:firstLine="57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（法定代表人姓名）   </w:t>
      </w:r>
      <w:r>
        <w:rPr>
          <w:rFonts w:hint="eastAsia" w:ascii="宋体" w:hAnsi="宋体" w:eastAsia="宋体" w:cs="宋体"/>
          <w:color w:val="auto"/>
          <w:sz w:val="24"/>
          <w:szCs w:val="24"/>
          <w:highlight w:val="none"/>
        </w:rPr>
        <w:t>系注册于</w:t>
      </w:r>
      <w:r>
        <w:rPr>
          <w:rFonts w:hint="eastAsia" w:ascii="宋体" w:hAnsi="宋体" w:eastAsia="宋体" w:cs="宋体"/>
          <w:color w:val="auto"/>
          <w:sz w:val="24"/>
          <w:szCs w:val="24"/>
          <w:highlight w:val="none"/>
          <w:u w:val="single"/>
        </w:rPr>
        <w:t xml:space="preserve">  （供应商地址）</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（供应商名称） </w:t>
      </w:r>
      <w:r>
        <w:rPr>
          <w:rFonts w:hint="eastAsia" w:ascii="宋体" w:hAnsi="宋体" w:eastAsia="宋体" w:cs="宋体"/>
          <w:color w:val="auto"/>
          <w:sz w:val="24"/>
          <w:szCs w:val="24"/>
          <w:highlight w:val="none"/>
        </w:rPr>
        <w:t>的法定代表人，现代表公司授权下面签字的</w:t>
      </w:r>
      <w:r>
        <w:rPr>
          <w:rFonts w:hint="eastAsia" w:ascii="宋体" w:hAnsi="宋体" w:eastAsia="宋体" w:cs="宋体"/>
          <w:color w:val="auto"/>
          <w:sz w:val="24"/>
          <w:szCs w:val="24"/>
          <w:highlight w:val="none"/>
          <w:u w:val="single"/>
        </w:rPr>
        <w:t xml:space="preserve">（被授权人的姓名、职务） </w:t>
      </w:r>
      <w:r>
        <w:rPr>
          <w:rFonts w:hint="eastAsia" w:ascii="宋体" w:hAnsi="宋体" w:eastAsia="宋体" w:cs="宋体"/>
          <w:color w:val="auto"/>
          <w:sz w:val="24"/>
          <w:szCs w:val="24"/>
          <w:highlight w:val="none"/>
        </w:rPr>
        <w:t>为我公司合法代理人，代表本公司参加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采购项目编号为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的采购活动。以我方名义全权处理该项目有关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、签订合同以及执行合同等一切事宜。</w:t>
      </w:r>
    </w:p>
    <w:p w14:paraId="1354519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有效期自</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之日起_</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_日历日，特此声明。</w:t>
      </w:r>
    </w:p>
    <w:p w14:paraId="4689CA61">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委托单位：    （公章）                  法定代表人（签字或盖章）：</w:t>
      </w:r>
    </w:p>
    <w:p w14:paraId="61769F55">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FB1CA6">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附：被授权人姓名：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7FCF369E">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联系地址：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thick"/>
        </w:rPr>
        <w:t xml:space="preserve">           </w:t>
      </w:r>
    </w:p>
    <w:p w14:paraId="6EFA00BA">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thick"/>
        </w:rPr>
        <w:t xml:space="preserve">    </w:t>
      </w:r>
    </w:p>
    <w:p w14:paraId="5F6FB9E0">
      <w:pPr>
        <w:keepNext w:val="0"/>
        <w:keepLines w:val="0"/>
        <w:pageBreakBefore w:val="0"/>
        <w:widowControl/>
        <w:kinsoku/>
        <w:wordWrap/>
        <w:overflowPunct/>
        <w:topLinePunct w:val="0"/>
        <w:autoSpaceDE/>
        <w:autoSpaceDN/>
        <w:bidi w:val="0"/>
        <w:adjustRightInd w:val="0"/>
        <w:snapToGrid w:val="0"/>
        <w:spacing w:line="360" w:lineRule="auto"/>
        <w:ind w:firstLine="240" w:firstLineChars="1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法定代表人/被授权人身份证复印件</w:t>
      </w:r>
    </w:p>
    <w:tbl>
      <w:tblPr>
        <w:tblStyle w:val="35"/>
        <w:tblW w:w="86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330"/>
        <w:gridCol w:w="4330"/>
      </w:tblGrid>
      <w:tr w14:paraId="4CA3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757" w:hRule="atLeast"/>
        </w:trPr>
        <w:tc>
          <w:tcPr>
            <w:tcW w:w="4330" w:type="dxa"/>
            <w:shd w:val="clear" w:color="auto" w:fill="E0E0E0"/>
            <w:vAlign w:val="center"/>
          </w:tcPr>
          <w:p w14:paraId="13398920">
            <w:pPr>
              <w:keepNext w:val="0"/>
              <w:keepLines w:val="0"/>
              <w:widowControl/>
              <w:suppressLineNumbers w:val="0"/>
              <w:snapToGrid w:val="0"/>
              <w:spacing w:before="0" w:beforeAutospacing="0" w:after="0" w:afterAutospacing="0" w:line="500" w:lineRule="exact"/>
              <w:ind w:left="0" w:right="0"/>
              <w:jc w:val="center"/>
              <w:rPr>
                <w:rFonts w:hint="eastAsia" w:ascii="宋体" w:hAnsi="宋体" w:eastAsia="宋体" w:cs="宋体"/>
                <w:sz w:val="24"/>
                <w:szCs w:val="24"/>
                <w:highlight w:val="none"/>
                <w:shd w:val="pct10" w:color="auto" w:fill="FFFFFF"/>
              </w:rPr>
            </w:pPr>
            <w:r>
              <w:rPr>
                <w:rFonts w:hint="eastAsia" w:ascii="宋体" w:hAnsi="宋体" w:eastAsia="宋体" w:cs="宋体"/>
                <w:sz w:val="24"/>
                <w:szCs w:val="24"/>
                <w:highlight w:val="none"/>
                <w:shd w:val="pct10" w:color="auto" w:fill="FFFFFF"/>
              </w:rPr>
              <w:t>法定代表人身份证复印件（正面）</w:t>
            </w:r>
          </w:p>
        </w:tc>
        <w:tc>
          <w:tcPr>
            <w:tcW w:w="4330" w:type="dxa"/>
            <w:shd w:val="clear" w:color="auto" w:fill="E0E0E0"/>
            <w:vAlign w:val="center"/>
          </w:tcPr>
          <w:p w14:paraId="6211619B">
            <w:pPr>
              <w:keepNext w:val="0"/>
              <w:keepLines w:val="0"/>
              <w:widowControl/>
              <w:suppressLineNumbers w:val="0"/>
              <w:snapToGrid w:val="0"/>
              <w:spacing w:before="0" w:beforeAutospacing="0" w:after="0" w:afterAutospacing="0" w:line="500" w:lineRule="exact"/>
              <w:ind w:left="0" w:right="0"/>
              <w:jc w:val="center"/>
              <w:rPr>
                <w:rFonts w:hint="eastAsia" w:ascii="宋体" w:hAnsi="宋体" w:eastAsia="宋体" w:cs="宋体"/>
                <w:sz w:val="24"/>
                <w:szCs w:val="24"/>
                <w:highlight w:val="none"/>
                <w:shd w:val="pct10" w:color="auto" w:fill="FFFFFF"/>
              </w:rPr>
            </w:pPr>
            <w:r>
              <w:rPr>
                <w:rFonts w:hint="eastAsia" w:ascii="宋体" w:hAnsi="宋体" w:eastAsia="宋体" w:cs="宋体"/>
                <w:sz w:val="24"/>
                <w:szCs w:val="24"/>
                <w:highlight w:val="none"/>
                <w:shd w:val="pct10" w:color="auto" w:fill="FFFFFF"/>
              </w:rPr>
              <w:t>被授权人身份证复印件（正面）</w:t>
            </w:r>
          </w:p>
        </w:tc>
      </w:tr>
      <w:tr w14:paraId="528C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17" w:hRule="atLeast"/>
        </w:trPr>
        <w:tc>
          <w:tcPr>
            <w:tcW w:w="4330" w:type="dxa"/>
            <w:shd w:val="clear" w:color="auto" w:fill="E0E0E0"/>
            <w:vAlign w:val="center"/>
          </w:tcPr>
          <w:p w14:paraId="1C670E85">
            <w:pPr>
              <w:keepNext w:val="0"/>
              <w:keepLines w:val="0"/>
              <w:widowControl/>
              <w:suppressLineNumbers w:val="0"/>
              <w:snapToGrid w:val="0"/>
              <w:spacing w:before="0" w:beforeAutospacing="0" w:after="0" w:afterAutospacing="0" w:line="500" w:lineRule="exact"/>
              <w:ind w:left="0" w:right="0"/>
              <w:jc w:val="center"/>
              <w:rPr>
                <w:rFonts w:hint="eastAsia" w:ascii="宋体" w:hAnsi="宋体" w:eastAsia="宋体" w:cs="宋体"/>
                <w:sz w:val="24"/>
                <w:szCs w:val="24"/>
                <w:highlight w:val="none"/>
                <w:shd w:val="pct10" w:color="auto" w:fill="FFFFFF"/>
              </w:rPr>
            </w:pPr>
            <w:r>
              <w:rPr>
                <w:rFonts w:hint="eastAsia" w:ascii="宋体" w:hAnsi="宋体" w:eastAsia="宋体" w:cs="宋体"/>
                <w:sz w:val="24"/>
                <w:szCs w:val="24"/>
                <w:highlight w:val="none"/>
                <w:shd w:val="pct10" w:color="auto" w:fill="FFFFFF"/>
              </w:rPr>
              <w:t>法定代表人身份证复印件（反面）</w:t>
            </w:r>
          </w:p>
        </w:tc>
        <w:tc>
          <w:tcPr>
            <w:tcW w:w="4330" w:type="dxa"/>
            <w:shd w:val="clear" w:color="auto" w:fill="E0E0E0"/>
            <w:vAlign w:val="center"/>
          </w:tcPr>
          <w:p w14:paraId="5EBE4B02">
            <w:pPr>
              <w:keepNext w:val="0"/>
              <w:keepLines w:val="0"/>
              <w:widowControl/>
              <w:suppressLineNumbers w:val="0"/>
              <w:snapToGrid w:val="0"/>
              <w:spacing w:before="0" w:beforeAutospacing="0" w:after="0" w:afterAutospacing="0" w:line="500" w:lineRule="exact"/>
              <w:ind w:left="0" w:right="0"/>
              <w:jc w:val="center"/>
              <w:rPr>
                <w:rFonts w:hint="eastAsia" w:ascii="宋体" w:hAnsi="宋体" w:eastAsia="宋体" w:cs="宋体"/>
                <w:sz w:val="24"/>
                <w:szCs w:val="24"/>
                <w:highlight w:val="none"/>
                <w:shd w:val="pct10" w:color="auto" w:fill="FFFFFF"/>
              </w:rPr>
            </w:pPr>
            <w:r>
              <w:rPr>
                <w:rFonts w:hint="eastAsia" w:ascii="宋体" w:hAnsi="宋体" w:eastAsia="宋体" w:cs="宋体"/>
                <w:sz w:val="24"/>
                <w:szCs w:val="24"/>
                <w:highlight w:val="none"/>
                <w:shd w:val="pct10" w:color="auto" w:fill="FFFFFF"/>
              </w:rPr>
              <w:t>被授权人身份证复印件（反面）</w:t>
            </w:r>
          </w:p>
        </w:tc>
      </w:tr>
    </w:tbl>
    <w:p w14:paraId="2DF3AD47">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63986502">
      <w:pPr>
        <w:pStyle w:val="16"/>
        <w:numPr>
          <w:ilvl w:val="0"/>
          <w:numId w:val="0"/>
        </w:num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highlight w:val="none"/>
        </w:rPr>
        <w:t>本授权书有效期自开标大会之日计算不得少于九十天。</w:t>
      </w:r>
    </w:p>
    <w:p w14:paraId="1605D3AF">
      <w:pPr>
        <w:pStyle w:val="16"/>
        <w:numPr>
          <w:ilvl w:val="0"/>
          <w:numId w:val="0"/>
        </w:numPr>
        <w:spacing w:line="500" w:lineRule="exact"/>
        <w:ind w:firstLine="480" w:firstLineChars="200"/>
        <w:jc w:val="left"/>
        <w:rPr>
          <w:rFonts w:hAnsi="宋体"/>
          <w:b/>
          <w:bCs/>
          <w:sz w:val="24"/>
          <w:szCs w:val="24"/>
        </w:rPr>
      </w:pPr>
      <w:r>
        <w:rPr>
          <w:rFonts w:hAnsi="宋体"/>
          <w:sz w:val="24"/>
          <w:szCs w:val="24"/>
        </w:rPr>
        <w:t>2</w:t>
      </w:r>
      <w:r>
        <w:rPr>
          <w:rFonts w:hint="eastAsia" w:hAnsi="宋体"/>
          <w:sz w:val="24"/>
          <w:szCs w:val="24"/>
        </w:rPr>
        <w:t>．授权书内容填写要明确，文字要工整清楚，涂改无效。</w:t>
      </w:r>
      <w:r>
        <w:rPr>
          <w:rFonts w:hint="eastAsia" w:hAnsi="宋体"/>
        </w:rPr>
        <w:br w:type="page"/>
      </w:r>
    </w:p>
    <w:p w14:paraId="0723DAB6">
      <w:pPr>
        <w:pStyle w:val="5"/>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sz w:val="32"/>
          <w:szCs w:val="32"/>
        </w:rPr>
      </w:pPr>
      <w:bookmarkStart w:id="210" w:name="_Toc536429337"/>
      <w:bookmarkStart w:id="211" w:name="_Toc536202328"/>
      <w:bookmarkStart w:id="212" w:name="_Toc7526"/>
      <w:bookmarkStart w:id="213" w:name="_Toc536202397"/>
      <w:bookmarkStart w:id="214" w:name="_Toc19543357"/>
      <w:bookmarkStart w:id="215" w:name="_Toc536429390"/>
      <w:r>
        <w:rPr>
          <w:rFonts w:hint="eastAsia"/>
          <w:sz w:val="32"/>
          <w:szCs w:val="32"/>
        </w:rPr>
        <w:t>无重大违法记录声明</w:t>
      </w:r>
    </w:p>
    <w:p w14:paraId="7D5BAAB3">
      <w:pPr>
        <w:spacing w:line="360" w:lineRule="auto"/>
        <w:ind w:firstLine="480" w:firstLineChars="200"/>
        <w:rPr>
          <w:rFonts w:hint="eastAsia" w:ascii="宋体" w:hAnsi="宋体" w:eastAsia="宋体" w:cs="宋体"/>
          <w:color w:val="auto"/>
          <w:sz w:val="24"/>
          <w:szCs w:val="24"/>
          <w:highlight w:val="none"/>
        </w:rPr>
      </w:pPr>
    </w:p>
    <w:p w14:paraId="2C64741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我单位参与安康尚昊招标代理有限公司组织的</w:t>
      </w:r>
      <w:r>
        <w:rPr>
          <w:rFonts w:hint="eastAsia" w:ascii="宋体" w:hAnsi="宋体" w:eastAsia="宋体" w:cs="宋体"/>
          <w:color w:val="auto"/>
          <w:sz w:val="24"/>
          <w:szCs w:val="24"/>
          <w:highlight w:val="none"/>
          <w:u w:val="single"/>
        </w:rPr>
        <w:t xml:space="preserve">     （项目名称）（项目编号）    </w:t>
      </w:r>
      <w:r>
        <w:rPr>
          <w:rFonts w:hint="eastAsia" w:ascii="宋体" w:hAnsi="宋体" w:eastAsia="宋体" w:cs="宋体"/>
          <w:color w:val="auto"/>
          <w:sz w:val="24"/>
          <w:szCs w:val="24"/>
          <w:highlight w:val="none"/>
          <w:lang w:eastAsia="zh-CN"/>
        </w:rPr>
        <w:t>竞争性</w:t>
      </w:r>
      <w:r>
        <w:rPr>
          <w:rFonts w:hint="eastAsia" w:ascii="宋体" w:hAnsi="宋体" w:eastAsia="宋体" w:cs="宋体"/>
          <w:color w:val="auto"/>
          <w:sz w:val="24"/>
          <w:szCs w:val="24"/>
          <w:highlight w:val="none"/>
          <w:lang w:val="en-US" w:eastAsia="zh-CN"/>
        </w:rPr>
        <w:t>磋商采购</w:t>
      </w:r>
      <w:r>
        <w:rPr>
          <w:rFonts w:hint="eastAsia" w:ascii="宋体" w:hAnsi="宋体" w:eastAsia="宋体" w:cs="宋体"/>
          <w:color w:val="auto"/>
          <w:sz w:val="24"/>
          <w:szCs w:val="24"/>
          <w:highlight w:val="none"/>
        </w:rPr>
        <w:t>，我单位郑重声明：我方参加本项目招标工作前三年内无重大违法活动记录，符合《中华人民共和国政府采购法》规定的供应商资格条件，我方对此声明负全部法律责任。</w:t>
      </w:r>
    </w:p>
    <w:p w14:paraId="239B0B8A">
      <w:pPr>
        <w:spacing w:line="360" w:lineRule="auto"/>
        <w:rPr>
          <w:rFonts w:hint="eastAsia" w:ascii="宋体" w:hAnsi="宋体" w:eastAsia="宋体" w:cs="宋体"/>
          <w:color w:val="auto"/>
          <w:sz w:val="24"/>
          <w:szCs w:val="24"/>
          <w:highlight w:val="none"/>
        </w:rPr>
      </w:pPr>
    </w:p>
    <w:p w14:paraId="1D5903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1893D4C5">
      <w:pPr>
        <w:spacing w:line="360" w:lineRule="auto"/>
        <w:rPr>
          <w:rFonts w:hint="eastAsia" w:ascii="宋体" w:hAnsi="宋体" w:eastAsia="宋体" w:cs="宋体"/>
          <w:color w:val="auto"/>
          <w:sz w:val="24"/>
          <w:szCs w:val="24"/>
          <w:highlight w:val="none"/>
        </w:rPr>
      </w:pPr>
    </w:p>
    <w:p w14:paraId="54A1C354">
      <w:pPr>
        <w:spacing w:line="360" w:lineRule="auto"/>
        <w:rPr>
          <w:rFonts w:hint="eastAsia" w:ascii="宋体" w:hAnsi="宋体" w:eastAsia="宋体" w:cs="宋体"/>
          <w:color w:val="auto"/>
          <w:sz w:val="24"/>
          <w:szCs w:val="24"/>
          <w:highlight w:val="none"/>
        </w:rPr>
      </w:pPr>
    </w:p>
    <w:p w14:paraId="70799BE3">
      <w:pPr>
        <w:spacing w:line="360" w:lineRule="auto"/>
        <w:rPr>
          <w:rFonts w:hint="eastAsia" w:ascii="宋体" w:hAnsi="宋体" w:eastAsia="宋体" w:cs="宋体"/>
          <w:color w:val="auto"/>
          <w:sz w:val="24"/>
          <w:szCs w:val="24"/>
          <w:highlight w:val="none"/>
          <w:lang w:eastAsia="zh-CN"/>
        </w:rPr>
      </w:pPr>
    </w:p>
    <w:p w14:paraId="17E09C0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供应商（单位名称及公章）：____________________</w:t>
      </w:r>
    </w:p>
    <w:p w14:paraId="21CA7A4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被授权人（签字）：____________________</w:t>
      </w:r>
    </w:p>
    <w:p w14:paraId="5D7E3A6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期：________年________月________日</w:t>
      </w:r>
    </w:p>
    <w:p w14:paraId="672ED434">
      <w:pPr>
        <w:rPr>
          <w:rFonts w:hint="eastAsia" w:ascii="宋体" w:hAnsi="宋体" w:eastAsia="宋体" w:cs="宋体"/>
          <w:color w:val="auto"/>
          <w:highlight w:val="none"/>
        </w:rPr>
        <w:sectPr>
          <w:pgSz w:w="11906" w:h="16838"/>
          <w:pgMar w:top="1304" w:right="1304" w:bottom="1304" w:left="1304" w:header="964" w:footer="1020" w:gutter="0"/>
          <w:pgBorders>
            <w:top w:val="none" w:sz="0" w:space="0"/>
            <w:left w:val="none" w:sz="0" w:space="0"/>
            <w:bottom w:val="none" w:sz="0" w:space="0"/>
            <w:right w:val="none" w:sz="0" w:space="0"/>
          </w:pgBorders>
          <w:pgNumType w:fmt="decimal"/>
          <w:cols w:space="0" w:num="1"/>
          <w:rtlGutter w:val="0"/>
          <w:docGrid w:type="lines" w:linePitch="385" w:charSpace="0"/>
        </w:sectPr>
      </w:pPr>
    </w:p>
    <w:p w14:paraId="1D186033">
      <w:pPr>
        <w:pStyle w:val="5"/>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sz w:val="32"/>
          <w:szCs w:val="32"/>
        </w:rPr>
      </w:pPr>
      <w:r>
        <w:rPr>
          <w:rFonts w:hint="eastAsia"/>
          <w:sz w:val="32"/>
          <w:szCs w:val="32"/>
        </w:rPr>
        <w:t>投标人非联合体投标声明</w:t>
      </w:r>
    </w:p>
    <w:p w14:paraId="194A7F96">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709DDBAD">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w:t>
      </w:r>
      <w:r>
        <w:rPr>
          <w:rFonts w:hint="eastAsia" w:ascii="宋体" w:hAnsi="宋体" w:cs="宋体"/>
          <w:bCs/>
          <w:sz w:val="24"/>
          <w:szCs w:val="24"/>
          <w:lang w:eastAsia="zh-CN"/>
        </w:rPr>
        <w:t>做出</w:t>
      </w:r>
      <w:r>
        <w:rPr>
          <w:rFonts w:hint="eastAsia" w:ascii="宋体" w:hAnsi="宋体" w:eastAsia="宋体" w:cs="宋体"/>
          <w:bCs/>
          <w:sz w:val="24"/>
          <w:szCs w:val="24"/>
        </w:rPr>
        <w:t>郑重声明：</w:t>
      </w:r>
    </w:p>
    <w:p w14:paraId="500A1D76">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w:t>
      </w:r>
      <w:r>
        <w:rPr>
          <w:rFonts w:hint="eastAsia" w:ascii="宋体" w:hAnsi="宋体" w:cs="宋体"/>
          <w:bCs/>
          <w:sz w:val="24"/>
          <w:szCs w:val="24"/>
          <w:lang w:val="en-US" w:eastAsia="zh-CN"/>
        </w:rPr>
        <w:t>磋商小组</w:t>
      </w:r>
      <w:r>
        <w:rPr>
          <w:rFonts w:hint="eastAsia" w:ascii="宋体" w:hAnsi="宋体" w:eastAsia="宋体" w:cs="宋体"/>
          <w:bCs/>
          <w:sz w:val="24"/>
          <w:szCs w:val="24"/>
        </w:rPr>
        <w:t>成员行贿。</w:t>
      </w:r>
    </w:p>
    <w:p w14:paraId="7722E6C4">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211EB8CB">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p>
    <w:p w14:paraId="0F3FDDFB">
      <w:pPr>
        <w:pageBreakBefore w:val="0"/>
        <w:kinsoku/>
        <w:wordWrap/>
        <w:overflowPunct/>
        <w:topLinePunct w:val="0"/>
        <w:autoSpaceDE/>
        <w:autoSpaceDN/>
        <w:bidi w:val="0"/>
        <w:adjustRightInd w:val="0"/>
        <w:snapToGrid w:val="0"/>
        <w:spacing w:line="408"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特此声明。</w:t>
      </w:r>
    </w:p>
    <w:p w14:paraId="2CEEFF38">
      <w:pPr>
        <w:pStyle w:val="30"/>
        <w:ind w:firstLine="480"/>
        <w:rPr>
          <w:rFonts w:hint="eastAsia"/>
        </w:rPr>
      </w:pPr>
    </w:p>
    <w:p w14:paraId="73767A53">
      <w:pPr>
        <w:spacing w:line="360" w:lineRule="auto"/>
        <w:rPr>
          <w:rFonts w:ascii="宋体" w:hAnsi="Calibri"/>
          <w:sz w:val="24"/>
          <w:szCs w:val="24"/>
          <w:u w:val="single"/>
        </w:rPr>
      </w:pPr>
      <w:r>
        <w:rPr>
          <w:rFonts w:hint="eastAsia" w:ascii="宋体" w:hAnsi="宋体" w:cs="宋体"/>
          <w:sz w:val="24"/>
          <w:szCs w:val="24"/>
        </w:rPr>
        <w:t>供应商（单位名称及公章）：</w:t>
      </w:r>
      <w:r>
        <w:rPr>
          <w:rFonts w:ascii="宋体" w:hAnsi="宋体" w:cs="宋体"/>
          <w:sz w:val="24"/>
          <w:szCs w:val="24"/>
        </w:rPr>
        <w:t>____________________</w:t>
      </w:r>
    </w:p>
    <w:p w14:paraId="5A335CA8">
      <w:pPr>
        <w:adjustRightInd w:val="0"/>
        <w:snapToGrid w:val="0"/>
        <w:spacing w:line="360" w:lineRule="auto"/>
        <w:rPr>
          <w:rFonts w:ascii="宋体" w:hAnsi="Calibri"/>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w:t>
      </w:r>
      <w:r>
        <w:rPr>
          <w:rFonts w:ascii="宋体" w:hAnsi="宋体" w:cs="宋体"/>
          <w:sz w:val="24"/>
          <w:szCs w:val="24"/>
        </w:rPr>
        <w:t>____________________</w:t>
      </w:r>
    </w:p>
    <w:p w14:paraId="3FA76E52">
      <w:pPr>
        <w:adjustRightInd w:val="0"/>
        <w:snapToGrid w:val="0"/>
        <w:spacing w:line="360" w:lineRule="auto"/>
        <w:sectPr>
          <w:pgSz w:w="11906" w:h="16838"/>
          <w:pgMar w:top="1417" w:right="1417" w:bottom="1417" w:left="1417" w:header="992" w:footer="992" w:gutter="0"/>
          <w:pgNumType w:fmt="decimal"/>
          <w:cols w:space="0" w:num="1"/>
          <w:titlePg/>
          <w:rtlGutter w:val="0"/>
          <w:docGrid w:type="lines" w:linePitch="333"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________</w:t>
      </w:r>
      <w:r>
        <w:rPr>
          <w:rFonts w:hint="eastAsia" w:ascii="宋体" w:hAnsi="宋体" w:cs="宋体"/>
          <w:sz w:val="24"/>
          <w:szCs w:val="24"/>
        </w:rPr>
        <w:t>月</w:t>
      </w:r>
      <w:r>
        <w:rPr>
          <w:rFonts w:ascii="宋体" w:hAnsi="宋体" w:cs="宋体"/>
          <w:sz w:val="24"/>
          <w:szCs w:val="24"/>
        </w:rPr>
        <w:t>________</w:t>
      </w:r>
      <w:r>
        <w:rPr>
          <w:rFonts w:hint="eastAsia" w:ascii="宋体" w:hAnsi="宋体" w:cs="宋体"/>
          <w:sz w:val="24"/>
          <w:szCs w:val="24"/>
        </w:rPr>
        <w:t>日</w:t>
      </w:r>
    </w:p>
    <w:p w14:paraId="7E72671F">
      <w:pPr>
        <w:pStyle w:val="5"/>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sz w:val="32"/>
          <w:szCs w:val="32"/>
          <w:lang w:val="en-US" w:eastAsia="zh-CN"/>
        </w:rPr>
      </w:pPr>
      <w:r>
        <w:rPr>
          <w:rFonts w:hint="eastAsia"/>
          <w:sz w:val="32"/>
          <w:szCs w:val="32"/>
          <w:lang w:val="en-US" w:eastAsia="zh-CN"/>
        </w:rPr>
        <w:t>中小企业声明函（工程、服务）</w:t>
      </w:r>
    </w:p>
    <w:p w14:paraId="67EA7FD9">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E8C2C1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7409A332">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36A67DC1">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2E348EB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D460CF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3267AD2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391C2DB6">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60FF0ECE">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7DC58812">
      <w:pPr>
        <w:pStyle w:val="105"/>
        <w:rPr>
          <w:rFonts w:hint="eastAsia"/>
          <w:lang w:val="en-US" w:eastAsia="zh-CN"/>
        </w:rPr>
      </w:pPr>
    </w:p>
    <w:p w14:paraId="02C4E7B3">
      <w:pPr>
        <w:pStyle w:val="34"/>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7E4E5F2E">
      <w:pPr>
        <w:pStyle w:val="2"/>
        <w:rPr>
          <w:rFonts w:hint="eastAsia" w:ascii="宋体" w:hAnsi="宋体" w:eastAsia="宋体" w:cs="宋体"/>
          <w:sz w:val="24"/>
          <w:szCs w:val="24"/>
        </w:rPr>
        <w:sectPr>
          <w:pgSz w:w="11906" w:h="16838"/>
          <w:pgMar w:top="1417" w:right="1417" w:bottom="1417" w:left="1417" w:header="992" w:footer="992" w:gutter="0"/>
          <w:pgNumType w:fmt="decimal"/>
          <w:cols w:space="0" w:num="1"/>
          <w:titlePg/>
          <w:rtlGutter w:val="0"/>
          <w:docGrid w:type="lines" w:linePitch="333" w:charSpace="0"/>
        </w:sectPr>
      </w:pPr>
    </w:p>
    <w:p w14:paraId="01FD385C">
      <w:pPr>
        <w:keepNext/>
        <w:keepLines/>
        <w:pageBreakBefore w:val="0"/>
        <w:widowControl w:val="0"/>
        <w:kinsoku/>
        <w:wordWrap/>
        <w:overflowPunct/>
        <w:topLinePunct w:val="0"/>
        <w:autoSpaceDE/>
        <w:autoSpaceDN/>
        <w:bidi w:val="0"/>
        <w:adjustRightInd/>
        <w:snapToGrid/>
        <w:spacing w:after="168" w:afterLines="50" w:line="240" w:lineRule="auto"/>
        <w:jc w:val="center"/>
        <w:textAlignment w:val="auto"/>
        <w:outlineLvl w:val="1"/>
        <w:rPr>
          <w:rFonts w:ascii="Calibri Light" w:hAnsi="Calibri Light" w:cs="Times New Roman"/>
          <w:b/>
          <w:bCs/>
          <w:sz w:val="32"/>
          <w:szCs w:val="32"/>
        </w:rPr>
      </w:pPr>
      <w:r>
        <w:rPr>
          <w:rFonts w:hint="eastAsia" w:ascii="Calibri Light" w:hAnsi="Calibri Light" w:cs="Times New Roman"/>
          <w:b/>
          <w:bCs/>
          <w:sz w:val="32"/>
          <w:szCs w:val="32"/>
        </w:rPr>
        <w:t xml:space="preserve">第四章 </w:t>
      </w:r>
      <w:r>
        <w:rPr>
          <w:rFonts w:hint="eastAsia" w:ascii="Calibri Light" w:hAnsi="Calibri Light" w:cs="Times New Roman"/>
          <w:b/>
          <w:bCs/>
          <w:sz w:val="32"/>
          <w:szCs w:val="32"/>
          <w:lang w:val="en-US" w:eastAsia="zh-CN"/>
        </w:rPr>
        <w:t>商务偏离表</w:t>
      </w:r>
    </w:p>
    <w:tbl>
      <w:tblPr>
        <w:tblStyle w:val="3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0E1E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A9F5633">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b/>
                <w:szCs w:val="21"/>
                <w:lang w:val="en-US" w:eastAsia="zh-CN"/>
              </w:rPr>
              <w:t>序号</w:t>
            </w:r>
          </w:p>
        </w:tc>
        <w:tc>
          <w:tcPr>
            <w:tcW w:w="2835" w:type="dxa"/>
            <w:vAlign w:val="center"/>
          </w:tcPr>
          <w:p w14:paraId="7F1CA074">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val="en-US" w:eastAsia="zh-CN"/>
              </w:rPr>
              <w:t>磋商</w:t>
            </w:r>
            <w:r>
              <w:rPr>
                <w:rFonts w:hint="eastAsia" w:ascii="宋体" w:hAnsi="宋体" w:eastAsia="宋体" w:cs="宋体"/>
                <w:b/>
                <w:szCs w:val="21"/>
              </w:rPr>
              <w:t>文件商务要求</w:t>
            </w:r>
          </w:p>
        </w:tc>
        <w:tc>
          <w:tcPr>
            <w:tcW w:w="2552" w:type="dxa"/>
            <w:vAlign w:val="center"/>
          </w:tcPr>
          <w:p w14:paraId="032B526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val="en-US" w:eastAsia="zh-CN"/>
              </w:rPr>
              <w:t>响应</w:t>
            </w:r>
            <w:r>
              <w:rPr>
                <w:rFonts w:hint="eastAsia" w:ascii="宋体" w:hAnsi="宋体" w:eastAsia="宋体" w:cs="宋体"/>
                <w:b/>
                <w:szCs w:val="21"/>
              </w:rPr>
              <w:t>文件商务应答</w:t>
            </w:r>
          </w:p>
        </w:tc>
        <w:tc>
          <w:tcPr>
            <w:tcW w:w="1516" w:type="dxa"/>
            <w:vAlign w:val="center"/>
          </w:tcPr>
          <w:p w14:paraId="7E52D117">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w:t>
            </w:r>
          </w:p>
          <w:p w14:paraId="396BACF3">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szCs w:val="21"/>
              </w:rPr>
              <w:t>（无/正/负）</w:t>
            </w:r>
          </w:p>
        </w:tc>
        <w:tc>
          <w:tcPr>
            <w:tcW w:w="1516" w:type="dxa"/>
            <w:vAlign w:val="center"/>
          </w:tcPr>
          <w:p w14:paraId="0BDCDB45">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偏离简述</w:t>
            </w:r>
          </w:p>
        </w:tc>
      </w:tr>
      <w:tr w14:paraId="72D8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1441862B">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835" w:type="dxa"/>
            <w:vAlign w:val="center"/>
          </w:tcPr>
          <w:p w14:paraId="7E0E9064">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36E189E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3A28D9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2C92AEFD">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3C0C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A83D346">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835" w:type="dxa"/>
            <w:vAlign w:val="center"/>
          </w:tcPr>
          <w:p w14:paraId="49B46705">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73355C9E">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13DCAD36">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337FE73D">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08DF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4AC8D09">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835" w:type="dxa"/>
            <w:vAlign w:val="center"/>
          </w:tcPr>
          <w:p w14:paraId="4FA4B2CB">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5DA062E2">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B7FB80A">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6F44738">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11FD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BE05DE7">
            <w:pPr>
              <w:keepNext w:val="0"/>
              <w:keepLines w:val="0"/>
              <w:suppressLineNumbers w:val="0"/>
              <w:wordWrap w:val="0"/>
              <w:spacing w:before="0" w:beforeAutospacing="0" w:after="0" w:afterAutospacing="0"/>
              <w:ind w:left="0" w:right="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w:t>
            </w:r>
          </w:p>
        </w:tc>
        <w:tc>
          <w:tcPr>
            <w:tcW w:w="2835" w:type="dxa"/>
            <w:vAlign w:val="center"/>
          </w:tcPr>
          <w:p w14:paraId="0A86E2A4">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7D98DAA9">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314D7ED6">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90CE91A">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2FAC29F1">
      <w:pPr>
        <w:spacing w:line="360" w:lineRule="auto"/>
        <w:ind w:firstLine="480" w:firstLineChars="200"/>
        <w:rPr>
          <w:rFonts w:hint="eastAsia" w:ascii="宋体" w:hAnsi="宋体" w:cs="Times New Roman"/>
          <w:b w:val="0"/>
          <w:bCs w:val="0"/>
          <w:sz w:val="24"/>
          <w:szCs w:val="24"/>
        </w:rPr>
      </w:pPr>
    </w:p>
    <w:p w14:paraId="130A6E3E">
      <w:pPr>
        <w:spacing w:line="360" w:lineRule="auto"/>
        <w:ind w:firstLine="480" w:firstLineChars="200"/>
        <w:rPr>
          <w:rFonts w:ascii="Times New Roman" w:hAnsi="Times New Roman" w:cs="Times New Roman"/>
          <w:b w:val="0"/>
          <w:bCs w:val="0"/>
          <w:sz w:val="24"/>
          <w:szCs w:val="24"/>
        </w:rPr>
      </w:pPr>
      <w:r>
        <w:rPr>
          <w:rFonts w:hint="eastAsia" w:ascii="宋体" w:hAnsi="宋体" w:cs="Times New Roman"/>
          <w:b w:val="0"/>
          <w:bCs w:val="0"/>
          <w:sz w:val="24"/>
          <w:szCs w:val="24"/>
        </w:rPr>
        <w:t>注：对磋商文件中要求的商务条款响应并详细说明。</w:t>
      </w:r>
    </w:p>
    <w:p w14:paraId="41821400">
      <w:pPr>
        <w:rPr>
          <w:rFonts w:ascii="Times New Roman" w:hAnsi="Times New Roman" w:cs="Times New Roman"/>
          <w:sz w:val="24"/>
          <w:szCs w:val="24"/>
        </w:rPr>
      </w:pPr>
    </w:p>
    <w:p w14:paraId="1AA0AD35">
      <w:pPr>
        <w:pStyle w:val="21"/>
      </w:pPr>
    </w:p>
    <w:p w14:paraId="3A3DA496">
      <w:pPr>
        <w:pStyle w:val="21"/>
      </w:pPr>
    </w:p>
    <w:p w14:paraId="1A457030">
      <w:pPr>
        <w:pStyle w:val="21"/>
      </w:pPr>
    </w:p>
    <w:p w14:paraId="446B0A52">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2CAD92FC">
      <w:pPr>
        <w:adjustRightInd w:val="0"/>
        <w:snapToGrid w:val="0"/>
        <w:spacing w:line="480" w:lineRule="auto"/>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）：____________________________</w:t>
      </w:r>
    </w:p>
    <w:p w14:paraId="4AEB6F70">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1D892ABC">
      <w:pPr>
        <w:widowControl/>
        <w:jc w:val="left"/>
        <w:rPr>
          <w:rFonts w:ascii="宋体" w:hAnsi="宋体" w:cs="宋体"/>
          <w:b/>
          <w:bCs/>
          <w:sz w:val="28"/>
          <w:szCs w:val="28"/>
        </w:rPr>
      </w:pPr>
    </w:p>
    <w:bookmarkEnd w:id="208"/>
    <w:bookmarkEnd w:id="210"/>
    <w:bookmarkEnd w:id="211"/>
    <w:bookmarkEnd w:id="212"/>
    <w:bookmarkEnd w:id="213"/>
    <w:bookmarkEnd w:id="214"/>
    <w:bookmarkEnd w:id="215"/>
    <w:p w14:paraId="6BB5BF91">
      <w:pPr>
        <w:pStyle w:val="4"/>
        <w:pageBreakBefore/>
        <w:rPr>
          <w:rFonts w:ascii="宋体" w:cs="Times New Roman"/>
          <w:sz w:val="24"/>
          <w:szCs w:val="24"/>
        </w:rPr>
        <w:sectPr>
          <w:pgSz w:w="11906" w:h="16838"/>
          <w:pgMar w:top="1417" w:right="1417" w:bottom="1417" w:left="1417" w:header="992" w:footer="992" w:gutter="0"/>
          <w:pgNumType w:fmt="decimal"/>
          <w:cols w:space="0" w:num="1"/>
          <w:titlePg/>
          <w:rtlGutter w:val="0"/>
          <w:docGrid w:type="lines" w:linePitch="333" w:charSpace="0"/>
        </w:sectPr>
      </w:pPr>
      <w:bookmarkStart w:id="216" w:name="_Toc1408"/>
    </w:p>
    <w:bookmarkEnd w:id="216"/>
    <w:p w14:paraId="09722C7E">
      <w:pPr>
        <w:pStyle w:val="4"/>
        <w:keepNext/>
        <w:keepLines/>
        <w:pageBreakBefore/>
        <w:widowControl w:val="0"/>
        <w:kinsoku/>
        <w:wordWrap/>
        <w:overflowPunct/>
        <w:topLinePunct w:val="0"/>
        <w:autoSpaceDE/>
        <w:autoSpaceDN/>
        <w:bidi w:val="0"/>
        <w:adjustRightInd/>
        <w:snapToGrid/>
        <w:spacing w:after="168" w:afterLines="50" w:line="240" w:lineRule="auto"/>
        <w:textAlignment w:val="auto"/>
        <w:rPr>
          <w:rFonts w:ascii="宋体" w:hAnsi="宋体" w:cs="宋体"/>
          <w:sz w:val="32"/>
          <w:szCs w:val="32"/>
        </w:rPr>
      </w:pPr>
      <w:bookmarkStart w:id="217" w:name="_Toc9172"/>
      <w:bookmarkStart w:id="218" w:name="_Toc536429339"/>
      <w:bookmarkStart w:id="219" w:name="_Toc536429392"/>
      <w:bookmarkStart w:id="220" w:name="_Toc19543359"/>
      <w:bookmarkStart w:id="221" w:name="_Toc536202330"/>
      <w:bookmarkStart w:id="222" w:name="_Toc536202399"/>
      <w:bookmarkStart w:id="223" w:name="_Toc14937"/>
      <w:bookmarkStart w:id="224" w:name="_Toc1803"/>
      <w:r>
        <w:rPr>
          <w:rFonts w:hint="eastAsia" w:ascii="宋体" w:hAnsi="宋体" w:cs="宋体"/>
          <w:sz w:val="32"/>
          <w:szCs w:val="32"/>
        </w:rPr>
        <w:t>第五章</w:t>
      </w:r>
      <w:r>
        <w:rPr>
          <w:rFonts w:ascii="宋体" w:hAnsi="宋体" w:cs="宋体"/>
          <w:sz w:val="32"/>
          <w:szCs w:val="32"/>
        </w:rPr>
        <w:t xml:space="preserve">  </w:t>
      </w:r>
      <w:bookmarkEnd w:id="217"/>
      <w:r>
        <w:rPr>
          <w:rFonts w:hint="eastAsia" w:ascii="宋体" w:hAnsi="宋体" w:cs="宋体"/>
          <w:sz w:val="32"/>
          <w:szCs w:val="32"/>
        </w:rPr>
        <w:t>投标方案</w:t>
      </w:r>
      <w:bookmarkEnd w:id="218"/>
      <w:bookmarkEnd w:id="219"/>
      <w:bookmarkEnd w:id="220"/>
      <w:bookmarkEnd w:id="221"/>
      <w:bookmarkEnd w:id="222"/>
      <w:bookmarkEnd w:id="223"/>
    </w:p>
    <w:p w14:paraId="387682AE">
      <w:pPr>
        <w:adjustRightInd w:val="0"/>
        <w:snapToGrid w:val="0"/>
        <w:spacing w:line="500" w:lineRule="exact"/>
        <w:ind w:firstLine="645"/>
        <w:rPr>
          <w:rFonts w:hint="eastAsia" w:ascii="宋体" w:hAnsi="宋体"/>
          <w:sz w:val="24"/>
        </w:rPr>
      </w:pPr>
      <w:bookmarkStart w:id="225" w:name="_Toc484198844"/>
      <w:bookmarkStart w:id="226" w:name="_Toc26541342"/>
      <w:bookmarkStart w:id="227" w:name="_Toc528240834"/>
      <w:bookmarkStart w:id="228" w:name="_Toc23258631"/>
      <w:bookmarkStart w:id="229" w:name="_Toc19543360"/>
      <w:r>
        <w:rPr>
          <w:rFonts w:hint="eastAsia" w:ascii="宋体" w:hAnsi="宋体" w:eastAsia="宋体" w:cs="宋体"/>
          <w:b/>
          <w:bCs/>
          <w:sz w:val="24"/>
          <w:szCs w:val="24"/>
          <w:lang w:val="en-US" w:eastAsia="zh-CN"/>
        </w:rPr>
        <w:t>参照</w:t>
      </w:r>
      <w:r>
        <w:rPr>
          <w:rFonts w:hint="eastAsia" w:ascii="宋体" w:hAnsi="宋体" w:cs="宋体"/>
          <w:b/>
          <w:bCs/>
          <w:sz w:val="24"/>
          <w:szCs w:val="24"/>
          <w:lang w:val="en-US" w:eastAsia="zh-CN"/>
        </w:rPr>
        <w:t>磋商</w:t>
      </w:r>
      <w:r>
        <w:rPr>
          <w:rFonts w:hint="eastAsia" w:ascii="宋体" w:hAnsi="宋体" w:eastAsia="宋体" w:cs="宋体"/>
          <w:b/>
          <w:bCs/>
          <w:sz w:val="24"/>
          <w:szCs w:val="24"/>
        </w:rPr>
        <w:t>文件的《评审方法和程序》各条款的要求，结合《</w:t>
      </w:r>
      <w:r>
        <w:rPr>
          <w:rFonts w:hint="eastAsia" w:ascii="宋体" w:hAnsi="宋体" w:cs="宋体"/>
          <w:b/>
          <w:bCs/>
          <w:sz w:val="24"/>
          <w:szCs w:val="24"/>
          <w:lang w:val="en-US" w:eastAsia="zh-CN"/>
        </w:rPr>
        <w:t>采购</w:t>
      </w:r>
      <w:r>
        <w:rPr>
          <w:rFonts w:hint="eastAsia" w:ascii="宋体" w:hAnsi="宋体" w:eastAsia="宋体" w:cs="宋体"/>
          <w:b/>
          <w:bCs/>
          <w:sz w:val="24"/>
          <w:szCs w:val="24"/>
        </w:rPr>
        <w:t>内容及要求》和编制的投标方案说明书，投标方案由供应商自行编写，无具体格式，包含但不限于以下内容：</w:t>
      </w:r>
    </w:p>
    <w:p w14:paraId="57DC1D16">
      <w:pPr>
        <w:adjustRightInd w:val="0"/>
        <w:snapToGrid w:val="0"/>
        <w:spacing w:line="500" w:lineRule="exact"/>
        <w:ind w:firstLine="645"/>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对本次投标的详细方案，投标人视各自情况自行编制。</w:t>
      </w:r>
    </w:p>
    <w:p w14:paraId="61FAC0EE">
      <w:pPr>
        <w:adjustRightInd w:val="0"/>
        <w:snapToGrid w:val="0"/>
        <w:spacing w:line="500" w:lineRule="exact"/>
        <w:ind w:firstLine="645"/>
        <w:rPr>
          <w:rFonts w:hint="eastAsia" w:ascii="宋体" w:hAnsi="宋体"/>
          <w:sz w:val="24"/>
        </w:rPr>
      </w:pPr>
      <w:r>
        <w:rPr>
          <w:rFonts w:hint="eastAsia" w:ascii="宋体" w:hAnsi="宋体"/>
          <w:sz w:val="24"/>
          <w:lang w:val="en-US" w:eastAsia="zh-CN"/>
        </w:rPr>
        <w:t>2.</w:t>
      </w:r>
      <w:r>
        <w:rPr>
          <w:rFonts w:hint="eastAsia" w:ascii="宋体" w:hAnsi="宋体"/>
          <w:sz w:val="24"/>
        </w:rPr>
        <w:t>投标人应编制施工组织设计</w:t>
      </w:r>
    </w:p>
    <w:p w14:paraId="53199101">
      <w:pPr>
        <w:adjustRightInd w:val="0"/>
        <w:snapToGrid w:val="0"/>
        <w:spacing w:line="500" w:lineRule="exact"/>
        <w:ind w:firstLine="645"/>
        <w:rPr>
          <w:rFonts w:hint="eastAsia" w:ascii="宋体" w:hAnsi="宋体"/>
          <w:sz w:val="24"/>
        </w:rPr>
      </w:pPr>
      <w:r>
        <w:rPr>
          <w:rFonts w:hint="eastAsia" w:ascii="宋体" w:hAnsi="宋体"/>
          <w:sz w:val="24"/>
        </w:rPr>
        <w:t>（1）编制具体要求（包括但不限于以下内容）：项目经理部组成</w:t>
      </w:r>
      <w:r>
        <w:rPr>
          <w:rFonts w:hint="eastAsia" w:ascii="宋体" w:hAnsi="宋体"/>
          <w:sz w:val="24"/>
          <w:lang w:eastAsia="zh-CN"/>
        </w:rPr>
        <w:t>；</w:t>
      </w:r>
      <w:r>
        <w:rPr>
          <w:rFonts w:hint="eastAsia" w:ascii="宋体" w:hAnsi="宋体"/>
          <w:sz w:val="24"/>
        </w:rPr>
        <w:t>施工部署及总平面布置</w:t>
      </w:r>
      <w:r>
        <w:rPr>
          <w:rFonts w:hint="eastAsia" w:ascii="宋体" w:hAnsi="宋体"/>
          <w:sz w:val="24"/>
          <w:lang w:eastAsia="zh-CN"/>
        </w:rPr>
        <w:t>；</w:t>
      </w:r>
      <w:r>
        <w:rPr>
          <w:rFonts w:hint="eastAsia" w:ascii="宋体" w:hAnsi="宋体"/>
          <w:sz w:val="24"/>
        </w:rPr>
        <w:t>施工进度计划及措施</w:t>
      </w:r>
      <w:r>
        <w:rPr>
          <w:rFonts w:hint="eastAsia" w:ascii="宋体" w:hAnsi="宋体"/>
          <w:sz w:val="24"/>
          <w:lang w:eastAsia="zh-CN"/>
        </w:rPr>
        <w:t>；</w:t>
      </w:r>
      <w:r>
        <w:rPr>
          <w:rFonts w:hint="eastAsia" w:ascii="宋体" w:hAnsi="宋体"/>
          <w:sz w:val="24"/>
        </w:rPr>
        <w:t>施工方案</w:t>
      </w:r>
      <w:r>
        <w:rPr>
          <w:rFonts w:hint="eastAsia" w:ascii="宋体" w:hAnsi="宋体"/>
          <w:sz w:val="24"/>
          <w:lang w:eastAsia="zh-CN"/>
        </w:rPr>
        <w:t>；</w:t>
      </w:r>
      <w:r>
        <w:rPr>
          <w:rFonts w:hint="eastAsia" w:ascii="宋体" w:hAnsi="宋体"/>
          <w:sz w:val="24"/>
        </w:rPr>
        <w:t>质量安全保证措施</w:t>
      </w:r>
      <w:r>
        <w:rPr>
          <w:rFonts w:hint="eastAsia" w:ascii="宋体" w:hAnsi="宋体"/>
          <w:sz w:val="24"/>
          <w:lang w:eastAsia="zh-CN"/>
        </w:rPr>
        <w:t>；</w:t>
      </w:r>
      <w:r>
        <w:rPr>
          <w:rFonts w:hint="eastAsia" w:ascii="宋体" w:hAnsi="宋体"/>
          <w:sz w:val="24"/>
        </w:rPr>
        <w:t>使用新材料、新工艺的可能性；</w:t>
      </w:r>
      <w:r>
        <w:rPr>
          <w:rFonts w:hint="eastAsia" w:ascii="宋体" w:hAnsi="宋体"/>
          <w:sz w:val="24"/>
          <w:lang w:val="en-US" w:eastAsia="zh-CN"/>
        </w:rPr>
        <w:t>局部展示方案</w:t>
      </w:r>
      <w:r>
        <w:rPr>
          <w:rFonts w:hint="eastAsia" w:ascii="宋体" w:hAnsi="宋体"/>
          <w:sz w:val="24"/>
        </w:rPr>
        <w:t>；主要</w:t>
      </w:r>
      <w:r>
        <w:rPr>
          <w:rFonts w:hint="eastAsia" w:ascii="宋体" w:hAnsi="宋体"/>
          <w:sz w:val="24"/>
          <w:lang w:val="en-US" w:eastAsia="zh-CN"/>
        </w:rPr>
        <w:t>工器具</w:t>
      </w:r>
      <w:r>
        <w:rPr>
          <w:rFonts w:hint="eastAsia" w:ascii="宋体" w:hAnsi="宋体"/>
          <w:sz w:val="24"/>
        </w:rPr>
        <w:t xml:space="preserve">设备供应计划；劳动力安排；安全文明施工措施。 </w:t>
      </w:r>
    </w:p>
    <w:p w14:paraId="2AEA51D5">
      <w:pPr>
        <w:adjustRightInd w:val="0"/>
        <w:snapToGrid w:val="0"/>
        <w:spacing w:line="500" w:lineRule="exact"/>
        <w:ind w:firstLine="645"/>
        <w:rPr>
          <w:rFonts w:hint="eastAsia"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 xml:space="preserve"> 业绩</w:t>
      </w:r>
    </w:p>
    <w:p w14:paraId="1B0BBC44">
      <w:pPr>
        <w:adjustRightInd w:val="0"/>
        <w:snapToGrid w:val="0"/>
        <w:spacing w:line="500" w:lineRule="exact"/>
        <w:ind w:firstLine="645"/>
        <w:rPr>
          <w:rFonts w:hint="eastAsia" w:ascii="宋体" w:hAnsi="宋体" w:eastAsia="宋体"/>
          <w:sz w:val="24"/>
        </w:rPr>
      </w:pPr>
      <w:r>
        <w:rPr>
          <w:rFonts w:hint="eastAsia" w:ascii="宋体" w:hAnsi="宋体" w:eastAsia="宋体"/>
          <w:sz w:val="24"/>
          <w:lang w:val="en-US" w:eastAsia="zh-CN"/>
        </w:rPr>
        <w:t>4.</w:t>
      </w:r>
      <w:r>
        <w:rPr>
          <w:rFonts w:hint="eastAsia" w:ascii="宋体" w:hAnsi="宋体" w:eastAsia="宋体"/>
          <w:sz w:val="24"/>
        </w:rPr>
        <w:t>保修承诺</w:t>
      </w:r>
    </w:p>
    <w:p w14:paraId="7B762A94">
      <w:pPr>
        <w:adjustRightInd w:val="0"/>
        <w:snapToGrid w:val="0"/>
        <w:spacing w:line="500" w:lineRule="exact"/>
        <w:ind w:firstLine="645"/>
        <w:rPr>
          <w:rFonts w:hint="eastAsia" w:ascii="宋体" w:hAnsi="宋体" w:eastAsia="宋体"/>
          <w:sz w:val="24"/>
        </w:rPr>
      </w:pPr>
      <w:r>
        <w:rPr>
          <w:rFonts w:hint="eastAsia" w:ascii="宋体" w:hAnsi="宋体" w:eastAsia="宋体"/>
          <w:sz w:val="24"/>
          <w:lang w:val="en-US" w:eastAsia="zh-CN"/>
        </w:rPr>
        <w:t>5.</w:t>
      </w:r>
      <w:r>
        <w:rPr>
          <w:rFonts w:hint="eastAsia" w:ascii="宋体" w:hAnsi="宋体" w:eastAsia="宋体"/>
          <w:sz w:val="24"/>
        </w:rPr>
        <w:t>工程质量</w:t>
      </w:r>
    </w:p>
    <w:p w14:paraId="58855BF9">
      <w:pPr>
        <w:adjustRightInd w:val="0"/>
        <w:snapToGrid w:val="0"/>
        <w:spacing w:line="500" w:lineRule="exact"/>
        <w:ind w:firstLine="645"/>
        <w:rPr>
          <w:rFonts w:hint="eastAsia" w:ascii="宋体" w:hAnsi="宋体" w:eastAsia="宋体"/>
          <w:sz w:val="24"/>
          <w:lang w:val="en-US" w:eastAsia="zh-CN"/>
        </w:rPr>
      </w:pPr>
      <w:r>
        <w:rPr>
          <w:rFonts w:hint="eastAsia" w:ascii="宋体" w:hAnsi="宋体" w:eastAsia="宋体"/>
          <w:sz w:val="24"/>
          <w:lang w:val="en-US" w:eastAsia="zh-CN"/>
        </w:rPr>
        <w:t>6.供应商认为需提供的其他证明材料</w:t>
      </w:r>
    </w:p>
    <w:p w14:paraId="562F035F">
      <w:pPr>
        <w:adjustRightInd w:val="0"/>
        <w:snapToGrid w:val="0"/>
        <w:spacing w:line="500" w:lineRule="exact"/>
        <w:ind w:firstLine="645"/>
        <w:rPr>
          <w:rFonts w:hint="eastAsia" w:ascii="宋体" w:hAnsi="宋体" w:eastAsia="宋体"/>
          <w:sz w:val="24"/>
        </w:rPr>
      </w:pPr>
      <w:r>
        <w:rPr>
          <w:rFonts w:hint="eastAsia" w:ascii="宋体" w:hAnsi="宋体" w:eastAsia="宋体"/>
          <w:sz w:val="24"/>
          <w:lang w:val="en-US" w:eastAsia="zh-CN"/>
        </w:rPr>
        <w:t>……</w:t>
      </w:r>
    </w:p>
    <w:p w14:paraId="1D90DA94">
      <w:pPr>
        <w:sectPr>
          <w:headerReference r:id="rId24" w:type="first"/>
          <w:footerReference r:id="rId26" w:type="first"/>
          <w:footerReference r:id="rId25" w:type="default"/>
          <w:pgSz w:w="11905" w:h="16838"/>
          <w:pgMar w:top="1304" w:right="1304" w:bottom="1304" w:left="1304" w:header="907" w:footer="879" w:gutter="0"/>
          <w:pgNumType w:fmt="decimal"/>
          <w:cols w:space="0" w:num="1"/>
          <w:titlePg/>
          <w:rtlGutter w:val="0"/>
          <w:docGrid w:type="lines" w:linePitch="323" w:charSpace="0"/>
        </w:sectPr>
      </w:pPr>
    </w:p>
    <w:p w14:paraId="7194FD18">
      <w:pPr>
        <w:keepNext/>
        <w:keepLines/>
        <w:pageBreakBefore w:val="0"/>
        <w:widowControl w:val="0"/>
        <w:kinsoku/>
        <w:wordWrap/>
        <w:overflowPunct/>
        <w:topLinePunct w:val="0"/>
        <w:bidi w:val="0"/>
        <w:snapToGrid/>
        <w:spacing w:line="500" w:lineRule="atLeast"/>
        <w:ind w:firstLine="482" w:firstLineChars="150"/>
        <w:jc w:val="center"/>
        <w:outlineLvl w:val="1"/>
        <w:rPr>
          <w:rFonts w:hint="eastAsia" w:ascii="宋体" w:hAnsi="宋体" w:eastAsia="宋体" w:cs="宋体"/>
          <w:b/>
          <w:bCs/>
          <w:sz w:val="32"/>
          <w:szCs w:val="32"/>
        </w:rPr>
      </w:pPr>
      <w:r>
        <w:rPr>
          <w:rFonts w:hint="eastAsia" w:ascii="宋体" w:hAnsi="宋体" w:eastAsia="宋体" w:cs="宋体"/>
          <w:b/>
          <w:bCs/>
          <w:sz w:val="32"/>
          <w:szCs w:val="32"/>
        </w:rPr>
        <w:t>投标人情况表</w:t>
      </w:r>
    </w:p>
    <w:p w14:paraId="553D6D32">
      <w:pPr>
        <w:pageBreakBefore w:val="0"/>
        <w:widowControl w:val="0"/>
        <w:kinsoku/>
        <w:wordWrap/>
        <w:overflowPunct/>
        <w:topLinePunct w:val="0"/>
        <w:autoSpaceDE w:val="0"/>
        <w:autoSpaceDN w:val="0"/>
        <w:bidi w:val="0"/>
        <w:adjustRightInd w:val="0"/>
        <w:snapToGrid/>
        <w:spacing w:line="500" w:lineRule="atLeast"/>
        <w:jc w:val="center"/>
        <w:textAlignment w:val="baseline"/>
        <w:rPr>
          <w:rFonts w:hint="eastAsia" w:ascii="宋体" w:hAnsi="宋体" w:eastAsia="宋体" w:cs="宋体"/>
          <w:b/>
          <w:bCs/>
          <w:kern w:val="20"/>
          <w:sz w:val="24"/>
          <w:szCs w:val="24"/>
        </w:rPr>
      </w:pPr>
      <w:bookmarkStart w:id="230" w:name="_Toc214"/>
      <w:bookmarkStart w:id="231" w:name="_Toc4115"/>
      <w:bookmarkStart w:id="232" w:name="_Toc2768"/>
      <w:bookmarkStart w:id="233" w:name="_Toc403077652"/>
      <w:bookmarkStart w:id="234" w:name="_Toc14631"/>
      <w:bookmarkStart w:id="235" w:name="_Toc17592"/>
      <w:bookmarkStart w:id="236" w:name="_Toc426457710"/>
      <w:bookmarkStart w:id="237" w:name="_Toc396304714"/>
      <w:r>
        <w:rPr>
          <w:rFonts w:hint="eastAsia" w:ascii="宋体" w:hAnsi="宋体" w:eastAsia="宋体" w:cs="宋体"/>
          <w:b/>
          <w:bCs/>
          <w:kern w:val="20"/>
          <w:sz w:val="24"/>
          <w:szCs w:val="24"/>
        </w:rPr>
        <w:t>（一）本项目拟投入人员汇总表</w:t>
      </w:r>
      <w:bookmarkEnd w:id="230"/>
      <w:bookmarkEnd w:id="231"/>
      <w:bookmarkEnd w:id="232"/>
      <w:bookmarkEnd w:id="233"/>
      <w:bookmarkEnd w:id="234"/>
      <w:bookmarkEnd w:id="235"/>
      <w:bookmarkEnd w:id="236"/>
      <w:bookmarkEnd w:id="237"/>
    </w:p>
    <w:p w14:paraId="4EB540A8">
      <w:pPr>
        <w:overflowPunct/>
        <w:topLinePunct w:val="0"/>
        <w:autoSpaceDE w:val="0"/>
        <w:autoSpaceDN w:val="0"/>
        <w:bidi w:val="0"/>
        <w:adjustRightInd w:val="0"/>
        <w:spacing w:line="500" w:lineRule="atLeast"/>
        <w:textAlignment w:val="baseline"/>
        <w:rPr>
          <w:rFonts w:hint="eastAsia" w:ascii="宋体" w:hAnsi="宋体" w:eastAsia="宋体" w:cs="宋体"/>
          <w:b/>
          <w:bCs/>
          <w:kern w:val="20"/>
          <w:sz w:val="24"/>
          <w:szCs w:val="24"/>
        </w:rPr>
      </w:pPr>
    </w:p>
    <w:tbl>
      <w:tblPr>
        <w:tblStyle w:val="35"/>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7DCB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trPr>
        <w:tc>
          <w:tcPr>
            <w:tcW w:w="791" w:type="dxa"/>
            <w:tcMar>
              <w:top w:w="15" w:type="dxa"/>
              <w:left w:w="15" w:type="dxa"/>
              <w:bottom w:w="0" w:type="dxa"/>
              <w:right w:w="15" w:type="dxa"/>
            </w:tcMar>
            <w:vAlign w:val="center"/>
          </w:tcPr>
          <w:p w14:paraId="7DA3948C">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1762" w:type="dxa"/>
            <w:tcMar>
              <w:top w:w="15" w:type="dxa"/>
              <w:left w:w="15" w:type="dxa"/>
              <w:bottom w:w="0" w:type="dxa"/>
              <w:right w:w="15" w:type="dxa"/>
            </w:tcMar>
            <w:vAlign w:val="center"/>
          </w:tcPr>
          <w:p w14:paraId="0934C34F">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姓  名</w:t>
            </w:r>
          </w:p>
        </w:tc>
        <w:tc>
          <w:tcPr>
            <w:tcW w:w="809" w:type="dxa"/>
            <w:tcMar>
              <w:top w:w="15" w:type="dxa"/>
              <w:left w:w="15" w:type="dxa"/>
              <w:bottom w:w="0" w:type="dxa"/>
              <w:right w:w="15" w:type="dxa"/>
            </w:tcMar>
            <w:vAlign w:val="center"/>
          </w:tcPr>
          <w:p w14:paraId="17A224B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性别</w:t>
            </w:r>
          </w:p>
        </w:tc>
        <w:tc>
          <w:tcPr>
            <w:tcW w:w="809" w:type="dxa"/>
            <w:tcMar>
              <w:top w:w="15" w:type="dxa"/>
              <w:left w:w="15" w:type="dxa"/>
              <w:bottom w:w="0" w:type="dxa"/>
              <w:right w:w="15" w:type="dxa"/>
            </w:tcMar>
            <w:vAlign w:val="center"/>
          </w:tcPr>
          <w:p w14:paraId="2EC91D9C">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年龄</w:t>
            </w:r>
          </w:p>
        </w:tc>
        <w:tc>
          <w:tcPr>
            <w:tcW w:w="809" w:type="dxa"/>
            <w:tcMar>
              <w:top w:w="15" w:type="dxa"/>
              <w:left w:w="15" w:type="dxa"/>
              <w:bottom w:w="0" w:type="dxa"/>
              <w:right w:w="15" w:type="dxa"/>
            </w:tcMar>
            <w:vAlign w:val="center"/>
          </w:tcPr>
          <w:p w14:paraId="1FD4E09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学历</w:t>
            </w:r>
          </w:p>
        </w:tc>
        <w:tc>
          <w:tcPr>
            <w:tcW w:w="1062" w:type="dxa"/>
            <w:tcMar>
              <w:top w:w="15" w:type="dxa"/>
              <w:left w:w="15" w:type="dxa"/>
              <w:bottom w:w="0" w:type="dxa"/>
              <w:right w:w="15" w:type="dxa"/>
            </w:tcMar>
            <w:vAlign w:val="center"/>
          </w:tcPr>
          <w:p w14:paraId="3BA8689E">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工作</w:t>
            </w:r>
          </w:p>
          <w:p w14:paraId="5970D1D5">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年限</w:t>
            </w:r>
          </w:p>
        </w:tc>
        <w:tc>
          <w:tcPr>
            <w:tcW w:w="2667" w:type="dxa"/>
            <w:tcMar>
              <w:top w:w="15" w:type="dxa"/>
              <w:left w:w="15" w:type="dxa"/>
              <w:bottom w:w="0" w:type="dxa"/>
              <w:right w:w="15" w:type="dxa"/>
            </w:tcMar>
            <w:vAlign w:val="center"/>
          </w:tcPr>
          <w:p w14:paraId="32085DE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拟担任的职务</w:t>
            </w:r>
          </w:p>
        </w:tc>
        <w:tc>
          <w:tcPr>
            <w:tcW w:w="966" w:type="dxa"/>
            <w:tcMar>
              <w:top w:w="15" w:type="dxa"/>
              <w:left w:w="15" w:type="dxa"/>
              <w:bottom w:w="0" w:type="dxa"/>
              <w:right w:w="15" w:type="dxa"/>
            </w:tcMar>
            <w:vAlign w:val="center"/>
          </w:tcPr>
          <w:p w14:paraId="530E1D99">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岗位</w:t>
            </w:r>
          </w:p>
          <w:p w14:paraId="6B5F3EB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情况</w:t>
            </w:r>
          </w:p>
        </w:tc>
      </w:tr>
      <w:tr w14:paraId="621B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3B688E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82301C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D06F3D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022B99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3024AA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EA1E74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9B7D7F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968513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3A76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59DA335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5F6441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804D1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6C3B8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DC8975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56320A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B55D7D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3D7FA82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90B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0B18B5C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866656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42DE13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110BF4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0FCA4C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561003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C692A5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94D726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7E5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7C9D66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CAD6C9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175314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D6D145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7694F3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5068CF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18C9450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D35DE8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AEC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1326DFA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BE13EE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5F06AE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D5DBBC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422ED1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31DC757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397A88F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20412D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08D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6E622C4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69F1C2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7762E2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D49BFB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3E213A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5EE6FB1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1DB8FB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883CF3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1C2A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D723FB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B114AF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8718B1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112E2C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B159D8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6B2B9E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30ABF7B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9A2591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5D61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2E1848B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4AE0B5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94A10D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943450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F580C1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FF451D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452C57B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95DA15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60B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51F7FD4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1A7734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EBA77D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522A3A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EB1B78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39ACCF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3B3F5A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EF0C73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486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1401C56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1855649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C2840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FD4CC7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007E7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50213C0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C9E4A4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CB26C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F68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00BA257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41DE6C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05C378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03C5A0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2BB1E9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19A7E4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1451A13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E6CCFC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719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1813772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102664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D87521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B6936F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AE7089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37AA7C5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28CD2F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348938E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BF8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420989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7E70FD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749467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FB9BAD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5DB3C0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88B05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E2ED6E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7EB70B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76A9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4AF355B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122EC90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E8CA0C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E4FEF0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972DB4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5B304C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421125B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990C1C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912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01BE664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1F510B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B0E8F1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FD6253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7F4057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3C34E08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BD1F3F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4AE545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350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17850B6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3B5712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2F9B9F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9ACC6A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EC4EA5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3470253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7F2928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37A30AB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A35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trPr>
        <w:tc>
          <w:tcPr>
            <w:tcW w:w="791" w:type="dxa"/>
            <w:tcMar>
              <w:top w:w="15" w:type="dxa"/>
              <w:left w:w="15" w:type="dxa"/>
              <w:bottom w:w="0" w:type="dxa"/>
              <w:right w:w="15" w:type="dxa"/>
            </w:tcMar>
            <w:vAlign w:val="bottom"/>
          </w:tcPr>
          <w:p w14:paraId="7B6D545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F20946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F8EF70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32AE22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302D67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937F78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461510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A8B6A1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bl>
    <w:p w14:paraId="2CFEB610">
      <w:pPr>
        <w:overflowPunct/>
        <w:topLinePunct w:val="0"/>
        <w:bidi w:val="0"/>
        <w:spacing w:line="500" w:lineRule="atLeast"/>
        <w:rPr>
          <w:rFonts w:hint="eastAsia" w:ascii="宋体" w:hAnsi="宋体" w:eastAsia="宋体" w:cs="宋体"/>
          <w:szCs w:val="22"/>
        </w:rPr>
      </w:pPr>
    </w:p>
    <w:p w14:paraId="5A182C49">
      <w:pPr>
        <w:overflowPunct/>
        <w:topLinePunct w:val="0"/>
        <w:bidi w:val="0"/>
        <w:adjustRightInd w:val="0"/>
        <w:snapToGrid w:val="0"/>
        <w:spacing w:line="500" w:lineRule="atLeast"/>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4EFDFCEB">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cs="宋体"/>
          <w:sz w:val="28"/>
          <w:szCs w:val="28"/>
          <w:lang w:val="en-US" w:eastAsia="zh-CN"/>
        </w:rPr>
        <w:t>或</w:t>
      </w:r>
      <w:r>
        <w:rPr>
          <w:rFonts w:hint="eastAsia" w:ascii="宋体" w:hAnsi="宋体" w:eastAsia="宋体" w:cs="宋体"/>
          <w:sz w:val="28"/>
          <w:szCs w:val="28"/>
        </w:rPr>
        <w:t>被授权人（</w:t>
      </w:r>
      <w:r>
        <w:rPr>
          <w:rFonts w:hint="eastAsia" w:ascii="宋体" w:hAnsi="宋体" w:eastAsia="宋体" w:cs="宋体"/>
          <w:sz w:val="24"/>
          <w:szCs w:val="24"/>
        </w:rPr>
        <w:t>签字或盖章</w:t>
      </w:r>
      <w:r>
        <w:rPr>
          <w:rFonts w:hint="eastAsia" w:ascii="宋体" w:hAnsi="宋体" w:eastAsia="宋体" w:cs="宋体"/>
          <w:sz w:val="28"/>
          <w:szCs w:val="28"/>
        </w:rPr>
        <w:t>）：____________________</w:t>
      </w:r>
    </w:p>
    <w:p w14:paraId="54FFA4E8">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日    期：________年________月________日</w:t>
      </w:r>
    </w:p>
    <w:p w14:paraId="5A9A2820">
      <w:pPr>
        <w:overflowPunct/>
        <w:topLinePunct w:val="0"/>
        <w:autoSpaceDE w:val="0"/>
        <w:autoSpaceDN w:val="0"/>
        <w:bidi w:val="0"/>
        <w:adjustRightInd w:val="0"/>
        <w:spacing w:line="500" w:lineRule="atLeast"/>
        <w:jc w:val="center"/>
        <w:textAlignment w:val="baseline"/>
        <w:rPr>
          <w:rFonts w:hint="eastAsia" w:ascii="宋体" w:hAnsi="宋体" w:eastAsia="宋体" w:cs="宋体"/>
          <w:b/>
          <w:bCs/>
          <w:kern w:val="20"/>
          <w:sz w:val="24"/>
          <w:szCs w:val="24"/>
        </w:rPr>
      </w:pPr>
      <w:r>
        <w:rPr>
          <w:rFonts w:hint="eastAsia" w:ascii="宋体" w:hAnsi="宋体" w:eastAsia="宋体" w:cs="宋体"/>
          <w:sz w:val="24"/>
          <w:szCs w:val="24"/>
        </w:rPr>
        <w:t xml:space="preserve">    </w:t>
      </w:r>
      <w:bookmarkStart w:id="238" w:name="_Toc225415861"/>
      <w:bookmarkStart w:id="239" w:name="_Toc15882"/>
      <w:bookmarkStart w:id="240" w:name="_Toc225412172"/>
      <w:bookmarkStart w:id="241" w:name="_Toc225415660"/>
      <w:bookmarkStart w:id="242" w:name="_Toc16685"/>
      <w:bookmarkStart w:id="243" w:name="_Toc225410182"/>
      <w:bookmarkStart w:id="244" w:name="_Toc403077653"/>
      <w:bookmarkStart w:id="245" w:name="_Toc225409966"/>
      <w:bookmarkStart w:id="246" w:name="_Toc26060"/>
      <w:bookmarkStart w:id="247" w:name="_Toc225410808"/>
      <w:bookmarkStart w:id="248" w:name="_Toc225416062"/>
      <w:bookmarkStart w:id="249" w:name="_Toc225566883"/>
      <w:bookmarkStart w:id="250" w:name="_Toc396304715"/>
      <w:bookmarkStart w:id="251" w:name="_Toc225567482"/>
      <w:bookmarkStart w:id="252" w:name="_Toc14010"/>
      <w:bookmarkStart w:id="253" w:name="_Toc341541376"/>
      <w:bookmarkStart w:id="254" w:name="_Toc225566702"/>
      <w:bookmarkStart w:id="255" w:name="_Toc426457711"/>
      <w:bookmarkStart w:id="256" w:name="_Toc4548"/>
      <w:bookmarkStart w:id="257" w:name="_Toc225412374"/>
      <w:bookmarkStart w:id="258" w:name="_Toc528240836"/>
      <w:bookmarkStart w:id="259" w:name="_Toc484890091"/>
      <w:r>
        <w:rPr>
          <w:rFonts w:hint="eastAsia" w:ascii="宋体" w:hAnsi="宋体" w:eastAsia="宋体" w:cs="宋体"/>
          <w:b/>
          <w:bCs/>
          <w:kern w:val="20"/>
          <w:sz w:val="24"/>
          <w:szCs w:val="24"/>
        </w:rPr>
        <w:t>（二） 本项目拟投入主要人员简历表</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1FAFBAD6">
      <w:pPr>
        <w:overflowPunct/>
        <w:topLinePunct w:val="0"/>
        <w:autoSpaceDE w:val="0"/>
        <w:autoSpaceDN w:val="0"/>
        <w:bidi w:val="0"/>
        <w:adjustRightInd w:val="0"/>
        <w:spacing w:line="500" w:lineRule="atLeast"/>
        <w:textAlignment w:val="baseline"/>
        <w:rPr>
          <w:rFonts w:hint="eastAsia" w:ascii="宋体" w:hAnsi="宋体" w:eastAsia="宋体" w:cs="宋体"/>
          <w:b/>
          <w:bCs/>
          <w:kern w:val="20"/>
          <w:sz w:val="24"/>
          <w:szCs w:val="24"/>
        </w:rPr>
      </w:pPr>
    </w:p>
    <w:tbl>
      <w:tblPr>
        <w:tblStyle w:val="35"/>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275"/>
        <w:gridCol w:w="1595"/>
        <w:gridCol w:w="1543"/>
        <w:gridCol w:w="1301"/>
        <w:gridCol w:w="45"/>
        <w:gridCol w:w="1729"/>
        <w:gridCol w:w="7"/>
        <w:gridCol w:w="1145"/>
      </w:tblGrid>
      <w:tr w14:paraId="6207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92" w:type="dxa"/>
            <w:gridSpan w:val="2"/>
            <w:vAlign w:val="center"/>
          </w:tcPr>
          <w:p w14:paraId="2945E0B3">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姓  名</w:t>
            </w:r>
          </w:p>
        </w:tc>
        <w:tc>
          <w:tcPr>
            <w:tcW w:w="1595" w:type="dxa"/>
            <w:vAlign w:val="center"/>
          </w:tcPr>
          <w:p w14:paraId="77F14CB8">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p>
        </w:tc>
        <w:tc>
          <w:tcPr>
            <w:tcW w:w="1543" w:type="dxa"/>
            <w:vAlign w:val="center"/>
          </w:tcPr>
          <w:p w14:paraId="134B2EE1">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性 别</w:t>
            </w:r>
          </w:p>
        </w:tc>
        <w:tc>
          <w:tcPr>
            <w:tcW w:w="1346" w:type="dxa"/>
            <w:gridSpan w:val="2"/>
            <w:vAlign w:val="center"/>
          </w:tcPr>
          <w:p w14:paraId="08D160B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p>
        </w:tc>
        <w:tc>
          <w:tcPr>
            <w:tcW w:w="1729" w:type="dxa"/>
            <w:vAlign w:val="center"/>
          </w:tcPr>
          <w:p w14:paraId="40F3C8EE">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年 龄</w:t>
            </w:r>
          </w:p>
        </w:tc>
        <w:tc>
          <w:tcPr>
            <w:tcW w:w="1152" w:type="dxa"/>
            <w:gridSpan w:val="2"/>
            <w:vAlign w:val="center"/>
          </w:tcPr>
          <w:p w14:paraId="5DA7116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jc w:val="center"/>
              <w:rPr>
                <w:rFonts w:hint="eastAsia" w:ascii="宋体" w:hAnsi="宋体" w:eastAsia="宋体" w:cs="宋体"/>
                <w:kern w:val="0"/>
                <w:sz w:val="24"/>
                <w:szCs w:val="24"/>
              </w:rPr>
            </w:pPr>
          </w:p>
        </w:tc>
      </w:tr>
      <w:tr w14:paraId="5DED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92" w:type="dxa"/>
            <w:gridSpan w:val="2"/>
            <w:vAlign w:val="center"/>
          </w:tcPr>
          <w:p w14:paraId="555BEAEB">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身份证号</w:t>
            </w:r>
          </w:p>
        </w:tc>
        <w:tc>
          <w:tcPr>
            <w:tcW w:w="1595" w:type="dxa"/>
            <w:vAlign w:val="center"/>
          </w:tcPr>
          <w:p w14:paraId="15418CD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p>
        </w:tc>
        <w:tc>
          <w:tcPr>
            <w:tcW w:w="1543" w:type="dxa"/>
            <w:vAlign w:val="center"/>
          </w:tcPr>
          <w:p w14:paraId="4D867809">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毕业时间</w:t>
            </w:r>
          </w:p>
        </w:tc>
        <w:tc>
          <w:tcPr>
            <w:tcW w:w="1346" w:type="dxa"/>
            <w:gridSpan w:val="2"/>
            <w:vAlign w:val="center"/>
          </w:tcPr>
          <w:p w14:paraId="10DC3BD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p>
        </w:tc>
        <w:tc>
          <w:tcPr>
            <w:tcW w:w="1729" w:type="dxa"/>
            <w:vAlign w:val="center"/>
          </w:tcPr>
          <w:p w14:paraId="02C54315">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从业时间</w:t>
            </w:r>
          </w:p>
        </w:tc>
        <w:tc>
          <w:tcPr>
            <w:tcW w:w="1152" w:type="dxa"/>
            <w:gridSpan w:val="2"/>
            <w:vAlign w:val="center"/>
          </w:tcPr>
          <w:p w14:paraId="3DFFA84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jc w:val="center"/>
              <w:rPr>
                <w:rFonts w:hint="eastAsia" w:ascii="宋体" w:hAnsi="宋体" w:eastAsia="宋体" w:cs="宋体"/>
                <w:kern w:val="0"/>
                <w:sz w:val="24"/>
                <w:szCs w:val="24"/>
              </w:rPr>
            </w:pPr>
          </w:p>
        </w:tc>
      </w:tr>
      <w:tr w14:paraId="700E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92" w:type="dxa"/>
            <w:gridSpan w:val="2"/>
            <w:vAlign w:val="center"/>
          </w:tcPr>
          <w:p w14:paraId="4BC595C1">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专业/年限</w:t>
            </w:r>
          </w:p>
        </w:tc>
        <w:tc>
          <w:tcPr>
            <w:tcW w:w="1595" w:type="dxa"/>
            <w:vAlign w:val="center"/>
          </w:tcPr>
          <w:p w14:paraId="34AC9FD4">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p>
        </w:tc>
        <w:tc>
          <w:tcPr>
            <w:tcW w:w="1543" w:type="dxa"/>
            <w:vAlign w:val="center"/>
          </w:tcPr>
          <w:p w14:paraId="3A6FA9B8">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毕业学校</w:t>
            </w:r>
          </w:p>
        </w:tc>
        <w:tc>
          <w:tcPr>
            <w:tcW w:w="1346" w:type="dxa"/>
            <w:gridSpan w:val="2"/>
            <w:vAlign w:val="center"/>
          </w:tcPr>
          <w:p w14:paraId="61B150BB">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p>
        </w:tc>
        <w:tc>
          <w:tcPr>
            <w:tcW w:w="1729" w:type="dxa"/>
            <w:vAlign w:val="center"/>
          </w:tcPr>
          <w:p w14:paraId="2F061460">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学历/专业</w:t>
            </w:r>
          </w:p>
        </w:tc>
        <w:tc>
          <w:tcPr>
            <w:tcW w:w="1152" w:type="dxa"/>
            <w:gridSpan w:val="2"/>
            <w:vAlign w:val="center"/>
          </w:tcPr>
          <w:p w14:paraId="32BCA94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jc w:val="center"/>
              <w:rPr>
                <w:rFonts w:hint="eastAsia" w:ascii="宋体" w:hAnsi="宋体" w:eastAsia="宋体" w:cs="宋体"/>
                <w:kern w:val="0"/>
                <w:sz w:val="24"/>
                <w:szCs w:val="24"/>
              </w:rPr>
            </w:pPr>
          </w:p>
        </w:tc>
      </w:tr>
      <w:tr w14:paraId="49EB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87" w:type="dxa"/>
            <w:gridSpan w:val="3"/>
            <w:vAlign w:val="center"/>
          </w:tcPr>
          <w:p w14:paraId="7B399B0B">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是否属投标人固定雇员</w:t>
            </w:r>
          </w:p>
        </w:tc>
        <w:tc>
          <w:tcPr>
            <w:tcW w:w="1543" w:type="dxa"/>
            <w:vAlign w:val="center"/>
          </w:tcPr>
          <w:p w14:paraId="796DE8BC">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p>
        </w:tc>
        <w:tc>
          <w:tcPr>
            <w:tcW w:w="3075" w:type="dxa"/>
            <w:gridSpan w:val="3"/>
            <w:vAlign w:val="center"/>
          </w:tcPr>
          <w:p w14:paraId="7D5D9680">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为投标人服务时间</w:t>
            </w:r>
          </w:p>
        </w:tc>
        <w:tc>
          <w:tcPr>
            <w:tcW w:w="1152" w:type="dxa"/>
            <w:gridSpan w:val="2"/>
            <w:vAlign w:val="center"/>
          </w:tcPr>
          <w:p w14:paraId="669BEE6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jc w:val="center"/>
              <w:rPr>
                <w:rFonts w:hint="eastAsia" w:ascii="宋体" w:hAnsi="宋体" w:eastAsia="宋体" w:cs="宋体"/>
                <w:kern w:val="0"/>
                <w:sz w:val="24"/>
                <w:szCs w:val="24"/>
              </w:rPr>
            </w:pPr>
          </w:p>
        </w:tc>
      </w:tr>
      <w:tr w14:paraId="30A3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387" w:type="dxa"/>
            <w:gridSpan w:val="3"/>
            <w:vAlign w:val="center"/>
          </w:tcPr>
          <w:p w14:paraId="78D01C4B">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拟在本项目担任职务</w:t>
            </w:r>
          </w:p>
        </w:tc>
        <w:tc>
          <w:tcPr>
            <w:tcW w:w="5770" w:type="dxa"/>
            <w:gridSpan w:val="6"/>
            <w:vAlign w:val="center"/>
          </w:tcPr>
          <w:p w14:paraId="7BA066E3">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p>
        </w:tc>
      </w:tr>
      <w:tr w14:paraId="6DDC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157" w:type="dxa"/>
            <w:gridSpan w:val="9"/>
            <w:vAlign w:val="center"/>
          </w:tcPr>
          <w:p w14:paraId="59D35119">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教育和培训背景</w:t>
            </w:r>
          </w:p>
        </w:tc>
      </w:tr>
      <w:tr w14:paraId="4FAC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9157" w:type="dxa"/>
            <w:gridSpan w:val="9"/>
          </w:tcPr>
          <w:p w14:paraId="0E1EA2C3">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r>
      <w:tr w14:paraId="1856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157" w:type="dxa"/>
            <w:gridSpan w:val="9"/>
            <w:vAlign w:val="center"/>
          </w:tcPr>
          <w:p w14:paraId="1B8627D4">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工作经历</w:t>
            </w:r>
          </w:p>
        </w:tc>
      </w:tr>
      <w:tr w14:paraId="2527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17" w:type="dxa"/>
            <w:vAlign w:val="center"/>
          </w:tcPr>
          <w:p w14:paraId="41177678">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时  间</w:t>
            </w:r>
          </w:p>
        </w:tc>
        <w:tc>
          <w:tcPr>
            <w:tcW w:w="3413" w:type="dxa"/>
            <w:gridSpan w:val="3"/>
            <w:vAlign w:val="center"/>
          </w:tcPr>
          <w:p w14:paraId="1F96C64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参加过的项目名称</w:t>
            </w:r>
          </w:p>
          <w:p w14:paraId="1D041674">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及当时所在单位</w:t>
            </w:r>
          </w:p>
        </w:tc>
        <w:tc>
          <w:tcPr>
            <w:tcW w:w="1301" w:type="dxa"/>
            <w:vAlign w:val="center"/>
          </w:tcPr>
          <w:p w14:paraId="53E1CCFC">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担任何职</w:t>
            </w:r>
          </w:p>
        </w:tc>
        <w:tc>
          <w:tcPr>
            <w:tcW w:w="1781" w:type="dxa"/>
            <w:gridSpan w:val="3"/>
            <w:vAlign w:val="center"/>
          </w:tcPr>
          <w:p w14:paraId="5FE05BCE">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主要工作内容</w:t>
            </w:r>
          </w:p>
        </w:tc>
        <w:tc>
          <w:tcPr>
            <w:tcW w:w="1145" w:type="dxa"/>
            <w:vAlign w:val="center"/>
          </w:tcPr>
          <w:p w14:paraId="790E0683">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备 注</w:t>
            </w:r>
          </w:p>
        </w:tc>
      </w:tr>
      <w:tr w14:paraId="6F2B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4769E94F">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3413" w:type="dxa"/>
            <w:gridSpan w:val="3"/>
            <w:vAlign w:val="center"/>
          </w:tcPr>
          <w:p w14:paraId="2FC22899">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301" w:type="dxa"/>
            <w:vAlign w:val="center"/>
          </w:tcPr>
          <w:p w14:paraId="0BA5134B">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781" w:type="dxa"/>
            <w:gridSpan w:val="3"/>
            <w:vAlign w:val="center"/>
          </w:tcPr>
          <w:p w14:paraId="47447F9A">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145" w:type="dxa"/>
            <w:vAlign w:val="center"/>
          </w:tcPr>
          <w:p w14:paraId="22DEF7FB">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r>
      <w:tr w14:paraId="144D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17" w:type="dxa"/>
            <w:vAlign w:val="center"/>
          </w:tcPr>
          <w:p w14:paraId="13242B65">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3413" w:type="dxa"/>
            <w:gridSpan w:val="3"/>
            <w:vAlign w:val="center"/>
          </w:tcPr>
          <w:p w14:paraId="0067AC9A">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301" w:type="dxa"/>
            <w:vAlign w:val="center"/>
          </w:tcPr>
          <w:p w14:paraId="095B4AFE">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781" w:type="dxa"/>
            <w:gridSpan w:val="3"/>
            <w:vAlign w:val="center"/>
          </w:tcPr>
          <w:p w14:paraId="78F424F9">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145" w:type="dxa"/>
            <w:vAlign w:val="center"/>
          </w:tcPr>
          <w:p w14:paraId="03AC5F48">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r>
      <w:tr w14:paraId="7476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1C976A01">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3413" w:type="dxa"/>
            <w:gridSpan w:val="3"/>
            <w:vAlign w:val="center"/>
          </w:tcPr>
          <w:p w14:paraId="42CDA14E">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301" w:type="dxa"/>
            <w:vAlign w:val="center"/>
          </w:tcPr>
          <w:p w14:paraId="427A5104">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781" w:type="dxa"/>
            <w:gridSpan w:val="3"/>
            <w:vAlign w:val="center"/>
          </w:tcPr>
          <w:p w14:paraId="682F314E">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145" w:type="dxa"/>
            <w:vAlign w:val="center"/>
          </w:tcPr>
          <w:p w14:paraId="16E0EBB8">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r>
      <w:tr w14:paraId="2D79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5F4E126C">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3413" w:type="dxa"/>
            <w:gridSpan w:val="3"/>
            <w:vAlign w:val="center"/>
          </w:tcPr>
          <w:p w14:paraId="0F8B5286">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301" w:type="dxa"/>
            <w:vAlign w:val="center"/>
          </w:tcPr>
          <w:p w14:paraId="692EAEF6">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781" w:type="dxa"/>
            <w:gridSpan w:val="3"/>
            <w:vAlign w:val="center"/>
          </w:tcPr>
          <w:p w14:paraId="626821BD">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c>
          <w:tcPr>
            <w:tcW w:w="1145" w:type="dxa"/>
            <w:vAlign w:val="center"/>
          </w:tcPr>
          <w:p w14:paraId="16F4F369">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kern w:val="0"/>
                <w:sz w:val="24"/>
                <w:szCs w:val="24"/>
              </w:rPr>
            </w:pPr>
          </w:p>
        </w:tc>
      </w:tr>
      <w:tr w14:paraId="630E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5FA6D35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c>
          <w:tcPr>
            <w:tcW w:w="3413" w:type="dxa"/>
            <w:gridSpan w:val="3"/>
            <w:vAlign w:val="center"/>
          </w:tcPr>
          <w:p w14:paraId="00E6790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c>
          <w:tcPr>
            <w:tcW w:w="1301" w:type="dxa"/>
            <w:vAlign w:val="center"/>
          </w:tcPr>
          <w:p w14:paraId="6519AB7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c>
          <w:tcPr>
            <w:tcW w:w="1781" w:type="dxa"/>
            <w:gridSpan w:val="3"/>
            <w:vAlign w:val="center"/>
          </w:tcPr>
          <w:p w14:paraId="790789D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c>
          <w:tcPr>
            <w:tcW w:w="1145" w:type="dxa"/>
            <w:vAlign w:val="center"/>
          </w:tcPr>
          <w:p w14:paraId="3C42B07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r>
      <w:tr w14:paraId="6E3B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17" w:type="dxa"/>
            <w:vAlign w:val="center"/>
          </w:tcPr>
          <w:p w14:paraId="56A459A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c>
          <w:tcPr>
            <w:tcW w:w="3413" w:type="dxa"/>
            <w:gridSpan w:val="3"/>
            <w:vAlign w:val="center"/>
          </w:tcPr>
          <w:p w14:paraId="01B0084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c>
          <w:tcPr>
            <w:tcW w:w="1301" w:type="dxa"/>
            <w:vAlign w:val="center"/>
          </w:tcPr>
          <w:p w14:paraId="1893ADD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c>
          <w:tcPr>
            <w:tcW w:w="1781" w:type="dxa"/>
            <w:gridSpan w:val="3"/>
            <w:vAlign w:val="center"/>
          </w:tcPr>
          <w:p w14:paraId="2DD2142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c>
          <w:tcPr>
            <w:tcW w:w="1145" w:type="dxa"/>
            <w:vAlign w:val="center"/>
          </w:tcPr>
          <w:p w14:paraId="2543AA9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szCs w:val="24"/>
              </w:rPr>
            </w:pPr>
          </w:p>
        </w:tc>
      </w:tr>
      <w:bookmarkEnd w:id="258"/>
      <w:bookmarkEnd w:id="259"/>
    </w:tbl>
    <w:p w14:paraId="2D30D9DC">
      <w:pPr>
        <w:keepNext/>
        <w:keepLines/>
        <w:spacing w:before="260" w:after="260" w:line="416" w:lineRule="auto"/>
        <w:ind w:firstLine="360" w:firstLineChars="150"/>
        <w:jc w:val="both"/>
        <w:outlineLvl w:val="1"/>
        <w:rPr>
          <w:rFonts w:hint="eastAsia" w:ascii="Calibri Light" w:hAnsi="Calibri Light" w:cs="Times New Roman"/>
          <w:b/>
          <w:bCs/>
          <w:sz w:val="32"/>
          <w:szCs w:val="32"/>
        </w:rPr>
        <w:sectPr>
          <w:headerReference r:id="rId27" w:type="first"/>
          <w:footerReference r:id="rId29" w:type="first"/>
          <w:footerReference r:id="rId28" w:type="default"/>
          <w:pgSz w:w="11906" w:h="16838"/>
          <w:pgMar w:top="1417" w:right="1417" w:bottom="1417" w:left="1417" w:header="992" w:footer="992" w:gutter="0"/>
          <w:pgNumType w:fmt="decimal"/>
          <w:cols w:space="0" w:num="1"/>
          <w:titlePg/>
          <w:rtlGutter w:val="0"/>
          <w:docGrid w:type="lines" w:linePitch="333" w:charSpace="0"/>
        </w:sectPr>
      </w:pPr>
      <w:r>
        <w:rPr>
          <w:rFonts w:hint="eastAsia" w:ascii="宋体" w:hAnsi="宋体" w:eastAsia="宋体" w:cs="宋体"/>
          <w:sz w:val="24"/>
          <w:szCs w:val="24"/>
        </w:rPr>
        <w:t xml:space="preserve">    </w:t>
      </w:r>
    </w:p>
    <w:bookmarkEnd w:id="225"/>
    <w:bookmarkEnd w:id="226"/>
    <w:bookmarkEnd w:id="227"/>
    <w:bookmarkEnd w:id="228"/>
    <w:p w14:paraId="7F75C1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cs="宋体"/>
          <w:b/>
          <w:bCs/>
          <w:sz w:val="28"/>
          <w:szCs w:val="28"/>
        </w:rPr>
      </w:pPr>
      <w:r>
        <w:rPr>
          <w:rFonts w:hint="eastAsia" w:ascii="宋体" w:hAnsi="宋体" w:cs="宋体"/>
          <w:b/>
          <w:bCs/>
          <w:sz w:val="28"/>
          <w:szCs w:val="28"/>
        </w:rPr>
        <w:t>业绩</w:t>
      </w:r>
      <w:bookmarkEnd w:id="229"/>
    </w:p>
    <w:tbl>
      <w:tblPr>
        <w:tblStyle w:val="35"/>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01A64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8AA9A8F">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序号</w:t>
            </w:r>
          </w:p>
        </w:tc>
        <w:tc>
          <w:tcPr>
            <w:tcW w:w="1414" w:type="dxa"/>
            <w:vAlign w:val="center"/>
          </w:tcPr>
          <w:p w14:paraId="552B5A1A">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项目名称</w:t>
            </w:r>
          </w:p>
        </w:tc>
        <w:tc>
          <w:tcPr>
            <w:tcW w:w="2364" w:type="dxa"/>
            <w:vAlign w:val="center"/>
          </w:tcPr>
          <w:p w14:paraId="72D93C0D">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项目内容</w:t>
            </w:r>
          </w:p>
        </w:tc>
        <w:tc>
          <w:tcPr>
            <w:tcW w:w="2409" w:type="dxa"/>
            <w:vAlign w:val="center"/>
          </w:tcPr>
          <w:p w14:paraId="2309ECD1">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合同金额</w:t>
            </w:r>
          </w:p>
        </w:tc>
        <w:tc>
          <w:tcPr>
            <w:tcW w:w="2409" w:type="dxa"/>
            <w:vAlign w:val="center"/>
          </w:tcPr>
          <w:p w14:paraId="245E5938">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采购人名称</w:t>
            </w:r>
          </w:p>
        </w:tc>
      </w:tr>
      <w:tr w14:paraId="2094C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1C066475">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1</w:t>
            </w:r>
          </w:p>
        </w:tc>
        <w:tc>
          <w:tcPr>
            <w:tcW w:w="1414" w:type="dxa"/>
            <w:vAlign w:val="center"/>
          </w:tcPr>
          <w:p w14:paraId="40C1243B">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72F250F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D2161C6">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BD8B6C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49C01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2E57DEF">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2</w:t>
            </w:r>
          </w:p>
        </w:tc>
        <w:tc>
          <w:tcPr>
            <w:tcW w:w="1414" w:type="dxa"/>
            <w:vAlign w:val="center"/>
          </w:tcPr>
          <w:p w14:paraId="7BA74892">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163CC5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D0D197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A92096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312D4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40B9D26">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3</w:t>
            </w:r>
          </w:p>
        </w:tc>
        <w:tc>
          <w:tcPr>
            <w:tcW w:w="1414" w:type="dxa"/>
            <w:vAlign w:val="center"/>
          </w:tcPr>
          <w:p w14:paraId="0B78F18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3FFDF0B">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5BC306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B2335B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46355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5A67059">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4</w:t>
            </w:r>
          </w:p>
        </w:tc>
        <w:tc>
          <w:tcPr>
            <w:tcW w:w="1414" w:type="dxa"/>
            <w:vAlign w:val="center"/>
          </w:tcPr>
          <w:p w14:paraId="5E227576">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72296A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202F42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1172E9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730E7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AF23855">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5</w:t>
            </w:r>
          </w:p>
        </w:tc>
        <w:tc>
          <w:tcPr>
            <w:tcW w:w="1414" w:type="dxa"/>
            <w:vAlign w:val="center"/>
          </w:tcPr>
          <w:p w14:paraId="71B9B713">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4319641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5EE904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E87F62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59E7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FB8E6C7">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w:t>
            </w:r>
          </w:p>
        </w:tc>
        <w:tc>
          <w:tcPr>
            <w:tcW w:w="1414" w:type="dxa"/>
            <w:vAlign w:val="center"/>
          </w:tcPr>
          <w:p w14:paraId="056486C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30A3014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F0FFF16">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088E9C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2531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18A7CA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1E465CB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6B17EEB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AA3F9E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BBEDDB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6D75B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73D18E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2CA88BB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E6CD24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BF16C96">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6DB0B5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726FC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1B9C0C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1E7A4B0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3783BB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531847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820A31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3DFF2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D98F625">
            <w:pPr>
              <w:keepNext w:val="0"/>
              <w:keepLines w:val="0"/>
              <w:suppressLineNumbers w:val="0"/>
              <w:spacing w:before="0" w:beforeAutospacing="0" w:after="0" w:afterAutospacing="0"/>
              <w:ind w:left="120" w:right="0"/>
              <w:jc w:val="center"/>
              <w:rPr>
                <w:rFonts w:hint="default" w:ascii="宋体" w:hAnsi="宋体" w:cs="Times New Roman"/>
                <w:sz w:val="24"/>
                <w:szCs w:val="24"/>
              </w:rPr>
            </w:pPr>
          </w:p>
        </w:tc>
        <w:tc>
          <w:tcPr>
            <w:tcW w:w="1414" w:type="dxa"/>
            <w:vAlign w:val="center"/>
          </w:tcPr>
          <w:p w14:paraId="1F5BD1B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CA7480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CFBF90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62941B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bl>
    <w:p w14:paraId="4AB22BD3">
      <w:pPr>
        <w:tabs>
          <w:tab w:val="left" w:pos="8782"/>
        </w:tabs>
        <w:snapToGrid w:val="0"/>
        <w:spacing w:line="360" w:lineRule="auto"/>
        <w:ind w:firstLine="480" w:firstLineChars="200"/>
        <w:rPr>
          <w:rFonts w:ascii="宋体" w:hAnsi="宋体" w:cs="Times New Roman"/>
          <w:sz w:val="24"/>
          <w:szCs w:val="24"/>
        </w:rPr>
      </w:pPr>
    </w:p>
    <w:p w14:paraId="3E107B89">
      <w:pPr>
        <w:tabs>
          <w:tab w:val="left" w:pos="8782"/>
        </w:tabs>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注：1.投标人应如实列出以上情况，如有隐瞒，一经查实将导致其报价申请被拒绝。</w:t>
      </w:r>
    </w:p>
    <w:p w14:paraId="0AA96F71">
      <w:pPr>
        <w:tabs>
          <w:tab w:val="left" w:pos="8782"/>
        </w:tabs>
        <w:snapToGrid w:val="0"/>
        <w:spacing w:line="360" w:lineRule="auto"/>
        <w:ind w:firstLine="960" w:firstLineChars="400"/>
        <w:rPr>
          <w:rFonts w:ascii="宋体" w:hAnsi="宋体" w:cs="Times New Roman"/>
          <w:sz w:val="24"/>
          <w:szCs w:val="24"/>
        </w:rPr>
      </w:pPr>
      <w:r>
        <w:rPr>
          <w:rFonts w:hint="eastAsia" w:ascii="宋体" w:hAnsi="宋体" w:cs="Times New Roman"/>
          <w:sz w:val="24"/>
          <w:szCs w:val="24"/>
        </w:rPr>
        <w:t xml:space="preserve">2.投标人应提供双方签订的合同（合同复印件加盖公章装订在投标文件中）。 </w:t>
      </w:r>
    </w:p>
    <w:p w14:paraId="4E5BF49D">
      <w:pPr>
        <w:pStyle w:val="21"/>
      </w:pPr>
    </w:p>
    <w:p w14:paraId="25B9A3A7">
      <w:pPr>
        <w:adjustRightInd w:val="0"/>
        <w:snapToGrid w:val="0"/>
        <w:spacing w:line="480" w:lineRule="auto"/>
        <w:jc w:val="left"/>
        <w:rPr>
          <w:rFonts w:cs="Times New Roman" w:asciiTheme="minorEastAsia" w:hAnsiTheme="minorEastAsia" w:eastAsiaTheme="minorEastAsia"/>
          <w:sz w:val="28"/>
          <w:szCs w:val="28"/>
          <w:u w:val="single"/>
        </w:rPr>
      </w:pPr>
      <w:r>
        <w:rPr>
          <w:rFonts w:hint="eastAsia" w:cs="宋体" w:asciiTheme="minorEastAsia" w:hAnsiTheme="minorEastAsia" w:eastAsiaTheme="minorEastAsia"/>
          <w:sz w:val="28"/>
          <w:szCs w:val="28"/>
        </w:rPr>
        <w:t>供应商（单位名称及公章）：</w:t>
      </w:r>
      <w:r>
        <w:rPr>
          <w:rFonts w:cs="宋体" w:asciiTheme="minorEastAsia" w:hAnsiTheme="minorEastAsia" w:eastAsiaTheme="minorEastAsia"/>
          <w:sz w:val="28"/>
          <w:szCs w:val="28"/>
        </w:rPr>
        <w:t>____________________</w:t>
      </w:r>
    </w:p>
    <w:p w14:paraId="5FCCD6E9">
      <w:pPr>
        <w:adjustRightInd w:val="0"/>
        <w:snapToGrid w:val="0"/>
        <w:spacing w:line="480" w:lineRule="auto"/>
        <w:rPr>
          <w:rFonts w:cs="Times New Roman" w:asciiTheme="minorEastAsia" w:hAnsiTheme="minorEastAsia" w:eastAsiaTheme="minorEastAsia"/>
          <w:sz w:val="28"/>
          <w:szCs w:val="28"/>
        </w:rPr>
      </w:pPr>
      <w:r>
        <w:rPr>
          <w:rFonts w:hint="eastAsia" w:cs="宋体" w:asciiTheme="minorEastAsia" w:hAnsiTheme="minorEastAsia" w:eastAsiaTheme="minorEastAsia"/>
          <w:sz w:val="28"/>
          <w:szCs w:val="28"/>
        </w:rPr>
        <w:t>法</w:t>
      </w:r>
      <w:r>
        <w:rPr>
          <w:rFonts w:hint="eastAsia" w:cs="宋体" w:asciiTheme="minorEastAsia" w:hAnsiTheme="minorEastAsia" w:eastAsiaTheme="minorEastAsia"/>
          <w:sz w:val="28"/>
          <w:szCs w:val="28"/>
          <w:lang w:eastAsia="zh-CN"/>
        </w:rPr>
        <w:t>定代表人或被授权人</w:t>
      </w:r>
      <w:r>
        <w:rPr>
          <w:rFonts w:hint="eastAsia" w:cs="宋体" w:asciiTheme="minorEastAsia" w:hAnsiTheme="minorEastAsia" w:eastAsiaTheme="minorEastAsia"/>
          <w:sz w:val="28"/>
          <w:szCs w:val="28"/>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____________________</w:t>
      </w:r>
    </w:p>
    <w:p w14:paraId="303D022E">
      <w:pPr>
        <w:adjustRightInd w:val="0"/>
        <w:snapToGrid w:val="0"/>
        <w:spacing w:line="480" w:lineRule="auto"/>
        <w:rPr>
          <w:rFonts w:ascii="宋体" w:cs="Times New Roman"/>
        </w:rPr>
      </w:pPr>
      <w:r>
        <w:rPr>
          <w:rFonts w:hint="eastAsia" w:cs="宋体" w:asciiTheme="minorEastAsia" w:hAnsiTheme="minorEastAsia" w:eastAsiaTheme="minorEastAsia"/>
          <w:sz w:val="28"/>
          <w:szCs w:val="28"/>
        </w:rPr>
        <w:t>日</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期：</w:t>
      </w:r>
      <w:r>
        <w:rPr>
          <w:rFonts w:cs="宋体" w:asciiTheme="minorEastAsia" w:hAnsiTheme="minorEastAsia" w:eastAsiaTheme="minorEastAsia"/>
          <w:sz w:val="28"/>
          <w:szCs w:val="28"/>
        </w:rPr>
        <w:t>________</w:t>
      </w:r>
      <w:r>
        <w:rPr>
          <w:rFonts w:hint="eastAsia" w:cs="宋体" w:asciiTheme="minorEastAsia" w:hAnsiTheme="minorEastAsia" w:eastAsiaTheme="minorEastAsia"/>
          <w:sz w:val="28"/>
          <w:szCs w:val="28"/>
        </w:rPr>
        <w:t>年</w:t>
      </w:r>
      <w:r>
        <w:rPr>
          <w:rFonts w:cs="宋体" w:asciiTheme="minorEastAsia" w:hAnsiTheme="minorEastAsia" w:eastAsiaTheme="minorEastAsia"/>
          <w:sz w:val="28"/>
          <w:szCs w:val="28"/>
        </w:rPr>
        <w:t>________</w:t>
      </w:r>
      <w:r>
        <w:rPr>
          <w:rFonts w:hint="eastAsia" w:cs="宋体" w:asciiTheme="minorEastAsia" w:hAnsiTheme="minorEastAsia" w:eastAsiaTheme="minorEastAsia"/>
          <w:sz w:val="28"/>
          <w:szCs w:val="28"/>
        </w:rPr>
        <w:t>月</w:t>
      </w:r>
      <w:r>
        <w:rPr>
          <w:rFonts w:cs="宋体" w:asciiTheme="minorEastAsia" w:hAnsiTheme="minorEastAsia" w:eastAsiaTheme="minorEastAsia"/>
          <w:sz w:val="28"/>
          <w:szCs w:val="28"/>
        </w:rPr>
        <w:t>________</w:t>
      </w:r>
      <w:r>
        <w:rPr>
          <w:rFonts w:hint="eastAsia" w:cs="宋体" w:asciiTheme="minorEastAsia" w:hAnsiTheme="minorEastAsia" w:eastAsiaTheme="minorEastAsia"/>
          <w:sz w:val="28"/>
          <w:szCs w:val="28"/>
        </w:rPr>
        <w:t>日</w:t>
      </w:r>
    </w:p>
    <w:bookmarkEnd w:id="224"/>
    <w:p w14:paraId="0AE47553">
      <w:pPr>
        <w:pStyle w:val="4"/>
        <w:keepNext/>
        <w:keepLines/>
        <w:pageBreakBefore w:val="0"/>
        <w:widowControl w:val="0"/>
        <w:kinsoku/>
        <w:wordWrap/>
        <w:overflowPunct/>
        <w:topLinePunct w:val="0"/>
        <w:autoSpaceDE/>
        <w:autoSpaceDN/>
        <w:bidi w:val="0"/>
        <w:adjustRightInd/>
        <w:snapToGrid/>
        <w:spacing w:after="168" w:afterLines="50" w:line="240" w:lineRule="auto"/>
        <w:jc w:val="center"/>
        <w:textAlignment w:val="auto"/>
        <w:rPr>
          <w:rFonts w:ascii="宋体" w:hAnsi="宋体" w:cs="宋体"/>
        </w:rPr>
      </w:pPr>
      <w:bookmarkStart w:id="260" w:name="_Toc10667"/>
      <w:bookmarkStart w:id="261" w:name="_Toc19543363"/>
      <w:bookmarkStart w:id="262" w:name="_Toc536202402"/>
      <w:bookmarkStart w:id="263" w:name="_Toc536429395"/>
      <w:bookmarkStart w:id="264" w:name="_Toc536429342"/>
      <w:bookmarkStart w:id="265" w:name="_Toc536202333"/>
      <w:bookmarkStart w:id="266" w:name="_Toc24683"/>
      <w:r>
        <w:rPr>
          <w:rFonts w:hint="eastAsia" w:ascii="宋体" w:hAnsi="宋体" w:cs="宋体"/>
        </w:rPr>
        <w:t>第六章</w:t>
      </w:r>
      <w:r>
        <w:rPr>
          <w:rFonts w:ascii="宋体" w:hAnsi="宋体" w:cs="宋体"/>
        </w:rPr>
        <w:t xml:space="preserve">  </w:t>
      </w:r>
      <w:r>
        <w:rPr>
          <w:rFonts w:hint="eastAsia" w:ascii="宋体" w:hAnsi="宋体" w:cs="宋体"/>
        </w:rPr>
        <w:t>供应商承诺书</w:t>
      </w:r>
      <w:bookmarkEnd w:id="260"/>
      <w:bookmarkEnd w:id="261"/>
      <w:bookmarkEnd w:id="262"/>
      <w:bookmarkEnd w:id="263"/>
      <w:bookmarkEnd w:id="264"/>
      <w:bookmarkEnd w:id="265"/>
      <w:bookmarkEnd w:id="266"/>
    </w:p>
    <w:p w14:paraId="6007B090">
      <w:pPr>
        <w:widowControl/>
        <w:spacing w:line="480" w:lineRule="exact"/>
        <w:jc w:val="center"/>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政府采购供应商拒绝政府采购领域商业贿赂承诺书</w:t>
      </w:r>
    </w:p>
    <w:p w14:paraId="7AF06A1D">
      <w:pPr>
        <w:widowControl/>
        <w:spacing w:line="240" w:lineRule="exact"/>
        <w:ind w:firstLine="420" w:firstLineChars="200"/>
        <w:jc w:val="left"/>
        <w:rPr>
          <w:rFonts w:cs="仿宋" w:asciiTheme="minorEastAsia" w:hAnsiTheme="minorEastAsia" w:eastAsiaTheme="minorEastAsia"/>
          <w:bCs/>
          <w:kern w:val="0"/>
        </w:rPr>
      </w:pPr>
    </w:p>
    <w:p w14:paraId="00177D2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为响应党中央、国务院关于治理政府采购领域商业贿赂行为的号召，我单位在此庄严承诺： </w:t>
      </w:r>
    </w:p>
    <w:p w14:paraId="63244DA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1</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在参与政府采购活动中遵纪守法、诚信经营、公平竞标。 </w:t>
      </w:r>
    </w:p>
    <w:p w14:paraId="68FB2503">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2</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不向采购人、招标代理机构和政府采购评审专家进行任何形式的商业贿赂以谋取交易机会。 </w:t>
      </w:r>
    </w:p>
    <w:p w14:paraId="44D8627F">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3</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不向政府采购招标代理机构和采购人提供虚假资质文件或采用虚假应标方式参与政府采购市场竞争并谋取成交、成交。 </w:t>
      </w:r>
    </w:p>
    <w:p w14:paraId="0FB8701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4</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不采取“围标、陪标”等商业欺诈手段获得政府采购定单。 </w:t>
      </w:r>
    </w:p>
    <w:p w14:paraId="536F850E">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5</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不采取不正当手段低毁、排挤其他供应商。 </w:t>
      </w:r>
    </w:p>
    <w:p w14:paraId="61D8D0D8">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6</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lang w:eastAsia="zh-CN"/>
        </w:rPr>
        <w:t>不再提供</w:t>
      </w:r>
      <w:r>
        <w:rPr>
          <w:rFonts w:hint="eastAsia" w:cs="仿宋" w:asciiTheme="minorEastAsia" w:hAnsiTheme="minorEastAsia" w:eastAsiaTheme="minorEastAsia"/>
          <w:bCs/>
          <w:kern w:val="0"/>
          <w:sz w:val="24"/>
          <w:szCs w:val="28"/>
        </w:rPr>
        <w:t xml:space="preserve">商品和服务时“偷梁换柱、以次充好”损害采购人的合法权益。 </w:t>
      </w:r>
    </w:p>
    <w:p w14:paraId="25830AD0">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7</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不与采购人、招标代理机构政府采购评审专家</w:t>
      </w:r>
      <w:r>
        <w:rPr>
          <w:rFonts w:hint="eastAsia" w:cs="仿宋" w:asciiTheme="minorEastAsia" w:hAnsiTheme="minorEastAsia" w:eastAsiaTheme="minorEastAsia"/>
          <w:bCs/>
          <w:kern w:val="0"/>
          <w:sz w:val="24"/>
          <w:szCs w:val="28"/>
          <w:lang w:eastAsia="zh-CN"/>
        </w:rPr>
        <w:t>或其他</w:t>
      </w:r>
      <w:r>
        <w:rPr>
          <w:rFonts w:hint="eastAsia" w:cs="仿宋" w:asciiTheme="minorEastAsia" w:hAnsiTheme="minorEastAsia" w:eastAsiaTheme="minorEastAsia"/>
          <w:bCs/>
          <w:kern w:val="0"/>
          <w:sz w:val="24"/>
          <w:szCs w:val="28"/>
        </w:rPr>
        <w:t xml:space="preserve">供应商恶意串通，进行质疑和投诉，维护政府采购市场秩序。 </w:t>
      </w:r>
    </w:p>
    <w:p w14:paraId="57D8272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8</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尊重和接受政府采购监督管理部门的监督和政府招标代理机构招标要求，承担因违约行为给采购人造成的损失。 </w:t>
      </w:r>
    </w:p>
    <w:p w14:paraId="767C377A">
      <w:pPr>
        <w:widowControl/>
        <w:spacing w:line="440" w:lineRule="exact"/>
        <w:ind w:firstLine="480" w:firstLineChars="200"/>
        <w:rPr>
          <w:rFonts w:cs="仿宋" w:asciiTheme="minorEastAsia" w:hAnsiTheme="minorEastAsia" w:eastAsiaTheme="minorEastAsia"/>
          <w:bCs/>
          <w:kern w:val="0"/>
          <w:sz w:val="22"/>
          <w:szCs w:val="24"/>
        </w:rPr>
      </w:pPr>
      <w:r>
        <w:rPr>
          <w:rFonts w:hint="eastAsia" w:cs="仿宋" w:asciiTheme="minorEastAsia" w:hAnsiTheme="minorEastAsia" w:eastAsiaTheme="minorEastAsia"/>
          <w:bCs/>
          <w:kern w:val="0"/>
          <w:sz w:val="24"/>
          <w:szCs w:val="28"/>
        </w:rPr>
        <w:t>9</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不发生其他有悖于政府采购公开、公平、公正和诚信原则的行为。 </w:t>
      </w:r>
    </w:p>
    <w:p w14:paraId="538DAB5D">
      <w:pPr>
        <w:widowControl/>
        <w:spacing w:line="440" w:lineRule="exact"/>
        <w:ind w:firstLine="960" w:firstLineChars="400"/>
        <w:rPr>
          <w:rFonts w:cs="仿宋" w:asciiTheme="minorEastAsia" w:hAnsiTheme="minorEastAsia" w:eastAsiaTheme="minorEastAsia"/>
          <w:bCs/>
          <w:kern w:val="0"/>
          <w:sz w:val="24"/>
          <w:szCs w:val="28"/>
        </w:rPr>
      </w:pPr>
    </w:p>
    <w:p w14:paraId="267DDC95">
      <w:pPr>
        <w:widowControl/>
        <w:spacing w:line="440" w:lineRule="exact"/>
        <w:ind w:firstLine="960" w:firstLineChars="4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承诺单位：</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（盖章）</w:t>
      </w:r>
    </w:p>
    <w:p w14:paraId="47DBC8D4">
      <w:pPr>
        <w:widowControl/>
        <w:spacing w:line="44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全权代表：</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cs="仿宋" w:asciiTheme="minorEastAsia" w:hAnsiTheme="minorEastAsia" w:eastAsiaTheme="minorEastAsia"/>
          <w:bCs/>
          <w:kern w:val="0"/>
          <w:sz w:val="24"/>
          <w:szCs w:val="28"/>
        </w:rPr>
        <w:t xml:space="preserve">） </w:t>
      </w:r>
    </w:p>
    <w:p w14:paraId="6F0686E9">
      <w:pPr>
        <w:widowControl/>
        <w:spacing w:line="520" w:lineRule="exact"/>
        <w:ind w:firstLine="480" w:firstLineChars="200"/>
        <w:rPr>
          <w:rFonts w:cs="仿宋" w:asciiTheme="minorEastAsia" w:hAnsiTheme="minorEastAsia" w:eastAsiaTheme="minorEastAsia"/>
          <w:bCs/>
          <w:kern w:val="0"/>
          <w:sz w:val="24"/>
          <w:szCs w:val="28"/>
          <w:u w:val="single"/>
        </w:rPr>
      </w:pPr>
      <w:r>
        <w:rPr>
          <w:rFonts w:hint="eastAsia" w:cs="仿宋" w:asciiTheme="minorEastAsia" w:hAnsiTheme="minorEastAsia" w:eastAsiaTheme="minorEastAsia"/>
          <w:bCs/>
          <w:kern w:val="0"/>
          <w:sz w:val="24"/>
          <w:szCs w:val="28"/>
        </w:rPr>
        <w:t xml:space="preserve">    地　　址：</w:t>
      </w:r>
      <w:r>
        <w:rPr>
          <w:rFonts w:hint="eastAsia" w:cs="仿宋" w:asciiTheme="minorEastAsia" w:hAnsiTheme="minorEastAsia" w:eastAsiaTheme="minorEastAsia"/>
          <w:bCs/>
          <w:kern w:val="0"/>
          <w:sz w:val="24"/>
          <w:szCs w:val="28"/>
          <w:u w:val="single"/>
        </w:rPr>
        <w:t xml:space="preserve">                              </w:t>
      </w:r>
    </w:p>
    <w:p w14:paraId="7147869D">
      <w:pPr>
        <w:widowControl/>
        <w:spacing w:line="52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xml:space="preserve">    邮    编：</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w:t>
      </w:r>
    </w:p>
    <w:p w14:paraId="51525A86">
      <w:pPr>
        <w:widowControl/>
        <w:spacing w:line="520" w:lineRule="exact"/>
        <w:ind w:firstLine="720" w:firstLineChars="3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电　　话：</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xml:space="preserve">　　 </w:t>
      </w:r>
    </w:p>
    <w:p w14:paraId="02DB4A2A">
      <w:pPr>
        <w:widowControl/>
        <w:spacing w:line="340" w:lineRule="exact"/>
        <w:rPr>
          <w:rFonts w:cs="仿宋" w:asciiTheme="minorEastAsia" w:hAnsiTheme="minorEastAsia" w:eastAsiaTheme="minorEastAsia"/>
          <w:bCs/>
          <w:kern w:val="0"/>
          <w:sz w:val="24"/>
          <w:szCs w:val="28"/>
        </w:rPr>
      </w:pPr>
    </w:p>
    <w:p w14:paraId="2CB963BE">
      <w:pPr>
        <w:widowControl/>
        <w:spacing w:line="340" w:lineRule="exact"/>
        <w:ind w:firstLine="4920" w:firstLineChars="2050"/>
        <w:rPr>
          <w:rFonts w:cs="仿宋" w:asciiTheme="minorEastAsia" w:hAnsiTheme="minorEastAsia" w:eastAsiaTheme="minorEastAsia"/>
          <w:bCs/>
          <w:sz w:val="36"/>
          <w:szCs w:val="40"/>
        </w:rPr>
      </w:pPr>
      <w:r>
        <w:rPr>
          <w:rFonts w:hint="eastAsia" w:cs="仿宋" w:asciiTheme="minorEastAsia" w:hAnsiTheme="minorEastAsia" w:eastAsiaTheme="minorEastAsia"/>
          <w:bCs/>
          <w:kern w:val="0"/>
          <w:sz w:val="24"/>
          <w:szCs w:val="28"/>
        </w:rPr>
        <w:t>年　　月　　日</w:t>
      </w:r>
    </w:p>
    <w:p w14:paraId="28EA5E70">
      <w:pPr>
        <w:widowControl/>
        <w:spacing w:line="640" w:lineRule="exact"/>
        <w:jc w:val="center"/>
        <w:rPr>
          <w:rFonts w:cs="仿宋" w:asciiTheme="minorEastAsia" w:hAnsiTheme="minorEastAsia" w:eastAsiaTheme="minorEastAsia"/>
          <w:bCs/>
          <w:sz w:val="36"/>
          <w:szCs w:val="40"/>
        </w:rPr>
      </w:pPr>
    </w:p>
    <w:p w14:paraId="65D64D40">
      <w:pPr>
        <w:widowControl/>
        <w:tabs>
          <w:tab w:val="left" w:pos="3930"/>
        </w:tabs>
        <w:spacing w:line="400" w:lineRule="exact"/>
        <w:jc w:val="left"/>
        <w:rPr>
          <w:rFonts w:cs="仿宋" w:asciiTheme="minorEastAsia" w:hAnsiTheme="minorEastAsia" w:eastAsiaTheme="minorEastAsia"/>
          <w:bCs/>
          <w:sz w:val="40"/>
          <w:szCs w:val="40"/>
        </w:rPr>
      </w:pPr>
      <w:r>
        <w:rPr>
          <w:rFonts w:hint="eastAsia" w:cs="仿宋" w:asciiTheme="minorEastAsia" w:hAnsiTheme="minorEastAsia" w:eastAsiaTheme="minorEastAsia"/>
          <w:bCs/>
          <w:sz w:val="40"/>
          <w:szCs w:val="40"/>
        </w:rPr>
        <w:tab/>
      </w:r>
    </w:p>
    <w:p w14:paraId="3C8EA986">
      <w:pPr>
        <w:widowControl/>
        <w:jc w:val="left"/>
        <w:rPr>
          <w:rFonts w:cs="仿宋" w:asciiTheme="minorEastAsia" w:hAnsiTheme="minorEastAsia" w:eastAsiaTheme="minorEastAsia"/>
          <w:bCs/>
          <w:color w:val="000000"/>
          <w:kern w:val="0"/>
          <w:sz w:val="32"/>
          <w:szCs w:val="32"/>
        </w:rPr>
      </w:pPr>
    </w:p>
    <w:p w14:paraId="2D1C4FE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center"/>
        <w:textAlignment w:val="auto"/>
        <w:outlineLvl w:val="2"/>
        <w:rPr>
          <w:rFonts w:hint="eastAsia" w:cs="仿宋" w:asciiTheme="minorEastAsia" w:hAnsiTheme="minorEastAsia" w:eastAsiaTheme="minorEastAsia"/>
          <w:b/>
          <w:bCs w:val="0"/>
          <w:color w:val="000000"/>
          <w:kern w:val="0"/>
          <w:sz w:val="32"/>
          <w:szCs w:val="32"/>
        </w:rPr>
      </w:pPr>
    </w:p>
    <w:p w14:paraId="080F8B3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center"/>
        <w:textAlignment w:val="auto"/>
        <w:outlineLvl w:val="2"/>
        <w:rPr>
          <w:rFonts w:cs="仿宋" w:asciiTheme="minorEastAsia" w:hAnsiTheme="minorEastAsia" w:eastAsiaTheme="minorEastAsia"/>
          <w:b/>
          <w:bCs w:val="0"/>
          <w:color w:val="000000"/>
          <w:kern w:val="0"/>
          <w:sz w:val="32"/>
          <w:szCs w:val="32"/>
        </w:rPr>
      </w:pPr>
      <w:r>
        <w:rPr>
          <w:rFonts w:hint="eastAsia" w:cs="仿宋" w:asciiTheme="minorEastAsia" w:hAnsiTheme="minorEastAsia" w:eastAsiaTheme="minorEastAsia"/>
          <w:b/>
          <w:bCs w:val="0"/>
          <w:color w:val="000000"/>
          <w:kern w:val="0"/>
          <w:sz w:val="32"/>
          <w:szCs w:val="32"/>
        </w:rPr>
        <w:t>承诺书Ⅱ</w:t>
      </w:r>
    </w:p>
    <w:p w14:paraId="5217A5D3">
      <w:pPr>
        <w:widowControl/>
        <w:spacing w:line="440" w:lineRule="exact"/>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致：安康尚昊招标代理有限公司</w:t>
      </w:r>
    </w:p>
    <w:p w14:paraId="5B92F548">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为了诚实、客观、有序地参与政府采购活动，愿就以下内容作出承诺：</w:t>
      </w:r>
    </w:p>
    <w:p w14:paraId="27E48094">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1</w:t>
      </w:r>
      <w:r>
        <w:rPr>
          <w:rFonts w:hint="eastAsia" w:cs="Times New Roman" w:asciiTheme="minorEastAsia" w:hAnsiTheme="minorEastAsia" w:eastAsiaTheme="minorEastAsia"/>
          <w:sz w:val="24"/>
          <w:szCs w:val="28"/>
          <w:lang w:val="en-US" w:eastAsia="zh-CN"/>
        </w:rPr>
        <w:t>.</w:t>
      </w:r>
      <w:r>
        <w:rPr>
          <w:rFonts w:hint="eastAsia" w:cs="Times New Roman" w:asciiTheme="minorEastAsia" w:hAnsiTheme="minorEastAsia" w:eastAsiaTheme="minorEastAsia"/>
          <w:sz w:val="24"/>
          <w:szCs w:val="28"/>
        </w:rPr>
        <w:t>参加采购代理机构组织的政府采购活动时，严格按照磋商文件的规定和要求提供所需的相关材料，并对所提供的各类资料的真实性负责，不虚假应标，不虚列业绩。</w:t>
      </w:r>
    </w:p>
    <w:p w14:paraId="71829C26">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2</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尊重参与政府采购活动各相关方的合法行为，接受政府采购活动依法形成的意见、结果。</w:t>
      </w:r>
    </w:p>
    <w:p w14:paraId="2600B3DB">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3</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依法参加政府采购活动，不围标、串标，维护市场秩序。近三年因项目质量问题的不法行为记录为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35956D2B">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4</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3BDC50FD">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5</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近三年受到有关行政主管部门的行政处理、不良行为记录为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24B85EC3">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6</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参加本次磋商提交的所有资质证明文件及业绩证明是真实的、有效的，如有隐瞒实情，愿承担一切责任及后果。</w:t>
      </w:r>
    </w:p>
    <w:p w14:paraId="056BE602">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7</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1CF53C43">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8</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认真履行成交单位应承担的责任和义务，全面执行采购合同规定的各项内容，保质保量地按时提供采购物品。</w:t>
      </w:r>
    </w:p>
    <w:p w14:paraId="63685A98">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若本企业（单位）发生有悖于上述承诺的行为，愿意接受《中华人民共和国政府采购法》和《中华人民共和国政府采购法实施条例》中对响应单位的相关处理。</w:t>
      </w:r>
    </w:p>
    <w:p w14:paraId="20F7ECAA">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本承诺是采购项目响应文件的组成部分。</w:t>
      </w:r>
    </w:p>
    <w:p w14:paraId="12E29234">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承诺单位：</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（盖章）</w:t>
      </w:r>
    </w:p>
    <w:p w14:paraId="73AD1F41">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全权代表：</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cs="仿宋" w:asciiTheme="minorEastAsia" w:hAnsiTheme="minorEastAsia" w:eastAsiaTheme="minorEastAsia"/>
          <w:bCs/>
          <w:color w:val="000000"/>
          <w:kern w:val="0"/>
          <w:sz w:val="24"/>
          <w:szCs w:val="28"/>
        </w:rPr>
        <w:t>）</w:t>
      </w:r>
    </w:p>
    <w:p w14:paraId="3E6B9874">
      <w:pPr>
        <w:widowControl/>
        <w:shd w:val="clear" w:color="auto" w:fill="FFFFFF"/>
        <w:spacing w:line="440" w:lineRule="exact"/>
        <w:ind w:firstLine="2152" w:firstLineChars="897"/>
        <w:rPr>
          <w:rFonts w:cs="仿宋" w:asciiTheme="minorEastAsia" w:hAnsiTheme="minorEastAsia" w:eastAsiaTheme="minorEastAsia"/>
          <w:bCs/>
          <w:sz w:val="24"/>
          <w:szCs w:val="28"/>
        </w:rPr>
      </w:pPr>
      <w:r>
        <w:rPr>
          <w:rFonts w:hint="eastAsia" w:cs="仿宋" w:asciiTheme="minorEastAsia" w:hAnsiTheme="minorEastAsia" w:eastAsiaTheme="minorEastAsia"/>
          <w:bCs/>
          <w:color w:val="000000"/>
          <w:kern w:val="0"/>
          <w:sz w:val="24"/>
          <w:szCs w:val="28"/>
        </w:rPr>
        <w:t>日    期：</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年</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月</w:t>
      </w:r>
      <w:r>
        <w:rPr>
          <w:rFonts w:hint="eastAsia" w:cs="仿宋" w:asciiTheme="minorEastAsia" w:hAnsiTheme="minorEastAsia" w:eastAsiaTheme="minorEastAsia"/>
          <w:bCs/>
          <w:sz w:val="28"/>
          <w:szCs w:val="32"/>
          <w:u w:val="single"/>
        </w:rPr>
        <w:t xml:space="preserve">    </w:t>
      </w:r>
      <w:r>
        <w:rPr>
          <w:rFonts w:hint="eastAsia" w:cs="仿宋" w:asciiTheme="minorEastAsia" w:hAnsiTheme="minorEastAsia" w:eastAsiaTheme="minorEastAsia"/>
          <w:bCs/>
          <w:sz w:val="24"/>
          <w:szCs w:val="28"/>
        </w:rPr>
        <w:t>日</w:t>
      </w:r>
    </w:p>
    <w:p w14:paraId="6E3C2F05">
      <w:pPr>
        <w:pStyle w:val="4"/>
        <w:adjustRightInd w:val="0"/>
        <w:spacing w:line="416" w:lineRule="atLeast"/>
        <w:textAlignment w:val="baseline"/>
        <w:rPr>
          <w:rFonts w:ascii="宋体" w:hAnsi="宋体" w:cs="宋体"/>
        </w:rPr>
      </w:pPr>
      <w:bookmarkStart w:id="267" w:name="_Toc536202334"/>
      <w:bookmarkStart w:id="268" w:name="_Toc536429343"/>
      <w:bookmarkStart w:id="269" w:name="_Toc536202403"/>
      <w:bookmarkStart w:id="270" w:name="_Toc25514"/>
      <w:bookmarkStart w:id="271" w:name="_Toc536429396"/>
    </w:p>
    <w:bookmarkEnd w:id="0"/>
    <w:bookmarkEnd w:id="267"/>
    <w:bookmarkEnd w:id="268"/>
    <w:bookmarkEnd w:id="269"/>
    <w:bookmarkEnd w:id="270"/>
    <w:bookmarkEnd w:id="271"/>
    <w:p w14:paraId="7E8ABF11">
      <w:pPr>
        <w:widowControl/>
        <w:jc w:val="left"/>
        <w:rPr>
          <w:sz w:val="24"/>
          <w:szCs w:val="28"/>
        </w:rPr>
      </w:pPr>
    </w:p>
    <w:p w14:paraId="1F8F0F87">
      <w:pPr>
        <w:pStyle w:val="2"/>
        <w:rPr>
          <w:sz w:val="24"/>
          <w:szCs w:val="28"/>
        </w:rPr>
      </w:pPr>
    </w:p>
    <w:p w14:paraId="7447CAC1">
      <w:pPr>
        <w:rPr>
          <w:sz w:val="24"/>
          <w:szCs w:val="28"/>
        </w:rPr>
      </w:pPr>
    </w:p>
    <w:p w14:paraId="51E60CE2">
      <w:pPr>
        <w:pStyle w:val="21"/>
        <w:tabs>
          <w:tab w:val="left" w:pos="6908"/>
          <w:tab w:val="clear" w:pos="4153"/>
        </w:tabs>
        <w:rPr>
          <w:rFonts w:hint="eastAsia" w:eastAsia="宋体"/>
          <w:lang w:eastAsia="zh-CN"/>
        </w:rPr>
        <w:sectPr>
          <w:pgSz w:w="11906" w:h="16838"/>
          <w:pgMar w:top="1417" w:right="1417" w:bottom="1417" w:left="1417" w:header="992" w:footer="992" w:gutter="0"/>
          <w:pgNumType w:fmt="decimal"/>
          <w:cols w:space="0" w:num="1"/>
          <w:titlePg/>
          <w:rtlGutter w:val="0"/>
          <w:docGrid w:type="lines" w:linePitch="333" w:charSpace="0"/>
        </w:sectPr>
      </w:pPr>
    </w:p>
    <w:p w14:paraId="4DC176EF">
      <w:pPr>
        <w:pStyle w:val="21"/>
        <w:rPr>
          <w:rFonts w:hint="eastAsia"/>
        </w:rPr>
      </w:pPr>
    </w:p>
    <w:p w14:paraId="3FBE00A1">
      <w:pPr>
        <w:pStyle w:val="21"/>
        <w:rPr>
          <w:rFonts w:hint="eastAsia"/>
        </w:rPr>
      </w:pPr>
    </w:p>
    <w:p w14:paraId="3F4CB120">
      <w:pPr>
        <w:pStyle w:val="21"/>
        <w:rPr>
          <w:rFonts w:hint="eastAsia"/>
        </w:rPr>
      </w:pPr>
    </w:p>
    <w:p w14:paraId="4C9F7381">
      <w:pPr>
        <w:pStyle w:val="21"/>
        <w:rPr>
          <w:rFonts w:hint="eastAsia"/>
        </w:rPr>
      </w:pPr>
    </w:p>
    <w:p w14:paraId="77B7A24F">
      <w:pPr>
        <w:pStyle w:val="21"/>
        <w:rPr>
          <w:rFonts w:hint="eastAsia"/>
        </w:rPr>
      </w:pPr>
    </w:p>
    <w:p w14:paraId="649B98E3">
      <w:pPr>
        <w:pStyle w:val="21"/>
        <w:rPr>
          <w:rFonts w:hint="eastAsia"/>
        </w:rPr>
      </w:pPr>
    </w:p>
    <w:p w14:paraId="6A15202F">
      <w:pPr>
        <w:pStyle w:val="21"/>
        <w:rPr>
          <w:rFonts w:hint="eastAsia"/>
        </w:rPr>
      </w:pPr>
    </w:p>
    <w:p w14:paraId="4B2B62AE">
      <w:pPr>
        <w:pStyle w:val="21"/>
        <w:rPr>
          <w:rFonts w:hint="eastAsia"/>
        </w:rPr>
      </w:pPr>
    </w:p>
    <w:p w14:paraId="734E6E6C">
      <w:pPr>
        <w:pStyle w:val="21"/>
        <w:rPr>
          <w:rFonts w:hint="eastAsia"/>
        </w:rPr>
      </w:pPr>
    </w:p>
    <w:p w14:paraId="5DD97058">
      <w:pPr>
        <w:pStyle w:val="21"/>
        <w:rPr>
          <w:rFonts w:hint="eastAsia"/>
        </w:rPr>
      </w:pPr>
    </w:p>
    <w:p w14:paraId="1531426C">
      <w:pPr>
        <w:pStyle w:val="21"/>
        <w:rPr>
          <w:rFonts w:hint="eastAsia"/>
        </w:rPr>
      </w:pPr>
    </w:p>
    <w:p w14:paraId="4080DD62">
      <w:pPr>
        <w:pStyle w:val="21"/>
        <w:rPr>
          <w:rFonts w:hint="eastAsia"/>
        </w:rPr>
      </w:pPr>
    </w:p>
    <w:p w14:paraId="49CE211F">
      <w:pPr>
        <w:pStyle w:val="21"/>
        <w:rPr>
          <w:rFonts w:hint="eastAsia"/>
        </w:rPr>
      </w:pPr>
    </w:p>
    <w:p w14:paraId="314D534A">
      <w:pPr>
        <w:pStyle w:val="21"/>
        <w:rPr>
          <w:rFonts w:hint="eastAsia"/>
        </w:rPr>
      </w:pPr>
    </w:p>
    <w:p w14:paraId="558001FB">
      <w:pPr>
        <w:pStyle w:val="21"/>
        <w:rPr>
          <w:rFonts w:hint="eastAsia"/>
        </w:rPr>
      </w:pPr>
    </w:p>
    <w:p w14:paraId="32C3A807">
      <w:pPr>
        <w:pStyle w:val="21"/>
        <w:rPr>
          <w:rFonts w:hint="eastAsia"/>
        </w:rPr>
      </w:pPr>
    </w:p>
    <w:p w14:paraId="25B7A373">
      <w:pPr>
        <w:pStyle w:val="21"/>
        <w:rPr>
          <w:rFonts w:hint="eastAsia"/>
        </w:rPr>
      </w:pPr>
    </w:p>
    <w:p w14:paraId="4966B102">
      <w:pPr>
        <w:pStyle w:val="21"/>
        <w:rPr>
          <w:rFonts w:hint="eastAsia"/>
        </w:rPr>
      </w:pPr>
    </w:p>
    <w:p w14:paraId="6F242C09">
      <w:pPr>
        <w:pStyle w:val="21"/>
        <w:rPr>
          <w:rFonts w:hint="eastAsia"/>
        </w:rPr>
      </w:pPr>
    </w:p>
    <w:p w14:paraId="7CBD6886">
      <w:pPr>
        <w:pStyle w:val="21"/>
        <w:rPr>
          <w:rFonts w:hint="eastAsia"/>
        </w:rPr>
      </w:pPr>
    </w:p>
    <w:p w14:paraId="6737D1BD">
      <w:pPr>
        <w:pStyle w:val="21"/>
        <w:rPr>
          <w:rFonts w:hint="eastAsia"/>
        </w:rPr>
      </w:pPr>
    </w:p>
    <w:p w14:paraId="7F00F271">
      <w:pPr>
        <w:pStyle w:val="21"/>
        <w:rPr>
          <w:rFonts w:hint="eastAsia"/>
        </w:rPr>
      </w:pPr>
    </w:p>
    <w:p w14:paraId="4E9E919E">
      <w:pPr>
        <w:pStyle w:val="21"/>
        <w:rPr>
          <w:rFonts w:hint="eastAsia"/>
        </w:rPr>
      </w:pPr>
    </w:p>
    <w:p w14:paraId="42426279">
      <w:pPr>
        <w:pStyle w:val="21"/>
        <w:rPr>
          <w:rFonts w:hint="eastAsia"/>
        </w:rPr>
      </w:pPr>
    </w:p>
    <w:p w14:paraId="6F6ACCC1">
      <w:pPr>
        <w:pStyle w:val="21"/>
        <w:rPr>
          <w:rFonts w:hint="eastAsia"/>
        </w:rPr>
      </w:pPr>
    </w:p>
    <w:p w14:paraId="197978FE">
      <w:pPr>
        <w:pStyle w:val="21"/>
        <w:rPr>
          <w:rFonts w:hint="eastAsia"/>
        </w:rPr>
      </w:pPr>
    </w:p>
    <w:p w14:paraId="72B780A3">
      <w:pPr>
        <w:pStyle w:val="21"/>
        <w:rPr>
          <w:rFonts w:hint="eastAsia"/>
        </w:rPr>
      </w:pPr>
    </w:p>
    <w:p w14:paraId="2AE59F53">
      <w:pPr>
        <w:pStyle w:val="21"/>
        <w:rPr>
          <w:rFonts w:hint="eastAsia"/>
        </w:rPr>
      </w:pPr>
    </w:p>
    <w:p w14:paraId="2C8CF6C1">
      <w:pPr>
        <w:pStyle w:val="21"/>
        <w:rPr>
          <w:rFonts w:hint="eastAsia"/>
        </w:rPr>
      </w:pPr>
    </w:p>
    <w:p w14:paraId="283D94EB">
      <w:pPr>
        <w:pStyle w:val="21"/>
        <w:rPr>
          <w:rFonts w:hint="eastAsia"/>
        </w:rPr>
      </w:pPr>
    </w:p>
    <w:p w14:paraId="49711364">
      <w:pPr>
        <w:pStyle w:val="21"/>
        <w:rPr>
          <w:rFonts w:hint="eastAsia"/>
        </w:rPr>
      </w:pPr>
    </w:p>
    <w:p w14:paraId="2B90759D">
      <w:pPr>
        <w:pStyle w:val="21"/>
        <w:rPr>
          <w:rFonts w:hint="eastAsia"/>
        </w:rPr>
      </w:pPr>
    </w:p>
    <w:p w14:paraId="7C39F361">
      <w:pPr>
        <w:pStyle w:val="21"/>
        <w:rPr>
          <w:rFonts w:hint="eastAsia"/>
        </w:rPr>
      </w:pPr>
    </w:p>
    <w:p w14:paraId="522058F4">
      <w:pPr>
        <w:pStyle w:val="21"/>
        <w:rPr>
          <w:rFonts w:hint="eastAsia"/>
        </w:rPr>
      </w:pPr>
    </w:p>
    <w:p w14:paraId="734515C0">
      <w:pPr>
        <w:pStyle w:val="21"/>
        <w:rPr>
          <w:rFonts w:hint="eastAsia"/>
        </w:rPr>
      </w:pPr>
    </w:p>
    <w:p w14:paraId="499DBE91">
      <w:pPr>
        <w:pStyle w:val="21"/>
        <w:rPr>
          <w:rFonts w:hint="eastAsia"/>
        </w:rPr>
      </w:pPr>
    </w:p>
    <w:p w14:paraId="0A20BA8B">
      <w:pPr>
        <w:pStyle w:val="21"/>
        <w:rPr>
          <w:rFonts w:hint="eastAsia"/>
        </w:rPr>
      </w:pPr>
    </w:p>
    <w:p w14:paraId="455AD2D5">
      <w:pPr>
        <w:pStyle w:val="21"/>
        <w:rPr>
          <w:rFonts w:hint="eastAsia"/>
        </w:rPr>
      </w:pPr>
    </w:p>
    <w:p w14:paraId="3B74ADF8">
      <w:pPr>
        <w:pStyle w:val="21"/>
        <w:rPr>
          <w:rFonts w:hint="eastAsia"/>
        </w:rPr>
      </w:pPr>
    </w:p>
    <w:p w14:paraId="3BC7C1D0">
      <w:pPr>
        <w:pStyle w:val="21"/>
        <w:rPr>
          <w:rFonts w:hint="eastAsia"/>
        </w:rPr>
      </w:pPr>
    </w:p>
    <w:p w14:paraId="7AC06760">
      <w:pPr>
        <w:pStyle w:val="21"/>
        <w:rPr>
          <w:rFonts w:hint="eastAsia"/>
        </w:rPr>
      </w:pPr>
    </w:p>
    <w:p w14:paraId="15EFF524">
      <w:pPr>
        <w:pStyle w:val="21"/>
        <w:rPr>
          <w:rFonts w:hint="eastAsia"/>
        </w:rPr>
      </w:pPr>
    </w:p>
    <w:p w14:paraId="2965E9F2">
      <w:pPr>
        <w:pStyle w:val="21"/>
        <w:rPr>
          <w:rFonts w:hint="eastAsia"/>
        </w:rPr>
      </w:pPr>
    </w:p>
    <w:p w14:paraId="1846BEF3">
      <w:pPr>
        <w:pStyle w:val="21"/>
        <w:rPr>
          <w:rFonts w:hint="eastAsia"/>
        </w:rPr>
      </w:pPr>
    </w:p>
    <w:p w14:paraId="1CD2B035">
      <w:pPr>
        <w:pStyle w:val="21"/>
        <w:rPr>
          <w:rFonts w:hint="eastAsia"/>
        </w:rPr>
      </w:pPr>
      <w:r>
        <w:rPr>
          <w:rFonts w:hint="eastAsia"/>
        </w:rPr>
        <w:drawing>
          <wp:anchor distT="0" distB="0" distL="114300" distR="114300" simplePos="0" relativeHeight="251664384"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1" name="图片 1"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尚昊 标"/>
                    <pic:cNvPicPr>
                      <a:picLocks noChangeAspect="1"/>
                    </pic:cNvPicPr>
                  </pic:nvPicPr>
                  <pic:blipFill>
                    <a:blip r:embed="rId33"/>
                    <a:stretch>
                      <a:fillRect/>
                    </a:stretch>
                  </pic:blipFill>
                  <pic:spPr>
                    <a:xfrm>
                      <a:off x="0" y="0"/>
                      <a:ext cx="353060" cy="255905"/>
                    </a:xfrm>
                    <a:prstGeom prst="rect">
                      <a:avLst/>
                    </a:prstGeom>
                  </pic:spPr>
                </pic:pic>
              </a:graphicData>
            </a:graphic>
          </wp:anchor>
        </w:drawing>
      </w:r>
    </w:p>
    <w:p w14:paraId="050F610D">
      <w:pPr>
        <w:spacing w:line="440" w:lineRule="exact"/>
        <w:jc w:val="both"/>
        <w:rPr>
          <w:rFonts w:hint="eastAsia" w:ascii="宋体" w:hAnsi="宋体" w:eastAsia="宋体" w:cs="宋体"/>
          <w:sz w:val="32"/>
          <w:szCs w:val="32"/>
        </w:rPr>
      </w:pPr>
      <w:r>
        <w:rPr>
          <w:rFonts w:hint="eastAsia" w:ascii="宋体" w:hAnsi="宋体" w:eastAsia="宋体" w:cs="宋体"/>
          <w:sz w:val="32"/>
          <w:szCs w:val="32"/>
        </w:rPr>
        <w:t>安康尚昊招标代理有限公司</w:t>
      </w:r>
    </w:p>
    <w:p w14:paraId="56957FE3">
      <w:pPr>
        <w:spacing w:line="440" w:lineRule="exact"/>
        <w:jc w:val="center"/>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1" name="直接连接符 11"/>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3360;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CmgXiz9QEAAOcDAAAOAAAAAAAAAAEAIAAAACIBAABkcnMvZTJvRG9jLnhtbFBLBQYA&#10;AAAABgAGAFkBAACJBQAAAAA=&#10;">
                <v:fill on="f" focussize="0,0"/>
                <v:stroke weight="1.5pt" color="#000000" joinstyle="round"/>
                <v:imagedata o:title=""/>
                <o:lock v:ext="edit" aspectratio="f"/>
              </v:line>
            </w:pict>
          </mc:Fallback>
        </mc:AlternateContent>
      </w:r>
    </w:p>
    <w:p w14:paraId="50185004">
      <w:pPr>
        <w:autoSpaceDE w:val="0"/>
        <w:autoSpaceDN w:val="0"/>
        <w:spacing w:line="440" w:lineRule="exact"/>
        <w:ind w:firstLine="131" w:firstLineChars="50"/>
        <w:rPr>
          <w:rFonts w:hint="eastAsia" w:ascii="宋体" w:hAnsi="宋体" w:eastAsia="宋体" w:cs="宋体"/>
          <w:sz w:val="28"/>
          <w:szCs w:val="28"/>
          <w:lang w:eastAsia="zh-CN"/>
        </w:rPr>
      </w:pPr>
      <w:r>
        <w:rPr>
          <w:rFonts w:hint="eastAsia" w:ascii="宋体" w:hAnsi="宋体" w:eastAsia="宋体" w:cs="宋体"/>
          <w:spacing w:val="1"/>
          <w:w w:val="93"/>
          <w:kern w:val="0"/>
          <w:sz w:val="28"/>
          <w:szCs w:val="28"/>
          <w:fitText w:val="1050" w:id="633148785"/>
        </w:rPr>
        <w:t xml:space="preserve">地    </w:t>
      </w:r>
      <w:r>
        <w:rPr>
          <w:rFonts w:hint="eastAsia" w:ascii="宋体" w:hAnsi="宋体" w:eastAsia="宋体" w:cs="宋体"/>
          <w:spacing w:val="0"/>
          <w:w w:val="93"/>
          <w:kern w:val="0"/>
          <w:sz w:val="28"/>
          <w:szCs w:val="28"/>
          <w:fitText w:val="1050" w:id="633148785"/>
        </w:rPr>
        <w:t>址</w:t>
      </w:r>
      <w:r>
        <w:rPr>
          <w:rFonts w:hint="eastAsia" w:ascii="宋体" w:hAnsi="宋体" w:eastAsia="宋体" w:cs="宋体"/>
          <w:spacing w:val="-6"/>
          <w:sz w:val="28"/>
          <w:szCs w:val="28"/>
        </w:rPr>
        <w:t>：</w:t>
      </w:r>
      <w:r>
        <w:rPr>
          <w:rFonts w:hint="eastAsia" w:ascii="宋体" w:hAnsi="宋体" w:cs="宋体"/>
          <w:spacing w:val="-6"/>
          <w:sz w:val="28"/>
          <w:szCs w:val="28"/>
          <w:lang w:eastAsia="zh-CN"/>
        </w:rPr>
        <w:t>安康市高新区高新观澜8栋二单元801室</w:t>
      </w:r>
    </w:p>
    <w:p w14:paraId="05D4DAEE">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2044156549"/>
        </w:rPr>
        <w:t xml:space="preserve">邮    </w:t>
      </w:r>
      <w:r>
        <w:rPr>
          <w:rFonts w:hint="eastAsia" w:ascii="宋体" w:hAnsi="宋体" w:eastAsia="宋体" w:cs="宋体"/>
          <w:spacing w:val="0"/>
          <w:w w:val="93"/>
          <w:kern w:val="0"/>
          <w:sz w:val="28"/>
          <w:szCs w:val="28"/>
          <w:fitText w:val="1050" w:id="2044156549"/>
        </w:rPr>
        <w:t>编</w:t>
      </w:r>
      <w:r>
        <w:rPr>
          <w:rFonts w:hint="eastAsia" w:ascii="宋体" w:hAnsi="宋体" w:eastAsia="宋体" w:cs="宋体"/>
          <w:sz w:val="28"/>
          <w:szCs w:val="28"/>
        </w:rPr>
        <w:t>：725000</w:t>
      </w:r>
    </w:p>
    <w:p w14:paraId="0DF6FA19">
      <w:pPr>
        <w:autoSpaceDE w:val="0"/>
        <w:autoSpaceDN w:val="0"/>
        <w:spacing w:line="440" w:lineRule="exact"/>
        <w:ind w:firstLine="131" w:firstLineChars="50"/>
        <w:rPr>
          <w:rFonts w:hint="eastAsia" w:ascii="宋体" w:hAnsi="宋体" w:eastAsia="宋体" w:cs="宋体"/>
          <w:sz w:val="28"/>
          <w:szCs w:val="28"/>
          <w:lang w:val="en-US" w:eastAsia="zh-CN"/>
        </w:rPr>
      </w:pPr>
      <w:r>
        <w:rPr>
          <w:rFonts w:hint="eastAsia" w:ascii="宋体" w:hAnsi="宋体" w:eastAsia="宋体" w:cs="宋体"/>
          <w:spacing w:val="1"/>
          <w:w w:val="93"/>
          <w:kern w:val="0"/>
          <w:sz w:val="28"/>
          <w:szCs w:val="28"/>
          <w:fitText w:val="1050" w:id="1935496908"/>
        </w:rPr>
        <w:t xml:space="preserve">电    </w:t>
      </w:r>
      <w:r>
        <w:rPr>
          <w:rFonts w:hint="eastAsia" w:ascii="宋体" w:hAnsi="宋体" w:eastAsia="宋体" w:cs="宋体"/>
          <w:spacing w:val="0"/>
          <w:w w:val="93"/>
          <w:kern w:val="0"/>
          <w:sz w:val="28"/>
          <w:szCs w:val="28"/>
          <w:fitText w:val="1050" w:id="1935496908"/>
        </w:rPr>
        <w:t>话</w:t>
      </w:r>
      <w:r>
        <w:rPr>
          <w:rFonts w:hint="eastAsia" w:ascii="宋体" w:hAnsi="宋体" w:eastAsia="宋体" w:cs="宋体"/>
          <w:sz w:val="28"/>
          <w:szCs w:val="28"/>
        </w:rPr>
        <w:t>：</w:t>
      </w:r>
      <w:r>
        <w:rPr>
          <w:rFonts w:hint="eastAsia" w:ascii="宋体" w:hAnsi="宋体" w:eastAsia="宋体" w:cs="宋体"/>
          <w:sz w:val="28"/>
          <w:szCs w:val="28"/>
          <w:lang w:val="en-US" w:eastAsia="zh-CN"/>
        </w:rPr>
        <w:t>15991480332</w:t>
      </w:r>
    </w:p>
    <w:p w14:paraId="3A9E6C3E">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1186272976"/>
          <w:lang w:eastAsia="zh-CN"/>
        </w:rPr>
        <w:t>公司名称</w:t>
      </w:r>
      <w:r>
        <w:rPr>
          <w:rFonts w:hint="eastAsia" w:ascii="宋体" w:hAnsi="宋体" w:eastAsia="宋体" w:cs="宋体"/>
          <w:sz w:val="28"/>
          <w:szCs w:val="28"/>
        </w:rPr>
        <w:t>：安康尚昊招标代理有限公司</w:t>
      </w:r>
    </w:p>
    <w:p w14:paraId="257E0C1D">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944183096"/>
        </w:rPr>
        <w:t>开户银行</w:t>
      </w:r>
      <w:r>
        <w:rPr>
          <w:rFonts w:hint="eastAsia" w:ascii="宋体" w:hAnsi="宋体" w:eastAsia="宋体" w:cs="宋体"/>
          <w:sz w:val="28"/>
          <w:szCs w:val="28"/>
        </w:rPr>
        <w:t>：中国建设银行股份有限公司安康分行营业部</w:t>
      </w:r>
    </w:p>
    <w:p w14:paraId="2A3D6A96">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569918405"/>
        </w:rPr>
        <w:t xml:space="preserve">账    </w:t>
      </w:r>
      <w:r>
        <w:rPr>
          <w:rFonts w:hint="eastAsia" w:ascii="宋体" w:hAnsi="宋体" w:eastAsia="宋体" w:cs="宋体"/>
          <w:spacing w:val="0"/>
          <w:w w:val="93"/>
          <w:kern w:val="0"/>
          <w:sz w:val="28"/>
          <w:szCs w:val="28"/>
          <w:fitText w:val="1050" w:id="569918405"/>
        </w:rPr>
        <w:t>号</w:t>
      </w:r>
      <w:r>
        <w:rPr>
          <w:rFonts w:hint="eastAsia" w:ascii="宋体" w:hAnsi="宋体" w:eastAsia="宋体" w:cs="宋体"/>
          <w:sz w:val="28"/>
          <w:szCs w:val="28"/>
        </w:rPr>
        <w:t>：</w:t>
      </w:r>
      <w:r>
        <w:rPr>
          <w:rFonts w:hint="eastAsia" w:ascii="宋体" w:hAnsi="宋体" w:eastAsia="宋体" w:cs="宋体"/>
          <w:sz w:val="28"/>
          <w:szCs w:val="32"/>
        </w:rPr>
        <w:t>61050166371100000492</w:t>
      </w:r>
      <w:r>
        <w:rPr>
          <w:rFonts w:hint="eastAsia" w:ascii="宋体" w:hAnsi="宋体" w:eastAsia="宋体" w:cs="宋体"/>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2336;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DV0PR09QEAAOcDAAAOAAAAAAAAAAEAIAAAACIBAABkcnMvZTJvRG9jLnhtbFBLBQYA&#10;AAAABgAGAFkBAACJBQAAAAA=&#10;">
                <v:fill on="f" focussize="0,0"/>
                <v:stroke weight="1.5pt" color="#000000" joinstyle="round"/>
                <v:imagedata o:title=""/>
                <o:lock v:ext="edit" aspectratio="f"/>
              </v:line>
            </w:pict>
          </mc:Fallback>
        </mc:AlternateContent>
      </w:r>
    </w:p>
    <w:p w14:paraId="15BC5B5A">
      <w:pPr>
        <w:pStyle w:val="21"/>
        <w:rPr>
          <w:rFonts w:hint="eastAsia"/>
        </w:rPr>
      </w:pPr>
    </w:p>
    <w:p w14:paraId="75605650">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1" w:type="first"/>
      <w:footerReference r:id="rId30" w:type="default"/>
      <w:pgSz w:w="11906" w:h="16838"/>
      <w:pgMar w:top="1417" w:right="1417" w:bottom="1417" w:left="1417" w:header="992" w:footer="992" w:gutter="0"/>
      <w:pgNumType w:fmt="decimal"/>
      <w:cols w:space="0" w:num="1"/>
      <w:titlePg/>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Arial Narrow">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60F0B">
    <w:pPr>
      <w:pStyle w:val="21"/>
      <w:jc w:val="right"/>
      <w:rPr>
        <w:rFonts w:ascii="宋体" w:cs="Times New Roman"/>
      </w:rPr>
    </w:pPr>
    <w:r>
      <w:rPr>
        <w:rFonts w:hint="eastAsia" w:ascii="宋体" w:hAnsi="宋体" w:cs="宋体"/>
      </w:rPr>
      <w:t>安康尚昊招标代理有限公司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FA6AB">
    <w:pPr>
      <w:pStyle w:val="2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9991F">
                          <w:pPr>
                            <w:pStyle w:val="2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AD9991F">
                    <w:pPr>
                      <w:pStyle w:val="2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2DF6">
    <w:pPr>
      <w:spacing w:line="176" w:lineRule="auto"/>
      <w:ind w:left="81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11141">
                          <w:pPr>
                            <w:pStyle w:val="2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0D11141">
                    <w:pPr>
                      <w:pStyle w:val="2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7D387">
    <w:pPr>
      <w:pStyle w:val="21"/>
      <w:tabs>
        <w:tab w:val="center" w:pos="4819"/>
        <w:tab w:val="left" w:pos="7440"/>
      </w:tabs>
      <w:rPr>
        <w:rFonts w:ascii="宋体"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9BDC6">
                          <w:pPr>
                            <w:pStyle w:val="21"/>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0A9BDC6">
                    <w:pPr>
                      <w:pStyle w:val="21"/>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5F988">
    <w:pPr>
      <w:pStyle w:val="21"/>
      <w:tabs>
        <w:tab w:val="center" w:pos="4819"/>
        <w:tab w:val="left" w:pos="7440"/>
      </w:tabs>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CEE43">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D3CEE43">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r>
      <w:tab/>
    </w:r>
  </w:p>
  <w:p w14:paraId="49259B4D">
    <w:pPr>
      <w:pStyle w:val="21"/>
      <w:ind w:right="360"/>
      <w:jc w:val="center"/>
      <w:rPr>
        <w:rFonts w:ascii="宋体"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18762">
    <w:pPr>
      <w:pStyle w:val="21"/>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80AA7">
                          <w:pPr>
                            <w:pStyle w:val="21"/>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7780AA7">
                    <w:pPr>
                      <w:pStyle w:val="21"/>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BCC3F">
    <w:pPr>
      <w:pStyle w:val="21"/>
      <w:tabs>
        <w:tab w:val="center" w:pos="4819"/>
        <w:tab w:val="left" w:pos="7440"/>
      </w:tabs>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C99AE">
                          <w:pPr>
                            <w:pStyle w:val="21"/>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4EC99AE">
                    <w:pPr>
                      <w:pStyle w:val="21"/>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r>
      <w:tab/>
    </w:r>
  </w:p>
  <w:p w14:paraId="01F3E3BD">
    <w:pPr>
      <w:pStyle w:val="21"/>
      <w:ind w:right="360"/>
      <w:jc w:val="center"/>
      <w:rPr>
        <w:rFonts w:ascii="宋体" w:cs="Times New Roman"/>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33D1A">
    <w:pPr>
      <w:pStyle w:val="21"/>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2D3FC">
                          <w:pPr>
                            <w:pStyle w:val="21"/>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2D3FC">
                    <w:pPr>
                      <w:pStyle w:val="21"/>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D38D6">
    <w:pPr>
      <w:pStyle w:val="21"/>
      <w:tabs>
        <w:tab w:val="center" w:pos="4819"/>
        <w:tab w:val="left" w:pos="7440"/>
      </w:tabs>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3ACAC">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5F3ACAC">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r>
      <w:tab/>
    </w:r>
  </w:p>
  <w:p w14:paraId="5AC498D5">
    <w:pPr>
      <w:pStyle w:val="21"/>
      <w:ind w:right="360"/>
      <w:jc w:val="center"/>
      <w:rPr>
        <w:rFonts w:ascii="宋体" w:cs="Times New Roman"/>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596CA">
    <w:pPr>
      <w:pStyle w:val="21"/>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B4BC9">
                          <w:pPr>
                            <w:pStyle w:val="21"/>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BDB4BC9">
                    <w:pPr>
                      <w:pStyle w:val="21"/>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98C22">
    <w:pPr>
      <w:pStyle w:val="21"/>
      <w:jc w:val="right"/>
      <w:rPr>
        <w:rFonts w:ascii="宋体"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4C2D9">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E54C2D9">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D90DE">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CADC0">
                          <w:pPr>
                            <w:pStyle w:val="2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B8CADC0">
                    <w:pPr>
                      <w:pStyle w:val="2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61</w:t>
                    </w:r>
                    <w: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983D">
    <w:pPr>
      <w:pStyle w:val="21"/>
      <w:jc w:val="right"/>
      <w:rPr>
        <w:rFonts w:ascii="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E8EE6">
                          <w:pPr>
                            <w:pStyle w:val="2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35E8EE6">
                    <w:pPr>
                      <w:pStyle w:val="2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E0510">
    <w:pPr>
      <w:pStyle w:val="2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E8AFB">
                          <w:pPr>
                            <w:pStyle w:val="2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36E8AFB">
                    <w:pPr>
                      <w:pStyle w:val="2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5B5B5">
    <w:pPr>
      <w:pStyle w:val="21"/>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651DA">
                          <w:pPr>
                            <w:pStyle w:val="21"/>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B8651DA">
                    <w:pPr>
                      <w:pStyle w:val="21"/>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4CFAD">
    <w:pPr>
      <w:pStyle w:val="2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3A7BD">
                          <w:pPr>
                            <w:pStyle w:val="21"/>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6E3A7BD">
                    <w:pPr>
                      <w:pStyle w:val="21"/>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8AA1A">
    <w:pPr>
      <w:pStyle w:val="21"/>
      <w:tabs>
        <w:tab w:val="left" w:pos="5202"/>
        <w:tab w:val="right" w:pos="9192"/>
      </w:tabs>
      <w:jc w:val="left"/>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0E78D">
                          <w:pPr>
                            <w:pStyle w:val="2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D20E78D">
                    <w:pPr>
                      <w:pStyle w:val="2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r>
      <w:rPr>
        <w:rFonts w:hint="eastAsia" w:ascii="宋体" w:hAnsi="宋体"/>
        <w:sz w:val="28"/>
        <w:szCs w:val="28"/>
        <w:lang w:eastAsia="zh-CN"/>
      </w:rPr>
      <w:tab/>
    </w:r>
    <w:r>
      <w:rPr>
        <w:rFonts w:hint="eastAsia" w:ascii="宋体" w:hAnsi="宋体"/>
        <w:sz w:val="28"/>
        <w:szCs w:val="28"/>
        <w:lang w:eastAsia="zh-CN"/>
      </w:rPr>
      <w:tab/>
    </w:r>
    <w:r>
      <w:rPr>
        <w:rFonts w:hint="eastAsia" w:ascii="宋体" w:hAnsi="宋体"/>
        <w:sz w:val="28"/>
        <w:szCs w:val="28"/>
        <w:lang w:eastAsia="zh-CN"/>
      </w:rPr>
      <w:tab/>
    </w:r>
    <w:r>
      <w:rPr>
        <w:rFonts w:hint="eastAsia" w:ascii="宋体" w:hAnsi="宋体"/>
        <w:sz w:val="28"/>
        <w:szCs w:val="28"/>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A605F">
    <w:pPr>
      <w:pStyle w:val="21"/>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14:paraId="320E1613">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5FC40">
    <w:pPr>
      <w:adjustRightInd w:val="0"/>
      <w:snapToGrid w:val="0"/>
      <w:spacing w:line="360" w:lineRule="auto"/>
      <w:jc w:val="left"/>
      <w:rPr>
        <w:rFonts w:ascii="宋体" w:cs="Times New Roman"/>
        <w:u w:val="single"/>
      </w:rPr>
    </w:pPr>
    <w:r>
      <w:rPr>
        <w:rFonts w:hint="eastAsia" w:ascii="宋体" w:hAnsi="宋体" w:cs="宋体"/>
        <w:sz w:val="15"/>
        <w:szCs w:val="15"/>
        <w:u w:val="single"/>
      </w:rPr>
      <w:t>安康市中医医院互联网医院建设服务项目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AKSH2020-ZCS-010</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C0A83">
    <w:pPr>
      <w:pStyle w:val="23"/>
      <w:pBdr>
        <w:bottom w:val="single" w:color="auto" w:sz="4" w:space="1"/>
      </w:pBdr>
      <w:jc w:val="left"/>
      <w:rPr>
        <w:rFonts w:hint="default"/>
        <w:lang w:val="en-US" w:eastAsia="zh-CN"/>
      </w:rPr>
    </w:pPr>
    <w:r>
      <w:rPr>
        <w:rFonts w:hint="eastAsia" w:ascii="宋体" w:hAnsi="Calibri" w:eastAsia="宋体" w:cs="Times New Roman"/>
        <w:kern w:val="2"/>
        <w:sz w:val="21"/>
        <w:szCs w:val="21"/>
        <w:highlight w:val="none"/>
        <w:u w:val="none"/>
        <w:lang w:val="en-US" w:eastAsia="zh-CN" w:bidi="ar-SA"/>
      </w:rPr>
      <w:t>项目名称：</w:t>
    </w:r>
    <w:r>
      <w:rPr>
        <w:rFonts w:hint="eastAsia" w:ascii="宋体" w:cs="Times New Roman"/>
        <w:kern w:val="2"/>
        <w:sz w:val="21"/>
        <w:szCs w:val="21"/>
        <w:highlight w:val="none"/>
        <w:u w:val="none"/>
        <w:lang w:val="en-US" w:eastAsia="zh-CN" w:bidi="ar-SA"/>
      </w:rPr>
      <w:t>安康博物馆周边环境整治工程                          项目编号：AKSH2025-ZCS-075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591FD">
    <w:pPr>
      <w:pStyle w:val="23"/>
      <w:rPr>
        <w:rFonts w:hint="default"/>
        <w:lang w:val="en-US" w:eastAsia="zh-CN"/>
      </w:rPr>
    </w:pPr>
    <w:r>
      <w:rPr>
        <w:rFonts w:hint="eastAsia" w:ascii="宋体" w:hAnsi="宋体" w:eastAsia="宋体" w:cs="宋体"/>
        <w:lang w:val="en-US" w:eastAsia="zh-CN"/>
      </w:rPr>
      <w:t>项目名称：</w:t>
    </w:r>
    <w:r>
      <w:rPr>
        <w:rFonts w:hint="eastAsia" w:ascii="宋体" w:hAnsi="宋体" w:cs="宋体"/>
        <w:lang w:val="en-US" w:eastAsia="zh-CN"/>
      </w:rPr>
      <w:t>恒口示范区梁沟村便民桥建设工程</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项目编号：</w:t>
    </w:r>
    <w:r>
      <w:rPr>
        <w:rFonts w:hint="eastAsia" w:ascii="宋体" w:hAnsi="宋体" w:cs="宋体"/>
        <w:lang w:val="en-US" w:eastAsia="zh-CN"/>
      </w:rPr>
      <w:t>AKSH2025-ZCS-123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F2A1">
    <w:pPr>
      <w:pStyle w:val="23"/>
      <w:pBdr>
        <w:bottom w:val="none" w:color="auto" w:sz="0" w:space="1"/>
      </w:pBdr>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037CF">
    <w:pPr>
      <w:pStyle w:val="23"/>
    </w:pPr>
    <w:r>
      <w:rPr>
        <w:rFonts w:hint="eastAsia" w:ascii="宋体" w:hAnsi="宋体" w:eastAsia="宋体" w:cs="宋体"/>
        <w:lang w:val="en-US" w:eastAsia="zh-CN"/>
      </w:rPr>
      <w:t>项目名称：</w:t>
    </w:r>
    <w:r>
      <w:rPr>
        <w:rFonts w:hint="eastAsia" w:ascii="宋体" w:hAnsi="宋体" w:cs="宋体"/>
        <w:lang w:val="en-US" w:eastAsia="zh-CN"/>
      </w:rPr>
      <w:t>恒口示范区梁沟村便民桥建设工程</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项目编号：</w:t>
    </w:r>
    <w:r>
      <w:rPr>
        <w:rFonts w:hint="eastAsia" w:ascii="宋体" w:hAnsi="宋体" w:cs="宋体"/>
        <w:lang w:val="en-US" w:eastAsia="zh-CN"/>
      </w:rPr>
      <w:t>AKSH2025-ZCS-123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1B9F3">
    <w:pPr>
      <w:pStyle w:val="23"/>
      <w:rPr>
        <w:rFonts w:hint="default"/>
        <w:lang w:val="en-US" w:eastAsia="zh-CN"/>
      </w:rPr>
    </w:pPr>
    <w:r>
      <w:rPr>
        <w:rFonts w:hint="eastAsia" w:ascii="宋体" w:hAnsi="宋体" w:eastAsia="宋体" w:cs="宋体"/>
        <w:lang w:val="en-US" w:eastAsia="zh-CN"/>
      </w:rPr>
      <w:t>项目名称：</w:t>
    </w:r>
    <w:r>
      <w:rPr>
        <w:rFonts w:hint="eastAsia" w:ascii="宋体" w:hAnsi="宋体" w:cs="宋体"/>
        <w:lang w:val="en-US" w:eastAsia="zh-CN"/>
      </w:rPr>
      <w:t xml:space="preserve">恒口示范区梁沟村便民桥建设工程                   </w:t>
    </w:r>
    <w:r>
      <w:rPr>
        <w:rFonts w:hint="eastAsia" w:ascii="宋体" w:hAnsi="宋体" w:eastAsia="宋体" w:cs="宋体"/>
        <w:lang w:val="en-US" w:eastAsia="zh-CN"/>
      </w:rPr>
      <w:t>项目编号：</w:t>
    </w:r>
    <w:r>
      <w:rPr>
        <w:rFonts w:hint="eastAsia" w:ascii="宋体" w:hAnsi="宋体" w:cs="宋体"/>
        <w:lang w:val="en-US" w:eastAsia="zh-CN"/>
      </w:rPr>
      <w:t>AKSH2025-ZCS-123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F110D">
    <w:pPr>
      <w:pStyle w:val="23"/>
    </w:pPr>
    <w:r>
      <w:rPr>
        <w:rFonts w:hint="eastAsia" w:ascii="宋体" w:hAnsi="宋体" w:eastAsia="宋体" w:cs="宋体"/>
        <w:lang w:val="en-US" w:eastAsia="zh-CN"/>
      </w:rPr>
      <w:t>项目名称：</w:t>
    </w:r>
    <w:r>
      <w:rPr>
        <w:rFonts w:hint="eastAsia" w:ascii="宋体" w:hAnsi="宋体" w:cs="宋体"/>
        <w:lang w:val="en-US" w:eastAsia="zh-CN"/>
      </w:rPr>
      <w:t>恒口示范区梁沟村便民桥建设工程</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项目编号：</w:t>
    </w:r>
    <w:r>
      <w:rPr>
        <w:rFonts w:hint="eastAsia" w:ascii="宋体" w:hAnsi="宋体" w:cs="宋体"/>
        <w:lang w:val="en-US" w:eastAsia="zh-CN"/>
      </w:rPr>
      <w:t>AKSH2025-ZCS-123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CD4E2">
    <w:pPr>
      <w:pStyle w:val="23"/>
      <w:ind w:firstLine="180" w:firstLineChars="100"/>
      <w:jc w:val="left"/>
      <w:rPr>
        <w:rFonts w:hint="default"/>
        <w:lang w:val="en-US" w:eastAsia="zh-CN"/>
      </w:rPr>
    </w:pPr>
    <w:r>
      <w:rPr>
        <w:rFonts w:hint="eastAsia" w:ascii="宋体" w:hAnsi="宋体" w:eastAsia="宋体" w:cs="宋体"/>
        <w:lang w:val="en-US" w:eastAsia="zh-CN"/>
      </w:rPr>
      <w:t>项目名称：</w:t>
    </w:r>
    <w:r>
      <w:rPr>
        <w:rFonts w:hint="eastAsia" w:ascii="宋体" w:hAnsi="宋体" w:cs="宋体"/>
        <w:lang w:val="en-US" w:eastAsia="zh-CN"/>
      </w:rPr>
      <w:t>恒口示范区梁沟村便民桥建设工程</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项目编号：</w:t>
    </w:r>
    <w:r>
      <w:rPr>
        <w:rFonts w:hint="eastAsia" w:ascii="宋体" w:hAnsi="宋体" w:cs="宋体"/>
        <w:lang w:val="en-US" w:eastAsia="zh-CN"/>
      </w:rPr>
      <w:t>AKSH2025-ZCS-123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28E5B">
    <w:pPr>
      <w:pStyle w:val="23"/>
      <w:ind w:firstLine="180" w:firstLineChars="100"/>
      <w:jc w:val="left"/>
    </w:pPr>
    <w:r>
      <w:rPr>
        <w:rFonts w:hint="eastAsia" w:ascii="宋体" w:hAnsi="宋体" w:eastAsia="宋体" w:cs="宋体"/>
        <w:lang w:val="en-US" w:eastAsia="zh-CN"/>
      </w:rPr>
      <w:t>项目名称：</w:t>
    </w:r>
    <w:r>
      <w:rPr>
        <w:rFonts w:hint="eastAsia" w:ascii="宋体" w:hAnsi="宋体" w:cs="宋体"/>
        <w:lang w:val="en-US" w:eastAsia="zh-CN"/>
      </w:rPr>
      <w:t>恒口示范区梁沟村便民桥建设工程</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项目编号：</w:t>
    </w:r>
    <w:r>
      <w:rPr>
        <w:rFonts w:hint="eastAsia" w:ascii="宋体" w:hAnsi="宋体" w:cs="宋体"/>
        <w:lang w:val="en-US" w:eastAsia="zh-CN"/>
      </w:rPr>
      <w:t>AKSH2025-ZCS-123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9C6C8">
    <w:pPr>
      <w:pStyle w:val="23"/>
    </w:pPr>
    <w:r>
      <w:rPr>
        <w:rFonts w:hint="eastAsia" w:ascii="宋体" w:hAnsi="宋体" w:eastAsia="宋体" w:cs="宋体"/>
        <w:lang w:val="en-US" w:eastAsia="zh-CN"/>
      </w:rPr>
      <w:t>项目名称：</w:t>
    </w:r>
    <w:r>
      <w:rPr>
        <w:rFonts w:hint="eastAsia" w:ascii="宋体" w:hAnsi="宋体" w:cs="宋体"/>
        <w:lang w:val="en-US" w:eastAsia="zh-CN"/>
      </w:rPr>
      <w:t>恒口示范区梁沟村便民桥建设工程</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项目编号：</w:t>
    </w:r>
    <w:r>
      <w:rPr>
        <w:rFonts w:hint="eastAsia" w:ascii="宋体" w:hAnsi="宋体" w:cs="宋体"/>
        <w:lang w:val="en-US" w:eastAsia="zh-CN"/>
      </w:rPr>
      <w:t>AKSH2025-ZCS-123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E19F9">
    <w:pPr>
      <w:pStyle w:val="23"/>
      <w:rPr>
        <w:rFonts w:hint="default"/>
        <w:lang w:val="en-US" w:eastAsia="zh-CN"/>
      </w:rPr>
    </w:pPr>
    <w:r>
      <w:rPr>
        <w:rFonts w:hint="eastAsia" w:ascii="宋体" w:hAnsi="宋体" w:eastAsia="宋体" w:cs="宋体"/>
        <w:lang w:val="en-US" w:eastAsia="zh-CN"/>
      </w:rPr>
      <w:t>项目名称：</w:t>
    </w:r>
    <w:r>
      <w:rPr>
        <w:rFonts w:hint="eastAsia" w:ascii="宋体" w:hAnsi="宋体" w:cs="宋体"/>
        <w:lang w:val="en-US" w:eastAsia="zh-CN"/>
      </w:rPr>
      <w:t>恒口示范区梁沟村便民桥建设工程</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 xml:space="preserve">    项目编号：</w:t>
    </w:r>
    <w:r>
      <w:rPr>
        <w:rFonts w:hint="eastAsia" w:ascii="宋体" w:hAnsi="宋体" w:cs="宋体"/>
        <w:lang w:val="en-US" w:eastAsia="zh-CN"/>
      </w:rPr>
      <w:t>AKSH2025-ZCS-123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6ED33"/>
    <w:multiLevelType w:val="singleLevel"/>
    <w:tmpl w:val="B6C6ED33"/>
    <w:lvl w:ilvl="0" w:tentative="0">
      <w:start w:val="4"/>
      <w:numFmt w:val="chineseCounting"/>
      <w:suff w:val="space"/>
      <w:lvlText w:val="第%1部分"/>
      <w:lvlJc w:val="left"/>
      <w:rPr>
        <w:rFonts w:hint="eastAsia"/>
      </w:rPr>
    </w:lvl>
  </w:abstractNum>
  <w:abstractNum w:abstractNumId="1">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D455AD"/>
    <w:multiLevelType w:val="singleLevel"/>
    <w:tmpl w:val="24D455AD"/>
    <w:lvl w:ilvl="0" w:tentative="0">
      <w:start w:val="1"/>
      <w:numFmt w:val="chineseCounting"/>
      <w:suff w:val="nothing"/>
      <w:lvlText w:val="%1、"/>
      <w:lvlJc w:val="left"/>
      <w:rPr>
        <w:rFonts w:hint="eastAsia"/>
      </w:rPr>
    </w:lvl>
  </w:abstractNum>
  <w:abstractNum w:abstractNumId="3">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4">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oNotHyphenateCaps/>
  <w:drawingGridHorizontalSpacing w:val="210"/>
  <w:drawingGridVerticalSpacing w:val="167"/>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TZjYmI2ODUwNjVhNGQ4ODA1YTg3ZjkyN2NjMzY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55351"/>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67E11"/>
    <w:rsid w:val="00472A06"/>
    <w:rsid w:val="00473031"/>
    <w:rsid w:val="004735BA"/>
    <w:rsid w:val="00482B14"/>
    <w:rsid w:val="00485775"/>
    <w:rsid w:val="004874D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A69BE"/>
    <w:rsid w:val="007B2B77"/>
    <w:rsid w:val="007B6B64"/>
    <w:rsid w:val="007B6BCF"/>
    <w:rsid w:val="007B6D05"/>
    <w:rsid w:val="007C0F2D"/>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7CA5"/>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CC9"/>
    <w:rsid w:val="00B50A6A"/>
    <w:rsid w:val="00B51EFA"/>
    <w:rsid w:val="00B5443F"/>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BE7797"/>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0935"/>
    <w:rsid w:val="00E54610"/>
    <w:rsid w:val="00E55562"/>
    <w:rsid w:val="00E57423"/>
    <w:rsid w:val="00E57D7D"/>
    <w:rsid w:val="00E61F55"/>
    <w:rsid w:val="00E63219"/>
    <w:rsid w:val="00E65DC8"/>
    <w:rsid w:val="00E746B2"/>
    <w:rsid w:val="00E83E90"/>
    <w:rsid w:val="00E90E0A"/>
    <w:rsid w:val="00E9724B"/>
    <w:rsid w:val="00EA1ECE"/>
    <w:rsid w:val="00EA40E8"/>
    <w:rsid w:val="00EA67DE"/>
    <w:rsid w:val="00EB067D"/>
    <w:rsid w:val="00EB0F5E"/>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1221F0"/>
    <w:rsid w:val="011253ED"/>
    <w:rsid w:val="0119677B"/>
    <w:rsid w:val="013A223F"/>
    <w:rsid w:val="013C5DB8"/>
    <w:rsid w:val="013E61E2"/>
    <w:rsid w:val="01525A0A"/>
    <w:rsid w:val="016A454D"/>
    <w:rsid w:val="016C71F3"/>
    <w:rsid w:val="017D3840"/>
    <w:rsid w:val="018E640A"/>
    <w:rsid w:val="01920D21"/>
    <w:rsid w:val="01AC2FBF"/>
    <w:rsid w:val="01AD1AAE"/>
    <w:rsid w:val="01C84DE7"/>
    <w:rsid w:val="01DA363D"/>
    <w:rsid w:val="01F90F7C"/>
    <w:rsid w:val="020600F6"/>
    <w:rsid w:val="02064B47"/>
    <w:rsid w:val="022D433C"/>
    <w:rsid w:val="023C7D0C"/>
    <w:rsid w:val="02590F24"/>
    <w:rsid w:val="02624152"/>
    <w:rsid w:val="02627C1F"/>
    <w:rsid w:val="027C5214"/>
    <w:rsid w:val="02854F8C"/>
    <w:rsid w:val="02BA6C1F"/>
    <w:rsid w:val="02BE3A7E"/>
    <w:rsid w:val="02C56FBB"/>
    <w:rsid w:val="02CB14A4"/>
    <w:rsid w:val="02D3498C"/>
    <w:rsid w:val="02E57ADC"/>
    <w:rsid w:val="02F61685"/>
    <w:rsid w:val="02FA17E2"/>
    <w:rsid w:val="02FD5BFC"/>
    <w:rsid w:val="02FE73C3"/>
    <w:rsid w:val="030A0C9E"/>
    <w:rsid w:val="03442ED4"/>
    <w:rsid w:val="034C725D"/>
    <w:rsid w:val="03551D57"/>
    <w:rsid w:val="03630F4D"/>
    <w:rsid w:val="03A85B56"/>
    <w:rsid w:val="03C10C9F"/>
    <w:rsid w:val="03C921C1"/>
    <w:rsid w:val="03E33071"/>
    <w:rsid w:val="03F92894"/>
    <w:rsid w:val="03FD053E"/>
    <w:rsid w:val="04014E76"/>
    <w:rsid w:val="040B7728"/>
    <w:rsid w:val="040C0819"/>
    <w:rsid w:val="04140CC2"/>
    <w:rsid w:val="041D2A27"/>
    <w:rsid w:val="043B4C5B"/>
    <w:rsid w:val="04536164"/>
    <w:rsid w:val="04737BC5"/>
    <w:rsid w:val="048B7202"/>
    <w:rsid w:val="04AB0E36"/>
    <w:rsid w:val="04C410F4"/>
    <w:rsid w:val="04CB26A7"/>
    <w:rsid w:val="04CD0688"/>
    <w:rsid w:val="04D502BA"/>
    <w:rsid w:val="04DF4866"/>
    <w:rsid w:val="04F06D3D"/>
    <w:rsid w:val="050047DB"/>
    <w:rsid w:val="050438CD"/>
    <w:rsid w:val="052B0940"/>
    <w:rsid w:val="053973B5"/>
    <w:rsid w:val="05402991"/>
    <w:rsid w:val="05460273"/>
    <w:rsid w:val="054D2E98"/>
    <w:rsid w:val="054D733B"/>
    <w:rsid w:val="054E1CE0"/>
    <w:rsid w:val="056C728C"/>
    <w:rsid w:val="057A7F6E"/>
    <w:rsid w:val="05880374"/>
    <w:rsid w:val="0599432F"/>
    <w:rsid w:val="05D137D6"/>
    <w:rsid w:val="05D71396"/>
    <w:rsid w:val="05DB4DA3"/>
    <w:rsid w:val="05FA123D"/>
    <w:rsid w:val="05FB4E02"/>
    <w:rsid w:val="05FF21F4"/>
    <w:rsid w:val="05FF224E"/>
    <w:rsid w:val="060454DB"/>
    <w:rsid w:val="06110D47"/>
    <w:rsid w:val="0616772D"/>
    <w:rsid w:val="063F6A07"/>
    <w:rsid w:val="065A46B0"/>
    <w:rsid w:val="065B3B93"/>
    <w:rsid w:val="066D1D57"/>
    <w:rsid w:val="066E57BB"/>
    <w:rsid w:val="066E7569"/>
    <w:rsid w:val="06915006"/>
    <w:rsid w:val="06B12629"/>
    <w:rsid w:val="06BD3616"/>
    <w:rsid w:val="06BE30D0"/>
    <w:rsid w:val="06C7797E"/>
    <w:rsid w:val="06CD112D"/>
    <w:rsid w:val="06DC7813"/>
    <w:rsid w:val="06E56C12"/>
    <w:rsid w:val="07224610"/>
    <w:rsid w:val="073278A0"/>
    <w:rsid w:val="07373DFF"/>
    <w:rsid w:val="073E5E68"/>
    <w:rsid w:val="074E5EB3"/>
    <w:rsid w:val="07504EC1"/>
    <w:rsid w:val="07621A18"/>
    <w:rsid w:val="077166EC"/>
    <w:rsid w:val="07754928"/>
    <w:rsid w:val="07797F74"/>
    <w:rsid w:val="07892C9E"/>
    <w:rsid w:val="07997C89"/>
    <w:rsid w:val="07B241D3"/>
    <w:rsid w:val="07BB058C"/>
    <w:rsid w:val="07D01B5E"/>
    <w:rsid w:val="07E55609"/>
    <w:rsid w:val="07E562BD"/>
    <w:rsid w:val="07FC0B21"/>
    <w:rsid w:val="07FC0D88"/>
    <w:rsid w:val="08145F16"/>
    <w:rsid w:val="082C4FE6"/>
    <w:rsid w:val="08365E65"/>
    <w:rsid w:val="08366DA4"/>
    <w:rsid w:val="0837398B"/>
    <w:rsid w:val="083E11BD"/>
    <w:rsid w:val="08422A5C"/>
    <w:rsid w:val="087D1536"/>
    <w:rsid w:val="08940DDD"/>
    <w:rsid w:val="089E6E52"/>
    <w:rsid w:val="08B16FB6"/>
    <w:rsid w:val="08E53CD3"/>
    <w:rsid w:val="08E74CA6"/>
    <w:rsid w:val="08E95814"/>
    <w:rsid w:val="08F33D56"/>
    <w:rsid w:val="090A42F6"/>
    <w:rsid w:val="092266DC"/>
    <w:rsid w:val="09271A18"/>
    <w:rsid w:val="09293304"/>
    <w:rsid w:val="0949327F"/>
    <w:rsid w:val="094D1E21"/>
    <w:rsid w:val="094E5A0C"/>
    <w:rsid w:val="09560FD7"/>
    <w:rsid w:val="09644C54"/>
    <w:rsid w:val="097A7578"/>
    <w:rsid w:val="099106B6"/>
    <w:rsid w:val="09913C41"/>
    <w:rsid w:val="099D6B31"/>
    <w:rsid w:val="09A52E1C"/>
    <w:rsid w:val="09A9060C"/>
    <w:rsid w:val="09C120A6"/>
    <w:rsid w:val="09CF513B"/>
    <w:rsid w:val="09E25AD9"/>
    <w:rsid w:val="09EA213D"/>
    <w:rsid w:val="09FC4E8C"/>
    <w:rsid w:val="0A0976BB"/>
    <w:rsid w:val="0A0D0E47"/>
    <w:rsid w:val="0A3E3F88"/>
    <w:rsid w:val="0A59408D"/>
    <w:rsid w:val="0A672A35"/>
    <w:rsid w:val="0A706A46"/>
    <w:rsid w:val="0A891706"/>
    <w:rsid w:val="0AAF1EFF"/>
    <w:rsid w:val="0AEE50E0"/>
    <w:rsid w:val="0AFC5610"/>
    <w:rsid w:val="0B114967"/>
    <w:rsid w:val="0B1B1342"/>
    <w:rsid w:val="0B423DEA"/>
    <w:rsid w:val="0B4E4CEF"/>
    <w:rsid w:val="0B5D1A85"/>
    <w:rsid w:val="0B5D1E36"/>
    <w:rsid w:val="0B651A2B"/>
    <w:rsid w:val="0B8170AD"/>
    <w:rsid w:val="0B927856"/>
    <w:rsid w:val="0BB5243F"/>
    <w:rsid w:val="0BC67500"/>
    <w:rsid w:val="0BCF12E0"/>
    <w:rsid w:val="0BDA11FD"/>
    <w:rsid w:val="0BE424BF"/>
    <w:rsid w:val="0BED26A5"/>
    <w:rsid w:val="0BEE4F68"/>
    <w:rsid w:val="0BF91A7F"/>
    <w:rsid w:val="0C0A394D"/>
    <w:rsid w:val="0C193A0B"/>
    <w:rsid w:val="0C3E44C8"/>
    <w:rsid w:val="0C4A5A7C"/>
    <w:rsid w:val="0C517711"/>
    <w:rsid w:val="0C5C1C12"/>
    <w:rsid w:val="0C5F0865"/>
    <w:rsid w:val="0C7B690B"/>
    <w:rsid w:val="0CB5191B"/>
    <w:rsid w:val="0CB6728F"/>
    <w:rsid w:val="0CBD6B55"/>
    <w:rsid w:val="0CD21ED4"/>
    <w:rsid w:val="0CE57E5A"/>
    <w:rsid w:val="0CFD25BD"/>
    <w:rsid w:val="0D1F6213"/>
    <w:rsid w:val="0D244E26"/>
    <w:rsid w:val="0D295F98"/>
    <w:rsid w:val="0D452987"/>
    <w:rsid w:val="0D4E77E0"/>
    <w:rsid w:val="0D53778B"/>
    <w:rsid w:val="0D62596E"/>
    <w:rsid w:val="0D6C19EE"/>
    <w:rsid w:val="0D71793F"/>
    <w:rsid w:val="0D7B32BC"/>
    <w:rsid w:val="0D7C256C"/>
    <w:rsid w:val="0D933F5C"/>
    <w:rsid w:val="0DA800E4"/>
    <w:rsid w:val="0DC7526D"/>
    <w:rsid w:val="0DCB40A1"/>
    <w:rsid w:val="0E005C7A"/>
    <w:rsid w:val="0E06688E"/>
    <w:rsid w:val="0E0C42FA"/>
    <w:rsid w:val="0E381521"/>
    <w:rsid w:val="0E4A4418"/>
    <w:rsid w:val="0E99714E"/>
    <w:rsid w:val="0E9C75AF"/>
    <w:rsid w:val="0EA91CC7"/>
    <w:rsid w:val="0EC875FE"/>
    <w:rsid w:val="0EE8058A"/>
    <w:rsid w:val="0EEA1757"/>
    <w:rsid w:val="0EFD2AF6"/>
    <w:rsid w:val="0EFF16A6"/>
    <w:rsid w:val="0F03025E"/>
    <w:rsid w:val="0F08644F"/>
    <w:rsid w:val="0F160DD2"/>
    <w:rsid w:val="0F1A17DC"/>
    <w:rsid w:val="0F1C13DE"/>
    <w:rsid w:val="0F323BCC"/>
    <w:rsid w:val="0F53554E"/>
    <w:rsid w:val="0F537409"/>
    <w:rsid w:val="0F6459AD"/>
    <w:rsid w:val="0F79260C"/>
    <w:rsid w:val="0F987E27"/>
    <w:rsid w:val="0FA47B58"/>
    <w:rsid w:val="0FBB76E3"/>
    <w:rsid w:val="0FC66DA3"/>
    <w:rsid w:val="0FD04DF1"/>
    <w:rsid w:val="100E0796"/>
    <w:rsid w:val="10122E9C"/>
    <w:rsid w:val="10204FBD"/>
    <w:rsid w:val="102D5D9F"/>
    <w:rsid w:val="10335B95"/>
    <w:rsid w:val="10372E26"/>
    <w:rsid w:val="103966FB"/>
    <w:rsid w:val="106C132D"/>
    <w:rsid w:val="106F7300"/>
    <w:rsid w:val="108E6DDE"/>
    <w:rsid w:val="109E6C9D"/>
    <w:rsid w:val="10A6243E"/>
    <w:rsid w:val="10AB3168"/>
    <w:rsid w:val="10AB38B0"/>
    <w:rsid w:val="10CD1330"/>
    <w:rsid w:val="10DD209D"/>
    <w:rsid w:val="10FF1E8F"/>
    <w:rsid w:val="112C7AF5"/>
    <w:rsid w:val="1134315E"/>
    <w:rsid w:val="11687FB0"/>
    <w:rsid w:val="11895257"/>
    <w:rsid w:val="11943BFC"/>
    <w:rsid w:val="119963B1"/>
    <w:rsid w:val="11A402E3"/>
    <w:rsid w:val="11B361D3"/>
    <w:rsid w:val="11BB4D58"/>
    <w:rsid w:val="11BB6630"/>
    <w:rsid w:val="11BE7DD6"/>
    <w:rsid w:val="11C9517F"/>
    <w:rsid w:val="11EF6F34"/>
    <w:rsid w:val="126805E3"/>
    <w:rsid w:val="12793BBE"/>
    <w:rsid w:val="127B2E60"/>
    <w:rsid w:val="128C33F4"/>
    <w:rsid w:val="12961F72"/>
    <w:rsid w:val="12C66037"/>
    <w:rsid w:val="12D36858"/>
    <w:rsid w:val="131C06AC"/>
    <w:rsid w:val="13201BEB"/>
    <w:rsid w:val="132316DC"/>
    <w:rsid w:val="133A4EB7"/>
    <w:rsid w:val="13487675"/>
    <w:rsid w:val="13533D6F"/>
    <w:rsid w:val="13702B73"/>
    <w:rsid w:val="137447B2"/>
    <w:rsid w:val="13830E2C"/>
    <w:rsid w:val="138D11BC"/>
    <w:rsid w:val="13912AE9"/>
    <w:rsid w:val="13992EB6"/>
    <w:rsid w:val="139D2FCC"/>
    <w:rsid w:val="13A66595"/>
    <w:rsid w:val="13D84C83"/>
    <w:rsid w:val="13EA285B"/>
    <w:rsid w:val="14074063"/>
    <w:rsid w:val="14221993"/>
    <w:rsid w:val="142468C7"/>
    <w:rsid w:val="143C5260"/>
    <w:rsid w:val="1444190A"/>
    <w:rsid w:val="14484D6E"/>
    <w:rsid w:val="147C5547"/>
    <w:rsid w:val="147F0B94"/>
    <w:rsid w:val="148F7029"/>
    <w:rsid w:val="149C20CC"/>
    <w:rsid w:val="14A12650"/>
    <w:rsid w:val="14AF4B49"/>
    <w:rsid w:val="14B41673"/>
    <w:rsid w:val="14B90B15"/>
    <w:rsid w:val="14CD1555"/>
    <w:rsid w:val="14E868B9"/>
    <w:rsid w:val="14F838A9"/>
    <w:rsid w:val="151B08BC"/>
    <w:rsid w:val="15273101"/>
    <w:rsid w:val="153E2DB6"/>
    <w:rsid w:val="154222ED"/>
    <w:rsid w:val="15550B09"/>
    <w:rsid w:val="155550C1"/>
    <w:rsid w:val="15576ACE"/>
    <w:rsid w:val="15582F09"/>
    <w:rsid w:val="1568217F"/>
    <w:rsid w:val="15761223"/>
    <w:rsid w:val="15761F97"/>
    <w:rsid w:val="15784E47"/>
    <w:rsid w:val="159517A5"/>
    <w:rsid w:val="159D39C7"/>
    <w:rsid w:val="15A74B21"/>
    <w:rsid w:val="15B42ABF"/>
    <w:rsid w:val="15E23CA8"/>
    <w:rsid w:val="15FA6095"/>
    <w:rsid w:val="1647748F"/>
    <w:rsid w:val="165A5414"/>
    <w:rsid w:val="166B3507"/>
    <w:rsid w:val="166C32BB"/>
    <w:rsid w:val="166E2C6E"/>
    <w:rsid w:val="16A37A9D"/>
    <w:rsid w:val="16B0772A"/>
    <w:rsid w:val="16C2284B"/>
    <w:rsid w:val="16CB423B"/>
    <w:rsid w:val="17035549"/>
    <w:rsid w:val="1703785A"/>
    <w:rsid w:val="17062F69"/>
    <w:rsid w:val="171D223C"/>
    <w:rsid w:val="172763B6"/>
    <w:rsid w:val="172F064F"/>
    <w:rsid w:val="17423544"/>
    <w:rsid w:val="17450DD5"/>
    <w:rsid w:val="17575561"/>
    <w:rsid w:val="1779199A"/>
    <w:rsid w:val="178C784F"/>
    <w:rsid w:val="17907B2D"/>
    <w:rsid w:val="179944DC"/>
    <w:rsid w:val="17A06173"/>
    <w:rsid w:val="17A0779F"/>
    <w:rsid w:val="17AC1719"/>
    <w:rsid w:val="17AE0BF9"/>
    <w:rsid w:val="17B56054"/>
    <w:rsid w:val="17C22E6D"/>
    <w:rsid w:val="17CC6BD0"/>
    <w:rsid w:val="17D07B0E"/>
    <w:rsid w:val="17D908F6"/>
    <w:rsid w:val="17DF02C7"/>
    <w:rsid w:val="17DF536C"/>
    <w:rsid w:val="17EA0C48"/>
    <w:rsid w:val="18057602"/>
    <w:rsid w:val="18120EEB"/>
    <w:rsid w:val="182B6938"/>
    <w:rsid w:val="18345C55"/>
    <w:rsid w:val="183D0E38"/>
    <w:rsid w:val="18403452"/>
    <w:rsid w:val="1841587E"/>
    <w:rsid w:val="18630E03"/>
    <w:rsid w:val="186F3E63"/>
    <w:rsid w:val="18756535"/>
    <w:rsid w:val="187857E7"/>
    <w:rsid w:val="187B19AA"/>
    <w:rsid w:val="18811F09"/>
    <w:rsid w:val="188321C6"/>
    <w:rsid w:val="18921717"/>
    <w:rsid w:val="18A25EE0"/>
    <w:rsid w:val="18B0756E"/>
    <w:rsid w:val="190D3CF6"/>
    <w:rsid w:val="190E1B7D"/>
    <w:rsid w:val="191A70DD"/>
    <w:rsid w:val="192F739D"/>
    <w:rsid w:val="1941466A"/>
    <w:rsid w:val="19516FA3"/>
    <w:rsid w:val="195C4F98"/>
    <w:rsid w:val="19C27C94"/>
    <w:rsid w:val="19C71013"/>
    <w:rsid w:val="19D10924"/>
    <w:rsid w:val="19DC5DE9"/>
    <w:rsid w:val="19E42EEC"/>
    <w:rsid w:val="19FC4F49"/>
    <w:rsid w:val="1A1E247D"/>
    <w:rsid w:val="1A206E13"/>
    <w:rsid w:val="1A324F2D"/>
    <w:rsid w:val="1A3D7527"/>
    <w:rsid w:val="1A462475"/>
    <w:rsid w:val="1A5D3725"/>
    <w:rsid w:val="1A75281D"/>
    <w:rsid w:val="1A754C02"/>
    <w:rsid w:val="1A862C7C"/>
    <w:rsid w:val="1A9A0701"/>
    <w:rsid w:val="1A9B315C"/>
    <w:rsid w:val="1AA30DFE"/>
    <w:rsid w:val="1AB63CA2"/>
    <w:rsid w:val="1ABF7F3C"/>
    <w:rsid w:val="1AC06A39"/>
    <w:rsid w:val="1AC76DF0"/>
    <w:rsid w:val="1ACC4F36"/>
    <w:rsid w:val="1AF11218"/>
    <w:rsid w:val="1AF403D1"/>
    <w:rsid w:val="1AF44A0B"/>
    <w:rsid w:val="1B115D3C"/>
    <w:rsid w:val="1B1E0896"/>
    <w:rsid w:val="1B274435"/>
    <w:rsid w:val="1B395F40"/>
    <w:rsid w:val="1B483F91"/>
    <w:rsid w:val="1B614048"/>
    <w:rsid w:val="1B807337"/>
    <w:rsid w:val="1BA47C58"/>
    <w:rsid w:val="1BA86C22"/>
    <w:rsid w:val="1BB80F43"/>
    <w:rsid w:val="1BC170B5"/>
    <w:rsid w:val="1BC63CDD"/>
    <w:rsid w:val="1BC85289"/>
    <w:rsid w:val="1BDC02C0"/>
    <w:rsid w:val="1BEB4B83"/>
    <w:rsid w:val="1BF0529D"/>
    <w:rsid w:val="1BF27E9D"/>
    <w:rsid w:val="1BFB4E8C"/>
    <w:rsid w:val="1C446BE5"/>
    <w:rsid w:val="1C573B8F"/>
    <w:rsid w:val="1C6D0873"/>
    <w:rsid w:val="1C915866"/>
    <w:rsid w:val="1CDA105D"/>
    <w:rsid w:val="1CE617B0"/>
    <w:rsid w:val="1CE647C1"/>
    <w:rsid w:val="1CF30371"/>
    <w:rsid w:val="1D385997"/>
    <w:rsid w:val="1D3C25C0"/>
    <w:rsid w:val="1D440BCC"/>
    <w:rsid w:val="1D5E31C4"/>
    <w:rsid w:val="1D61352C"/>
    <w:rsid w:val="1D673AB8"/>
    <w:rsid w:val="1D6B0D1C"/>
    <w:rsid w:val="1D724537"/>
    <w:rsid w:val="1D8D5C15"/>
    <w:rsid w:val="1D946A32"/>
    <w:rsid w:val="1D970CFC"/>
    <w:rsid w:val="1DA31A6F"/>
    <w:rsid w:val="1DB51F23"/>
    <w:rsid w:val="1DC65199"/>
    <w:rsid w:val="1DC74BC9"/>
    <w:rsid w:val="1DC835AB"/>
    <w:rsid w:val="1DE33295"/>
    <w:rsid w:val="1DE55082"/>
    <w:rsid w:val="1DEB7A42"/>
    <w:rsid w:val="1DF97E9A"/>
    <w:rsid w:val="1E1B36DB"/>
    <w:rsid w:val="1E2E78B2"/>
    <w:rsid w:val="1E421B94"/>
    <w:rsid w:val="1E5A1C2F"/>
    <w:rsid w:val="1E5E18A6"/>
    <w:rsid w:val="1E7F010E"/>
    <w:rsid w:val="1E805C34"/>
    <w:rsid w:val="1E832DAB"/>
    <w:rsid w:val="1E865B1A"/>
    <w:rsid w:val="1E8F5E77"/>
    <w:rsid w:val="1EAC4C7B"/>
    <w:rsid w:val="1EC16C01"/>
    <w:rsid w:val="1EC331FD"/>
    <w:rsid w:val="1ECC65F9"/>
    <w:rsid w:val="1ED1023E"/>
    <w:rsid w:val="1EDA3596"/>
    <w:rsid w:val="1EFA1543"/>
    <w:rsid w:val="1EFB2EFF"/>
    <w:rsid w:val="1F143DFD"/>
    <w:rsid w:val="1F1F3A24"/>
    <w:rsid w:val="1F206854"/>
    <w:rsid w:val="1F244EC9"/>
    <w:rsid w:val="1F2D6E0F"/>
    <w:rsid w:val="1F5A3842"/>
    <w:rsid w:val="1F6659C8"/>
    <w:rsid w:val="1F690A75"/>
    <w:rsid w:val="1F7977EE"/>
    <w:rsid w:val="1F7A08D5"/>
    <w:rsid w:val="1F7F5EEC"/>
    <w:rsid w:val="1F86727A"/>
    <w:rsid w:val="1F884C86"/>
    <w:rsid w:val="1F895E51"/>
    <w:rsid w:val="1F9F1011"/>
    <w:rsid w:val="1FA073B6"/>
    <w:rsid w:val="1FB12B7F"/>
    <w:rsid w:val="1FB76C4D"/>
    <w:rsid w:val="1FD91AA0"/>
    <w:rsid w:val="20025D99"/>
    <w:rsid w:val="200A2C27"/>
    <w:rsid w:val="201B2EAB"/>
    <w:rsid w:val="202076CF"/>
    <w:rsid w:val="203A68C1"/>
    <w:rsid w:val="2054435F"/>
    <w:rsid w:val="20670906"/>
    <w:rsid w:val="209E5AEC"/>
    <w:rsid w:val="20C3636D"/>
    <w:rsid w:val="20E03EA8"/>
    <w:rsid w:val="20ED38FC"/>
    <w:rsid w:val="21025026"/>
    <w:rsid w:val="2118074D"/>
    <w:rsid w:val="211D78B0"/>
    <w:rsid w:val="21224D81"/>
    <w:rsid w:val="212E72D0"/>
    <w:rsid w:val="213C19C8"/>
    <w:rsid w:val="213E32F0"/>
    <w:rsid w:val="2149131F"/>
    <w:rsid w:val="2149340F"/>
    <w:rsid w:val="214E43E5"/>
    <w:rsid w:val="21527FE0"/>
    <w:rsid w:val="215A6C10"/>
    <w:rsid w:val="21600B88"/>
    <w:rsid w:val="216C24A0"/>
    <w:rsid w:val="21957C48"/>
    <w:rsid w:val="219A0DBB"/>
    <w:rsid w:val="21A32365"/>
    <w:rsid w:val="21B53414"/>
    <w:rsid w:val="21C67E02"/>
    <w:rsid w:val="21D20555"/>
    <w:rsid w:val="21DE3B5A"/>
    <w:rsid w:val="21E5038E"/>
    <w:rsid w:val="21E8206B"/>
    <w:rsid w:val="21EA14F4"/>
    <w:rsid w:val="21EA48A8"/>
    <w:rsid w:val="21F42BC1"/>
    <w:rsid w:val="223E6CF8"/>
    <w:rsid w:val="2243364A"/>
    <w:rsid w:val="224A0A33"/>
    <w:rsid w:val="224C6559"/>
    <w:rsid w:val="224D407F"/>
    <w:rsid w:val="224E045E"/>
    <w:rsid w:val="226823A3"/>
    <w:rsid w:val="227C1E95"/>
    <w:rsid w:val="229226B8"/>
    <w:rsid w:val="22A73267"/>
    <w:rsid w:val="22AF5BBC"/>
    <w:rsid w:val="22C677C0"/>
    <w:rsid w:val="22CD1033"/>
    <w:rsid w:val="22DD3C85"/>
    <w:rsid w:val="22E25187"/>
    <w:rsid w:val="23103A2A"/>
    <w:rsid w:val="23740A0F"/>
    <w:rsid w:val="23773046"/>
    <w:rsid w:val="238A31D0"/>
    <w:rsid w:val="23A012D9"/>
    <w:rsid w:val="23B42767"/>
    <w:rsid w:val="23C10881"/>
    <w:rsid w:val="23E303FA"/>
    <w:rsid w:val="23EB5574"/>
    <w:rsid w:val="23ED5B1A"/>
    <w:rsid w:val="23F911BA"/>
    <w:rsid w:val="23FE56CB"/>
    <w:rsid w:val="242B39CD"/>
    <w:rsid w:val="242D516F"/>
    <w:rsid w:val="244514B2"/>
    <w:rsid w:val="245247ED"/>
    <w:rsid w:val="24575A93"/>
    <w:rsid w:val="24635DDC"/>
    <w:rsid w:val="248B67FD"/>
    <w:rsid w:val="248D10AB"/>
    <w:rsid w:val="248D289C"/>
    <w:rsid w:val="248F6CA6"/>
    <w:rsid w:val="24A73AFB"/>
    <w:rsid w:val="24BF3406"/>
    <w:rsid w:val="24C7636B"/>
    <w:rsid w:val="24D123A1"/>
    <w:rsid w:val="2508212D"/>
    <w:rsid w:val="252B038C"/>
    <w:rsid w:val="252E1698"/>
    <w:rsid w:val="253B4663"/>
    <w:rsid w:val="25543DDA"/>
    <w:rsid w:val="255F7AD2"/>
    <w:rsid w:val="2562439C"/>
    <w:rsid w:val="256D4FBD"/>
    <w:rsid w:val="257227BA"/>
    <w:rsid w:val="257E016B"/>
    <w:rsid w:val="25AA58E4"/>
    <w:rsid w:val="25B06DFF"/>
    <w:rsid w:val="25B20DC9"/>
    <w:rsid w:val="25B52A47"/>
    <w:rsid w:val="25C10491"/>
    <w:rsid w:val="25C46D47"/>
    <w:rsid w:val="25C603D0"/>
    <w:rsid w:val="25DE1BBE"/>
    <w:rsid w:val="25E074E7"/>
    <w:rsid w:val="25EE4017"/>
    <w:rsid w:val="25F51464"/>
    <w:rsid w:val="25F97290"/>
    <w:rsid w:val="260809E9"/>
    <w:rsid w:val="26223B26"/>
    <w:rsid w:val="26241D26"/>
    <w:rsid w:val="2627224F"/>
    <w:rsid w:val="26562947"/>
    <w:rsid w:val="265B0A5D"/>
    <w:rsid w:val="266360FF"/>
    <w:rsid w:val="26695200"/>
    <w:rsid w:val="266C4868"/>
    <w:rsid w:val="2670658E"/>
    <w:rsid w:val="269706DD"/>
    <w:rsid w:val="269D762C"/>
    <w:rsid w:val="26A10A3D"/>
    <w:rsid w:val="26C976F8"/>
    <w:rsid w:val="26D72EC0"/>
    <w:rsid w:val="26DB7EAB"/>
    <w:rsid w:val="26EF72E5"/>
    <w:rsid w:val="26FC4A2E"/>
    <w:rsid w:val="270B0E4A"/>
    <w:rsid w:val="27165388"/>
    <w:rsid w:val="27180E6A"/>
    <w:rsid w:val="271E393C"/>
    <w:rsid w:val="271E669F"/>
    <w:rsid w:val="27333A9E"/>
    <w:rsid w:val="273C73E8"/>
    <w:rsid w:val="273D5A6D"/>
    <w:rsid w:val="274023D4"/>
    <w:rsid w:val="274253D5"/>
    <w:rsid w:val="27663E92"/>
    <w:rsid w:val="276D74EC"/>
    <w:rsid w:val="276F6A21"/>
    <w:rsid w:val="27856069"/>
    <w:rsid w:val="2786250D"/>
    <w:rsid w:val="278A534F"/>
    <w:rsid w:val="27D163B4"/>
    <w:rsid w:val="27DA4607"/>
    <w:rsid w:val="28002089"/>
    <w:rsid w:val="28017DE6"/>
    <w:rsid w:val="281C1B43"/>
    <w:rsid w:val="282B36F9"/>
    <w:rsid w:val="28304227"/>
    <w:rsid w:val="28375A3F"/>
    <w:rsid w:val="284B72B3"/>
    <w:rsid w:val="28520495"/>
    <w:rsid w:val="287813D0"/>
    <w:rsid w:val="28A813E1"/>
    <w:rsid w:val="28B92E20"/>
    <w:rsid w:val="28B93CEB"/>
    <w:rsid w:val="28E02A8F"/>
    <w:rsid w:val="28E1683E"/>
    <w:rsid w:val="29125D60"/>
    <w:rsid w:val="292B1C11"/>
    <w:rsid w:val="292F1E60"/>
    <w:rsid w:val="294007A5"/>
    <w:rsid w:val="2960365F"/>
    <w:rsid w:val="29693E94"/>
    <w:rsid w:val="299104CC"/>
    <w:rsid w:val="29A51043"/>
    <w:rsid w:val="29D10A88"/>
    <w:rsid w:val="2A067935"/>
    <w:rsid w:val="2A070FB7"/>
    <w:rsid w:val="2A1A46E9"/>
    <w:rsid w:val="2A2A2452"/>
    <w:rsid w:val="2A3717F0"/>
    <w:rsid w:val="2A441BE1"/>
    <w:rsid w:val="2A473AAA"/>
    <w:rsid w:val="2A4836B1"/>
    <w:rsid w:val="2A4A0382"/>
    <w:rsid w:val="2A50295E"/>
    <w:rsid w:val="2A851BD9"/>
    <w:rsid w:val="2A863893"/>
    <w:rsid w:val="2A932720"/>
    <w:rsid w:val="2A9C7CB2"/>
    <w:rsid w:val="2AA02867"/>
    <w:rsid w:val="2AAD7DB1"/>
    <w:rsid w:val="2AB253C7"/>
    <w:rsid w:val="2AB357E7"/>
    <w:rsid w:val="2AB935FA"/>
    <w:rsid w:val="2AC9578D"/>
    <w:rsid w:val="2ACC5C5A"/>
    <w:rsid w:val="2ADE440E"/>
    <w:rsid w:val="2AE82B97"/>
    <w:rsid w:val="2AED4651"/>
    <w:rsid w:val="2AF04F6E"/>
    <w:rsid w:val="2AF21C68"/>
    <w:rsid w:val="2B000827"/>
    <w:rsid w:val="2B057BED"/>
    <w:rsid w:val="2B15743C"/>
    <w:rsid w:val="2B3B53BD"/>
    <w:rsid w:val="2B3E0822"/>
    <w:rsid w:val="2B420288"/>
    <w:rsid w:val="2B421328"/>
    <w:rsid w:val="2B4F74FE"/>
    <w:rsid w:val="2B5E1033"/>
    <w:rsid w:val="2B641D7F"/>
    <w:rsid w:val="2B6D3C7A"/>
    <w:rsid w:val="2B786D85"/>
    <w:rsid w:val="2B9351F9"/>
    <w:rsid w:val="2B955445"/>
    <w:rsid w:val="2BB23B01"/>
    <w:rsid w:val="2BB32D41"/>
    <w:rsid w:val="2BC069D0"/>
    <w:rsid w:val="2BC367B8"/>
    <w:rsid w:val="2BC50750"/>
    <w:rsid w:val="2BDA5915"/>
    <w:rsid w:val="2BE960EF"/>
    <w:rsid w:val="2BEC7697"/>
    <w:rsid w:val="2C071A15"/>
    <w:rsid w:val="2C077995"/>
    <w:rsid w:val="2C0B64AA"/>
    <w:rsid w:val="2C1125C1"/>
    <w:rsid w:val="2C2D3420"/>
    <w:rsid w:val="2C444745"/>
    <w:rsid w:val="2C5A1872"/>
    <w:rsid w:val="2C7B4E8C"/>
    <w:rsid w:val="2C842D34"/>
    <w:rsid w:val="2C9446A0"/>
    <w:rsid w:val="2C9E3E55"/>
    <w:rsid w:val="2CA04D25"/>
    <w:rsid w:val="2CA16253"/>
    <w:rsid w:val="2CD86C3B"/>
    <w:rsid w:val="2CEA709A"/>
    <w:rsid w:val="2CED77C1"/>
    <w:rsid w:val="2CF241A1"/>
    <w:rsid w:val="2CF617E0"/>
    <w:rsid w:val="2D16631A"/>
    <w:rsid w:val="2D391C9E"/>
    <w:rsid w:val="2D4C5A5E"/>
    <w:rsid w:val="2D4D13D7"/>
    <w:rsid w:val="2D5A4743"/>
    <w:rsid w:val="2D662499"/>
    <w:rsid w:val="2D6C2100"/>
    <w:rsid w:val="2D762BBA"/>
    <w:rsid w:val="2D821A06"/>
    <w:rsid w:val="2D8C64F6"/>
    <w:rsid w:val="2D944CD1"/>
    <w:rsid w:val="2DB15E0A"/>
    <w:rsid w:val="2DBB723B"/>
    <w:rsid w:val="2DC37DF1"/>
    <w:rsid w:val="2DCE0619"/>
    <w:rsid w:val="2DD35AE8"/>
    <w:rsid w:val="2DD54104"/>
    <w:rsid w:val="2DE463B0"/>
    <w:rsid w:val="2DE64BF5"/>
    <w:rsid w:val="2DE84AF7"/>
    <w:rsid w:val="2DEA10AE"/>
    <w:rsid w:val="2DF81343"/>
    <w:rsid w:val="2E073C7C"/>
    <w:rsid w:val="2E0D173F"/>
    <w:rsid w:val="2E307DB7"/>
    <w:rsid w:val="2E3A195C"/>
    <w:rsid w:val="2E3E5270"/>
    <w:rsid w:val="2E436F38"/>
    <w:rsid w:val="2E6011D7"/>
    <w:rsid w:val="2E961606"/>
    <w:rsid w:val="2EA80FBB"/>
    <w:rsid w:val="2EB21E3A"/>
    <w:rsid w:val="2EC54F0E"/>
    <w:rsid w:val="2EC851B9"/>
    <w:rsid w:val="2EDC6EB7"/>
    <w:rsid w:val="2EF02962"/>
    <w:rsid w:val="2EFE7D6E"/>
    <w:rsid w:val="2F656EAC"/>
    <w:rsid w:val="2F68074A"/>
    <w:rsid w:val="2F984ABB"/>
    <w:rsid w:val="2F9939E1"/>
    <w:rsid w:val="2FAA7638"/>
    <w:rsid w:val="2FE06533"/>
    <w:rsid w:val="302A7415"/>
    <w:rsid w:val="302E164B"/>
    <w:rsid w:val="30330D58"/>
    <w:rsid w:val="303B7C0D"/>
    <w:rsid w:val="30561692"/>
    <w:rsid w:val="30590093"/>
    <w:rsid w:val="30600479"/>
    <w:rsid w:val="30751371"/>
    <w:rsid w:val="309A4933"/>
    <w:rsid w:val="309E4373"/>
    <w:rsid w:val="30A744B3"/>
    <w:rsid w:val="30AA13BF"/>
    <w:rsid w:val="30DF6CA0"/>
    <w:rsid w:val="30E4282E"/>
    <w:rsid w:val="30ED32FC"/>
    <w:rsid w:val="3115220C"/>
    <w:rsid w:val="31195802"/>
    <w:rsid w:val="313533BC"/>
    <w:rsid w:val="313E4759"/>
    <w:rsid w:val="31460032"/>
    <w:rsid w:val="314B1C9B"/>
    <w:rsid w:val="31612184"/>
    <w:rsid w:val="317D0C73"/>
    <w:rsid w:val="31926D16"/>
    <w:rsid w:val="3194218A"/>
    <w:rsid w:val="31AB2B70"/>
    <w:rsid w:val="31B444D7"/>
    <w:rsid w:val="31C342A2"/>
    <w:rsid w:val="31D80D19"/>
    <w:rsid w:val="31E16592"/>
    <w:rsid w:val="31F2079F"/>
    <w:rsid w:val="31F83438"/>
    <w:rsid w:val="31FC5556"/>
    <w:rsid w:val="32170FF5"/>
    <w:rsid w:val="321907E4"/>
    <w:rsid w:val="32292413"/>
    <w:rsid w:val="32356B5E"/>
    <w:rsid w:val="324E226E"/>
    <w:rsid w:val="328132B9"/>
    <w:rsid w:val="32814EF0"/>
    <w:rsid w:val="32933D30"/>
    <w:rsid w:val="329F26D5"/>
    <w:rsid w:val="32B12408"/>
    <w:rsid w:val="32C1086E"/>
    <w:rsid w:val="32D21A1C"/>
    <w:rsid w:val="32D4454C"/>
    <w:rsid w:val="32F341BB"/>
    <w:rsid w:val="32F54E61"/>
    <w:rsid w:val="330001A2"/>
    <w:rsid w:val="3316144C"/>
    <w:rsid w:val="332A6927"/>
    <w:rsid w:val="33434A04"/>
    <w:rsid w:val="334713E7"/>
    <w:rsid w:val="335C0F0C"/>
    <w:rsid w:val="3363480C"/>
    <w:rsid w:val="33707BCD"/>
    <w:rsid w:val="338257CE"/>
    <w:rsid w:val="33925D96"/>
    <w:rsid w:val="33B91574"/>
    <w:rsid w:val="33C543BD"/>
    <w:rsid w:val="33E64CBA"/>
    <w:rsid w:val="33EA4F8B"/>
    <w:rsid w:val="34027E2D"/>
    <w:rsid w:val="34140EA1"/>
    <w:rsid w:val="341A1198"/>
    <w:rsid w:val="344A5CAF"/>
    <w:rsid w:val="344E43B3"/>
    <w:rsid w:val="345B262C"/>
    <w:rsid w:val="34627E84"/>
    <w:rsid w:val="346907A6"/>
    <w:rsid w:val="346C4843"/>
    <w:rsid w:val="34761B3D"/>
    <w:rsid w:val="347C6980"/>
    <w:rsid w:val="34861646"/>
    <w:rsid w:val="34871042"/>
    <w:rsid w:val="34945B3E"/>
    <w:rsid w:val="34AD15E3"/>
    <w:rsid w:val="34C53F49"/>
    <w:rsid w:val="34E22D4D"/>
    <w:rsid w:val="34ED2EF3"/>
    <w:rsid w:val="34FA3BF3"/>
    <w:rsid w:val="34FB6280"/>
    <w:rsid w:val="35184C6D"/>
    <w:rsid w:val="351C016C"/>
    <w:rsid w:val="351F0B3B"/>
    <w:rsid w:val="353402E1"/>
    <w:rsid w:val="353D1B92"/>
    <w:rsid w:val="35492DCC"/>
    <w:rsid w:val="35551771"/>
    <w:rsid w:val="356946DE"/>
    <w:rsid w:val="356A2C20"/>
    <w:rsid w:val="35727C2D"/>
    <w:rsid w:val="35773F4E"/>
    <w:rsid w:val="358B1967"/>
    <w:rsid w:val="35906410"/>
    <w:rsid w:val="359A65BE"/>
    <w:rsid w:val="35BE61A8"/>
    <w:rsid w:val="35C3492C"/>
    <w:rsid w:val="35D903FF"/>
    <w:rsid w:val="35DB2555"/>
    <w:rsid w:val="35E1119D"/>
    <w:rsid w:val="35EF5D8A"/>
    <w:rsid w:val="35EF609A"/>
    <w:rsid w:val="360E3D96"/>
    <w:rsid w:val="36475791"/>
    <w:rsid w:val="366F28DB"/>
    <w:rsid w:val="36772166"/>
    <w:rsid w:val="367774C5"/>
    <w:rsid w:val="368178C2"/>
    <w:rsid w:val="3685357B"/>
    <w:rsid w:val="36897EB8"/>
    <w:rsid w:val="369301F2"/>
    <w:rsid w:val="369F5F8F"/>
    <w:rsid w:val="36A1205A"/>
    <w:rsid w:val="36A46172"/>
    <w:rsid w:val="36CD7058"/>
    <w:rsid w:val="36D22E56"/>
    <w:rsid w:val="36D90673"/>
    <w:rsid w:val="36DF5796"/>
    <w:rsid w:val="370666E5"/>
    <w:rsid w:val="370E607B"/>
    <w:rsid w:val="373511EA"/>
    <w:rsid w:val="373F25CC"/>
    <w:rsid w:val="374E3698"/>
    <w:rsid w:val="375111F8"/>
    <w:rsid w:val="37785578"/>
    <w:rsid w:val="377D0B0B"/>
    <w:rsid w:val="377E35EE"/>
    <w:rsid w:val="379501B2"/>
    <w:rsid w:val="37AB75F3"/>
    <w:rsid w:val="37B409D1"/>
    <w:rsid w:val="37C37A26"/>
    <w:rsid w:val="37D526F5"/>
    <w:rsid w:val="37DD61FF"/>
    <w:rsid w:val="37FE39FA"/>
    <w:rsid w:val="3818637F"/>
    <w:rsid w:val="383A3644"/>
    <w:rsid w:val="384D672F"/>
    <w:rsid w:val="385F1A9D"/>
    <w:rsid w:val="387463B2"/>
    <w:rsid w:val="3883540B"/>
    <w:rsid w:val="38910707"/>
    <w:rsid w:val="389712F2"/>
    <w:rsid w:val="38A345A1"/>
    <w:rsid w:val="38B42B1B"/>
    <w:rsid w:val="38DD3307"/>
    <w:rsid w:val="38EC0F5C"/>
    <w:rsid w:val="390447E4"/>
    <w:rsid w:val="390F1C92"/>
    <w:rsid w:val="39293DB0"/>
    <w:rsid w:val="3932357B"/>
    <w:rsid w:val="393542AD"/>
    <w:rsid w:val="395444FA"/>
    <w:rsid w:val="397633F7"/>
    <w:rsid w:val="39822409"/>
    <w:rsid w:val="398630C2"/>
    <w:rsid w:val="398C24A5"/>
    <w:rsid w:val="39945775"/>
    <w:rsid w:val="39A03524"/>
    <w:rsid w:val="39B13AE1"/>
    <w:rsid w:val="39DE1D35"/>
    <w:rsid w:val="39E901AB"/>
    <w:rsid w:val="39F36619"/>
    <w:rsid w:val="39FC2F9F"/>
    <w:rsid w:val="3A39340F"/>
    <w:rsid w:val="3A5E6443"/>
    <w:rsid w:val="3A6E01EF"/>
    <w:rsid w:val="3A865355"/>
    <w:rsid w:val="3A8D3267"/>
    <w:rsid w:val="3A9A5F88"/>
    <w:rsid w:val="3A9B3EA5"/>
    <w:rsid w:val="3A9E0B45"/>
    <w:rsid w:val="3AA27206"/>
    <w:rsid w:val="3AB86041"/>
    <w:rsid w:val="3AD30754"/>
    <w:rsid w:val="3AD31A4B"/>
    <w:rsid w:val="3AD63FAA"/>
    <w:rsid w:val="3AD82BC6"/>
    <w:rsid w:val="3AE01ADD"/>
    <w:rsid w:val="3AE315CD"/>
    <w:rsid w:val="3AEB027A"/>
    <w:rsid w:val="3AFE2C6B"/>
    <w:rsid w:val="3B00217F"/>
    <w:rsid w:val="3B1866F7"/>
    <w:rsid w:val="3B1D688D"/>
    <w:rsid w:val="3B3712AB"/>
    <w:rsid w:val="3B376687"/>
    <w:rsid w:val="3B3E6939"/>
    <w:rsid w:val="3B4756B8"/>
    <w:rsid w:val="3B4A1AE9"/>
    <w:rsid w:val="3B4F12B2"/>
    <w:rsid w:val="3B5D312D"/>
    <w:rsid w:val="3B6343C3"/>
    <w:rsid w:val="3B64626A"/>
    <w:rsid w:val="3B651FE2"/>
    <w:rsid w:val="3B730A2C"/>
    <w:rsid w:val="3B9F54F4"/>
    <w:rsid w:val="3BAE5839"/>
    <w:rsid w:val="3BC73BD4"/>
    <w:rsid w:val="3BDB763B"/>
    <w:rsid w:val="3BFB5246"/>
    <w:rsid w:val="3C0238E8"/>
    <w:rsid w:val="3C074E47"/>
    <w:rsid w:val="3C0A04BB"/>
    <w:rsid w:val="3C3360EC"/>
    <w:rsid w:val="3C3643F9"/>
    <w:rsid w:val="3C3C2D43"/>
    <w:rsid w:val="3C452831"/>
    <w:rsid w:val="3C5D17C0"/>
    <w:rsid w:val="3C5D5748"/>
    <w:rsid w:val="3C6978B0"/>
    <w:rsid w:val="3C7057AE"/>
    <w:rsid w:val="3CA408E8"/>
    <w:rsid w:val="3CA53C3A"/>
    <w:rsid w:val="3CA74A0B"/>
    <w:rsid w:val="3CA97F92"/>
    <w:rsid w:val="3CC1259B"/>
    <w:rsid w:val="3CE358B4"/>
    <w:rsid w:val="3CEA1C78"/>
    <w:rsid w:val="3CF0119C"/>
    <w:rsid w:val="3CFE2FEB"/>
    <w:rsid w:val="3D073818"/>
    <w:rsid w:val="3D1E069A"/>
    <w:rsid w:val="3D2D12D5"/>
    <w:rsid w:val="3D37642D"/>
    <w:rsid w:val="3D4B442E"/>
    <w:rsid w:val="3D672756"/>
    <w:rsid w:val="3D6D69CE"/>
    <w:rsid w:val="3D8D5B29"/>
    <w:rsid w:val="3D945377"/>
    <w:rsid w:val="3D954E00"/>
    <w:rsid w:val="3DA33310"/>
    <w:rsid w:val="3DA70690"/>
    <w:rsid w:val="3DB13B3B"/>
    <w:rsid w:val="3DBF1E7D"/>
    <w:rsid w:val="3DC065C6"/>
    <w:rsid w:val="3DC70F93"/>
    <w:rsid w:val="3DCB08C5"/>
    <w:rsid w:val="3DDC0B07"/>
    <w:rsid w:val="3DDD5F6E"/>
    <w:rsid w:val="3DEA67CE"/>
    <w:rsid w:val="3E0169BD"/>
    <w:rsid w:val="3E295549"/>
    <w:rsid w:val="3E361608"/>
    <w:rsid w:val="3E3D3FF6"/>
    <w:rsid w:val="3E5700F6"/>
    <w:rsid w:val="3E5D317C"/>
    <w:rsid w:val="3E6A0C1E"/>
    <w:rsid w:val="3E7B17BF"/>
    <w:rsid w:val="3EA177D5"/>
    <w:rsid w:val="3EB721C8"/>
    <w:rsid w:val="3EBE3EE3"/>
    <w:rsid w:val="3EC7628C"/>
    <w:rsid w:val="3ECA0ADA"/>
    <w:rsid w:val="3ED41958"/>
    <w:rsid w:val="3EF4037B"/>
    <w:rsid w:val="3F197280"/>
    <w:rsid w:val="3F1D32FF"/>
    <w:rsid w:val="3F4A39C9"/>
    <w:rsid w:val="3F4B496B"/>
    <w:rsid w:val="3F4B6BB2"/>
    <w:rsid w:val="3F91658F"/>
    <w:rsid w:val="3FA46EF8"/>
    <w:rsid w:val="3FB9445F"/>
    <w:rsid w:val="3FEC6BE3"/>
    <w:rsid w:val="4004626D"/>
    <w:rsid w:val="40185875"/>
    <w:rsid w:val="402203F5"/>
    <w:rsid w:val="402657A8"/>
    <w:rsid w:val="4028158A"/>
    <w:rsid w:val="402E32EA"/>
    <w:rsid w:val="40574F8A"/>
    <w:rsid w:val="405A40DF"/>
    <w:rsid w:val="4097489C"/>
    <w:rsid w:val="40A35A86"/>
    <w:rsid w:val="40A8309D"/>
    <w:rsid w:val="40AE5034"/>
    <w:rsid w:val="40B35057"/>
    <w:rsid w:val="40BA692C"/>
    <w:rsid w:val="40C003E6"/>
    <w:rsid w:val="40D85316"/>
    <w:rsid w:val="40DE6ABE"/>
    <w:rsid w:val="41303C39"/>
    <w:rsid w:val="41364AA2"/>
    <w:rsid w:val="41406E31"/>
    <w:rsid w:val="414803DC"/>
    <w:rsid w:val="414F74CB"/>
    <w:rsid w:val="415B6654"/>
    <w:rsid w:val="41636FFF"/>
    <w:rsid w:val="41662EBF"/>
    <w:rsid w:val="416745BC"/>
    <w:rsid w:val="417C2EE6"/>
    <w:rsid w:val="41A82C28"/>
    <w:rsid w:val="41C46BAD"/>
    <w:rsid w:val="41D028AB"/>
    <w:rsid w:val="41D12A32"/>
    <w:rsid w:val="41D301C3"/>
    <w:rsid w:val="41D623AF"/>
    <w:rsid w:val="41F6377C"/>
    <w:rsid w:val="420B66EE"/>
    <w:rsid w:val="42132798"/>
    <w:rsid w:val="421502BE"/>
    <w:rsid w:val="422A188F"/>
    <w:rsid w:val="422C1AAB"/>
    <w:rsid w:val="422F49B3"/>
    <w:rsid w:val="423767ED"/>
    <w:rsid w:val="425213C3"/>
    <w:rsid w:val="425968DE"/>
    <w:rsid w:val="425C0BE5"/>
    <w:rsid w:val="426B6130"/>
    <w:rsid w:val="426E68C9"/>
    <w:rsid w:val="42802614"/>
    <w:rsid w:val="42B01704"/>
    <w:rsid w:val="42B555FD"/>
    <w:rsid w:val="42CC4106"/>
    <w:rsid w:val="42D22B67"/>
    <w:rsid w:val="42DC0E76"/>
    <w:rsid w:val="42E92879"/>
    <w:rsid w:val="42EA799C"/>
    <w:rsid w:val="42EC69CA"/>
    <w:rsid w:val="42EF3F2A"/>
    <w:rsid w:val="42FB4A28"/>
    <w:rsid w:val="43140A2D"/>
    <w:rsid w:val="431F1AE3"/>
    <w:rsid w:val="43252782"/>
    <w:rsid w:val="433858A5"/>
    <w:rsid w:val="43486471"/>
    <w:rsid w:val="43527105"/>
    <w:rsid w:val="436D4954"/>
    <w:rsid w:val="43827A62"/>
    <w:rsid w:val="438753A5"/>
    <w:rsid w:val="43891048"/>
    <w:rsid w:val="43920E07"/>
    <w:rsid w:val="43951B04"/>
    <w:rsid w:val="43A24887"/>
    <w:rsid w:val="43CF6B92"/>
    <w:rsid w:val="43F715ED"/>
    <w:rsid w:val="44000E21"/>
    <w:rsid w:val="440D15A1"/>
    <w:rsid w:val="444B4C5F"/>
    <w:rsid w:val="446077EA"/>
    <w:rsid w:val="44655A6C"/>
    <w:rsid w:val="44670B79"/>
    <w:rsid w:val="4467168F"/>
    <w:rsid w:val="44737AF8"/>
    <w:rsid w:val="44766B6D"/>
    <w:rsid w:val="44864A89"/>
    <w:rsid w:val="448F50C0"/>
    <w:rsid w:val="44983838"/>
    <w:rsid w:val="44984355"/>
    <w:rsid w:val="44A8226D"/>
    <w:rsid w:val="44AA08C6"/>
    <w:rsid w:val="44B32010"/>
    <w:rsid w:val="44D42A00"/>
    <w:rsid w:val="44EF4A70"/>
    <w:rsid w:val="4509374D"/>
    <w:rsid w:val="452364C9"/>
    <w:rsid w:val="452E1696"/>
    <w:rsid w:val="453413AE"/>
    <w:rsid w:val="45342FB5"/>
    <w:rsid w:val="454B049A"/>
    <w:rsid w:val="454C0370"/>
    <w:rsid w:val="4550153F"/>
    <w:rsid w:val="45611A6C"/>
    <w:rsid w:val="45631ACD"/>
    <w:rsid w:val="456357E4"/>
    <w:rsid w:val="45660998"/>
    <w:rsid w:val="457E749F"/>
    <w:rsid w:val="458000C7"/>
    <w:rsid w:val="4585213C"/>
    <w:rsid w:val="458B3F95"/>
    <w:rsid w:val="45967A06"/>
    <w:rsid w:val="45AA2F38"/>
    <w:rsid w:val="45C41CBE"/>
    <w:rsid w:val="45CF1BC3"/>
    <w:rsid w:val="4601483F"/>
    <w:rsid w:val="46025A85"/>
    <w:rsid w:val="461A266E"/>
    <w:rsid w:val="465530CB"/>
    <w:rsid w:val="46760020"/>
    <w:rsid w:val="469043B7"/>
    <w:rsid w:val="46982676"/>
    <w:rsid w:val="46A7659A"/>
    <w:rsid w:val="46DC75FC"/>
    <w:rsid w:val="46ED1809"/>
    <w:rsid w:val="46F67080"/>
    <w:rsid w:val="46FC37FA"/>
    <w:rsid w:val="470B6296"/>
    <w:rsid w:val="4710374A"/>
    <w:rsid w:val="471C5C4A"/>
    <w:rsid w:val="47370CD6"/>
    <w:rsid w:val="473A4323"/>
    <w:rsid w:val="47630D4C"/>
    <w:rsid w:val="476A14DB"/>
    <w:rsid w:val="476A5FE9"/>
    <w:rsid w:val="478A52AA"/>
    <w:rsid w:val="478F28C0"/>
    <w:rsid w:val="4790205D"/>
    <w:rsid w:val="47971775"/>
    <w:rsid w:val="479804CC"/>
    <w:rsid w:val="479E6FA7"/>
    <w:rsid w:val="47B75E90"/>
    <w:rsid w:val="47E10C42"/>
    <w:rsid w:val="47E15039"/>
    <w:rsid w:val="48082BD4"/>
    <w:rsid w:val="482E116F"/>
    <w:rsid w:val="48311BC9"/>
    <w:rsid w:val="483319A6"/>
    <w:rsid w:val="483413B6"/>
    <w:rsid w:val="48383932"/>
    <w:rsid w:val="48490A61"/>
    <w:rsid w:val="48653621"/>
    <w:rsid w:val="4866384A"/>
    <w:rsid w:val="487657D6"/>
    <w:rsid w:val="48B84099"/>
    <w:rsid w:val="48C31524"/>
    <w:rsid w:val="48D664FA"/>
    <w:rsid w:val="48E20A3F"/>
    <w:rsid w:val="49001E86"/>
    <w:rsid w:val="49081412"/>
    <w:rsid w:val="49170DBF"/>
    <w:rsid w:val="492A223F"/>
    <w:rsid w:val="49500C1A"/>
    <w:rsid w:val="495B1646"/>
    <w:rsid w:val="496D50BB"/>
    <w:rsid w:val="49770275"/>
    <w:rsid w:val="49881085"/>
    <w:rsid w:val="498E1308"/>
    <w:rsid w:val="498E392B"/>
    <w:rsid w:val="49953FD2"/>
    <w:rsid w:val="49A67FEA"/>
    <w:rsid w:val="49B26D3A"/>
    <w:rsid w:val="49B42357"/>
    <w:rsid w:val="49CC282C"/>
    <w:rsid w:val="49D14C7B"/>
    <w:rsid w:val="49EE2E55"/>
    <w:rsid w:val="49F64E88"/>
    <w:rsid w:val="4A0B5680"/>
    <w:rsid w:val="4A442DE8"/>
    <w:rsid w:val="4A4831FA"/>
    <w:rsid w:val="4A4C3C76"/>
    <w:rsid w:val="4A582F08"/>
    <w:rsid w:val="4A5C19ED"/>
    <w:rsid w:val="4A713EF7"/>
    <w:rsid w:val="4A71669A"/>
    <w:rsid w:val="4A990DB8"/>
    <w:rsid w:val="4AA85A47"/>
    <w:rsid w:val="4AA93C99"/>
    <w:rsid w:val="4AAA5C63"/>
    <w:rsid w:val="4AAA7A11"/>
    <w:rsid w:val="4AB30EDE"/>
    <w:rsid w:val="4AB35D91"/>
    <w:rsid w:val="4AE66C9B"/>
    <w:rsid w:val="4AE87797"/>
    <w:rsid w:val="4AFA2747"/>
    <w:rsid w:val="4B0B2DBE"/>
    <w:rsid w:val="4B0E61F2"/>
    <w:rsid w:val="4B140282"/>
    <w:rsid w:val="4B223EC6"/>
    <w:rsid w:val="4B341F77"/>
    <w:rsid w:val="4B36505C"/>
    <w:rsid w:val="4B3814C1"/>
    <w:rsid w:val="4B536B77"/>
    <w:rsid w:val="4B7B039D"/>
    <w:rsid w:val="4B7D207A"/>
    <w:rsid w:val="4B875EB6"/>
    <w:rsid w:val="4B8D42B7"/>
    <w:rsid w:val="4BA206E8"/>
    <w:rsid w:val="4BA6467C"/>
    <w:rsid w:val="4BBC3115"/>
    <w:rsid w:val="4BD4666D"/>
    <w:rsid w:val="4BD56D10"/>
    <w:rsid w:val="4C082C41"/>
    <w:rsid w:val="4C0A34CE"/>
    <w:rsid w:val="4C26756B"/>
    <w:rsid w:val="4C3D761E"/>
    <w:rsid w:val="4C3F21A1"/>
    <w:rsid w:val="4C59349D"/>
    <w:rsid w:val="4C657AAE"/>
    <w:rsid w:val="4C7D1FFD"/>
    <w:rsid w:val="4C8449BE"/>
    <w:rsid w:val="4C8A275C"/>
    <w:rsid w:val="4C8C446E"/>
    <w:rsid w:val="4CC90623"/>
    <w:rsid w:val="4CD264BF"/>
    <w:rsid w:val="4CF17B79"/>
    <w:rsid w:val="4CF5763E"/>
    <w:rsid w:val="4D1400D2"/>
    <w:rsid w:val="4D1E7969"/>
    <w:rsid w:val="4D2A0882"/>
    <w:rsid w:val="4D3F7CBF"/>
    <w:rsid w:val="4D6D4C62"/>
    <w:rsid w:val="4D7D140D"/>
    <w:rsid w:val="4D866514"/>
    <w:rsid w:val="4DA65831"/>
    <w:rsid w:val="4DAB5F7A"/>
    <w:rsid w:val="4DC46301"/>
    <w:rsid w:val="4DCD6596"/>
    <w:rsid w:val="4DD03C33"/>
    <w:rsid w:val="4DF71CA3"/>
    <w:rsid w:val="4DF807D9"/>
    <w:rsid w:val="4DFE3CC8"/>
    <w:rsid w:val="4E121B55"/>
    <w:rsid w:val="4E1230AB"/>
    <w:rsid w:val="4E2A6045"/>
    <w:rsid w:val="4E3D224C"/>
    <w:rsid w:val="4E3F7ECE"/>
    <w:rsid w:val="4E4E418E"/>
    <w:rsid w:val="4E8167AD"/>
    <w:rsid w:val="4E8D38D2"/>
    <w:rsid w:val="4E8F4CA9"/>
    <w:rsid w:val="4EA902EC"/>
    <w:rsid w:val="4EC2010C"/>
    <w:rsid w:val="4ECF3EC9"/>
    <w:rsid w:val="4EE058CB"/>
    <w:rsid w:val="4EE72FE2"/>
    <w:rsid w:val="4EF15C0F"/>
    <w:rsid w:val="4EF43951"/>
    <w:rsid w:val="4EFF706A"/>
    <w:rsid w:val="4F0A7123"/>
    <w:rsid w:val="4F2A3762"/>
    <w:rsid w:val="4F2E0DB1"/>
    <w:rsid w:val="4F802128"/>
    <w:rsid w:val="4F8610E9"/>
    <w:rsid w:val="4F9042E4"/>
    <w:rsid w:val="4FBF4949"/>
    <w:rsid w:val="4FD41C1D"/>
    <w:rsid w:val="4FD64C5B"/>
    <w:rsid w:val="4FE2582A"/>
    <w:rsid w:val="4FE30C63"/>
    <w:rsid w:val="4FED2322"/>
    <w:rsid w:val="4FF97471"/>
    <w:rsid w:val="4FFC0D0F"/>
    <w:rsid w:val="4FFD53C6"/>
    <w:rsid w:val="500B074E"/>
    <w:rsid w:val="501040B3"/>
    <w:rsid w:val="50113FD1"/>
    <w:rsid w:val="5015033A"/>
    <w:rsid w:val="501A73E7"/>
    <w:rsid w:val="50321789"/>
    <w:rsid w:val="50353485"/>
    <w:rsid w:val="503D1B16"/>
    <w:rsid w:val="5043249A"/>
    <w:rsid w:val="506F0288"/>
    <w:rsid w:val="50744D49"/>
    <w:rsid w:val="508E47DC"/>
    <w:rsid w:val="50AE3F83"/>
    <w:rsid w:val="50B32F25"/>
    <w:rsid w:val="50C80BF1"/>
    <w:rsid w:val="50CF7A4B"/>
    <w:rsid w:val="50D87AE8"/>
    <w:rsid w:val="50E13A61"/>
    <w:rsid w:val="50E92709"/>
    <w:rsid w:val="50F10148"/>
    <w:rsid w:val="51354115"/>
    <w:rsid w:val="5137564E"/>
    <w:rsid w:val="514A7858"/>
    <w:rsid w:val="514E0A72"/>
    <w:rsid w:val="51576FE4"/>
    <w:rsid w:val="51932FAD"/>
    <w:rsid w:val="519F488C"/>
    <w:rsid w:val="51C5493F"/>
    <w:rsid w:val="51E952C3"/>
    <w:rsid w:val="520713EF"/>
    <w:rsid w:val="520923F4"/>
    <w:rsid w:val="5222282D"/>
    <w:rsid w:val="522B58DB"/>
    <w:rsid w:val="52302A27"/>
    <w:rsid w:val="52450012"/>
    <w:rsid w:val="52547F54"/>
    <w:rsid w:val="525D691E"/>
    <w:rsid w:val="5264494A"/>
    <w:rsid w:val="527F07B8"/>
    <w:rsid w:val="52880638"/>
    <w:rsid w:val="5291537E"/>
    <w:rsid w:val="529320FE"/>
    <w:rsid w:val="529A6D62"/>
    <w:rsid w:val="529D4EC7"/>
    <w:rsid w:val="529E7DC9"/>
    <w:rsid w:val="529F5982"/>
    <w:rsid w:val="52A1157D"/>
    <w:rsid w:val="52CF44B9"/>
    <w:rsid w:val="530B2D71"/>
    <w:rsid w:val="53202F66"/>
    <w:rsid w:val="532452B2"/>
    <w:rsid w:val="533237C4"/>
    <w:rsid w:val="53331AF6"/>
    <w:rsid w:val="5334431C"/>
    <w:rsid w:val="535B4CF0"/>
    <w:rsid w:val="53693CDD"/>
    <w:rsid w:val="538006C3"/>
    <w:rsid w:val="539C576C"/>
    <w:rsid w:val="53BA08AE"/>
    <w:rsid w:val="53BC278B"/>
    <w:rsid w:val="53D53162"/>
    <w:rsid w:val="53F938E0"/>
    <w:rsid w:val="5400093A"/>
    <w:rsid w:val="541A1B62"/>
    <w:rsid w:val="5435659E"/>
    <w:rsid w:val="543B6670"/>
    <w:rsid w:val="543E150A"/>
    <w:rsid w:val="546F0087"/>
    <w:rsid w:val="54760CFA"/>
    <w:rsid w:val="547747B8"/>
    <w:rsid w:val="547F24EC"/>
    <w:rsid w:val="5486504B"/>
    <w:rsid w:val="54A13C33"/>
    <w:rsid w:val="54A43723"/>
    <w:rsid w:val="54AB710B"/>
    <w:rsid w:val="54B972CF"/>
    <w:rsid w:val="54D74CBD"/>
    <w:rsid w:val="54E164AC"/>
    <w:rsid w:val="54E57FC4"/>
    <w:rsid w:val="550B0F24"/>
    <w:rsid w:val="550F5041"/>
    <w:rsid w:val="55164621"/>
    <w:rsid w:val="551B6B41"/>
    <w:rsid w:val="55230827"/>
    <w:rsid w:val="553920BD"/>
    <w:rsid w:val="55411377"/>
    <w:rsid w:val="556A671B"/>
    <w:rsid w:val="55992746"/>
    <w:rsid w:val="55A15285"/>
    <w:rsid w:val="55A96275"/>
    <w:rsid w:val="55AC57E6"/>
    <w:rsid w:val="55AE7D4E"/>
    <w:rsid w:val="55C9649C"/>
    <w:rsid w:val="55DA41BD"/>
    <w:rsid w:val="55E262B1"/>
    <w:rsid w:val="56063D5E"/>
    <w:rsid w:val="56091A90"/>
    <w:rsid w:val="5625421C"/>
    <w:rsid w:val="56336B0D"/>
    <w:rsid w:val="564156CE"/>
    <w:rsid w:val="564306A0"/>
    <w:rsid w:val="56493BCF"/>
    <w:rsid w:val="564E3912"/>
    <w:rsid w:val="5654000F"/>
    <w:rsid w:val="565642D9"/>
    <w:rsid w:val="565B2641"/>
    <w:rsid w:val="566C201F"/>
    <w:rsid w:val="568E3E50"/>
    <w:rsid w:val="569B59A6"/>
    <w:rsid w:val="56C500AD"/>
    <w:rsid w:val="57132F95"/>
    <w:rsid w:val="57161D4B"/>
    <w:rsid w:val="57236CCF"/>
    <w:rsid w:val="572664EB"/>
    <w:rsid w:val="572D4E3F"/>
    <w:rsid w:val="572D56F6"/>
    <w:rsid w:val="5732287F"/>
    <w:rsid w:val="573C5E95"/>
    <w:rsid w:val="57606393"/>
    <w:rsid w:val="57733E7E"/>
    <w:rsid w:val="57861C50"/>
    <w:rsid w:val="578779D0"/>
    <w:rsid w:val="57894A0E"/>
    <w:rsid w:val="57A852D8"/>
    <w:rsid w:val="57B679F5"/>
    <w:rsid w:val="57B819BF"/>
    <w:rsid w:val="57C02302"/>
    <w:rsid w:val="57C245EC"/>
    <w:rsid w:val="57C55E8A"/>
    <w:rsid w:val="57C63600"/>
    <w:rsid w:val="57E8417C"/>
    <w:rsid w:val="58093FC9"/>
    <w:rsid w:val="581D479D"/>
    <w:rsid w:val="58315DB1"/>
    <w:rsid w:val="58430210"/>
    <w:rsid w:val="585838C1"/>
    <w:rsid w:val="58606A21"/>
    <w:rsid w:val="5863214C"/>
    <w:rsid w:val="58717162"/>
    <w:rsid w:val="587B479B"/>
    <w:rsid w:val="587F6B03"/>
    <w:rsid w:val="58857496"/>
    <w:rsid w:val="58975A79"/>
    <w:rsid w:val="589A7317"/>
    <w:rsid w:val="58B96227"/>
    <w:rsid w:val="58CD4FF7"/>
    <w:rsid w:val="58ED44C3"/>
    <w:rsid w:val="59091DA7"/>
    <w:rsid w:val="592D018B"/>
    <w:rsid w:val="593037D7"/>
    <w:rsid w:val="59637709"/>
    <w:rsid w:val="59647B33"/>
    <w:rsid w:val="596C7E01"/>
    <w:rsid w:val="596D4A2C"/>
    <w:rsid w:val="597F1615"/>
    <w:rsid w:val="59801346"/>
    <w:rsid w:val="598D0C2A"/>
    <w:rsid w:val="59A47948"/>
    <w:rsid w:val="59D40A02"/>
    <w:rsid w:val="59DC43D8"/>
    <w:rsid w:val="59F5676F"/>
    <w:rsid w:val="5A1804F3"/>
    <w:rsid w:val="5A270225"/>
    <w:rsid w:val="5A400973"/>
    <w:rsid w:val="5A4B3A12"/>
    <w:rsid w:val="5A4F461C"/>
    <w:rsid w:val="5A737DB0"/>
    <w:rsid w:val="5A7747D4"/>
    <w:rsid w:val="5A7F451A"/>
    <w:rsid w:val="5AA549B2"/>
    <w:rsid w:val="5AC44FC1"/>
    <w:rsid w:val="5ADC7386"/>
    <w:rsid w:val="5ADF3707"/>
    <w:rsid w:val="5B044F1C"/>
    <w:rsid w:val="5B3F7D02"/>
    <w:rsid w:val="5B5104F9"/>
    <w:rsid w:val="5B5D0855"/>
    <w:rsid w:val="5B654DE1"/>
    <w:rsid w:val="5B741EE3"/>
    <w:rsid w:val="5B817F90"/>
    <w:rsid w:val="5BAC3DD0"/>
    <w:rsid w:val="5BAC4E3A"/>
    <w:rsid w:val="5BBD471D"/>
    <w:rsid w:val="5BC87CA3"/>
    <w:rsid w:val="5C012B8C"/>
    <w:rsid w:val="5C090A3C"/>
    <w:rsid w:val="5C2C472A"/>
    <w:rsid w:val="5C362AF4"/>
    <w:rsid w:val="5C3E4720"/>
    <w:rsid w:val="5C526BB4"/>
    <w:rsid w:val="5C5E240A"/>
    <w:rsid w:val="5C615D0C"/>
    <w:rsid w:val="5C62014C"/>
    <w:rsid w:val="5C6914DA"/>
    <w:rsid w:val="5C694A3B"/>
    <w:rsid w:val="5C9B09C7"/>
    <w:rsid w:val="5CC85BD5"/>
    <w:rsid w:val="5CDC5954"/>
    <w:rsid w:val="5CE018DD"/>
    <w:rsid w:val="5D101956"/>
    <w:rsid w:val="5D153410"/>
    <w:rsid w:val="5D1B01A7"/>
    <w:rsid w:val="5D2768FF"/>
    <w:rsid w:val="5D5B7D4A"/>
    <w:rsid w:val="5D602734"/>
    <w:rsid w:val="5D616655"/>
    <w:rsid w:val="5DB554E1"/>
    <w:rsid w:val="5DD62B9F"/>
    <w:rsid w:val="5E033269"/>
    <w:rsid w:val="5E074110"/>
    <w:rsid w:val="5E0854EE"/>
    <w:rsid w:val="5E214762"/>
    <w:rsid w:val="5E284390"/>
    <w:rsid w:val="5E3D511B"/>
    <w:rsid w:val="5E6200F2"/>
    <w:rsid w:val="5E79352B"/>
    <w:rsid w:val="5E7D4589"/>
    <w:rsid w:val="5E854F0F"/>
    <w:rsid w:val="5E8E1E7B"/>
    <w:rsid w:val="5E933865"/>
    <w:rsid w:val="5E934BE3"/>
    <w:rsid w:val="5E9D308B"/>
    <w:rsid w:val="5EB1181D"/>
    <w:rsid w:val="5EBC03E1"/>
    <w:rsid w:val="5EC33BF1"/>
    <w:rsid w:val="5EC52109"/>
    <w:rsid w:val="5ED6097D"/>
    <w:rsid w:val="5EDC6635"/>
    <w:rsid w:val="5EDF242A"/>
    <w:rsid w:val="5EDF3CD6"/>
    <w:rsid w:val="5EEC4CC9"/>
    <w:rsid w:val="5EF03EB9"/>
    <w:rsid w:val="5EF85E29"/>
    <w:rsid w:val="5EFC424F"/>
    <w:rsid w:val="5F125E59"/>
    <w:rsid w:val="5F206F1F"/>
    <w:rsid w:val="5F37703F"/>
    <w:rsid w:val="5F387DD8"/>
    <w:rsid w:val="5F571ABE"/>
    <w:rsid w:val="5F610F9A"/>
    <w:rsid w:val="5F6601DC"/>
    <w:rsid w:val="5F712D16"/>
    <w:rsid w:val="5F925D02"/>
    <w:rsid w:val="5FA6205D"/>
    <w:rsid w:val="5FBD7E8C"/>
    <w:rsid w:val="5FC72CEE"/>
    <w:rsid w:val="5FCB2019"/>
    <w:rsid w:val="5FD15F3F"/>
    <w:rsid w:val="5FE17054"/>
    <w:rsid w:val="5FF04AF3"/>
    <w:rsid w:val="6013374F"/>
    <w:rsid w:val="602B5EDC"/>
    <w:rsid w:val="602C20DD"/>
    <w:rsid w:val="60442474"/>
    <w:rsid w:val="60452D1D"/>
    <w:rsid w:val="605B3BD5"/>
    <w:rsid w:val="608A5EC3"/>
    <w:rsid w:val="60B12374"/>
    <w:rsid w:val="60B12B22"/>
    <w:rsid w:val="60B251B6"/>
    <w:rsid w:val="60B8658C"/>
    <w:rsid w:val="60CB5CDD"/>
    <w:rsid w:val="61177267"/>
    <w:rsid w:val="611C7D9F"/>
    <w:rsid w:val="61623A9A"/>
    <w:rsid w:val="617519E8"/>
    <w:rsid w:val="618446C0"/>
    <w:rsid w:val="618A7FBC"/>
    <w:rsid w:val="61B42655"/>
    <w:rsid w:val="61C55F03"/>
    <w:rsid w:val="61D2367E"/>
    <w:rsid w:val="61DB57AA"/>
    <w:rsid w:val="61DC44FC"/>
    <w:rsid w:val="61EB04E9"/>
    <w:rsid w:val="622814F0"/>
    <w:rsid w:val="622F4266"/>
    <w:rsid w:val="62347E94"/>
    <w:rsid w:val="62462A72"/>
    <w:rsid w:val="6259166C"/>
    <w:rsid w:val="62612C54"/>
    <w:rsid w:val="6263077A"/>
    <w:rsid w:val="62846CDE"/>
    <w:rsid w:val="628726BA"/>
    <w:rsid w:val="62986BDB"/>
    <w:rsid w:val="629F40C2"/>
    <w:rsid w:val="62A42D3A"/>
    <w:rsid w:val="62AE40EB"/>
    <w:rsid w:val="62B30707"/>
    <w:rsid w:val="62B31701"/>
    <w:rsid w:val="62B95A2A"/>
    <w:rsid w:val="62E573E1"/>
    <w:rsid w:val="62E713AB"/>
    <w:rsid w:val="62EA6460"/>
    <w:rsid w:val="63030F14"/>
    <w:rsid w:val="634C71AA"/>
    <w:rsid w:val="63607EDD"/>
    <w:rsid w:val="637013A0"/>
    <w:rsid w:val="637644DD"/>
    <w:rsid w:val="637C0957"/>
    <w:rsid w:val="63806113"/>
    <w:rsid w:val="63864720"/>
    <w:rsid w:val="638E7A78"/>
    <w:rsid w:val="63942F1D"/>
    <w:rsid w:val="639E415F"/>
    <w:rsid w:val="63BF40D6"/>
    <w:rsid w:val="63CD05A1"/>
    <w:rsid w:val="63D26110"/>
    <w:rsid w:val="63D27965"/>
    <w:rsid w:val="63D57637"/>
    <w:rsid w:val="63E477B4"/>
    <w:rsid w:val="63ED6827"/>
    <w:rsid w:val="640E2967"/>
    <w:rsid w:val="641937E6"/>
    <w:rsid w:val="642F125B"/>
    <w:rsid w:val="643A4B4D"/>
    <w:rsid w:val="6453132F"/>
    <w:rsid w:val="64607667"/>
    <w:rsid w:val="646B1B68"/>
    <w:rsid w:val="6470710A"/>
    <w:rsid w:val="6488096B"/>
    <w:rsid w:val="64917820"/>
    <w:rsid w:val="649B6252"/>
    <w:rsid w:val="64A036C7"/>
    <w:rsid w:val="64AB1B0A"/>
    <w:rsid w:val="64C22BED"/>
    <w:rsid w:val="64C73242"/>
    <w:rsid w:val="64D82908"/>
    <w:rsid w:val="64D91523"/>
    <w:rsid w:val="64DB2E27"/>
    <w:rsid w:val="64DB7A6C"/>
    <w:rsid w:val="64EC5F80"/>
    <w:rsid w:val="65387F11"/>
    <w:rsid w:val="654B1ECF"/>
    <w:rsid w:val="65585BAA"/>
    <w:rsid w:val="65622439"/>
    <w:rsid w:val="656E52FB"/>
    <w:rsid w:val="658729D1"/>
    <w:rsid w:val="6589499B"/>
    <w:rsid w:val="658D680B"/>
    <w:rsid w:val="659D4F99"/>
    <w:rsid w:val="65A12770"/>
    <w:rsid w:val="65A33C99"/>
    <w:rsid w:val="65E63B9C"/>
    <w:rsid w:val="65FD2C93"/>
    <w:rsid w:val="66035B03"/>
    <w:rsid w:val="661462F7"/>
    <w:rsid w:val="66150AEC"/>
    <w:rsid w:val="662A132F"/>
    <w:rsid w:val="6650158D"/>
    <w:rsid w:val="665A22F4"/>
    <w:rsid w:val="668B5CC3"/>
    <w:rsid w:val="66901A75"/>
    <w:rsid w:val="66BE0345"/>
    <w:rsid w:val="66D238E8"/>
    <w:rsid w:val="66DB1226"/>
    <w:rsid w:val="66E30E48"/>
    <w:rsid w:val="67010AE3"/>
    <w:rsid w:val="670F1CAF"/>
    <w:rsid w:val="67251571"/>
    <w:rsid w:val="67322B5A"/>
    <w:rsid w:val="6783286B"/>
    <w:rsid w:val="678A5539"/>
    <w:rsid w:val="6794124F"/>
    <w:rsid w:val="67C373D8"/>
    <w:rsid w:val="67DD4F5A"/>
    <w:rsid w:val="67E76136"/>
    <w:rsid w:val="67EE40CD"/>
    <w:rsid w:val="67F035BE"/>
    <w:rsid w:val="68002120"/>
    <w:rsid w:val="68075EEC"/>
    <w:rsid w:val="68183231"/>
    <w:rsid w:val="68242759"/>
    <w:rsid w:val="68683D96"/>
    <w:rsid w:val="687112E4"/>
    <w:rsid w:val="687436E1"/>
    <w:rsid w:val="687CD81C"/>
    <w:rsid w:val="68811569"/>
    <w:rsid w:val="688D5AAB"/>
    <w:rsid w:val="689F47D3"/>
    <w:rsid w:val="68A815DC"/>
    <w:rsid w:val="68E424F2"/>
    <w:rsid w:val="68E814B4"/>
    <w:rsid w:val="68F91EAB"/>
    <w:rsid w:val="69121E3A"/>
    <w:rsid w:val="69154D60"/>
    <w:rsid w:val="691F4D9F"/>
    <w:rsid w:val="69206401"/>
    <w:rsid w:val="69351C9B"/>
    <w:rsid w:val="694A6DBA"/>
    <w:rsid w:val="696B1412"/>
    <w:rsid w:val="69723EB6"/>
    <w:rsid w:val="69801C11"/>
    <w:rsid w:val="699954C4"/>
    <w:rsid w:val="699D36D6"/>
    <w:rsid w:val="69A7578F"/>
    <w:rsid w:val="69B02560"/>
    <w:rsid w:val="69B779BF"/>
    <w:rsid w:val="69C2047C"/>
    <w:rsid w:val="69C21B11"/>
    <w:rsid w:val="69C266CE"/>
    <w:rsid w:val="69CD7FDE"/>
    <w:rsid w:val="69FB0390"/>
    <w:rsid w:val="6A07214F"/>
    <w:rsid w:val="6A097C8B"/>
    <w:rsid w:val="6A116CE2"/>
    <w:rsid w:val="6A132A85"/>
    <w:rsid w:val="6A152CA1"/>
    <w:rsid w:val="6A241FFF"/>
    <w:rsid w:val="6A2E2210"/>
    <w:rsid w:val="6A2F7723"/>
    <w:rsid w:val="6A6674DD"/>
    <w:rsid w:val="6A7E510F"/>
    <w:rsid w:val="6A9F44B9"/>
    <w:rsid w:val="6AB97AD1"/>
    <w:rsid w:val="6ABB21A6"/>
    <w:rsid w:val="6ACE0CEA"/>
    <w:rsid w:val="6ADB2F03"/>
    <w:rsid w:val="6AE2354A"/>
    <w:rsid w:val="6AEB5722"/>
    <w:rsid w:val="6AEC1C54"/>
    <w:rsid w:val="6AF208ED"/>
    <w:rsid w:val="6AF8649D"/>
    <w:rsid w:val="6AFA7A77"/>
    <w:rsid w:val="6AFB24CA"/>
    <w:rsid w:val="6AFF2463"/>
    <w:rsid w:val="6B033CC2"/>
    <w:rsid w:val="6B0874EA"/>
    <w:rsid w:val="6B1F10AD"/>
    <w:rsid w:val="6B22477C"/>
    <w:rsid w:val="6B2807B2"/>
    <w:rsid w:val="6B320A31"/>
    <w:rsid w:val="6B3555BC"/>
    <w:rsid w:val="6B3B6738"/>
    <w:rsid w:val="6B413622"/>
    <w:rsid w:val="6B423B68"/>
    <w:rsid w:val="6B431148"/>
    <w:rsid w:val="6B491DA4"/>
    <w:rsid w:val="6B594672"/>
    <w:rsid w:val="6B5D28FD"/>
    <w:rsid w:val="6B5E4D2E"/>
    <w:rsid w:val="6B5E5C9A"/>
    <w:rsid w:val="6B6317EA"/>
    <w:rsid w:val="6B851761"/>
    <w:rsid w:val="6B88487B"/>
    <w:rsid w:val="6BB05F5F"/>
    <w:rsid w:val="6BB935B4"/>
    <w:rsid w:val="6BE116D3"/>
    <w:rsid w:val="6BE26BB3"/>
    <w:rsid w:val="6C2471CC"/>
    <w:rsid w:val="6C2A7865"/>
    <w:rsid w:val="6C620EF9"/>
    <w:rsid w:val="6C6A54FD"/>
    <w:rsid w:val="6C7672FB"/>
    <w:rsid w:val="6C950FE9"/>
    <w:rsid w:val="6C9C3206"/>
    <w:rsid w:val="6CBD4F2A"/>
    <w:rsid w:val="6CDA3D2E"/>
    <w:rsid w:val="6CEF77DA"/>
    <w:rsid w:val="6CF63FFB"/>
    <w:rsid w:val="6CF6746A"/>
    <w:rsid w:val="6CFA617E"/>
    <w:rsid w:val="6D127D3D"/>
    <w:rsid w:val="6D1D60F5"/>
    <w:rsid w:val="6D2D03F9"/>
    <w:rsid w:val="6D325918"/>
    <w:rsid w:val="6D605FE2"/>
    <w:rsid w:val="6D647D67"/>
    <w:rsid w:val="6D9E588E"/>
    <w:rsid w:val="6DA94262"/>
    <w:rsid w:val="6DB6367B"/>
    <w:rsid w:val="6DB70CB4"/>
    <w:rsid w:val="6DE63DAE"/>
    <w:rsid w:val="6DF40E20"/>
    <w:rsid w:val="6DF97515"/>
    <w:rsid w:val="6E094352"/>
    <w:rsid w:val="6E0A2C2C"/>
    <w:rsid w:val="6E0E1EE1"/>
    <w:rsid w:val="6E135B2D"/>
    <w:rsid w:val="6E162B44"/>
    <w:rsid w:val="6E5042A8"/>
    <w:rsid w:val="6E5864AC"/>
    <w:rsid w:val="6E6C4E5A"/>
    <w:rsid w:val="6E7004A6"/>
    <w:rsid w:val="6E7206C2"/>
    <w:rsid w:val="6E7579F1"/>
    <w:rsid w:val="6E7837FF"/>
    <w:rsid w:val="6E865F1C"/>
    <w:rsid w:val="6E8E4DD0"/>
    <w:rsid w:val="6E9028F6"/>
    <w:rsid w:val="6E92195E"/>
    <w:rsid w:val="6E9323E7"/>
    <w:rsid w:val="6E9D66DB"/>
    <w:rsid w:val="6EC32F83"/>
    <w:rsid w:val="6ECC515B"/>
    <w:rsid w:val="6F19182E"/>
    <w:rsid w:val="6F1E7F02"/>
    <w:rsid w:val="6F361406"/>
    <w:rsid w:val="6F3626B6"/>
    <w:rsid w:val="6F3D16F9"/>
    <w:rsid w:val="6F3F40AE"/>
    <w:rsid w:val="6F4D3E4C"/>
    <w:rsid w:val="6F4F630E"/>
    <w:rsid w:val="6F6F4C02"/>
    <w:rsid w:val="6F7E6BF3"/>
    <w:rsid w:val="6F815117"/>
    <w:rsid w:val="6FAD7EFC"/>
    <w:rsid w:val="6FC30AAA"/>
    <w:rsid w:val="6FC413E7"/>
    <w:rsid w:val="6FD16974"/>
    <w:rsid w:val="6FE078AE"/>
    <w:rsid w:val="70074E3A"/>
    <w:rsid w:val="700E61C9"/>
    <w:rsid w:val="70234308"/>
    <w:rsid w:val="702A2DF0"/>
    <w:rsid w:val="703948AE"/>
    <w:rsid w:val="706B6D2D"/>
    <w:rsid w:val="708020B9"/>
    <w:rsid w:val="708F3F4F"/>
    <w:rsid w:val="709771CD"/>
    <w:rsid w:val="70A73F27"/>
    <w:rsid w:val="70B269EA"/>
    <w:rsid w:val="70DA275C"/>
    <w:rsid w:val="70F40DF1"/>
    <w:rsid w:val="71015D2D"/>
    <w:rsid w:val="71155E1B"/>
    <w:rsid w:val="71393588"/>
    <w:rsid w:val="714D6812"/>
    <w:rsid w:val="7170308B"/>
    <w:rsid w:val="71771B4C"/>
    <w:rsid w:val="718E21F2"/>
    <w:rsid w:val="719E503F"/>
    <w:rsid w:val="71A14E1B"/>
    <w:rsid w:val="71A5799C"/>
    <w:rsid w:val="71AC3D91"/>
    <w:rsid w:val="71B67EE4"/>
    <w:rsid w:val="71C805F9"/>
    <w:rsid w:val="71CC455D"/>
    <w:rsid w:val="71CF667C"/>
    <w:rsid w:val="71E65261"/>
    <w:rsid w:val="71FF0740"/>
    <w:rsid w:val="71FF0BB1"/>
    <w:rsid w:val="7238693B"/>
    <w:rsid w:val="723D27EE"/>
    <w:rsid w:val="724E4FA2"/>
    <w:rsid w:val="724F2AC9"/>
    <w:rsid w:val="72856C67"/>
    <w:rsid w:val="72896FE0"/>
    <w:rsid w:val="728E5F19"/>
    <w:rsid w:val="729606F7"/>
    <w:rsid w:val="72A31F40"/>
    <w:rsid w:val="72D1172F"/>
    <w:rsid w:val="73013FCC"/>
    <w:rsid w:val="73094C52"/>
    <w:rsid w:val="73245D0B"/>
    <w:rsid w:val="73261A7B"/>
    <w:rsid w:val="733866F9"/>
    <w:rsid w:val="73547991"/>
    <w:rsid w:val="736938A6"/>
    <w:rsid w:val="736D75D5"/>
    <w:rsid w:val="737722D7"/>
    <w:rsid w:val="73781BAB"/>
    <w:rsid w:val="73796EEC"/>
    <w:rsid w:val="738E6C88"/>
    <w:rsid w:val="739169F9"/>
    <w:rsid w:val="739D39C9"/>
    <w:rsid w:val="73A52AED"/>
    <w:rsid w:val="73AC5173"/>
    <w:rsid w:val="73B9644B"/>
    <w:rsid w:val="73CD33BB"/>
    <w:rsid w:val="73F44C19"/>
    <w:rsid w:val="74031DA5"/>
    <w:rsid w:val="740C6947"/>
    <w:rsid w:val="742D4234"/>
    <w:rsid w:val="74326F65"/>
    <w:rsid w:val="743F4CBA"/>
    <w:rsid w:val="748A000B"/>
    <w:rsid w:val="749330FE"/>
    <w:rsid w:val="74942EB6"/>
    <w:rsid w:val="749E119A"/>
    <w:rsid w:val="74A356E3"/>
    <w:rsid w:val="74C652C4"/>
    <w:rsid w:val="74D33EF6"/>
    <w:rsid w:val="74D81279"/>
    <w:rsid w:val="74DD4D68"/>
    <w:rsid w:val="74E120FE"/>
    <w:rsid w:val="74F82FA3"/>
    <w:rsid w:val="75394813"/>
    <w:rsid w:val="753A11C8"/>
    <w:rsid w:val="7550528A"/>
    <w:rsid w:val="75575F1C"/>
    <w:rsid w:val="757356C1"/>
    <w:rsid w:val="7585337A"/>
    <w:rsid w:val="758C45A7"/>
    <w:rsid w:val="75A41F9F"/>
    <w:rsid w:val="75B456A9"/>
    <w:rsid w:val="75C404DC"/>
    <w:rsid w:val="75C50AA6"/>
    <w:rsid w:val="75D94171"/>
    <w:rsid w:val="75EA51DF"/>
    <w:rsid w:val="75EB4A8F"/>
    <w:rsid w:val="75F95225"/>
    <w:rsid w:val="760140DA"/>
    <w:rsid w:val="76051776"/>
    <w:rsid w:val="760B6FB5"/>
    <w:rsid w:val="76544B51"/>
    <w:rsid w:val="76650B0D"/>
    <w:rsid w:val="769D4442"/>
    <w:rsid w:val="76A21419"/>
    <w:rsid w:val="76AF515A"/>
    <w:rsid w:val="76B615B9"/>
    <w:rsid w:val="76B61F68"/>
    <w:rsid w:val="76B949B4"/>
    <w:rsid w:val="76CC1292"/>
    <w:rsid w:val="77210231"/>
    <w:rsid w:val="77277B70"/>
    <w:rsid w:val="773329B9"/>
    <w:rsid w:val="773D64AD"/>
    <w:rsid w:val="77437CF9"/>
    <w:rsid w:val="77723A3F"/>
    <w:rsid w:val="777703EE"/>
    <w:rsid w:val="77784870"/>
    <w:rsid w:val="77A33763"/>
    <w:rsid w:val="77B07B65"/>
    <w:rsid w:val="77B77A99"/>
    <w:rsid w:val="77D01510"/>
    <w:rsid w:val="77D9530E"/>
    <w:rsid w:val="77E2543A"/>
    <w:rsid w:val="77E617D9"/>
    <w:rsid w:val="77F9775E"/>
    <w:rsid w:val="78203AD8"/>
    <w:rsid w:val="782564A6"/>
    <w:rsid w:val="783607CB"/>
    <w:rsid w:val="78437924"/>
    <w:rsid w:val="78447F3E"/>
    <w:rsid w:val="784A0D0F"/>
    <w:rsid w:val="78531D63"/>
    <w:rsid w:val="78615D56"/>
    <w:rsid w:val="78782D79"/>
    <w:rsid w:val="78A15077"/>
    <w:rsid w:val="78A23DBF"/>
    <w:rsid w:val="78B51304"/>
    <w:rsid w:val="78B54873"/>
    <w:rsid w:val="78B813C8"/>
    <w:rsid w:val="78C445BB"/>
    <w:rsid w:val="78C83AD2"/>
    <w:rsid w:val="790106AE"/>
    <w:rsid w:val="791800B8"/>
    <w:rsid w:val="79306213"/>
    <w:rsid w:val="793D67D2"/>
    <w:rsid w:val="79424A2B"/>
    <w:rsid w:val="79516F63"/>
    <w:rsid w:val="79565544"/>
    <w:rsid w:val="79614697"/>
    <w:rsid w:val="796660A9"/>
    <w:rsid w:val="796946E1"/>
    <w:rsid w:val="796E1666"/>
    <w:rsid w:val="798A5C60"/>
    <w:rsid w:val="79A07515"/>
    <w:rsid w:val="79A33E26"/>
    <w:rsid w:val="79A9103A"/>
    <w:rsid w:val="79AB36F9"/>
    <w:rsid w:val="79C51CFD"/>
    <w:rsid w:val="79DD1D32"/>
    <w:rsid w:val="79EF06E6"/>
    <w:rsid w:val="79F06745"/>
    <w:rsid w:val="7A00729F"/>
    <w:rsid w:val="7A402138"/>
    <w:rsid w:val="7A4A4C3A"/>
    <w:rsid w:val="7A51551F"/>
    <w:rsid w:val="7A537CAC"/>
    <w:rsid w:val="7A5C78B1"/>
    <w:rsid w:val="7A794B87"/>
    <w:rsid w:val="7AAA2726"/>
    <w:rsid w:val="7ACA5466"/>
    <w:rsid w:val="7AD45C10"/>
    <w:rsid w:val="7AD522D5"/>
    <w:rsid w:val="7AE2097E"/>
    <w:rsid w:val="7AE318EE"/>
    <w:rsid w:val="7B07175A"/>
    <w:rsid w:val="7B0A6A9B"/>
    <w:rsid w:val="7B0D2818"/>
    <w:rsid w:val="7B315461"/>
    <w:rsid w:val="7B373907"/>
    <w:rsid w:val="7B3D676B"/>
    <w:rsid w:val="7B527E07"/>
    <w:rsid w:val="7B5353D8"/>
    <w:rsid w:val="7B5D35F7"/>
    <w:rsid w:val="7B6770D5"/>
    <w:rsid w:val="7B92467D"/>
    <w:rsid w:val="7B994E29"/>
    <w:rsid w:val="7B9D745B"/>
    <w:rsid w:val="7BAD3F83"/>
    <w:rsid w:val="7BB12C0A"/>
    <w:rsid w:val="7BB3231A"/>
    <w:rsid w:val="7BC96E50"/>
    <w:rsid w:val="7BDA36FA"/>
    <w:rsid w:val="7BFF27A7"/>
    <w:rsid w:val="7C005CAF"/>
    <w:rsid w:val="7C254F1C"/>
    <w:rsid w:val="7C424F97"/>
    <w:rsid w:val="7C425CF3"/>
    <w:rsid w:val="7C4A36C4"/>
    <w:rsid w:val="7C4C2BF6"/>
    <w:rsid w:val="7C5238E1"/>
    <w:rsid w:val="7C57415F"/>
    <w:rsid w:val="7C60651C"/>
    <w:rsid w:val="7C640CBC"/>
    <w:rsid w:val="7C71680F"/>
    <w:rsid w:val="7C796B8F"/>
    <w:rsid w:val="7C812178"/>
    <w:rsid w:val="7C831CEC"/>
    <w:rsid w:val="7CA532B1"/>
    <w:rsid w:val="7CAA1C30"/>
    <w:rsid w:val="7CB82DCD"/>
    <w:rsid w:val="7CBA4FE2"/>
    <w:rsid w:val="7CBC3199"/>
    <w:rsid w:val="7CD66DE6"/>
    <w:rsid w:val="7CE57657"/>
    <w:rsid w:val="7D2D0A25"/>
    <w:rsid w:val="7D3A42B0"/>
    <w:rsid w:val="7D4566B3"/>
    <w:rsid w:val="7D4D1AA2"/>
    <w:rsid w:val="7D627B54"/>
    <w:rsid w:val="7D6F1CD1"/>
    <w:rsid w:val="7D723F16"/>
    <w:rsid w:val="7D8E3A4A"/>
    <w:rsid w:val="7D9A2209"/>
    <w:rsid w:val="7DA9460F"/>
    <w:rsid w:val="7DC33D03"/>
    <w:rsid w:val="7DC80B9A"/>
    <w:rsid w:val="7DD47EE4"/>
    <w:rsid w:val="7DE03DE0"/>
    <w:rsid w:val="7DE5055D"/>
    <w:rsid w:val="7DE65FBE"/>
    <w:rsid w:val="7DFF6F70"/>
    <w:rsid w:val="7E002EC9"/>
    <w:rsid w:val="7E1F5A45"/>
    <w:rsid w:val="7E2461C2"/>
    <w:rsid w:val="7E252460"/>
    <w:rsid w:val="7E397349"/>
    <w:rsid w:val="7E3B2283"/>
    <w:rsid w:val="7E826950"/>
    <w:rsid w:val="7E884F8C"/>
    <w:rsid w:val="7E89682B"/>
    <w:rsid w:val="7E904003"/>
    <w:rsid w:val="7E9064E4"/>
    <w:rsid w:val="7EA66AB7"/>
    <w:rsid w:val="7EA67F14"/>
    <w:rsid w:val="7EB76F44"/>
    <w:rsid w:val="7EBB18A6"/>
    <w:rsid w:val="7EBE0DBA"/>
    <w:rsid w:val="7EE564D6"/>
    <w:rsid w:val="7EF95DA4"/>
    <w:rsid w:val="7EFF5CB3"/>
    <w:rsid w:val="7F022CC4"/>
    <w:rsid w:val="7F0569E9"/>
    <w:rsid w:val="7F113622"/>
    <w:rsid w:val="7F1DB84D"/>
    <w:rsid w:val="7F2A68E9"/>
    <w:rsid w:val="7F314CA2"/>
    <w:rsid w:val="7F435763"/>
    <w:rsid w:val="7F4C1035"/>
    <w:rsid w:val="7F4D4BFE"/>
    <w:rsid w:val="7F7057E9"/>
    <w:rsid w:val="7F7405C7"/>
    <w:rsid w:val="7F7F75D9"/>
    <w:rsid w:val="7FAF6BB9"/>
    <w:rsid w:val="7FCB21B9"/>
    <w:rsid w:val="7FDA23E1"/>
    <w:rsid w:val="7FDF55E5"/>
    <w:rsid w:val="7FFA2F91"/>
    <w:rsid w:val="BFFE1B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9"/>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4">
    <w:name w:val="heading 2"/>
    <w:basedOn w:val="1"/>
    <w:next w:val="1"/>
    <w:link w:val="50"/>
    <w:unhideWhenUsed/>
    <w:qFormat/>
    <w:uiPriority w:val="0"/>
    <w:pPr>
      <w:keepNext/>
      <w:keepLines/>
      <w:spacing w:line="413" w:lineRule="auto"/>
      <w:jc w:val="center"/>
      <w:outlineLvl w:val="1"/>
    </w:pPr>
    <w:rPr>
      <w:rFonts w:ascii="Arial" w:hAnsi="Arial" w:cs="Arial"/>
      <w:b/>
      <w:bCs/>
      <w:sz w:val="28"/>
      <w:szCs w:val="28"/>
    </w:rPr>
  </w:style>
  <w:style w:type="paragraph" w:styleId="5">
    <w:name w:val="heading 3"/>
    <w:basedOn w:val="1"/>
    <w:next w:val="1"/>
    <w:link w:val="51"/>
    <w:semiHidden/>
    <w:unhideWhenUsed/>
    <w:qFormat/>
    <w:uiPriority w:val="0"/>
    <w:pPr>
      <w:keepNext/>
      <w:keepLines/>
      <w:spacing w:line="413" w:lineRule="auto"/>
      <w:outlineLvl w:val="2"/>
    </w:pPr>
    <w:rPr>
      <w:b/>
      <w:bCs/>
      <w:sz w:val="32"/>
      <w:szCs w:val="32"/>
    </w:rPr>
  </w:style>
  <w:style w:type="paragraph" w:styleId="6">
    <w:name w:val="heading 4"/>
    <w:basedOn w:val="1"/>
    <w:next w:val="1"/>
    <w:link w:val="52"/>
    <w:semiHidden/>
    <w:unhideWhenUsed/>
    <w:qFormat/>
    <w:uiPriority w:val="0"/>
    <w:pPr>
      <w:keepNext/>
      <w:keepLines/>
      <w:jc w:val="left"/>
      <w:outlineLvl w:val="3"/>
    </w:pPr>
    <w:rPr>
      <w:rFonts w:ascii="Arial" w:hAnsi="Arial" w:cs="Arial"/>
      <w:b/>
      <w:bCs/>
      <w:sz w:val="32"/>
      <w:szCs w:val="32"/>
    </w:rPr>
  </w:style>
  <w:style w:type="character" w:default="1" w:styleId="37">
    <w:name w:val="Default Paragraph Font"/>
    <w:autoRedefine/>
    <w:semiHidden/>
    <w:unhideWhenUsed/>
    <w:qFormat/>
    <w:uiPriority w:val="1"/>
  </w:style>
  <w:style w:type="table" w:default="1" w:styleId="3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w:basedOn w:val="1"/>
    <w:next w:val="1"/>
    <w:link w:val="54"/>
    <w:autoRedefine/>
    <w:unhideWhenUsed/>
    <w:qFormat/>
    <w:uiPriority w:val="99"/>
  </w:style>
  <w:style w:type="paragraph" w:styleId="7">
    <w:name w:val="toc 7"/>
    <w:basedOn w:val="1"/>
    <w:next w:val="1"/>
    <w:autoRedefine/>
    <w:qFormat/>
    <w:uiPriority w:val="0"/>
    <w:pPr>
      <w:ind w:left="1260"/>
      <w:jc w:val="left"/>
    </w:pPr>
    <w:rPr>
      <w:rFonts w:asciiTheme="minorHAnsi" w:hAnsiTheme="minorHAnsi"/>
      <w:sz w:val="18"/>
      <w:szCs w:val="18"/>
    </w:rPr>
  </w:style>
  <w:style w:type="paragraph" w:styleId="8">
    <w:name w:val="Normal Indent"/>
    <w:basedOn w:val="1"/>
    <w:autoRedefine/>
    <w:qFormat/>
    <w:uiPriority w:val="0"/>
    <w:pPr>
      <w:ind w:firstLine="420"/>
    </w:pPr>
  </w:style>
  <w:style w:type="paragraph" w:styleId="9">
    <w:name w:val="annotation text"/>
    <w:basedOn w:val="1"/>
    <w:link w:val="53"/>
    <w:autoRedefine/>
    <w:qFormat/>
    <w:uiPriority w:val="0"/>
    <w:pPr>
      <w:jc w:val="left"/>
    </w:pPr>
    <w:rPr>
      <w:rFonts w:ascii="宋体" w:cs="宋体"/>
      <w:kern w:val="0"/>
      <w:sz w:val="34"/>
      <w:szCs w:val="34"/>
    </w:rPr>
  </w:style>
  <w:style w:type="paragraph" w:styleId="10">
    <w:name w:val="Body Text 3"/>
    <w:basedOn w:val="1"/>
    <w:autoRedefine/>
    <w:unhideWhenUsed/>
    <w:qFormat/>
    <w:uiPriority w:val="99"/>
    <w:pPr>
      <w:spacing w:after="120"/>
    </w:pPr>
    <w:rPr>
      <w:sz w:val="16"/>
      <w:szCs w:val="16"/>
    </w:rPr>
  </w:style>
  <w:style w:type="paragraph" w:styleId="11">
    <w:name w:val="Body Text Indent"/>
    <w:basedOn w:val="1"/>
    <w:next w:val="12"/>
    <w:link w:val="55"/>
    <w:autoRedefine/>
    <w:qFormat/>
    <w:uiPriority w:val="0"/>
    <w:pPr>
      <w:spacing w:after="120"/>
      <w:ind w:left="420" w:leftChars="200"/>
    </w:pPr>
  </w:style>
  <w:style w:type="paragraph" w:styleId="12">
    <w:name w:val="Body Text First Indent 2"/>
    <w:basedOn w:val="11"/>
    <w:next w:val="1"/>
    <w:autoRedefine/>
    <w:qFormat/>
    <w:uiPriority w:val="99"/>
    <w:pPr>
      <w:tabs>
        <w:tab w:val="left" w:pos="4900"/>
      </w:tabs>
      <w:ind w:firstLine="420" w:firstLineChars="200"/>
    </w:pPr>
  </w:style>
  <w:style w:type="paragraph" w:styleId="13">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14">
    <w:name w:val="toc 5"/>
    <w:basedOn w:val="1"/>
    <w:next w:val="1"/>
    <w:autoRedefine/>
    <w:qFormat/>
    <w:uiPriority w:val="0"/>
    <w:pPr>
      <w:ind w:left="840"/>
      <w:jc w:val="left"/>
    </w:pPr>
    <w:rPr>
      <w:rFonts w:asciiTheme="minorHAnsi" w:hAnsiTheme="minorHAnsi"/>
      <w:sz w:val="18"/>
      <w:szCs w:val="18"/>
    </w:rPr>
  </w:style>
  <w:style w:type="paragraph" w:styleId="15">
    <w:name w:val="toc 3"/>
    <w:basedOn w:val="1"/>
    <w:next w:val="1"/>
    <w:autoRedefine/>
    <w:qFormat/>
    <w:uiPriority w:val="0"/>
    <w:pPr>
      <w:ind w:left="420"/>
      <w:jc w:val="left"/>
    </w:pPr>
    <w:rPr>
      <w:rFonts w:asciiTheme="minorHAnsi" w:hAnsiTheme="minorHAnsi"/>
      <w:i/>
      <w:iCs/>
      <w:sz w:val="20"/>
      <w:szCs w:val="20"/>
    </w:rPr>
  </w:style>
  <w:style w:type="paragraph" w:styleId="16">
    <w:name w:val="Plain Text"/>
    <w:basedOn w:val="1"/>
    <w:link w:val="56"/>
    <w:autoRedefine/>
    <w:qFormat/>
    <w:uiPriority w:val="0"/>
    <w:pPr>
      <w:spacing w:line="324" w:lineRule="auto"/>
    </w:pPr>
    <w:rPr>
      <w:rFonts w:ascii="宋体" w:hAnsi="Courier New" w:cs="宋体"/>
    </w:rPr>
  </w:style>
  <w:style w:type="paragraph" w:styleId="17">
    <w:name w:val="toc 8"/>
    <w:basedOn w:val="1"/>
    <w:next w:val="1"/>
    <w:autoRedefine/>
    <w:qFormat/>
    <w:uiPriority w:val="0"/>
    <w:pPr>
      <w:ind w:left="1470"/>
      <w:jc w:val="left"/>
    </w:pPr>
    <w:rPr>
      <w:rFonts w:asciiTheme="minorHAnsi" w:hAnsiTheme="minorHAnsi"/>
      <w:sz w:val="18"/>
      <w:szCs w:val="18"/>
    </w:rPr>
  </w:style>
  <w:style w:type="paragraph" w:styleId="18">
    <w:name w:val="Date"/>
    <w:basedOn w:val="1"/>
    <w:next w:val="1"/>
    <w:link w:val="80"/>
    <w:autoRedefine/>
    <w:qFormat/>
    <w:uiPriority w:val="0"/>
    <w:pPr>
      <w:ind w:left="100" w:leftChars="2500"/>
    </w:pPr>
  </w:style>
  <w:style w:type="paragraph" w:styleId="19">
    <w:name w:val="Body Text Indent 2"/>
    <w:basedOn w:val="1"/>
    <w:link w:val="57"/>
    <w:autoRedefine/>
    <w:qFormat/>
    <w:uiPriority w:val="0"/>
    <w:pPr>
      <w:spacing w:after="120" w:line="480" w:lineRule="auto"/>
      <w:ind w:left="420" w:leftChars="200"/>
    </w:pPr>
  </w:style>
  <w:style w:type="paragraph" w:styleId="20">
    <w:name w:val="Balloon Text"/>
    <w:basedOn w:val="1"/>
    <w:link w:val="58"/>
    <w:autoRedefine/>
    <w:qFormat/>
    <w:uiPriority w:val="0"/>
    <w:rPr>
      <w:sz w:val="18"/>
      <w:szCs w:val="18"/>
    </w:rPr>
  </w:style>
  <w:style w:type="paragraph" w:styleId="21">
    <w:name w:val="footer"/>
    <w:basedOn w:val="1"/>
    <w:link w:val="59"/>
    <w:autoRedefine/>
    <w:unhideWhenUsed/>
    <w:qFormat/>
    <w:uiPriority w:val="99"/>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cs="Arial"/>
    </w:rPr>
  </w:style>
  <w:style w:type="paragraph" w:styleId="23">
    <w:name w:val="header"/>
    <w:basedOn w:val="1"/>
    <w:link w:val="60"/>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heme="minorHAnsi" w:hAnsiTheme="minorHAnsi"/>
      <w:b/>
      <w:bCs/>
      <w:caps/>
      <w:sz w:val="20"/>
      <w:szCs w:val="20"/>
    </w:rPr>
  </w:style>
  <w:style w:type="paragraph" w:styleId="25">
    <w:name w:val="toc 4"/>
    <w:basedOn w:val="1"/>
    <w:next w:val="1"/>
    <w:autoRedefine/>
    <w:qFormat/>
    <w:uiPriority w:val="0"/>
    <w:pPr>
      <w:ind w:left="630"/>
      <w:jc w:val="left"/>
    </w:pPr>
    <w:rPr>
      <w:rFonts w:asciiTheme="minorHAnsi" w:hAnsiTheme="minorHAnsi"/>
      <w:sz w:val="18"/>
      <w:szCs w:val="18"/>
    </w:rPr>
  </w:style>
  <w:style w:type="paragraph" w:styleId="26">
    <w:name w:val="footnote text"/>
    <w:basedOn w:val="1"/>
    <w:autoRedefine/>
    <w:qFormat/>
    <w:uiPriority w:val="0"/>
    <w:pPr>
      <w:snapToGrid w:val="0"/>
      <w:jc w:val="left"/>
    </w:pPr>
    <w:rPr>
      <w:sz w:val="18"/>
    </w:rPr>
  </w:style>
  <w:style w:type="paragraph" w:styleId="27">
    <w:name w:val="toc 6"/>
    <w:basedOn w:val="1"/>
    <w:next w:val="1"/>
    <w:autoRedefine/>
    <w:qFormat/>
    <w:uiPriority w:val="0"/>
    <w:pPr>
      <w:ind w:left="1050"/>
      <w:jc w:val="left"/>
    </w:pPr>
    <w:rPr>
      <w:rFonts w:asciiTheme="minorHAnsi" w:hAnsiTheme="minorHAnsi"/>
      <w:sz w:val="18"/>
      <w:szCs w:val="18"/>
    </w:rPr>
  </w:style>
  <w:style w:type="paragraph" w:styleId="28">
    <w:name w:val="toc 2"/>
    <w:basedOn w:val="1"/>
    <w:next w:val="1"/>
    <w:autoRedefine/>
    <w:qFormat/>
    <w:uiPriority w:val="0"/>
    <w:pPr>
      <w:ind w:left="210"/>
      <w:jc w:val="left"/>
    </w:pPr>
    <w:rPr>
      <w:rFonts w:asciiTheme="minorHAnsi" w:hAnsiTheme="minorHAnsi"/>
      <w:smallCaps/>
      <w:sz w:val="20"/>
      <w:szCs w:val="20"/>
    </w:rPr>
  </w:style>
  <w:style w:type="paragraph" w:styleId="29">
    <w:name w:val="toc 9"/>
    <w:basedOn w:val="1"/>
    <w:next w:val="1"/>
    <w:autoRedefine/>
    <w:qFormat/>
    <w:uiPriority w:val="0"/>
    <w:pPr>
      <w:ind w:left="1680"/>
      <w:jc w:val="left"/>
    </w:pPr>
    <w:rPr>
      <w:rFonts w:asciiTheme="minorHAnsi" w:hAnsiTheme="minorHAnsi"/>
      <w:sz w:val="18"/>
      <w:szCs w:val="18"/>
    </w:rPr>
  </w:style>
  <w:style w:type="paragraph" w:styleId="30">
    <w:name w:val="Body Text 2"/>
    <w:basedOn w:val="1"/>
    <w:link w:val="61"/>
    <w:autoRedefine/>
    <w:qFormat/>
    <w:uiPriority w:val="0"/>
    <w:pPr>
      <w:jc w:val="center"/>
    </w:pPr>
    <w:rPr>
      <w:b/>
      <w:bCs/>
      <w:spacing w:val="-20"/>
      <w:w w:val="130"/>
      <w:sz w:val="48"/>
      <w:szCs w:val="48"/>
    </w:rPr>
  </w:style>
  <w:style w:type="paragraph" w:styleId="31">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2">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3">
    <w:name w:val="annotation subject"/>
    <w:basedOn w:val="9"/>
    <w:next w:val="1"/>
    <w:link w:val="90"/>
    <w:autoRedefine/>
    <w:qFormat/>
    <w:uiPriority w:val="0"/>
    <w:rPr>
      <w:rFonts w:ascii="Calibri" w:cs="Calibri"/>
      <w:b/>
      <w:bCs/>
      <w:kern w:val="2"/>
      <w:sz w:val="21"/>
      <w:szCs w:val="21"/>
    </w:rPr>
  </w:style>
  <w:style w:type="paragraph" w:styleId="34">
    <w:name w:val="Body Text First Indent"/>
    <w:basedOn w:val="2"/>
    <w:next w:val="12"/>
    <w:autoRedefine/>
    <w:qFormat/>
    <w:uiPriority w:val="0"/>
    <w:pPr>
      <w:ind w:firstLine="420" w:firstLineChars="100"/>
    </w:pPr>
    <w:rPr>
      <w:sz w:val="34"/>
    </w:r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 w:val="24"/>
      <w:szCs w:val="24"/>
    </w:rPr>
  </w:style>
  <w:style w:type="character" w:styleId="39">
    <w:name w:val="page number"/>
    <w:basedOn w:val="37"/>
    <w:autoRedefine/>
    <w:qFormat/>
    <w:uiPriority w:val="0"/>
  </w:style>
  <w:style w:type="character" w:styleId="40">
    <w:name w:val="FollowedHyperlink"/>
    <w:basedOn w:val="37"/>
    <w:autoRedefine/>
    <w:qFormat/>
    <w:uiPriority w:val="0"/>
    <w:rPr>
      <w:color w:val="800080"/>
      <w:u w:val="single"/>
    </w:rPr>
  </w:style>
  <w:style w:type="character" w:styleId="41">
    <w:name w:val="Emphasis"/>
    <w:autoRedefine/>
    <w:qFormat/>
    <w:uiPriority w:val="0"/>
    <w:rPr>
      <w:i/>
      <w:iCs/>
    </w:rPr>
  </w:style>
  <w:style w:type="character" w:styleId="42">
    <w:name w:val="Hyperlink"/>
    <w:autoRedefine/>
    <w:qFormat/>
    <w:uiPriority w:val="99"/>
    <w:rPr>
      <w:color w:val="0000FF"/>
      <w:u w:val="single"/>
    </w:rPr>
  </w:style>
  <w:style w:type="character" w:styleId="43">
    <w:name w:val="annotation reference"/>
    <w:autoRedefine/>
    <w:qFormat/>
    <w:uiPriority w:val="0"/>
    <w:rPr>
      <w:sz w:val="21"/>
      <w:szCs w:val="21"/>
    </w:rPr>
  </w:style>
  <w:style w:type="character" w:styleId="44">
    <w:name w:val="HTML Cite"/>
    <w:autoRedefine/>
    <w:qFormat/>
    <w:uiPriority w:val="0"/>
    <w:rPr>
      <w:sz w:val="24"/>
      <w:szCs w:val="24"/>
    </w:rPr>
  </w:style>
  <w:style w:type="character" w:styleId="45">
    <w:name w:val="footnote reference"/>
    <w:basedOn w:val="37"/>
    <w:autoRedefine/>
    <w:qFormat/>
    <w:uiPriority w:val="0"/>
    <w:rPr>
      <w:vertAlign w:val="superscript"/>
    </w:rPr>
  </w:style>
  <w:style w:type="paragraph" w:customStyle="1" w:styleId="46">
    <w:name w:val="列出段落1"/>
    <w:basedOn w:val="1"/>
    <w:autoRedefine/>
    <w:qFormat/>
    <w:uiPriority w:val="99"/>
    <w:pPr>
      <w:ind w:firstLine="420" w:firstLineChars="200"/>
    </w:pPr>
  </w:style>
  <w:style w:type="paragraph" w:customStyle="1" w:styleId="47">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8">
    <w:name w:val="TOC 标题1"/>
    <w:basedOn w:val="3"/>
    <w:next w:val="1"/>
    <w:autoRedefine/>
    <w:qFormat/>
    <w:uiPriority w:val="99"/>
    <w:pPr>
      <w:spacing w:before="480" w:line="276" w:lineRule="auto"/>
      <w:outlineLvl w:val="9"/>
    </w:pPr>
    <w:rPr>
      <w:rFonts w:ascii="仿宋" w:hAnsi="仿宋" w:eastAsia="仿宋" w:cs="仿宋"/>
      <w:color w:val="000000"/>
      <w:kern w:val="0"/>
    </w:rPr>
  </w:style>
  <w:style w:type="character" w:customStyle="1" w:styleId="49">
    <w:name w:val="标题 1 Char"/>
    <w:link w:val="3"/>
    <w:autoRedefine/>
    <w:qFormat/>
    <w:locked/>
    <w:uiPriority w:val="99"/>
    <w:rPr>
      <w:rFonts w:ascii="Calibri" w:hAnsi="Calibri" w:cs="Calibri"/>
      <w:b/>
      <w:bCs/>
      <w:kern w:val="44"/>
      <w:sz w:val="44"/>
      <w:szCs w:val="44"/>
    </w:rPr>
  </w:style>
  <w:style w:type="character" w:customStyle="1" w:styleId="50">
    <w:name w:val="标题 2 Char"/>
    <w:link w:val="4"/>
    <w:autoRedefine/>
    <w:qFormat/>
    <w:locked/>
    <w:uiPriority w:val="99"/>
    <w:rPr>
      <w:rFonts w:ascii="Cambria" w:hAnsi="Cambria" w:eastAsia="宋体" w:cs="Cambria"/>
      <w:b/>
      <w:bCs/>
      <w:sz w:val="32"/>
      <w:szCs w:val="32"/>
    </w:rPr>
  </w:style>
  <w:style w:type="character" w:customStyle="1" w:styleId="51">
    <w:name w:val="标题 3 Char"/>
    <w:link w:val="5"/>
    <w:autoRedefine/>
    <w:semiHidden/>
    <w:qFormat/>
    <w:locked/>
    <w:uiPriority w:val="99"/>
    <w:rPr>
      <w:rFonts w:ascii="Calibri" w:hAnsi="Calibri" w:cs="Calibri"/>
      <w:b/>
      <w:bCs/>
      <w:sz w:val="32"/>
      <w:szCs w:val="32"/>
    </w:rPr>
  </w:style>
  <w:style w:type="character" w:customStyle="1" w:styleId="52">
    <w:name w:val="标题 4 Char"/>
    <w:link w:val="6"/>
    <w:autoRedefine/>
    <w:semiHidden/>
    <w:qFormat/>
    <w:uiPriority w:val="9"/>
    <w:rPr>
      <w:rFonts w:ascii="Cambria" w:hAnsi="Cambria" w:eastAsia="宋体" w:cs="Times New Roman"/>
      <w:b/>
      <w:bCs/>
      <w:sz w:val="28"/>
      <w:szCs w:val="28"/>
    </w:rPr>
  </w:style>
  <w:style w:type="character" w:customStyle="1" w:styleId="53">
    <w:name w:val="批注文字 Char"/>
    <w:link w:val="9"/>
    <w:autoRedefine/>
    <w:qFormat/>
    <w:locked/>
    <w:uiPriority w:val="99"/>
    <w:rPr>
      <w:rFonts w:ascii="宋体" w:hAnsi="Calibri" w:eastAsia="宋体" w:cs="宋体"/>
      <w:sz w:val="22"/>
      <w:szCs w:val="22"/>
    </w:rPr>
  </w:style>
  <w:style w:type="character" w:customStyle="1" w:styleId="54">
    <w:name w:val="正文文本 Char"/>
    <w:link w:val="2"/>
    <w:autoRedefine/>
    <w:semiHidden/>
    <w:qFormat/>
    <w:locked/>
    <w:uiPriority w:val="99"/>
    <w:rPr>
      <w:rFonts w:ascii="Calibri" w:hAnsi="Calibri" w:cs="Calibri"/>
    </w:rPr>
  </w:style>
  <w:style w:type="character" w:customStyle="1" w:styleId="55">
    <w:name w:val="正文文本缩进 Char"/>
    <w:link w:val="11"/>
    <w:autoRedefine/>
    <w:semiHidden/>
    <w:qFormat/>
    <w:uiPriority w:val="99"/>
    <w:rPr>
      <w:rFonts w:ascii="Calibri" w:hAnsi="Calibri" w:cs="Calibri"/>
      <w:szCs w:val="21"/>
    </w:rPr>
  </w:style>
  <w:style w:type="character" w:customStyle="1" w:styleId="56">
    <w:name w:val="纯文本 Char"/>
    <w:link w:val="16"/>
    <w:autoRedefine/>
    <w:qFormat/>
    <w:locked/>
    <w:uiPriority w:val="0"/>
    <w:rPr>
      <w:rFonts w:ascii="宋体" w:hAnsi="Courier New" w:cs="宋体"/>
      <w:sz w:val="21"/>
      <w:szCs w:val="21"/>
    </w:rPr>
  </w:style>
  <w:style w:type="character" w:customStyle="1" w:styleId="57">
    <w:name w:val="正文文本缩进 2 Char"/>
    <w:link w:val="19"/>
    <w:autoRedefine/>
    <w:semiHidden/>
    <w:qFormat/>
    <w:locked/>
    <w:uiPriority w:val="99"/>
    <w:rPr>
      <w:rFonts w:ascii="Calibri" w:hAnsi="Calibri" w:cs="Calibri"/>
    </w:rPr>
  </w:style>
  <w:style w:type="character" w:customStyle="1" w:styleId="58">
    <w:name w:val="批注框文本 Char"/>
    <w:link w:val="20"/>
    <w:autoRedefine/>
    <w:qFormat/>
    <w:locked/>
    <w:uiPriority w:val="99"/>
    <w:rPr>
      <w:rFonts w:ascii="Calibri" w:hAnsi="Calibri" w:eastAsia="宋体" w:cs="Calibri"/>
      <w:kern w:val="2"/>
      <w:sz w:val="18"/>
      <w:szCs w:val="18"/>
    </w:rPr>
  </w:style>
  <w:style w:type="character" w:customStyle="1" w:styleId="59">
    <w:name w:val="页脚 Char"/>
    <w:basedOn w:val="37"/>
    <w:link w:val="21"/>
    <w:autoRedefine/>
    <w:qFormat/>
    <w:locked/>
    <w:uiPriority w:val="99"/>
    <w:rPr>
      <w:rFonts w:ascii="Calibri" w:hAnsi="Calibri" w:cs="Calibri"/>
      <w:sz w:val="18"/>
      <w:szCs w:val="18"/>
    </w:rPr>
  </w:style>
  <w:style w:type="character" w:customStyle="1" w:styleId="60">
    <w:name w:val="页眉 Char"/>
    <w:basedOn w:val="37"/>
    <w:link w:val="23"/>
    <w:autoRedefine/>
    <w:qFormat/>
    <w:locked/>
    <w:uiPriority w:val="99"/>
    <w:rPr>
      <w:rFonts w:ascii="Calibri" w:hAnsi="Calibri" w:cs="Calibri"/>
      <w:sz w:val="18"/>
      <w:szCs w:val="18"/>
    </w:rPr>
  </w:style>
  <w:style w:type="character" w:customStyle="1" w:styleId="61">
    <w:name w:val="正文文本 2 Char"/>
    <w:link w:val="30"/>
    <w:autoRedefine/>
    <w:semiHidden/>
    <w:qFormat/>
    <w:locked/>
    <w:uiPriority w:val="99"/>
    <w:rPr>
      <w:rFonts w:ascii="Calibri" w:hAnsi="Calibri" w:cs="Calibri"/>
    </w:rPr>
  </w:style>
  <w:style w:type="paragraph" w:customStyle="1" w:styleId="62">
    <w:name w:val="Char2 Char Char Char"/>
    <w:basedOn w:val="1"/>
    <w:autoRedefine/>
    <w:qFormat/>
    <w:uiPriority w:val="99"/>
    <w:rPr>
      <w:rFonts w:ascii="Tahoma" w:hAnsi="Tahoma" w:cs="Tahoma"/>
      <w:sz w:val="24"/>
      <w:szCs w:val="24"/>
    </w:rPr>
  </w:style>
  <w:style w:type="character" w:customStyle="1" w:styleId="63">
    <w:name w:val="10"/>
    <w:autoRedefine/>
    <w:qFormat/>
    <w:uiPriority w:val="99"/>
    <w:rPr>
      <w:rFonts w:ascii="Calibri" w:hAnsi="Calibri" w:cs="Calibri"/>
    </w:rPr>
  </w:style>
  <w:style w:type="character" w:customStyle="1" w:styleId="64">
    <w:name w:val="15"/>
    <w:autoRedefine/>
    <w:qFormat/>
    <w:uiPriority w:val="99"/>
    <w:rPr>
      <w:rFonts w:ascii="Calibri" w:hAnsi="Calibri" w:cs="Calibri"/>
      <w:i/>
      <w:iCs/>
    </w:rPr>
  </w:style>
  <w:style w:type="paragraph" w:customStyle="1" w:styleId="65">
    <w:name w:val="_Style 2"/>
    <w:basedOn w:val="1"/>
    <w:autoRedefine/>
    <w:qFormat/>
    <w:uiPriority w:val="99"/>
    <w:pPr>
      <w:ind w:firstLine="420" w:firstLineChars="200"/>
    </w:pPr>
  </w:style>
  <w:style w:type="character" w:customStyle="1" w:styleId="66">
    <w:name w:val="apple-style-span"/>
    <w:basedOn w:val="37"/>
    <w:autoRedefine/>
    <w:qFormat/>
    <w:uiPriority w:val="99"/>
  </w:style>
  <w:style w:type="character" w:customStyle="1" w:styleId="67">
    <w:name w:val="del"/>
    <w:basedOn w:val="37"/>
    <w:autoRedefine/>
    <w:qFormat/>
    <w:uiPriority w:val="99"/>
  </w:style>
  <w:style w:type="character" w:customStyle="1" w:styleId="68">
    <w:name w:val="del1"/>
    <w:autoRedefine/>
    <w:qFormat/>
    <w:uiPriority w:val="99"/>
    <w:rPr>
      <w:vanish/>
      <w:color w:val="auto"/>
      <w:sz w:val="18"/>
      <w:szCs w:val="18"/>
      <w:u w:val="single"/>
    </w:rPr>
  </w:style>
  <w:style w:type="character" w:customStyle="1" w:styleId="69">
    <w:name w:val="del2"/>
    <w:autoRedefine/>
    <w:qFormat/>
    <w:uiPriority w:val="99"/>
    <w:rPr>
      <w:vanish/>
    </w:rPr>
  </w:style>
  <w:style w:type="character" w:customStyle="1" w:styleId="70">
    <w:name w:val="del3"/>
    <w:autoRedefine/>
    <w:qFormat/>
    <w:uiPriority w:val="99"/>
    <w:rPr>
      <w:vanish/>
    </w:rPr>
  </w:style>
  <w:style w:type="paragraph" w:customStyle="1" w:styleId="71">
    <w:name w:val="_Style 4"/>
    <w:basedOn w:val="1"/>
    <w:autoRedefine/>
    <w:qFormat/>
    <w:uiPriority w:val="99"/>
    <w:pPr>
      <w:ind w:firstLine="420" w:firstLineChars="200"/>
    </w:pPr>
  </w:style>
  <w:style w:type="paragraph" w:customStyle="1" w:styleId="72">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3">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4">
    <w:name w:val="font101"/>
    <w:basedOn w:val="37"/>
    <w:autoRedefine/>
    <w:qFormat/>
    <w:uiPriority w:val="0"/>
    <w:rPr>
      <w:rFonts w:hint="eastAsia" w:ascii="宋体" w:hAnsi="宋体" w:eastAsia="宋体" w:cs="宋体"/>
      <w:color w:val="000000"/>
      <w:sz w:val="24"/>
      <w:szCs w:val="24"/>
      <w:u w:val="none"/>
    </w:rPr>
  </w:style>
  <w:style w:type="character" w:customStyle="1" w:styleId="75">
    <w:name w:val="font91"/>
    <w:basedOn w:val="37"/>
    <w:autoRedefine/>
    <w:qFormat/>
    <w:uiPriority w:val="0"/>
    <w:rPr>
      <w:rFonts w:hint="eastAsia" w:ascii="宋体" w:hAnsi="宋体" w:eastAsia="宋体" w:cs="宋体"/>
      <w:color w:val="000000"/>
      <w:sz w:val="24"/>
      <w:szCs w:val="24"/>
      <w:u w:val="none"/>
    </w:rPr>
  </w:style>
  <w:style w:type="character" w:customStyle="1" w:styleId="76">
    <w:name w:val="font41"/>
    <w:basedOn w:val="37"/>
    <w:autoRedefine/>
    <w:qFormat/>
    <w:uiPriority w:val="0"/>
    <w:rPr>
      <w:rFonts w:hint="eastAsia" w:ascii="宋体" w:hAnsi="宋体" w:eastAsia="宋体" w:cs="宋体"/>
      <w:color w:val="000000"/>
      <w:sz w:val="24"/>
      <w:szCs w:val="24"/>
      <w:u w:val="none"/>
    </w:rPr>
  </w:style>
  <w:style w:type="character" w:customStyle="1" w:styleId="77">
    <w:name w:val="font21"/>
    <w:basedOn w:val="37"/>
    <w:autoRedefine/>
    <w:qFormat/>
    <w:uiPriority w:val="0"/>
    <w:rPr>
      <w:rFonts w:hint="eastAsia" w:ascii="宋体" w:hAnsi="宋体" w:eastAsia="宋体" w:cs="宋体"/>
      <w:color w:val="000000"/>
      <w:sz w:val="24"/>
      <w:szCs w:val="24"/>
      <w:u w:val="none"/>
    </w:rPr>
  </w:style>
  <w:style w:type="paragraph" w:styleId="78">
    <w:name w:val="List Paragraph"/>
    <w:basedOn w:val="1"/>
    <w:autoRedefine/>
    <w:qFormat/>
    <w:uiPriority w:val="99"/>
    <w:pPr>
      <w:ind w:firstLine="420" w:firstLineChars="200"/>
    </w:pPr>
  </w:style>
  <w:style w:type="table" w:customStyle="1" w:styleId="79">
    <w:name w:val="TableGrid"/>
    <w:autoRedefine/>
    <w:qFormat/>
    <w:uiPriority w:val="0"/>
    <w:rPr>
      <w:kern w:val="2"/>
      <w:sz w:val="21"/>
      <w:szCs w:val="22"/>
    </w:rPr>
    <w:tblPr>
      <w:tblCellMar>
        <w:top w:w="0" w:type="dxa"/>
        <w:left w:w="0" w:type="dxa"/>
        <w:bottom w:w="0" w:type="dxa"/>
        <w:right w:w="0" w:type="dxa"/>
      </w:tblCellMar>
    </w:tblPr>
  </w:style>
  <w:style w:type="character" w:customStyle="1" w:styleId="80">
    <w:name w:val="日期 Char"/>
    <w:basedOn w:val="37"/>
    <w:link w:val="18"/>
    <w:autoRedefine/>
    <w:qFormat/>
    <w:uiPriority w:val="0"/>
    <w:rPr>
      <w:rFonts w:ascii="Calibri" w:hAnsi="Calibri" w:cs="Calibri"/>
      <w:kern w:val="2"/>
      <w:sz w:val="21"/>
      <w:szCs w:val="21"/>
    </w:rPr>
  </w:style>
  <w:style w:type="character" w:customStyle="1" w:styleId="81">
    <w:name w:val="List Paragraph Char1"/>
    <w:link w:val="82"/>
    <w:autoRedefine/>
    <w:qFormat/>
    <w:locked/>
    <w:uiPriority w:val="0"/>
    <w:rPr>
      <w:sz w:val="24"/>
    </w:rPr>
  </w:style>
  <w:style w:type="paragraph" w:customStyle="1" w:styleId="82">
    <w:name w:val="列出段落2"/>
    <w:basedOn w:val="1"/>
    <w:link w:val="81"/>
    <w:autoRedefine/>
    <w:qFormat/>
    <w:uiPriority w:val="0"/>
    <w:pPr>
      <w:ind w:firstLine="420" w:firstLineChars="200"/>
    </w:pPr>
    <w:rPr>
      <w:rFonts w:ascii="Times New Roman" w:hAnsi="Times New Roman" w:cs="Times New Roman"/>
      <w:kern w:val="0"/>
      <w:sz w:val="24"/>
      <w:szCs w:val="20"/>
    </w:rPr>
  </w:style>
  <w:style w:type="table" w:customStyle="1" w:styleId="83">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4">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9">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90">
    <w:name w:val="批注主题 Char"/>
    <w:basedOn w:val="53"/>
    <w:link w:val="33"/>
    <w:autoRedefine/>
    <w:semiHidden/>
    <w:qFormat/>
    <w:uiPriority w:val="99"/>
    <w:rPr>
      <w:rFonts w:ascii="Calibri" w:hAnsi="Calibri" w:eastAsia="宋体" w:cs="Calibri"/>
      <w:b/>
      <w:bCs/>
      <w:kern w:val="2"/>
      <w:sz w:val="21"/>
      <w:szCs w:val="21"/>
    </w:rPr>
  </w:style>
  <w:style w:type="paragraph" w:customStyle="1" w:styleId="91">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2">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3">
    <w:name w:val="TableGrid9"/>
    <w:autoRedefine/>
    <w:qFormat/>
    <w:uiPriority w:val="0"/>
    <w:rPr>
      <w:kern w:val="2"/>
      <w:sz w:val="21"/>
      <w:szCs w:val="22"/>
    </w:rPr>
    <w:tblPr>
      <w:tblCellMar>
        <w:top w:w="0" w:type="dxa"/>
        <w:left w:w="0" w:type="dxa"/>
        <w:bottom w:w="0" w:type="dxa"/>
        <w:right w:w="0" w:type="dxa"/>
      </w:tblCellMar>
    </w:tblPr>
  </w:style>
  <w:style w:type="table" w:customStyle="1" w:styleId="94">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5">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6">
    <w:name w:val="TableGrid12"/>
    <w:autoRedefine/>
    <w:qFormat/>
    <w:uiPriority w:val="0"/>
    <w:rPr>
      <w:kern w:val="2"/>
      <w:sz w:val="21"/>
      <w:szCs w:val="22"/>
    </w:rPr>
    <w:tblPr>
      <w:tblCellMar>
        <w:top w:w="0" w:type="dxa"/>
        <w:left w:w="0" w:type="dxa"/>
        <w:bottom w:w="0" w:type="dxa"/>
        <w:right w:w="0" w:type="dxa"/>
      </w:tblCellMar>
    </w:tblPr>
  </w:style>
  <w:style w:type="table" w:customStyle="1" w:styleId="97">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8">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0">
    <w:name w:val="网格型1"/>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1">
    <w:name w:val="high-light-bg4"/>
    <w:basedOn w:val="37"/>
    <w:autoRedefine/>
    <w:qFormat/>
    <w:uiPriority w:val="0"/>
  </w:style>
  <w:style w:type="paragraph" w:customStyle="1" w:styleId="10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3">
    <w:name w:val="p16"/>
    <w:basedOn w:val="1"/>
    <w:autoRedefine/>
    <w:qFormat/>
    <w:uiPriority w:val="0"/>
    <w:pPr>
      <w:adjustRightInd/>
      <w:spacing w:after="0"/>
    </w:pPr>
    <w:rPr>
      <w:rFonts w:ascii="宋体" w:hAnsi="宋体" w:eastAsia="宋体" w:cs="宋体"/>
      <w:sz w:val="28"/>
      <w:szCs w:val="28"/>
    </w:rPr>
  </w:style>
  <w:style w:type="paragraph" w:customStyle="1" w:styleId="104">
    <w:name w:val="+正文"/>
    <w:basedOn w:val="1"/>
    <w:autoRedefine/>
    <w:qFormat/>
    <w:uiPriority w:val="99"/>
    <w:pPr>
      <w:spacing w:line="360" w:lineRule="auto"/>
      <w:ind w:firstLine="200" w:firstLineChars="200"/>
    </w:pPr>
  </w:style>
  <w:style w:type="paragraph" w:customStyle="1" w:styleId="105">
    <w:name w:val="正文格式"/>
    <w:basedOn w:val="1"/>
    <w:autoRedefine/>
    <w:qFormat/>
    <w:uiPriority w:val="0"/>
    <w:pPr>
      <w:adjustRightInd w:val="0"/>
      <w:snapToGrid w:val="0"/>
      <w:spacing w:line="400" w:lineRule="atLeast"/>
      <w:ind w:firstLine="482"/>
      <w:textAlignment w:val="baseline"/>
    </w:pPr>
  </w:style>
  <w:style w:type="character" w:customStyle="1" w:styleId="106">
    <w:name w:val="NormalCharacter"/>
    <w:autoRedefine/>
    <w:semiHidden/>
    <w:qFormat/>
    <w:uiPriority w:val="0"/>
    <w:rPr>
      <w:rFonts w:ascii="Calibri" w:hAnsi="Calibri" w:eastAsia="宋体" w:cs="Times New Roman"/>
      <w:kern w:val="2"/>
      <w:sz w:val="21"/>
      <w:szCs w:val="24"/>
      <w:lang w:val="en-US" w:eastAsia="zh-CN" w:bidi="ar-SA"/>
    </w:rPr>
  </w:style>
  <w:style w:type="paragraph" w:customStyle="1" w:styleId="107">
    <w:name w:val="1正文"/>
    <w:basedOn w:val="32"/>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character" w:customStyle="1" w:styleId="108">
    <w:name w:val="font01"/>
    <w:basedOn w:val="37"/>
    <w:autoRedefine/>
    <w:qFormat/>
    <w:uiPriority w:val="0"/>
    <w:rPr>
      <w:rFonts w:hint="eastAsia" w:ascii="宋体" w:hAnsi="宋体" w:eastAsia="宋体" w:cs="宋体"/>
      <w:color w:val="000000"/>
      <w:sz w:val="24"/>
      <w:szCs w:val="24"/>
      <w:u w:val="none"/>
    </w:rPr>
  </w:style>
  <w:style w:type="paragraph" w:customStyle="1" w:styleId="109">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10">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Table Text"/>
    <w:basedOn w:val="1"/>
    <w:autoRedefine/>
    <w:semiHidden/>
    <w:qFormat/>
    <w:uiPriority w:val="0"/>
    <w:rPr>
      <w:rFonts w:ascii="宋体" w:hAnsi="宋体" w:eastAsia="宋体" w:cs="宋体"/>
      <w:sz w:val="24"/>
      <w:szCs w:val="24"/>
      <w:lang w:val="en-US" w:eastAsia="en-US" w:bidi="ar-SA"/>
    </w:rPr>
  </w:style>
  <w:style w:type="table" w:customStyle="1" w:styleId="11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61</Pages>
  <Words>12762</Words>
  <Characters>13517</Characters>
  <Lines>198</Lines>
  <Paragraphs>55</Paragraphs>
  <TotalTime>40</TotalTime>
  <ScaleCrop>false</ScaleCrop>
  <LinksUpToDate>false</LinksUpToDate>
  <CharactersWithSpaces>13729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2020-08-06T17:08:00Z</dcterms:created>
  <dc:creator>Administrator</dc:creator>
  <cp:lastModifiedBy>WPS_1528011989</cp:lastModifiedBy>
  <cp:lastPrinted>2025-07-24T02:34:00Z</cp:lastPrinted>
  <dcterms:modified xsi:type="dcterms:W3CDTF">2025-10-13T08:01:40Z</dcterms:modified>
  <dc:title>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4D25DA0191DC477B948F97B05FC27A96_13</vt:lpwstr>
  </property>
  <property fmtid="{D5CDD505-2E9C-101B-9397-08002B2CF9AE}" pid="4" name="KSOTemplateDocerSaveRecord">
    <vt:lpwstr>eyJoZGlkIjoiZGRkNjFkZGUxNWMzZjJjNDhkYWFiNDdkM2E5NWRjOWEiLCJ1c2VySWQiOiIzNzU3MTM1MjkifQ==</vt:lpwstr>
  </property>
</Properties>
</file>