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30821">
      <w:pPr>
        <w:pStyle w:val="14"/>
        <w:spacing w:before="312"/>
        <w:rPr>
          <w:rFonts w:hint="eastAsia"/>
        </w:rPr>
      </w:pPr>
      <w:r>
        <w:rPr>
          <w:rFonts w:hint="eastAsia"/>
        </w:rPr>
        <w:t>气象预警信息靶向发布短信技术要求</w:t>
      </w:r>
    </w:p>
    <w:p w14:paraId="7E7BD8C3">
      <w:pPr>
        <w:pStyle w:val="2"/>
        <w:rPr>
          <w:rFonts w:hint="eastAsia"/>
        </w:rPr>
      </w:pPr>
      <w:r>
        <w:rPr>
          <w:rFonts w:hint="eastAsia"/>
        </w:rPr>
        <w:t>采购需求</w:t>
      </w:r>
    </w:p>
    <w:p w14:paraId="0CA22813">
      <w:pPr>
        <w:pStyle w:val="3"/>
        <w:rPr>
          <w:rFonts w:hint="eastAsia"/>
        </w:rPr>
      </w:pPr>
      <w:r>
        <w:rPr>
          <w:rFonts w:hint="eastAsia"/>
        </w:rPr>
        <w:t>采购项目信息</w:t>
      </w:r>
    </w:p>
    <w:p w14:paraId="7037BDED">
      <w:pPr>
        <w:ind w:firstLine="482"/>
        <w:rPr>
          <w:rFonts w:hint="eastAsia"/>
        </w:rPr>
      </w:pPr>
      <w:r>
        <w:rPr>
          <w:rFonts w:hint="eastAsia"/>
          <w:b/>
          <w:bCs/>
        </w:rPr>
        <w:t>项目名称</w:t>
      </w:r>
      <w:r>
        <w:rPr>
          <w:rFonts w:hint="eastAsia"/>
        </w:rPr>
        <w:t>：</w:t>
      </w:r>
      <w:r>
        <w:rPr>
          <w:rFonts w:hint="eastAsia"/>
          <w:highlight w:val="none"/>
        </w:rPr>
        <w:t>陕西省气象预警信息精准靶向发布。</w:t>
      </w:r>
    </w:p>
    <w:p w14:paraId="257E2E80">
      <w:pPr>
        <w:ind w:firstLine="482"/>
        <w:rPr>
          <w:rFonts w:hint="eastAsia"/>
        </w:rPr>
      </w:pPr>
      <w:r>
        <w:rPr>
          <w:rFonts w:hint="eastAsia"/>
          <w:b/>
          <w:bCs/>
        </w:rPr>
        <w:t>采购单位</w:t>
      </w:r>
      <w:r>
        <w:rPr>
          <w:rFonts w:hint="eastAsia"/>
        </w:rPr>
        <w:t>：陕西省突发事件预警信息发布中心。</w:t>
      </w:r>
    </w:p>
    <w:p w14:paraId="3086C32A">
      <w:pPr>
        <w:ind w:firstLine="480"/>
        <w:rPr>
          <w:rFonts w:hint="eastAsia"/>
        </w:rPr>
      </w:pPr>
      <w:r>
        <w:rPr>
          <w:rFonts w:hint="eastAsia"/>
        </w:rPr>
        <w:t>采购预算：本项目采购预算为31</w:t>
      </w:r>
      <w:r>
        <w:rPr>
          <w:rFonts w:hint="eastAsia"/>
          <w:lang w:val="en-US" w:eastAsia="zh-CN"/>
        </w:rPr>
        <w:t>4</w:t>
      </w:r>
      <w:r>
        <w:rPr>
          <w:rFonts w:hint="eastAsia"/>
        </w:rPr>
        <w:t>.</w:t>
      </w:r>
      <w:r>
        <w:rPr>
          <w:rFonts w:hint="eastAsia"/>
          <w:lang w:val="en-US" w:eastAsia="zh-CN"/>
        </w:rPr>
        <w:t>4</w:t>
      </w:r>
      <w:r>
        <w:rPr>
          <w:rFonts w:hint="eastAsia"/>
        </w:rPr>
        <w:t>0万元，供应商报价不得超过此预算金额，发送短信数量以实际发生为准。</w:t>
      </w:r>
      <w:bookmarkStart w:id="0" w:name="_GoBack"/>
      <w:bookmarkEnd w:id="0"/>
    </w:p>
    <w:p w14:paraId="16B7321B">
      <w:pPr>
        <w:ind w:firstLine="480"/>
        <w:rPr>
          <w:rFonts w:hint="eastAsia"/>
        </w:rPr>
      </w:pPr>
      <w:r>
        <w:rPr>
          <w:rFonts w:hint="eastAsia"/>
        </w:rPr>
        <w:t>采购期限：12个自然月</w:t>
      </w:r>
    </w:p>
    <w:p w14:paraId="1B914EBF">
      <w:pPr>
        <w:ind w:firstLine="480"/>
        <w:rPr>
          <w:rFonts w:hint="eastAsia"/>
        </w:rPr>
      </w:pPr>
      <w:r>
        <w:rPr>
          <w:rFonts w:hint="eastAsia"/>
        </w:rPr>
        <w:t>交付地点：采购单位指定地点</w:t>
      </w:r>
    </w:p>
    <w:p w14:paraId="37EC5884">
      <w:pPr>
        <w:pStyle w:val="3"/>
        <w:rPr>
          <w:rFonts w:hint="eastAsia"/>
        </w:rPr>
      </w:pPr>
      <w:r>
        <w:rPr>
          <w:rFonts w:hint="eastAsia"/>
        </w:rPr>
        <w:t>项目背景及目标</w:t>
      </w:r>
    </w:p>
    <w:p w14:paraId="1E404624">
      <w:pPr>
        <w:ind w:firstLine="480"/>
        <w:rPr>
          <w:rFonts w:hint="eastAsia"/>
        </w:rPr>
      </w:pPr>
      <w:r>
        <w:rPr>
          <w:rFonts w:hint="eastAsia"/>
        </w:rPr>
        <w:t>陕西省突发事件预警信息发布中心是地方编制的陕西省气象局的直属机构，是面向社会公众和政府应急责任人提供综合预警信息服务的工作机构，主要承担陕西省突发事件预警信息发布系统建设及运行维护管理，为相关部门发布预警信息提供综合发布渠道，研究拟定相关政策和标准，指导全省开展预警信息发布业务。</w:t>
      </w:r>
    </w:p>
    <w:p w14:paraId="58FE36F5">
      <w:pPr>
        <w:ind w:firstLine="480"/>
        <w:rPr>
          <w:rFonts w:hint="eastAsia"/>
        </w:rPr>
      </w:pPr>
      <w:r>
        <w:rPr>
          <w:rFonts w:hint="eastAsia"/>
        </w:rPr>
        <w:t>依据实时天气情况，全年不间断地进行气象预警信息的精准靶向发布，确保公众和相关部门能够及时获取准确的预警信息，以便采取有效的应对措施。提升气象预警信息传递的精准性和时效性，保障人民生命财产安全。</w:t>
      </w:r>
    </w:p>
    <w:p w14:paraId="74CAB2A6">
      <w:pPr>
        <w:ind w:firstLine="480"/>
        <w:rPr>
          <w:rFonts w:hint="eastAsia"/>
        </w:rPr>
      </w:pPr>
      <w:r>
        <w:rPr>
          <w:rFonts w:hint="eastAsia"/>
        </w:rPr>
        <w:t>气象预警信息靶向发布短信是基于大数据短信，对接气象预警标系统准化API接口。通过供应商短信网关，利用基站电子围栏技术，通过定位、筛选和定向传播等方式实现预警短信精准靶向发布。靶向发布依托大数据标签、位置服务和群发能力搭建大数据短信，在保护客户隐私和信息安全的前提下，利用基站覆盖和大数据技术综合分析出指定区域的常驻和漫游用户，建立实时动态的数据模型，锁定发布时效内在区域附近停留的用户，向其发布精细化气象预报预警短信。</w:t>
      </w:r>
    </w:p>
    <w:p w14:paraId="2449DB0F">
      <w:pPr>
        <w:pStyle w:val="3"/>
        <w:rPr>
          <w:rFonts w:hint="eastAsia"/>
        </w:rPr>
      </w:pPr>
      <w:r>
        <w:rPr>
          <w:rFonts w:hint="eastAsia"/>
        </w:rPr>
        <w:t>采购内容</w:t>
      </w:r>
    </w:p>
    <w:p w14:paraId="22B02EB5">
      <w:pPr>
        <w:ind w:firstLine="480"/>
        <w:rPr>
          <w:rFonts w:hint="eastAsia"/>
        </w:rPr>
      </w:pPr>
      <w:r>
        <w:rPr>
          <w:rFonts w:hint="eastAsia"/>
        </w:rPr>
        <w:t>1.提供短信网关实现气象预警信息靶向发布短信，可实现基站电子围栏技术，通过定位、筛选和定向传播等方式实现预警短信精准靶向发布。利用基站覆盖和大数据技术综合分析出指定区域的常驻和漫游用户，建立实时动态的数据模型，锁定发布时效内在区域附近停留的用户，向其发布精细化气象预报预警短信。</w:t>
      </w:r>
    </w:p>
    <w:p w14:paraId="062EA42D">
      <w:pPr>
        <w:ind w:firstLine="480"/>
        <w:rPr>
          <w:rFonts w:hint="eastAsia"/>
        </w:rPr>
      </w:pPr>
      <w:r>
        <w:rPr>
          <w:rFonts w:hint="eastAsia"/>
        </w:rPr>
        <w:t>2.提供标准化的接口开发，实现和气象预警信息平台对接，根据预警信息平台的预警精确范围智能划分预警短信推送人群。</w:t>
      </w:r>
    </w:p>
    <w:p w14:paraId="477C315B">
      <w:pPr>
        <w:ind w:firstLine="480"/>
      </w:pPr>
      <w:r>
        <w:rPr>
          <w:rFonts w:hint="eastAsia"/>
        </w:rPr>
        <w:t>3.提供数据专线满足和气象预警平台和短信网关的接入功能，具体带宽和详细传输指标以发送速率、响应时间由供应商根据实际需求为准。</w:t>
      </w:r>
    </w:p>
    <w:p w14:paraId="5E75D1A0">
      <w:pPr>
        <w:pStyle w:val="2"/>
        <w:rPr>
          <w:rFonts w:hint="eastAsia"/>
        </w:rPr>
      </w:pPr>
      <w:r>
        <w:rPr>
          <w:rFonts w:hint="eastAsia"/>
        </w:rPr>
        <w:t>采购内容技术要求</w:t>
      </w:r>
    </w:p>
    <w:p w14:paraId="7D584AF1">
      <w:pPr>
        <w:pStyle w:val="3"/>
      </w:pPr>
      <w:r>
        <w:rPr>
          <w:rFonts w:hint="eastAsia"/>
        </w:rPr>
        <w:t>预警信息靶向短信功能要求</w:t>
      </w:r>
    </w:p>
    <w:p w14:paraId="5F993159">
      <w:pPr>
        <w:pStyle w:val="4"/>
      </w:pPr>
      <w:r>
        <w:rPr>
          <w:rFonts w:hint="eastAsia"/>
        </w:rPr>
        <w:t>基站电子围栏技术</w:t>
      </w:r>
    </w:p>
    <w:p w14:paraId="1307015F">
      <w:pPr>
        <w:ind w:firstLine="480"/>
      </w:pPr>
      <w:r>
        <w:rPr>
          <w:rFonts w:hint="eastAsia"/>
        </w:rPr>
        <w:t>气象预警信息靶向发布短信需集成基站电子围栏技术，支持基于指定区域的基站覆盖范围，划定精准的预警短信发布电子围栏区域。电子围栏区域可根据实际需求灵活调整，支持按行政区域（如市、区、县、乡镇、街道）、地理坐标范围等多种方式进行划定，且划定过程操作便捷，支持可视化操作界面。</w:t>
      </w:r>
    </w:p>
    <w:p w14:paraId="0ECC4B6B">
      <w:pPr>
        <w:ind w:firstLine="480"/>
      </w:pPr>
      <w:r>
        <w:rPr>
          <w:rFonts w:hint="eastAsia"/>
        </w:rPr>
        <w:t>具备区域定位与用户筛选能力，能够结合基站覆盖数据，精准定位电子围栏区域内的移动终端用户，同时通过大数据技术综合分析用户的位置信息、通信行为等数据，区分并识别区域内的常驻用户与漫游用户。</w:t>
      </w:r>
      <w:r>
        <w:t>漫游用户定义为非该区域常驻，且在预警信息发布时效内进入电子围栏区域的用户。</w:t>
      </w:r>
    </w:p>
    <w:p w14:paraId="4E75FA4C">
      <w:pPr>
        <w:ind w:firstLine="480"/>
      </w:pPr>
      <w:r>
        <w:rPr>
          <w:rFonts w:hint="eastAsia"/>
        </w:rPr>
        <w:t>建立实时动态用户数据模型，模型需具备实时更新能力，更新频率不低于10</w:t>
      </w:r>
      <w:r>
        <w:t>分钟/次，确保能够准确锁定在预警信息发布时效内在电子围栏区域附近停留的用户，避免遗漏目标用户或向非目标用户推送预警短信。</w:t>
      </w:r>
    </w:p>
    <w:p w14:paraId="1F1018D1">
      <w:pPr>
        <w:pStyle w:val="4"/>
      </w:pPr>
      <w:r>
        <w:rPr>
          <w:rFonts w:hint="eastAsia"/>
        </w:rPr>
        <w:t>预警短信精准靶向发送</w:t>
      </w:r>
    </w:p>
    <w:p w14:paraId="4794D049">
      <w:pPr>
        <w:ind w:firstLine="480"/>
      </w:pPr>
      <w:r>
        <w:rPr>
          <w:rFonts w:hint="eastAsia"/>
        </w:rPr>
        <w:t>支持精细化气象预报预警短信发布，能够根据气象预警信息的级别（如蓝色、黄色、橙色、红色预警）、类型（如暴雨、台风、高温、寒潮等）、影响范围，向锁定的目标用户发布对应的精细化预警短信，短信内容需包含预警类型、预警级别、影响区域、起止时间、防御建议等关键信息。</w:t>
      </w:r>
    </w:p>
    <w:p w14:paraId="33074980">
      <w:pPr>
        <w:ind w:firstLine="480"/>
      </w:pPr>
      <w:r>
        <w:rPr>
          <w:rFonts w:hint="eastAsia"/>
        </w:rPr>
        <w:t>具备短信发送速率控制与保障能力，根据目标用户数量及预警信息的紧急程度，灵活调整短信发送速率，在保证短信发送及时性的同时，避免因发送速率过高导致通信网络拥堵或系统故障。对于红色、橙色等紧急预警信息，短信发送速率需满足在4</w:t>
      </w:r>
      <w:r>
        <w:t>0分钟内完成目标用户总量90%以上的短信发送；对于黄色、蓝色预警信息，短信发送速率需满足在60分钟内完成目标用户总量90%以上的短信发送。</w:t>
      </w:r>
    </w:p>
    <w:p w14:paraId="0DA8B29B">
      <w:pPr>
        <w:ind w:firstLine="480"/>
      </w:pPr>
      <w:r>
        <w:rPr>
          <w:rFonts w:hint="eastAsia"/>
        </w:rPr>
        <w:t>实现短信发送状态监控与反馈，系统需实时监控每一条预警短信的发送状态，对于发送失败的短信，需自动分析失败原因，并在条件允许的情况下进行1-2次重试发送。同时，系统需生成短信发送统计报告，报告内容包括目标用户总数、实际发送总数、发送成功数、发送失败数、发送成功率、各时间段发送量等信息，支持导出和查看。</w:t>
      </w:r>
    </w:p>
    <w:p w14:paraId="6A0B4DF4">
      <w:pPr>
        <w:pStyle w:val="3"/>
      </w:pPr>
      <w:r>
        <w:rPr>
          <w:rFonts w:hint="eastAsia"/>
        </w:rPr>
        <w:t>标准化接口开发需求</w:t>
      </w:r>
    </w:p>
    <w:p w14:paraId="4EBA77B6">
      <w:pPr>
        <w:pStyle w:val="4"/>
      </w:pPr>
      <w:r>
        <w:rPr>
          <w:rFonts w:hint="eastAsia"/>
        </w:rPr>
        <w:t>与气象预警信息平台对接接口</w:t>
      </w:r>
    </w:p>
    <w:p w14:paraId="4250B291">
      <w:pPr>
        <w:ind w:firstLine="480"/>
      </w:pPr>
      <w:r>
        <w:rPr>
          <w:rFonts w:hint="eastAsia"/>
        </w:rPr>
        <w:t>开发标准化的接口，实现与采购人现有气象预警信息平台的无缝对接，接口需遵循国家或行业相关标准规范</w:t>
      </w:r>
      <w:r>
        <w:t>，确保接口的兼容性、稳定性和安全性。</w:t>
      </w:r>
    </w:p>
    <w:p w14:paraId="2FA725EE">
      <w:pPr>
        <w:ind w:firstLine="480"/>
      </w:pPr>
      <w:r>
        <w:rPr>
          <w:rFonts w:hint="eastAsia"/>
        </w:rPr>
        <w:t>接口需支持气象预警信息的实时接收功能，能够准确接收气象预警信息平台推送的预警信息数据，且数据传输格式支持</w:t>
      </w:r>
      <w:r>
        <w:t>常用格式。</w:t>
      </w:r>
    </w:p>
    <w:p w14:paraId="3A66DBC0">
      <w:pPr>
        <w:ind w:firstLine="480"/>
      </w:pPr>
      <w:r>
        <w:rPr>
          <w:rFonts w:hint="eastAsia"/>
        </w:rPr>
        <w:t>具备根据预警信息智能划分推送人群的能力，接口需能够将接收的气象预警信息中的预警精确范围与系统中的基站电子围栏区域进行自动匹配和关联，结合实时动态用户数据模型，实现预警信息接收与推送人群划分的自动化流程。</w:t>
      </w:r>
    </w:p>
    <w:p w14:paraId="556CF29D">
      <w:pPr>
        <w:pStyle w:val="4"/>
      </w:pPr>
      <w:r>
        <w:rPr>
          <w:rFonts w:hint="eastAsia"/>
        </w:rPr>
        <w:t>接口技术保障与维护</w:t>
      </w:r>
    </w:p>
    <w:p w14:paraId="4FA458F6">
      <w:pPr>
        <w:ind w:firstLine="480"/>
      </w:pPr>
      <w:r>
        <w:rPr>
          <w:rFonts w:hint="eastAsia"/>
        </w:rPr>
        <w:t>接口需具备身份认证与权限控制功能，采用加密认证方式</w:t>
      </w:r>
      <w:r>
        <w:t>对接口访问进行身份验证，只有通过认证且具备相应权限的气象预警信息平台才能访问接口，防止未授权访问、数据泄露或恶意攻击。</w:t>
      </w:r>
    </w:p>
    <w:p w14:paraId="61F07A31">
      <w:pPr>
        <w:ind w:firstLine="480"/>
      </w:pPr>
      <w:r>
        <w:rPr>
          <w:rFonts w:hint="eastAsia"/>
        </w:rPr>
        <w:t>接口开发完成后，供应商需配合采购人及气象预警信息平台开发团队进行接口联调测试，确保接口能够正常、稳定运行，解决联调过程中出现的技术问题。同时，在项目验收后</w:t>
      </w:r>
      <w:r>
        <w:t>，对于接口运行过程中出现的故障或问题，需在2小时内响应，8小时内提供解决方案，24小时内完成修复。</w:t>
      </w:r>
    </w:p>
    <w:p w14:paraId="618C982B">
      <w:pPr>
        <w:pStyle w:val="3"/>
      </w:pPr>
      <w:r>
        <w:rPr>
          <w:rFonts w:hint="eastAsia"/>
        </w:rPr>
        <w:t>数据专线接入需求</w:t>
      </w:r>
    </w:p>
    <w:p w14:paraId="69B698D0">
      <w:pPr>
        <w:pStyle w:val="4"/>
      </w:pPr>
      <w:r>
        <w:rPr>
          <w:rFonts w:hint="eastAsia"/>
        </w:rPr>
        <w:t>数据专线功能与性能</w:t>
      </w:r>
    </w:p>
    <w:p w14:paraId="1D1152AF">
      <w:pPr>
        <w:ind w:firstLine="480"/>
      </w:pPr>
      <w:r>
        <w:rPr>
          <w:rFonts w:hint="eastAsia"/>
        </w:rPr>
        <w:t>提供数据专线，满足与气象预警信息平台和短信网关系统的接入需求，实现气象预警信息平台与短信网关系统之间的数据安全、稳定传输。数据专线需采用专用线路，避免与公共网络混用，确保数据传输的安全性和独立性。</w:t>
      </w:r>
    </w:p>
    <w:p w14:paraId="3C9DC55D">
      <w:pPr>
        <w:ind w:firstLine="480"/>
      </w:pPr>
      <w:r>
        <w:rPr>
          <w:rFonts w:hint="eastAsia"/>
        </w:rPr>
        <w:t>数据专线的带宽需根据实际业务需求进行配置，供应商需在项目实施前，对气象预警信息平台与短信网关系统之间的数据传输量进行评估，结合未来</w:t>
      </w:r>
      <w:r>
        <w:t>3-5年的业务增长预期，提出合理的带宽配置建议，确保带宽能够满足日常数据传输需求及峰值时段的数据传输需求，避免因带宽不足导致数据传输延迟或中断。</w:t>
      </w:r>
    </w:p>
    <w:p w14:paraId="0BA946B2">
      <w:pPr>
        <w:ind w:firstLine="480"/>
      </w:pPr>
      <w:r>
        <w:rPr>
          <w:rFonts w:hint="eastAsia"/>
        </w:rPr>
        <w:t>数据专线的传输指标需满足以下要求：</w:t>
      </w:r>
    </w:p>
    <w:p w14:paraId="7809E032">
      <w:pPr>
        <w:ind w:firstLine="480"/>
      </w:pPr>
      <w:r>
        <w:rPr>
          <w:rFonts w:hint="eastAsia"/>
        </w:rPr>
        <w:t>发送速率：在传输预警信息数据、用户数据等关键数据时，数据专线的实际发送速率需不低于配置带宽的</w:t>
      </w:r>
      <w:r>
        <w:t>90%，确保数据能够快速传输。</w:t>
      </w:r>
    </w:p>
    <w:p w14:paraId="23DDAADE">
      <w:pPr>
        <w:ind w:firstLine="480"/>
        <w:rPr>
          <w:rFonts w:hint="eastAsia"/>
        </w:rPr>
      </w:pPr>
      <w:r>
        <w:rPr>
          <w:rFonts w:hint="eastAsia"/>
        </w:rPr>
        <w:t>响应时间：气象预警信息平台向短信网关系统发送数据请求后，短信网关系统的响应时间需不超过</w:t>
      </w:r>
      <w:r>
        <w:t>1秒；短信网关系统向气象预警信息平台反馈数据时，响应时间需不超过1秒，确保数据交互的实时性。</w:t>
      </w:r>
    </w:p>
    <w:p w14:paraId="09F0C30B">
      <w:pPr>
        <w:ind w:firstLine="480"/>
      </w:pPr>
      <w:r>
        <w:rPr>
          <w:rFonts w:hint="eastAsia"/>
        </w:rPr>
        <w:t>网络可用性：数据专线的年度网络可用性需不低于</w:t>
      </w:r>
      <w:r>
        <w:t>99.9%，确保数据传输的连续性和稳定性。</w:t>
      </w:r>
    </w:p>
    <w:p w14:paraId="74773FE7">
      <w:pPr>
        <w:pStyle w:val="4"/>
      </w:pPr>
      <w:r>
        <w:rPr>
          <w:rFonts w:hint="eastAsia"/>
        </w:rPr>
        <w:t>数据专线部署与维护</w:t>
      </w:r>
    </w:p>
    <w:p w14:paraId="1DDB88FD">
      <w:pPr>
        <w:ind w:firstLine="480"/>
      </w:pPr>
      <w:r>
        <w:rPr>
          <w:rFonts w:hint="eastAsia"/>
        </w:rPr>
        <w:t>供应商需负责数据专线的申请、部署、调试等工作，协调相关单位完成线路铺设、设备安装及配置，确保数据专线能够按时接入并正常使用。</w:t>
      </w:r>
    </w:p>
    <w:p w14:paraId="0A23265C">
      <w:pPr>
        <w:ind w:firstLine="480"/>
      </w:pPr>
      <w:r>
        <w:rPr>
          <w:rFonts w:hint="eastAsia"/>
        </w:rPr>
        <w:t>供应商需提供数据专线的日常维护服务，建立完善的维护机制，定期</w:t>
      </w:r>
      <w:r>
        <w:t>对数据专线的运行状态进行巡检，包括带宽使用情况、传输速率、响应时间、误码率等指标的监测，及时发现并处理潜在问题。若数据专线出现故障，供应商需在30分钟内响应，协调运营商进行故障排查和修复，确保在最短时间内恢复数据传输，同时及时向采购人反馈故障处理进展情况。</w:t>
      </w:r>
    </w:p>
    <w:p w14:paraId="01833FBD">
      <w:pPr>
        <w:ind w:firstLine="480"/>
      </w:pPr>
      <w:r>
        <w:rPr>
          <w:rFonts w:hint="eastAsia"/>
        </w:rPr>
        <w:t>在数据专线的服务期限内</w:t>
      </w:r>
      <w:r>
        <w:t>，供应商需根据业务需求变化及技术发展情况，配合采购人对数据专线的带宽、传输指标等进行调整和优化，相关调整费用需包含在项目总报价中。</w:t>
      </w:r>
    </w:p>
    <w:p w14:paraId="2330DE80">
      <w:pPr>
        <w:pStyle w:val="2"/>
      </w:pPr>
      <w:r>
        <w:rPr>
          <w:rFonts w:hint="eastAsia"/>
        </w:rPr>
        <w:t>技术支持与服务需求</w:t>
      </w:r>
    </w:p>
    <w:p w14:paraId="24D487C1">
      <w:pPr>
        <w:pStyle w:val="3"/>
      </w:pPr>
      <w:r>
        <w:rPr>
          <w:rFonts w:hint="eastAsia"/>
        </w:rPr>
        <w:t>系统安装与调试</w:t>
      </w:r>
    </w:p>
    <w:p w14:paraId="0868BF63">
      <w:pPr>
        <w:ind w:firstLine="480"/>
      </w:pPr>
      <w:r>
        <w:rPr>
          <w:rFonts w:hint="eastAsia"/>
        </w:rPr>
        <w:t>供应商需负责短信网关系统的安装、部署与调试工作，包括硬件设备的安装、操作系统及相关软件的安装配置、系统功能模块的部署与调试等，确保系统能够正常运行，各项功能满足本采购需求的要求。</w:t>
      </w:r>
    </w:p>
    <w:p w14:paraId="3582E0A4">
      <w:pPr>
        <w:ind w:firstLine="480"/>
      </w:pPr>
      <w:r>
        <w:rPr>
          <w:rFonts w:hint="eastAsia"/>
        </w:rPr>
        <w:t>在系统安装调试前，供应商需制定详细的安装调试方案，方案内容包括项目团队组成、实施步骤、时间节点、风险预案等，报采购人审核通过后实施。安装调试过程中，供应商需接受采购人的监督和检查，及时向采购人反馈实施进展情况，对于采购人提出的合理建议，需及时调整方案并落实。</w:t>
      </w:r>
    </w:p>
    <w:p w14:paraId="4B23B9A3">
      <w:pPr>
        <w:pStyle w:val="3"/>
      </w:pPr>
      <w:r>
        <w:rPr>
          <w:rFonts w:hint="eastAsia"/>
        </w:rPr>
        <w:t>售后服务与技术支持</w:t>
      </w:r>
    </w:p>
    <w:p w14:paraId="34958FFC">
      <w:pPr>
        <w:ind w:firstLine="480"/>
      </w:pPr>
      <w:r>
        <w:rPr>
          <w:rFonts w:hint="eastAsia"/>
        </w:rPr>
        <w:t>供应商需提供服务期内</w:t>
      </w:r>
      <w:r>
        <w:t>的免费售后服务与技术支持。售后服务内容包括系统故障维修、功能优化升级、技术咨询等。</w:t>
      </w:r>
    </w:p>
    <w:p w14:paraId="68C1945B">
      <w:pPr>
        <w:ind w:firstLine="480"/>
      </w:pPr>
      <w:r>
        <w:rPr>
          <w:rFonts w:hint="eastAsia"/>
        </w:rPr>
        <w:t>建立完善的售后服务响应机制，提供</w:t>
      </w:r>
      <w:r>
        <w:t>7×24小时的技术支持热线，确保采购人在遇到问题时能够及时联系到技术支持人员。对于一般技术咨询，需在1小时内给予答复；对于系统故障问题，需在2小时内响应，远程排查并尝试解决，若远程无法解决，需在24小时内派遣技术人员到达现场进行维修，故障修复时间原则上不超过48小时。</w:t>
      </w:r>
    </w:p>
    <w:p w14:paraId="2381AACB">
      <w:pPr>
        <w:ind w:firstLine="480"/>
        <w:rPr>
          <w:rFonts w:hint="eastAsia"/>
        </w:rPr>
      </w:pPr>
      <w:r>
        <w:rPr>
          <w:rFonts w:hint="eastAsia"/>
        </w:rPr>
        <w:t>定期进行售后服务回访，</w:t>
      </w:r>
      <w:r>
        <w:t>了解系统运行情况、采购人使用需求及意见建议，及时发现并解决潜在问题，持续提升服务质量。同时，根据气象预警业务发展需求及技术更新情况，为采购人提供系统功能优化升级建议，对于因业务需求变化产生的小型功能优化，需免费提供升级服务；对于大型功能升级，需与采购人协商确定升级方案及费用。</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E163">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ADD5">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06E4">
    <w:pPr>
      <w:pStyle w:val="1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863E8">
    <w:pPr>
      <w:pStyle w:val="12"/>
      <w:ind w:firstLine="0" w:firstLineChars="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4B04">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8818">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E0145"/>
    <w:multiLevelType w:val="multilevel"/>
    <w:tmpl w:val="0C1E0145"/>
    <w:lvl w:ilvl="0" w:tentative="0">
      <w:start w:val="1"/>
      <w:numFmt w:val="chineseCountingThousand"/>
      <w:pStyle w:val="2"/>
      <w:suff w:val="nothing"/>
      <w:lvlText w:val="%1、"/>
      <w:lvlJc w:val="left"/>
      <w:pPr>
        <w:ind w:left="284" w:firstLine="0"/>
      </w:pPr>
      <w:rPr>
        <w:rFonts w:hint="eastAsia"/>
      </w:rPr>
    </w:lvl>
    <w:lvl w:ilvl="1" w:tentative="0">
      <w:start w:val="1"/>
      <w:numFmt w:val="decimal"/>
      <w:pStyle w:val="3"/>
      <w:isLgl/>
      <w:suff w:val="space"/>
      <w:lvlText w:val="%1.%2"/>
      <w:lvlJc w:val="left"/>
      <w:pPr>
        <w:ind w:left="0" w:firstLine="0"/>
      </w:pPr>
      <w:rPr>
        <w:rFonts w:hint="eastAsia" w:ascii="仿宋" w:hAnsi="仿宋" w:eastAsia="仿宋"/>
      </w:rPr>
    </w:lvl>
    <w:lvl w:ilvl="2" w:tentative="0">
      <w:start w:val="1"/>
      <w:numFmt w:val="decimal"/>
      <w:pStyle w:val="4"/>
      <w:isLgl/>
      <w:suff w:val="space"/>
      <w:lvlText w:val="%1.%2.%3"/>
      <w:lvlJc w:val="left"/>
      <w:pPr>
        <w:ind w:left="-284" w:firstLine="0"/>
      </w:pPr>
      <w:rPr>
        <w:rFonts w:hint="eastAsia"/>
      </w:rPr>
    </w:lvl>
    <w:lvl w:ilvl="3" w:tentative="0">
      <w:start w:val="1"/>
      <w:numFmt w:val="decimal"/>
      <w:pStyle w:val="5"/>
      <w:isLgl/>
      <w:suff w:val="space"/>
      <w:lvlText w:val="%1.%2.%3.%4"/>
      <w:lvlJc w:val="left"/>
      <w:pPr>
        <w:ind w:left="-568" w:firstLine="0"/>
      </w:pPr>
      <w:rPr>
        <w:rFonts w:hint="eastAsia" w:ascii="仿宋" w:hAnsi="仿宋" w:eastAsia="仿宋"/>
      </w:rPr>
    </w:lvl>
    <w:lvl w:ilvl="4" w:tentative="0">
      <w:start w:val="1"/>
      <w:numFmt w:val="decimal"/>
      <w:pStyle w:val="6"/>
      <w:isLgl/>
      <w:suff w:val="space"/>
      <w:lvlText w:val="%1.%2.%3.%4.%5"/>
      <w:lvlJc w:val="left"/>
      <w:pPr>
        <w:ind w:left="-852" w:firstLine="0"/>
      </w:pPr>
      <w:rPr>
        <w:rFonts w:hint="eastAsia"/>
      </w:rPr>
    </w:lvl>
    <w:lvl w:ilvl="5" w:tentative="0">
      <w:start w:val="1"/>
      <w:numFmt w:val="decimal"/>
      <w:pStyle w:val="7"/>
      <w:isLgl/>
      <w:suff w:val="space"/>
      <w:lvlText w:val="%1.%2.%3.%4.%5.%6"/>
      <w:lvlJc w:val="left"/>
      <w:pPr>
        <w:ind w:left="-1136" w:firstLine="0"/>
      </w:pPr>
      <w:rPr>
        <w:rFonts w:hint="eastAsia"/>
      </w:rPr>
    </w:lvl>
    <w:lvl w:ilvl="6" w:tentative="0">
      <w:start w:val="1"/>
      <w:numFmt w:val="decimal"/>
      <w:lvlText w:val="%1.%2.%3.%4.%5.%6.%7"/>
      <w:lvlJc w:val="left"/>
      <w:pPr>
        <w:ind w:left="-1420" w:firstLine="0"/>
      </w:pPr>
      <w:rPr>
        <w:rFonts w:hint="eastAsia"/>
      </w:rPr>
    </w:lvl>
    <w:lvl w:ilvl="7" w:tentative="0">
      <w:start w:val="1"/>
      <w:numFmt w:val="decimal"/>
      <w:lvlText w:val="%1.%2.%3.%4.%5.%6.%7.%8"/>
      <w:lvlJc w:val="left"/>
      <w:pPr>
        <w:ind w:left="-1704" w:firstLine="0"/>
      </w:pPr>
      <w:rPr>
        <w:rFonts w:hint="eastAsia"/>
      </w:rPr>
    </w:lvl>
    <w:lvl w:ilvl="8" w:tentative="0">
      <w:start w:val="1"/>
      <w:numFmt w:val="decimal"/>
      <w:lvlText w:val="%1.%2.%3.%4.%5.%6.%7.%8.%9"/>
      <w:lvlJc w:val="left"/>
      <w:pPr>
        <w:ind w:left="-198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0A"/>
    <w:rsid w:val="00006B3D"/>
    <w:rsid w:val="00013786"/>
    <w:rsid w:val="00041AF0"/>
    <w:rsid w:val="00061F5B"/>
    <w:rsid w:val="00134A66"/>
    <w:rsid w:val="002744A5"/>
    <w:rsid w:val="00274B02"/>
    <w:rsid w:val="002801FC"/>
    <w:rsid w:val="00280C87"/>
    <w:rsid w:val="002C4E65"/>
    <w:rsid w:val="00317D93"/>
    <w:rsid w:val="004224EC"/>
    <w:rsid w:val="004316F2"/>
    <w:rsid w:val="004E710D"/>
    <w:rsid w:val="00547439"/>
    <w:rsid w:val="005C2EE1"/>
    <w:rsid w:val="00624610"/>
    <w:rsid w:val="00757244"/>
    <w:rsid w:val="00774493"/>
    <w:rsid w:val="007B37BA"/>
    <w:rsid w:val="007F2483"/>
    <w:rsid w:val="0081570A"/>
    <w:rsid w:val="008E09C6"/>
    <w:rsid w:val="0091790F"/>
    <w:rsid w:val="009236A5"/>
    <w:rsid w:val="00961A2C"/>
    <w:rsid w:val="00980365"/>
    <w:rsid w:val="00A068E1"/>
    <w:rsid w:val="00A15615"/>
    <w:rsid w:val="00A25BD6"/>
    <w:rsid w:val="00A6189D"/>
    <w:rsid w:val="00AB60BE"/>
    <w:rsid w:val="00B3046E"/>
    <w:rsid w:val="00B55EF6"/>
    <w:rsid w:val="00B6167F"/>
    <w:rsid w:val="00BA0CDA"/>
    <w:rsid w:val="00BB4890"/>
    <w:rsid w:val="00BC1172"/>
    <w:rsid w:val="00C1345F"/>
    <w:rsid w:val="00C55B0C"/>
    <w:rsid w:val="00C96728"/>
    <w:rsid w:val="00D349FC"/>
    <w:rsid w:val="00D4073B"/>
    <w:rsid w:val="00D626EC"/>
    <w:rsid w:val="00E04E5E"/>
    <w:rsid w:val="00ED7103"/>
    <w:rsid w:val="00F16F1F"/>
    <w:rsid w:val="00F22903"/>
    <w:rsid w:val="00F3278A"/>
    <w:rsid w:val="00F43828"/>
    <w:rsid w:val="10923BF8"/>
    <w:rsid w:val="22362446"/>
    <w:rsid w:val="3931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宋体" w:eastAsia="宋体" w:hAnsiTheme="minorHAnsi" w:cstheme="minorBidi"/>
      <w:kern w:val="2"/>
      <w:sz w:val="24"/>
      <w:lang w:val="en-US" w:eastAsia="zh-CN" w:bidi="ar-SA"/>
    </w:rPr>
  </w:style>
  <w:style w:type="paragraph" w:styleId="2">
    <w:name w:val="heading 1"/>
    <w:basedOn w:val="1"/>
    <w:next w:val="1"/>
    <w:link w:val="18"/>
    <w:qFormat/>
    <w:uiPriority w:val="9"/>
    <w:pPr>
      <w:keepNext/>
      <w:keepLines/>
      <w:numPr>
        <w:ilvl w:val="0"/>
        <w:numId w:val="1"/>
      </w:numPr>
      <w:spacing w:before="120" w:after="240" w:line="240" w:lineRule="auto"/>
      <w:ind w:firstLineChars="0"/>
      <w:jc w:val="left"/>
      <w:outlineLvl w:val="0"/>
    </w:pPr>
    <w:rPr>
      <w:rFonts w:hAnsiTheme="majorHAnsi" w:cstheme="majorBidi"/>
      <w:b/>
      <w:sz w:val="32"/>
      <w:szCs w:val="48"/>
    </w:rPr>
  </w:style>
  <w:style w:type="paragraph" w:styleId="3">
    <w:name w:val="heading 2"/>
    <w:basedOn w:val="1"/>
    <w:next w:val="1"/>
    <w:link w:val="19"/>
    <w:unhideWhenUsed/>
    <w:qFormat/>
    <w:uiPriority w:val="9"/>
    <w:pPr>
      <w:keepNext/>
      <w:keepLines/>
      <w:numPr>
        <w:ilvl w:val="1"/>
        <w:numId w:val="1"/>
      </w:numPr>
      <w:spacing w:before="240" w:after="240" w:line="240" w:lineRule="auto"/>
      <w:ind w:firstLineChars="0"/>
      <w:jc w:val="left"/>
      <w:outlineLvl w:val="1"/>
    </w:pPr>
    <w:rPr>
      <w:rFonts w:hAnsiTheme="majorHAnsi" w:cstheme="majorBidi"/>
      <w:b/>
      <w:sz w:val="30"/>
      <w:szCs w:val="40"/>
    </w:rPr>
  </w:style>
  <w:style w:type="paragraph" w:styleId="4">
    <w:name w:val="heading 3"/>
    <w:basedOn w:val="1"/>
    <w:next w:val="1"/>
    <w:link w:val="20"/>
    <w:unhideWhenUsed/>
    <w:qFormat/>
    <w:uiPriority w:val="9"/>
    <w:pPr>
      <w:keepNext/>
      <w:keepLines/>
      <w:numPr>
        <w:ilvl w:val="2"/>
        <w:numId w:val="1"/>
      </w:numPr>
      <w:spacing w:before="240" w:after="360" w:line="240" w:lineRule="auto"/>
      <w:ind w:firstLineChars="0"/>
      <w:jc w:val="left"/>
      <w:outlineLvl w:val="2"/>
    </w:pPr>
    <w:rPr>
      <w:rFonts w:hAnsiTheme="majorHAnsi" w:cstheme="majorBidi"/>
      <w:b/>
      <w:color w:val="000000" w:themeColor="text1"/>
      <w:sz w:val="30"/>
      <w:szCs w:val="32"/>
      <w14:textFill>
        <w14:solidFill>
          <w14:schemeClr w14:val="tx1"/>
        </w14:solidFill>
      </w14:textFill>
    </w:rPr>
  </w:style>
  <w:style w:type="paragraph" w:styleId="5">
    <w:name w:val="heading 4"/>
    <w:basedOn w:val="1"/>
    <w:next w:val="1"/>
    <w:link w:val="21"/>
    <w:unhideWhenUsed/>
    <w:qFormat/>
    <w:uiPriority w:val="9"/>
    <w:pPr>
      <w:keepNext/>
      <w:keepLines/>
      <w:numPr>
        <w:ilvl w:val="3"/>
        <w:numId w:val="1"/>
      </w:numPr>
      <w:spacing w:before="120" w:after="120" w:line="240" w:lineRule="auto"/>
      <w:ind w:firstLineChars="0"/>
      <w:jc w:val="left"/>
      <w:outlineLvl w:val="3"/>
    </w:pPr>
    <w:rPr>
      <w:rFonts w:cstheme="majorBidi"/>
      <w:b/>
      <w:sz w:val="28"/>
      <w:szCs w:val="28"/>
    </w:rPr>
  </w:style>
  <w:style w:type="paragraph" w:styleId="6">
    <w:name w:val="heading 5"/>
    <w:basedOn w:val="1"/>
    <w:next w:val="1"/>
    <w:link w:val="22"/>
    <w:unhideWhenUsed/>
    <w:qFormat/>
    <w:uiPriority w:val="9"/>
    <w:pPr>
      <w:keepNext/>
      <w:keepLines/>
      <w:numPr>
        <w:ilvl w:val="4"/>
        <w:numId w:val="1"/>
      </w:numPr>
      <w:spacing w:before="120" w:after="120" w:line="240" w:lineRule="auto"/>
      <w:ind w:firstLineChars="0"/>
      <w:jc w:val="left"/>
      <w:outlineLvl w:val="4"/>
    </w:pPr>
    <w:rPr>
      <w:rFonts w:cstheme="majorBidi"/>
      <w:b/>
      <w:sz w:val="28"/>
      <w:szCs w:val="24"/>
    </w:rPr>
  </w:style>
  <w:style w:type="paragraph" w:styleId="7">
    <w:name w:val="heading 6"/>
    <w:basedOn w:val="1"/>
    <w:next w:val="1"/>
    <w:link w:val="23"/>
    <w:unhideWhenUsed/>
    <w:qFormat/>
    <w:uiPriority w:val="9"/>
    <w:pPr>
      <w:keepNext/>
      <w:keepLines/>
      <w:numPr>
        <w:ilvl w:val="5"/>
        <w:numId w:val="1"/>
      </w:numPr>
      <w:spacing w:before="120" w:after="100" w:afterLines="100" w:line="240" w:lineRule="auto"/>
      <w:ind w:firstLineChars="0"/>
      <w:jc w:val="left"/>
      <w:outlineLvl w:val="5"/>
    </w:pPr>
    <w:rPr>
      <w:rFonts w:cstheme="majorBidi"/>
      <w:b/>
      <w:bCs/>
    </w:rPr>
  </w:style>
  <w:style w:type="paragraph" w:styleId="8">
    <w:name w:val="heading 7"/>
    <w:basedOn w:val="1"/>
    <w:next w:val="1"/>
    <w:link w:val="24"/>
    <w:unhideWhenUsed/>
    <w:qFormat/>
    <w:uiPriority w:val="9"/>
    <w:pPr>
      <w:keepNext/>
      <w:keepLines/>
      <w:spacing w:before="40"/>
      <w:outlineLvl w:val="6"/>
    </w:pPr>
    <w:rPr>
      <w:rFonts w:eastAsia="仿宋"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unhideWhenUsed/>
    <w:qFormat/>
    <w:uiPriority w:val="9"/>
    <w:pPr>
      <w:keepNext/>
      <w:keepLines/>
      <w:outlineLvl w:val="7"/>
    </w:pPr>
    <w:rPr>
      <w:rFonts w:eastAsia="仿宋"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pacing w:line="240" w:lineRule="auto"/>
      <w:jc w:val="left"/>
    </w:pPr>
    <w:rPr>
      <w:sz w:val="18"/>
      <w:szCs w:val="18"/>
    </w:rPr>
  </w:style>
  <w:style w:type="paragraph" w:styleId="12">
    <w:name w:val="header"/>
    <w:basedOn w:val="1"/>
    <w:link w:val="35"/>
    <w:unhideWhenUsed/>
    <w:qFormat/>
    <w:uiPriority w:val="99"/>
    <w:pPr>
      <w:tabs>
        <w:tab w:val="center" w:pos="4153"/>
        <w:tab w:val="right" w:pos="8306"/>
      </w:tabs>
      <w:spacing w:line="240" w:lineRule="auto"/>
      <w:jc w:val="center"/>
    </w:pPr>
    <w:rPr>
      <w:sz w:val="18"/>
      <w:szCs w:val="18"/>
    </w:rPr>
  </w:style>
  <w:style w:type="paragraph" w:styleId="13">
    <w:name w:val="Subtitle"/>
    <w:basedOn w:val="1"/>
    <w:next w:val="1"/>
    <w:link w:val="27"/>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17"/>
    <w:qFormat/>
    <w:uiPriority w:val="10"/>
    <w:pPr>
      <w:spacing w:before="100" w:beforeLines="100" w:after="360" w:line="240" w:lineRule="auto"/>
      <w:ind w:firstLine="0" w:firstLineChars="0"/>
      <w:jc w:val="center"/>
    </w:pPr>
    <w:rPr>
      <w:rFonts w:hAnsiTheme="majorHAnsi" w:cstheme="majorBidi"/>
      <w:b/>
      <w:spacing w:val="-10"/>
      <w:kern w:val="28"/>
      <w:sz w:val="36"/>
      <w:szCs w:val="56"/>
    </w:rPr>
  </w:style>
  <w:style w:type="character" w:customStyle="1" w:styleId="17">
    <w:name w:val="标题 字符"/>
    <w:basedOn w:val="16"/>
    <w:link w:val="14"/>
    <w:qFormat/>
    <w:uiPriority w:val="10"/>
    <w:rPr>
      <w:rFonts w:ascii="宋体" w:eastAsia="宋体" w:hAnsiTheme="majorHAnsi" w:cstheme="majorBidi"/>
      <w:b/>
      <w:spacing w:val="-10"/>
      <w:kern w:val="28"/>
      <w:sz w:val="36"/>
      <w:szCs w:val="56"/>
    </w:rPr>
  </w:style>
  <w:style w:type="character" w:customStyle="1" w:styleId="18">
    <w:name w:val="标题 1 字符"/>
    <w:basedOn w:val="16"/>
    <w:link w:val="2"/>
    <w:qFormat/>
    <w:uiPriority w:val="9"/>
    <w:rPr>
      <w:rFonts w:ascii="宋体" w:eastAsia="宋体" w:hAnsiTheme="majorHAnsi" w:cstheme="majorBidi"/>
      <w:b/>
      <w:sz w:val="32"/>
      <w:szCs w:val="48"/>
    </w:rPr>
  </w:style>
  <w:style w:type="character" w:customStyle="1" w:styleId="19">
    <w:name w:val="标题 2 字符"/>
    <w:basedOn w:val="16"/>
    <w:link w:val="3"/>
    <w:qFormat/>
    <w:uiPriority w:val="9"/>
    <w:rPr>
      <w:rFonts w:ascii="宋体" w:eastAsia="宋体" w:hAnsiTheme="majorHAnsi" w:cstheme="majorBidi"/>
      <w:b/>
      <w:sz w:val="30"/>
      <w:szCs w:val="40"/>
    </w:rPr>
  </w:style>
  <w:style w:type="character" w:customStyle="1" w:styleId="20">
    <w:name w:val="标题 3 字符"/>
    <w:basedOn w:val="16"/>
    <w:link w:val="4"/>
    <w:qFormat/>
    <w:uiPriority w:val="9"/>
    <w:rPr>
      <w:rFonts w:ascii="宋体" w:eastAsia="宋体" w:hAnsiTheme="majorHAnsi" w:cstheme="majorBidi"/>
      <w:b/>
      <w:color w:val="000000" w:themeColor="text1"/>
      <w:sz w:val="30"/>
      <w:szCs w:val="32"/>
      <w14:textFill>
        <w14:solidFill>
          <w14:schemeClr w14:val="tx1"/>
        </w14:solidFill>
      </w14:textFill>
    </w:rPr>
  </w:style>
  <w:style w:type="character" w:customStyle="1" w:styleId="21">
    <w:name w:val="标题 4 字符"/>
    <w:basedOn w:val="16"/>
    <w:link w:val="5"/>
    <w:qFormat/>
    <w:uiPriority w:val="9"/>
    <w:rPr>
      <w:rFonts w:ascii="宋体" w:eastAsia="宋体" w:cstheme="majorBidi"/>
      <w:b/>
      <w:sz w:val="28"/>
      <w:szCs w:val="28"/>
    </w:rPr>
  </w:style>
  <w:style w:type="character" w:customStyle="1" w:styleId="22">
    <w:name w:val="标题 5 字符"/>
    <w:basedOn w:val="16"/>
    <w:link w:val="6"/>
    <w:qFormat/>
    <w:uiPriority w:val="9"/>
    <w:rPr>
      <w:rFonts w:ascii="宋体" w:eastAsia="宋体" w:cstheme="majorBidi"/>
      <w:b/>
      <w:sz w:val="28"/>
      <w:szCs w:val="24"/>
    </w:rPr>
  </w:style>
  <w:style w:type="character" w:customStyle="1" w:styleId="23">
    <w:name w:val="标题 6 字符"/>
    <w:basedOn w:val="16"/>
    <w:link w:val="7"/>
    <w:qFormat/>
    <w:uiPriority w:val="9"/>
    <w:rPr>
      <w:rFonts w:ascii="宋体" w:eastAsia="宋体" w:cstheme="majorBidi"/>
      <w:b/>
      <w:bCs/>
      <w:sz w:val="24"/>
    </w:rPr>
  </w:style>
  <w:style w:type="character" w:customStyle="1" w:styleId="24">
    <w:name w:val="标题 7 字符"/>
    <w:basedOn w:val="16"/>
    <w:link w:val="8"/>
    <w:qFormat/>
    <w:uiPriority w:val="9"/>
    <w:rPr>
      <w:rFonts w:eastAsia="仿宋" w:cstheme="majorBidi"/>
      <w:b/>
      <w:bCs/>
      <w:color w:val="595959" w:themeColor="text1" w:themeTint="A6"/>
      <w:sz w:val="24"/>
      <w14:textFill>
        <w14:solidFill>
          <w14:schemeClr w14:val="tx1">
            <w14:lumMod w14:val="65000"/>
            <w14:lumOff w14:val="35000"/>
          </w14:schemeClr>
        </w14:solidFill>
      </w14:textFill>
    </w:rPr>
  </w:style>
  <w:style w:type="character" w:customStyle="1" w:styleId="25">
    <w:name w:val="标题 8 字符"/>
    <w:basedOn w:val="16"/>
    <w:link w:val="9"/>
    <w:qFormat/>
    <w:uiPriority w:val="9"/>
    <w:rPr>
      <w:rFonts w:eastAsia="仿宋" w:cstheme="majorBidi"/>
      <w:color w:val="595959" w:themeColor="text1" w:themeTint="A6"/>
      <w:sz w:val="24"/>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sz w:val="24"/>
      <w14:textFill>
        <w14:solidFill>
          <w14:schemeClr w14:val="tx1">
            <w14:lumMod w14:val="65000"/>
            <w14:lumOff w14:val="35000"/>
          </w14:schemeClr>
        </w14:solidFill>
      </w14:textFill>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rFonts w:ascii="宋体" w:eastAsia="宋体"/>
      <w:sz w:val="18"/>
      <w:szCs w:val="18"/>
    </w:rPr>
  </w:style>
  <w:style w:type="character" w:customStyle="1" w:styleId="36">
    <w:name w:val="页脚 字符"/>
    <w:basedOn w:val="16"/>
    <w:link w:val="11"/>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3495</Words>
  <Characters>3528</Characters>
  <Lines>25</Lines>
  <Paragraphs>7</Paragraphs>
  <TotalTime>37</TotalTime>
  <ScaleCrop>false</ScaleCrop>
  <LinksUpToDate>false</LinksUpToDate>
  <CharactersWithSpaces>3528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2025-09-26T03:03:00Z</dcterms:created>
  <dc:creator>yongchao goy</dc:creator>
  <cp:lastModifiedBy>TB</cp:lastModifiedBy>
  <dcterms:modified xsi:type="dcterms:W3CDTF">2025-09-30T03:34:27Z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eyJoZGlkIjoiNjM4YzIyODM0N2FhNDQwMDkyYjFkYWJmYTVlZTI2YWYiLCJ1c2VySWQiOiI1ODg5NDE1NTkifQ==</vt:lpwstr>
  </property>
  <property fmtid="{D5CDD505-2E9C-101B-9397-08002B2CF9AE}" pid="3" name="KSOProductBuildVer">
    <vt:lpwstr>2052-12.1.0.22529</vt:lpwstr>
  </property>
  <property fmtid="{D5CDD505-2E9C-101B-9397-08002B2CF9AE}" pid="4" name="ICV">
    <vt:lpwstr>40FB46CBC9584A71B7D8CDB8CFD82754_13</vt:lpwstr>
  </property>
</Properties>
</file>