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845E6">
      <w:pPr>
        <w:pStyle w:val="5"/>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项目编号：</w:t>
      </w:r>
      <w:r>
        <w:rPr>
          <w:rFonts w:hint="eastAsia" w:ascii="宋体" w:hAnsi="宋体" w:eastAsia="宋体" w:cs="宋体"/>
          <w:b/>
          <w:bCs/>
          <w:color w:val="auto"/>
          <w:sz w:val="28"/>
          <w:szCs w:val="28"/>
          <w:lang w:eastAsia="zh-CN"/>
        </w:rPr>
        <w:t>自采2025-YCZX（032）</w:t>
      </w:r>
    </w:p>
    <w:p w14:paraId="54590019">
      <w:pPr>
        <w:pStyle w:val="27"/>
        <w:ind w:left="0" w:leftChars="0" w:firstLine="281" w:firstLineChars="10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             </w:t>
      </w:r>
    </w:p>
    <w:p w14:paraId="110A6B7C">
      <w:pPr>
        <w:pStyle w:val="17"/>
        <w:pageBreakBefore w:val="0"/>
        <w:kinsoku/>
        <w:wordWrap w:val="0"/>
        <w:overflowPunct/>
        <w:bidi w:val="0"/>
        <w:jc w:val="center"/>
        <w:rPr>
          <w:rFonts w:hint="eastAsia" w:ascii="宋体" w:hAnsi="宋体" w:eastAsia="宋体" w:cs="宋体"/>
          <w:b/>
          <w:bCs/>
          <w:color w:val="auto"/>
          <w:sz w:val="56"/>
          <w:szCs w:val="56"/>
          <w:lang w:val="en-US" w:eastAsia="zh-CN"/>
        </w:rPr>
      </w:pPr>
      <w:r>
        <w:rPr>
          <w:rFonts w:hint="eastAsia" w:ascii="宋体" w:hAnsi="宋体" w:cs="宋体"/>
          <w:b/>
          <w:bCs/>
          <w:color w:val="auto"/>
          <w:sz w:val="56"/>
          <w:szCs w:val="56"/>
          <w:lang w:val="en-US" w:eastAsia="zh-CN"/>
        </w:rPr>
        <w:t>镇坪县2025年耕地质量保护与提升项目</w:t>
      </w:r>
    </w:p>
    <w:p w14:paraId="1FE7E5B7">
      <w:pPr>
        <w:pStyle w:val="15"/>
        <w:pageBreakBefore w:val="0"/>
        <w:kinsoku/>
        <w:overflowPunct/>
        <w:bidi w:val="0"/>
        <w:rPr>
          <w:rFonts w:hint="eastAsia"/>
          <w:color w:val="auto"/>
          <w:lang w:eastAsia="zh-CN"/>
        </w:rPr>
      </w:pPr>
    </w:p>
    <w:p w14:paraId="692C8101">
      <w:pPr>
        <w:pStyle w:val="15"/>
        <w:pageBreakBefore w:val="0"/>
        <w:kinsoku/>
        <w:overflowPunct/>
        <w:bidi w:val="0"/>
        <w:rPr>
          <w:rFonts w:hint="eastAsia"/>
          <w:color w:val="auto"/>
          <w:lang w:eastAsia="zh-CN"/>
        </w:rPr>
      </w:pPr>
    </w:p>
    <w:p w14:paraId="1DEDA61F">
      <w:pPr>
        <w:pStyle w:val="10"/>
        <w:ind w:left="0" w:leftChars="0" w:firstLine="0" w:firstLineChars="0"/>
        <w:rPr>
          <w:rFonts w:hint="eastAsia"/>
          <w:color w:val="auto"/>
          <w:lang w:eastAsia="zh-CN"/>
        </w:rPr>
      </w:pPr>
    </w:p>
    <w:p w14:paraId="0908D111">
      <w:pPr>
        <w:pStyle w:val="10"/>
        <w:ind w:left="0" w:leftChars="0" w:firstLine="0" w:firstLineChars="0"/>
        <w:rPr>
          <w:rFonts w:hint="eastAsia"/>
          <w:color w:val="auto"/>
          <w:lang w:eastAsia="zh-CN"/>
        </w:rPr>
      </w:pPr>
    </w:p>
    <w:p w14:paraId="01EDCCF3">
      <w:pPr>
        <w:pStyle w:val="10"/>
        <w:ind w:left="0" w:leftChars="0" w:firstLine="0" w:firstLineChars="0"/>
        <w:rPr>
          <w:rFonts w:hint="eastAsia"/>
          <w:color w:val="auto"/>
          <w:lang w:eastAsia="zh-CN"/>
        </w:rPr>
      </w:pPr>
    </w:p>
    <w:p w14:paraId="035799E6">
      <w:pPr>
        <w:pageBreakBefore w:val="0"/>
        <w:kinsoku/>
        <w:wordWrap w:val="0"/>
        <w:overflowPunct/>
        <w:bidi w:val="0"/>
        <w:spacing w:line="360" w:lineRule="auto"/>
        <w:jc w:val="center"/>
        <w:rPr>
          <w:rFonts w:hint="eastAsia" w:ascii="宋体" w:hAnsi="宋体" w:eastAsia="宋体" w:cs="宋体"/>
          <w:b/>
          <w:color w:val="auto"/>
          <w:sz w:val="56"/>
          <w:szCs w:val="56"/>
        </w:rPr>
      </w:pPr>
      <w:r>
        <w:rPr>
          <w:rFonts w:hint="eastAsia" w:ascii="宋体" w:hAnsi="宋体" w:eastAsia="宋体" w:cs="宋体"/>
          <w:b/>
          <w:color w:val="auto"/>
          <w:sz w:val="56"/>
          <w:szCs w:val="56"/>
        </w:rPr>
        <w:t>竞争性磋商文件</w:t>
      </w:r>
    </w:p>
    <w:p w14:paraId="531276E9">
      <w:pPr>
        <w:pageBreakBefore w:val="0"/>
        <w:kinsoku/>
        <w:wordWrap w:val="0"/>
        <w:overflowPunct/>
        <w:bidi w:val="0"/>
        <w:spacing w:line="720" w:lineRule="auto"/>
        <w:jc w:val="center"/>
        <w:rPr>
          <w:rFonts w:hint="eastAsia" w:ascii="宋体" w:hAnsi="宋体" w:eastAsia="宋体" w:cs="宋体"/>
          <w:color w:val="auto"/>
          <w:lang w:eastAsia="zh-CN"/>
        </w:rPr>
      </w:pPr>
      <w:r>
        <w:rPr>
          <w:rStyle w:val="28"/>
          <w:rFonts w:ascii="宋体"/>
          <w:b/>
          <w:i w:val="0"/>
          <w:caps w:val="0"/>
          <w:color w:val="auto"/>
          <w:spacing w:val="0"/>
          <w:w w:val="100"/>
          <w:sz w:val="44"/>
          <w:szCs w:val="44"/>
          <w:lang w:val="en-US" w:eastAsia="zh-CN" w:bidi="ar-SA"/>
        </w:rPr>
        <w:drawing>
          <wp:anchor distT="0" distB="0" distL="114300" distR="114300" simplePos="0" relativeHeight="251659264" behindDoc="1" locked="0" layoutInCell="1" allowOverlap="1">
            <wp:simplePos x="0" y="0"/>
            <wp:positionH relativeFrom="column">
              <wp:posOffset>1694180</wp:posOffset>
            </wp:positionH>
            <wp:positionV relativeFrom="paragraph">
              <wp:posOffset>20320</wp:posOffset>
            </wp:positionV>
            <wp:extent cx="2337435" cy="1610360"/>
            <wp:effectExtent l="0" t="0" r="5715" b="8890"/>
            <wp:wrapNone/>
            <wp:docPr id="1" name="图片 1" descr="31b8297d98b1cbd2285560b9975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1b8297d98b1cbd2285560b997518c0"/>
                    <pic:cNvPicPr>
                      <a:picLocks noChangeAspect="1"/>
                    </pic:cNvPicPr>
                  </pic:nvPicPr>
                  <pic:blipFill>
                    <a:blip r:embed="rId6"/>
                    <a:stretch>
                      <a:fillRect/>
                    </a:stretch>
                  </pic:blipFill>
                  <pic:spPr>
                    <a:xfrm>
                      <a:off x="0" y="0"/>
                      <a:ext cx="2337435" cy="1610360"/>
                    </a:xfrm>
                    <a:prstGeom prst="rect">
                      <a:avLst/>
                    </a:prstGeom>
                    <a:noFill/>
                    <a:ln>
                      <a:noFill/>
                    </a:ln>
                  </pic:spPr>
                </pic:pic>
              </a:graphicData>
            </a:graphic>
          </wp:anchor>
        </w:drawing>
      </w:r>
    </w:p>
    <w:p w14:paraId="7F90B2CB">
      <w:pPr>
        <w:pageBreakBefore w:val="0"/>
        <w:kinsoku/>
        <w:wordWrap w:val="0"/>
        <w:overflowPunct/>
        <w:bidi w:val="0"/>
        <w:spacing w:line="720" w:lineRule="auto"/>
        <w:jc w:val="center"/>
        <w:rPr>
          <w:rStyle w:val="28"/>
          <w:rFonts w:ascii="宋体"/>
          <w:b/>
          <w:i w:val="0"/>
          <w:caps w:val="0"/>
          <w:color w:val="auto"/>
          <w:spacing w:val="0"/>
          <w:w w:val="100"/>
          <w:sz w:val="44"/>
          <w:szCs w:val="44"/>
          <w:lang w:val="en-US" w:eastAsia="zh-CN" w:bidi="ar-SA"/>
        </w:rPr>
      </w:pPr>
    </w:p>
    <w:p w14:paraId="012E5508">
      <w:pPr>
        <w:pageBreakBefore w:val="0"/>
        <w:kinsoku/>
        <w:wordWrap w:val="0"/>
        <w:overflowPunct/>
        <w:bidi w:val="0"/>
        <w:spacing w:line="720" w:lineRule="auto"/>
        <w:jc w:val="center"/>
        <w:rPr>
          <w:rStyle w:val="28"/>
          <w:rFonts w:hint="eastAsia" w:ascii="宋体"/>
          <w:b/>
          <w:i w:val="0"/>
          <w:caps w:val="0"/>
          <w:color w:val="auto"/>
          <w:spacing w:val="0"/>
          <w:w w:val="100"/>
          <w:sz w:val="44"/>
          <w:szCs w:val="44"/>
          <w:lang w:val="en-US" w:eastAsia="zh-CN" w:bidi="ar-SA"/>
        </w:rPr>
      </w:pPr>
    </w:p>
    <w:p w14:paraId="573DCDB1">
      <w:pPr>
        <w:pageBreakBefore w:val="0"/>
        <w:kinsoku/>
        <w:wordWrap w:val="0"/>
        <w:overflowPunct/>
        <w:bidi w:val="0"/>
        <w:spacing w:line="720" w:lineRule="auto"/>
        <w:jc w:val="center"/>
        <w:rPr>
          <w:rStyle w:val="28"/>
          <w:rFonts w:hint="eastAsia" w:ascii="宋体"/>
          <w:b/>
          <w:i w:val="0"/>
          <w:caps w:val="0"/>
          <w:color w:val="auto"/>
          <w:spacing w:val="0"/>
          <w:w w:val="100"/>
          <w:sz w:val="44"/>
          <w:szCs w:val="44"/>
          <w:lang w:val="en-US" w:eastAsia="zh-CN" w:bidi="ar-SA"/>
        </w:rPr>
      </w:pPr>
    </w:p>
    <w:p w14:paraId="3A4E437C">
      <w:pPr>
        <w:pageBreakBefore w:val="0"/>
        <w:kinsoku/>
        <w:wordWrap w:val="0"/>
        <w:overflowPunct/>
        <w:bidi w:val="0"/>
        <w:spacing w:line="720" w:lineRule="auto"/>
        <w:ind w:firstLine="803" w:firstLineChars="200"/>
        <w:jc w:val="both"/>
        <w:rPr>
          <w:rFonts w:hint="eastAsia" w:ascii="宋体" w:hAnsi="宋体" w:eastAsia="宋体" w:cs="宋体"/>
          <w:b/>
          <w:color w:val="auto"/>
          <w:sz w:val="40"/>
          <w:szCs w:val="40"/>
          <w:u w:val="single"/>
          <w:shd w:val="clear" w:color="auto" w:fill="auto"/>
          <w:lang w:val="en-US" w:eastAsia="zh-CN"/>
        </w:rPr>
      </w:pPr>
      <w:r>
        <w:rPr>
          <w:rFonts w:hint="eastAsia" w:ascii="宋体" w:hAnsi="宋体" w:eastAsia="宋体" w:cs="宋体"/>
          <w:b/>
          <w:color w:val="auto"/>
          <w:sz w:val="40"/>
          <w:szCs w:val="40"/>
          <w:shd w:val="clear" w:color="auto" w:fill="auto"/>
          <w:lang w:val="en-US" w:eastAsia="zh-CN"/>
        </w:rPr>
        <w:t>采</w:t>
      </w:r>
      <w:r>
        <w:rPr>
          <w:rFonts w:hint="eastAsia" w:ascii="宋体" w:hAnsi="宋体" w:cs="宋体"/>
          <w:b/>
          <w:color w:val="auto"/>
          <w:sz w:val="40"/>
          <w:szCs w:val="40"/>
          <w:shd w:val="clear" w:color="auto" w:fill="auto"/>
          <w:lang w:val="en-US" w:eastAsia="zh-CN"/>
        </w:rPr>
        <w:t xml:space="preserve"> </w:t>
      </w:r>
      <w:r>
        <w:rPr>
          <w:rFonts w:hint="eastAsia" w:ascii="宋体" w:hAnsi="宋体" w:eastAsia="宋体" w:cs="宋体"/>
          <w:b/>
          <w:color w:val="auto"/>
          <w:sz w:val="40"/>
          <w:szCs w:val="40"/>
          <w:shd w:val="clear" w:color="auto" w:fill="auto"/>
          <w:lang w:val="en-US" w:eastAsia="zh-CN"/>
        </w:rPr>
        <w:t>购 人：</w:t>
      </w:r>
      <w:r>
        <w:rPr>
          <w:rFonts w:hint="eastAsia" w:hAnsi="宋体" w:eastAsia="宋体" w:cs="宋体"/>
          <w:b/>
          <w:color w:val="auto"/>
          <w:sz w:val="40"/>
          <w:szCs w:val="40"/>
          <w:u w:val="none" w:color="auto"/>
          <w:shd w:val="clear" w:color="auto" w:fill="auto"/>
          <w:lang w:val="en-US" w:eastAsia="zh-CN"/>
        </w:rPr>
        <w:t xml:space="preserve"> </w:t>
      </w:r>
      <w:r>
        <w:rPr>
          <w:rFonts w:hint="eastAsia" w:hAnsi="宋体" w:cs="宋体"/>
          <w:b/>
          <w:color w:val="auto"/>
          <w:sz w:val="40"/>
          <w:szCs w:val="40"/>
          <w:u w:val="none" w:color="auto"/>
          <w:shd w:val="clear" w:color="auto" w:fill="auto"/>
          <w:lang w:val="en-US" w:eastAsia="zh-CN"/>
        </w:rPr>
        <w:t>镇坪县农业技术推广站</w:t>
      </w:r>
    </w:p>
    <w:p w14:paraId="42DB139E">
      <w:pPr>
        <w:pageBreakBefore w:val="0"/>
        <w:kinsoku/>
        <w:wordWrap w:val="0"/>
        <w:overflowPunct/>
        <w:bidi w:val="0"/>
        <w:spacing w:line="720" w:lineRule="auto"/>
        <w:jc w:val="center"/>
        <w:rPr>
          <w:rFonts w:hint="eastAsia" w:ascii="宋体" w:hAnsi="宋体" w:eastAsia="宋体" w:cs="宋体"/>
          <w:b/>
          <w:color w:val="auto"/>
          <w:sz w:val="40"/>
          <w:szCs w:val="40"/>
          <w:lang w:val="en-US"/>
        </w:rPr>
      </w:pPr>
      <w:r>
        <w:rPr>
          <w:rFonts w:hint="eastAsia" w:hAnsi="宋体" w:eastAsia="宋体" w:cs="宋体"/>
          <w:b/>
          <w:color w:val="auto"/>
          <w:sz w:val="40"/>
          <w:szCs w:val="40"/>
          <w:shd w:val="clear" w:color="auto" w:fill="auto"/>
          <w:lang w:val="en-US" w:eastAsia="zh-CN"/>
        </w:rPr>
        <w:t xml:space="preserve"> </w:t>
      </w:r>
      <w:r>
        <w:rPr>
          <w:rFonts w:hint="eastAsia" w:ascii="宋体" w:hAnsi="宋体" w:eastAsia="宋体" w:cs="宋体"/>
          <w:b/>
          <w:color w:val="auto"/>
          <w:sz w:val="40"/>
          <w:szCs w:val="40"/>
          <w:shd w:val="clear" w:color="auto" w:fill="auto"/>
          <w:lang w:val="en-US" w:eastAsia="zh-CN"/>
        </w:rPr>
        <w:t>代理机构：</w:t>
      </w:r>
      <w:r>
        <w:rPr>
          <w:rFonts w:hint="eastAsia" w:hAnsi="宋体" w:cs="宋体"/>
          <w:b/>
          <w:color w:val="auto"/>
          <w:sz w:val="40"/>
          <w:szCs w:val="40"/>
          <w:u w:val="none" w:color="auto"/>
          <w:shd w:val="clear" w:color="auto" w:fill="auto"/>
          <w:lang w:val="en-US" w:eastAsia="zh-CN"/>
        </w:rPr>
        <w:t>安康远程智信项目管理有限公司</w:t>
      </w:r>
    </w:p>
    <w:p w14:paraId="427CFB17">
      <w:pPr>
        <w:pStyle w:val="27"/>
        <w:spacing w:line="720" w:lineRule="auto"/>
        <w:ind w:left="0" w:leftChars="0" w:firstLine="361" w:firstLineChars="10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eastAsia="zh-CN"/>
        </w:rPr>
        <w:t>202</w:t>
      </w:r>
      <w:r>
        <w:rPr>
          <w:rFonts w:hint="eastAsia" w:ascii="宋体" w:hAnsi="宋体" w:cs="宋体"/>
          <w:b/>
          <w:color w:val="auto"/>
          <w:sz w:val="36"/>
          <w:szCs w:val="36"/>
          <w:lang w:val="en-US" w:eastAsia="zh-CN"/>
        </w:rPr>
        <w:t>5</w:t>
      </w:r>
      <w:r>
        <w:rPr>
          <w:rFonts w:hint="eastAsia" w:ascii="宋体" w:hAnsi="宋体" w:eastAsia="宋体" w:cs="宋体"/>
          <w:b/>
          <w:color w:val="auto"/>
          <w:sz w:val="36"/>
          <w:szCs w:val="36"/>
          <w:lang w:eastAsia="zh-CN"/>
        </w:rPr>
        <w:t>年</w:t>
      </w:r>
      <w:r>
        <w:rPr>
          <w:rFonts w:hint="eastAsia" w:ascii="宋体" w:hAnsi="宋体" w:eastAsia="宋体" w:cs="宋体"/>
          <w:b/>
          <w:color w:val="auto"/>
          <w:sz w:val="36"/>
          <w:szCs w:val="36"/>
          <w:lang w:val="en-US" w:eastAsia="zh-CN"/>
        </w:rPr>
        <w:t>09</w:t>
      </w:r>
      <w:r>
        <w:rPr>
          <w:rFonts w:hint="eastAsia" w:ascii="宋体" w:hAnsi="宋体" w:eastAsia="宋体" w:cs="宋体"/>
          <w:b/>
          <w:color w:val="auto"/>
          <w:sz w:val="36"/>
          <w:szCs w:val="36"/>
          <w:lang w:eastAsia="zh-CN"/>
        </w:rPr>
        <w:t>月</w:t>
      </w:r>
      <w:r>
        <w:rPr>
          <w:rFonts w:hint="eastAsia" w:ascii="宋体" w:hAnsi="宋体" w:eastAsia="宋体" w:cs="宋体"/>
          <w:b/>
          <w:color w:val="auto"/>
          <w:sz w:val="36"/>
          <w:szCs w:val="36"/>
          <w:lang w:val="en-US" w:eastAsia="zh-CN"/>
        </w:rPr>
        <w:t>24</w:t>
      </w:r>
      <w:r>
        <w:rPr>
          <w:rFonts w:hint="eastAsia" w:ascii="宋体" w:hAnsi="宋体" w:eastAsia="宋体" w:cs="宋体"/>
          <w:b/>
          <w:color w:val="auto"/>
          <w:sz w:val="36"/>
          <w:szCs w:val="36"/>
          <w:lang w:eastAsia="zh-CN"/>
        </w:rPr>
        <w:t>日</w:t>
      </w:r>
    </w:p>
    <w:p w14:paraId="19FC416D">
      <w:pPr>
        <w:jc w:val="center"/>
        <w:outlineLvl w:val="0"/>
        <w:rPr>
          <w:rFonts w:hint="eastAsia" w:ascii="宋体" w:hAnsi="宋体" w:eastAsia="宋体" w:cs="宋体"/>
          <w:b/>
          <w:color w:val="auto"/>
          <w:sz w:val="36"/>
          <w:szCs w:val="36"/>
        </w:rPr>
      </w:pPr>
    </w:p>
    <w:p w14:paraId="60142670">
      <w:pPr>
        <w:jc w:val="center"/>
        <w:outlineLvl w:val="0"/>
        <w:rPr>
          <w:rFonts w:hint="eastAsia" w:ascii="宋体" w:hAnsi="宋体" w:eastAsia="宋体" w:cs="宋体"/>
          <w:b/>
          <w:color w:val="auto"/>
          <w:sz w:val="36"/>
          <w:szCs w:val="36"/>
        </w:rPr>
      </w:pPr>
    </w:p>
    <w:p w14:paraId="0971AED0">
      <w:pPr>
        <w:jc w:val="center"/>
        <w:outlineLvl w:val="0"/>
        <w:rPr>
          <w:rFonts w:hint="eastAsia" w:ascii="宋体" w:hAnsi="宋体" w:eastAsia="宋体" w:cs="宋体"/>
          <w:b/>
          <w:color w:val="auto"/>
          <w:sz w:val="36"/>
          <w:szCs w:val="36"/>
        </w:rPr>
      </w:pPr>
    </w:p>
    <w:p w14:paraId="3FA49309">
      <w:pPr>
        <w:adjustRightInd w:val="0"/>
        <w:snapToGrid w:val="0"/>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 xml:space="preserve">目 </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录</w:t>
      </w:r>
    </w:p>
    <w:p w14:paraId="119DCA47">
      <w:pPr>
        <w:numPr>
          <w:ilvl w:val="0"/>
          <w:numId w:val="0"/>
        </w:numPr>
        <w:adjustRightInd w:val="0"/>
        <w:snapToGrid w:val="0"/>
        <w:spacing w:line="840" w:lineRule="exact"/>
        <w:ind w:firstLine="602" w:firstLineChars="200"/>
        <w:rPr>
          <w:rFonts w:hint="eastAsia" w:ascii="宋体" w:hAnsi="宋体" w:eastAsia="宋体" w:cs="宋体"/>
          <w:b/>
          <w:bCs w:val="0"/>
          <w:color w:val="auto"/>
          <w:sz w:val="30"/>
          <w:szCs w:val="30"/>
          <w:lang w:val="en-US" w:eastAsia="zh-CN"/>
        </w:rPr>
      </w:pPr>
      <w:r>
        <w:rPr>
          <w:rFonts w:hint="eastAsia" w:ascii="宋体" w:hAnsi="宋体" w:eastAsia="宋体" w:cs="宋体"/>
          <w:b/>
          <w:bCs w:val="0"/>
          <w:color w:val="auto"/>
          <w:sz w:val="30"/>
          <w:szCs w:val="30"/>
          <w:lang w:val="en-US" w:eastAsia="zh-CN"/>
        </w:rPr>
        <w:t xml:space="preserve">第一章  </w:t>
      </w:r>
      <w:r>
        <w:rPr>
          <w:rFonts w:hint="eastAsia" w:ascii="宋体" w:hAnsi="宋体" w:eastAsia="宋体" w:cs="宋体"/>
          <w:b/>
          <w:bCs w:val="0"/>
          <w:color w:val="auto"/>
          <w:sz w:val="30"/>
          <w:szCs w:val="30"/>
          <w:lang w:eastAsia="zh-CN"/>
        </w:rPr>
        <w:t>磋商公告</w:t>
      </w:r>
    </w:p>
    <w:p w14:paraId="631AA4BD">
      <w:pPr>
        <w:numPr>
          <w:ilvl w:val="0"/>
          <w:numId w:val="0"/>
        </w:numPr>
        <w:adjustRightInd w:val="0"/>
        <w:snapToGrid w:val="0"/>
        <w:spacing w:line="840" w:lineRule="exact"/>
        <w:ind w:firstLine="602" w:firstLineChars="200"/>
        <w:rPr>
          <w:rFonts w:hint="eastAsia" w:ascii="宋体" w:hAnsi="宋体" w:eastAsia="宋体" w:cs="宋体"/>
          <w:b/>
          <w:bCs w:val="0"/>
          <w:color w:val="auto"/>
          <w:sz w:val="30"/>
          <w:szCs w:val="30"/>
          <w:lang w:val="en-US" w:eastAsia="zh-CN"/>
        </w:rPr>
      </w:pPr>
      <w:r>
        <w:rPr>
          <w:rFonts w:hint="eastAsia" w:ascii="宋体" w:hAnsi="宋体" w:eastAsia="宋体" w:cs="宋体"/>
          <w:b/>
          <w:bCs w:val="0"/>
          <w:color w:val="auto"/>
          <w:sz w:val="30"/>
          <w:szCs w:val="30"/>
          <w:lang w:val="en-US" w:eastAsia="zh-CN"/>
        </w:rPr>
        <w:t>第二章  磋商须知</w:t>
      </w:r>
    </w:p>
    <w:p w14:paraId="3C9A3824">
      <w:pPr>
        <w:numPr>
          <w:ilvl w:val="0"/>
          <w:numId w:val="0"/>
        </w:numPr>
        <w:adjustRightInd w:val="0"/>
        <w:snapToGrid w:val="0"/>
        <w:spacing w:line="840" w:lineRule="exact"/>
        <w:ind w:firstLine="602" w:firstLineChars="200"/>
        <w:rPr>
          <w:rFonts w:hint="eastAsia" w:ascii="宋体" w:hAnsi="宋体" w:eastAsia="宋体" w:cs="宋体"/>
          <w:b/>
          <w:bCs w:val="0"/>
          <w:color w:val="auto"/>
          <w:sz w:val="30"/>
          <w:szCs w:val="30"/>
          <w:lang w:val="en-US" w:eastAsia="zh-CN"/>
        </w:rPr>
      </w:pPr>
      <w:r>
        <w:rPr>
          <w:rFonts w:hint="eastAsia" w:ascii="宋体" w:hAnsi="宋体" w:eastAsia="宋体" w:cs="宋体"/>
          <w:b/>
          <w:bCs w:val="0"/>
          <w:color w:val="auto"/>
          <w:sz w:val="30"/>
          <w:szCs w:val="30"/>
          <w:lang w:val="en-US" w:eastAsia="zh-CN"/>
        </w:rPr>
        <w:t>第三章  商务条款</w:t>
      </w:r>
    </w:p>
    <w:p w14:paraId="4BC8A3BA">
      <w:pPr>
        <w:numPr>
          <w:ilvl w:val="0"/>
          <w:numId w:val="0"/>
        </w:numPr>
        <w:adjustRightInd w:val="0"/>
        <w:snapToGrid w:val="0"/>
        <w:spacing w:line="840" w:lineRule="exact"/>
        <w:ind w:firstLine="602" w:firstLineChars="200"/>
        <w:rPr>
          <w:rFonts w:hint="eastAsia" w:ascii="宋体" w:hAnsi="宋体" w:eastAsia="宋体" w:cs="宋体"/>
          <w:b/>
          <w:bCs w:val="0"/>
          <w:color w:val="auto"/>
          <w:sz w:val="30"/>
          <w:szCs w:val="30"/>
          <w:lang w:val="en-US" w:eastAsia="zh-CN"/>
        </w:rPr>
      </w:pPr>
      <w:r>
        <w:rPr>
          <w:rFonts w:hint="eastAsia" w:ascii="宋体" w:hAnsi="宋体" w:eastAsia="宋体" w:cs="宋体"/>
          <w:b/>
          <w:bCs w:val="0"/>
          <w:color w:val="auto"/>
          <w:sz w:val="30"/>
          <w:szCs w:val="30"/>
          <w:lang w:val="en-US" w:eastAsia="zh-CN"/>
        </w:rPr>
        <w:t>第四章  合同条款及格式</w:t>
      </w:r>
    </w:p>
    <w:p w14:paraId="2D09F184">
      <w:pPr>
        <w:numPr>
          <w:ilvl w:val="0"/>
          <w:numId w:val="0"/>
        </w:numPr>
        <w:adjustRightInd w:val="0"/>
        <w:snapToGrid w:val="0"/>
        <w:spacing w:line="840" w:lineRule="exact"/>
        <w:ind w:firstLine="602" w:firstLineChars="200"/>
        <w:rPr>
          <w:rFonts w:hint="eastAsia" w:ascii="宋体" w:hAnsi="宋体" w:eastAsia="宋体" w:cs="宋体"/>
          <w:b/>
          <w:bCs w:val="0"/>
          <w:color w:val="auto"/>
          <w:sz w:val="30"/>
          <w:szCs w:val="30"/>
          <w:lang w:val="en-US" w:eastAsia="zh-CN"/>
        </w:rPr>
      </w:pPr>
      <w:r>
        <w:rPr>
          <w:rFonts w:hint="eastAsia" w:ascii="宋体" w:hAnsi="宋体" w:eastAsia="宋体" w:cs="宋体"/>
          <w:b/>
          <w:bCs w:val="0"/>
          <w:color w:val="auto"/>
          <w:sz w:val="30"/>
          <w:szCs w:val="30"/>
          <w:lang w:val="en-US" w:eastAsia="zh-CN"/>
        </w:rPr>
        <w:t>第五章  采购内容及技术参数和要求</w:t>
      </w:r>
    </w:p>
    <w:p w14:paraId="2315095F">
      <w:pPr>
        <w:numPr>
          <w:ilvl w:val="0"/>
          <w:numId w:val="0"/>
        </w:numPr>
        <w:adjustRightInd w:val="0"/>
        <w:snapToGrid w:val="0"/>
        <w:spacing w:line="840" w:lineRule="exact"/>
        <w:ind w:firstLine="602" w:firstLineChars="200"/>
        <w:rPr>
          <w:rFonts w:hint="eastAsia" w:ascii="宋体" w:hAnsi="宋体" w:eastAsia="宋体" w:cs="宋体"/>
          <w:b/>
          <w:bCs w:val="0"/>
          <w:color w:val="auto"/>
          <w:sz w:val="30"/>
          <w:szCs w:val="30"/>
          <w:lang w:val="en-US" w:eastAsia="zh-CN"/>
        </w:rPr>
      </w:pPr>
      <w:r>
        <w:rPr>
          <w:rFonts w:hint="eastAsia" w:ascii="宋体" w:hAnsi="宋体" w:eastAsia="宋体" w:cs="宋体"/>
          <w:b/>
          <w:bCs w:val="0"/>
          <w:color w:val="auto"/>
          <w:sz w:val="30"/>
          <w:szCs w:val="30"/>
          <w:lang w:val="en-US" w:eastAsia="zh-CN"/>
        </w:rPr>
        <w:t>第六章  磋商响应文件基本格式</w:t>
      </w:r>
    </w:p>
    <w:p w14:paraId="10D2194E">
      <w:pPr>
        <w:adjustRightInd w:val="0"/>
        <w:snapToGrid w:val="0"/>
        <w:spacing w:line="840" w:lineRule="exact"/>
        <w:ind w:firstLine="2339" w:firstLineChars="728"/>
        <w:rPr>
          <w:rFonts w:hint="eastAsia" w:ascii="宋体" w:hAnsi="宋体" w:eastAsia="宋体" w:cs="宋体"/>
          <w:b/>
          <w:color w:val="auto"/>
          <w:sz w:val="32"/>
          <w:szCs w:val="20"/>
        </w:rPr>
      </w:pPr>
    </w:p>
    <w:p w14:paraId="0B5B7F58">
      <w:pPr>
        <w:adjustRightInd w:val="0"/>
        <w:snapToGrid w:val="0"/>
        <w:spacing w:line="840" w:lineRule="exact"/>
        <w:ind w:firstLine="2339" w:firstLineChars="728"/>
        <w:rPr>
          <w:rFonts w:hint="eastAsia" w:ascii="宋体" w:hAnsi="宋体" w:eastAsia="宋体" w:cs="宋体"/>
          <w:b/>
          <w:color w:val="auto"/>
          <w:sz w:val="32"/>
          <w:szCs w:val="20"/>
        </w:rPr>
      </w:pPr>
    </w:p>
    <w:p w14:paraId="03CB85A9">
      <w:pPr>
        <w:adjustRightInd w:val="0"/>
        <w:snapToGrid w:val="0"/>
        <w:spacing w:line="840" w:lineRule="exact"/>
        <w:ind w:firstLine="2339" w:firstLineChars="728"/>
        <w:rPr>
          <w:rFonts w:hint="eastAsia" w:ascii="宋体" w:hAnsi="宋体" w:eastAsia="宋体" w:cs="宋体"/>
          <w:b/>
          <w:color w:val="auto"/>
          <w:sz w:val="32"/>
          <w:szCs w:val="20"/>
        </w:rPr>
      </w:pPr>
    </w:p>
    <w:p w14:paraId="02EDF009">
      <w:pPr>
        <w:adjustRightInd w:val="0"/>
        <w:snapToGrid w:val="0"/>
        <w:spacing w:line="840" w:lineRule="exact"/>
        <w:ind w:firstLine="2339" w:firstLineChars="728"/>
        <w:rPr>
          <w:rFonts w:hint="eastAsia" w:ascii="宋体" w:hAnsi="宋体" w:eastAsia="宋体" w:cs="宋体"/>
          <w:b/>
          <w:color w:val="auto"/>
          <w:sz w:val="32"/>
          <w:szCs w:val="20"/>
        </w:rPr>
      </w:pPr>
    </w:p>
    <w:p w14:paraId="5E726E09">
      <w:pPr>
        <w:spacing w:line="480" w:lineRule="exact"/>
        <w:rPr>
          <w:rFonts w:hint="eastAsia" w:ascii="宋体" w:hAnsi="宋体" w:eastAsia="宋体" w:cs="宋体"/>
          <w:b/>
          <w:bCs/>
          <w:color w:val="auto"/>
          <w:kern w:val="0"/>
          <w:sz w:val="32"/>
          <w:szCs w:val="32"/>
        </w:rPr>
      </w:pPr>
    </w:p>
    <w:p w14:paraId="5A59546A">
      <w:pPr>
        <w:spacing w:line="480" w:lineRule="exact"/>
        <w:rPr>
          <w:rFonts w:hint="eastAsia" w:ascii="宋体" w:hAnsi="宋体" w:eastAsia="宋体" w:cs="宋体"/>
          <w:b/>
          <w:bCs/>
          <w:color w:val="auto"/>
          <w:kern w:val="0"/>
          <w:sz w:val="32"/>
          <w:szCs w:val="32"/>
        </w:rPr>
      </w:pPr>
    </w:p>
    <w:p w14:paraId="21BA4BC4">
      <w:pPr>
        <w:pStyle w:val="27"/>
        <w:rPr>
          <w:rFonts w:hint="eastAsia" w:ascii="宋体" w:hAnsi="宋体" w:eastAsia="宋体" w:cs="宋体"/>
          <w:b/>
          <w:bCs/>
          <w:color w:val="auto"/>
          <w:kern w:val="0"/>
          <w:sz w:val="32"/>
          <w:szCs w:val="32"/>
        </w:rPr>
      </w:pPr>
    </w:p>
    <w:p w14:paraId="322B3D1B">
      <w:pPr>
        <w:pStyle w:val="27"/>
        <w:rPr>
          <w:rFonts w:hint="eastAsia" w:ascii="宋体" w:hAnsi="宋体" w:eastAsia="宋体" w:cs="宋体"/>
          <w:b/>
          <w:bCs/>
          <w:color w:val="auto"/>
          <w:kern w:val="0"/>
          <w:sz w:val="32"/>
          <w:szCs w:val="32"/>
        </w:rPr>
      </w:pPr>
    </w:p>
    <w:p w14:paraId="1997E8A6">
      <w:pPr>
        <w:spacing w:line="480" w:lineRule="exact"/>
        <w:jc w:val="center"/>
        <w:rPr>
          <w:rFonts w:hint="eastAsia" w:ascii="宋体" w:hAnsi="宋体" w:eastAsia="宋体" w:cs="宋体"/>
          <w:b/>
          <w:bCs/>
          <w:color w:val="auto"/>
          <w:kern w:val="0"/>
          <w:sz w:val="28"/>
          <w:szCs w:val="28"/>
          <w:lang w:eastAsia="zh-CN"/>
        </w:rPr>
        <w:sectPr>
          <w:headerReference r:id="rId3" w:type="default"/>
          <w:footerReference r:id="rId4" w:type="default"/>
          <w:pgSz w:w="11906" w:h="16838"/>
          <w:pgMar w:top="1440" w:right="1463" w:bottom="1440" w:left="1463" w:header="851" w:footer="992" w:gutter="0"/>
          <w:cols w:space="720" w:num="1"/>
          <w:rtlGutter w:val="0"/>
          <w:docGrid w:type="lines" w:linePitch="312" w:charSpace="0"/>
        </w:sectPr>
      </w:pPr>
    </w:p>
    <w:p w14:paraId="6DA77D6E">
      <w:pPr>
        <w:pStyle w:val="29"/>
        <w:spacing w:line="480" w:lineRule="exact"/>
        <w:jc w:val="center"/>
        <w:rPr>
          <w:rFonts w:hint="eastAsia" w:ascii="宋体" w:hAnsi="宋体" w:eastAsia="宋体" w:cs="宋体"/>
          <w:b/>
          <w:sz w:val="32"/>
          <w:szCs w:val="32"/>
        </w:rPr>
      </w:pPr>
      <w:bookmarkStart w:id="0" w:name="_Toc170980535"/>
      <w:bookmarkStart w:id="1" w:name="_Toc173549961"/>
      <w:bookmarkStart w:id="2" w:name="_Toc169846856"/>
      <w:bookmarkStart w:id="3" w:name="_Toc170980437"/>
      <w:bookmarkStart w:id="4" w:name="_Toc167591475"/>
      <w:bookmarkStart w:id="5" w:name="_Toc245658519"/>
      <w:bookmarkStart w:id="6" w:name="_Toc207897901"/>
      <w:bookmarkStart w:id="7" w:name="_Toc245176650"/>
      <w:bookmarkStart w:id="8" w:name="_Toc169838515"/>
      <w:bookmarkStart w:id="9" w:name="_Toc169846759"/>
      <w:bookmarkStart w:id="10" w:name="_Toc167590758"/>
      <w:bookmarkStart w:id="11" w:name="_Toc244623576"/>
      <w:bookmarkStart w:id="12" w:name="_Toc175033575"/>
      <w:bookmarkStart w:id="13" w:name="_Toc167591313"/>
      <w:bookmarkStart w:id="14" w:name="_Toc245657538"/>
      <w:bookmarkStart w:id="15" w:name="_Toc167849343"/>
      <w:bookmarkStart w:id="16" w:name="_Toc208337149"/>
      <w:bookmarkStart w:id="17" w:name="_Toc154482462"/>
      <w:bookmarkStart w:id="18" w:name="_Toc167591127"/>
      <w:bookmarkStart w:id="19" w:name="_Toc175032420"/>
      <w:bookmarkStart w:id="20" w:name="_Toc167591026"/>
      <w:bookmarkStart w:id="21" w:name="_Toc201650492"/>
      <w:bookmarkStart w:id="22" w:name="_Toc260242592"/>
      <w:r>
        <w:rPr>
          <w:rFonts w:hint="eastAsia" w:ascii="宋体" w:hAnsi="宋体" w:eastAsia="宋体" w:cs="宋体"/>
          <w:b/>
          <w:sz w:val="32"/>
          <w:szCs w:val="32"/>
          <w:lang w:val="en-US" w:eastAsia="zh-CN"/>
        </w:rPr>
        <w:t xml:space="preserve">第一章 </w:t>
      </w:r>
      <w:r>
        <w:rPr>
          <w:rFonts w:hint="eastAsia" w:ascii="宋体" w:hAnsi="宋体" w:eastAsia="宋体" w:cs="宋体"/>
          <w:b/>
          <w:sz w:val="32"/>
          <w:szCs w:val="32"/>
        </w:rPr>
        <w:t>镇坪县2025年耕地质量保护与提升项目</w:t>
      </w:r>
    </w:p>
    <w:p w14:paraId="25D94E94">
      <w:pPr>
        <w:pStyle w:val="29"/>
        <w:spacing w:line="480" w:lineRule="exact"/>
        <w:jc w:val="center"/>
        <w:rPr>
          <w:rFonts w:hint="eastAsia" w:ascii="宋体" w:hAnsi="宋体" w:eastAsia="宋体" w:cs="宋体"/>
          <w:sz w:val="32"/>
          <w:szCs w:val="32"/>
        </w:rPr>
      </w:pPr>
      <w:r>
        <w:rPr>
          <w:rFonts w:hint="eastAsia" w:ascii="宋体" w:hAnsi="宋体" w:eastAsia="宋体" w:cs="宋体"/>
          <w:b/>
          <w:sz w:val="32"/>
          <w:szCs w:val="32"/>
        </w:rPr>
        <w:t>竞争性磋商公告</w:t>
      </w:r>
    </w:p>
    <w:p w14:paraId="1AE5877B">
      <w:pPr>
        <w:pStyle w:val="29"/>
        <w:keepNext w:val="0"/>
        <w:keepLines w:val="0"/>
        <w:pageBreakBefore w:val="0"/>
        <w:kinsoku/>
        <w:wordWrap/>
        <w:overflowPunct/>
        <w:topLinePunct w:val="0"/>
        <w:autoSpaceDE/>
        <w:autoSpaceDN/>
        <w:bidi w:val="0"/>
        <w:adjustRightInd/>
        <w:snapToGrid/>
        <w:spacing w:line="500" w:lineRule="atLeast"/>
        <w:textAlignment w:val="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5D2BF7BD">
      <w:pPr>
        <w:pStyle w:val="29"/>
        <w:keepNext w:val="0"/>
        <w:keepLines w:val="0"/>
        <w:pageBreakBefore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镇坪县2025年耕地质量保护与提升项目采购项目的潜在供应商应在安康市汉滨区后张岭张家大院路口进来50米处获取采购文件，并于 2025年10月13日 10时30分 （北京时间）前提交响应文件。</w:t>
      </w:r>
    </w:p>
    <w:p w14:paraId="63A8452D">
      <w:pPr>
        <w:pStyle w:val="29"/>
        <w:keepNext w:val="0"/>
        <w:keepLines w:val="0"/>
        <w:pageBreakBefore w:val="0"/>
        <w:kinsoku/>
        <w:wordWrap/>
        <w:overflowPunct/>
        <w:topLinePunct w:val="0"/>
        <w:autoSpaceDE/>
        <w:autoSpaceDN/>
        <w:bidi w:val="0"/>
        <w:adjustRightInd/>
        <w:snapToGrid/>
        <w:spacing w:line="500" w:lineRule="atLeast"/>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121F2B20">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项目编号：自采2025-YCZX（032)</w:t>
      </w:r>
    </w:p>
    <w:p w14:paraId="512AEC6E">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项目名称：镇坪县2025年耕地质量保护与提升项目</w:t>
      </w:r>
    </w:p>
    <w:p w14:paraId="27773AEE">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0BEDC6E1">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预算金额：224,000.00元</w:t>
      </w:r>
    </w:p>
    <w:p w14:paraId="256D2494">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7AAA2968">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合同包1(镇坪县2025年耕地质量保护与提升项目):</w:t>
      </w:r>
    </w:p>
    <w:p w14:paraId="1132A768">
      <w:pPr>
        <w:pStyle w:val="29"/>
        <w:keepNext w:val="0"/>
        <w:keepLines w:val="0"/>
        <w:pageBreakBefore w:val="0"/>
        <w:kinsoku/>
        <w:wordWrap/>
        <w:overflowPunct/>
        <w:topLinePunct w:val="0"/>
        <w:autoSpaceDE/>
        <w:autoSpaceDN/>
        <w:bidi w:val="0"/>
        <w:adjustRightInd/>
        <w:snapToGrid/>
        <w:spacing w:line="500" w:lineRule="atLeas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合同包预算金额：224,000.00元</w:t>
      </w:r>
    </w:p>
    <w:p w14:paraId="745C0DDE">
      <w:pPr>
        <w:pStyle w:val="29"/>
        <w:keepNext w:val="0"/>
        <w:keepLines w:val="0"/>
        <w:pageBreakBefore w:val="0"/>
        <w:kinsoku/>
        <w:wordWrap/>
        <w:overflowPunct/>
        <w:topLinePunct w:val="0"/>
        <w:autoSpaceDE/>
        <w:autoSpaceDN/>
        <w:bidi w:val="0"/>
        <w:adjustRightInd/>
        <w:snapToGrid/>
        <w:spacing w:line="500" w:lineRule="atLeas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合同包最高限价：224,000.00元</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3"/>
        <w:gridCol w:w="1485"/>
        <w:gridCol w:w="1832"/>
        <w:gridCol w:w="1372"/>
        <w:gridCol w:w="1647"/>
        <w:gridCol w:w="1857"/>
      </w:tblGrid>
      <w:tr w14:paraId="247CE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dxa"/>
            <w:vAlign w:val="center"/>
          </w:tcPr>
          <w:p w14:paraId="1575776A">
            <w:pPr>
              <w:pStyle w:val="29"/>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488" w:type="dxa"/>
            <w:vAlign w:val="center"/>
          </w:tcPr>
          <w:p w14:paraId="3D7A9787">
            <w:pPr>
              <w:pStyle w:val="29"/>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835" w:type="dxa"/>
            <w:vAlign w:val="center"/>
          </w:tcPr>
          <w:p w14:paraId="666789AE">
            <w:pPr>
              <w:pStyle w:val="29"/>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373" w:type="dxa"/>
            <w:vAlign w:val="center"/>
          </w:tcPr>
          <w:p w14:paraId="199E0B1B">
            <w:pPr>
              <w:pStyle w:val="29"/>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650" w:type="dxa"/>
            <w:vAlign w:val="center"/>
          </w:tcPr>
          <w:p w14:paraId="397D81A9">
            <w:pPr>
              <w:pStyle w:val="29"/>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858" w:type="dxa"/>
            <w:vAlign w:val="center"/>
          </w:tcPr>
          <w:p w14:paraId="41991408">
            <w:pPr>
              <w:pStyle w:val="29"/>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3E450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4" w:type="dxa"/>
            <w:vAlign w:val="center"/>
          </w:tcPr>
          <w:p w14:paraId="636ECABA">
            <w:pPr>
              <w:pStyle w:val="29"/>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488" w:type="dxa"/>
            <w:vAlign w:val="center"/>
          </w:tcPr>
          <w:p w14:paraId="261575A1">
            <w:pPr>
              <w:pStyle w:val="29"/>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有机肥料及微生物肥料</w:t>
            </w:r>
          </w:p>
        </w:tc>
        <w:tc>
          <w:tcPr>
            <w:tcW w:w="1835" w:type="dxa"/>
            <w:vAlign w:val="center"/>
          </w:tcPr>
          <w:p w14:paraId="1E07EE58">
            <w:pPr>
              <w:pStyle w:val="29"/>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镇坪县2025年耕地质量保护与提升项目</w:t>
            </w:r>
          </w:p>
        </w:tc>
        <w:tc>
          <w:tcPr>
            <w:tcW w:w="1373" w:type="dxa"/>
            <w:vAlign w:val="center"/>
          </w:tcPr>
          <w:p w14:paraId="169055B5">
            <w:pPr>
              <w:pStyle w:val="29"/>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650" w:type="dxa"/>
            <w:vAlign w:val="center"/>
          </w:tcPr>
          <w:p w14:paraId="0F8C21CA">
            <w:pPr>
              <w:pStyle w:val="29"/>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858" w:type="dxa"/>
            <w:vAlign w:val="center"/>
          </w:tcPr>
          <w:p w14:paraId="7E801DA1">
            <w:pPr>
              <w:pStyle w:val="29"/>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224,000.00</w:t>
            </w:r>
          </w:p>
        </w:tc>
      </w:tr>
    </w:tbl>
    <w:p w14:paraId="7F5626B6">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7E679817">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合同履行期限：30天（具体起止日期可随合同签订时间相应顺延）</w:t>
      </w:r>
    </w:p>
    <w:p w14:paraId="17170DCE">
      <w:pPr>
        <w:pStyle w:val="29"/>
        <w:keepNext w:val="0"/>
        <w:keepLines w:val="0"/>
        <w:pageBreakBefore w:val="0"/>
        <w:kinsoku/>
        <w:wordWrap/>
        <w:overflowPunct/>
        <w:topLinePunct w:val="0"/>
        <w:autoSpaceDE/>
        <w:autoSpaceDN/>
        <w:bidi w:val="0"/>
        <w:adjustRightInd/>
        <w:snapToGrid/>
        <w:spacing w:line="500" w:lineRule="atLeast"/>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6AAFD9A1">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6A24C4AA">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1218E7D2">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合同包1(镇坪县2025年耕地质量保护与提升项目)落实政府采购政策需满足的资格要求如下:</w:t>
      </w:r>
    </w:p>
    <w:p w14:paraId="761294A8">
      <w:pPr>
        <w:pStyle w:val="29"/>
        <w:keepNext w:val="0"/>
        <w:keepLines w:val="0"/>
        <w:pageBreakBefore w:val="0"/>
        <w:kinsoku/>
        <w:wordWrap/>
        <w:overflowPunct/>
        <w:topLinePunct w:val="0"/>
        <w:autoSpaceDE/>
        <w:autoSpaceDN/>
        <w:bidi w:val="0"/>
        <w:adjustRightInd/>
        <w:snapToGrid/>
        <w:spacing w:line="500" w:lineRule="atLeast"/>
        <w:ind w:left="480"/>
        <w:textAlignment w:val="auto"/>
        <w:rPr>
          <w:rFonts w:hint="eastAsia" w:ascii="宋体" w:hAnsi="宋体" w:eastAsia="宋体" w:cs="宋体"/>
          <w:sz w:val="24"/>
          <w:szCs w:val="24"/>
        </w:rPr>
      </w:pPr>
      <w:r>
        <w:rPr>
          <w:rFonts w:hint="eastAsia" w:ascii="宋体" w:hAnsi="宋体" w:eastAsia="宋体" w:cs="宋体"/>
          <w:sz w:val="24"/>
          <w:szCs w:val="24"/>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关于运用政府采购政策支持乡村产业振兴的通知》（财库〔2021〕19号）；⑩《陕西省中小企业政府采购信用融资办法》（陕财办采〔2018〕23号）。</w:t>
      </w:r>
    </w:p>
    <w:p w14:paraId="7D886D76">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34B3F0A">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合同包1(镇坪县2025年耕地质量保护与提升项目)特定资格要求如下:</w:t>
      </w:r>
    </w:p>
    <w:p w14:paraId="6AB8650D">
      <w:pPr>
        <w:pStyle w:val="29"/>
        <w:keepNext w:val="0"/>
        <w:keepLines w:val="0"/>
        <w:pageBreakBefore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（2）法定代表人参加投标时，提供本人身份证复印件；授权代表参加投标时，提供法定代表人授权委托书、法定代表人和被授权人身份证复印件；</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（3）供应商须提供所投产品的肥料登记证或省级农业农村部门肥料备案信息系统的备案凭证（供应商为代理商的提供加盖厂家公章的肥料登记证或备案证明材料）；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（4）参加本次政府采购活动前三年内在经营活动中没有重大违纪，以及未被列入失信被执行人、重大税收违法失信主体、政府采购严重违法失信行为记录名单的书面声明；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供应商通过“信用中国”网站（www.creditchina.gov.cn）和中国政府采购网（www.ccgp.gov.cn）等渠道查询相关主体信用记录，对列入失信被执行人、重大税收违法失信主体、政府采购严重违法失信行为记录名单的供应商，将拒绝其参与政府采购活动；</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农、林、牧、渔业；供应商为监狱企业的，应提供监狱企业的证明文件；供应商为残疾人福利性单位的，应提供《残疾人福利性单位声明函》。</w:t>
      </w:r>
    </w:p>
    <w:p w14:paraId="58187171">
      <w:pPr>
        <w:pStyle w:val="29"/>
        <w:keepNext w:val="0"/>
        <w:keepLines w:val="0"/>
        <w:pageBreakBefore w:val="0"/>
        <w:kinsoku/>
        <w:wordWrap/>
        <w:overflowPunct/>
        <w:topLinePunct w:val="0"/>
        <w:autoSpaceDE/>
        <w:autoSpaceDN/>
        <w:bidi w:val="0"/>
        <w:adjustRightInd/>
        <w:snapToGrid/>
        <w:spacing w:line="500" w:lineRule="atLeast"/>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3D6A120A">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时间： 2025年09月25日 至 2025年09月30日 ，每天上午 08:00:00 至 12:00:00 ，下午 14:00:00 至 18:00:00 （北京时间）</w:t>
      </w:r>
    </w:p>
    <w:p w14:paraId="1FB33935">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途径：安康市汉滨区后张岭张家大院路口进来50米处</w:t>
      </w:r>
    </w:p>
    <w:p w14:paraId="37106615">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2171E8F3">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3B1082C0">
      <w:pPr>
        <w:pStyle w:val="29"/>
        <w:keepNext w:val="0"/>
        <w:keepLines w:val="0"/>
        <w:pageBreakBefore w:val="0"/>
        <w:kinsoku/>
        <w:wordWrap/>
        <w:overflowPunct/>
        <w:topLinePunct w:val="0"/>
        <w:autoSpaceDE/>
        <w:autoSpaceDN/>
        <w:bidi w:val="0"/>
        <w:adjustRightInd/>
        <w:snapToGrid/>
        <w:spacing w:line="500" w:lineRule="atLeast"/>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6AF7E471">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截止时间：2025年10月13日 10时30分00秒（北京时间）</w:t>
      </w:r>
    </w:p>
    <w:p w14:paraId="08E9552B">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地点：安康远程智信项目管理有限公司二楼会议室</w:t>
      </w:r>
    </w:p>
    <w:p w14:paraId="3D0BF8EC">
      <w:pPr>
        <w:pStyle w:val="29"/>
        <w:keepNext w:val="0"/>
        <w:keepLines w:val="0"/>
        <w:pageBreakBefore w:val="0"/>
        <w:kinsoku/>
        <w:wordWrap/>
        <w:overflowPunct/>
        <w:topLinePunct w:val="0"/>
        <w:autoSpaceDE/>
        <w:autoSpaceDN/>
        <w:bidi w:val="0"/>
        <w:adjustRightInd/>
        <w:snapToGrid/>
        <w:spacing w:line="500" w:lineRule="atLeast"/>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3EC92C7B">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时间：2025年10月13日 10时30分00秒（北京时间）</w:t>
      </w:r>
    </w:p>
    <w:p w14:paraId="797A1875">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地点：安康远程智信项目管理有限公司二楼会议室</w:t>
      </w:r>
    </w:p>
    <w:p w14:paraId="367395B0">
      <w:pPr>
        <w:pStyle w:val="29"/>
        <w:keepNext w:val="0"/>
        <w:keepLines w:val="0"/>
        <w:pageBreakBefore w:val="0"/>
        <w:kinsoku/>
        <w:wordWrap/>
        <w:overflowPunct/>
        <w:topLinePunct w:val="0"/>
        <w:autoSpaceDE/>
        <w:autoSpaceDN/>
        <w:bidi w:val="0"/>
        <w:adjustRightInd/>
        <w:snapToGrid/>
        <w:spacing w:line="500" w:lineRule="atLeast"/>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6D8F11A6">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3C49645A">
      <w:pPr>
        <w:pStyle w:val="29"/>
        <w:keepNext w:val="0"/>
        <w:keepLines w:val="0"/>
        <w:pageBreakBefore w:val="0"/>
        <w:kinsoku/>
        <w:wordWrap/>
        <w:overflowPunct/>
        <w:topLinePunct w:val="0"/>
        <w:autoSpaceDE/>
        <w:autoSpaceDN/>
        <w:bidi w:val="0"/>
        <w:adjustRightInd/>
        <w:snapToGrid/>
        <w:spacing w:line="500" w:lineRule="atLeast"/>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0B76BE90">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color w:val="000000"/>
          <w:sz w:val="24"/>
          <w:szCs w:val="24"/>
        </w:rPr>
        <w:t>注：（1）获取须知：请在文件获取时间以内携带法人授权书（或单位介绍信）、被授权人身份证复印件（复印件加盖原色公章），在安康远程智信项目管理有限公司（安康市汉滨区后张岭张家大院路口进来50米处安康远程智信项目管理有限公司二楼）获取采购文件。</w:t>
      </w:r>
    </w:p>
    <w:p w14:paraId="261D5D40">
      <w:pPr>
        <w:pStyle w:val="29"/>
        <w:keepNext w:val="0"/>
        <w:keepLines w:val="0"/>
        <w:pageBreakBefore w:val="0"/>
        <w:kinsoku/>
        <w:wordWrap/>
        <w:overflowPunct/>
        <w:topLinePunct w:val="0"/>
        <w:autoSpaceDE/>
        <w:autoSpaceDN/>
        <w:bidi w:val="0"/>
        <w:adjustRightInd/>
        <w:snapToGrid/>
        <w:spacing w:line="500" w:lineRule="atLeast"/>
        <w:ind w:firstLine="480"/>
        <w:textAlignment w:val="auto"/>
        <w:rPr>
          <w:rFonts w:hint="eastAsia" w:ascii="宋体" w:hAnsi="宋体" w:eastAsia="宋体" w:cs="宋体"/>
          <w:sz w:val="24"/>
          <w:szCs w:val="24"/>
        </w:rPr>
      </w:pPr>
      <w:r>
        <w:rPr>
          <w:rFonts w:hint="eastAsia" w:ascii="宋体" w:hAnsi="宋体" w:eastAsia="宋体" w:cs="宋体"/>
          <w:color w:val="000000"/>
          <w:sz w:val="24"/>
          <w:szCs w:val="24"/>
        </w:rPr>
        <w:t>（2）请各投标人获取磋商文件后，按照陕西省财政厅《关于政府采购投标人注册登记有关事项的通知》要求，通过陕西省政府采购网注册登记加入陕西省政府采购投标人库。</w:t>
      </w:r>
    </w:p>
    <w:p w14:paraId="600CEE89">
      <w:pPr>
        <w:pStyle w:val="29"/>
        <w:keepNext w:val="0"/>
        <w:keepLines w:val="0"/>
        <w:pageBreakBefore w:val="0"/>
        <w:kinsoku/>
        <w:wordWrap/>
        <w:overflowPunct/>
        <w:topLinePunct w:val="0"/>
        <w:autoSpaceDE/>
        <w:autoSpaceDN/>
        <w:bidi w:val="0"/>
        <w:adjustRightInd/>
        <w:snapToGrid/>
        <w:spacing w:line="500" w:lineRule="atLeast"/>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0F6588DB">
      <w:pPr>
        <w:pStyle w:val="29"/>
        <w:keepNext w:val="0"/>
        <w:keepLines w:val="0"/>
        <w:pageBreakBefore w:val="0"/>
        <w:kinsoku/>
        <w:wordWrap/>
        <w:overflowPunct/>
        <w:topLinePunct w:val="0"/>
        <w:autoSpaceDE/>
        <w:autoSpaceDN/>
        <w:bidi w:val="0"/>
        <w:adjustRightInd/>
        <w:snapToGrid/>
        <w:spacing w:line="500" w:lineRule="atLeast"/>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5DC07C81">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名称：镇坪县农业科技服务中心</w:t>
      </w:r>
    </w:p>
    <w:p w14:paraId="7C524A81">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地址：镇坪县下新街17号</w:t>
      </w:r>
    </w:p>
    <w:p w14:paraId="0BE80028">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联系方式：15353356678</w:t>
      </w:r>
    </w:p>
    <w:p w14:paraId="6736C232">
      <w:pPr>
        <w:pStyle w:val="29"/>
        <w:keepNext w:val="0"/>
        <w:keepLines w:val="0"/>
        <w:pageBreakBefore w:val="0"/>
        <w:kinsoku/>
        <w:wordWrap/>
        <w:overflowPunct/>
        <w:topLinePunct w:val="0"/>
        <w:autoSpaceDE/>
        <w:autoSpaceDN/>
        <w:bidi w:val="0"/>
        <w:adjustRightInd/>
        <w:snapToGrid/>
        <w:spacing w:line="500" w:lineRule="atLeast"/>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5FEABDA8">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名称：安康远程智信项目管理有限公司</w:t>
      </w:r>
    </w:p>
    <w:p w14:paraId="555BF192">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地址：安康市汉滨区后张岭张家大院路口进来50米处</w:t>
      </w:r>
    </w:p>
    <w:p w14:paraId="7470955A">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联系方式：18590005321</w:t>
      </w:r>
    </w:p>
    <w:p w14:paraId="635BC05D">
      <w:pPr>
        <w:pStyle w:val="29"/>
        <w:keepNext w:val="0"/>
        <w:keepLines w:val="0"/>
        <w:pageBreakBefore w:val="0"/>
        <w:kinsoku/>
        <w:wordWrap/>
        <w:overflowPunct/>
        <w:topLinePunct w:val="0"/>
        <w:autoSpaceDE/>
        <w:autoSpaceDN/>
        <w:bidi w:val="0"/>
        <w:adjustRightInd/>
        <w:snapToGrid/>
        <w:spacing w:line="500" w:lineRule="atLeast"/>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1A117007">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项目联系人：王工</w:t>
      </w:r>
    </w:p>
    <w:p w14:paraId="3B332A3B">
      <w:pPr>
        <w:pStyle w:val="29"/>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sz w:val="24"/>
          <w:szCs w:val="24"/>
        </w:rPr>
      </w:pPr>
      <w:r>
        <w:rPr>
          <w:rFonts w:hint="eastAsia" w:ascii="宋体" w:hAnsi="宋体" w:eastAsia="宋体" w:cs="宋体"/>
          <w:sz w:val="24"/>
          <w:szCs w:val="24"/>
        </w:rPr>
        <w:t>电话：18590005321</w:t>
      </w:r>
    </w:p>
    <w:p w14:paraId="5B49C5D3">
      <w:pPr>
        <w:pStyle w:val="29"/>
        <w:keepNext w:val="0"/>
        <w:keepLines w:val="0"/>
        <w:pageBreakBefore w:val="0"/>
        <w:kinsoku/>
        <w:wordWrap/>
        <w:overflowPunct/>
        <w:topLinePunct w:val="0"/>
        <w:autoSpaceDE/>
        <w:autoSpaceDN/>
        <w:bidi w:val="0"/>
        <w:adjustRightInd/>
        <w:snapToGrid/>
        <w:spacing w:line="500" w:lineRule="atLeast"/>
        <w:jc w:val="right"/>
        <w:textAlignment w:val="auto"/>
        <w:rPr>
          <w:rFonts w:hint="eastAsia" w:ascii="宋体" w:hAnsi="宋体" w:eastAsia="宋体" w:cs="宋体"/>
          <w:sz w:val="24"/>
          <w:szCs w:val="24"/>
        </w:rPr>
      </w:pPr>
      <w:r>
        <w:rPr>
          <w:rFonts w:hint="eastAsia" w:ascii="宋体" w:hAnsi="宋体" w:eastAsia="宋体" w:cs="宋体"/>
          <w:sz w:val="24"/>
          <w:szCs w:val="24"/>
        </w:rPr>
        <w:t>安康远程智信项目管理有限公司</w:t>
      </w:r>
    </w:p>
    <w:p w14:paraId="46F7B9AF">
      <w:pPr>
        <w:keepNext w:val="0"/>
        <w:keepLines w:val="0"/>
        <w:pageBreakBefore w:val="0"/>
        <w:kinsoku/>
        <w:wordWrap/>
        <w:overflowPunct/>
        <w:topLinePunct w:val="0"/>
        <w:autoSpaceDE/>
        <w:autoSpaceDN/>
        <w:bidi w:val="0"/>
        <w:adjustRightInd/>
        <w:snapToGrid/>
        <w:spacing w:line="500" w:lineRule="atLeast"/>
        <w:jc w:val="right"/>
        <w:textAlignment w:val="auto"/>
        <w:rPr>
          <w:rFonts w:hint="eastAsia" w:ascii="宋体" w:hAnsi="宋体" w:eastAsia="宋体" w:cs="宋体"/>
          <w:color w:val="auto"/>
          <w:sz w:val="24"/>
          <w:szCs w:val="24"/>
        </w:rPr>
      </w:pPr>
      <w:r>
        <w:rPr>
          <w:rFonts w:hint="eastAsia" w:ascii="宋体" w:hAnsi="宋体" w:eastAsia="宋体" w:cs="宋体"/>
          <w:sz w:val="24"/>
          <w:szCs w:val="24"/>
        </w:rPr>
        <w:t>2025年09月24日</w:t>
      </w:r>
    </w:p>
    <w:p w14:paraId="076EEB88">
      <w:pPr>
        <w:keepNext w:val="0"/>
        <w:keepLines w:val="0"/>
        <w:pageBreakBefore w:val="0"/>
        <w:kinsoku/>
        <w:wordWrap/>
        <w:overflowPunct/>
        <w:topLinePunct w:val="0"/>
        <w:autoSpaceDE/>
        <w:autoSpaceDN/>
        <w:bidi w:val="0"/>
        <w:adjustRightInd/>
        <w:snapToGrid/>
        <w:spacing w:line="500" w:lineRule="atLeast"/>
        <w:jc w:val="center"/>
        <w:textAlignment w:val="auto"/>
        <w:outlineLvl w:val="0"/>
        <w:rPr>
          <w:rFonts w:hint="eastAsia" w:ascii="宋体" w:hAnsi="宋体" w:eastAsia="宋体" w:cs="宋体"/>
          <w:b/>
          <w:color w:val="auto"/>
          <w:sz w:val="28"/>
          <w:szCs w:val="28"/>
        </w:rPr>
      </w:pPr>
    </w:p>
    <w:p w14:paraId="65A1135A">
      <w:pPr>
        <w:keepNext w:val="0"/>
        <w:keepLines w:val="0"/>
        <w:pageBreakBefore w:val="0"/>
        <w:kinsoku/>
        <w:wordWrap/>
        <w:overflowPunct/>
        <w:topLinePunct w:val="0"/>
        <w:autoSpaceDE/>
        <w:autoSpaceDN/>
        <w:bidi w:val="0"/>
        <w:adjustRightInd/>
        <w:snapToGrid/>
        <w:spacing w:line="500" w:lineRule="atLeast"/>
        <w:jc w:val="center"/>
        <w:textAlignment w:val="auto"/>
        <w:outlineLvl w:val="0"/>
        <w:rPr>
          <w:rFonts w:hint="eastAsia" w:ascii="宋体" w:hAnsi="宋体" w:eastAsia="宋体" w:cs="宋体"/>
          <w:b/>
          <w:color w:val="auto"/>
          <w:sz w:val="28"/>
          <w:szCs w:val="28"/>
        </w:rPr>
      </w:pPr>
    </w:p>
    <w:p w14:paraId="1F94F15C">
      <w:pPr>
        <w:keepNext w:val="0"/>
        <w:keepLines w:val="0"/>
        <w:pageBreakBefore w:val="0"/>
        <w:kinsoku/>
        <w:wordWrap/>
        <w:overflowPunct/>
        <w:topLinePunct w:val="0"/>
        <w:autoSpaceDE/>
        <w:autoSpaceDN/>
        <w:bidi w:val="0"/>
        <w:adjustRightInd/>
        <w:snapToGrid/>
        <w:spacing w:line="500" w:lineRule="atLeast"/>
        <w:jc w:val="center"/>
        <w:textAlignment w:val="auto"/>
        <w:outlineLvl w:val="0"/>
        <w:rPr>
          <w:rFonts w:hint="eastAsia" w:ascii="宋体" w:hAnsi="宋体" w:eastAsia="宋体" w:cs="宋体"/>
          <w:b/>
          <w:color w:val="auto"/>
          <w:sz w:val="28"/>
          <w:szCs w:val="28"/>
        </w:rPr>
      </w:pPr>
    </w:p>
    <w:p w14:paraId="6D6AD2BC">
      <w:pPr>
        <w:keepNext w:val="0"/>
        <w:keepLines w:val="0"/>
        <w:pageBreakBefore w:val="0"/>
        <w:kinsoku/>
        <w:wordWrap/>
        <w:overflowPunct/>
        <w:topLinePunct w:val="0"/>
        <w:autoSpaceDE/>
        <w:autoSpaceDN/>
        <w:bidi w:val="0"/>
        <w:adjustRightInd/>
        <w:snapToGrid/>
        <w:spacing w:line="500" w:lineRule="atLeast"/>
        <w:jc w:val="center"/>
        <w:textAlignment w:val="auto"/>
        <w:outlineLvl w:val="0"/>
        <w:rPr>
          <w:rFonts w:hint="eastAsia" w:ascii="宋体" w:hAnsi="宋体" w:eastAsia="宋体" w:cs="宋体"/>
          <w:b/>
          <w:color w:val="auto"/>
          <w:sz w:val="28"/>
          <w:szCs w:val="28"/>
        </w:rPr>
      </w:pPr>
    </w:p>
    <w:p w14:paraId="71D4FD1A">
      <w:pPr>
        <w:spacing w:line="480" w:lineRule="exact"/>
        <w:jc w:val="center"/>
        <w:outlineLvl w:val="0"/>
        <w:rPr>
          <w:rFonts w:hint="eastAsia" w:ascii="宋体" w:hAnsi="宋体" w:eastAsia="宋体" w:cs="宋体"/>
          <w:b/>
          <w:color w:val="auto"/>
          <w:sz w:val="28"/>
          <w:szCs w:val="28"/>
        </w:rPr>
      </w:pPr>
    </w:p>
    <w:p w14:paraId="5CC31616">
      <w:pPr>
        <w:spacing w:line="480" w:lineRule="exact"/>
        <w:jc w:val="center"/>
        <w:outlineLvl w:val="0"/>
        <w:rPr>
          <w:rFonts w:hint="eastAsia" w:ascii="宋体" w:hAnsi="宋体" w:eastAsia="宋体" w:cs="宋体"/>
          <w:b/>
          <w:color w:val="auto"/>
          <w:sz w:val="28"/>
          <w:szCs w:val="28"/>
        </w:rPr>
      </w:pPr>
    </w:p>
    <w:p w14:paraId="51B683AA">
      <w:pPr>
        <w:spacing w:line="480" w:lineRule="exact"/>
        <w:jc w:val="center"/>
        <w:outlineLvl w:val="0"/>
        <w:rPr>
          <w:rFonts w:hint="eastAsia" w:ascii="宋体" w:hAnsi="宋体" w:eastAsia="宋体" w:cs="宋体"/>
          <w:b/>
          <w:color w:val="auto"/>
          <w:sz w:val="28"/>
          <w:szCs w:val="28"/>
        </w:rPr>
      </w:pPr>
    </w:p>
    <w:p w14:paraId="37E14EC2">
      <w:pPr>
        <w:spacing w:line="480" w:lineRule="exact"/>
        <w:jc w:val="center"/>
        <w:outlineLvl w:val="0"/>
        <w:rPr>
          <w:rFonts w:hint="eastAsia" w:ascii="宋体" w:hAnsi="宋体" w:eastAsia="宋体" w:cs="宋体"/>
          <w:b/>
          <w:color w:val="auto"/>
          <w:sz w:val="28"/>
          <w:szCs w:val="28"/>
        </w:rPr>
      </w:pPr>
    </w:p>
    <w:p w14:paraId="06AFDF99">
      <w:pPr>
        <w:spacing w:line="480" w:lineRule="exact"/>
        <w:jc w:val="center"/>
        <w:outlineLvl w:val="0"/>
        <w:rPr>
          <w:rFonts w:hint="eastAsia" w:ascii="宋体" w:hAnsi="宋体" w:eastAsia="宋体" w:cs="宋体"/>
          <w:b/>
          <w:color w:val="auto"/>
          <w:sz w:val="28"/>
          <w:szCs w:val="28"/>
        </w:rPr>
      </w:pPr>
    </w:p>
    <w:p w14:paraId="7F07FC15">
      <w:pPr>
        <w:spacing w:line="480" w:lineRule="exact"/>
        <w:jc w:val="center"/>
        <w:outlineLvl w:val="0"/>
        <w:rPr>
          <w:rFonts w:hint="eastAsia" w:ascii="宋体" w:hAnsi="宋体" w:eastAsia="宋体" w:cs="宋体"/>
          <w:b/>
          <w:color w:val="auto"/>
          <w:sz w:val="28"/>
          <w:szCs w:val="28"/>
        </w:rPr>
      </w:pPr>
    </w:p>
    <w:p w14:paraId="693BB5B5">
      <w:pPr>
        <w:spacing w:line="480" w:lineRule="exact"/>
        <w:jc w:val="center"/>
        <w:outlineLvl w:val="0"/>
        <w:rPr>
          <w:rFonts w:hint="eastAsia" w:ascii="宋体" w:hAnsi="宋体" w:eastAsia="宋体" w:cs="宋体"/>
          <w:b/>
          <w:color w:val="auto"/>
          <w:sz w:val="28"/>
          <w:szCs w:val="28"/>
        </w:rPr>
      </w:pP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rPr>
        <w:t>章  磋商须知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F97EFB9">
      <w:pPr>
        <w:spacing w:line="480" w:lineRule="exact"/>
        <w:ind w:firstLine="241" w:firstLineChars="100"/>
        <w:jc w:val="left"/>
        <w:outlineLvl w:val="1"/>
        <w:rPr>
          <w:rFonts w:hint="eastAsia" w:ascii="宋体" w:hAnsi="宋体" w:eastAsia="宋体" w:cs="宋体"/>
          <w:b/>
          <w:color w:val="auto"/>
          <w:sz w:val="24"/>
          <w:szCs w:val="24"/>
        </w:rPr>
      </w:pPr>
      <w:bookmarkStart w:id="23" w:name="_Toc167591029"/>
      <w:bookmarkStart w:id="24" w:name="_Toc245657539"/>
      <w:bookmarkStart w:id="25" w:name="_Toc167591316"/>
      <w:bookmarkStart w:id="26" w:name="_Toc208337150"/>
      <w:bookmarkStart w:id="27" w:name="_Toc169846762"/>
      <w:bookmarkStart w:id="28" w:name="_Toc245658520"/>
      <w:bookmarkStart w:id="29" w:name="_Toc175032423"/>
      <w:bookmarkStart w:id="30" w:name="_Toc170980538"/>
      <w:bookmarkStart w:id="31" w:name="_Toc245176651"/>
      <w:bookmarkStart w:id="32" w:name="_Toc169838518"/>
      <w:bookmarkStart w:id="33" w:name="_Toc170980440"/>
      <w:bookmarkStart w:id="34" w:name="_Toc167591478"/>
      <w:bookmarkStart w:id="35" w:name="_Toc167590761"/>
      <w:bookmarkStart w:id="36" w:name="_Toc169846859"/>
      <w:bookmarkStart w:id="37" w:name="_Toc175033578"/>
      <w:bookmarkStart w:id="38" w:name="_Toc244623577"/>
      <w:bookmarkStart w:id="39" w:name="_Toc167849346"/>
      <w:bookmarkStart w:id="40" w:name="_Toc173549964"/>
      <w:bookmarkStart w:id="41" w:name="_Toc207897902"/>
      <w:bookmarkStart w:id="42" w:name="_Toc154482465"/>
      <w:bookmarkStart w:id="43" w:name="_Toc167591130"/>
      <w:r>
        <w:rPr>
          <w:rFonts w:hint="eastAsia" w:ascii="宋体" w:hAnsi="宋体" w:eastAsia="宋体" w:cs="宋体"/>
          <w:b/>
          <w:color w:val="auto"/>
          <w:sz w:val="24"/>
          <w:szCs w:val="24"/>
        </w:rPr>
        <w:t>一、 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F63DA5C">
      <w:pPr>
        <w:spacing w:line="480" w:lineRule="exact"/>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本次磋商依据《中华人民共和国政府采购法</w:t>
      </w:r>
      <w:r>
        <w:rPr>
          <w:rFonts w:hint="eastAsia" w:ascii="宋体" w:hAnsi="宋体" w:eastAsia="宋体" w:cs="宋体"/>
          <w:color w:val="auto"/>
          <w:kern w:val="0"/>
          <w:sz w:val="24"/>
          <w:szCs w:val="24"/>
          <w:lang w:eastAsia="zh-CN"/>
        </w:rPr>
        <w:t>》《中华人民共和国政府采购法实施条例》《</w:t>
      </w:r>
      <w:r>
        <w:rPr>
          <w:rFonts w:hint="eastAsia" w:ascii="宋体" w:hAnsi="宋体" w:eastAsia="宋体" w:cs="宋体"/>
          <w:snapToGrid w:val="0"/>
          <w:color w:val="auto"/>
          <w:kern w:val="0"/>
          <w:sz w:val="24"/>
          <w:szCs w:val="24"/>
        </w:rPr>
        <w:t>政府采购竞争性磋商采购方式管理暂行办法》</w:t>
      </w:r>
      <w:r>
        <w:rPr>
          <w:rFonts w:hint="eastAsia" w:ascii="宋体" w:hAnsi="宋体" w:eastAsia="宋体" w:cs="宋体"/>
          <w:color w:val="auto"/>
          <w:kern w:val="0"/>
          <w:sz w:val="24"/>
          <w:szCs w:val="24"/>
        </w:rPr>
        <w:t>及国家现行有关法律法规执行。</w:t>
      </w:r>
    </w:p>
    <w:p w14:paraId="724B8F6C">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1．采购人、采购代理机构、监督管理机构</w:t>
      </w:r>
    </w:p>
    <w:p w14:paraId="036AB147">
      <w:pPr>
        <w:spacing w:line="480" w:lineRule="exact"/>
        <w:ind w:left="559" w:leftChars="266"/>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rPr>
        <w:t>1.1 采购人</w:t>
      </w:r>
      <w:r>
        <w:rPr>
          <w:rFonts w:hint="eastAsia" w:ascii="宋体" w:hAnsi="宋体" w:eastAsia="宋体" w:cs="宋体"/>
          <w:color w:val="auto"/>
          <w:kern w:val="0"/>
          <w:sz w:val="24"/>
          <w:szCs w:val="24"/>
        </w:rPr>
        <w:t>：</w:t>
      </w:r>
      <w:r>
        <w:rPr>
          <w:rFonts w:hint="eastAsia" w:ascii="宋体" w:hAnsi="宋体" w:cs="宋体"/>
          <w:color w:val="auto"/>
          <w:kern w:val="0"/>
          <w:sz w:val="24"/>
          <w:szCs w:val="24"/>
          <w:lang w:eastAsia="zh-CN"/>
        </w:rPr>
        <w:t>镇坪县农业技术推广站</w:t>
      </w:r>
    </w:p>
    <w:p w14:paraId="05FDA6F0">
      <w:pPr>
        <w:spacing w:line="480" w:lineRule="exact"/>
        <w:ind w:left="559" w:leftChars="266"/>
        <w:rPr>
          <w:rFonts w:hint="eastAsia" w:ascii="宋体" w:hAnsi="宋体" w:cs="宋体"/>
          <w:color w:val="auto"/>
          <w:kern w:val="0"/>
          <w:sz w:val="24"/>
          <w:szCs w:val="24"/>
          <w:lang w:eastAsia="zh-CN"/>
        </w:rPr>
      </w:pPr>
      <w:r>
        <w:rPr>
          <w:rFonts w:hint="eastAsia" w:ascii="宋体" w:hAnsi="宋体" w:eastAsia="宋体" w:cs="宋体"/>
          <w:color w:val="auto"/>
          <w:sz w:val="24"/>
          <w:szCs w:val="24"/>
        </w:rPr>
        <w:t>1.2 采购代理机构：</w:t>
      </w:r>
      <w:r>
        <w:rPr>
          <w:rFonts w:hint="eastAsia" w:ascii="宋体" w:hAnsi="宋体" w:cs="宋体"/>
          <w:color w:val="auto"/>
          <w:kern w:val="0"/>
          <w:sz w:val="24"/>
          <w:szCs w:val="24"/>
          <w:lang w:eastAsia="zh-CN"/>
        </w:rPr>
        <w:t>安康远程智信项目管理有限公司</w:t>
      </w:r>
    </w:p>
    <w:p w14:paraId="6A1503EC">
      <w:pPr>
        <w:spacing w:line="480" w:lineRule="exact"/>
        <w:ind w:left="559" w:leftChars="266"/>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监督管理机构：</w:t>
      </w:r>
      <w:r>
        <w:rPr>
          <w:rFonts w:hint="eastAsia" w:ascii="宋体" w:hAnsi="宋体" w:cs="宋体"/>
          <w:color w:val="auto"/>
          <w:kern w:val="0"/>
          <w:sz w:val="24"/>
          <w:szCs w:val="24"/>
          <w:lang w:eastAsia="zh-CN"/>
        </w:rPr>
        <w:t>镇坪县</w:t>
      </w:r>
      <w:r>
        <w:rPr>
          <w:rFonts w:hint="eastAsia" w:ascii="宋体" w:hAnsi="宋体" w:eastAsia="宋体" w:cs="宋体"/>
          <w:bCs/>
          <w:color w:val="auto"/>
          <w:sz w:val="24"/>
          <w:szCs w:val="24"/>
          <w:lang w:bidi="ar"/>
        </w:rPr>
        <w:t>财政局</w:t>
      </w:r>
    </w:p>
    <w:p w14:paraId="50CF1E91">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2、合格的供应商、合格的货物和服务</w:t>
      </w:r>
    </w:p>
    <w:p w14:paraId="781735B0">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2.1</w:t>
      </w:r>
      <w:r>
        <w:rPr>
          <w:rFonts w:hint="eastAsia" w:ascii="宋体" w:hAnsi="宋体" w:cs="宋体"/>
          <w:b/>
          <w:color w:val="auto"/>
          <w:sz w:val="24"/>
          <w:szCs w:val="24"/>
          <w:lang w:val="en-US" w:eastAsia="zh-CN"/>
        </w:rPr>
        <w:t>.1</w:t>
      </w:r>
      <w:r>
        <w:rPr>
          <w:rFonts w:hint="eastAsia" w:ascii="宋体" w:hAnsi="宋体" w:eastAsia="宋体" w:cs="宋体"/>
          <w:b/>
          <w:color w:val="auto"/>
          <w:sz w:val="24"/>
          <w:szCs w:val="24"/>
        </w:rPr>
        <w:t xml:space="preserve"> 合格的供应商</w:t>
      </w:r>
    </w:p>
    <w:p w14:paraId="40D21180">
      <w:pPr>
        <w:spacing w:line="500" w:lineRule="exact"/>
        <w:ind w:firstLine="240" w:firstLineChars="1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（一）基本资格条件：符合《中华人民共和国政府采购法》第二十二条的规定；</w:t>
      </w:r>
    </w:p>
    <w:p w14:paraId="0ED75820">
      <w:pPr>
        <w:spacing w:line="48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（二）特定资格条件</w:t>
      </w:r>
      <w:r>
        <w:rPr>
          <w:rFonts w:hint="eastAsia" w:ascii="宋体" w:hAnsi="宋体" w:eastAsia="宋体" w:cs="宋体"/>
          <w:color w:val="auto"/>
          <w:sz w:val="24"/>
          <w:szCs w:val="24"/>
          <w:lang w:eastAsia="zh-CN"/>
        </w:rPr>
        <w:t>：</w:t>
      </w:r>
    </w:p>
    <w:p w14:paraId="7340FA0D">
      <w:pPr>
        <w:pStyle w:val="2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（2）法定代表人参加投标时，提供本人身份证复印件；授权代表参加投标时，提供法定代表人授权委托书、法定代表人和被授权人身份证复印件；</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（3）供应商须提供所投产品的肥料登记证或省级农业农村部门肥料备案信息系统的备案凭证（供应商为代理商的提供加盖厂家公章的肥料登记证或备案证明材料）；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（4）参加本次政府采购活动前三年内在经营活动中没有重大违纪，以及未被列入失信被执行人、重大税收违法失信主体、政府采购严重违法失信行为记录名单的书面声明；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供应商通过“信用中国”网站（www.creditchina.gov.cn）和中国政府采购网（www.ccgp.gov.cn）等渠道查询相关主体信用记录，对列入失信被执行人、重大税收违法失信主体、政府采购严重违法失信行为记录名单的供应商，将拒绝其参与政府采购活动；</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农、林、牧、渔业；供应商为监狱企业的，应提供监狱企业的证明文件；供应商为残疾人福利性单位的，应提供《残疾人福利性单位声明函》。</w:t>
      </w:r>
    </w:p>
    <w:p w14:paraId="436ABE54">
      <w:pPr>
        <w:pStyle w:val="9"/>
        <w:spacing w:after="0"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cs="宋体"/>
          <w:b/>
          <w:bCs/>
          <w:color w:val="auto"/>
          <w:sz w:val="24"/>
          <w:szCs w:val="24"/>
          <w:lang w:val="en-US" w:eastAsia="zh-CN"/>
        </w:rPr>
        <w:t>1.2</w:t>
      </w:r>
      <w:r>
        <w:rPr>
          <w:rFonts w:hint="eastAsia" w:ascii="宋体" w:hAnsi="宋体" w:eastAsia="宋体" w:cs="宋体"/>
          <w:b/>
          <w:bCs/>
          <w:color w:val="auto"/>
          <w:sz w:val="24"/>
          <w:szCs w:val="24"/>
        </w:rPr>
        <w:t xml:space="preserve"> 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02BF8666">
      <w:pPr>
        <w:spacing w:line="440" w:lineRule="exact"/>
        <w:ind w:firstLine="482" w:firstLineChars="200"/>
        <w:rPr>
          <w:rFonts w:hint="eastAsia" w:ascii="宋体" w:hAnsi="宋体" w:eastAsia="宋体" w:cs="宋体"/>
          <w:b/>
          <w:bCs/>
          <w:color w:val="auto"/>
          <w:sz w:val="24"/>
          <w:szCs w:val="24"/>
        </w:rPr>
      </w:pPr>
      <w:bookmarkStart w:id="44" w:name="_Toc170980539"/>
      <w:bookmarkStart w:id="45" w:name="_Toc175032424"/>
      <w:bookmarkStart w:id="46" w:name="_Toc245176652"/>
      <w:bookmarkStart w:id="47" w:name="_Toc169838519"/>
      <w:bookmarkStart w:id="48" w:name="_Toc167591479"/>
      <w:bookmarkStart w:id="49" w:name="_Toc154482466"/>
      <w:bookmarkStart w:id="50" w:name="_Toc175033579"/>
      <w:bookmarkStart w:id="51" w:name="_Toc169846763"/>
      <w:bookmarkStart w:id="52" w:name="_Toc167590762"/>
      <w:bookmarkStart w:id="53" w:name="_Toc167849347"/>
      <w:bookmarkStart w:id="54" w:name="_Toc207897903"/>
      <w:bookmarkStart w:id="55" w:name="_Toc208337151"/>
      <w:bookmarkStart w:id="56" w:name="_Toc167591131"/>
      <w:bookmarkStart w:id="57" w:name="_Toc167591317"/>
      <w:bookmarkStart w:id="58" w:name="_Toc169846860"/>
      <w:bookmarkStart w:id="59" w:name="_Toc170980441"/>
      <w:bookmarkStart w:id="60" w:name="_Toc244623578"/>
      <w:bookmarkStart w:id="61" w:name="_Toc245658521"/>
      <w:bookmarkStart w:id="62" w:name="_Toc245657540"/>
      <w:bookmarkStart w:id="63" w:name="_Toc167591030"/>
      <w:bookmarkStart w:id="64" w:name="_Toc173549965"/>
      <w:r>
        <w:rPr>
          <w:rFonts w:hint="eastAsia" w:ascii="宋体" w:hAnsi="宋体" w:eastAsia="宋体" w:cs="宋体"/>
          <w:b/>
          <w:bCs/>
          <w:color w:val="auto"/>
          <w:sz w:val="24"/>
          <w:szCs w:val="24"/>
        </w:rPr>
        <w:t>2.2 合格的货物与服务</w:t>
      </w:r>
    </w:p>
    <w:p w14:paraId="5B51B987">
      <w:pPr>
        <w:spacing w:line="44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2.2.1 投标所用货物及其有关服务，均应来自上述2.1条款所规定的合格</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p>
    <w:p w14:paraId="7B59DBDB">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 货物系指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按磋商文件规定，向采购人提供的符合磋商文件要求的相关的货物。</w:t>
      </w:r>
    </w:p>
    <w:p w14:paraId="4E0823B0">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 服务系指磋商文件规定的，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须承担的与投标货物有关的辅助服务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如包装、运输、售后服务以及其他类似的义务。</w:t>
      </w:r>
    </w:p>
    <w:p w14:paraId="7D0CC926">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3．磋商费用</w:t>
      </w:r>
    </w:p>
    <w:p w14:paraId="6567B83B">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供应商应承担所有与准备和参加磋商有关的全部费用。</w:t>
      </w:r>
    </w:p>
    <w:p w14:paraId="03A971A2">
      <w:pPr>
        <w:spacing w:line="480" w:lineRule="exact"/>
        <w:jc w:val="center"/>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10B73AC">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4．磋商文件构成</w:t>
      </w:r>
    </w:p>
    <w:p w14:paraId="04A4705F">
      <w:pPr>
        <w:spacing w:line="4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磋商文件包括下列内容：</w:t>
      </w:r>
    </w:p>
    <w:p w14:paraId="0B433A45">
      <w:pPr>
        <w:spacing w:line="4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第一章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磋商公告</w:t>
      </w:r>
    </w:p>
    <w:p w14:paraId="31B7EF40">
      <w:pPr>
        <w:spacing w:line="4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 xml:space="preserve">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磋商须知</w:t>
      </w:r>
    </w:p>
    <w:p w14:paraId="08DC26FA">
      <w:pPr>
        <w:spacing w:line="4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 xml:space="preserve">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商务条款</w:t>
      </w:r>
    </w:p>
    <w:p w14:paraId="613859E7">
      <w:pPr>
        <w:spacing w:line="4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 xml:space="preserve">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合同条款及格式</w:t>
      </w:r>
    </w:p>
    <w:p w14:paraId="3BAE56E5">
      <w:pPr>
        <w:spacing w:line="4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第五章  采购内容及技术参数和要求</w:t>
      </w:r>
    </w:p>
    <w:p w14:paraId="5D76DD86">
      <w:pPr>
        <w:spacing w:line="4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第六章  磋商响应文件基本格式</w:t>
      </w:r>
    </w:p>
    <w:p w14:paraId="11BB5C1C">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5．磋商文件的澄清和修改</w:t>
      </w:r>
    </w:p>
    <w:p w14:paraId="45E7F9C6">
      <w:pPr>
        <w:spacing w:line="480" w:lineRule="exact"/>
        <w:ind w:firstLine="470" w:firstLineChars="196"/>
        <w:rPr>
          <w:rFonts w:hint="eastAsia" w:ascii="宋体" w:hAnsi="宋体" w:eastAsia="宋体" w:cs="宋体"/>
          <w:color w:val="auto"/>
          <w:sz w:val="24"/>
          <w:szCs w:val="24"/>
        </w:rPr>
      </w:pPr>
      <w:bookmarkStart w:id="65" w:name="_Toc167591480"/>
      <w:bookmarkStart w:id="66" w:name="_Toc245658522"/>
      <w:bookmarkStart w:id="67" w:name="_Toc167590763"/>
      <w:bookmarkStart w:id="68" w:name="_Toc169846764"/>
      <w:bookmarkStart w:id="69" w:name="_Toc175033580"/>
      <w:bookmarkStart w:id="70" w:name="_Toc169838520"/>
      <w:bookmarkStart w:id="71" w:name="_Toc245657541"/>
      <w:bookmarkStart w:id="72" w:name="_Toc169846861"/>
      <w:bookmarkStart w:id="73" w:name="_Toc173549966"/>
      <w:bookmarkStart w:id="74" w:name="_Toc175032425"/>
      <w:bookmarkStart w:id="75" w:name="_Toc167591031"/>
      <w:bookmarkStart w:id="76" w:name="_Toc167849348"/>
      <w:bookmarkStart w:id="77" w:name="_Toc154482467"/>
      <w:bookmarkStart w:id="78" w:name="_Toc245176653"/>
      <w:bookmarkStart w:id="79" w:name="_Toc244623579"/>
      <w:bookmarkStart w:id="80" w:name="_Toc167591132"/>
      <w:bookmarkStart w:id="81" w:name="_Toc207897904"/>
      <w:bookmarkStart w:id="82" w:name="_Toc167591318"/>
      <w:bookmarkStart w:id="83" w:name="_Toc170980540"/>
      <w:bookmarkStart w:id="84" w:name="_Toc208337152"/>
      <w:bookmarkStart w:id="85" w:name="_Toc170980442"/>
      <w:r>
        <w:rPr>
          <w:rFonts w:hint="eastAsia" w:ascii="宋体" w:hAnsi="宋体" w:eastAsia="宋体" w:cs="宋体"/>
          <w:color w:val="auto"/>
          <w:sz w:val="24"/>
          <w:szCs w:val="24"/>
        </w:rPr>
        <w:t>5.1 提交首次磋商响应文件截止之日前，采购人可以对已发出的磋商文件进行必要的澄清或者修改，澄清或者修改的内容作为磋商文件的组成部分。澄清或者修改的内容可能影响磋商响应文件编制的，磋商人在提交首次磋商响应文件截止时间5日前，以书面形式通知所有获取磋商文件的供应商；不足5日的，采购人应顺延提交首次磋商响应文件截止时间。</w:t>
      </w:r>
    </w:p>
    <w:p w14:paraId="01E6852A">
      <w:pPr>
        <w:spacing w:line="4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5.2 任何要求对磋商文件进行澄清的供应商均应在磋商响应文件递交截止期3日前以书面形式通知采购代理机构（邮箱</w:t>
      </w:r>
      <w:r>
        <w:rPr>
          <w:rFonts w:hint="eastAsia" w:ascii="宋体" w:hAnsi="宋体" w:cs="宋体"/>
          <w:color w:val="auto"/>
          <w:sz w:val="24"/>
          <w:szCs w:val="24"/>
          <w:lang w:val="en-US" w:eastAsia="zh-CN"/>
        </w:rPr>
        <w:t>1191898102</w:t>
      </w:r>
      <w:r>
        <w:rPr>
          <w:rFonts w:hint="eastAsia" w:ascii="宋体" w:hAnsi="宋体" w:eastAsia="宋体" w:cs="宋体"/>
          <w:color w:val="auto"/>
          <w:sz w:val="24"/>
          <w:szCs w:val="24"/>
        </w:rPr>
        <w:t>@qq.com），采购代理机构对供应商所要求澄清的内容以书面形式予以答复。供应商在规定的时间内未要求对磋商文件澄清或提出疑问的，将视其为无异议。</w:t>
      </w:r>
    </w:p>
    <w:p w14:paraId="776B8FB8">
      <w:pPr>
        <w:spacing w:line="4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5.3 采购代理机构对磋商文件的修改将以书面形式发给所有磋商文件收受人，该修改书将构成磋商文件的一部分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对供应商有约束力。供应商在收到后应立即以书面形式（电子邮件）予以确认。</w:t>
      </w:r>
    </w:p>
    <w:p w14:paraId="3951D940">
      <w:pPr>
        <w:spacing w:line="4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5.4 在磋商过程中，磋商文件如有实质性变动的，磋商小组应当以书面形式通知所有参加磋商的供应商。</w:t>
      </w:r>
    </w:p>
    <w:p w14:paraId="7DCFB2B2">
      <w:pPr>
        <w:spacing w:line="4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5.5 采购人可以视采购具体情况，延长磋商文件提交截止时间和磋商时间，并将变更时间书面通知所有磋商文件收受人。</w:t>
      </w:r>
    </w:p>
    <w:p w14:paraId="7BED772E">
      <w:pPr>
        <w:spacing w:line="4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6.磋商文件的解释权归采购代理机构。</w:t>
      </w:r>
    </w:p>
    <w:p w14:paraId="492956A4">
      <w:pPr>
        <w:spacing w:line="480" w:lineRule="exact"/>
        <w:jc w:val="center"/>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三、磋商响应文件的编制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9BDAD2C">
      <w:pPr>
        <w:spacing w:line="480" w:lineRule="exact"/>
        <w:ind w:firstLine="482" w:firstLineChars="200"/>
        <w:jc w:val="left"/>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7．编制要求</w:t>
      </w:r>
    </w:p>
    <w:p w14:paraId="7092D78A">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供应商应认真阅读磋商文件的所有内容，严格按照磋商文件的要求编制和提供磋商响应文件，并保证所提供的全部资料的真实性，使磋商响应文件对磋商文件作出实质性响应。如果供应商在磋商响应文件中没有按照磋商文件要求提交全部资料或者磋商响应文件没有对磋商文件在各方面都</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实质性响应，其磋商将被拒绝。</w:t>
      </w:r>
    </w:p>
    <w:p w14:paraId="0F672FE5">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7.2供应商提交的磋商响应文件（包括产品的技术资料）以及供应商与采购代理机构就有关磋商的所有来往函电均应以中文书写。</w:t>
      </w:r>
    </w:p>
    <w:p w14:paraId="2EB55529">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8．磋商响应文件构成和格式</w:t>
      </w:r>
    </w:p>
    <w:p w14:paraId="5739BCA3">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 供应商编写的磋商响应文件应包括，但不限于下列部分，请按磋商文件提供的相应格式并依照下列顺序编写：</w:t>
      </w:r>
    </w:p>
    <w:p w14:paraId="6493971E">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响应函</w:t>
      </w:r>
    </w:p>
    <w:p w14:paraId="60C0A24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法定代表人授权委托书</w:t>
      </w:r>
    </w:p>
    <w:p w14:paraId="32C024D4">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磋商报价表</w:t>
      </w:r>
    </w:p>
    <w:p w14:paraId="2124F490">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分项报价表</w:t>
      </w:r>
    </w:p>
    <w:p w14:paraId="665FC0EB">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技术规格响应偏离表</w:t>
      </w:r>
    </w:p>
    <w:p w14:paraId="496973F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商务响应偏离表</w:t>
      </w:r>
    </w:p>
    <w:p w14:paraId="5628B0D8">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资格证明文件</w:t>
      </w:r>
    </w:p>
    <w:p w14:paraId="07546580">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磋商方案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售后服务承诺</w:t>
      </w:r>
    </w:p>
    <w:p w14:paraId="21739C1A">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供应商拒绝政府采购领域商业贿赂承诺</w:t>
      </w:r>
    </w:p>
    <w:p w14:paraId="6E129B38">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9．磋商报价</w:t>
      </w:r>
    </w:p>
    <w:p w14:paraId="180AD0A5">
      <w:pPr>
        <w:spacing w:line="440" w:lineRule="exact"/>
        <w:ind w:firstLine="480" w:firstLineChars="200"/>
        <w:rPr>
          <w:rFonts w:hint="eastAsia" w:ascii="宋体" w:hAnsi="宋体" w:cs="宋体"/>
          <w:bCs/>
          <w:color w:val="auto"/>
          <w:sz w:val="24"/>
        </w:rPr>
      </w:pPr>
      <w:r>
        <w:rPr>
          <w:rFonts w:hint="eastAsia" w:ascii="宋体" w:hAnsi="宋体" w:cs="宋体"/>
          <w:color w:val="auto"/>
          <w:sz w:val="24"/>
        </w:rPr>
        <w:t>9.1</w:t>
      </w:r>
      <w:r>
        <w:rPr>
          <w:rFonts w:hint="eastAsia" w:ascii="宋体" w:hAnsi="宋体" w:cs="宋体"/>
          <w:b/>
          <w:color w:val="auto"/>
          <w:sz w:val="24"/>
        </w:rPr>
        <w:t xml:space="preserve"> </w:t>
      </w:r>
      <w:r>
        <w:rPr>
          <w:rFonts w:hint="eastAsia" w:ascii="宋体" w:hAnsi="宋体" w:cs="宋体"/>
          <w:bCs/>
          <w:color w:val="auto"/>
          <w:sz w:val="24"/>
        </w:rPr>
        <w:t>投标报价为完成本项目所要求的全部</w:t>
      </w:r>
      <w:r>
        <w:rPr>
          <w:rFonts w:hint="eastAsia" w:ascii="宋体" w:hAnsi="宋体" w:cs="宋体"/>
          <w:bCs/>
          <w:color w:val="auto"/>
          <w:sz w:val="24"/>
          <w:lang w:eastAsia="zh-CN"/>
        </w:rPr>
        <w:t>货物及</w:t>
      </w:r>
      <w:r>
        <w:rPr>
          <w:rFonts w:hint="eastAsia" w:ascii="宋体" w:hAnsi="宋体" w:cs="宋体"/>
          <w:bCs/>
          <w:color w:val="auto"/>
          <w:sz w:val="24"/>
        </w:rPr>
        <w:t>服务所包含的全部费用，和国家按现行税收政策征收的一切税费。</w:t>
      </w:r>
    </w:p>
    <w:p w14:paraId="2E43E45F">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9.2 </w:t>
      </w:r>
      <w:r>
        <w:rPr>
          <w:rFonts w:hint="eastAsia" w:ascii="宋体" w:hAnsi="宋体" w:cs="宋体"/>
          <w:snapToGrid w:val="0"/>
          <w:color w:val="auto"/>
          <w:sz w:val="24"/>
          <w:lang w:eastAsia="zh-CN"/>
        </w:rPr>
        <w:t>供应商</w:t>
      </w:r>
      <w:r>
        <w:rPr>
          <w:rFonts w:hint="eastAsia" w:ascii="宋体" w:hAnsi="宋体" w:cs="宋体"/>
          <w:snapToGrid w:val="0"/>
          <w:color w:val="auto"/>
          <w:sz w:val="24"/>
        </w:rPr>
        <w:t>须对货物需求和</w:t>
      </w:r>
      <w:r>
        <w:rPr>
          <w:rFonts w:hint="eastAsia" w:ascii="宋体" w:hAnsi="宋体" w:cs="宋体"/>
          <w:color w:val="auto"/>
          <w:sz w:val="24"/>
        </w:rPr>
        <w:t>服务要求进行完整报价。采购人拒绝只对部分货物进行报价的投标。</w:t>
      </w:r>
      <w:r>
        <w:rPr>
          <w:rFonts w:hint="eastAsia" w:ascii="宋体" w:hAnsi="宋体" w:cs="宋体"/>
          <w:color w:val="auto"/>
          <w:sz w:val="24"/>
          <w:lang w:eastAsia="zh-CN"/>
        </w:rPr>
        <w:t>供应商</w:t>
      </w:r>
      <w:r>
        <w:rPr>
          <w:rFonts w:hint="eastAsia" w:ascii="宋体" w:hAnsi="宋体" w:cs="宋体"/>
          <w:color w:val="auto"/>
          <w:sz w:val="24"/>
        </w:rPr>
        <w:t>应在投标文件中的投标分项报价表上标明对本次招标拟提供货物和服务的单价和总价，任何有选择的报价将不予接受。</w:t>
      </w:r>
    </w:p>
    <w:p w14:paraId="1BE76416">
      <w:pPr>
        <w:spacing w:line="440" w:lineRule="exact"/>
        <w:ind w:firstLine="480" w:firstLineChars="200"/>
        <w:rPr>
          <w:rFonts w:hint="eastAsia" w:ascii="宋体" w:hAnsi="宋体" w:cs="宋体"/>
          <w:color w:val="auto"/>
          <w:sz w:val="24"/>
        </w:rPr>
      </w:pPr>
      <w:r>
        <w:rPr>
          <w:rFonts w:hint="eastAsia" w:ascii="宋体" w:hAnsi="宋体" w:cs="宋体"/>
          <w:color w:val="auto"/>
          <w:sz w:val="24"/>
        </w:rPr>
        <w:t>9.3 投标分项报价表上</w:t>
      </w:r>
      <w:r>
        <w:rPr>
          <w:rFonts w:hint="eastAsia" w:ascii="宋体" w:hAnsi="宋体" w:cs="宋体"/>
          <w:color w:val="auto"/>
          <w:sz w:val="24"/>
          <w:lang w:eastAsia="zh-CN"/>
        </w:rPr>
        <w:t>的</w:t>
      </w:r>
      <w:r>
        <w:rPr>
          <w:rFonts w:hint="eastAsia" w:ascii="宋体" w:hAnsi="宋体" w:cs="宋体"/>
          <w:color w:val="auto"/>
          <w:sz w:val="24"/>
        </w:rPr>
        <w:t>价格应按下列要求分项填写：</w:t>
      </w:r>
    </w:p>
    <w:p w14:paraId="15E84EA1">
      <w:pPr>
        <w:spacing w:line="440" w:lineRule="exact"/>
        <w:ind w:firstLine="480" w:firstLineChars="200"/>
        <w:rPr>
          <w:rFonts w:hint="eastAsia" w:ascii="宋体" w:hAnsi="宋体" w:cs="宋体"/>
          <w:color w:val="auto"/>
          <w:sz w:val="24"/>
        </w:rPr>
      </w:pPr>
      <w:r>
        <w:rPr>
          <w:rFonts w:hint="eastAsia" w:ascii="宋体" w:hAnsi="宋体" w:cs="宋体"/>
          <w:color w:val="auto"/>
          <w:sz w:val="24"/>
        </w:rPr>
        <w:t>9.3.1 所供货物的分项报价</w:t>
      </w:r>
    </w:p>
    <w:p w14:paraId="3DFDD78D">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9.3.2 </w:t>
      </w:r>
      <w:r>
        <w:rPr>
          <w:rFonts w:hint="eastAsia" w:ascii="宋体" w:hAnsi="宋体" w:cs="宋体"/>
          <w:color w:val="auto"/>
          <w:sz w:val="24"/>
          <w:lang w:eastAsia="zh-CN"/>
        </w:rPr>
        <w:t>其他</w:t>
      </w:r>
      <w:r>
        <w:rPr>
          <w:rFonts w:hint="eastAsia" w:ascii="宋体" w:hAnsi="宋体" w:cs="宋体"/>
          <w:color w:val="auto"/>
          <w:sz w:val="24"/>
        </w:rPr>
        <w:t>费用</w:t>
      </w:r>
    </w:p>
    <w:p w14:paraId="5504D8A1">
      <w:pPr>
        <w:tabs>
          <w:tab w:val="left" w:pos="1080"/>
        </w:tabs>
        <w:spacing w:line="440" w:lineRule="exact"/>
        <w:ind w:firstLine="480" w:firstLineChars="200"/>
        <w:rPr>
          <w:rFonts w:hint="eastAsia" w:ascii="宋体" w:hAnsi="宋体" w:cs="宋体"/>
          <w:color w:val="auto"/>
          <w:sz w:val="24"/>
        </w:rPr>
      </w:pPr>
      <w:r>
        <w:rPr>
          <w:rFonts w:hint="eastAsia" w:ascii="宋体" w:hAnsi="宋体" w:cs="宋体"/>
          <w:color w:val="auto"/>
          <w:sz w:val="24"/>
        </w:rPr>
        <w:t>9.3.3 货物运至指定地点的运输（含保险）费用</w:t>
      </w:r>
    </w:p>
    <w:p w14:paraId="779EB009">
      <w:pPr>
        <w:spacing w:line="440" w:lineRule="exact"/>
        <w:ind w:firstLine="480" w:firstLineChars="200"/>
        <w:rPr>
          <w:rFonts w:hint="eastAsia" w:ascii="宋体" w:hAnsi="宋体" w:cs="宋体"/>
          <w:color w:val="auto"/>
          <w:sz w:val="24"/>
        </w:rPr>
      </w:pPr>
      <w:r>
        <w:rPr>
          <w:rFonts w:hint="eastAsia" w:ascii="宋体" w:hAnsi="宋体" w:cs="宋体"/>
          <w:color w:val="auto"/>
          <w:sz w:val="24"/>
        </w:rPr>
        <w:t>9.3.4 所有根据合同</w:t>
      </w:r>
      <w:r>
        <w:rPr>
          <w:rFonts w:hint="eastAsia" w:ascii="宋体" w:hAnsi="宋体" w:cs="宋体"/>
          <w:color w:val="auto"/>
          <w:sz w:val="24"/>
          <w:lang w:eastAsia="zh-CN"/>
        </w:rPr>
        <w:t>或其他</w:t>
      </w:r>
      <w:r>
        <w:rPr>
          <w:rFonts w:hint="eastAsia" w:ascii="宋体" w:hAnsi="宋体" w:cs="宋体"/>
          <w:color w:val="auto"/>
          <w:sz w:val="24"/>
        </w:rPr>
        <w:t>原因应由</w:t>
      </w:r>
      <w:r>
        <w:rPr>
          <w:rFonts w:hint="eastAsia" w:ascii="宋体" w:hAnsi="宋体" w:cs="宋体"/>
          <w:color w:val="auto"/>
          <w:sz w:val="24"/>
          <w:lang w:eastAsia="zh-CN"/>
        </w:rPr>
        <w:t>供应商</w:t>
      </w:r>
      <w:r>
        <w:rPr>
          <w:rFonts w:hint="eastAsia" w:ascii="宋体" w:hAnsi="宋体" w:cs="宋体"/>
          <w:color w:val="auto"/>
          <w:sz w:val="24"/>
        </w:rPr>
        <w:t>支付的税款和</w:t>
      </w:r>
      <w:r>
        <w:rPr>
          <w:rFonts w:hint="eastAsia" w:ascii="宋体" w:hAnsi="宋体" w:cs="宋体"/>
          <w:color w:val="auto"/>
          <w:sz w:val="24"/>
          <w:lang w:eastAsia="zh-CN"/>
        </w:rPr>
        <w:t>其他</w:t>
      </w:r>
      <w:r>
        <w:rPr>
          <w:rFonts w:hint="eastAsia" w:ascii="宋体" w:hAnsi="宋体" w:cs="宋体"/>
          <w:color w:val="auto"/>
          <w:sz w:val="24"/>
        </w:rPr>
        <w:t>应</w:t>
      </w:r>
      <w:r>
        <w:rPr>
          <w:rFonts w:hint="eastAsia" w:ascii="宋体" w:hAnsi="宋体" w:cs="宋体"/>
          <w:color w:val="auto"/>
          <w:sz w:val="24"/>
          <w:lang w:eastAsia="zh-CN"/>
        </w:rPr>
        <w:t>缴纳</w:t>
      </w:r>
      <w:r>
        <w:rPr>
          <w:rFonts w:hint="eastAsia" w:ascii="宋体" w:hAnsi="宋体" w:cs="宋体"/>
          <w:color w:val="auto"/>
          <w:sz w:val="24"/>
        </w:rPr>
        <w:t>的费用都要包括在</w:t>
      </w:r>
      <w:r>
        <w:rPr>
          <w:rFonts w:hint="eastAsia" w:ascii="宋体" w:hAnsi="宋体" w:cs="宋体"/>
          <w:color w:val="auto"/>
          <w:sz w:val="24"/>
          <w:lang w:eastAsia="zh-CN"/>
        </w:rPr>
        <w:t>供应商</w:t>
      </w:r>
      <w:r>
        <w:rPr>
          <w:rFonts w:hint="eastAsia" w:ascii="宋体" w:hAnsi="宋体" w:cs="宋体"/>
          <w:color w:val="auto"/>
          <w:sz w:val="24"/>
        </w:rPr>
        <w:t>提交的投标报价中。</w:t>
      </w:r>
    </w:p>
    <w:p w14:paraId="5BE9E2C4">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9.4 </w:t>
      </w:r>
      <w:r>
        <w:rPr>
          <w:rFonts w:hint="eastAsia" w:ascii="宋体" w:hAnsi="宋体" w:cs="宋体"/>
          <w:color w:val="auto"/>
          <w:sz w:val="24"/>
          <w:lang w:eastAsia="zh-CN"/>
        </w:rPr>
        <w:t>供应商</w:t>
      </w:r>
      <w:r>
        <w:rPr>
          <w:rFonts w:hint="eastAsia" w:ascii="宋体" w:hAnsi="宋体" w:cs="宋体"/>
          <w:color w:val="auto"/>
          <w:sz w:val="24"/>
        </w:rPr>
        <w:t>所报的投标价在合同执行过程中是固定不变的，不得以任何理由予以变更。任何包含价格调整要求的投标，将被认为是非响应性投标而予以拒绝。</w:t>
      </w:r>
    </w:p>
    <w:p w14:paraId="13908D95">
      <w:pPr>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9.5  </w:t>
      </w:r>
      <w:r>
        <w:rPr>
          <w:rFonts w:hint="eastAsia" w:ascii="宋体" w:hAnsi="宋体" w:eastAsia="宋体" w:cs="宋体"/>
          <w:b/>
          <w:bCs/>
          <w:color w:val="auto"/>
          <w:sz w:val="24"/>
          <w:szCs w:val="24"/>
        </w:rPr>
        <w:t>本</w:t>
      </w:r>
      <w:r>
        <w:rPr>
          <w:rFonts w:hint="eastAsia" w:ascii="宋体" w:hAnsi="宋体" w:eastAsia="宋体" w:cs="宋体"/>
          <w:b/>
          <w:bCs/>
          <w:color w:val="auto"/>
          <w:sz w:val="24"/>
          <w:szCs w:val="24"/>
          <w:lang w:eastAsia="zh-CN"/>
        </w:rPr>
        <w:t>项目</w:t>
      </w:r>
      <w:r>
        <w:rPr>
          <w:rFonts w:hint="eastAsia" w:ascii="宋体" w:hAnsi="宋体" w:eastAsia="宋体" w:cs="宋体"/>
          <w:b/>
          <w:bCs/>
          <w:color w:val="auto"/>
          <w:sz w:val="24"/>
          <w:szCs w:val="24"/>
        </w:rPr>
        <w:t>专门面向中小企业采购</w:t>
      </w:r>
      <w:r>
        <w:rPr>
          <w:rFonts w:hint="eastAsia" w:ascii="宋体" w:hAnsi="宋体" w:eastAsia="宋体" w:cs="宋体"/>
          <w:b/>
          <w:bCs/>
          <w:color w:val="auto"/>
          <w:sz w:val="24"/>
          <w:szCs w:val="24"/>
          <w:lang w:eastAsia="zh-CN"/>
        </w:rPr>
        <w:t>，</w:t>
      </w:r>
      <w:r>
        <w:rPr>
          <w:rFonts w:hint="eastAsia" w:ascii="宋体" w:hAnsi="宋体" w:cs="宋体"/>
          <w:b/>
          <w:bCs/>
          <w:color w:val="auto"/>
          <w:sz w:val="24"/>
          <w:lang w:eastAsia="zh-CN"/>
        </w:rPr>
        <w:t>采购预算为</w:t>
      </w:r>
      <w:r>
        <w:rPr>
          <w:rFonts w:hint="eastAsia" w:ascii="宋体" w:hAnsi="宋体" w:cs="宋体"/>
          <w:b/>
          <w:bCs/>
          <w:color w:val="auto"/>
          <w:sz w:val="24"/>
        </w:rPr>
        <w:t>：</w:t>
      </w:r>
      <w:r>
        <w:rPr>
          <w:rFonts w:hint="eastAsia" w:ascii="宋体" w:hAnsi="宋体" w:cs="宋体"/>
          <w:b/>
          <w:bCs/>
          <w:color w:val="auto"/>
          <w:sz w:val="24"/>
          <w:lang w:val="en-US" w:eastAsia="zh-CN"/>
        </w:rPr>
        <w:t>224000.00</w:t>
      </w:r>
      <w:r>
        <w:rPr>
          <w:rFonts w:hint="eastAsia" w:ascii="宋体" w:hAnsi="宋体" w:cs="宋体"/>
          <w:b/>
          <w:bCs/>
          <w:color w:val="auto"/>
          <w:sz w:val="24"/>
        </w:rPr>
        <w:t>元，投标</w:t>
      </w:r>
      <w:r>
        <w:rPr>
          <w:rFonts w:hint="eastAsia" w:ascii="宋体" w:hAnsi="宋体" w:cs="宋体"/>
          <w:b/>
          <w:bCs/>
          <w:color w:val="auto"/>
          <w:sz w:val="24"/>
          <w:lang w:eastAsia="zh-CN"/>
        </w:rPr>
        <w:t>总</w:t>
      </w:r>
      <w:r>
        <w:rPr>
          <w:rFonts w:hint="eastAsia" w:ascii="宋体" w:hAnsi="宋体" w:cs="宋体"/>
          <w:b/>
          <w:bCs/>
          <w:color w:val="auto"/>
          <w:sz w:val="24"/>
        </w:rPr>
        <w:t>报价大于</w:t>
      </w:r>
      <w:r>
        <w:rPr>
          <w:rFonts w:hint="eastAsia" w:ascii="宋体" w:hAnsi="宋体" w:cs="宋体"/>
          <w:b/>
          <w:bCs/>
          <w:color w:val="auto"/>
          <w:sz w:val="24"/>
          <w:lang w:eastAsia="zh-CN"/>
        </w:rPr>
        <w:t>采购预算的</w:t>
      </w:r>
      <w:r>
        <w:rPr>
          <w:rFonts w:hint="eastAsia" w:ascii="宋体" w:hAnsi="宋体" w:cs="宋体"/>
          <w:b/>
          <w:bCs/>
          <w:color w:val="auto"/>
          <w:sz w:val="24"/>
        </w:rPr>
        <w:t>按</w:t>
      </w:r>
      <w:r>
        <w:rPr>
          <w:rFonts w:hint="eastAsia" w:ascii="宋体" w:hAnsi="宋体" w:cs="宋体"/>
          <w:b/>
          <w:bCs/>
          <w:color w:val="auto"/>
          <w:sz w:val="24"/>
          <w:lang w:eastAsia="zh-CN"/>
        </w:rPr>
        <w:t>无效投标</w:t>
      </w:r>
      <w:r>
        <w:rPr>
          <w:rFonts w:hint="eastAsia" w:ascii="宋体" w:hAnsi="宋体" w:cs="宋体"/>
          <w:b/>
          <w:bCs/>
          <w:color w:val="auto"/>
          <w:sz w:val="24"/>
        </w:rPr>
        <w:t>处理。</w:t>
      </w:r>
    </w:p>
    <w:p w14:paraId="7D0B5B03">
      <w:pPr>
        <w:spacing w:line="440" w:lineRule="exact"/>
        <w:ind w:firstLine="480" w:firstLineChars="200"/>
        <w:rPr>
          <w:rFonts w:hint="eastAsia" w:ascii="宋体" w:hAnsi="宋体" w:cs="宋体"/>
          <w:bCs/>
          <w:color w:val="auto"/>
          <w:sz w:val="24"/>
        </w:rPr>
      </w:pPr>
      <w:r>
        <w:rPr>
          <w:rFonts w:hint="eastAsia" w:ascii="宋体" w:hAnsi="宋体" w:cs="宋体"/>
          <w:bCs/>
          <w:color w:val="auto"/>
          <w:kern w:val="1"/>
          <w:sz w:val="24"/>
        </w:rPr>
        <w:t xml:space="preserve">9.6 </w:t>
      </w:r>
      <w:r>
        <w:rPr>
          <w:rFonts w:hint="eastAsia" w:ascii="宋体" w:hAnsi="宋体" w:cs="宋体"/>
          <w:bCs/>
          <w:color w:val="auto"/>
          <w:kern w:val="1"/>
          <w:sz w:val="24"/>
          <w:lang w:eastAsia="zh-CN"/>
        </w:rPr>
        <w:t>磋商小组认为投标供应商的报价明显低于其他通过符合性审查投标人的报价，有可能影响产品质量或者不能诚信履约的，可要求其在评标现场合理的时间内提供书面说明，必要时提交相关证明材料；投标供应商不能证明其报价合理性的，磋商小组可将其作为无效投标处理。</w:t>
      </w:r>
    </w:p>
    <w:p w14:paraId="5F78A9B9">
      <w:pPr>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10．磋商货币</w:t>
      </w:r>
    </w:p>
    <w:p w14:paraId="204E2CA0">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10.1 </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提供的货物和服务一律以人民币报价。</w:t>
      </w:r>
    </w:p>
    <w:p w14:paraId="0C3B4582">
      <w:pPr>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11．磋商保证金</w:t>
      </w:r>
    </w:p>
    <w:p w14:paraId="101D732B">
      <w:pPr>
        <w:spacing w:line="480" w:lineRule="exact"/>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本项目不需要提供磋商保证金</w:t>
      </w:r>
    </w:p>
    <w:p w14:paraId="4E1A50A5">
      <w:pPr>
        <w:autoSpaceDE w:val="0"/>
        <w:autoSpaceDN w:val="0"/>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12、磋商响应文件有效期</w:t>
      </w:r>
    </w:p>
    <w:p w14:paraId="1CD5428E">
      <w:pPr>
        <w:autoSpaceDE w:val="0"/>
        <w:autoSpaceDN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 投标有效期为开标之日起九十（90）个日历日（</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的投标文件有效期与合同有效期一致）。</w:t>
      </w:r>
      <w:r>
        <w:rPr>
          <w:rFonts w:hint="eastAsia" w:hAnsi="宋体" w:eastAsia="宋体" w:cs="宋体"/>
          <w:snapToGrid w:val="0"/>
          <w:color w:val="auto"/>
          <w:kern w:val="2"/>
          <w:sz w:val="24"/>
          <w:szCs w:val="24"/>
          <w:lang w:val="en-US" w:eastAsia="zh-CN"/>
        </w:rPr>
        <w:t>供应商</w:t>
      </w:r>
      <w:r>
        <w:rPr>
          <w:rFonts w:hint="eastAsia" w:ascii="宋体" w:hAnsi="宋体" w:eastAsia="宋体" w:cs="宋体"/>
          <w:snapToGrid w:val="0"/>
          <w:color w:val="auto"/>
          <w:kern w:val="2"/>
          <w:sz w:val="24"/>
          <w:szCs w:val="24"/>
          <w:lang w:val="en-US" w:eastAsia="zh-CN"/>
        </w:rPr>
        <w:t>的磋商响应文件有效期比磋商文件规定短的将被视为非响应性投标，按废标处理。</w:t>
      </w:r>
    </w:p>
    <w:p w14:paraId="35A5A449">
      <w:pPr>
        <w:autoSpaceDE w:val="0"/>
        <w:autoSpaceDN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12.2 在特殊情况下，在原投标有效期期满之前，采购人可征得同意延长投标有效期。这种要求与答复均应为书面形式提交。</w:t>
      </w:r>
    </w:p>
    <w:p w14:paraId="786AF654">
      <w:pPr>
        <w:autoSpaceDE w:val="0"/>
        <w:autoSpaceDN w:val="0"/>
        <w:spacing w:line="48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13．磋商响应文件的制作和签署</w:t>
      </w:r>
    </w:p>
    <w:p w14:paraId="51FB0861">
      <w:pPr>
        <w:spacing w:line="480" w:lineRule="exact"/>
        <w:ind w:firstLine="480" w:firstLineChars="200"/>
        <w:rPr>
          <w:rFonts w:hint="eastAsia" w:ascii="宋体" w:hAnsi="宋体" w:eastAsia="宋体" w:cs="宋体"/>
          <w:b w:val="0"/>
          <w:bCs/>
          <w:color w:val="auto"/>
          <w:sz w:val="24"/>
          <w:szCs w:val="24"/>
        </w:rPr>
      </w:pPr>
      <w:bookmarkStart w:id="86" w:name="_Toc245176654"/>
      <w:bookmarkStart w:id="87" w:name="_Toc167591319"/>
      <w:bookmarkStart w:id="88" w:name="_Toc169846862"/>
      <w:bookmarkStart w:id="89" w:name="_Toc170980443"/>
      <w:bookmarkStart w:id="90" w:name="_Toc154482468"/>
      <w:bookmarkStart w:id="91" w:name="_Toc207897905"/>
      <w:bookmarkStart w:id="92" w:name="_Toc167591032"/>
      <w:bookmarkStart w:id="93" w:name="_Toc245658523"/>
      <w:bookmarkStart w:id="94" w:name="_Toc173549967"/>
      <w:bookmarkStart w:id="95" w:name="_Toc208337153"/>
      <w:bookmarkStart w:id="96" w:name="_Toc167590764"/>
      <w:bookmarkStart w:id="97" w:name="_Toc175032426"/>
      <w:bookmarkStart w:id="98" w:name="_Toc175033581"/>
      <w:bookmarkStart w:id="99" w:name="_Toc245657542"/>
      <w:bookmarkStart w:id="100" w:name="_Toc244623580"/>
      <w:bookmarkStart w:id="101" w:name="_Toc167591481"/>
      <w:bookmarkStart w:id="102" w:name="_Toc167591133"/>
      <w:bookmarkStart w:id="103" w:name="_Toc169846765"/>
      <w:bookmarkStart w:id="104" w:name="_Toc167849349"/>
      <w:bookmarkStart w:id="105" w:name="_Toc170980541"/>
      <w:bookmarkStart w:id="106" w:name="_Toc169838521"/>
      <w:r>
        <w:rPr>
          <w:rFonts w:hint="eastAsia" w:ascii="宋体" w:hAnsi="宋体" w:cs="宋体"/>
          <w:bCs/>
          <w:color w:val="auto"/>
          <w:sz w:val="24"/>
          <w:highlight w:val="none"/>
        </w:rPr>
        <w:t>13.1</w:t>
      </w:r>
      <w:r>
        <w:rPr>
          <w:rFonts w:hint="eastAsia" w:ascii="宋体" w:hAnsi="宋体" w:eastAsia="宋体" w:cs="宋体"/>
          <w:snapToGrid w:val="0"/>
          <w:color w:val="auto"/>
          <w:kern w:val="2"/>
          <w:sz w:val="24"/>
          <w:szCs w:val="24"/>
          <w:lang w:val="en-US" w:eastAsia="zh-CN"/>
        </w:rPr>
        <w:t>纸质投标文件</w:t>
      </w:r>
      <w:r>
        <w:rPr>
          <w:rFonts w:hint="eastAsia" w:ascii="宋体" w:hAnsi="宋体" w:eastAsia="宋体" w:cs="宋体"/>
          <w:b w:val="0"/>
          <w:bCs/>
          <w:color w:val="auto"/>
          <w:sz w:val="24"/>
          <w:szCs w:val="24"/>
          <w:lang w:eastAsia="zh-CN"/>
        </w:rPr>
        <w:t>投标人</w:t>
      </w:r>
      <w:r>
        <w:rPr>
          <w:rFonts w:hint="eastAsia" w:ascii="宋体" w:hAnsi="宋体" w:eastAsia="宋体" w:cs="宋体"/>
          <w:b w:val="0"/>
          <w:bCs/>
          <w:color w:val="auto"/>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eastAsia="宋体" w:cs="宋体"/>
          <w:b w:val="0"/>
          <w:bCs/>
          <w:color w:val="auto"/>
          <w:sz w:val="24"/>
          <w:szCs w:val="24"/>
          <w:lang w:eastAsia="zh-CN"/>
        </w:rPr>
        <w:t>投标人</w:t>
      </w:r>
      <w:r>
        <w:rPr>
          <w:rFonts w:hint="eastAsia" w:ascii="宋体" w:hAnsi="宋体" w:eastAsia="宋体" w:cs="宋体"/>
          <w:b w:val="0"/>
          <w:bCs/>
          <w:color w:val="auto"/>
          <w:sz w:val="24"/>
          <w:szCs w:val="24"/>
        </w:rPr>
        <w:t>在竞争性磋商响应文件中没有按照竞争性磋商文件要求提交全部资料或者竞争性磋商响应文件没有对竞争性磋商文件在各方面都做出实质性响应，其磋商将被拒绝。</w:t>
      </w:r>
    </w:p>
    <w:p w14:paraId="5141948B">
      <w:pPr>
        <w:snapToGrid w:val="0"/>
        <w:spacing w:before="156" w:beforeLines="50" w:after="156" w:afterLines="50" w:line="480" w:lineRule="exact"/>
        <w:ind w:firstLine="480" w:firstLineChars="200"/>
        <w:jc w:val="left"/>
        <w:outlineLvl w:val="1"/>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13</w:t>
      </w: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eastAsia="zh-CN"/>
        </w:rPr>
        <w:t>投标人</w:t>
      </w:r>
      <w:r>
        <w:rPr>
          <w:rFonts w:hint="eastAsia" w:ascii="宋体" w:hAnsi="宋体" w:eastAsia="宋体" w:cs="宋体"/>
          <w:b w:val="0"/>
          <w:bCs/>
          <w:color w:val="auto"/>
          <w:sz w:val="24"/>
          <w:szCs w:val="24"/>
        </w:rPr>
        <w:t>提交的竞争性磋商响应文件（包括</w:t>
      </w:r>
      <w:r>
        <w:rPr>
          <w:rFonts w:hint="eastAsia" w:ascii="宋体" w:hAnsi="宋体" w:eastAsia="宋体" w:cs="宋体"/>
          <w:b w:val="0"/>
          <w:bCs/>
          <w:color w:val="auto"/>
          <w:sz w:val="24"/>
          <w:szCs w:val="24"/>
          <w:lang w:val="en-US" w:eastAsia="zh-CN"/>
        </w:rPr>
        <w:t>技术</w:t>
      </w:r>
      <w:r>
        <w:rPr>
          <w:rFonts w:hint="eastAsia" w:ascii="宋体" w:hAnsi="宋体" w:eastAsia="宋体" w:cs="宋体"/>
          <w:b w:val="0"/>
          <w:bCs/>
          <w:color w:val="auto"/>
          <w:sz w:val="24"/>
          <w:szCs w:val="24"/>
        </w:rPr>
        <w:t>资料）以及</w:t>
      </w:r>
      <w:r>
        <w:rPr>
          <w:rFonts w:hint="eastAsia" w:ascii="宋体" w:hAnsi="宋体" w:eastAsia="宋体" w:cs="宋体"/>
          <w:b w:val="0"/>
          <w:bCs/>
          <w:color w:val="auto"/>
          <w:sz w:val="24"/>
          <w:szCs w:val="24"/>
          <w:lang w:eastAsia="zh-CN"/>
        </w:rPr>
        <w:t>投标人</w:t>
      </w:r>
      <w:r>
        <w:rPr>
          <w:rFonts w:hint="eastAsia" w:ascii="宋体" w:hAnsi="宋体" w:eastAsia="宋体" w:cs="宋体"/>
          <w:b w:val="0"/>
          <w:bCs/>
          <w:color w:val="auto"/>
          <w:sz w:val="24"/>
          <w:szCs w:val="24"/>
        </w:rPr>
        <w:t>与</w:t>
      </w:r>
      <w:r>
        <w:rPr>
          <w:rFonts w:hint="eastAsia" w:ascii="宋体" w:hAnsi="宋体" w:eastAsia="宋体" w:cs="宋体"/>
          <w:b w:val="0"/>
          <w:bCs/>
          <w:color w:val="auto"/>
          <w:sz w:val="24"/>
          <w:szCs w:val="24"/>
          <w:lang w:eastAsia="zh-CN"/>
        </w:rPr>
        <w:t>采购代理机构</w:t>
      </w:r>
      <w:r>
        <w:rPr>
          <w:rFonts w:hint="eastAsia" w:ascii="宋体" w:hAnsi="宋体" w:eastAsia="宋体" w:cs="宋体"/>
          <w:b w:val="0"/>
          <w:bCs/>
          <w:color w:val="auto"/>
          <w:sz w:val="24"/>
          <w:szCs w:val="24"/>
        </w:rPr>
        <w:t>就有关磋商的所有来往函电均应以中文书写。</w:t>
      </w:r>
    </w:p>
    <w:p w14:paraId="0DD5939F">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14</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231246B4">
      <w:pPr>
        <w:snapToGrid w:val="0"/>
        <w:spacing w:line="440" w:lineRule="exact"/>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14</w:t>
      </w:r>
      <w:r>
        <w:rPr>
          <w:rFonts w:ascii="宋体" w:hAnsi="宋体" w:cs="宋体"/>
          <w:b/>
          <w:bCs/>
          <w:color w:val="auto"/>
          <w:kern w:val="0"/>
          <w:sz w:val="24"/>
          <w:szCs w:val="24"/>
        </w:rPr>
        <w:t>.1</w:t>
      </w:r>
      <w:r>
        <w:rPr>
          <w:rFonts w:hint="eastAsia" w:ascii="宋体" w:hAnsi="宋体" w:cs="宋体"/>
          <w:color w:val="auto"/>
          <w:kern w:val="0"/>
          <w:sz w:val="24"/>
          <w:szCs w:val="24"/>
          <w:lang w:val="en-US" w:eastAsia="zh-CN"/>
        </w:rPr>
        <w:t>投标人</w:t>
      </w:r>
      <w:r>
        <w:rPr>
          <w:rFonts w:hint="eastAsia" w:ascii="宋体" w:hAnsi="宋体" w:eastAsia="宋体" w:cs="宋体"/>
          <w:color w:val="auto"/>
          <w:kern w:val="0"/>
          <w:sz w:val="24"/>
          <w:szCs w:val="24"/>
        </w:rPr>
        <w:t>应按照第</w:t>
      </w:r>
      <w:r>
        <w:rPr>
          <w:rFonts w:hint="eastAsia" w:ascii="宋体" w:hAnsi="宋体" w:cs="宋体"/>
          <w:color w:val="auto"/>
          <w:kern w:val="0"/>
          <w:sz w:val="24"/>
          <w:szCs w:val="24"/>
          <w:lang w:val="en-US" w:eastAsia="zh-CN"/>
        </w:rPr>
        <w:t>六</w:t>
      </w:r>
      <w:r>
        <w:rPr>
          <w:rFonts w:hint="eastAsia" w:ascii="宋体" w:hAnsi="宋体" w:eastAsia="宋体" w:cs="宋体"/>
          <w:color w:val="auto"/>
          <w:kern w:val="0"/>
          <w:sz w:val="24"/>
          <w:szCs w:val="24"/>
        </w:rPr>
        <w:t>部分提供的格</w:t>
      </w:r>
      <w:r>
        <w:rPr>
          <w:rFonts w:hint="eastAsia" w:ascii="宋体" w:hAnsi="宋体" w:eastAsia="宋体" w:cs="宋体"/>
          <w:kern w:val="0"/>
          <w:sz w:val="24"/>
          <w:szCs w:val="24"/>
        </w:rPr>
        <w:t>式编写竞争性磋商响应文件，不得缺少竞争性磋商文件要求填写的表格或提交的资料。</w:t>
      </w:r>
    </w:p>
    <w:p w14:paraId="59C3895C">
      <w:pPr>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14.2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应按照本须知第</w:t>
      </w:r>
      <w:r>
        <w:rPr>
          <w:rFonts w:hint="eastAsia" w:ascii="宋体" w:hAnsi="宋体" w:cs="宋体"/>
          <w:color w:val="auto"/>
          <w:kern w:val="0"/>
          <w:sz w:val="24"/>
          <w:szCs w:val="24"/>
          <w:lang w:val="en-US" w:eastAsia="zh-CN"/>
        </w:rPr>
        <w:t>二</w:t>
      </w:r>
      <w:r>
        <w:rPr>
          <w:rFonts w:hint="eastAsia" w:ascii="宋体" w:hAnsi="宋体" w:cs="宋体"/>
          <w:color w:val="auto"/>
          <w:kern w:val="0"/>
          <w:sz w:val="24"/>
          <w:szCs w:val="24"/>
        </w:rPr>
        <w:t>项竞争性磋商响应文件及编制要求第</w:t>
      </w:r>
      <w:r>
        <w:rPr>
          <w:rFonts w:hint="eastAsia" w:ascii="宋体" w:hAnsi="宋体" w:cs="宋体"/>
          <w:color w:val="auto"/>
          <w:kern w:val="0"/>
          <w:sz w:val="24"/>
          <w:szCs w:val="24"/>
          <w:lang w:val="en-US" w:eastAsia="zh-CN"/>
        </w:rPr>
        <w:t>13</w:t>
      </w:r>
      <w:r>
        <w:rPr>
          <w:rFonts w:hint="eastAsia" w:ascii="宋体" w:hAnsi="宋体" w:cs="宋体"/>
          <w:color w:val="auto"/>
          <w:kern w:val="0"/>
          <w:sz w:val="24"/>
          <w:szCs w:val="24"/>
        </w:rPr>
        <w:t>条的内容及第</w:t>
      </w:r>
      <w:r>
        <w:rPr>
          <w:rFonts w:hint="eastAsia" w:ascii="宋体" w:hAnsi="宋体" w:cs="宋体"/>
          <w:color w:val="auto"/>
          <w:kern w:val="0"/>
          <w:sz w:val="24"/>
          <w:szCs w:val="24"/>
          <w:lang w:val="en-US" w:eastAsia="zh-CN"/>
        </w:rPr>
        <w:t>六</w:t>
      </w:r>
      <w:r>
        <w:rPr>
          <w:rFonts w:hint="eastAsia" w:ascii="宋体" w:hAnsi="宋体" w:cs="宋体"/>
          <w:color w:val="auto"/>
          <w:kern w:val="0"/>
          <w:sz w:val="24"/>
          <w:szCs w:val="24"/>
        </w:rPr>
        <w:t>部分提供的格式编写竞争性磋商响应文件，不得缺少竞争性磋商文件要求填写的表格或提交的资料。</w:t>
      </w:r>
    </w:p>
    <w:p w14:paraId="67341A2B">
      <w:pPr>
        <w:snapToGrid w:val="0"/>
        <w:spacing w:line="440" w:lineRule="exact"/>
        <w:rPr>
          <w:rFonts w:hint="eastAsia" w:ascii="宋体" w:hAnsi="宋体" w:eastAsia="宋体" w:cs="宋体"/>
          <w:b/>
          <w:color w:val="auto"/>
          <w:sz w:val="24"/>
          <w:szCs w:val="24"/>
        </w:rPr>
      </w:pPr>
      <w:r>
        <w:rPr>
          <w:rFonts w:hint="eastAsia" w:ascii="宋体" w:hAnsi="宋体" w:cs="宋体"/>
          <w:b/>
          <w:bCs/>
          <w:color w:val="auto"/>
          <w:kern w:val="0"/>
          <w:sz w:val="24"/>
          <w:szCs w:val="24"/>
          <w:lang w:val="en-US" w:eastAsia="zh-CN"/>
        </w:rPr>
        <w:t>14</w:t>
      </w:r>
      <w:r>
        <w:rPr>
          <w:rFonts w:ascii="宋体" w:hAnsi="宋体" w:cs="宋体"/>
          <w:b/>
          <w:bCs/>
          <w:color w:val="auto"/>
          <w:kern w:val="0"/>
          <w:sz w:val="24"/>
          <w:szCs w:val="24"/>
        </w:rPr>
        <w:t>.</w:t>
      </w:r>
      <w:r>
        <w:rPr>
          <w:rFonts w:hint="eastAsia" w:ascii="宋体" w:hAnsi="宋体" w:cs="宋体"/>
          <w:b/>
          <w:bCs/>
          <w:color w:val="auto"/>
          <w:kern w:val="0"/>
          <w:sz w:val="24"/>
          <w:szCs w:val="24"/>
          <w:lang w:val="en-US" w:eastAsia="zh-CN"/>
        </w:rPr>
        <w:t>3</w:t>
      </w:r>
      <w:r>
        <w:rPr>
          <w:rFonts w:hint="eastAsia" w:ascii="宋体" w:hAnsi="宋体" w:eastAsia="宋体" w:cs="宋体"/>
          <w:b/>
          <w:bCs/>
          <w:kern w:val="0"/>
          <w:sz w:val="24"/>
          <w:szCs w:val="24"/>
        </w:rPr>
        <w:t>纸质磋商响应文件的正本和全部的副本均须打印或用蓝（黑）色墨水书写，将响应文件采用左侧胶装方式装订成册。因字迹潦草或编排混乱导致的不利后果，由</w:t>
      </w:r>
      <w:r>
        <w:rPr>
          <w:rFonts w:hint="eastAsia" w:ascii="宋体" w:hAnsi="宋体" w:cs="宋体"/>
          <w:b/>
          <w:bCs/>
          <w:kern w:val="0"/>
          <w:sz w:val="24"/>
          <w:szCs w:val="24"/>
          <w:lang w:eastAsia="zh-CN"/>
        </w:rPr>
        <w:t>投标人</w:t>
      </w:r>
      <w:r>
        <w:rPr>
          <w:rFonts w:hint="eastAsia" w:ascii="宋体" w:hAnsi="宋体" w:eastAsia="宋体" w:cs="宋体"/>
          <w:b/>
          <w:bCs/>
          <w:kern w:val="0"/>
          <w:sz w:val="24"/>
          <w:szCs w:val="24"/>
        </w:rPr>
        <w:t>自行承担。</w:t>
      </w:r>
    </w:p>
    <w:p w14:paraId="7CEC5DCC">
      <w:pPr>
        <w:snapToGrid w:val="0"/>
        <w:spacing w:line="440" w:lineRule="exact"/>
        <w:rPr>
          <w:rFonts w:ascii="宋体"/>
          <w:b/>
          <w:sz w:val="24"/>
          <w:szCs w:val="24"/>
        </w:rPr>
      </w:pPr>
      <w:r>
        <w:rPr>
          <w:rFonts w:ascii="宋体" w:hAnsi="宋体"/>
          <w:b/>
          <w:sz w:val="24"/>
          <w:szCs w:val="24"/>
        </w:rPr>
        <w:t>1</w:t>
      </w:r>
      <w:r>
        <w:rPr>
          <w:rFonts w:hint="eastAsia" w:ascii="宋体" w:hAnsi="宋体"/>
          <w:b/>
          <w:sz w:val="24"/>
          <w:szCs w:val="24"/>
          <w:lang w:val="en-US" w:eastAsia="zh-CN"/>
        </w:rPr>
        <w:t>5</w:t>
      </w:r>
      <w:r>
        <w:rPr>
          <w:rFonts w:ascii="宋体"/>
          <w:b/>
          <w:sz w:val="24"/>
          <w:szCs w:val="24"/>
        </w:rPr>
        <w:t>.</w:t>
      </w:r>
      <w:r>
        <w:rPr>
          <w:rFonts w:hint="eastAsia" w:ascii="宋体" w:hAnsi="宋体"/>
          <w:b/>
          <w:sz w:val="24"/>
          <w:szCs w:val="24"/>
        </w:rPr>
        <w:t>磋商报价</w:t>
      </w:r>
    </w:p>
    <w:p w14:paraId="3BD7658F">
      <w:pPr>
        <w:adjustRightInd w:val="0"/>
        <w:snapToGrid w:val="0"/>
        <w:spacing w:line="440" w:lineRule="exact"/>
        <w:rPr>
          <w:rFonts w:hint="eastAsia" w:ascii="宋体" w:hAnsi="宋体" w:eastAsia="宋体" w:cs="宋体"/>
          <w:b w:val="0"/>
          <w:bCs w:val="0"/>
          <w:color w:val="000000"/>
          <w:sz w:val="24"/>
          <w:szCs w:val="24"/>
          <w:lang w:val="zh-CN" w:eastAsia="zh-CN"/>
        </w:rPr>
      </w:pPr>
      <w:r>
        <w:rPr>
          <w:rFonts w:hint="eastAsia" w:ascii="宋体" w:hAnsi="宋体" w:eastAsia="宋体" w:cs="宋体"/>
          <w:b w:val="0"/>
          <w:bCs w:val="0"/>
          <w:color w:val="000000"/>
          <w:sz w:val="24"/>
          <w:szCs w:val="24"/>
          <w:lang w:val="en-US" w:eastAsia="zh-CN"/>
        </w:rPr>
        <w:t>15.1响应供应商应对所列的所有要求按项目进行响应，不得将采购内容拆开响应。</w:t>
      </w:r>
    </w:p>
    <w:p w14:paraId="06F7F457">
      <w:pPr>
        <w:adjustRightInd w:val="0"/>
        <w:snapToGrid w:val="0"/>
        <w:spacing w:line="440" w:lineRule="exac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15.2磋商报价为响应供应商响应文件中所列的各项支付金额的总和。</w:t>
      </w:r>
    </w:p>
    <w:p w14:paraId="7D839436">
      <w:pPr>
        <w:adjustRightInd w:val="0"/>
        <w:snapToGrid w:val="0"/>
        <w:spacing w:line="440" w:lineRule="exac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15.3凡本磋商文件要求（或允许）及响应供应商认为需要进行磋商报价的各项费用项目，若报价时未报或未在响应文件中予以说明，采购人将认为这些费用响应供应商已计取，并包含在总报价中。</w:t>
      </w:r>
    </w:p>
    <w:p w14:paraId="2665D35B">
      <w:pPr>
        <w:adjustRightInd w:val="0"/>
        <w:snapToGrid w:val="0"/>
        <w:spacing w:line="440" w:lineRule="exac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15.4采购人只接受响应供应商提供的唯一响应方案，不接受备选方案。</w:t>
      </w:r>
    </w:p>
    <w:p w14:paraId="394BA042">
      <w:pPr>
        <w:adjustRightInd w:val="0"/>
        <w:snapToGrid w:val="0"/>
        <w:spacing w:line="440" w:lineRule="exact"/>
        <w:rPr>
          <w:rFonts w:hint="default" w:ascii="宋体" w:hAnsi="宋体" w:eastAsia="宋体" w:cs="宋体"/>
          <w:color w:val="auto"/>
          <w:kern w:val="0"/>
          <w:sz w:val="24"/>
          <w:szCs w:val="24"/>
          <w:lang w:val="en-US" w:eastAsia="zh-CN"/>
        </w:rPr>
      </w:pPr>
      <w:r>
        <w:rPr>
          <w:rFonts w:hint="eastAsia" w:ascii="宋体" w:hAnsi="宋体" w:eastAsia="宋体" w:cs="宋体"/>
          <w:b w:val="0"/>
          <w:bCs w:val="0"/>
          <w:color w:val="000000"/>
          <w:sz w:val="24"/>
          <w:szCs w:val="24"/>
          <w:lang w:val="en-US" w:eastAsia="zh-CN"/>
        </w:rPr>
        <w:t>15.5响应文件中大写金额与小写金额不一致的，以大写金额为准；总价金额与单价金额不一致的，以单价金额为准，但单价金额小数点有明显错误的除外；对不同文字文本响应文件的解释发生异议的，以中文文本为准。</w:t>
      </w:r>
    </w:p>
    <w:p w14:paraId="054C52C3">
      <w:pPr>
        <w:adjustRightInd w:val="0"/>
        <w:snapToGrid w:val="0"/>
        <w:spacing w:line="440" w:lineRule="exact"/>
        <w:rPr>
          <w:rFonts w:hint="eastAsia" w:ascii="宋体" w:hAnsi="宋体" w:eastAsia="宋体" w:cs="宋体"/>
          <w:color w:val="auto"/>
          <w:kern w:val="0"/>
          <w:sz w:val="24"/>
          <w:szCs w:val="24"/>
          <w:lang w:val="en-US" w:eastAsia="zh-CN"/>
        </w:rPr>
      </w:pPr>
      <w:r>
        <w:rPr>
          <w:rFonts w:hint="eastAsia" w:ascii="宋体" w:hAnsi="宋体" w:cs="宋体"/>
          <w:b w:val="0"/>
          <w:bCs w:val="0"/>
          <w:color w:val="000000"/>
          <w:sz w:val="24"/>
          <w:szCs w:val="24"/>
          <w:lang w:val="en-US" w:eastAsia="zh-CN"/>
        </w:rPr>
        <w:t>15.6</w:t>
      </w:r>
      <w:r>
        <w:rPr>
          <w:rFonts w:ascii="宋体" w:hAnsi="宋体" w:eastAsia="宋体" w:cs="宋体"/>
          <w:b w:val="0"/>
          <w:bCs w:val="0"/>
          <w:color w:val="000000"/>
          <w:sz w:val="24"/>
          <w:szCs w:val="24"/>
        </w:rPr>
        <w:t>除非</w:t>
      </w:r>
      <w:r>
        <w:rPr>
          <w:rFonts w:hint="eastAsia" w:ascii="宋体" w:hAnsi="宋体" w:eastAsia="宋体" w:cs="宋体"/>
          <w:b w:val="0"/>
          <w:bCs w:val="0"/>
          <w:color w:val="000000"/>
          <w:sz w:val="24"/>
          <w:szCs w:val="24"/>
          <w:lang w:val="en-US" w:eastAsia="zh-CN"/>
        </w:rPr>
        <w:t>磋商</w:t>
      </w:r>
      <w:r>
        <w:rPr>
          <w:rFonts w:ascii="宋体" w:hAnsi="宋体" w:eastAsia="宋体" w:cs="宋体"/>
          <w:b w:val="0"/>
          <w:bCs w:val="0"/>
          <w:color w:val="000000"/>
          <w:sz w:val="24"/>
          <w:szCs w:val="24"/>
        </w:rPr>
        <w:t>文件另有规定，只允许有一个最终报价，任何有选择的报价或替代方案将导致投标无效。参加投标的企业，可根据本单位的成本、管理水平，并充分考虑 项目实施期间可能会遇到的市场风险等因素，在确保服务期限、质量的前提下，进行自 由竞争报价。</w:t>
      </w:r>
    </w:p>
    <w:p w14:paraId="6C2872D2">
      <w:pPr>
        <w:spacing w:line="360" w:lineRule="auto"/>
        <w:rPr>
          <w:rFonts w:hint="eastAsia" w:ascii="宋体" w:hAnsi="宋体" w:eastAsia="宋体" w:cs="宋体"/>
          <w:color w:val="auto"/>
          <w:kern w:val="0"/>
          <w:sz w:val="24"/>
          <w:szCs w:val="24"/>
          <w:lang w:val="en-US" w:eastAsia="zh-CN"/>
        </w:rPr>
      </w:pPr>
      <w:r>
        <w:rPr>
          <w:rFonts w:hint="eastAsia"/>
        </w:rPr>
        <w:t xml:space="preserve"> </w:t>
      </w:r>
      <w:r>
        <w:rPr>
          <w:rFonts w:hint="eastAsia" w:ascii="宋体" w:hAnsi="宋体" w:eastAsia="宋体" w:cs="宋体"/>
          <w:color w:val="auto"/>
          <w:kern w:val="0"/>
          <w:sz w:val="24"/>
          <w:szCs w:val="24"/>
          <w:lang w:val="en-US" w:eastAsia="zh-CN"/>
        </w:rPr>
        <w:t>15.</w:t>
      </w:r>
      <w:r>
        <w:rPr>
          <w:rFonts w:hint="eastAsia" w:ascii="宋体" w:hAnsi="宋体" w:cs="宋体"/>
          <w:color w:val="auto"/>
          <w:kern w:val="0"/>
          <w:sz w:val="24"/>
          <w:szCs w:val="24"/>
          <w:lang w:val="en-US" w:eastAsia="zh-CN"/>
        </w:rPr>
        <w:t>7</w:t>
      </w:r>
      <w:r>
        <w:rPr>
          <w:rFonts w:ascii="宋体" w:hAnsi="宋体" w:eastAsia="宋体" w:cs="宋体"/>
          <w:b w:val="0"/>
          <w:bCs w:val="0"/>
          <w:color w:val="000000"/>
          <w:sz w:val="24"/>
          <w:szCs w:val="24"/>
        </w:rPr>
        <w:t>投标人所填写的报价在合同实施期间不因市场变化因素和政府性变化因素而 变动，投标人在计算报价时自行考虑风险系数，报价过程中不允许任一投标人对同一招 标项目提出两个或两个以上不同的投标报价。投标人所报的投标报价在合同执行过程中 是固定不变的，不得以任何理由予以变更。任何包含价格调整要求的投标，将被认为是 非响应性投标而予以拒绝。</w:t>
      </w:r>
    </w:p>
    <w:p w14:paraId="78EA6CF9">
      <w:pPr>
        <w:spacing w:line="36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15.</w:t>
      </w:r>
      <w:r>
        <w:rPr>
          <w:rFonts w:hint="eastAsia" w:ascii="宋体" w:hAnsi="宋体" w:cs="宋体"/>
          <w:color w:val="auto"/>
          <w:kern w:val="0"/>
          <w:sz w:val="24"/>
          <w:szCs w:val="24"/>
          <w:lang w:val="en-US" w:eastAsia="zh-CN"/>
        </w:rPr>
        <w:t>8</w:t>
      </w:r>
      <w:r>
        <w:rPr>
          <w:rFonts w:ascii="宋体" w:hAnsi="宋体" w:eastAsia="宋体" w:cs="宋体"/>
          <w:b w:val="0"/>
          <w:bCs w:val="0"/>
          <w:color w:val="000000"/>
          <w:sz w:val="24"/>
          <w:szCs w:val="24"/>
        </w:rPr>
        <w:t>投标人不得以低于成本的报价参加投标。当</w:t>
      </w:r>
      <w:r>
        <w:rPr>
          <w:rFonts w:hint="eastAsia" w:ascii="宋体" w:hAnsi="宋体" w:eastAsia="宋体" w:cs="宋体"/>
          <w:b w:val="0"/>
          <w:bCs w:val="0"/>
          <w:color w:val="000000"/>
          <w:sz w:val="24"/>
          <w:szCs w:val="24"/>
          <w:lang w:val="en-US" w:eastAsia="zh-CN"/>
        </w:rPr>
        <w:t>磋商</w:t>
      </w:r>
      <w:r>
        <w:rPr>
          <w:rFonts w:ascii="宋体" w:hAnsi="宋体" w:eastAsia="宋体" w:cs="宋体"/>
          <w:b w:val="0"/>
          <w:bCs w:val="0"/>
          <w:color w:val="000000"/>
          <w:sz w:val="24"/>
          <w:szCs w:val="24"/>
        </w:rPr>
        <w:t>小组认为某个投标人的</w:t>
      </w:r>
      <w:r>
        <w:rPr>
          <w:rFonts w:hint="eastAsia" w:ascii="宋体" w:hAnsi="宋体" w:eastAsia="宋体" w:cs="宋体"/>
          <w:b w:val="0"/>
          <w:bCs w:val="0"/>
          <w:color w:val="000000"/>
          <w:sz w:val="24"/>
          <w:szCs w:val="24"/>
          <w:lang w:val="en-US" w:eastAsia="zh-CN"/>
        </w:rPr>
        <w:t>磋商</w:t>
      </w:r>
      <w:r>
        <w:rPr>
          <w:rFonts w:ascii="宋体" w:hAnsi="宋体" w:eastAsia="宋体" w:cs="宋体"/>
          <w:b w:val="0"/>
          <w:bCs w:val="0"/>
          <w:color w:val="000000"/>
          <w:sz w:val="24"/>
          <w:szCs w:val="24"/>
        </w:rPr>
        <w:t xml:space="preserve"> 报价或者某些分项报价明显不合理或者低于成本，有可能影响服务质量和不能诚信履约 的，可要求该投标人在规定的期限内提供书面文件予以解释说明，并提交相关证明材料； 否则，</w:t>
      </w:r>
      <w:r>
        <w:rPr>
          <w:rFonts w:hint="eastAsia" w:ascii="宋体" w:hAnsi="宋体" w:eastAsia="宋体" w:cs="宋体"/>
          <w:b w:val="0"/>
          <w:bCs w:val="0"/>
          <w:color w:val="000000"/>
          <w:sz w:val="24"/>
          <w:szCs w:val="24"/>
          <w:lang w:val="en-US" w:eastAsia="zh-CN"/>
        </w:rPr>
        <w:t>磋商</w:t>
      </w:r>
      <w:r>
        <w:rPr>
          <w:rFonts w:ascii="宋体" w:hAnsi="宋体" w:eastAsia="宋体" w:cs="宋体"/>
          <w:b w:val="0"/>
          <w:bCs w:val="0"/>
          <w:color w:val="000000"/>
          <w:sz w:val="24"/>
          <w:szCs w:val="24"/>
        </w:rPr>
        <w:t>小组认定该投标人以低于成本报价竞标，其投标应作废标处理。</w:t>
      </w:r>
    </w:p>
    <w:p w14:paraId="1EBF5149">
      <w:pPr>
        <w:snapToGrid w:val="0"/>
        <w:spacing w:line="440" w:lineRule="exac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15.</w:t>
      </w:r>
      <w:r>
        <w:rPr>
          <w:rFonts w:hint="eastAsia" w:ascii="宋体" w:hAnsi="宋体" w:cs="宋体"/>
          <w:color w:val="auto"/>
          <w:kern w:val="0"/>
          <w:sz w:val="24"/>
          <w:szCs w:val="24"/>
          <w:lang w:val="en-US" w:eastAsia="zh-CN"/>
        </w:rPr>
        <w:t>9</w:t>
      </w:r>
      <w:r>
        <w:rPr>
          <w:rFonts w:hint="eastAsia" w:ascii="宋体" w:hAnsi="宋体" w:eastAsia="宋体" w:cs="宋体"/>
          <w:color w:val="auto"/>
          <w:kern w:val="0"/>
          <w:sz w:val="24"/>
          <w:szCs w:val="24"/>
          <w:lang w:val="en-US" w:eastAsia="zh-CN"/>
        </w:rPr>
        <w:t xml:space="preserve">最低报价不是成交的唯一依据。 </w:t>
      </w:r>
    </w:p>
    <w:p w14:paraId="0DE5942E">
      <w:pPr>
        <w:adjustRightInd w:val="0"/>
        <w:snapToGrid w:val="0"/>
        <w:spacing w:line="440" w:lineRule="exact"/>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磋商货币</w:t>
      </w:r>
    </w:p>
    <w:p w14:paraId="5896A569">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提供报价以人民币为货币单位。</w:t>
      </w:r>
    </w:p>
    <w:p w14:paraId="17C96023">
      <w:pPr>
        <w:adjustRightInd w:val="0"/>
        <w:snapToGrid w:val="0"/>
        <w:spacing w:line="440" w:lineRule="exact"/>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12340DB5">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1B6F8D9A">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投标人</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投标人</w:t>
      </w:r>
      <w:r>
        <w:rPr>
          <w:rFonts w:hint="eastAsia" w:ascii="宋体" w:hAnsi="宋体"/>
          <w:kern w:val="0"/>
          <w:sz w:val="24"/>
          <w:szCs w:val="24"/>
        </w:rPr>
        <w:t>在规定时间内未做出解释、作出的解释不合理或不能提供证明材料的，磋商小组有权作无效报价处理。</w:t>
      </w:r>
    </w:p>
    <w:p w14:paraId="5EDBD42C">
      <w:pPr>
        <w:adjustRightInd w:val="0"/>
        <w:snapToGrid w:val="0"/>
        <w:spacing w:line="440" w:lineRule="exact"/>
        <w:rPr>
          <w:rFonts w:ascii="宋体"/>
          <w:kern w:val="0"/>
          <w:sz w:val="24"/>
          <w:szCs w:val="24"/>
        </w:rPr>
      </w:pPr>
      <w:r>
        <w:rPr>
          <w:rFonts w:hint="eastAsia" w:ascii="宋体" w:hAnsi="宋体"/>
          <w:kern w:val="0"/>
          <w:sz w:val="24"/>
          <w:szCs w:val="24"/>
          <w:lang w:val="en-US" w:eastAsia="zh-CN"/>
        </w:rPr>
        <w:t>17</w:t>
      </w:r>
      <w:r>
        <w:rPr>
          <w:rFonts w:ascii="宋体" w:hAnsi="宋体"/>
          <w:kern w:val="0"/>
          <w:sz w:val="24"/>
          <w:szCs w:val="24"/>
        </w:rPr>
        <w:t>.3</w:t>
      </w:r>
      <w:r>
        <w:rPr>
          <w:rFonts w:hint="eastAsia" w:ascii="宋体" w:hAnsi="宋体"/>
          <w:kern w:val="0"/>
          <w:sz w:val="24"/>
          <w:szCs w:val="24"/>
          <w:lang w:eastAsia="zh-CN"/>
        </w:rPr>
        <w:t>投标人</w:t>
      </w:r>
      <w:r>
        <w:rPr>
          <w:rFonts w:hint="eastAsia" w:ascii="宋体" w:hAnsi="宋体"/>
          <w:kern w:val="0"/>
          <w:sz w:val="24"/>
          <w:szCs w:val="24"/>
        </w:rPr>
        <w:t>必须保证响应文件所提供的全部资料真实可靠，并接受磋商小组对其中任何资料进一步审查的要求。</w:t>
      </w:r>
    </w:p>
    <w:p w14:paraId="67D25276">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.4</w:t>
      </w:r>
      <w:r>
        <w:rPr>
          <w:rFonts w:hint="eastAsia" w:ascii="宋体" w:hAnsi="宋体"/>
          <w:kern w:val="0"/>
          <w:sz w:val="24"/>
          <w:szCs w:val="24"/>
        </w:rPr>
        <w:t>响应文件应字迹清楚、内容齐全、不得涂改或增删。如有修改和增删，必须有</w:t>
      </w:r>
      <w:r>
        <w:rPr>
          <w:rFonts w:hint="eastAsia" w:ascii="宋体" w:hAnsi="宋体"/>
          <w:kern w:val="0"/>
          <w:sz w:val="24"/>
          <w:szCs w:val="24"/>
          <w:lang w:eastAsia="zh-CN"/>
        </w:rPr>
        <w:t>投标人公章</w:t>
      </w:r>
      <w:r>
        <w:rPr>
          <w:rFonts w:hint="eastAsia" w:ascii="宋体" w:hAnsi="宋体"/>
          <w:kern w:val="0"/>
          <w:sz w:val="24"/>
          <w:szCs w:val="24"/>
        </w:rPr>
        <w:t>及法定代表人或其授权代表签字。因响应文件字迹模糊或表达不清所引起的不利后果由</w:t>
      </w:r>
      <w:r>
        <w:rPr>
          <w:rFonts w:hint="eastAsia" w:ascii="宋体" w:hAnsi="宋体"/>
          <w:kern w:val="0"/>
          <w:sz w:val="24"/>
          <w:szCs w:val="24"/>
          <w:lang w:eastAsia="zh-CN"/>
        </w:rPr>
        <w:t>投标人</w:t>
      </w:r>
      <w:r>
        <w:rPr>
          <w:rFonts w:hint="eastAsia" w:ascii="宋体" w:hAnsi="宋体"/>
          <w:kern w:val="0"/>
          <w:sz w:val="24"/>
          <w:szCs w:val="24"/>
        </w:rPr>
        <w:t>自行承担。</w:t>
      </w:r>
    </w:p>
    <w:p w14:paraId="51E8ED5B">
      <w:pPr>
        <w:adjustRightInd w:val="0"/>
        <w:snapToGrid w:val="0"/>
        <w:spacing w:line="440" w:lineRule="exact"/>
        <w:rPr>
          <w:rFonts w:ascii="宋体"/>
          <w:kern w:val="0"/>
          <w:sz w:val="24"/>
          <w:szCs w:val="24"/>
        </w:rPr>
      </w:pPr>
      <w:r>
        <w:rPr>
          <w:rFonts w:ascii="宋体" w:hAnsi="宋体"/>
          <w:sz w:val="24"/>
          <w:szCs w:val="24"/>
        </w:rPr>
        <w:t>1</w:t>
      </w:r>
      <w:r>
        <w:rPr>
          <w:rFonts w:hint="eastAsia" w:ascii="宋体" w:hAnsi="宋体"/>
          <w:sz w:val="24"/>
          <w:szCs w:val="24"/>
          <w:lang w:val="en-US" w:eastAsia="zh-CN"/>
        </w:rPr>
        <w:t>7</w:t>
      </w:r>
      <w:r>
        <w:rPr>
          <w:rFonts w:ascii="宋体" w:hAnsi="宋体"/>
          <w:sz w:val="24"/>
          <w:szCs w:val="24"/>
        </w:rPr>
        <w:t>.5</w:t>
      </w:r>
      <w:r>
        <w:rPr>
          <w:rFonts w:hint="eastAsia" w:ascii="宋体" w:hAnsi="宋体"/>
          <w:kern w:val="0"/>
          <w:sz w:val="24"/>
          <w:szCs w:val="24"/>
          <w:lang w:eastAsia="zh-CN"/>
        </w:rPr>
        <w:t>投标人</w:t>
      </w:r>
      <w:r>
        <w:rPr>
          <w:rFonts w:hint="eastAsia" w:ascii="宋体" w:hAnsi="宋体"/>
          <w:kern w:val="0"/>
          <w:sz w:val="24"/>
          <w:szCs w:val="24"/>
        </w:rPr>
        <w:t>应保证响应文件副本与正本内容严格一致，不一致的以正本为准；</w:t>
      </w:r>
    </w:p>
    <w:p w14:paraId="230EA35D">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.6</w:t>
      </w:r>
      <w:r>
        <w:rPr>
          <w:rFonts w:hint="eastAsia" w:ascii="宋体" w:hAnsi="宋体"/>
          <w:kern w:val="0"/>
          <w:sz w:val="24"/>
          <w:szCs w:val="24"/>
          <w:lang w:eastAsia="zh-CN"/>
        </w:rPr>
        <w:t>投标人</w:t>
      </w:r>
      <w:r>
        <w:rPr>
          <w:rFonts w:hint="eastAsia" w:ascii="宋体" w:hAnsi="宋体"/>
          <w:kern w:val="0"/>
          <w:sz w:val="24"/>
          <w:szCs w:val="24"/>
        </w:rPr>
        <w:t>之间不得相互串通报价，不得妨碍其他</w:t>
      </w:r>
      <w:r>
        <w:rPr>
          <w:rFonts w:hint="eastAsia" w:ascii="宋体" w:hAnsi="宋体"/>
          <w:kern w:val="0"/>
          <w:sz w:val="24"/>
          <w:szCs w:val="24"/>
          <w:lang w:eastAsia="zh-CN"/>
        </w:rPr>
        <w:t>投标人</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投标人</w:t>
      </w:r>
      <w:r>
        <w:rPr>
          <w:rFonts w:hint="eastAsia" w:ascii="宋体" w:hAnsi="宋体"/>
          <w:kern w:val="0"/>
          <w:sz w:val="24"/>
          <w:szCs w:val="24"/>
        </w:rPr>
        <w:t>的合法权益。</w:t>
      </w:r>
    </w:p>
    <w:p w14:paraId="38CD062F">
      <w:pPr>
        <w:adjustRightInd w:val="0"/>
        <w:snapToGrid w:val="0"/>
        <w:spacing w:line="440" w:lineRule="exact"/>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8</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4BEDA970">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8</w:t>
      </w:r>
      <w:r>
        <w:rPr>
          <w:rFonts w:ascii="宋体" w:hAnsi="宋体"/>
          <w:kern w:val="0"/>
          <w:sz w:val="24"/>
          <w:szCs w:val="24"/>
        </w:rPr>
        <w:t>.1</w:t>
      </w:r>
      <w:r>
        <w:rPr>
          <w:rFonts w:hint="eastAsia" w:ascii="宋体" w:hAnsi="宋体"/>
          <w:kern w:val="0"/>
          <w:sz w:val="24"/>
          <w:szCs w:val="24"/>
        </w:rPr>
        <w:t>磋商响应文件有效期为磋商之日起九十（</w:t>
      </w:r>
      <w:r>
        <w:rPr>
          <w:rFonts w:ascii="宋体" w:hAnsi="宋体"/>
          <w:kern w:val="0"/>
          <w:sz w:val="24"/>
          <w:szCs w:val="24"/>
        </w:rPr>
        <w:t>90</w:t>
      </w:r>
      <w:r>
        <w:rPr>
          <w:rFonts w:hint="eastAsia" w:ascii="宋体" w:hAnsi="宋体"/>
          <w:kern w:val="0"/>
          <w:sz w:val="24"/>
          <w:szCs w:val="24"/>
        </w:rPr>
        <w:t>）个日历日（成交单位的磋商响应文件有效期与合同有效期一致）。</w:t>
      </w:r>
      <w:r>
        <w:rPr>
          <w:rFonts w:hint="eastAsia" w:ascii="宋体" w:hAnsi="宋体"/>
          <w:kern w:val="0"/>
          <w:sz w:val="24"/>
          <w:szCs w:val="24"/>
          <w:lang w:eastAsia="zh-CN"/>
        </w:rPr>
        <w:t>投标人</w:t>
      </w:r>
      <w:r>
        <w:rPr>
          <w:rFonts w:hint="eastAsia" w:ascii="宋体" w:hAnsi="宋体"/>
          <w:kern w:val="0"/>
          <w:sz w:val="24"/>
          <w:szCs w:val="24"/>
        </w:rPr>
        <w:t>的磋商响应文件有效期比磋商文件规定短的将被视为非响应性而予以拒绝。</w:t>
      </w:r>
    </w:p>
    <w:p w14:paraId="764718C6">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8</w:t>
      </w:r>
      <w:r>
        <w:rPr>
          <w:rFonts w:ascii="宋体" w:hAnsi="宋体"/>
          <w:kern w:val="0"/>
          <w:sz w:val="24"/>
          <w:szCs w:val="24"/>
        </w:rPr>
        <w:t>.2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采购人</w:t>
      </w:r>
      <w:r>
        <w:rPr>
          <w:rFonts w:hint="eastAsia" w:ascii="宋体" w:hAnsi="宋体"/>
          <w:kern w:val="0"/>
          <w:sz w:val="24"/>
          <w:szCs w:val="24"/>
        </w:rPr>
        <w:t>可征得</w:t>
      </w:r>
      <w:r>
        <w:rPr>
          <w:rFonts w:hint="eastAsia" w:ascii="宋体" w:hAnsi="宋体"/>
          <w:kern w:val="0"/>
          <w:sz w:val="24"/>
          <w:szCs w:val="24"/>
          <w:lang w:eastAsia="zh-CN"/>
        </w:rPr>
        <w:t>投标人</w:t>
      </w:r>
      <w:r>
        <w:rPr>
          <w:rFonts w:hint="eastAsia" w:ascii="宋体" w:hAnsi="宋体"/>
          <w:kern w:val="0"/>
          <w:sz w:val="24"/>
          <w:szCs w:val="24"/>
        </w:rPr>
        <w:t>同意延长磋商响应文件有效期。这种要求与答复均应为书面形式提交。</w:t>
      </w:r>
    </w:p>
    <w:p w14:paraId="42927396">
      <w:pPr>
        <w:adjustRightInd w:val="0"/>
        <w:snapToGrid w:val="0"/>
        <w:spacing w:line="440" w:lineRule="exact"/>
        <w:rPr>
          <w:rFonts w:ascii="宋体"/>
          <w:b/>
          <w:kern w:val="0"/>
          <w:sz w:val="24"/>
          <w:szCs w:val="24"/>
        </w:rPr>
      </w:pPr>
      <w:r>
        <w:rPr>
          <w:rFonts w:hint="eastAsia" w:ascii="宋体" w:hAnsi="宋体"/>
          <w:b/>
          <w:kern w:val="0"/>
          <w:sz w:val="24"/>
          <w:szCs w:val="24"/>
          <w:lang w:val="en-US" w:eastAsia="zh-CN"/>
        </w:rPr>
        <w:t>19</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p>
    <w:p w14:paraId="21739A0A">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9</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应提交磋商响应文件</w:t>
      </w:r>
      <w:r>
        <w:rPr>
          <w:rFonts w:hint="eastAsia" w:ascii="宋体" w:hAnsi="宋体"/>
          <w:b/>
          <w:bCs/>
          <w:color w:val="FF0000"/>
          <w:kern w:val="0"/>
          <w:sz w:val="24"/>
          <w:szCs w:val="24"/>
        </w:rPr>
        <w:t>正本壹份、</w:t>
      </w:r>
      <w:r>
        <w:rPr>
          <w:rFonts w:hint="eastAsia" w:ascii="宋体" w:hAnsi="宋体"/>
          <w:b/>
          <w:bCs/>
          <w:color w:val="FF0000"/>
          <w:kern w:val="0"/>
          <w:sz w:val="24"/>
          <w:szCs w:val="24"/>
          <w:lang w:eastAsia="zh-CN"/>
        </w:rPr>
        <w:t>副本</w:t>
      </w:r>
      <w:r>
        <w:rPr>
          <w:rFonts w:hint="eastAsia" w:ascii="宋体" w:hAnsi="宋体"/>
          <w:b/>
          <w:bCs/>
          <w:color w:val="FF0000"/>
          <w:kern w:val="0"/>
          <w:sz w:val="24"/>
          <w:szCs w:val="24"/>
          <w:lang w:val="en-US" w:eastAsia="zh-CN"/>
        </w:rPr>
        <w:t>贰</w:t>
      </w:r>
      <w:r>
        <w:rPr>
          <w:rFonts w:hint="eastAsia" w:ascii="宋体" w:hAnsi="宋体"/>
          <w:b/>
          <w:bCs/>
          <w:color w:val="FF0000"/>
          <w:kern w:val="0"/>
          <w:sz w:val="24"/>
          <w:szCs w:val="24"/>
          <w:lang w:eastAsia="zh-CN"/>
        </w:rPr>
        <w:t>份、</w:t>
      </w:r>
      <w:r>
        <w:rPr>
          <w:rFonts w:hint="eastAsia" w:ascii="宋体" w:hAnsi="宋体"/>
          <w:b/>
          <w:bCs/>
          <w:color w:val="FF0000"/>
          <w:kern w:val="0"/>
          <w:sz w:val="24"/>
          <w:szCs w:val="24"/>
          <w:lang w:val="en-US" w:eastAsia="zh-CN"/>
        </w:rPr>
        <w:t>资质文件壹份</w:t>
      </w:r>
      <w:r>
        <w:rPr>
          <w:rFonts w:hint="eastAsia" w:ascii="宋体" w:hAnsi="宋体"/>
          <w:kern w:val="0"/>
          <w:sz w:val="24"/>
          <w:szCs w:val="24"/>
        </w:rPr>
        <w:t>。每套磋商响应文件须清楚地标明“正本”、“副本”</w:t>
      </w:r>
      <w:r>
        <w:rPr>
          <w:rFonts w:hint="eastAsia" w:ascii="宋体" w:hAnsi="宋体"/>
          <w:kern w:val="0"/>
          <w:sz w:val="24"/>
          <w:szCs w:val="24"/>
          <w:lang w:eastAsia="zh-CN"/>
        </w:rPr>
        <w:t>、“</w:t>
      </w:r>
      <w:r>
        <w:rPr>
          <w:rFonts w:hint="eastAsia" w:ascii="宋体" w:hAnsi="宋体"/>
          <w:kern w:val="0"/>
          <w:sz w:val="24"/>
          <w:szCs w:val="24"/>
          <w:lang w:val="en-US" w:eastAsia="zh-CN"/>
        </w:rPr>
        <w:t>资质文件</w:t>
      </w:r>
      <w:r>
        <w:rPr>
          <w:rFonts w:hint="eastAsia" w:ascii="宋体" w:hAnsi="宋体"/>
          <w:kern w:val="0"/>
          <w:sz w:val="24"/>
          <w:szCs w:val="24"/>
          <w:lang w:eastAsia="zh-CN"/>
        </w:rPr>
        <w:t>”</w:t>
      </w:r>
      <w:r>
        <w:rPr>
          <w:rFonts w:hint="eastAsia" w:ascii="宋体" w:hAnsi="宋体"/>
          <w:kern w:val="0"/>
          <w:sz w:val="24"/>
          <w:szCs w:val="24"/>
        </w:rPr>
        <w:t>。凡正本和副本不符，以正本为准。</w:t>
      </w:r>
    </w:p>
    <w:p w14:paraId="7C42C846">
      <w:pPr>
        <w:adjustRightInd w:val="0"/>
        <w:snapToGrid w:val="0"/>
        <w:spacing w:line="440" w:lineRule="exact"/>
        <w:rPr>
          <w:rFonts w:ascii="宋体"/>
          <w:b/>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9</w:t>
      </w:r>
      <w:r>
        <w:rPr>
          <w:rFonts w:ascii="宋体" w:hAnsi="宋体"/>
          <w:kern w:val="0"/>
          <w:sz w:val="24"/>
          <w:szCs w:val="24"/>
          <w:highlight w:val="none"/>
        </w:rPr>
        <w:t>.2</w:t>
      </w:r>
      <w:r>
        <w:rPr>
          <w:rFonts w:hint="eastAsia" w:ascii="宋体" w:hAnsi="宋体"/>
          <w:kern w:val="0"/>
          <w:sz w:val="24"/>
          <w:szCs w:val="24"/>
          <w:highlight w:val="none"/>
        </w:rPr>
        <w:t>磋商响应文件按要求加盖</w:t>
      </w:r>
      <w:r>
        <w:rPr>
          <w:rFonts w:hint="eastAsia" w:ascii="宋体" w:hAnsi="宋体"/>
          <w:kern w:val="0"/>
          <w:sz w:val="24"/>
          <w:szCs w:val="24"/>
          <w:highlight w:val="none"/>
          <w:lang w:eastAsia="zh-CN"/>
        </w:rPr>
        <w:t>投标人</w:t>
      </w:r>
      <w:r>
        <w:rPr>
          <w:rFonts w:hint="eastAsia" w:ascii="宋体" w:hAnsi="宋体"/>
          <w:kern w:val="0"/>
          <w:sz w:val="24"/>
          <w:szCs w:val="24"/>
          <w:highlight w:val="none"/>
          <w:lang w:val="en-US" w:eastAsia="zh-CN"/>
        </w:rPr>
        <w:t>公</w:t>
      </w:r>
      <w:r>
        <w:rPr>
          <w:rFonts w:hint="eastAsia" w:ascii="宋体" w:hAnsi="宋体"/>
          <w:kern w:val="0"/>
          <w:sz w:val="24"/>
          <w:szCs w:val="24"/>
          <w:highlight w:val="none"/>
        </w:rPr>
        <w:t>章</w:t>
      </w:r>
      <w:r>
        <w:rPr>
          <w:rFonts w:hint="eastAsia" w:ascii="宋体" w:hAnsi="宋体"/>
          <w:kern w:val="0"/>
          <w:sz w:val="24"/>
          <w:szCs w:val="24"/>
        </w:rPr>
        <w:t>，并由法定代表人或委托代理人签字或盖章。由委托代理人签字或盖章的，在磋商响应文件中须同时提交法定代表人授权委托书。</w:t>
      </w:r>
    </w:p>
    <w:p w14:paraId="69E94D1D">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9</w:t>
      </w:r>
      <w:r>
        <w:rPr>
          <w:rFonts w:ascii="宋体" w:hAnsi="宋体"/>
          <w:kern w:val="0"/>
          <w:sz w:val="24"/>
          <w:szCs w:val="24"/>
        </w:rPr>
        <w:t>.3</w:t>
      </w:r>
      <w:r>
        <w:rPr>
          <w:rFonts w:hint="eastAsia" w:ascii="宋体" w:hAnsi="宋体"/>
          <w:kern w:val="0"/>
          <w:sz w:val="24"/>
          <w:szCs w:val="24"/>
        </w:rPr>
        <w:t>磋商响应文件的正本和副本均需打印或使用不褪色的蓝、黑墨水笔书写，字迹应清晰易于辨认。</w:t>
      </w:r>
    </w:p>
    <w:p w14:paraId="0DF2345D">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9</w:t>
      </w:r>
      <w:r>
        <w:rPr>
          <w:rFonts w:ascii="宋体" w:hAnsi="宋体"/>
          <w:kern w:val="0"/>
          <w:sz w:val="24"/>
          <w:szCs w:val="24"/>
        </w:rPr>
        <w:t>.4</w:t>
      </w:r>
      <w:r>
        <w:rPr>
          <w:rFonts w:hint="eastAsia" w:ascii="宋体" w:hAnsi="宋体"/>
          <w:kern w:val="0"/>
          <w:sz w:val="24"/>
          <w:szCs w:val="24"/>
        </w:rPr>
        <w:t>除</w:t>
      </w:r>
      <w:r>
        <w:rPr>
          <w:rFonts w:hint="eastAsia" w:ascii="宋体" w:hAnsi="宋体"/>
          <w:kern w:val="0"/>
          <w:sz w:val="24"/>
          <w:szCs w:val="24"/>
          <w:lang w:eastAsia="zh-CN"/>
        </w:rPr>
        <w:t>投标人</w:t>
      </w:r>
      <w:r>
        <w:rPr>
          <w:rFonts w:hint="eastAsia" w:ascii="宋体" w:hAnsi="宋体"/>
          <w:kern w:val="0"/>
          <w:sz w:val="24"/>
          <w:szCs w:val="24"/>
        </w:rPr>
        <w:t>对磋商响应文件错处做必要修改外，磋商响应文件不得行间插字、涂改和增删，如有修改错漏处，必须由</w:t>
      </w:r>
      <w:r>
        <w:rPr>
          <w:rFonts w:hint="eastAsia" w:ascii="宋体" w:hAnsi="宋体"/>
          <w:kern w:val="0"/>
          <w:sz w:val="24"/>
          <w:szCs w:val="24"/>
          <w:lang w:eastAsia="zh-CN"/>
        </w:rPr>
        <w:t>投标人</w:t>
      </w:r>
      <w:r>
        <w:rPr>
          <w:rFonts w:hint="eastAsia" w:ascii="宋体" w:hAnsi="宋体"/>
          <w:kern w:val="0"/>
          <w:sz w:val="24"/>
          <w:szCs w:val="24"/>
        </w:rPr>
        <w:t>的法人或其授权代表在修改处签字后才有效。</w:t>
      </w:r>
    </w:p>
    <w:p w14:paraId="22F3FAC7">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9</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投标人</w:t>
      </w:r>
      <w:r>
        <w:rPr>
          <w:rFonts w:hint="eastAsia" w:ascii="宋体" w:hAnsi="宋体"/>
          <w:kern w:val="0"/>
          <w:sz w:val="24"/>
          <w:szCs w:val="24"/>
        </w:rPr>
        <w:t>负责。</w:t>
      </w:r>
    </w:p>
    <w:p w14:paraId="57BF110D">
      <w:pPr>
        <w:pStyle w:val="2"/>
        <w:rPr>
          <w:rFonts w:hint="eastAsia"/>
        </w:rPr>
      </w:pPr>
    </w:p>
    <w:p w14:paraId="2EDD5EDD">
      <w:pPr>
        <w:snapToGrid w:val="0"/>
        <w:spacing w:before="156" w:beforeLines="50" w:after="156" w:afterLines="50" w:line="480" w:lineRule="exact"/>
        <w:jc w:val="center"/>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四、</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b/>
          <w:color w:val="auto"/>
          <w:sz w:val="24"/>
          <w:szCs w:val="24"/>
        </w:rPr>
        <w:t>磋商响应文件的递交</w:t>
      </w:r>
    </w:p>
    <w:p w14:paraId="17A5FBE7">
      <w:pPr>
        <w:adjustRightInd w:val="0"/>
        <w:snapToGrid w:val="0"/>
        <w:spacing w:line="440" w:lineRule="exact"/>
        <w:rPr>
          <w:rFonts w:hint="default" w:ascii="宋体" w:hAnsi="宋体" w:eastAsia="宋体"/>
          <w:b/>
          <w:bCs/>
          <w:kern w:val="0"/>
          <w:sz w:val="24"/>
          <w:szCs w:val="24"/>
          <w:lang w:val="en-US" w:eastAsia="zh-CN"/>
        </w:rPr>
      </w:pPr>
      <w:r>
        <w:rPr>
          <w:rFonts w:hint="eastAsia" w:ascii="宋体" w:hAnsi="宋体"/>
          <w:b/>
          <w:kern w:val="0"/>
          <w:sz w:val="24"/>
          <w:szCs w:val="24"/>
          <w:lang w:val="en-US" w:eastAsia="zh-CN"/>
        </w:rPr>
        <w:t>20.</w:t>
      </w:r>
      <w:r>
        <w:rPr>
          <w:rFonts w:hint="eastAsia" w:ascii="宋体" w:hAnsi="宋体"/>
          <w:b/>
          <w:bCs/>
          <w:kern w:val="0"/>
          <w:sz w:val="24"/>
          <w:szCs w:val="24"/>
        </w:rPr>
        <w:t>纸质磋商响应文件的密封</w:t>
      </w:r>
      <w:r>
        <w:rPr>
          <w:rFonts w:hint="eastAsia" w:ascii="宋体" w:hAnsi="宋体"/>
          <w:b/>
          <w:bCs/>
          <w:kern w:val="0"/>
          <w:sz w:val="24"/>
          <w:szCs w:val="24"/>
          <w:lang w:val="en-US" w:eastAsia="zh-CN"/>
        </w:rPr>
        <w:t>要求与标记</w:t>
      </w:r>
    </w:p>
    <w:p w14:paraId="40B5E3B2">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1</w:t>
      </w:r>
      <w:r>
        <w:rPr>
          <w:rFonts w:hint="eastAsia" w:ascii="宋体" w:hAnsi="宋体"/>
          <w:kern w:val="0"/>
          <w:sz w:val="24"/>
          <w:szCs w:val="24"/>
          <w:lang w:eastAsia="zh-CN"/>
        </w:rPr>
        <w:t>）</w:t>
      </w:r>
      <w:r>
        <w:rPr>
          <w:rFonts w:hint="eastAsia" w:ascii="宋体" w:hAnsi="宋体"/>
          <w:kern w:val="0"/>
          <w:sz w:val="24"/>
          <w:szCs w:val="24"/>
        </w:rPr>
        <w:t>磋商响应文件的“正本”、“副本”与“资质文件”应分开包装，封套上标记“正本”或“副本”或“资质文件”字样。封口处齐缝粘贴密封封条并加盖</w:t>
      </w:r>
      <w:r>
        <w:rPr>
          <w:rFonts w:hint="eastAsia" w:ascii="宋体" w:hAnsi="宋体"/>
          <w:kern w:val="0"/>
          <w:sz w:val="24"/>
          <w:szCs w:val="24"/>
          <w:lang w:eastAsia="zh-CN"/>
        </w:rPr>
        <w:t>投标人公章</w:t>
      </w:r>
      <w:r>
        <w:rPr>
          <w:rFonts w:hint="eastAsia" w:ascii="宋体" w:hAnsi="宋体"/>
          <w:kern w:val="0"/>
          <w:sz w:val="24"/>
          <w:szCs w:val="24"/>
        </w:rPr>
        <w:t>。</w:t>
      </w:r>
    </w:p>
    <w:p w14:paraId="5007D3FE">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2</w:t>
      </w:r>
      <w:r>
        <w:rPr>
          <w:rFonts w:hint="eastAsia" w:ascii="宋体" w:hAnsi="宋体"/>
          <w:kern w:val="0"/>
          <w:sz w:val="24"/>
          <w:szCs w:val="24"/>
          <w:lang w:eastAsia="zh-CN"/>
        </w:rPr>
        <w:t>）</w:t>
      </w:r>
      <w:r>
        <w:rPr>
          <w:rFonts w:hint="eastAsia" w:ascii="宋体" w:hAnsi="宋体"/>
          <w:kern w:val="0"/>
          <w:sz w:val="24"/>
          <w:szCs w:val="24"/>
        </w:rPr>
        <w:t>标记要求：</w:t>
      </w:r>
    </w:p>
    <w:p w14:paraId="5DF62EF4">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①</w:t>
      </w:r>
      <w:r>
        <w:rPr>
          <w:rFonts w:hint="eastAsia" w:ascii="宋体" w:hAnsi="宋体"/>
          <w:kern w:val="0"/>
          <w:sz w:val="24"/>
          <w:szCs w:val="24"/>
        </w:rPr>
        <w:t>标明“递交至</w:t>
      </w:r>
      <w:r>
        <w:rPr>
          <w:rFonts w:hint="eastAsia" w:ascii="宋体" w:hAnsi="宋体"/>
          <w:kern w:val="0"/>
          <w:sz w:val="24"/>
          <w:szCs w:val="24"/>
          <w:lang w:eastAsia="zh-CN"/>
        </w:rPr>
        <w:t>安康远程智信项目管理有限公司</w:t>
      </w:r>
      <w:r>
        <w:rPr>
          <w:rFonts w:hint="eastAsia" w:ascii="宋体" w:hAnsi="宋体"/>
          <w:kern w:val="0"/>
          <w:sz w:val="24"/>
          <w:szCs w:val="24"/>
        </w:rPr>
        <w:t>”；</w:t>
      </w:r>
    </w:p>
    <w:p w14:paraId="6746F394">
      <w:pPr>
        <w:adjustRightInd w:val="0"/>
        <w:snapToGrid w:val="0"/>
        <w:spacing w:line="440" w:lineRule="exact"/>
        <w:ind w:firstLine="475" w:firstLineChars="198"/>
        <w:rPr>
          <w:rFonts w:hint="eastAsia" w:ascii="宋体" w:hAnsi="宋体"/>
          <w:color w:val="auto"/>
          <w:kern w:val="0"/>
          <w:sz w:val="24"/>
          <w:szCs w:val="24"/>
        </w:rPr>
      </w:pPr>
      <w:r>
        <w:rPr>
          <w:rFonts w:hint="eastAsia" w:ascii="宋体" w:hAnsi="宋体" w:eastAsia="宋体" w:cs="宋体"/>
          <w:kern w:val="0"/>
          <w:sz w:val="24"/>
          <w:szCs w:val="24"/>
        </w:rPr>
        <w:t>②</w:t>
      </w:r>
      <w:r>
        <w:rPr>
          <w:rFonts w:hint="eastAsia" w:ascii="宋体" w:hAnsi="宋体"/>
          <w:kern w:val="0"/>
          <w:sz w:val="24"/>
          <w:szCs w:val="24"/>
        </w:rPr>
        <w:t>注明项目名称、项目编号</w:t>
      </w:r>
      <w:r>
        <w:rPr>
          <w:rFonts w:hint="eastAsia" w:ascii="宋体" w:hAnsi="宋体"/>
          <w:color w:val="auto"/>
          <w:kern w:val="0"/>
          <w:sz w:val="24"/>
          <w:szCs w:val="24"/>
        </w:rPr>
        <w:t>和“</w:t>
      </w:r>
      <w:r>
        <w:rPr>
          <w:rFonts w:hint="eastAsia" w:ascii="宋体" w:hAnsi="宋体"/>
          <w:color w:val="000000" w:themeColor="text1"/>
          <w:kern w:val="0"/>
          <w:sz w:val="24"/>
          <w:szCs w:val="24"/>
          <w14:textFill>
            <w14:solidFill>
              <w14:schemeClr w14:val="tx1"/>
            </w14:solidFill>
          </w14:textFill>
        </w:rPr>
        <w:t>在20</w:t>
      </w:r>
      <w:r>
        <w:rPr>
          <w:rFonts w:hint="eastAsia" w:ascii="宋体" w:hAnsi="宋体"/>
          <w:color w:val="000000" w:themeColor="text1"/>
          <w:kern w:val="0"/>
          <w:sz w:val="24"/>
          <w:szCs w:val="24"/>
          <w:lang w:val="en-US" w:eastAsia="zh-CN"/>
          <w14:textFill>
            <w14:solidFill>
              <w14:schemeClr w14:val="tx1"/>
            </w14:solidFill>
          </w14:textFill>
        </w:rPr>
        <w:t>25</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val="en-US" w:eastAsia="zh-CN"/>
          <w14:textFill>
            <w14:solidFill>
              <w14:schemeClr w14:val="tx1"/>
            </w14:solidFill>
          </w14:textFill>
        </w:rPr>
        <w:t>10</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13</w:t>
      </w:r>
      <w:r>
        <w:rPr>
          <w:rFonts w:hint="eastAsia" w:ascii="宋体" w:hAnsi="宋体"/>
          <w:color w:val="000000" w:themeColor="text1"/>
          <w:kern w:val="0"/>
          <w:sz w:val="24"/>
          <w:szCs w:val="24"/>
          <w14:textFill>
            <w14:solidFill>
              <w14:schemeClr w14:val="tx1"/>
            </w14:solidFill>
          </w14:textFill>
        </w:rPr>
        <w:t>日</w:t>
      </w:r>
      <w:r>
        <w:rPr>
          <w:rFonts w:hint="eastAsia" w:ascii="宋体" w:hAnsi="宋体"/>
          <w:color w:val="000000" w:themeColor="text1"/>
          <w:kern w:val="0"/>
          <w:sz w:val="24"/>
          <w:szCs w:val="24"/>
          <w:lang w:val="en-US" w:eastAsia="zh-CN"/>
          <w14:textFill>
            <w14:solidFill>
              <w14:schemeClr w14:val="tx1"/>
            </w14:solidFill>
          </w14:textFill>
        </w:rPr>
        <w:t>上</w:t>
      </w:r>
      <w:r>
        <w:rPr>
          <w:rFonts w:hint="eastAsia" w:ascii="宋体" w:hAnsi="宋体"/>
          <w:color w:val="000000" w:themeColor="text1"/>
          <w:kern w:val="0"/>
          <w:sz w:val="24"/>
          <w:szCs w:val="24"/>
          <w14:textFill>
            <w14:solidFill>
              <w14:schemeClr w14:val="tx1"/>
            </w14:solidFill>
          </w14:textFill>
        </w:rPr>
        <w:t>午</w:t>
      </w:r>
      <w:r>
        <w:rPr>
          <w:rFonts w:hint="eastAsia" w:ascii="宋体" w:hAnsi="宋体"/>
          <w:color w:val="000000" w:themeColor="text1"/>
          <w:kern w:val="0"/>
          <w:sz w:val="24"/>
          <w:szCs w:val="24"/>
          <w:lang w:val="en-US" w:eastAsia="zh-CN"/>
          <w14:textFill>
            <w14:solidFill>
              <w14:schemeClr w14:val="tx1"/>
            </w14:solidFill>
          </w14:textFill>
        </w:rPr>
        <w:t>10：3</w:t>
      </w:r>
      <w:r>
        <w:rPr>
          <w:rFonts w:hint="eastAsia" w:ascii="宋体" w:hAnsi="宋体"/>
          <w:color w:val="000000" w:themeColor="text1"/>
          <w:kern w:val="0"/>
          <w:sz w:val="24"/>
          <w:szCs w:val="24"/>
          <w14:textFill>
            <w14:solidFill>
              <w14:schemeClr w14:val="tx1"/>
            </w14:solidFill>
          </w14:textFill>
        </w:rPr>
        <w:t>0之</w:t>
      </w:r>
      <w:r>
        <w:rPr>
          <w:rFonts w:hint="eastAsia" w:ascii="宋体" w:hAnsi="宋体"/>
          <w:color w:val="auto"/>
          <w:kern w:val="0"/>
          <w:sz w:val="24"/>
          <w:szCs w:val="24"/>
        </w:rPr>
        <w:t>前不得启封”的字样；</w:t>
      </w:r>
    </w:p>
    <w:p w14:paraId="5484FE70">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③</w:t>
      </w:r>
      <w:r>
        <w:rPr>
          <w:rFonts w:hint="eastAsia" w:ascii="宋体" w:hAnsi="宋体"/>
          <w:kern w:val="0"/>
          <w:sz w:val="24"/>
          <w:szCs w:val="24"/>
        </w:rPr>
        <w:t>标明</w:t>
      </w:r>
      <w:r>
        <w:rPr>
          <w:rFonts w:hint="eastAsia" w:ascii="宋体" w:hAnsi="宋体"/>
          <w:kern w:val="0"/>
          <w:sz w:val="24"/>
          <w:szCs w:val="24"/>
          <w:lang w:eastAsia="zh-CN"/>
        </w:rPr>
        <w:t>投标人</w:t>
      </w:r>
      <w:r>
        <w:rPr>
          <w:rFonts w:hint="eastAsia" w:ascii="宋体" w:hAnsi="宋体"/>
          <w:kern w:val="0"/>
          <w:sz w:val="24"/>
          <w:szCs w:val="24"/>
        </w:rPr>
        <w:t>名称和地址并加盖</w:t>
      </w:r>
      <w:r>
        <w:rPr>
          <w:rFonts w:hint="eastAsia" w:ascii="宋体" w:hAnsi="宋体"/>
          <w:kern w:val="0"/>
          <w:sz w:val="24"/>
          <w:szCs w:val="24"/>
          <w:lang w:eastAsia="zh-CN"/>
        </w:rPr>
        <w:t>投标人公章</w:t>
      </w:r>
      <w:r>
        <w:rPr>
          <w:rFonts w:hint="eastAsia" w:ascii="宋体" w:hAnsi="宋体"/>
          <w:kern w:val="0"/>
          <w:sz w:val="24"/>
          <w:szCs w:val="24"/>
        </w:rPr>
        <w:t>。</w:t>
      </w:r>
    </w:p>
    <w:p w14:paraId="6BE30BA5">
      <w:pPr>
        <w:adjustRightInd w:val="0"/>
        <w:snapToGrid w:val="0"/>
        <w:spacing w:line="440" w:lineRule="exact"/>
        <w:rPr>
          <w:rFonts w:ascii="宋体"/>
          <w:b/>
          <w:kern w:val="0"/>
          <w:sz w:val="24"/>
          <w:szCs w:val="24"/>
        </w:rPr>
      </w:pPr>
      <w:r>
        <w:rPr>
          <w:rFonts w:hint="eastAsia" w:ascii="宋体" w:hAnsi="宋体"/>
          <w:b/>
          <w:kern w:val="0"/>
          <w:sz w:val="24"/>
          <w:szCs w:val="24"/>
          <w:lang w:val="en-US" w:eastAsia="zh-CN"/>
        </w:rPr>
        <w:t>21</w:t>
      </w:r>
      <w:r>
        <w:rPr>
          <w:rFonts w:ascii="宋体" w:hAnsi="宋体"/>
          <w:b/>
          <w:kern w:val="0"/>
          <w:sz w:val="24"/>
          <w:szCs w:val="24"/>
        </w:rPr>
        <w:t>.</w:t>
      </w:r>
      <w:r>
        <w:rPr>
          <w:rFonts w:hint="eastAsia" w:ascii="宋体" w:hAnsi="宋体"/>
          <w:b/>
          <w:kern w:val="0"/>
          <w:sz w:val="24"/>
          <w:szCs w:val="24"/>
        </w:rPr>
        <w:t>提交响应文件截止时间、签到、密封核实</w:t>
      </w:r>
    </w:p>
    <w:p w14:paraId="37CD9DC0">
      <w:pPr>
        <w:adjustRightInd w:val="0"/>
        <w:snapToGrid w:val="0"/>
        <w:spacing w:line="440" w:lineRule="exact"/>
        <w:rPr>
          <w:rFonts w:ascii="宋体"/>
          <w:kern w:val="0"/>
          <w:sz w:val="24"/>
          <w:szCs w:val="24"/>
        </w:rPr>
      </w:pPr>
      <w:r>
        <w:rPr>
          <w:rFonts w:hint="eastAsia" w:ascii="宋体" w:hAnsi="宋体"/>
          <w:kern w:val="0"/>
          <w:sz w:val="24"/>
          <w:szCs w:val="24"/>
          <w:lang w:val="en-US" w:eastAsia="zh-CN"/>
        </w:rPr>
        <w:t>21</w:t>
      </w:r>
      <w:r>
        <w:rPr>
          <w:rFonts w:ascii="宋体" w:hAnsi="宋体"/>
          <w:kern w:val="0"/>
          <w:sz w:val="24"/>
          <w:szCs w:val="24"/>
        </w:rPr>
        <w:t>.1</w:t>
      </w:r>
      <w:r>
        <w:rPr>
          <w:rFonts w:hint="eastAsia" w:ascii="宋体" w:hAnsi="宋体"/>
          <w:kern w:val="0"/>
          <w:sz w:val="24"/>
          <w:szCs w:val="24"/>
        </w:rPr>
        <w:t>响应文件须按照磋商文件规定的时间、地点送达。在提交响应文件截止时间以后送达的响应文件，采购代理机构将拒绝接收</w:t>
      </w:r>
      <w:r>
        <w:rPr>
          <w:rFonts w:hint="eastAsia" w:ascii="宋体" w:hAnsi="宋体"/>
          <w:kern w:val="0"/>
          <w:sz w:val="24"/>
          <w:szCs w:val="24"/>
          <w:lang w:eastAsia="zh-CN"/>
        </w:rPr>
        <w:t>投标人</w:t>
      </w:r>
      <w:r>
        <w:rPr>
          <w:rFonts w:hint="eastAsia" w:ascii="宋体" w:hAnsi="宋体"/>
          <w:kern w:val="0"/>
          <w:sz w:val="24"/>
          <w:szCs w:val="24"/>
        </w:rPr>
        <w:t>的响应文件。</w:t>
      </w:r>
    </w:p>
    <w:p w14:paraId="1AE928FA">
      <w:pPr>
        <w:adjustRightInd w:val="0"/>
        <w:snapToGrid w:val="0"/>
        <w:spacing w:line="440" w:lineRule="exact"/>
        <w:rPr>
          <w:rFonts w:ascii="宋体"/>
          <w:kern w:val="0"/>
          <w:sz w:val="24"/>
          <w:szCs w:val="24"/>
        </w:rPr>
      </w:pPr>
      <w:r>
        <w:rPr>
          <w:rFonts w:hint="eastAsia" w:ascii="宋体" w:hAnsi="宋体"/>
          <w:kern w:val="0"/>
          <w:sz w:val="24"/>
          <w:szCs w:val="24"/>
          <w:lang w:val="en-US" w:eastAsia="zh-CN"/>
        </w:rPr>
        <w:t>21</w:t>
      </w:r>
      <w:r>
        <w:rPr>
          <w:rFonts w:ascii="宋体" w:hAnsi="宋体"/>
          <w:kern w:val="0"/>
          <w:sz w:val="24"/>
          <w:szCs w:val="24"/>
        </w:rPr>
        <w:t>.2</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代表须在报价</w:t>
      </w:r>
      <w:r>
        <w:rPr>
          <w:rFonts w:hint="eastAsia" w:ascii="宋体" w:hAnsi="宋体"/>
          <w:kern w:val="0"/>
          <w:sz w:val="24"/>
          <w:szCs w:val="24"/>
          <w:lang w:eastAsia="zh-CN"/>
        </w:rPr>
        <w:t>投标人</w:t>
      </w:r>
      <w:r>
        <w:rPr>
          <w:rFonts w:hint="eastAsia" w:ascii="宋体" w:hAnsi="宋体"/>
          <w:kern w:val="0"/>
          <w:sz w:val="24"/>
          <w:szCs w:val="24"/>
        </w:rPr>
        <w:t>签到表中签到。</w:t>
      </w:r>
    </w:p>
    <w:p w14:paraId="20A30528">
      <w:pPr>
        <w:adjustRightInd w:val="0"/>
        <w:snapToGrid w:val="0"/>
        <w:spacing w:line="440" w:lineRule="exact"/>
        <w:rPr>
          <w:rFonts w:ascii="宋体"/>
          <w:kern w:val="0"/>
          <w:sz w:val="24"/>
          <w:szCs w:val="24"/>
        </w:rPr>
      </w:pPr>
      <w:r>
        <w:rPr>
          <w:rFonts w:hint="eastAsia" w:ascii="宋体" w:hAnsi="宋体"/>
          <w:kern w:val="0"/>
          <w:sz w:val="24"/>
          <w:szCs w:val="24"/>
          <w:lang w:val="en-US" w:eastAsia="zh-CN"/>
        </w:rPr>
        <w:t>21</w:t>
      </w:r>
      <w:r>
        <w:rPr>
          <w:rFonts w:ascii="宋体" w:hAnsi="宋体"/>
          <w:kern w:val="0"/>
          <w:sz w:val="24"/>
          <w:szCs w:val="24"/>
        </w:rPr>
        <w:t>.3</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代表须在采购代理机构工作人员的主持下查验响应文件的密封情况并在报价</w:t>
      </w:r>
      <w:r>
        <w:rPr>
          <w:rFonts w:hint="eastAsia" w:ascii="宋体" w:hAnsi="宋体"/>
          <w:kern w:val="0"/>
          <w:sz w:val="24"/>
          <w:szCs w:val="24"/>
          <w:lang w:eastAsia="zh-CN"/>
        </w:rPr>
        <w:t>投标人</w:t>
      </w:r>
      <w:r>
        <w:rPr>
          <w:rFonts w:hint="eastAsia" w:ascii="宋体" w:hAnsi="宋体"/>
          <w:kern w:val="0"/>
          <w:sz w:val="24"/>
          <w:szCs w:val="24"/>
        </w:rPr>
        <w:t>密封核实情况表中签字确认。</w:t>
      </w:r>
    </w:p>
    <w:p w14:paraId="5FD2C417">
      <w:pPr>
        <w:adjustRightInd w:val="0"/>
        <w:snapToGrid w:val="0"/>
        <w:spacing w:line="440" w:lineRule="exact"/>
        <w:rPr>
          <w:rFonts w:ascii="宋体"/>
          <w:b/>
          <w:kern w:val="0"/>
          <w:sz w:val="24"/>
          <w:szCs w:val="24"/>
        </w:rPr>
      </w:pPr>
      <w:r>
        <w:rPr>
          <w:rFonts w:hint="eastAsia" w:ascii="宋体" w:hAnsi="宋体"/>
          <w:kern w:val="0"/>
          <w:sz w:val="24"/>
          <w:szCs w:val="24"/>
          <w:lang w:val="en-US" w:eastAsia="zh-CN"/>
        </w:rPr>
        <w:t>21</w:t>
      </w:r>
      <w:r>
        <w:rPr>
          <w:rFonts w:ascii="宋体" w:hAnsi="宋体"/>
          <w:kern w:val="0"/>
          <w:sz w:val="24"/>
          <w:szCs w:val="24"/>
        </w:rPr>
        <w:t>.4</w:t>
      </w:r>
      <w:r>
        <w:rPr>
          <w:rFonts w:hint="eastAsia" w:ascii="宋体" w:hAnsi="宋体"/>
          <w:kern w:val="0"/>
          <w:sz w:val="24"/>
          <w:szCs w:val="24"/>
        </w:rPr>
        <w:t>采购代理机构可以按本须知第</w:t>
      </w:r>
      <w:r>
        <w:rPr>
          <w:rFonts w:ascii="宋体" w:hAnsi="宋体"/>
          <w:kern w:val="0"/>
          <w:sz w:val="24"/>
          <w:szCs w:val="24"/>
        </w:rPr>
        <w:t>7.</w:t>
      </w:r>
      <w:r>
        <w:rPr>
          <w:rFonts w:hint="eastAsia" w:ascii="宋体" w:hAnsi="宋体"/>
          <w:kern w:val="0"/>
          <w:sz w:val="24"/>
          <w:szCs w:val="24"/>
          <w:lang w:val="en-US" w:eastAsia="zh-CN"/>
        </w:rPr>
        <w:t>3</w:t>
      </w:r>
      <w:r>
        <w:rPr>
          <w:rFonts w:hint="eastAsia" w:ascii="宋体" w:hAnsi="宋体"/>
          <w:kern w:val="0"/>
          <w:sz w:val="24"/>
          <w:szCs w:val="24"/>
        </w:rPr>
        <w:t>条规定，通知因修改磋商文件而适当延长磋商截止期。在此情况下，</w:t>
      </w:r>
      <w:r>
        <w:rPr>
          <w:rFonts w:hint="eastAsia" w:ascii="宋体" w:hAnsi="宋体"/>
          <w:kern w:val="0"/>
          <w:sz w:val="24"/>
          <w:szCs w:val="24"/>
          <w:lang w:eastAsia="zh-CN"/>
        </w:rPr>
        <w:t>采购人</w:t>
      </w:r>
      <w:r>
        <w:rPr>
          <w:rFonts w:hint="eastAsia" w:ascii="宋体" w:hAnsi="宋体"/>
          <w:kern w:val="0"/>
          <w:sz w:val="24"/>
          <w:szCs w:val="24"/>
        </w:rPr>
        <w:t>和</w:t>
      </w:r>
      <w:r>
        <w:rPr>
          <w:rFonts w:hint="eastAsia" w:ascii="宋体" w:hAnsi="宋体"/>
          <w:kern w:val="0"/>
          <w:sz w:val="24"/>
          <w:szCs w:val="24"/>
          <w:lang w:eastAsia="zh-CN"/>
        </w:rPr>
        <w:t>投标人</w:t>
      </w:r>
      <w:r>
        <w:rPr>
          <w:rFonts w:hint="eastAsia" w:ascii="宋体" w:hAnsi="宋体"/>
          <w:kern w:val="0"/>
          <w:sz w:val="24"/>
          <w:szCs w:val="24"/>
        </w:rPr>
        <w:t>受磋商截止期制约的所有权利和义务均应延长至新的截止期。</w:t>
      </w:r>
    </w:p>
    <w:p w14:paraId="37C1970D">
      <w:pPr>
        <w:adjustRightInd w:val="0"/>
        <w:snapToGrid w:val="0"/>
        <w:spacing w:line="440" w:lineRule="exact"/>
        <w:rPr>
          <w:rFonts w:hint="eastAsia" w:ascii="宋体" w:hAnsi="宋体" w:eastAsia="宋体"/>
          <w:b/>
          <w:kern w:val="0"/>
          <w:sz w:val="24"/>
          <w:szCs w:val="24"/>
          <w:lang w:val="en-US" w:eastAsia="zh-CN"/>
        </w:rPr>
      </w:pPr>
      <w:r>
        <w:rPr>
          <w:rFonts w:hint="eastAsia" w:ascii="宋体" w:hAnsi="宋体"/>
          <w:b/>
          <w:kern w:val="0"/>
          <w:sz w:val="24"/>
          <w:szCs w:val="24"/>
          <w:lang w:val="en-US" w:eastAsia="zh-CN"/>
        </w:rPr>
        <w:t>22</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0065C55D">
      <w:pPr>
        <w:adjustRightInd w:val="0"/>
        <w:snapToGrid w:val="0"/>
        <w:spacing w:line="440" w:lineRule="exact"/>
        <w:rPr>
          <w:rFonts w:ascii="宋体"/>
          <w:b/>
          <w:kern w:val="0"/>
          <w:sz w:val="24"/>
          <w:szCs w:val="24"/>
        </w:rPr>
      </w:pPr>
      <w:r>
        <w:rPr>
          <w:rFonts w:hint="eastAsia" w:ascii="宋体" w:hAnsi="宋体"/>
          <w:b/>
          <w:kern w:val="0"/>
          <w:sz w:val="24"/>
          <w:szCs w:val="24"/>
          <w:lang w:val="en-US" w:eastAsia="zh-CN"/>
        </w:rPr>
        <w:t>22.1</w:t>
      </w:r>
      <w:r>
        <w:rPr>
          <w:rFonts w:hint="eastAsia" w:ascii="宋体" w:hAnsi="宋体"/>
          <w:b/>
          <w:kern w:val="0"/>
          <w:sz w:val="24"/>
          <w:szCs w:val="24"/>
        </w:rPr>
        <w:t>响应文件有下列情况之一者将视为无效：</w:t>
      </w:r>
    </w:p>
    <w:p w14:paraId="15CF6D47">
      <w:pPr>
        <w:adjustRightInd w:val="0"/>
        <w:snapToGrid w:val="0"/>
        <w:spacing w:line="500" w:lineRule="exact"/>
        <w:ind w:firstLine="480" w:firstLineChars="200"/>
        <w:rPr>
          <w:rFonts w:ascii="宋体"/>
          <w:kern w:val="0"/>
          <w:sz w:val="24"/>
          <w:szCs w:val="24"/>
          <w:highlight w:val="none"/>
        </w:rPr>
      </w:pPr>
      <w:r>
        <w:rPr>
          <w:rFonts w:hint="eastAsia" w:ascii="宋体" w:hAnsi="宋体"/>
          <w:kern w:val="0"/>
          <w:sz w:val="24"/>
          <w:szCs w:val="24"/>
          <w:highlight w:val="none"/>
        </w:rPr>
        <w:t>（</w:t>
      </w:r>
      <w:r>
        <w:rPr>
          <w:rFonts w:ascii="宋体" w:hAnsi="宋体"/>
          <w:kern w:val="0"/>
          <w:sz w:val="24"/>
          <w:szCs w:val="24"/>
          <w:highlight w:val="none"/>
        </w:rPr>
        <w:t>1</w:t>
      </w:r>
      <w:r>
        <w:rPr>
          <w:rFonts w:hint="eastAsia" w:ascii="宋体" w:hAnsi="宋体"/>
          <w:kern w:val="0"/>
          <w:sz w:val="24"/>
          <w:szCs w:val="24"/>
          <w:highlight w:val="none"/>
        </w:rPr>
        <w:t>）</w:t>
      </w:r>
      <w:r>
        <w:rPr>
          <w:rFonts w:hint="eastAsia" w:ascii="宋体" w:hAnsi="宋体"/>
          <w:kern w:val="0"/>
          <w:sz w:val="24"/>
          <w:szCs w:val="24"/>
          <w:highlight w:val="none"/>
          <w:lang w:val="en-US" w:eastAsia="zh-CN"/>
        </w:rPr>
        <w:t>纸质竞争性磋商响应文件未按规定</w:t>
      </w:r>
      <w:r>
        <w:rPr>
          <w:rFonts w:hint="eastAsia" w:ascii="宋体" w:hAnsi="宋体"/>
          <w:kern w:val="0"/>
          <w:sz w:val="24"/>
          <w:szCs w:val="24"/>
          <w:highlight w:val="none"/>
        </w:rPr>
        <w:t>标记、密封的；</w:t>
      </w:r>
    </w:p>
    <w:p w14:paraId="51287DE9">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）未加盖</w:t>
      </w:r>
      <w:r>
        <w:rPr>
          <w:rFonts w:hint="eastAsia" w:ascii="宋体" w:hAnsi="宋体"/>
          <w:kern w:val="0"/>
          <w:sz w:val="24"/>
          <w:szCs w:val="24"/>
          <w:lang w:eastAsia="zh-CN"/>
        </w:rPr>
        <w:t>投标人公章</w:t>
      </w:r>
      <w:r>
        <w:rPr>
          <w:rFonts w:hint="eastAsia" w:ascii="宋体" w:hAnsi="宋体"/>
          <w:kern w:val="0"/>
          <w:sz w:val="24"/>
          <w:szCs w:val="24"/>
        </w:rPr>
        <w:t>和法定代表人或其授权代表签字或盖章的；</w:t>
      </w:r>
    </w:p>
    <w:p w14:paraId="11F2656B">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）在提交竞争性磋商响应文件截止时间以后送达的竞争性磋商响应文件；</w:t>
      </w:r>
    </w:p>
    <w:p w14:paraId="508F9BB8">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）未按竞争性磋商文件要求提交资格证明文件或未通过竞争性磋商响应文件有效性审查的；</w:t>
      </w:r>
    </w:p>
    <w:p w14:paraId="0A08047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）提交的竞争性磋商响应文件有效期短于竞争性磋商文件规定有效期的；</w:t>
      </w:r>
    </w:p>
    <w:p w14:paraId="6E7FDEC6">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）未按磋商小组要求对竞争性磋商响应文件进行澄清（说明或者更正）的；</w:t>
      </w:r>
    </w:p>
    <w:p w14:paraId="0235E9E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）磋商小组对竞争性磋商响应文件评审后，认为在有效性、完整性和响应程度方面没有实质性响应竞争性磋商文件的</w:t>
      </w:r>
      <w:r>
        <w:rPr>
          <w:rFonts w:hint="eastAsia"/>
          <w:sz w:val="24"/>
        </w:rPr>
        <w:t>或有重大缺项漏项</w:t>
      </w:r>
      <w:r>
        <w:rPr>
          <w:sz w:val="24"/>
        </w:rPr>
        <w:t>,</w:t>
      </w:r>
      <w:r>
        <w:rPr>
          <w:rFonts w:hint="eastAsia"/>
          <w:sz w:val="24"/>
        </w:rPr>
        <w:t>明显不符合技术规格、技术标准的要求的；</w:t>
      </w:r>
    </w:p>
    <w:p w14:paraId="2B0EF224">
      <w:pPr>
        <w:adjustRightInd w:val="0"/>
        <w:snapToGrid w:val="0"/>
        <w:spacing w:line="500" w:lineRule="exact"/>
        <w:ind w:firstLine="480" w:firstLineChars="200"/>
        <w:rPr>
          <w:sz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）重新提交的竞争性磋商响应文件没有实质性响应竞争性磋商文件的。</w:t>
      </w:r>
    </w:p>
    <w:p w14:paraId="77BF2F95">
      <w:pPr>
        <w:spacing w:line="500" w:lineRule="exact"/>
        <w:ind w:firstLine="480" w:firstLineChars="200"/>
        <w:rPr>
          <w:sz w:val="24"/>
        </w:rPr>
      </w:pPr>
      <w:r>
        <w:rPr>
          <w:rFonts w:hint="eastAsia"/>
          <w:sz w:val="24"/>
        </w:rPr>
        <w:t>（</w:t>
      </w:r>
      <w:r>
        <w:rPr>
          <w:sz w:val="24"/>
        </w:rPr>
        <w:t>9</w:t>
      </w:r>
      <w:r>
        <w:rPr>
          <w:rFonts w:hint="eastAsia"/>
          <w:sz w:val="24"/>
        </w:rPr>
        <w:t>）</w:t>
      </w:r>
      <w:r>
        <w:rPr>
          <w:rFonts w:hint="eastAsia"/>
          <w:sz w:val="24"/>
          <w:lang w:eastAsia="zh-CN"/>
        </w:rPr>
        <w:t>投标人</w:t>
      </w:r>
      <w:r>
        <w:rPr>
          <w:rFonts w:hint="eastAsia"/>
          <w:sz w:val="24"/>
        </w:rPr>
        <w:t>针对同一项目递交两份或多份内容不同的竞争性磋商响应文件，未书面声明哪一份是有效的或出现选择性报价的；</w:t>
      </w:r>
    </w:p>
    <w:p w14:paraId="74BCBA6C">
      <w:pPr>
        <w:spacing w:line="500" w:lineRule="exact"/>
        <w:ind w:firstLine="480" w:firstLineChars="200"/>
        <w:rPr>
          <w:sz w:val="24"/>
        </w:rPr>
      </w:pPr>
      <w:r>
        <w:rPr>
          <w:rFonts w:hint="eastAsia"/>
          <w:sz w:val="24"/>
        </w:rPr>
        <w:t>（</w:t>
      </w:r>
      <w:r>
        <w:rPr>
          <w:sz w:val="24"/>
        </w:rPr>
        <w:t>10</w:t>
      </w:r>
      <w:r>
        <w:rPr>
          <w:rFonts w:hint="eastAsia"/>
          <w:sz w:val="24"/>
        </w:rPr>
        <w:t>）磋商报价与市场价偏离较大，或者磋商报价大于项目预算，低于成本，形成不正当竞争的；</w:t>
      </w:r>
    </w:p>
    <w:p w14:paraId="44EAA16A">
      <w:pPr>
        <w:spacing w:line="500" w:lineRule="exact"/>
        <w:ind w:firstLine="480" w:firstLineChars="200"/>
        <w:rPr>
          <w:rFonts w:ascii="宋体"/>
          <w:kern w:val="0"/>
          <w:sz w:val="24"/>
          <w:szCs w:val="24"/>
        </w:rPr>
      </w:pPr>
      <w:r>
        <w:rPr>
          <w:rFonts w:hint="eastAsia"/>
          <w:sz w:val="24"/>
        </w:rPr>
        <w:t>（</w:t>
      </w:r>
      <w:r>
        <w:rPr>
          <w:sz w:val="24"/>
        </w:rPr>
        <w:t>11</w:t>
      </w:r>
      <w:r>
        <w:rPr>
          <w:rFonts w:hint="eastAsia"/>
          <w:sz w:val="24"/>
        </w:rPr>
        <w:t>）</w:t>
      </w:r>
      <w:r>
        <w:rPr>
          <w:rFonts w:hint="eastAsia" w:ascii="宋体" w:hAnsi="宋体"/>
          <w:kern w:val="0"/>
          <w:sz w:val="24"/>
          <w:szCs w:val="24"/>
        </w:rPr>
        <w:t>在</w:t>
      </w:r>
      <w:r>
        <w:rPr>
          <w:rFonts w:hint="eastAsia" w:ascii="宋体" w:hAnsi="宋体" w:cs="宋体"/>
          <w:sz w:val="24"/>
          <w:szCs w:val="24"/>
        </w:rPr>
        <w:t>“信用中国”网站</w:t>
      </w:r>
      <w:r>
        <w:rPr>
          <w:rFonts w:ascii="宋体" w:hAnsi="宋体" w:cs="宋体"/>
          <w:sz w:val="24"/>
          <w:szCs w:val="24"/>
        </w:rPr>
        <w:t>(www.creditchina.gov.cn)</w:t>
      </w:r>
      <w:r>
        <w:rPr>
          <w:rFonts w:hint="eastAsia" w:ascii="宋体" w:hAnsi="宋体" w:cs="宋体"/>
          <w:sz w:val="24"/>
          <w:szCs w:val="24"/>
          <w:lang w:val="en-US" w:eastAsia="zh-CN"/>
        </w:rPr>
        <w:t>和</w:t>
      </w:r>
      <w:r>
        <w:rPr>
          <w:rFonts w:hint="eastAsia" w:ascii="宋体" w:hAnsi="宋体" w:cs="宋体"/>
          <w:sz w:val="24"/>
          <w:szCs w:val="24"/>
        </w:rPr>
        <w:t>中国政府采购网</w:t>
      </w:r>
      <w:r>
        <w:rPr>
          <w:rFonts w:ascii="宋体" w:hAnsi="宋体" w:cs="宋体"/>
          <w:sz w:val="24"/>
          <w:szCs w:val="24"/>
        </w:rPr>
        <w:t>(www.ccgp.gov.cn )</w:t>
      </w:r>
      <w:r>
        <w:rPr>
          <w:rFonts w:hint="eastAsia" w:ascii="宋体" w:hAnsi="宋体" w:cs="宋体"/>
          <w:sz w:val="24"/>
          <w:szCs w:val="24"/>
        </w:rPr>
        <w:t>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宋体" w:hAnsi="宋体" w:cs="宋体"/>
          <w:sz w:val="24"/>
          <w:szCs w:val="24"/>
          <w:lang w:eastAsia="zh-CN"/>
        </w:rPr>
        <w:t>投标人</w:t>
      </w:r>
      <w:r>
        <w:rPr>
          <w:rFonts w:hint="eastAsia" w:ascii="宋体" w:hAnsi="宋体" w:cs="宋体"/>
          <w:sz w:val="24"/>
          <w:szCs w:val="24"/>
        </w:rPr>
        <w:t>，采购代理机构将拒绝其参与政府采购活动。）；</w:t>
      </w:r>
    </w:p>
    <w:p w14:paraId="4945904F">
      <w:pPr>
        <w:spacing w:line="500" w:lineRule="exact"/>
        <w:ind w:firstLine="480" w:firstLineChars="200"/>
        <w:rPr>
          <w:rFonts w:hint="eastAsia"/>
          <w:sz w:val="24"/>
        </w:rPr>
      </w:pPr>
      <w:r>
        <w:rPr>
          <w:rFonts w:hint="eastAsia"/>
          <w:sz w:val="24"/>
        </w:rPr>
        <w:t>（</w:t>
      </w:r>
      <w:r>
        <w:rPr>
          <w:sz w:val="24"/>
        </w:rPr>
        <w:t>12</w:t>
      </w:r>
      <w:r>
        <w:rPr>
          <w:rFonts w:hint="eastAsia"/>
          <w:sz w:val="24"/>
        </w:rPr>
        <w:t>）不符合现行法律法规和竞争性磋商文件规定的其他实质性要求的。</w:t>
      </w:r>
    </w:p>
    <w:p w14:paraId="4996FDE0">
      <w:pPr>
        <w:adjustRightInd w:val="0"/>
        <w:snapToGrid w:val="0"/>
        <w:spacing w:line="440" w:lineRule="exact"/>
        <w:rPr>
          <w:rFonts w:hint="eastAsia" w:ascii="宋体" w:hAnsi="宋体"/>
          <w:b/>
          <w:kern w:val="0"/>
          <w:sz w:val="24"/>
          <w:szCs w:val="24"/>
          <w:lang w:val="en-US" w:eastAsia="zh-CN"/>
        </w:rPr>
      </w:pPr>
      <w:r>
        <w:rPr>
          <w:rFonts w:hint="eastAsia" w:ascii="宋体" w:hAnsi="宋体"/>
          <w:b/>
          <w:kern w:val="0"/>
          <w:sz w:val="24"/>
          <w:szCs w:val="24"/>
          <w:lang w:val="en-US" w:eastAsia="zh-CN"/>
        </w:rPr>
        <w:t>22.2有下列情形之一的，视为投标人串通投标，其投标无效：</w:t>
      </w:r>
    </w:p>
    <w:p w14:paraId="477A6AD9">
      <w:pPr>
        <w:spacing w:line="500" w:lineRule="exact"/>
        <w:ind w:firstLine="480" w:firstLineChars="200"/>
        <w:rPr>
          <w:rFonts w:hint="eastAsia"/>
          <w:sz w:val="24"/>
          <w:lang w:val="en-US" w:eastAsia="zh-CN"/>
        </w:rPr>
      </w:pPr>
      <w:r>
        <w:rPr>
          <w:rFonts w:hint="eastAsia"/>
          <w:sz w:val="24"/>
          <w:lang w:val="en-US" w:eastAsia="zh-CN"/>
        </w:rPr>
        <w:t>（1）不同投标人的竞争性磋商响应文件由同一单位或者个人编制；</w:t>
      </w:r>
    </w:p>
    <w:p w14:paraId="660B995D">
      <w:pPr>
        <w:spacing w:line="500" w:lineRule="exact"/>
        <w:ind w:firstLine="480" w:firstLineChars="200"/>
        <w:rPr>
          <w:rFonts w:hint="eastAsia"/>
          <w:sz w:val="24"/>
          <w:lang w:val="en-US" w:eastAsia="zh-CN"/>
        </w:rPr>
      </w:pPr>
      <w:r>
        <w:rPr>
          <w:rFonts w:hint="eastAsia"/>
          <w:sz w:val="24"/>
          <w:lang w:val="en-US" w:eastAsia="zh-CN"/>
        </w:rPr>
        <w:t>（2）不同投标人委托同一单位或个人办理磋商事宜；</w:t>
      </w:r>
    </w:p>
    <w:p w14:paraId="21EFD42C">
      <w:pPr>
        <w:spacing w:line="500" w:lineRule="exact"/>
        <w:ind w:firstLine="480" w:firstLineChars="200"/>
        <w:rPr>
          <w:rFonts w:hint="eastAsia"/>
          <w:sz w:val="24"/>
          <w:lang w:val="en-US" w:eastAsia="zh-CN"/>
        </w:rPr>
      </w:pPr>
      <w:r>
        <w:rPr>
          <w:rFonts w:hint="eastAsia"/>
          <w:sz w:val="24"/>
          <w:lang w:val="en-US" w:eastAsia="zh-CN"/>
        </w:rPr>
        <w:t>（3）不同投标人的竞争性磋商响应文件载明的项目管理成员或者联系人员为同一人；</w:t>
      </w:r>
    </w:p>
    <w:p w14:paraId="2ABC1F81">
      <w:pPr>
        <w:spacing w:line="500" w:lineRule="exact"/>
        <w:ind w:firstLine="480" w:firstLineChars="200"/>
        <w:rPr>
          <w:rFonts w:hint="eastAsia"/>
          <w:sz w:val="24"/>
          <w:lang w:val="en-US" w:eastAsia="zh-CN"/>
        </w:rPr>
      </w:pPr>
      <w:r>
        <w:rPr>
          <w:rFonts w:hint="eastAsia"/>
          <w:sz w:val="24"/>
          <w:lang w:val="en-US" w:eastAsia="zh-CN"/>
        </w:rPr>
        <w:t>（4）不同投标人的竞争性磋商响应文件异常一致或者磋商报价呈规律性差异；</w:t>
      </w:r>
    </w:p>
    <w:p w14:paraId="0214384E">
      <w:pPr>
        <w:spacing w:line="500" w:lineRule="exact"/>
        <w:ind w:firstLine="480" w:firstLineChars="200"/>
        <w:rPr>
          <w:rFonts w:hint="eastAsia"/>
          <w:sz w:val="24"/>
          <w:lang w:val="en-US" w:eastAsia="zh-CN"/>
        </w:rPr>
      </w:pPr>
      <w:r>
        <w:rPr>
          <w:rFonts w:hint="eastAsia"/>
          <w:sz w:val="24"/>
          <w:lang w:val="en-US" w:eastAsia="zh-CN"/>
        </w:rPr>
        <w:t>（5）不同投标人的竞争性磋商响应文件互相混装；</w:t>
      </w:r>
    </w:p>
    <w:p w14:paraId="2BD6D166">
      <w:pPr>
        <w:spacing w:line="500" w:lineRule="exact"/>
        <w:ind w:firstLine="480" w:firstLineChars="200"/>
        <w:rPr>
          <w:rFonts w:hint="eastAsia"/>
          <w:sz w:val="24"/>
          <w:lang w:val="en-US" w:eastAsia="zh-CN"/>
        </w:rPr>
      </w:pPr>
      <w:r>
        <w:rPr>
          <w:rFonts w:hint="eastAsia"/>
          <w:sz w:val="24"/>
          <w:lang w:val="en-US" w:eastAsia="zh-CN"/>
        </w:rPr>
        <w:t>（6）不同投标人的投标保证金从同一单位或者个人账户转出。</w:t>
      </w:r>
    </w:p>
    <w:p w14:paraId="458FA061">
      <w:pPr>
        <w:adjustRightInd w:val="0"/>
        <w:snapToGrid w:val="0"/>
        <w:spacing w:line="440" w:lineRule="exact"/>
        <w:rPr>
          <w:rFonts w:ascii="宋体"/>
          <w:b/>
          <w:kern w:val="0"/>
          <w:sz w:val="24"/>
          <w:szCs w:val="24"/>
        </w:rPr>
      </w:pPr>
      <w:r>
        <w:rPr>
          <w:rFonts w:hint="eastAsia" w:ascii="宋体" w:hAnsi="宋体"/>
          <w:b/>
          <w:kern w:val="0"/>
          <w:sz w:val="24"/>
          <w:szCs w:val="24"/>
          <w:lang w:val="en-US" w:eastAsia="zh-CN"/>
        </w:rPr>
        <w:t>23</w:t>
      </w:r>
      <w:r>
        <w:rPr>
          <w:rFonts w:hint="eastAsia" w:ascii="宋体" w:hAnsi="宋体"/>
          <w:b/>
          <w:kern w:val="0"/>
          <w:sz w:val="24"/>
          <w:szCs w:val="24"/>
        </w:rPr>
        <w:t>．磋商响应文件的修改和撤回</w:t>
      </w:r>
    </w:p>
    <w:p w14:paraId="1794A07A">
      <w:pPr>
        <w:adjustRightInd w:val="0"/>
        <w:snapToGrid w:val="0"/>
        <w:spacing w:line="440" w:lineRule="exact"/>
        <w:rPr>
          <w:rFonts w:ascii="宋体"/>
          <w:kern w:val="0"/>
          <w:sz w:val="24"/>
          <w:szCs w:val="24"/>
        </w:rPr>
      </w:pPr>
      <w:r>
        <w:rPr>
          <w:rFonts w:hint="eastAsia" w:ascii="宋体" w:hAnsi="宋体"/>
          <w:kern w:val="0"/>
          <w:sz w:val="24"/>
          <w:szCs w:val="24"/>
          <w:lang w:val="en-US" w:eastAsia="zh-CN"/>
        </w:rPr>
        <w:t>23</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在递交磋商响应文件后，磋商截止时间前，可以修改或撤回其磋商响应文件。但</w:t>
      </w:r>
      <w:r>
        <w:rPr>
          <w:rFonts w:hint="eastAsia" w:ascii="宋体" w:hAnsi="宋体"/>
          <w:kern w:val="0"/>
          <w:sz w:val="24"/>
          <w:szCs w:val="24"/>
          <w:lang w:eastAsia="zh-CN"/>
        </w:rPr>
        <w:t>投标人</w:t>
      </w:r>
      <w:r>
        <w:rPr>
          <w:rFonts w:hint="eastAsia" w:ascii="宋体" w:hAnsi="宋体"/>
          <w:kern w:val="0"/>
          <w:sz w:val="24"/>
          <w:szCs w:val="24"/>
        </w:rPr>
        <w:t>必须在规定的磋商截止期之前将修改或撤回的书面通知递交到采购代理机构。</w:t>
      </w:r>
    </w:p>
    <w:p w14:paraId="49346F2E">
      <w:pPr>
        <w:adjustRightInd w:val="0"/>
        <w:snapToGrid w:val="0"/>
        <w:spacing w:line="440" w:lineRule="exact"/>
        <w:rPr>
          <w:rFonts w:ascii="宋体"/>
          <w:kern w:val="0"/>
          <w:sz w:val="24"/>
          <w:szCs w:val="24"/>
        </w:rPr>
      </w:pPr>
      <w:r>
        <w:rPr>
          <w:rFonts w:hint="eastAsia" w:ascii="宋体" w:hAnsi="宋体"/>
          <w:kern w:val="0"/>
          <w:sz w:val="24"/>
          <w:szCs w:val="24"/>
          <w:lang w:val="en-US" w:eastAsia="zh-CN"/>
        </w:rPr>
        <w:t>23</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的修改或撤回通</w:t>
      </w:r>
      <w:r>
        <w:rPr>
          <w:rFonts w:hint="eastAsia" w:ascii="宋体" w:hAnsi="宋体"/>
          <w:color w:val="auto"/>
          <w:kern w:val="0"/>
          <w:sz w:val="24"/>
          <w:szCs w:val="24"/>
        </w:rPr>
        <w:t>知书应按本须知第</w:t>
      </w:r>
      <w:r>
        <w:rPr>
          <w:rFonts w:hint="eastAsia" w:ascii="宋体" w:hAnsi="宋体"/>
          <w:color w:val="auto"/>
          <w:kern w:val="0"/>
          <w:sz w:val="24"/>
          <w:szCs w:val="24"/>
          <w:lang w:val="en-US" w:eastAsia="zh-CN"/>
        </w:rPr>
        <w:t>20</w:t>
      </w:r>
      <w:r>
        <w:rPr>
          <w:rFonts w:hint="eastAsia" w:ascii="宋体" w:hAnsi="宋体"/>
          <w:color w:val="auto"/>
          <w:kern w:val="0"/>
          <w:sz w:val="24"/>
          <w:szCs w:val="24"/>
        </w:rPr>
        <w:t>条规定密封、标记和递交，并在内层</w:t>
      </w:r>
      <w:r>
        <w:rPr>
          <w:rFonts w:hint="eastAsia" w:ascii="宋体" w:hAnsi="宋体"/>
          <w:kern w:val="0"/>
          <w:sz w:val="24"/>
          <w:szCs w:val="24"/>
        </w:rPr>
        <w:t>封套上加注“修改”或“撤回”字样。</w:t>
      </w:r>
    </w:p>
    <w:p w14:paraId="533D60F4">
      <w:pPr>
        <w:adjustRightInd w:val="0"/>
        <w:snapToGrid w:val="0"/>
        <w:spacing w:line="440" w:lineRule="exact"/>
        <w:rPr>
          <w:rFonts w:ascii="宋体"/>
          <w:color w:val="auto"/>
          <w:kern w:val="0"/>
          <w:sz w:val="24"/>
          <w:szCs w:val="24"/>
        </w:rPr>
      </w:pPr>
      <w:r>
        <w:rPr>
          <w:rFonts w:hint="eastAsia" w:ascii="宋体" w:hAnsi="宋体"/>
          <w:kern w:val="0"/>
          <w:sz w:val="24"/>
          <w:szCs w:val="24"/>
          <w:lang w:val="en-US" w:eastAsia="zh-CN"/>
        </w:rPr>
        <w:t>23</w:t>
      </w:r>
      <w:r>
        <w:rPr>
          <w:rFonts w:ascii="宋体" w:hAnsi="宋体"/>
          <w:kern w:val="0"/>
          <w:sz w:val="24"/>
          <w:szCs w:val="24"/>
        </w:rPr>
        <w:t>.3</w:t>
      </w:r>
      <w:r>
        <w:rPr>
          <w:rFonts w:hint="eastAsia" w:ascii="宋体" w:hAnsi="宋体"/>
          <w:kern w:val="0"/>
          <w:sz w:val="24"/>
          <w:szCs w:val="24"/>
        </w:rPr>
        <w:t>在磋商截止日期之后，</w:t>
      </w:r>
      <w:r>
        <w:rPr>
          <w:rFonts w:hint="eastAsia" w:ascii="宋体" w:hAnsi="宋体"/>
          <w:kern w:val="0"/>
          <w:sz w:val="24"/>
          <w:szCs w:val="24"/>
          <w:lang w:eastAsia="zh-CN"/>
        </w:rPr>
        <w:t>投标人</w:t>
      </w:r>
      <w:r>
        <w:rPr>
          <w:rFonts w:hint="eastAsia" w:ascii="宋体" w:hAnsi="宋体"/>
          <w:kern w:val="0"/>
          <w:sz w:val="24"/>
          <w:szCs w:val="24"/>
        </w:rPr>
        <w:t>不得对其磋商响应文件做任何修改。从磋商截止期始至磋商文件确定的磋商响应文件有效期期满这段时间内，</w:t>
      </w:r>
      <w:r>
        <w:rPr>
          <w:rFonts w:hint="eastAsia" w:ascii="宋体" w:hAnsi="宋体"/>
          <w:kern w:val="0"/>
          <w:sz w:val="24"/>
          <w:szCs w:val="24"/>
          <w:lang w:eastAsia="zh-CN"/>
        </w:rPr>
        <w:t>投标人</w:t>
      </w:r>
      <w:r>
        <w:rPr>
          <w:rFonts w:hint="eastAsia" w:ascii="宋体" w:hAnsi="宋体"/>
          <w:kern w:val="0"/>
          <w:sz w:val="24"/>
          <w:szCs w:val="24"/>
        </w:rPr>
        <w:t>不得撤回其磋商响应</w:t>
      </w:r>
      <w:r>
        <w:rPr>
          <w:rFonts w:hint="eastAsia" w:ascii="宋体" w:hAnsi="宋体"/>
          <w:color w:val="auto"/>
          <w:kern w:val="0"/>
          <w:sz w:val="24"/>
          <w:szCs w:val="24"/>
        </w:rPr>
        <w:t>文件。</w:t>
      </w:r>
    </w:p>
    <w:p w14:paraId="1686BF7B">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52DEF5F7">
      <w:pPr>
        <w:adjustRightInd w:val="0"/>
        <w:snapToGrid w:val="0"/>
        <w:spacing w:line="440" w:lineRule="exact"/>
        <w:rPr>
          <w:rFonts w:ascii="宋体"/>
          <w:b/>
          <w:kern w:val="0"/>
          <w:sz w:val="24"/>
          <w:szCs w:val="24"/>
        </w:rPr>
      </w:pPr>
      <w:r>
        <w:rPr>
          <w:rFonts w:hint="eastAsia" w:ascii="宋体" w:hAnsi="宋体"/>
          <w:b/>
          <w:kern w:val="0"/>
          <w:sz w:val="24"/>
          <w:szCs w:val="24"/>
          <w:lang w:val="en-US" w:eastAsia="zh-CN"/>
        </w:rPr>
        <w:t>24</w:t>
      </w:r>
      <w:r>
        <w:rPr>
          <w:rFonts w:hint="eastAsia" w:ascii="宋体" w:hAnsi="宋体"/>
          <w:b/>
          <w:kern w:val="0"/>
          <w:sz w:val="24"/>
          <w:szCs w:val="24"/>
        </w:rPr>
        <w:t>．磋商响应文件开启和评审</w:t>
      </w:r>
    </w:p>
    <w:p w14:paraId="7632E5D5">
      <w:pPr>
        <w:adjustRightInd w:val="0"/>
        <w:snapToGrid w:val="0"/>
        <w:spacing w:line="440" w:lineRule="exact"/>
        <w:rPr>
          <w:rFonts w:ascii="宋体"/>
          <w:kern w:val="0"/>
          <w:sz w:val="24"/>
          <w:szCs w:val="24"/>
        </w:rPr>
      </w:pPr>
      <w:r>
        <w:rPr>
          <w:rFonts w:hint="eastAsia" w:ascii="宋体" w:hAnsi="宋体"/>
          <w:kern w:val="0"/>
          <w:sz w:val="24"/>
          <w:szCs w:val="24"/>
          <w:lang w:val="en-US" w:eastAsia="zh-CN"/>
        </w:rPr>
        <w:t>24</w:t>
      </w:r>
      <w:r>
        <w:rPr>
          <w:rFonts w:ascii="宋体" w:hAnsi="宋体"/>
          <w:kern w:val="0"/>
          <w:sz w:val="24"/>
          <w:szCs w:val="24"/>
        </w:rPr>
        <w:t>.1</w:t>
      </w:r>
      <w:r>
        <w:rPr>
          <w:rFonts w:hint="eastAsia" w:ascii="宋体" w:hAnsi="宋体"/>
          <w:kern w:val="0"/>
          <w:sz w:val="24"/>
          <w:szCs w:val="24"/>
        </w:rPr>
        <w:t>采购代理机构组织磋商、文件开启、评审工作，磋商整个过程接受监督部门的监督。</w:t>
      </w:r>
    </w:p>
    <w:p w14:paraId="7FDB1C54">
      <w:pPr>
        <w:adjustRightInd w:val="0"/>
        <w:snapToGrid w:val="0"/>
        <w:spacing w:line="440" w:lineRule="exact"/>
        <w:rPr>
          <w:rFonts w:hint="eastAsia" w:ascii="宋体" w:hAnsi="宋体"/>
          <w:kern w:val="0"/>
          <w:sz w:val="24"/>
          <w:szCs w:val="24"/>
        </w:rPr>
      </w:pPr>
      <w:r>
        <w:rPr>
          <w:rFonts w:hint="eastAsia" w:ascii="宋体" w:hAnsi="宋体"/>
          <w:kern w:val="0"/>
          <w:sz w:val="24"/>
          <w:szCs w:val="24"/>
          <w:lang w:val="en-US" w:eastAsia="zh-CN"/>
        </w:rPr>
        <w:t>24</w:t>
      </w:r>
      <w:r>
        <w:rPr>
          <w:rFonts w:hint="eastAsia" w:ascii="宋体" w:hAnsi="宋体"/>
          <w:kern w:val="0"/>
          <w:sz w:val="24"/>
          <w:szCs w:val="24"/>
        </w:rPr>
        <w:t>.2采购代理机构在规定的时间和地点组织磋商，</w:t>
      </w:r>
      <w:r>
        <w:rPr>
          <w:rFonts w:hint="eastAsia" w:ascii="宋体" w:hAnsi="宋体"/>
          <w:kern w:val="0"/>
          <w:sz w:val="24"/>
          <w:szCs w:val="24"/>
          <w:lang w:eastAsia="zh-CN"/>
        </w:rPr>
        <w:t>投标人</w:t>
      </w:r>
      <w:r>
        <w:rPr>
          <w:rFonts w:hint="eastAsia" w:ascii="宋体" w:hAnsi="宋体"/>
          <w:kern w:val="0"/>
          <w:sz w:val="24"/>
          <w:szCs w:val="24"/>
        </w:rPr>
        <w:t>须委派代表参加，参加磋商的授权代表应携带相关资质证件并签名报到以证明其出席。</w:t>
      </w:r>
    </w:p>
    <w:p w14:paraId="656EE97C">
      <w:pPr>
        <w:adjustRightInd w:val="0"/>
        <w:snapToGrid w:val="0"/>
        <w:spacing w:line="440" w:lineRule="exact"/>
        <w:rPr>
          <w:rFonts w:ascii="宋体" w:hAnsi="宋体"/>
          <w:kern w:val="0"/>
          <w:sz w:val="24"/>
          <w:szCs w:val="24"/>
        </w:rPr>
      </w:pPr>
      <w:r>
        <w:rPr>
          <w:rFonts w:hint="eastAsia" w:ascii="宋体" w:hAnsi="宋体"/>
          <w:kern w:val="0"/>
          <w:sz w:val="24"/>
          <w:szCs w:val="24"/>
          <w:lang w:val="en-US" w:eastAsia="zh-CN"/>
        </w:rPr>
        <w:t>24</w:t>
      </w:r>
      <w:r>
        <w:rPr>
          <w:rFonts w:hint="eastAsia" w:ascii="宋体" w:hAnsi="宋体"/>
          <w:kern w:val="0"/>
          <w:sz w:val="24"/>
          <w:szCs w:val="24"/>
        </w:rPr>
        <w:t>.3</w:t>
      </w:r>
      <w:r>
        <w:rPr>
          <w:rFonts w:hint="eastAsia" w:ascii="宋体" w:hAnsi="宋体"/>
          <w:kern w:val="0"/>
          <w:sz w:val="24"/>
          <w:szCs w:val="24"/>
          <w:lang w:val="en-US" w:eastAsia="zh-CN"/>
        </w:rPr>
        <w:t>评审时，由采购人或采购代理机构对递交响应文件的各供应商在“信用中国”网站 ( www.creditchina.gov.cn)、中国政府采购网( www.ccgp.gov.cn )等信用主体网站进行信用查询（截止时间点为响应文件递交截止时间），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2D62ADAD">
      <w:pPr>
        <w:adjustRightInd w:val="0"/>
        <w:snapToGrid w:val="0"/>
        <w:spacing w:line="440" w:lineRule="exact"/>
        <w:rPr>
          <w:rFonts w:ascii="宋体"/>
          <w:b/>
          <w:bCs/>
          <w:kern w:val="0"/>
          <w:sz w:val="24"/>
          <w:szCs w:val="24"/>
        </w:rPr>
      </w:pPr>
      <w:r>
        <w:rPr>
          <w:rFonts w:hint="eastAsia" w:ascii="宋体" w:hAnsi="宋体"/>
          <w:b/>
          <w:bCs/>
          <w:kern w:val="0"/>
          <w:sz w:val="24"/>
          <w:szCs w:val="24"/>
          <w:lang w:val="en-US" w:eastAsia="zh-CN"/>
        </w:rPr>
        <w:t>24.4</w:t>
      </w:r>
      <w:r>
        <w:rPr>
          <w:rFonts w:hint="eastAsia" w:ascii="宋体" w:hAnsi="宋体"/>
          <w:b/>
          <w:bCs/>
          <w:kern w:val="0"/>
          <w:sz w:val="24"/>
          <w:szCs w:val="24"/>
        </w:rPr>
        <w:t>磋商时，由各</w:t>
      </w:r>
      <w:r>
        <w:rPr>
          <w:rFonts w:hint="eastAsia" w:ascii="宋体" w:hAnsi="宋体"/>
          <w:b/>
          <w:bCs/>
          <w:kern w:val="0"/>
          <w:sz w:val="24"/>
          <w:szCs w:val="24"/>
          <w:lang w:eastAsia="zh-CN"/>
        </w:rPr>
        <w:t>投标人</w:t>
      </w:r>
      <w:r>
        <w:rPr>
          <w:rFonts w:hint="eastAsia" w:ascii="宋体" w:hAnsi="宋体"/>
          <w:b/>
          <w:bCs/>
          <w:kern w:val="0"/>
          <w:sz w:val="24"/>
          <w:szCs w:val="24"/>
        </w:rPr>
        <w:t>代表</w:t>
      </w:r>
      <w:r>
        <w:rPr>
          <w:rFonts w:hint="eastAsia" w:ascii="宋体" w:hAnsi="宋体"/>
          <w:b/>
          <w:bCs/>
          <w:kern w:val="0"/>
          <w:sz w:val="24"/>
          <w:szCs w:val="24"/>
          <w:lang w:val="en-US" w:eastAsia="zh-CN"/>
        </w:rPr>
        <w:t>自行检查</w:t>
      </w:r>
      <w:r>
        <w:rPr>
          <w:rFonts w:hint="eastAsia" w:ascii="宋体" w:hAnsi="宋体" w:eastAsia="宋体" w:cs="宋体"/>
          <w:b/>
          <w:bCs/>
          <w:color w:val="auto"/>
          <w:kern w:val="0"/>
          <w:sz w:val="24"/>
          <w:szCs w:val="24"/>
        </w:rPr>
        <w:t>纸质</w:t>
      </w:r>
      <w:r>
        <w:rPr>
          <w:rFonts w:hint="eastAsia" w:ascii="宋体" w:hAnsi="宋体"/>
          <w:b/>
          <w:bCs/>
          <w:kern w:val="0"/>
          <w:sz w:val="24"/>
          <w:szCs w:val="24"/>
        </w:rPr>
        <w:t>磋商响应文件的密封情况</w:t>
      </w:r>
      <w:r>
        <w:rPr>
          <w:rFonts w:hint="eastAsia" w:ascii="宋体" w:hAnsi="宋体"/>
          <w:sz w:val="28"/>
          <w:szCs w:val="28"/>
        </w:rPr>
        <w:t>（</w:t>
      </w:r>
      <w:r>
        <w:rPr>
          <w:rFonts w:hint="eastAsia" w:ascii="宋体" w:hAnsi="宋体" w:cs="Times New Roman"/>
          <w:b/>
          <w:bCs/>
          <w:kern w:val="0"/>
          <w:sz w:val="24"/>
          <w:szCs w:val="24"/>
          <w:lang w:val="en-US" w:eastAsia="zh-CN"/>
        </w:rPr>
        <w:t>投标人</w:t>
      </w:r>
      <w:r>
        <w:rPr>
          <w:rFonts w:hint="eastAsia" w:ascii="宋体" w:hAnsi="宋体" w:eastAsia="宋体" w:cs="Times New Roman"/>
          <w:b/>
          <w:bCs/>
          <w:kern w:val="0"/>
          <w:sz w:val="24"/>
          <w:szCs w:val="24"/>
          <w:lang w:val="en-US" w:eastAsia="zh-CN"/>
        </w:rPr>
        <w:t>自行</w:t>
      </w:r>
      <w:r>
        <w:rPr>
          <w:rFonts w:hint="eastAsia" w:ascii="宋体" w:hAnsi="宋体" w:eastAsia="宋体" w:cs="Times New Roman"/>
          <w:b/>
          <w:bCs/>
          <w:kern w:val="0"/>
          <w:sz w:val="24"/>
          <w:szCs w:val="24"/>
        </w:rPr>
        <w:t>检查</w:t>
      </w:r>
      <w:r>
        <w:rPr>
          <w:rFonts w:hint="eastAsia" w:ascii="宋体" w:hAnsi="宋体" w:eastAsia="宋体" w:cs="Times New Roman"/>
          <w:b/>
          <w:bCs/>
          <w:kern w:val="0"/>
          <w:sz w:val="24"/>
          <w:szCs w:val="24"/>
          <w:lang w:val="en-US" w:eastAsia="zh-CN"/>
        </w:rPr>
        <w:t>磋商</w:t>
      </w:r>
      <w:r>
        <w:rPr>
          <w:rFonts w:hint="eastAsia" w:ascii="宋体" w:hAnsi="宋体" w:eastAsia="宋体" w:cs="Times New Roman"/>
          <w:b/>
          <w:bCs/>
          <w:kern w:val="0"/>
          <w:sz w:val="24"/>
          <w:szCs w:val="24"/>
        </w:rPr>
        <w:t>响应文件是否被开启、原始密封是否完好，查验完毕签字确认。各</w:t>
      </w:r>
      <w:r>
        <w:rPr>
          <w:rFonts w:hint="eastAsia" w:ascii="宋体" w:hAnsi="宋体" w:cs="Times New Roman"/>
          <w:b/>
          <w:bCs/>
          <w:kern w:val="0"/>
          <w:sz w:val="24"/>
          <w:szCs w:val="24"/>
          <w:lang w:eastAsia="zh-CN"/>
        </w:rPr>
        <w:t>投标人</w:t>
      </w:r>
      <w:r>
        <w:rPr>
          <w:rFonts w:hint="eastAsia" w:ascii="宋体" w:hAnsi="宋体" w:eastAsia="宋体" w:cs="Times New Roman"/>
          <w:b/>
          <w:bCs/>
          <w:kern w:val="0"/>
          <w:sz w:val="24"/>
          <w:szCs w:val="24"/>
        </w:rPr>
        <w:t>对密封查验结果自行负责，不相互查验及提出质疑。）</w:t>
      </w:r>
    </w:p>
    <w:p w14:paraId="6CBB3FE5">
      <w:pPr>
        <w:adjustRightInd w:val="0"/>
        <w:snapToGrid w:val="0"/>
        <w:spacing w:line="500" w:lineRule="exact"/>
        <w:rPr>
          <w:rFonts w:ascii="宋体" w:hAnsi="宋体"/>
          <w:kern w:val="0"/>
          <w:sz w:val="24"/>
          <w:szCs w:val="24"/>
          <w:highlight w:val="none"/>
        </w:rPr>
      </w:pPr>
      <w:r>
        <w:rPr>
          <w:rFonts w:hint="eastAsia" w:ascii="宋体" w:hAnsi="宋体"/>
          <w:kern w:val="0"/>
          <w:sz w:val="24"/>
          <w:szCs w:val="24"/>
          <w:highlight w:val="none"/>
          <w:lang w:val="en-US" w:eastAsia="zh-CN"/>
        </w:rPr>
        <w:t>20</w:t>
      </w:r>
      <w:r>
        <w:rPr>
          <w:rFonts w:ascii="宋体" w:hAnsi="宋体"/>
          <w:kern w:val="0"/>
          <w:sz w:val="24"/>
          <w:szCs w:val="24"/>
          <w:highlight w:val="none"/>
        </w:rPr>
        <w:t>.</w:t>
      </w:r>
      <w:r>
        <w:rPr>
          <w:rFonts w:hint="eastAsia" w:ascii="宋体" w:hAnsi="宋体"/>
          <w:kern w:val="0"/>
          <w:sz w:val="24"/>
          <w:szCs w:val="24"/>
          <w:highlight w:val="none"/>
          <w:lang w:val="en-US" w:eastAsia="zh-CN"/>
        </w:rPr>
        <w:t>5</w:t>
      </w:r>
      <w:r>
        <w:rPr>
          <w:rFonts w:hint="eastAsia" w:ascii="宋体" w:hAnsi="宋体" w:cs="宋体"/>
          <w:color w:val="auto"/>
          <w:kern w:val="0"/>
          <w:sz w:val="24"/>
          <w:szCs w:val="24"/>
        </w:rPr>
        <w:t>采购代理机构将在磋商会议现场对开标过程进行摄像、文字记录，并存档备查。</w:t>
      </w:r>
    </w:p>
    <w:p w14:paraId="72EABF3D">
      <w:pPr>
        <w:adjustRightInd w:val="0"/>
        <w:snapToGrid w:val="0"/>
        <w:spacing w:line="44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5</w:t>
      </w:r>
      <w:r>
        <w:rPr>
          <w:rFonts w:hint="eastAsia" w:ascii="宋体" w:hAnsi="宋体"/>
          <w:b/>
          <w:kern w:val="0"/>
          <w:sz w:val="24"/>
          <w:szCs w:val="24"/>
        </w:rPr>
        <w:t>．磋商小组</w:t>
      </w:r>
    </w:p>
    <w:p w14:paraId="3BFF753D">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采购人</w:t>
      </w:r>
      <w:r>
        <w:rPr>
          <w:rFonts w:hint="eastAsia" w:ascii="宋体" w:hAnsi="宋体"/>
          <w:kern w:val="0"/>
          <w:sz w:val="24"/>
          <w:szCs w:val="24"/>
        </w:rPr>
        <w:t>将按照《政府采购法》、《政府采购竞争性磋商招标方式管理暂行办法》等有关规定组建磋商小组。</w:t>
      </w:r>
    </w:p>
    <w:p w14:paraId="26F33643">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5</w:t>
      </w:r>
      <w:r>
        <w:rPr>
          <w:rFonts w:ascii="宋体" w:hAnsi="宋体"/>
          <w:kern w:val="0"/>
          <w:sz w:val="24"/>
          <w:szCs w:val="24"/>
        </w:rPr>
        <w:t>.2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0B215E04">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val="en-US" w:eastAsia="zh-CN"/>
        </w:rPr>
        <w:t>采购人</w:t>
      </w:r>
      <w:r>
        <w:rPr>
          <w:rFonts w:hint="eastAsia" w:ascii="宋体" w:hAnsi="宋体"/>
          <w:kern w:val="0"/>
          <w:sz w:val="24"/>
          <w:szCs w:val="24"/>
        </w:rPr>
        <w:t>提交书面提交评审报告，推荐成交候选人。</w:t>
      </w:r>
    </w:p>
    <w:p w14:paraId="137C720A">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投标人</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投标人</w:t>
      </w:r>
      <w:r>
        <w:rPr>
          <w:rFonts w:hint="eastAsia" w:ascii="宋体" w:hAnsi="宋体"/>
          <w:kern w:val="0"/>
          <w:sz w:val="24"/>
          <w:szCs w:val="24"/>
        </w:rPr>
        <w:t>及与磋商无关的其他人透露。</w:t>
      </w:r>
    </w:p>
    <w:p w14:paraId="247D8C9F">
      <w:pPr>
        <w:adjustRightInd w:val="0"/>
        <w:snapToGrid w:val="0"/>
        <w:spacing w:line="44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6</w:t>
      </w:r>
      <w:r>
        <w:rPr>
          <w:rFonts w:ascii="宋体"/>
          <w:b/>
          <w:kern w:val="0"/>
          <w:sz w:val="24"/>
          <w:szCs w:val="24"/>
        </w:rPr>
        <w:t>.</w:t>
      </w:r>
      <w:r>
        <w:rPr>
          <w:rFonts w:hint="eastAsia" w:ascii="宋体" w:hAnsi="宋体"/>
          <w:b/>
          <w:kern w:val="0"/>
          <w:sz w:val="24"/>
          <w:szCs w:val="24"/>
        </w:rPr>
        <w:t>磋商办法及内容</w:t>
      </w:r>
    </w:p>
    <w:p w14:paraId="4D35007F">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磋商原则：</w:t>
      </w:r>
    </w:p>
    <w:p w14:paraId="7FA6A62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7C7E98B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45C1B1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50AE0600">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519DCFF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磋商的全过程分为第一次报价、符合性审查、磋商过程、最后报价、最终评审五个阶段。第一次报价与最后报价均采取集中报价形式。</w:t>
      </w:r>
    </w:p>
    <w:p w14:paraId="040C604B">
      <w:pPr>
        <w:adjustRightInd w:val="0"/>
        <w:snapToGrid w:val="0"/>
        <w:spacing w:line="440" w:lineRule="exact"/>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根据陕财办采资[2016]53号文件“不得在每轮磋商结束时公开投标人的报价”的规定。</w:t>
      </w:r>
    </w:p>
    <w:p w14:paraId="669E6234">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.2.2</w:t>
      </w:r>
      <w:r>
        <w:rPr>
          <w:rFonts w:hint="eastAsia" w:ascii="宋体" w:hAnsi="宋体"/>
          <w:kern w:val="0"/>
          <w:sz w:val="24"/>
          <w:szCs w:val="24"/>
        </w:rPr>
        <w:t>符合性评审：磋商小组对磋商响应文件的有效性、完整性和响应程度进行审查，出现下列情况的按无效文件处理。</w:t>
      </w:r>
    </w:p>
    <w:p w14:paraId="54F75FC3">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）资质有效性评审：本次磋商所要求的必备资质证明文件，缺其中一项或某项达不到磋商要求，均按无效文件处理。</w:t>
      </w:r>
    </w:p>
    <w:p w14:paraId="39A86FE6">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）各</w:t>
      </w:r>
      <w:r>
        <w:rPr>
          <w:rFonts w:hint="eastAsia" w:ascii="宋体" w:hAnsi="宋体"/>
          <w:kern w:val="0"/>
          <w:sz w:val="24"/>
          <w:szCs w:val="24"/>
          <w:lang w:eastAsia="zh-CN"/>
        </w:rPr>
        <w:t>投标人</w:t>
      </w:r>
      <w:r>
        <w:rPr>
          <w:rFonts w:hint="eastAsia" w:ascii="宋体" w:hAnsi="宋体"/>
          <w:kern w:val="0"/>
          <w:sz w:val="24"/>
          <w:szCs w:val="24"/>
        </w:rPr>
        <w:t>未经过正常渠道购买竞争性磋商文件，或参加磋商的各</w:t>
      </w:r>
      <w:r>
        <w:rPr>
          <w:rFonts w:hint="eastAsia" w:ascii="宋体" w:hAnsi="宋体"/>
          <w:kern w:val="0"/>
          <w:sz w:val="24"/>
          <w:szCs w:val="24"/>
          <w:lang w:eastAsia="zh-CN"/>
        </w:rPr>
        <w:t>投标人</w:t>
      </w:r>
      <w:r>
        <w:rPr>
          <w:rFonts w:hint="eastAsia" w:ascii="宋体" w:hAnsi="宋体"/>
          <w:kern w:val="0"/>
          <w:sz w:val="24"/>
          <w:szCs w:val="24"/>
        </w:rPr>
        <w:t>名称与购买磋商文件时登记的单位名称不符。</w:t>
      </w:r>
    </w:p>
    <w:p w14:paraId="06DD3E16">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未提供法定代表人授权书（法定代表人直接参加磋商的除外）或授权书不符合竞争性磋商文件要求的。</w:t>
      </w:r>
    </w:p>
    <w:p w14:paraId="20437107">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）磋商响应文件要求加盖</w:t>
      </w:r>
      <w:r>
        <w:rPr>
          <w:rFonts w:hint="eastAsia" w:ascii="宋体" w:hAnsi="宋体"/>
          <w:kern w:val="0"/>
          <w:sz w:val="24"/>
          <w:szCs w:val="24"/>
          <w:lang w:eastAsia="zh-CN"/>
        </w:rPr>
        <w:t>投标人公章</w:t>
      </w:r>
      <w:r>
        <w:rPr>
          <w:rFonts w:hint="eastAsia" w:ascii="宋体" w:hAnsi="宋体"/>
          <w:kern w:val="0"/>
          <w:sz w:val="24"/>
          <w:szCs w:val="24"/>
        </w:rPr>
        <w:t>或签字处未执行文件规定、磋商响应文件有效期或有效期未能达到竞争性磋商文件的要求的。</w:t>
      </w:r>
    </w:p>
    <w:p w14:paraId="5B552C4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）未按要求缴纳磋商保证金的。</w:t>
      </w:r>
    </w:p>
    <w:p w14:paraId="187661C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）提供虚假证明（包括第三方提供的虚假证明、证件），开具虚假业绩，除按无效文件处理外，按有关规定进行相应的处罚。</w:t>
      </w:r>
    </w:p>
    <w:p w14:paraId="30290B02">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）磋商方案出现严重漏项，造成系统缺陷，已影响到该项目的实施。</w:t>
      </w:r>
    </w:p>
    <w:p w14:paraId="7551F3A3">
      <w:pPr>
        <w:adjustRightInd w:val="0"/>
        <w:snapToGrid w:val="0"/>
        <w:spacing w:line="440" w:lineRule="exact"/>
        <w:ind w:firstLine="480" w:firstLineChars="200"/>
        <w:rPr>
          <w:rFonts w:ascii="宋体" w:hAnsi="宋体"/>
          <w:kern w:val="0"/>
          <w:sz w:val="24"/>
          <w:szCs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）在重大项目履约过程中有不良记录，不能按期履约的。</w:t>
      </w:r>
    </w:p>
    <w:p w14:paraId="5325713F">
      <w:pPr>
        <w:adjustRightInd w:val="0"/>
        <w:snapToGrid w:val="0"/>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cs="宋体"/>
          <w:b/>
          <w:color w:val="auto"/>
          <w:sz w:val="24"/>
          <w:szCs w:val="24"/>
          <w:lang w:val="en-US" w:eastAsia="zh-CN"/>
        </w:rPr>
        <w:t>7</w:t>
      </w:r>
      <w:r>
        <w:rPr>
          <w:rFonts w:hint="eastAsia" w:ascii="宋体" w:hAnsi="宋体" w:eastAsia="宋体" w:cs="宋体"/>
          <w:b/>
          <w:color w:val="auto"/>
          <w:sz w:val="24"/>
          <w:szCs w:val="24"/>
        </w:rPr>
        <w:t>、磋商办法及内容</w:t>
      </w:r>
    </w:p>
    <w:p w14:paraId="5451FA5E">
      <w:pPr>
        <w:adjustRightInd w:val="0"/>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 磋商原则：</w:t>
      </w:r>
    </w:p>
    <w:p w14:paraId="7F790B44">
      <w:pPr>
        <w:adjustRightInd w:val="0"/>
        <w:snapToGrid w:val="0"/>
        <w:spacing w:line="48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（1）坚持磋商机会均等，信息公开，公平竞争的原则。  </w:t>
      </w:r>
    </w:p>
    <w:p w14:paraId="0C28B213">
      <w:pPr>
        <w:adjustRightInd w:val="0"/>
        <w:snapToGrid w:val="0"/>
        <w:spacing w:line="48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（2）坚持竞争性、经济实效性和公平性原则。</w:t>
      </w:r>
    </w:p>
    <w:p w14:paraId="01FC1EE1">
      <w:pPr>
        <w:adjustRightInd w:val="0"/>
        <w:snapToGrid w:val="0"/>
        <w:spacing w:line="48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（3）综合评估，择优选择技术方案优、业绩好、服务有保证的成交单位。</w:t>
      </w:r>
    </w:p>
    <w:p w14:paraId="067303ED">
      <w:pPr>
        <w:spacing w:line="480" w:lineRule="exact"/>
        <w:ind w:firstLine="480" w:firstLineChars="200"/>
        <w:rPr>
          <w:rFonts w:hint="eastAsia" w:ascii="宋体" w:hAnsi="宋体" w:eastAsia="宋体" w:cs="宋体"/>
          <w:b/>
          <w:color w:val="auto"/>
          <w:sz w:val="24"/>
          <w:szCs w:val="24"/>
        </w:rPr>
      </w:pPr>
      <w:r>
        <w:rPr>
          <w:rFonts w:hint="eastAsia" w:ascii="宋体" w:hAnsi="宋体" w:eastAsia="宋体" w:cs="宋体"/>
          <w:bCs/>
          <w:color w:val="auto"/>
          <w:sz w:val="24"/>
          <w:szCs w:val="24"/>
        </w:rPr>
        <w:t>2</w:t>
      </w:r>
      <w:r>
        <w:rPr>
          <w:rFonts w:hint="eastAsia" w:ascii="宋体" w:hAnsi="宋体" w:cs="宋体"/>
          <w:bCs/>
          <w:color w:val="auto"/>
          <w:sz w:val="24"/>
          <w:szCs w:val="24"/>
          <w:lang w:val="en-US" w:eastAsia="zh-CN"/>
        </w:rPr>
        <w:t>7</w:t>
      </w:r>
      <w:r>
        <w:rPr>
          <w:rFonts w:hint="eastAsia" w:ascii="宋体" w:hAnsi="宋体" w:eastAsia="宋体" w:cs="宋体"/>
          <w:bCs/>
          <w:color w:val="auto"/>
          <w:sz w:val="24"/>
          <w:szCs w:val="24"/>
        </w:rPr>
        <w:t>.2 磋商程序：</w:t>
      </w:r>
      <w:r>
        <w:rPr>
          <w:rFonts w:hint="eastAsia" w:ascii="宋体" w:hAnsi="宋体" w:eastAsia="宋体" w:cs="宋体"/>
          <w:b/>
          <w:color w:val="auto"/>
          <w:sz w:val="24"/>
          <w:szCs w:val="24"/>
        </w:rPr>
        <w:t xml:space="preserve"> </w:t>
      </w:r>
    </w:p>
    <w:p w14:paraId="5058AB98">
      <w:pPr>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注：</w:t>
      </w:r>
      <w:r>
        <w:rPr>
          <w:rFonts w:hint="eastAsia" w:ascii="宋体" w:hAnsi="宋体" w:eastAsia="宋体" w:cs="宋体"/>
          <w:b/>
          <w:bCs/>
          <w:color w:val="auto"/>
          <w:sz w:val="24"/>
          <w:szCs w:val="24"/>
        </w:rPr>
        <w:t>磋商的全过程分为资格审查、</w:t>
      </w:r>
      <w:r>
        <w:rPr>
          <w:rFonts w:hint="eastAsia" w:ascii="宋体" w:hAnsi="宋体" w:eastAsia="宋体" w:cs="宋体"/>
          <w:b/>
          <w:bCs/>
          <w:color w:val="auto"/>
          <w:sz w:val="24"/>
          <w:szCs w:val="24"/>
          <w:lang w:eastAsia="zh-CN"/>
        </w:rPr>
        <w:t>标书</w:t>
      </w:r>
      <w:r>
        <w:rPr>
          <w:rFonts w:hint="eastAsia" w:ascii="宋体" w:hAnsi="宋体" w:eastAsia="宋体" w:cs="宋体"/>
          <w:b/>
          <w:bCs/>
          <w:color w:val="auto"/>
          <w:sz w:val="24"/>
          <w:szCs w:val="24"/>
        </w:rPr>
        <w:t>报价、符合性评审、磋商过程、最终报价、最终评审</w:t>
      </w:r>
      <w:r>
        <w:rPr>
          <w:rFonts w:hint="eastAsia" w:ascii="宋体" w:hAnsi="宋体" w:eastAsia="宋体" w:cs="宋体"/>
          <w:b/>
          <w:bCs/>
          <w:color w:val="auto"/>
          <w:sz w:val="24"/>
          <w:szCs w:val="24"/>
          <w:lang w:eastAsia="zh-CN"/>
        </w:rPr>
        <w:t>等</w:t>
      </w:r>
      <w:r>
        <w:rPr>
          <w:rFonts w:hint="eastAsia" w:ascii="宋体" w:hAnsi="宋体" w:eastAsia="宋体" w:cs="宋体"/>
          <w:b/>
          <w:bCs/>
          <w:color w:val="auto"/>
          <w:sz w:val="24"/>
          <w:szCs w:val="24"/>
        </w:rPr>
        <w:t>阶段。最终报价采取集中报价形式。</w:t>
      </w:r>
    </w:p>
    <w:p w14:paraId="471B9F86">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.2.1 依据程序，</w:t>
      </w:r>
      <w:r>
        <w:rPr>
          <w:rFonts w:hint="eastAsia" w:ascii="宋体" w:hAnsi="宋体" w:eastAsia="宋体" w:cs="宋体"/>
          <w:color w:val="auto"/>
          <w:sz w:val="24"/>
          <w:szCs w:val="24"/>
          <w:lang w:eastAsia="zh-CN"/>
        </w:rPr>
        <w:t>标书</w:t>
      </w:r>
      <w:r>
        <w:rPr>
          <w:rFonts w:hint="eastAsia" w:ascii="宋体" w:hAnsi="宋体" w:eastAsia="宋体" w:cs="宋体"/>
          <w:color w:val="auto"/>
          <w:sz w:val="24"/>
          <w:szCs w:val="24"/>
        </w:rPr>
        <w:t>报价和二次报价不予以公开。</w:t>
      </w:r>
    </w:p>
    <w:p w14:paraId="1B8DFF48">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 xml:space="preserve">.2.2 </w:t>
      </w:r>
      <w:r>
        <w:rPr>
          <w:rFonts w:hint="eastAsia" w:ascii="宋体" w:hAnsi="宋体" w:eastAsia="宋体" w:cs="宋体"/>
          <w:b/>
          <w:bCs/>
          <w:color w:val="auto"/>
          <w:sz w:val="24"/>
          <w:szCs w:val="24"/>
        </w:rPr>
        <w:t>资质有效性评审</w:t>
      </w:r>
      <w:r>
        <w:rPr>
          <w:rFonts w:hint="eastAsia" w:ascii="宋体" w:hAnsi="宋体" w:eastAsia="宋体" w:cs="宋体"/>
          <w:color w:val="auto"/>
          <w:sz w:val="24"/>
          <w:szCs w:val="24"/>
        </w:rPr>
        <w:t>：本次磋商所要求的必备资质证明文件，缺其中一项或某项达不到磋商要求，均按无效文件处理。</w:t>
      </w:r>
    </w:p>
    <w:p w14:paraId="418C8911">
      <w:pPr>
        <w:rPr>
          <w:rFonts w:hint="eastAsia" w:ascii="宋体" w:hAnsi="宋体" w:eastAsia="宋体" w:cs="宋体"/>
          <w:color w:val="auto"/>
        </w:rPr>
      </w:pPr>
    </w:p>
    <w:tbl>
      <w:tblPr>
        <w:tblStyle w:val="23"/>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23"/>
        <w:gridCol w:w="1618"/>
        <w:gridCol w:w="6975"/>
      </w:tblGrid>
      <w:tr w14:paraId="3E41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8" w:hRule="atLeast"/>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14:paraId="5CB2105C">
            <w:pPr>
              <w:spacing w:line="2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内容</w:t>
            </w:r>
          </w:p>
        </w:tc>
        <w:tc>
          <w:tcPr>
            <w:tcW w:w="1618" w:type="dxa"/>
            <w:tcBorders>
              <w:top w:val="single" w:color="auto" w:sz="4" w:space="0"/>
              <w:left w:val="single" w:color="auto" w:sz="4" w:space="0"/>
              <w:bottom w:val="single" w:color="auto" w:sz="4" w:space="0"/>
              <w:right w:val="single" w:color="auto" w:sz="4" w:space="0"/>
            </w:tcBorders>
            <w:noWrap w:val="0"/>
            <w:vAlign w:val="center"/>
          </w:tcPr>
          <w:p w14:paraId="58D85AAF">
            <w:pPr>
              <w:spacing w:line="2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审查因素</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08F555CB">
            <w:pPr>
              <w:spacing w:line="2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审查标准</w:t>
            </w:r>
          </w:p>
        </w:tc>
      </w:tr>
      <w:tr w14:paraId="4591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66" w:hRule="atLeast"/>
          <w:jc w:val="center"/>
        </w:trPr>
        <w:tc>
          <w:tcPr>
            <w:tcW w:w="1023" w:type="dxa"/>
            <w:vMerge w:val="restart"/>
            <w:tcBorders>
              <w:top w:val="single" w:color="auto" w:sz="4" w:space="0"/>
              <w:left w:val="single" w:color="auto" w:sz="4" w:space="0"/>
              <w:right w:val="single" w:color="auto" w:sz="4" w:space="0"/>
            </w:tcBorders>
            <w:noWrap w:val="0"/>
            <w:vAlign w:val="center"/>
          </w:tcPr>
          <w:p w14:paraId="49C38FDE">
            <w:pPr>
              <w:spacing w:line="240" w:lineRule="exact"/>
              <w:jc w:val="center"/>
              <w:rPr>
                <w:rFonts w:hint="eastAsia" w:ascii="宋体" w:hAnsi="宋体" w:eastAsia="宋体" w:cs="宋体"/>
                <w:b/>
                <w:color w:val="auto"/>
                <w:sz w:val="24"/>
                <w:szCs w:val="24"/>
              </w:rPr>
            </w:pPr>
          </w:p>
          <w:p w14:paraId="0D9CFE28">
            <w:pPr>
              <w:spacing w:line="240" w:lineRule="exact"/>
              <w:jc w:val="center"/>
              <w:rPr>
                <w:rFonts w:hint="eastAsia" w:ascii="宋体" w:hAnsi="宋体" w:eastAsia="宋体" w:cs="宋体"/>
                <w:b/>
                <w:color w:val="auto"/>
                <w:sz w:val="24"/>
                <w:szCs w:val="24"/>
              </w:rPr>
            </w:pPr>
          </w:p>
          <w:p w14:paraId="37CED5B0">
            <w:pPr>
              <w:spacing w:line="240" w:lineRule="exact"/>
              <w:jc w:val="center"/>
              <w:rPr>
                <w:rFonts w:hint="eastAsia" w:ascii="宋体" w:hAnsi="宋体" w:eastAsia="宋体" w:cs="宋体"/>
                <w:b/>
                <w:color w:val="auto"/>
                <w:sz w:val="24"/>
                <w:szCs w:val="24"/>
              </w:rPr>
            </w:pPr>
          </w:p>
          <w:p w14:paraId="0F50DC8F">
            <w:pPr>
              <w:spacing w:line="240" w:lineRule="exact"/>
              <w:jc w:val="center"/>
              <w:rPr>
                <w:rFonts w:hint="eastAsia" w:ascii="宋体" w:hAnsi="宋体" w:eastAsia="宋体" w:cs="宋体"/>
                <w:b/>
                <w:color w:val="auto"/>
                <w:sz w:val="24"/>
                <w:szCs w:val="24"/>
              </w:rPr>
            </w:pPr>
          </w:p>
          <w:p w14:paraId="2F37F825">
            <w:pPr>
              <w:spacing w:line="240" w:lineRule="exact"/>
              <w:jc w:val="center"/>
              <w:rPr>
                <w:rFonts w:hint="eastAsia" w:ascii="宋体" w:hAnsi="宋体" w:eastAsia="宋体" w:cs="宋体"/>
                <w:b/>
                <w:color w:val="auto"/>
                <w:sz w:val="24"/>
                <w:szCs w:val="24"/>
              </w:rPr>
            </w:pPr>
          </w:p>
          <w:p w14:paraId="17C6217E">
            <w:pPr>
              <w:spacing w:line="240" w:lineRule="exact"/>
              <w:jc w:val="center"/>
              <w:rPr>
                <w:rFonts w:hint="eastAsia" w:ascii="宋体" w:hAnsi="宋体" w:eastAsia="宋体" w:cs="宋体"/>
                <w:b/>
                <w:color w:val="auto"/>
                <w:sz w:val="24"/>
                <w:szCs w:val="24"/>
              </w:rPr>
            </w:pPr>
          </w:p>
          <w:p w14:paraId="4492DF09">
            <w:pPr>
              <w:spacing w:line="2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资格审查标准</w:t>
            </w:r>
          </w:p>
        </w:tc>
        <w:tc>
          <w:tcPr>
            <w:tcW w:w="1618" w:type="dxa"/>
            <w:tcBorders>
              <w:top w:val="single" w:color="auto" w:sz="4" w:space="0"/>
              <w:left w:val="single" w:color="auto" w:sz="4" w:space="0"/>
              <w:bottom w:val="single" w:color="auto" w:sz="4" w:space="0"/>
              <w:right w:val="single" w:color="auto" w:sz="4" w:space="0"/>
            </w:tcBorders>
            <w:noWrap w:val="0"/>
            <w:vAlign w:val="center"/>
          </w:tcPr>
          <w:p w14:paraId="7E62F762">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有效的主体资格证明</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586A752F">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snapToGrid w:val="0"/>
                <w:color w:val="auto"/>
                <w:kern w:val="2"/>
                <w:sz w:val="24"/>
                <w:szCs w:val="24"/>
                <w:lang w:val="en-US" w:eastAsia="zh-CN"/>
              </w:rPr>
              <w:t>满足《中华人民共和国政府采购法》第二十二条规定；具有独立承担民事责任能力的法人、其他组织或自然人，提供年检有效的统一社会信用代码的营业执照或其他合法组织登记证书，自然人参与的提供其身份证明；</w:t>
            </w:r>
          </w:p>
        </w:tc>
      </w:tr>
      <w:tr w14:paraId="2143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26" w:hRule="exact"/>
          <w:jc w:val="center"/>
        </w:trPr>
        <w:tc>
          <w:tcPr>
            <w:tcW w:w="1023" w:type="dxa"/>
            <w:vMerge w:val="continue"/>
            <w:tcBorders>
              <w:left w:val="single" w:color="auto" w:sz="4" w:space="0"/>
              <w:right w:val="single" w:color="auto" w:sz="4" w:space="0"/>
            </w:tcBorders>
            <w:noWrap w:val="0"/>
            <w:vAlign w:val="center"/>
          </w:tcPr>
          <w:p w14:paraId="6DF8B7A6">
            <w:pPr>
              <w:spacing w:line="240" w:lineRule="exact"/>
              <w:rPr>
                <w:rFonts w:hint="eastAsia" w:ascii="宋体" w:hAnsi="宋体" w:eastAsia="宋体" w:cs="宋体"/>
                <w:color w:val="auto"/>
                <w:sz w:val="24"/>
                <w:szCs w:val="24"/>
                <w:lang w:val="en-US" w:eastAsia="zh-CN"/>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49358510">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法定代表人授权委托书</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6217A7DE">
            <w:pPr>
              <w:spacing w:line="360"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2"/>
                <w:sz w:val="24"/>
                <w:szCs w:val="24"/>
                <w:lang w:val="en-US" w:eastAsia="zh-CN"/>
              </w:rPr>
              <w:t>法定代表人参加投标时，提供本人身份证复印件；授权代表参加投标时，提供法定代表人授权委托书、法定代表人和被授权人身份证复印件；</w:t>
            </w:r>
          </w:p>
        </w:tc>
      </w:tr>
      <w:tr w14:paraId="21F4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71" w:hRule="exact"/>
          <w:jc w:val="center"/>
        </w:trPr>
        <w:tc>
          <w:tcPr>
            <w:tcW w:w="1023" w:type="dxa"/>
            <w:vMerge w:val="continue"/>
            <w:tcBorders>
              <w:left w:val="single" w:color="auto" w:sz="4" w:space="0"/>
              <w:right w:val="single" w:color="auto" w:sz="4" w:space="0"/>
            </w:tcBorders>
            <w:noWrap w:val="0"/>
            <w:vAlign w:val="center"/>
          </w:tcPr>
          <w:p w14:paraId="4E1FEEBC">
            <w:pPr>
              <w:spacing w:line="240" w:lineRule="exact"/>
              <w:rPr>
                <w:rFonts w:hint="eastAsia" w:ascii="宋体" w:hAnsi="宋体" w:eastAsia="宋体" w:cs="宋体"/>
                <w:color w:val="auto"/>
                <w:sz w:val="24"/>
                <w:szCs w:val="24"/>
                <w:lang w:val="en-US" w:eastAsia="zh-CN"/>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1EA4F716">
            <w:pPr>
              <w:spacing w:line="360" w:lineRule="auto"/>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企业</w:t>
            </w:r>
            <w:r>
              <w:rPr>
                <w:rFonts w:hint="eastAsia" w:ascii="宋体" w:hAnsi="宋体" w:eastAsia="宋体" w:cs="宋体"/>
                <w:b/>
                <w:bCs/>
                <w:color w:val="auto"/>
                <w:sz w:val="24"/>
                <w:szCs w:val="24"/>
                <w:lang w:val="en-US" w:eastAsia="zh-CN"/>
              </w:rPr>
              <w:t>资质</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67C1E5C9">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snapToGrid w:val="0"/>
                <w:color w:val="auto"/>
                <w:kern w:val="2"/>
                <w:sz w:val="24"/>
                <w:szCs w:val="24"/>
                <w:lang w:val="en-US" w:eastAsia="zh-CN"/>
              </w:rPr>
            </w:pPr>
            <w:r>
              <w:rPr>
                <w:rFonts w:hint="eastAsia" w:ascii="宋体" w:hAnsi="宋体" w:eastAsia="宋体" w:cs="宋体"/>
                <w:snapToGrid w:val="0"/>
                <w:color w:val="auto"/>
                <w:kern w:val="2"/>
                <w:sz w:val="24"/>
                <w:szCs w:val="24"/>
                <w:lang w:val="en-US" w:eastAsia="zh-CN"/>
              </w:rPr>
              <w:t>供应商须提供所投产品的肥料登记证或省级农业农村部门肥料备案信息系统的备案凭证（供应商为代理商的提供加盖厂家公章的肥料登记证或备案证明材料）；</w:t>
            </w:r>
          </w:p>
        </w:tc>
      </w:tr>
      <w:tr w14:paraId="30B7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90" w:hRule="exact"/>
          <w:jc w:val="center"/>
        </w:trPr>
        <w:tc>
          <w:tcPr>
            <w:tcW w:w="1023" w:type="dxa"/>
            <w:vMerge w:val="continue"/>
            <w:tcBorders>
              <w:left w:val="single" w:color="auto" w:sz="4" w:space="0"/>
              <w:right w:val="single" w:color="auto" w:sz="4" w:space="0"/>
            </w:tcBorders>
            <w:noWrap w:val="0"/>
            <w:vAlign w:val="center"/>
          </w:tcPr>
          <w:p w14:paraId="7DE1365E">
            <w:pPr>
              <w:spacing w:line="240" w:lineRule="exact"/>
              <w:jc w:val="center"/>
              <w:rPr>
                <w:rFonts w:hint="eastAsia" w:ascii="宋体" w:hAnsi="宋体" w:eastAsia="宋体" w:cs="宋体"/>
                <w:color w:val="auto"/>
                <w:sz w:val="24"/>
                <w:szCs w:val="24"/>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09637175">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无重大违法</w:t>
            </w:r>
            <w:r>
              <w:rPr>
                <w:rFonts w:hint="eastAsia" w:ascii="宋体" w:hAnsi="宋体" w:eastAsia="宋体" w:cs="宋体"/>
                <w:b/>
                <w:color w:val="auto"/>
                <w:sz w:val="24"/>
                <w:szCs w:val="24"/>
                <w:lang w:eastAsia="zh-CN"/>
              </w:rPr>
              <w:t>记录</w:t>
            </w:r>
            <w:r>
              <w:rPr>
                <w:rFonts w:hint="eastAsia" w:ascii="宋体" w:hAnsi="宋体" w:eastAsia="宋体" w:cs="宋体"/>
                <w:b/>
                <w:color w:val="auto"/>
                <w:sz w:val="24"/>
                <w:szCs w:val="24"/>
              </w:rPr>
              <w:t>的书面声明</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34193C68">
            <w:pPr>
              <w:spacing w:line="36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参加本次政府采购活动前三年内在经营活动中没有重大违纪，以及未被列入失信被执行人、重大税收违法失信主体、政府采购严重违法失信行为记录名单的书面声明；</w:t>
            </w:r>
          </w:p>
        </w:tc>
      </w:tr>
      <w:tr w14:paraId="5E46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1" w:hRule="atLeast"/>
          <w:jc w:val="center"/>
        </w:trPr>
        <w:tc>
          <w:tcPr>
            <w:tcW w:w="1023" w:type="dxa"/>
            <w:vMerge w:val="continue"/>
            <w:tcBorders>
              <w:left w:val="single" w:color="auto" w:sz="4" w:space="0"/>
              <w:right w:val="single" w:color="auto" w:sz="4" w:space="0"/>
            </w:tcBorders>
            <w:noWrap w:val="0"/>
            <w:vAlign w:val="center"/>
          </w:tcPr>
          <w:p w14:paraId="6FBC6E40">
            <w:pPr>
              <w:spacing w:line="240" w:lineRule="exact"/>
              <w:jc w:val="center"/>
              <w:rPr>
                <w:rFonts w:hint="eastAsia" w:ascii="宋体" w:hAnsi="宋体" w:eastAsia="宋体" w:cs="宋体"/>
                <w:color w:val="auto"/>
                <w:sz w:val="24"/>
                <w:szCs w:val="24"/>
              </w:rPr>
            </w:pPr>
          </w:p>
        </w:tc>
        <w:tc>
          <w:tcPr>
            <w:tcW w:w="1618" w:type="dxa"/>
            <w:tcBorders>
              <w:top w:val="single" w:color="auto" w:sz="4" w:space="0"/>
              <w:left w:val="single" w:color="auto" w:sz="4" w:space="0"/>
              <w:right w:val="single" w:color="auto" w:sz="4" w:space="0"/>
            </w:tcBorders>
            <w:noWrap w:val="0"/>
            <w:vAlign w:val="center"/>
          </w:tcPr>
          <w:p w14:paraId="48A6A026">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主体信用查询记录</w:t>
            </w:r>
          </w:p>
        </w:tc>
        <w:tc>
          <w:tcPr>
            <w:tcW w:w="6975" w:type="dxa"/>
            <w:tcBorders>
              <w:top w:val="single" w:color="auto" w:sz="4" w:space="0"/>
              <w:left w:val="single" w:color="auto" w:sz="4" w:space="0"/>
              <w:right w:val="single" w:color="auto" w:sz="4" w:space="0"/>
            </w:tcBorders>
            <w:noWrap w:val="0"/>
            <w:vAlign w:val="center"/>
          </w:tcPr>
          <w:p w14:paraId="1C5F3C99">
            <w:pPr>
              <w:spacing w:line="360" w:lineRule="auto"/>
              <w:ind w:firstLine="240" w:firstLineChars="100"/>
              <w:rPr>
                <w:rFonts w:hint="eastAsia" w:ascii="宋体" w:hAnsi="宋体" w:eastAsia="宋体" w:cs="宋体"/>
                <w:color w:val="auto"/>
                <w:sz w:val="24"/>
                <w:szCs w:val="24"/>
              </w:rPr>
            </w:pPr>
            <w:r>
              <w:rPr>
                <w:rFonts w:hint="eastAsia" w:hAnsi="宋体" w:eastAsia="宋体" w:cs="宋体"/>
                <w:snapToGrid w:val="0"/>
                <w:color w:val="auto"/>
                <w:kern w:val="2"/>
                <w:sz w:val="24"/>
                <w:szCs w:val="24"/>
                <w:lang w:val="en-US" w:eastAsia="zh-CN"/>
              </w:rPr>
              <w:t>供应商通过“信用中国”网站（www.creditchina.gov.cn）和中国政府采购网（www.ccgp.gov.cn）等渠道查询相关主体信用记录，对列入失信被执行人、重大税收违法失信主体、政府采购严重违法失信行为记录名单的供应商，将拒绝其参与政府采购活动；；</w:t>
            </w:r>
          </w:p>
        </w:tc>
      </w:tr>
      <w:tr w14:paraId="6B48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1" w:hRule="atLeast"/>
          <w:jc w:val="center"/>
        </w:trPr>
        <w:tc>
          <w:tcPr>
            <w:tcW w:w="1023" w:type="dxa"/>
            <w:vMerge w:val="continue"/>
            <w:tcBorders>
              <w:left w:val="single" w:color="auto" w:sz="4" w:space="0"/>
              <w:right w:val="single" w:color="auto" w:sz="4" w:space="0"/>
            </w:tcBorders>
            <w:noWrap w:val="0"/>
            <w:vAlign w:val="center"/>
          </w:tcPr>
          <w:p w14:paraId="65A793C9">
            <w:pPr>
              <w:spacing w:line="240" w:lineRule="exact"/>
              <w:jc w:val="center"/>
              <w:rPr>
                <w:rFonts w:hint="eastAsia" w:ascii="宋体" w:hAnsi="宋体" w:eastAsia="宋体" w:cs="宋体"/>
                <w:color w:val="auto"/>
                <w:sz w:val="24"/>
                <w:szCs w:val="24"/>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454883A2">
            <w:pPr>
              <w:spacing w:line="360" w:lineRule="auto"/>
              <w:jc w:val="center"/>
              <w:rPr>
                <w:rFonts w:hint="eastAsia" w:ascii="宋体" w:hAnsi="宋体" w:eastAsia="宋体" w:cs="宋体"/>
                <w:b/>
                <w:color w:val="auto"/>
                <w:sz w:val="24"/>
                <w:szCs w:val="24"/>
              </w:rPr>
            </w:pPr>
            <w:r>
              <w:rPr>
                <w:rFonts w:hint="eastAsia" w:ascii="宋体" w:hAnsi="宋体" w:eastAsia="宋体" w:cs="宋体"/>
                <w:b/>
                <w:bCs/>
                <w:i w:val="0"/>
                <w:iCs w:val="0"/>
                <w:caps w:val="0"/>
                <w:color w:val="auto"/>
                <w:spacing w:val="0"/>
                <w:sz w:val="24"/>
                <w:szCs w:val="24"/>
                <w:shd w:val="clear" w:color="auto" w:fill="FFFFFF"/>
              </w:rPr>
              <w:t>中小企业</w:t>
            </w:r>
            <w:r>
              <w:rPr>
                <w:rFonts w:hint="eastAsia" w:ascii="宋体" w:hAnsi="宋体" w:eastAsia="宋体" w:cs="宋体"/>
                <w:b/>
                <w:bCs/>
                <w:i w:val="0"/>
                <w:iCs w:val="0"/>
                <w:caps w:val="0"/>
                <w:color w:val="auto"/>
                <w:spacing w:val="0"/>
                <w:sz w:val="24"/>
                <w:szCs w:val="24"/>
                <w:shd w:val="clear" w:color="auto" w:fill="FFFFFF"/>
                <w:lang w:eastAsia="zh-CN"/>
              </w:rPr>
              <w:t>声明</w:t>
            </w:r>
          </w:p>
        </w:tc>
        <w:tc>
          <w:tcPr>
            <w:tcW w:w="6975" w:type="dxa"/>
            <w:tcBorders>
              <w:top w:val="single" w:color="auto" w:sz="4" w:space="0"/>
              <w:left w:val="single" w:color="auto" w:sz="4" w:space="0"/>
              <w:bottom w:val="single" w:color="auto" w:sz="4" w:space="0"/>
              <w:right w:val="single" w:color="auto" w:sz="4" w:space="0"/>
            </w:tcBorders>
            <w:noWrap w:val="0"/>
            <w:vAlign w:val="center"/>
          </w:tcPr>
          <w:p w14:paraId="6BA6D67E">
            <w:pPr>
              <w:spacing w:line="360"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农、林、牧、渔业；供应商为监狱企业的，应提供监狱企业的证明文件；供应商为残疾人福利性单位的，应提供《残疾人福利性单位声明函》。</w:t>
            </w:r>
          </w:p>
        </w:tc>
      </w:tr>
    </w:tbl>
    <w:p w14:paraId="3FC535DF">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snapToGrid w:val="0"/>
          <w:color w:val="auto"/>
          <w:kern w:val="2"/>
          <w:sz w:val="24"/>
          <w:szCs w:val="24"/>
        </w:rPr>
        <w:t>符合性评审：磋商小组对响应文件的有效性、完整性和响应程度进行审查，</w:t>
      </w:r>
      <w:r>
        <w:rPr>
          <w:rFonts w:hint="eastAsia" w:ascii="宋体" w:hAnsi="宋体" w:eastAsia="宋体" w:cs="宋体"/>
          <w:snapToGrid w:val="0"/>
          <w:color w:val="auto"/>
          <w:kern w:val="2"/>
          <w:sz w:val="24"/>
          <w:szCs w:val="24"/>
          <w:lang w:eastAsia="zh-CN"/>
        </w:rPr>
        <w:t>符合性评审应满足以下要求：</w:t>
      </w:r>
    </w:p>
    <w:tbl>
      <w:tblPr>
        <w:tblStyle w:val="23"/>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36"/>
        <w:gridCol w:w="9054"/>
      </w:tblGrid>
      <w:tr w14:paraId="70E5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7"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A68207A">
            <w:pPr>
              <w:spacing w:line="2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9054" w:type="dxa"/>
            <w:tcBorders>
              <w:top w:val="single" w:color="auto" w:sz="4" w:space="0"/>
              <w:left w:val="single" w:color="auto" w:sz="4" w:space="0"/>
              <w:bottom w:val="single" w:color="auto" w:sz="4" w:space="0"/>
              <w:right w:val="single" w:color="auto" w:sz="4" w:space="0"/>
            </w:tcBorders>
            <w:noWrap w:val="0"/>
            <w:vAlign w:val="center"/>
          </w:tcPr>
          <w:p w14:paraId="086FE730">
            <w:pPr>
              <w:spacing w:line="2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审查因素</w:t>
            </w:r>
          </w:p>
        </w:tc>
      </w:tr>
      <w:tr w14:paraId="60FE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6" w:hRule="atLeast"/>
          <w:jc w:val="center"/>
        </w:trPr>
        <w:tc>
          <w:tcPr>
            <w:tcW w:w="736" w:type="dxa"/>
            <w:tcBorders>
              <w:top w:val="single" w:color="auto" w:sz="4" w:space="0"/>
              <w:left w:val="single" w:color="auto" w:sz="4" w:space="0"/>
              <w:right w:val="single" w:color="auto" w:sz="4" w:space="0"/>
            </w:tcBorders>
            <w:noWrap w:val="0"/>
            <w:vAlign w:val="center"/>
          </w:tcPr>
          <w:p w14:paraId="358CC93F">
            <w:pPr>
              <w:spacing w:line="2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054" w:type="dxa"/>
            <w:tcBorders>
              <w:top w:val="single" w:color="auto" w:sz="4" w:space="0"/>
              <w:left w:val="single" w:color="auto" w:sz="4" w:space="0"/>
              <w:bottom w:val="single" w:color="auto" w:sz="4" w:space="0"/>
              <w:right w:val="single" w:color="auto" w:sz="4" w:space="0"/>
            </w:tcBorders>
            <w:noWrap w:val="0"/>
            <w:vAlign w:val="center"/>
          </w:tcPr>
          <w:p w14:paraId="32919377">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投标文件组成符合磋商文件要求</w:t>
            </w:r>
          </w:p>
        </w:tc>
      </w:tr>
      <w:tr w14:paraId="1E64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4" w:hRule="atLeast"/>
          <w:jc w:val="center"/>
        </w:trPr>
        <w:tc>
          <w:tcPr>
            <w:tcW w:w="736" w:type="dxa"/>
            <w:tcBorders>
              <w:top w:val="single" w:color="auto" w:sz="4" w:space="0"/>
              <w:left w:val="single" w:color="auto" w:sz="4" w:space="0"/>
              <w:right w:val="single" w:color="auto" w:sz="4" w:space="0"/>
            </w:tcBorders>
            <w:noWrap w:val="0"/>
            <w:vAlign w:val="center"/>
          </w:tcPr>
          <w:p w14:paraId="1E997D1E">
            <w:pPr>
              <w:spacing w:line="2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9054" w:type="dxa"/>
            <w:tcBorders>
              <w:top w:val="single" w:color="auto" w:sz="4" w:space="0"/>
              <w:left w:val="single" w:color="auto" w:sz="4" w:space="0"/>
              <w:bottom w:val="single" w:color="auto" w:sz="4" w:space="0"/>
              <w:right w:val="single" w:color="auto" w:sz="4" w:space="0"/>
            </w:tcBorders>
            <w:noWrap w:val="0"/>
            <w:vAlign w:val="center"/>
          </w:tcPr>
          <w:p w14:paraId="55CCDD79">
            <w:pPr>
              <w:spacing w:line="360" w:lineRule="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rPr>
              <w:t>投标文件</w:t>
            </w:r>
            <w:r>
              <w:rPr>
                <w:rFonts w:hint="eastAsia" w:ascii="宋体" w:hAnsi="宋体" w:eastAsia="宋体" w:cs="宋体"/>
                <w:bCs/>
                <w:color w:val="auto"/>
                <w:sz w:val="24"/>
                <w:szCs w:val="24"/>
                <w:lang w:eastAsia="zh-CN"/>
              </w:rPr>
              <w:t>中供应商</w:t>
            </w:r>
            <w:r>
              <w:rPr>
                <w:rFonts w:hint="eastAsia" w:ascii="宋体" w:hAnsi="宋体" w:eastAsia="宋体" w:cs="宋体"/>
                <w:bCs/>
                <w:color w:val="auto"/>
                <w:sz w:val="24"/>
                <w:szCs w:val="24"/>
              </w:rPr>
              <w:t>公章、法定代表人签字</w:t>
            </w:r>
            <w:r>
              <w:rPr>
                <w:rFonts w:hint="eastAsia" w:ascii="宋体" w:hAnsi="宋体" w:eastAsia="宋体" w:cs="宋体"/>
                <w:bCs/>
                <w:color w:val="auto"/>
                <w:sz w:val="24"/>
                <w:szCs w:val="24"/>
                <w:lang w:eastAsia="zh-CN"/>
              </w:rPr>
              <w:t>齐全，或</w:t>
            </w:r>
            <w:r>
              <w:rPr>
                <w:rFonts w:hint="eastAsia" w:ascii="宋体" w:hAnsi="宋体" w:eastAsia="宋体" w:cs="宋体"/>
                <w:bCs/>
                <w:color w:val="auto"/>
                <w:sz w:val="24"/>
                <w:szCs w:val="24"/>
              </w:rPr>
              <w:t>签字人</w:t>
            </w:r>
            <w:r>
              <w:rPr>
                <w:rFonts w:hint="eastAsia" w:ascii="宋体" w:hAnsi="宋体" w:eastAsia="宋体" w:cs="宋体"/>
                <w:bCs/>
                <w:color w:val="auto"/>
                <w:sz w:val="24"/>
                <w:szCs w:val="24"/>
                <w:lang w:eastAsia="zh-CN"/>
              </w:rPr>
              <w:t>具有</w:t>
            </w:r>
            <w:r>
              <w:rPr>
                <w:rFonts w:hint="eastAsia" w:ascii="宋体" w:hAnsi="宋体" w:eastAsia="宋体" w:cs="宋体"/>
                <w:bCs/>
                <w:color w:val="auto"/>
                <w:sz w:val="24"/>
                <w:szCs w:val="24"/>
              </w:rPr>
              <w:t>法定代表人有效授权书</w:t>
            </w:r>
          </w:p>
        </w:tc>
      </w:tr>
      <w:tr w14:paraId="0F64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4" w:hRule="atLeast"/>
          <w:jc w:val="center"/>
        </w:trPr>
        <w:tc>
          <w:tcPr>
            <w:tcW w:w="736" w:type="dxa"/>
            <w:tcBorders>
              <w:left w:val="single" w:color="auto" w:sz="4" w:space="0"/>
              <w:right w:val="single" w:color="auto" w:sz="4" w:space="0"/>
            </w:tcBorders>
            <w:noWrap w:val="0"/>
            <w:vAlign w:val="center"/>
          </w:tcPr>
          <w:p w14:paraId="04732A2A">
            <w:pPr>
              <w:spacing w:line="2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9054" w:type="dxa"/>
            <w:tcBorders>
              <w:top w:val="single" w:color="auto" w:sz="4" w:space="0"/>
              <w:left w:val="single" w:color="auto" w:sz="4" w:space="0"/>
              <w:bottom w:val="single" w:color="auto" w:sz="4" w:space="0"/>
              <w:right w:val="single" w:color="auto" w:sz="4" w:space="0"/>
            </w:tcBorders>
            <w:noWrap w:val="0"/>
            <w:vAlign w:val="center"/>
          </w:tcPr>
          <w:p w14:paraId="09D6C565">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交货期符合磋商文件要求</w:t>
            </w:r>
          </w:p>
        </w:tc>
      </w:tr>
      <w:tr w14:paraId="71F7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4" w:hRule="atLeast"/>
          <w:jc w:val="center"/>
        </w:trPr>
        <w:tc>
          <w:tcPr>
            <w:tcW w:w="736" w:type="dxa"/>
            <w:tcBorders>
              <w:left w:val="single" w:color="auto" w:sz="4" w:space="0"/>
              <w:right w:val="single" w:color="auto" w:sz="4" w:space="0"/>
            </w:tcBorders>
            <w:noWrap w:val="0"/>
            <w:vAlign w:val="center"/>
          </w:tcPr>
          <w:p w14:paraId="402F646E">
            <w:pPr>
              <w:spacing w:line="2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9054" w:type="dxa"/>
            <w:tcBorders>
              <w:top w:val="single" w:color="auto" w:sz="4" w:space="0"/>
              <w:left w:val="single" w:color="auto" w:sz="4" w:space="0"/>
              <w:bottom w:val="single" w:color="auto" w:sz="4" w:space="0"/>
              <w:right w:val="single" w:color="auto" w:sz="4" w:space="0"/>
            </w:tcBorders>
            <w:noWrap w:val="0"/>
            <w:vAlign w:val="center"/>
          </w:tcPr>
          <w:p w14:paraId="13107F5F">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只有一个有效报价</w:t>
            </w:r>
          </w:p>
        </w:tc>
      </w:tr>
      <w:tr w14:paraId="6564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3" w:hRule="atLeast"/>
          <w:jc w:val="center"/>
        </w:trPr>
        <w:tc>
          <w:tcPr>
            <w:tcW w:w="736" w:type="dxa"/>
            <w:tcBorders>
              <w:left w:val="single" w:color="auto" w:sz="4" w:space="0"/>
              <w:right w:val="single" w:color="auto" w:sz="4" w:space="0"/>
            </w:tcBorders>
            <w:noWrap w:val="0"/>
            <w:vAlign w:val="center"/>
          </w:tcPr>
          <w:p w14:paraId="78B903D1">
            <w:pPr>
              <w:spacing w:line="2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9054" w:type="dxa"/>
            <w:tcBorders>
              <w:top w:val="single" w:color="auto" w:sz="4" w:space="0"/>
              <w:left w:val="single" w:color="auto" w:sz="4" w:space="0"/>
              <w:bottom w:val="single" w:color="auto" w:sz="4" w:space="0"/>
              <w:right w:val="single" w:color="auto" w:sz="4" w:space="0"/>
            </w:tcBorders>
            <w:noWrap w:val="0"/>
            <w:vAlign w:val="center"/>
          </w:tcPr>
          <w:p w14:paraId="31D5C9CD">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供应商所提供的产品符合“第五章 采购内容及技术参数和要求”</w:t>
            </w:r>
          </w:p>
        </w:tc>
      </w:tr>
      <w:tr w14:paraId="408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8" w:hRule="atLeast"/>
          <w:jc w:val="center"/>
        </w:trPr>
        <w:tc>
          <w:tcPr>
            <w:tcW w:w="736" w:type="dxa"/>
            <w:tcBorders>
              <w:left w:val="single" w:color="auto" w:sz="4" w:space="0"/>
              <w:right w:val="single" w:color="auto" w:sz="4" w:space="0"/>
            </w:tcBorders>
            <w:noWrap w:val="0"/>
            <w:vAlign w:val="center"/>
          </w:tcPr>
          <w:p w14:paraId="66234311">
            <w:pPr>
              <w:spacing w:line="2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9054" w:type="dxa"/>
            <w:tcBorders>
              <w:top w:val="single" w:color="auto" w:sz="4" w:space="0"/>
              <w:left w:val="single" w:color="auto" w:sz="4" w:space="0"/>
              <w:bottom w:val="single" w:color="auto" w:sz="4" w:space="0"/>
              <w:right w:val="single" w:color="auto" w:sz="4" w:space="0"/>
            </w:tcBorders>
            <w:noWrap w:val="0"/>
            <w:vAlign w:val="center"/>
          </w:tcPr>
          <w:p w14:paraId="18096790">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其他情况：符合磋商文件或法律法规有关规定的其他情形</w:t>
            </w:r>
          </w:p>
        </w:tc>
      </w:tr>
      <w:tr w14:paraId="383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6" w:hRule="atLeast"/>
          <w:jc w:val="center"/>
        </w:trPr>
        <w:tc>
          <w:tcPr>
            <w:tcW w:w="9790" w:type="dxa"/>
            <w:gridSpan w:val="2"/>
            <w:tcBorders>
              <w:left w:val="single" w:color="auto" w:sz="4" w:space="0"/>
              <w:bottom w:val="single" w:color="auto" w:sz="4" w:space="0"/>
              <w:right w:val="single" w:color="auto" w:sz="4" w:space="0"/>
            </w:tcBorders>
            <w:noWrap w:val="0"/>
            <w:vAlign w:val="center"/>
          </w:tcPr>
          <w:p w14:paraId="343DF505">
            <w:pPr>
              <w:spacing w:line="2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备注：符合性审查不合格的供应商不得进入下一评审环节。</w:t>
            </w:r>
          </w:p>
        </w:tc>
      </w:tr>
    </w:tbl>
    <w:p w14:paraId="04D33453">
      <w:pPr>
        <w:widowControl/>
        <w:spacing w:line="480" w:lineRule="exact"/>
        <w:ind w:firstLine="240" w:firstLineChars="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 xml:space="preserve">）磋商小组在对磋商响应文件的有效性、完整性和响应程度进行审查时，可以要求供应商对磋商响应文件中含义不明确、同类问题表述不一致或者有明显文字和计算错误的内容等作出必要的澄清、说明或者更正。供应商的澄清、说明或者更正不得超出磋商响应文件的范围或者改变磋商响应文件的实质性内容。 </w:t>
      </w:r>
    </w:p>
    <w:p w14:paraId="3662D165">
      <w:pPr>
        <w:spacing w:line="480" w:lineRule="exact"/>
        <w:ind w:firstLine="240" w:firstLineChars="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磋商小组要求供应商澄清、说明或者更正磋商响应文件应当以书面形式递交。供应商的澄清、说明或者更正应当由法定代表人或其授权代表签字或者加盖公章。由授权代表签字的，应当附法定代表人授权书。供应商为自然人的，应当由本人签字并附身份证明。</w:t>
      </w:r>
    </w:p>
    <w:p w14:paraId="6AE5520D">
      <w:pPr>
        <w:spacing w:line="480" w:lineRule="exact"/>
        <w:ind w:firstLine="580"/>
        <w:rPr>
          <w:rFonts w:hint="eastAsia" w:ascii="宋体" w:hAnsi="宋体" w:eastAsia="宋体" w:cs="宋体"/>
          <w:b/>
          <w:bCs/>
          <w:color w:val="auto"/>
          <w:sz w:val="24"/>
          <w:szCs w:val="24"/>
        </w:rPr>
      </w:pPr>
      <w:r>
        <w:rPr>
          <w:rFonts w:hint="eastAsia" w:ascii="宋体" w:hAnsi="宋体" w:eastAsia="宋体" w:cs="宋体"/>
          <w:b/>
          <w:color w:val="auto"/>
          <w:sz w:val="24"/>
          <w:szCs w:val="24"/>
        </w:rPr>
        <w:t>2</w:t>
      </w:r>
      <w:r>
        <w:rPr>
          <w:rFonts w:hint="eastAsia" w:ascii="宋体" w:hAnsi="宋体" w:cs="宋体"/>
          <w:b/>
          <w:color w:val="auto"/>
          <w:sz w:val="24"/>
          <w:szCs w:val="24"/>
          <w:lang w:val="en-US" w:eastAsia="zh-CN"/>
        </w:rPr>
        <w:t>7</w:t>
      </w:r>
      <w:r>
        <w:rPr>
          <w:rFonts w:hint="eastAsia" w:ascii="宋体" w:hAnsi="宋体" w:eastAsia="宋体" w:cs="宋体"/>
          <w:b/>
          <w:color w:val="auto"/>
          <w:sz w:val="24"/>
          <w:szCs w:val="24"/>
        </w:rPr>
        <w:t xml:space="preserve">.3 </w:t>
      </w:r>
      <w:r>
        <w:rPr>
          <w:rFonts w:hint="eastAsia" w:ascii="宋体" w:hAnsi="宋体" w:eastAsia="宋体" w:cs="宋体"/>
          <w:b/>
          <w:bCs/>
          <w:color w:val="auto"/>
          <w:sz w:val="24"/>
          <w:szCs w:val="24"/>
        </w:rPr>
        <w:t>磋商过程</w:t>
      </w:r>
    </w:p>
    <w:p w14:paraId="7BDD7B15">
      <w:pPr>
        <w:widowControl/>
        <w:spacing w:line="480" w:lineRule="exact"/>
        <w:ind w:firstLine="480"/>
        <w:jc w:val="left"/>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（1）</w:t>
      </w:r>
      <w:r>
        <w:rPr>
          <w:rFonts w:hint="eastAsia" w:ascii="宋体" w:hAnsi="宋体" w:eastAsia="宋体" w:cs="宋体"/>
          <w:color w:val="auto"/>
          <w:kern w:val="0"/>
          <w:sz w:val="24"/>
          <w:szCs w:val="24"/>
        </w:rPr>
        <w:t xml:space="preserve">磋商小组所有成员应当集中与单一供应商分别进行磋商，并给予所有参加磋商的供应商平等的磋商机会。 </w:t>
      </w:r>
    </w:p>
    <w:p w14:paraId="4BE070FC">
      <w:pPr>
        <w:widowControl/>
        <w:spacing w:line="480" w:lineRule="exact"/>
        <w:ind w:firstLine="480"/>
        <w:jc w:val="left"/>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（2）</w:t>
      </w:r>
      <w:r>
        <w:rPr>
          <w:rFonts w:hint="eastAsia" w:ascii="宋体" w:hAnsi="宋体" w:eastAsia="宋体" w:cs="宋体"/>
          <w:color w:val="auto"/>
          <w:kern w:val="0"/>
          <w:sz w:val="24"/>
          <w:szCs w:val="24"/>
        </w:rPr>
        <w:t>在磋商过程中，磋商小组可以根据磋商文件和磋商情况实质性变动采购需求中的技术、服务要求以及合同草案条款，但不得变动磋商文件中的其他内容。实质性变动的内容，</w:t>
      </w:r>
      <w:r>
        <w:rPr>
          <w:rFonts w:hint="eastAsia" w:ascii="宋体" w:hAnsi="宋体" w:eastAsia="宋体" w:cs="宋体"/>
          <w:color w:val="auto"/>
          <w:kern w:val="0"/>
          <w:sz w:val="24"/>
          <w:szCs w:val="24"/>
          <w:lang w:eastAsia="zh-CN"/>
        </w:rPr>
        <w:t>需</w:t>
      </w:r>
      <w:r>
        <w:rPr>
          <w:rFonts w:hint="eastAsia" w:ascii="宋体" w:hAnsi="宋体" w:eastAsia="宋体" w:cs="宋体"/>
          <w:color w:val="auto"/>
          <w:kern w:val="0"/>
          <w:sz w:val="24"/>
          <w:szCs w:val="24"/>
        </w:rPr>
        <w:t>经采购人代表确认。</w:t>
      </w:r>
    </w:p>
    <w:p w14:paraId="267C5173">
      <w:pPr>
        <w:widowControl/>
        <w:spacing w:line="480" w:lineRule="exact"/>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（3）对磋商文件作出的实质性变动是磋商文件的有效组成部分，磋商小组应当及时以书面形式同时通知所有参加磋商的供应商。</w:t>
      </w:r>
    </w:p>
    <w:p w14:paraId="7A730809">
      <w:pPr>
        <w:widowControl/>
        <w:spacing w:line="480" w:lineRule="exact"/>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14:paraId="26F2FA85">
      <w:pPr>
        <w:spacing w:line="48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cs="宋体"/>
          <w:b/>
          <w:color w:val="auto"/>
          <w:sz w:val="24"/>
          <w:szCs w:val="24"/>
          <w:lang w:val="en-US" w:eastAsia="zh-CN"/>
        </w:rPr>
        <w:t>7</w:t>
      </w:r>
      <w:r>
        <w:rPr>
          <w:rFonts w:hint="eastAsia" w:ascii="宋体" w:hAnsi="宋体" w:eastAsia="宋体" w:cs="宋体"/>
          <w:b/>
          <w:color w:val="auto"/>
          <w:sz w:val="24"/>
          <w:szCs w:val="24"/>
        </w:rPr>
        <w:t>.4 最终报价</w:t>
      </w:r>
    </w:p>
    <w:p w14:paraId="3386B630">
      <w:pPr>
        <w:spacing w:line="480" w:lineRule="exact"/>
        <w:ind w:firstLine="470" w:firstLineChars="196"/>
        <w:rPr>
          <w:rFonts w:hint="eastAsia" w:ascii="宋体" w:hAnsi="宋体" w:eastAsia="宋体" w:cs="宋体"/>
          <w:b/>
          <w:color w:val="auto"/>
          <w:sz w:val="24"/>
          <w:szCs w:val="24"/>
        </w:rPr>
      </w:pPr>
      <w:r>
        <w:rPr>
          <w:rFonts w:hint="eastAsia" w:ascii="宋体" w:hAnsi="宋体" w:eastAsia="宋体" w:cs="宋体"/>
          <w:color w:val="auto"/>
          <w:kern w:val="0"/>
          <w:sz w:val="24"/>
          <w:szCs w:val="24"/>
        </w:rPr>
        <w:t>磋商文件能够详细列明采购标的的技术参数和要求的，磋商结束后，所有实质性响应的供应商应在规定时间内提交最后报价；</w:t>
      </w:r>
    </w:p>
    <w:p w14:paraId="6BDB3D31">
      <w:pPr>
        <w:spacing w:line="480" w:lineRule="exact"/>
        <w:ind w:firstLine="470" w:firstLineChars="196"/>
        <w:rPr>
          <w:rFonts w:hint="eastAsia" w:ascii="宋体" w:hAnsi="宋体" w:eastAsia="宋体" w:cs="宋体"/>
          <w:b/>
          <w:color w:val="auto"/>
          <w:sz w:val="24"/>
          <w:szCs w:val="24"/>
        </w:rPr>
      </w:pPr>
      <w:r>
        <w:rPr>
          <w:rFonts w:hint="eastAsia" w:ascii="宋体" w:hAnsi="宋体" w:eastAsia="宋体" w:cs="宋体"/>
          <w:color w:val="auto"/>
          <w:kern w:val="0"/>
          <w:sz w:val="24"/>
          <w:szCs w:val="24"/>
        </w:rPr>
        <w:t xml:space="preserve">磋商文件不能详细列明采购标的的技术参数和要求，需经磋商由供应商提供最终方案或解决方案的，磋商结束后，磋商小组应当按照少数服从多数的原则投票推荐3家以上供应商的设计方案或者解决方案，并要求其在规定时间内提交最后报价。 </w:t>
      </w:r>
    </w:p>
    <w:p w14:paraId="1EF48B76">
      <w:pPr>
        <w:spacing w:line="480" w:lineRule="exact"/>
        <w:ind w:firstLine="470" w:firstLineChars="196"/>
        <w:rPr>
          <w:rFonts w:hint="eastAsia" w:ascii="宋体" w:hAnsi="宋体" w:eastAsia="宋体" w:cs="宋体"/>
          <w:b/>
          <w:color w:val="auto"/>
          <w:sz w:val="24"/>
          <w:szCs w:val="24"/>
        </w:rPr>
      </w:pPr>
      <w:r>
        <w:rPr>
          <w:rFonts w:hint="eastAsia" w:ascii="宋体" w:hAnsi="宋体" w:eastAsia="宋体" w:cs="宋体"/>
          <w:color w:val="auto"/>
          <w:kern w:val="0"/>
          <w:sz w:val="24"/>
          <w:szCs w:val="24"/>
        </w:rPr>
        <w:t>最终报价是供应商磋商响应文件的有效组成部分。</w:t>
      </w:r>
    </w:p>
    <w:p w14:paraId="1FF03CDD">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cs="宋体"/>
          <w:b/>
          <w:color w:val="auto"/>
          <w:sz w:val="24"/>
          <w:szCs w:val="24"/>
          <w:lang w:val="en-US" w:eastAsia="zh-CN"/>
        </w:rPr>
        <w:t>8</w:t>
      </w:r>
      <w:r>
        <w:rPr>
          <w:rFonts w:hint="eastAsia" w:ascii="宋体" w:hAnsi="宋体" w:eastAsia="宋体" w:cs="宋体"/>
          <w:b/>
          <w:color w:val="auto"/>
          <w:sz w:val="24"/>
          <w:szCs w:val="24"/>
        </w:rPr>
        <w:t>．磋商响应文件的详细评审</w:t>
      </w:r>
    </w:p>
    <w:p w14:paraId="4BBAA074">
      <w:pPr>
        <w:spacing w:line="48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 xml:space="preserve">.1 </w:t>
      </w:r>
      <w:r>
        <w:rPr>
          <w:rFonts w:hint="eastAsia" w:ascii="宋体" w:hAnsi="宋体" w:eastAsia="宋体" w:cs="宋体"/>
          <w:color w:val="auto"/>
          <w:kern w:val="0"/>
          <w:sz w:val="24"/>
          <w:szCs w:val="24"/>
        </w:rPr>
        <w:t>经磋商确定最终采购需求和提交最后报价的供应商后，由磋商小组采用综合评分法对提交最后报价的供应商的磋商响应文件和最后报价进行综合评分。</w:t>
      </w:r>
    </w:p>
    <w:p w14:paraId="6FE0F529">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cs="宋体"/>
          <w:b/>
          <w:color w:val="auto"/>
          <w:sz w:val="24"/>
          <w:szCs w:val="24"/>
          <w:lang w:val="en-US" w:eastAsia="zh-CN"/>
        </w:rPr>
        <w:t>8</w:t>
      </w:r>
      <w:r>
        <w:rPr>
          <w:rFonts w:hint="eastAsia" w:ascii="宋体" w:hAnsi="宋体" w:eastAsia="宋体" w:cs="宋体"/>
          <w:b/>
          <w:color w:val="auto"/>
          <w:sz w:val="24"/>
          <w:szCs w:val="24"/>
        </w:rPr>
        <w:t>.2 评标方法：综合评分法。</w:t>
      </w:r>
    </w:p>
    <w:p w14:paraId="0409729A">
      <w:pPr>
        <w:spacing w:line="480" w:lineRule="exact"/>
        <w:ind w:firstLine="470" w:firstLineChars="19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评价和比较以磋商响应文件为依据，对所有实质上响应的磋商分别从以下几个方面进行评审赋分。</w:t>
      </w:r>
    </w:p>
    <w:p w14:paraId="485C9954">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cs="宋体"/>
          <w:b/>
          <w:color w:val="auto"/>
          <w:sz w:val="24"/>
          <w:szCs w:val="24"/>
          <w:lang w:val="en-US" w:eastAsia="zh-CN"/>
        </w:rPr>
        <w:t>8</w:t>
      </w:r>
      <w:r>
        <w:rPr>
          <w:rFonts w:hint="eastAsia" w:ascii="宋体" w:hAnsi="宋体" w:eastAsia="宋体" w:cs="宋体"/>
          <w:b/>
          <w:color w:val="auto"/>
          <w:sz w:val="24"/>
          <w:szCs w:val="24"/>
        </w:rPr>
        <w:t>.3 评分细则：</w:t>
      </w:r>
    </w:p>
    <w:p w14:paraId="69DF2C93">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评审总分值为100分，具体分值如下：</w:t>
      </w:r>
    </w:p>
    <w:tbl>
      <w:tblPr>
        <w:tblStyle w:val="23"/>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648"/>
        <w:gridCol w:w="785"/>
        <w:gridCol w:w="6450"/>
        <w:gridCol w:w="956"/>
      </w:tblGrid>
      <w:tr w14:paraId="7191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8" w:type="dxa"/>
            <w:noWrap w:val="0"/>
            <w:vAlign w:val="center"/>
          </w:tcPr>
          <w:p w14:paraId="0CEE0616">
            <w:pPr>
              <w:pStyle w:val="16"/>
              <w:spacing w:line="288"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类别</w:t>
            </w:r>
          </w:p>
        </w:tc>
        <w:tc>
          <w:tcPr>
            <w:tcW w:w="648" w:type="dxa"/>
            <w:noWrap w:val="0"/>
            <w:vAlign w:val="center"/>
          </w:tcPr>
          <w:p w14:paraId="74807E02">
            <w:pPr>
              <w:spacing w:line="288"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总分</w:t>
            </w:r>
          </w:p>
        </w:tc>
        <w:tc>
          <w:tcPr>
            <w:tcW w:w="7235" w:type="dxa"/>
            <w:gridSpan w:val="2"/>
            <w:noWrap w:val="0"/>
            <w:vAlign w:val="center"/>
          </w:tcPr>
          <w:p w14:paraId="79144265">
            <w:pPr>
              <w:spacing w:line="288"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评标因素</w:t>
            </w:r>
          </w:p>
        </w:tc>
        <w:tc>
          <w:tcPr>
            <w:tcW w:w="956" w:type="dxa"/>
            <w:noWrap w:val="0"/>
            <w:vAlign w:val="center"/>
          </w:tcPr>
          <w:p w14:paraId="4B4E09C4">
            <w:pPr>
              <w:spacing w:line="288"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最高</w:t>
            </w:r>
          </w:p>
          <w:p w14:paraId="23EEB22E">
            <w:pPr>
              <w:spacing w:line="288"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得分</w:t>
            </w:r>
          </w:p>
        </w:tc>
      </w:tr>
      <w:tr w14:paraId="6541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88" w:type="dxa"/>
            <w:noWrap w:val="0"/>
            <w:vAlign w:val="center"/>
          </w:tcPr>
          <w:p w14:paraId="49DE212C">
            <w:pPr>
              <w:spacing w:line="288" w:lineRule="auto"/>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价格评审</w:t>
            </w:r>
          </w:p>
        </w:tc>
        <w:tc>
          <w:tcPr>
            <w:tcW w:w="648" w:type="dxa"/>
            <w:noWrap w:val="0"/>
            <w:vAlign w:val="center"/>
          </w:tcPr>
          <w:p w14:paraId="46AF5C36">
            <w:pPr>
              <w:spacing w:line="288"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30</w:t>
            </w:r>
            <w:r>
              <w:rPr>
                <w:rFonts w:hint="eastAsia" w:ascii="宋体" w:hAnsi="宋体" w:eastAsia="宋体" w:cs="宋体"/>
                <w:b/>
                <w:bCs/>
                <w:color w:val="auto"/>
                <w:sz w:val="24"/>
                <w:szCs w:val="24"/>
              </w:rPr>
              <w:t>分</w:t>
            </w:r>
          </w:p>
        </w:tc>
        <w:tc>
          <w:tcPr>
            <w:tcW w:w="7235" w:type="dxa"/>
            <w:gridSpan w:val="2"/>
            <w:noWrap w:val="0"/>
            <w:vAlign w:val="center"/>
          </w:tcPr>
          <w:p w14:paraId="0948B839">
            <w:pPr>
              <w:numPr>
                <w:ilvl w:val="0"/>
                <w:numId w:val="1"/>
              </w:numPr>
              <w:spacing w:line="288" w:lineRule="auto"/>
              <w:ind w:left="-94" w:leftChars="-45"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经初审合格的投标文件，其</w:t>
            </w:r>
            <w:r>
              <w:rPr>
                <w:rFonts w:hint="eastAsia" w:ascii="宋体" w:hAnsi="宋体" w:eastAsia="宋体" w:cs="宋体"/>
                <w:b/>
                <w:bCs/>
                <w:color w:val="auto"/>
                <w:sz w:val="24"/>
                <w:szCs w:val="24"/>
              </w:rPr>
              <w:t>投标</w:t>
            </w:r>
            <w:r>
              <w:rPr>
                <w:rFonts w:hint="eastAsia" w:ascii="宋体" w:hAnsi="宋体" w:eastAsia="宋体" w:cs="宋体"/>
                <w:color w:val="auto"/>
                <w:sz w:val="24"/>
                <w:szCs w:val="24"/>
              </w:rPr>
              <w:t>报价为有效投标价。</w:t>
            </w:r>
          </w:p>
          <w:p w14:paraId="42752942">
            <w:pPr>
              <w:numPr>
                <w:ilvl w:val="0"/>
                <w:numId w:val="0"/>
              </w:numPr>
              <w:spacing w:line="288" w:lineRule="auto"/>
              <w:ind w:leftChars="5"/>
              <w:rPr>
                <w:rFonts w:hint="eastAsia" w:ascii="宋体" w:hAnsi="宋体" w:eastAsia="宋体" w:cs="宋体"/>
                <w:color w:val="auto"/>
                <w:sz w:val="24"/>
                <w:szCs w:val="24"/>
              </w:rPr>
            </w:pPr>
            <w:r>
              <w:rPr>
                <w:rFonts w:hint="eastAsia" w:ascii="宋体" w:hAnsi="宋体" w:eastAsia="宋体" w:cs="宋体"/>
                <w:color w:val="auto"/>
                <w:sz w:val="24"/>
                <w:szCs w:val="24"/>
              </w:rPr>
              <w:t>2.有效最低</w:t>
            </w:r>
            <w:r>
              <w:rPr>
                <w:rFonts w:hint="eastAsia" w:ascii="宋体" w:hAnsi="宋体" w:eastAsia="宋体" w:cs="宋体"/>
                <w:b/>
                <w:bCs/>
                <w:color w:val="auto"/>
                <w:sz w:val="24"/>
                <w:szCs w:val="24"/>
              </w:rPr>
              <w:t>投标</w:t>
            </w:r>
            <w:r>
              <w:rPr>
                <w:rFonts w:hint="eastAsia" w:ascii="宋体" w:hAnsi="宋体" w:eastAsia="宋体" w:cs="宋体"/>
                <w:color w:val="auto"/>
                <w:sz w:val="24"/>
                <w:szCs w:val="24"/>
              </w:rPr>
              <w:t>报价为基准价得</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p w14:paraId="23022220">
            <w:pPr>
              <w:spacing w:line="288" w:lineRule="auto"/>
              <w:ind w:left="-94" w:leftChars="-45" w:firstLine="120" w:firstLineChars="50"/>
              <w:rPr>
                <w:rFonts w:hint="eastAsia" w:eastAsia="宋体"/>
                <w:color w:val="auto"/>
                <w:lang w:val="en-US" w:eastAsia="zh-CN"/>
              </w:rPr>
            </w:pPr>
            <w:r>
              <w:rPr>
                <w:rFonts w:hint="eastAsia" w:ascii="宋体" w:hAnsi="宋体" w:eastAsia="宋体" w:cs="宋体"/>
                <w:color w:val="auto"/>
                <w:sz w:val="24"/>
                <w:szCs w:val="24"/>
              </w:rPr>
              <w:t>3.按（有效最低</w:t>
            </w:r>
            <w:r>
              <w:rPr>
                <w:rFonts w:hint="eastAsia" w:ascii="宋体" w:hAnsi="宋体" w:eastAsia="宋体" w:cs="宋体"/>
                <w:b/>
                <w:bCs/>
                <w:color w:val="auto"/>
                <w:sz w:val="24"/>
                <w:szCs w:val="24"/>
              </w:rPr>
              <w:t>投标</w:t>
            </w:r>
            <w:r>
              <w:rPr>
                <w:rFonts w:hint="eastAsia" w:ascii="宋体" w:hAnsi="宋体" w:eastAsia="宋体" w:cs="宋体"/>
                <w:color w:val="auto"/>
                <w:sz w:val="24"/>
                <w:szCs w:val="24"/>
              </w:rPr>
              <w:t>报价/有效</w:t>
            </w:r>
            <w:r>
              <w:rPr>
                <w:rFonts w:hint="eastAsia" w:ascii="宋体" w:hAnsi="宋体" w:eastAsia="宋体" w:cs="宋体"/>
                <w:b/>
                <w:bCs/>
                <w:color w:val="auto"/>
                <w:sz w:val="24"/>
                <w:szCs w:val="24"/>
              </w:rPr>
              <w:t>投标</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0的公式计算其得分。</w:t>
            </w:r>
          </w:p>
        </w:tc>
        <w:tc>
          <w:tcPr>
            <w:tcW w:w="956" w:type="dxa"/>
            <w:noWrap w:val="0"/>
            <w:vAlign w:val="center"/>
          </w:tcPr>
          <w:p w14:paraId="6E39F40E">
            <w:pPr>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0分</w:t>
            </w:r>
          </w:p>
        </w:tc>
      </w:tr>
      <w:tr w14:paraId="69E1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688" w:type="dxa"/>
            <w:noWrap w:val="0"/>
            <w:vAlign w:val="center"/>
          </w:tcPr>
          <w:p w14:paraId="62620AB2">
            <w:pPr>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商务评审</w:t>
            </w:r>
          </w:p>
        </w:tc>
        <w:tc>
          <w:tcPr>
            <w:tcW w:w="648" w:type="dxa"/>
            <w:noWrap w:val="0"/>
            <w:vAlign w:val="center"/>
          </w:tcPr>
          <w:p w14:paraId="1544852D">
            <w:pPr>
              <w:spacing w:line="288"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5分</w:t>
            </w:r>
          </w:p>
        </w:tc>
        <w:tc>
          <w:tcPr>
            <w:tcW w:w="7235" w:type="dxa"/>
            <w:gridSpan w:val="2"/>
            <w:noWrap w:val="0"/>
            <w:vAlign w:val="center"/>
          </w:tcPr>
          <w:p w14:paraId="3C48E738">
            <w:pPr>
              <w:spacing w:line="288" w:lineRule="auto"/>
              <w:ind w:left="-94" w:leftChars="-45" w:firstLine="360" w:firstLineChars="150"/>
              <w:rPr>
                <w:rFonts w:hint="eastAsia" w:ascii="宋体" w:hAnsi="宋体" w:eastAsia="宋体" w:cs="宋体"/>
                <w:color w:val="auto"/>
                <w:sz w:val="24"/>
                <w:szCs w:val="24"/>
                <w:lang w:eastAsia="zh-CN"/>
              </w:rPr>
            </w:pPr>
            <w:r>
              <w:rPr>
                <w:rFonts w:hint="eastAsia" w:ascii="宋体" w:hAnsi="宋体" w:cs="宋体"/>
                <w:color w:val="auto"/>
                <w:sz w:val="24"/>
                <w:lang w:bidi="ar"/>
              </w:rPr>
              <w:t>经过有效性和符合性审核合格的单位，对商务条款进行响应，完全响应的计5分，未做响应的得</w:t>
            </w:r>
            <w:r>
              <w:rPr>
                <w:rFonts w:hint="eastAsia" w:ascii="宋体" w:hAnsi="宋体" w:cs="宋体"/>
                <w:color w:val="auto"/>
                <w:sz w:val="24"/>
                <w:lang w:val="en-US" w:eastAsia="zh-CN" w:bidi="ar"/>
              </w:rPr>
              <w:t>0</w:t>
            </w:r>
            <w:r>
              <w:rPr>
                <w:rFonts w:hint="eastAsia" w:ascii="宋体" w:hAnsi="宋体" w:cs="宋体"/>
                <w:color w:val="auto"/>
                <w:sz w:val="24"/>
                <w:lang w:bidi="ar"/>
              </w:rPr>
              <w:t>分。</w:t>
            </w:r>
          </w:p>
        </w:tc>
        <w:tc>
          <w:tcPr>
            <w:tcW w:w="956" w:type="dxa"/>
            <w:noWrap w:val="0"/>
            <w:vAlign w:val="center"/>
          </w:tcPr>
          <w:p w14:paraId="3B4B6B29">
            <w:pPr>
              <w:spacing w:line="288"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5分</w:t>
            </w:r>
          </w:p>
        </w:tc>
      </w:tr>
      <w:tr w14:paraId="0E87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688" w:type="dxa"/>
            <w:noWrap w:val="0"/>
            <w:vAlign w:val="center"/>
          </w:tcPr>
          <w:p w14:paraId="1663EE77">
            <w:pPr>
              <w:spacing w:line="288"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总体方案</w:t>
            </w:r>
          </w:p>
        </w:tc>
        <w:tc>
          <w:tcPr>
            <w:tcW w:w="648" w:type="dxa"/>
            <w:noWrap w:val="0"/>
            <w:vAlign w:val="center"/>
          </w:tcPr>
          <w:p w14:paraId="0A4BE25E">
            <w:pPr>
              <w:spacing w:line="288" w:lineRule="auto"/>
              <w:jc w:val="center"/>
              <w:rPr>
                <w:rFonts w:hint="eastAsia" w:ascii="宋体" w:hAnsi="宋体" w:eastAsia="宋体" w:cs="宋体"/>
                <w:b/>
                <w:bCs/>
                <w:color w:val="auto"/>
                <w:sz w:val="24"/>
                <w:szCs w:val="24"/>
                <w:lang w:val="en-US" w:eastAsia="zh-CN"/>
              </w:rPr>
            </w:pPr>
            <w:r>
              <w:rPr>
                <w:rFonts w:hint="eastAsia" w:ascii="宋体" w:hAnsi="宋体" w:cs="宋体"/>
                <w:b/>
                <w:bCs w:val="0"/>
                <w:color w:val="auto"/>
                <w:sz w:val="24"/>
                <w:lang w:val="en-US" w:eastAsia="zh-CN" w:bidi="ar"/>
              </w:rPr>
              <w:t>10</w:t>
            </w:r>
            <w:r>
              <w:rPr>
                <w:rFonts w:hint="eastAsia" w:ascii="宋体" w:hAnsi="宋体" w:eastAsia="宋体" w:cs="宋体"/>
                <w:b/>
                <w:bCs w:val="0"/>
                <w:color w:val="auto"/>
                <w:sz w:val="24"/>
                <w:lang w:val="en-US" w:eastAsia="zh-CN" w:bidi="ar"/>
              </w:rPr>
              <w:t>分</w:t>
            </w:r>
          </w:p>
        </w:tc>
        <w:tc>
          <w:tcPr>
            <w:tcW w:w="7235" w:type="dxa"/>
            <w:gridSpan w:val="2"/>
            <w:noWrap w:val="0"/>
            <w:vAlign w:val="center"/>
          </w:tcPr>
          <w:p w14:paraId="71B45669">
            <w:pPr>
              <w:spacing w:line="288" w:lineRule="auto"/>
              <w:ind w:firstLine="240" w:firstLineChars="100"/>
              <w:rPr>
                <w:rFonts w:hint="eastAsia" w:ascii="宋体" w:hAnsi="宋体" w:cs="宋体"/>
                <w:color w:val="auto"/>
                <w:sz w:val="24"/>
                <w:lang w:bidi="ar"/>
              </w:rPr>
            </w:pPr>
            <w:r>
              <w:rPr>
                <w:rFonts w:hint="eastAsia" w:ascii="宋体" w:hAnsi="宋体" w:eastAsia="宋体" w:cs="宋体"/>
                <w:b w:val="0"/>
                <w:bCs/>
                <w:color w:val="auto"/>
                <w:kern w:val="2"/>
                <w:sz w:val="24"/>
                <w:szCs w:val="24"/>
                <w:highlight w:val="none"/>
                <w:lang w:eastAsia="zh-CN"/>
              </w:rPr>
              <w:t>供应商</w:t>
            </w:r>
            <w:r>
              <w:rPr>
                <w:rFonts w:hint="eastAsia" w:ascii="宋体" w:hAnsi="宋体" w:eastAsia="宋体" w:cs="宋体"/>
                <w:b w:val="0"/>
                <w:bCs/>
                <w:color w:val="auto"/>
                <w:kern w:val="2"/>
                <w:sz w:val="24"/>
                <w:szCs w:val="24"/>
                <w:highlight w:val="none"/>
              </w:rPr>
              <w:t>须提供详细的</w:t>
            </w:r>
            <w:r>
              <w:rPr>
                <w:rFonts w:hint="eastAsia" w:ascii="宋体" w:hAnsi="宋体" w:eastAsia="宋体" w:cs="宋体"/>
                <w:b w:val="0"/>
                <w:bCs/>
                <w:color w:val="auto"/>
                <w:kern w:val="2"/>
                <w:sz w:val="24"/>
                <w:szCs w:val="24"/>
                <w:highlight w:val="none"/>
                <w:lang w:eastAsia="zh-CN"/>
              </w:rPr>
              <w:t>总体实施</w:t>
            </w:r>
            <w:r>
              <w:rPr>
                <w:rFonts w:hint="eastAsia" w:ascii="宋体" w:hAnsi="宋体" w:eastAsia="宋体" w:cs="宋体"/>
                <w:b w:val="0"/>
                <w:bCs/>
                <w:color w:val="auto"/>
                <w:kern w:val="2"/>
                <w:sz w:val="24"/>
                <w:szCs w:val="24"/>
                <w:highlight w:val="none"/>
              </w:rPr>
              <w:t>方案：方案</w:t>
            </w:r>
            <w:r>
              <w:rPr>
                <w:rFonts w:hint="eastAsia" w:ascii="宋体" w:hAnsi="宋体" w:eastAsia="宋体" w:cs="宋体"/>
                <w:b w:val="0"/>
                <w:bCs/>
                <w:color w:val="auto"/>
                <w:kern w:val="2"/>
                <w:sz w:val="24"/>
                <w:szCs w:val="24"/>
                <w:highlight w:val="none"/>
                <w:lang w:eastAsia="zh-CN"/>
              </w:rPr>
              <w:t>逻辑性</w:t>
            </w:r>
            <w:r>
              <w:rPr>
                <w:rFonts w:hint="eastAsia" w:ascii="宋体" w:hAnsi="宋体" w:eastAsia="宋体" w:cs="宋体"/>
                <w:b w:val="0"/>
                <w:bCs/>
                <w:color w:val="auto"/>
                <w:kern w:val="2"/>
                <w:sz w:val="24"/>
                <w:szCs w:val="24"/>
                <w:highlight w:val="none"/>
              </w:rPr>
              <w:t>强</w:t>
            </w:r>
            <w:r>
              <w:rPr>
                <w:rFonts w:hint="eastAsia" w:ascii="宋体" w:hAnsi="宋体" w:eastAsia="宋体" w:cs="宋体"/>
                <w:b w:val="0"/>
                <w:bCs/>
                <w:color w:val="auto"/>
                <w:kern w:val="2"/>
                <w:sz w:val="24"/>
                <w:szCs w:val="24"/>
                <w:highlight w:val="none"/>
                <w:lang w:eastAsia="zh-CN"/>
              </w:rPr>
              <w:t>、可行性高</w:t>
            </w:r>
            <w:r>
              <w:rPr>
                <w:rFonts w:hint="eastAsia" w:ascii="宋体" w:hAnsi="宋体" w:eastAsia="宋体" w:cs="宋体"/>
                <w:b w:val="0"/>
                <w:bCs/>
                <w:color w:val="auto"/>
                <w:kern w:val="2"/>
                <w:sz w:val="24"/>
                <w:szCs w:val="24"/>
                <w:highlight w:val="none"/>
              </w:rPr>
              <w:t>，思路清晰合理，有明确的工作程序</w:t>
            </w:r>
            <w:r>
              <w:rPr>
                <w:rFonts w:hint="eastAsia" w:ascii="宋体" w:hAnsi="宋体" w:eastAsia="宋体" w:cs="宋体"/>
                <w:b w:val="0"/>
                <w:bCs/>
                <w:color w:val="auto"/>
                <w:kern w:val="2"/>
                <w:sz w:val="24"/>
                <w:szCs w:val="24"/>
                <w:highlight w:val="none"/>
                <w:lang w:eastAsia="zh-CN"/>
              </w:rPr>
              <w:t>，</w:t>
            </w:r>
            <w:r>
              <w:rPr>
                <w:rFonts w:hint="eastAsia" w:ascii="宋体" w:hAnsi="宋体" w:eastAsia="宋体" w:cs="宋体"/>
                <w:b w:val="0"/>
                <w:bCs/>
                <w:color w:val="auto"/>
                <w:kern w:val="2"/>
                <w:sz w:val="24"/>
                <w:szCs w:val="24"/>
                <w:highlight w:val="none"/>
              </w:rPr>
              <w:t>方案内容完整条理清晰、合理且逐条详细说明的得</w:t>
            </w:r>
            <w:r>
              <w:rPr>
                <w:rFonts w:hint="eastAsia" w:ascii="宋体" w:hAnsi="宋体" w:cs="宋体"/>
                <w:b w:val="0"/>
                <w:bCs/>
                <w:color w:val="auto"/>
                <w:kern w:val="2"/>
                <w:sz w:val="24"/>
                <w:szCs w:val="24"/>
                <w:highlight w:val="none"/>
                <w:lang w:val="en-US" w:eastAsia="zh-CN"/>
              </w:rPr>
              <w:t>6.1</w:t>
            </w:r>
            <w:r>
              <w:rPr>
                <w:rFonts w:hint="eastAsia" w:ascii="宋体" w:hAnsi="宋体" w:eastAsia="宋体" w:cs="宋体"/>
                <w:b w:val="0"/>
                <w:bCs/>
                <w:color w:val="auto"/>
                <w:kern w:val="2"/>
                <w:sz w:val="24"/>
                <w:szCs w:val="24"/>
                <w:highlight w:val="none"/>
              </w:rPr>
              <w:t>～</w:t>
            </w:r>
            <w:r>
              <w:rPr>
                <w:rFonts w:hint="eastAsia" w:ascii="宋体" w:hAnsi="宋体" w:cs="宋体"/>
                <w:b w:val="0"/>
                <w:bCs/>
                <w:color w:val="auto"/>
                <w:kern w:val="2"/>
                <w:sz w:val="24"/>
                <w:szCs w:val="24"/>
                <w:highlight w:val="none"/>
                <w:lang w:val="en-US" w:eastAsia="zh-CN"/>
              </w:rPr>
              <w:t>10</w:t>
            </w:r>
            <w:r>
              <w:rPr>
                <w:rFonts w:hint="eastAsia" w:ascii="宋体" w:hAnsi="宋体" w:eastAsia="宋体" w:cs="宋体"/>
                <w:b w:val="0"/>
                <w:bCs/>
                <w:color w:val="auto"/>
                <w:kern w:val="2"/>
                <w:sz w:val="24"/>
                <w:szCs w:val="24"/>
                <w:highlight w:val="none"/>
              </w:rPr>
              <w:t>分；方案内容</w:t>
            </w:r>
            <w:r>
              <w:rPr>
                <w:rFonts w:hint="eastAsia" w:ascii="宋体" w:hAnsi="宋体" w:eastAsia="宋体" w:cs="宋体"/>
                <w:b w:val="0"/>
                <w:bCs/>
                <w:color w:val="auto"/>
                <w:kern w:val="2"/>
                <w:sz w:val="24"/>
                <w:szCs w:val="24"/>
                <w:highlight w:val="none"/>
                <w:lang w:eastAsia="zh-CN"/>
              </w:rPr>
              <w:t>含糊、</w:t>
            </w:r>
            <w:r>
              <w:rPr>
                <w:rFonts w:hint="eastAsia" w:ascii="宋体" w:hAnsi="宋体" w:eastAsia="宋体" w:cs="宋体"/>
                <w:b w:val="0"/>
                <w:bCs/>
                <w:color w:val="auto"/>
                <w:kern w:val="2"/>
                <w:sz w:val="24"/>
                <w:szCs w:val="24"/>
                <w:highlight w:val="none"/>
              </w:rPr>
              <w:t>条理</w:t>
            </w:r>
            <w:r>
              <w:rPr>
                <w:rFonts w:hint="eastAsia" w:ascii="宋体" w:hAnsi="宋体" w:eastAsia="宋体" w:cs="宋体"/>
                <w:b w:val="0"/>
                <w:bCs/>
                <w:color w:val="auto"/>
                <w:kern w:val="2"/>
                <w:sz w:val="24"/>
                <w:szCs w:val="24"/>
                <w:highlight w:val="none"/>
                <w:lang w:eastAsia="zh-CN"/>
              </w:rPr>
              <w:t>不清，未</w:t>
            </w:r>
            <w:r>
              <w:rPr>
                <w:rFonts w:hint="eastAsia" w:ascii="宋体" w:hAnsi="宋体" w:eastAsia="宋体" w:cs="宋体"/>
                <w:b w:val="0"/>
                <w:bCs/>
                <w:color w:val="auto"/>
                <w:kern w:val="2"/>
                <w:sz w:val="24"/>
                <w:szCs w:val="24"/>
                <w:highlight w:val="none"/>
              </w:rPr>
              <w:t>逐条详细说明的得</w:t>
            </w:r>
            <w:r>
              <w:rPr>
                <w:rFonts w:hint="eastAsia" w:ascii="宋体" w:hAnsi="宋体" w:eastAsia="宋体" w:cs="宋体"/>
                <w:b w:val="0"/>
                <w:bCs/>
                <w:color w:val="auto"/>
                <w:kern w:val="2"/>
                <w:sz w:val="24"/>
                <w:szCs w:val="24"/>
                <w:highlight w:val="none"/>
                <w:lang w:val="en-US" w:eastAsia="zh-CN"/>
              </w:rPr>
              <w:t>1</w:t>
            </w:r>
            <w:r>
              <w:rPr>
                <w:rFonts w:hint="eastAsia" w:ascii="宋体" w:hAnsi="宋体" w:eastAsia="宋体" w:cs="宋体"/>
                <w:b w:val="0"/>
                <w:bCs/>
                <w:color w:val="auto"/>
                <w:kern w:val="2"/>
                <w:sz w:val="24"/>
                <w:szCs w:val="24"/>
                <w:highlight w:val="none"/>
              </w:rPr>
              <w:t>～</w:t>
            </w:r>
            <w:r>
              <w:rPr>
                <w:rFonts w:hint="eastAsia" w:ascii="宋体" w:hAnsi="宋体" w:cs="宋体"/>
                <w:b w:val="0"/>
                <w:bCs/>
                <w:color w:val="auto"/>
                <w:kern w:val="2"/>
                <w:sz w:val="24"/>
                <w:szCs w:val="24"/>
                <w:highlight w:val="none"/>
                <w:lang w:val="en-US" w:eastAsia="zh-CN"/>
              </w:rPr>
              <w:t>6</w:t>
            </w:r>
            <w:r>
              <w:rPr>
                <w:rFonts w:hint="eastAsia" w:ascii="宋体" w:hAnsi="宋体" w:eastAsia="宋体" w:cs="宋体"/>
                <w:b w:val="0"/>
                <w:bCs/>
                <w:color w:val="auto"/>
                <w:kern w:val="2"/>
                <w:sz w:val="24"/>
                <w:szCs w:val="24"/>
                <w:highlight w:val="none"/>
              </w:rPr>
              <w:t>分；其他的</w:t>
            </w:r>
            <w:r>
              <w:rPr>
                <w:rFonts w:hint="eastAsia" w:ascii="宋体" w:hAnsi="宋体" w:eastAsia="宋体" w:cs="宋体"/>
                <w:b w:val="0"/>
                <w:bCs/>
                <w:color w:val="auto"/>
                <w:kern w:val="2"/>
                <w:sz w:val="24"/>
                <w:szCs w:val="24"/>
                <w:highlight w:val="none"/>
                <w:lang w:eastAsia="zh-CN"/>
              </w:rPr>
              <w:t>得</w:t>
            </w:r>
            <w:r>
              <w:rPr>
                <w:rFonts w:hint="eastAsia" w:ascii="宋体" w:hAnsi="宋体" w:eastAsia="宋体" w:cs="宋体"/>
                <w:b w:val="0"/>
                <w:bCs/>
                <w:color w:val="auto"/>
                <w:kern w:val="2"/>
                <w:sz w:val="24"/>
                <w:szCs w:val="24"/>
                <w:highlight w:val="none"/>
                <w:lang w:val="en-US" w:eastAsia="zh-CN"/>
              </w:rPr>
              <w:t>0</w:t>
            </w:r>
            <w:r>
              <w:rPr>
                <w:rFonts w:hint="eastAsia" w:ascii="宋体" w:hAnsi="宋体" w:eastAsia="宋体" w:cs="宋体"/>
                <w:b w:val="0"/>
                <w:bCs/>
                <w:color w:val="auto"/>
                <w:kern w:val="2"/>
                <w:sz w:val="24"/>
                <w:szCs w:val="24"/>
                <w:highlight w:val="none"/>
                <w:lang w:eastAsia="zh-CN"/>
              </w:rPr>
              <w:t>分</w:t>
            </w:r>
            <w:r>
              <w:rPr>
                <w:rFonts w:hint="eastAsia" w:ascii="宋体" w:hAnsi="宋体" w:eastAsia="宋体" w:cs="宋体"/>
                <w:b w:val="0"/>
                <w:bCs/>
                <w:color w:val="auto"/>
                <w:kern w:val="2"/>
                <w:sz w:val="24"/>
                <w:szCs w:val="24"/>
                <w:highlight w:val="none"/>
              </w:rPr>
              <w:t>。</w:t>
            </w:r>
          </w:p>
        </w:tc>
        <w:tc>
          <w:tcPr>
            <w:tcW w:w="956" w:type="dxa"/>
            <w:noWrap w:val="0"/>
            <w:vAlign w:val="center"/>
          </w:tcPr>
          <w:p w14:paraId="0111E574">
            <w:pPr>
              <w:spacing w:line="288" w:lineRule="auto"/>
              <w:ind w:left="-94" w:leftChars="-45" w:firstLine="120" w:firstLineChars="50"/>
              <w:jc w:val="center"/>
              <w:rPr>
                <w:rFonts w:hint="eastAsia" w:ascii="宋体" w:hAnsi="宋体" w:eastAsia="宋体" w:cs="宋体"/>
                <w:color w:val="auto"/>
                <w:sz w:val="24"/>
                <w:szCs w:val="24"/>
                <w:lang w:val="en-US" w:eastAsia="zh-CN"/>
              </w:rPr>
            </w:pPr>
            <w:r>
              <w:rPr>
                <w:rFonts w:hint="eastAsia" w:ascii="宋体" w:hAnsi="宋体" w:cs="宋体"/>
                <w:bCs/>
                <w:color w:val="auto"/>
                <w:sz w:val="24"/>
                <w:lang w:val="en-US" w:eastAsia="zh-CN"/>
              </w:rPr>
              <w:t>10</w:t>
            </w:r>
            <w:r>
              <w:rPr>
                <w:rFonts w:hint="eastAsia" w:ascii="宋体" w:hAnsi="宋体" w:cs="宋体"/>
                <w:bCs/>
                <w:color w:val="auto"/>
                <w:sz w:val="24"/>
              </w:rPr>
              <w:t>分</w:t>
            </w:r>
          </w:p>
        </w:tc>
      </w:tr>
      <w:tr w14:paraId="58C0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688" w:type="dxa"/>
            <w:vMerge w:val="restart"/>
            <w:noWrap w:val="0"/>
            <w:vAlign w:val="center"/>
          </w:tcPr>
          <w:p w14:paraId="3B907C96">
            <w:pPr>
              <w:spacing w:line="288" w:lineRule="auto"/>
              <w:rPr>
                <w:rFonts w:hint="eastAsia" w:ascii="宋体" w:hAnsi="宋体" w:eastAsia="宋体" w:cs="宋体"/>
                <w:color w:val="auto"/>
                <w:sz w:val="24"/>
                <w:szCs w:val="24"/>
              </w:rPr>
            </w:pPr>
            <w:r>
              <w:rPr>
                <w:rFonts w:hint="eastAsia" w:ascii="宋体" w:hAnsi="宋体" w:eastAsia="宋体" w:cs="宋体"/>
                <w:color w:val="auto"/>
                <w:sz w:val="24"/>
                <w:szCs w:val="24"/>
              </w:rPr>
              <w:t>技术及方案评审</w:t>
            </w:r>
          </w:p>
          <w:p w14:paraId="6401065B">
            <w:pPr>
              <w:spacing w:line="288" w:lineRule="auto"/>
              <w:ind w:left="-94" w:leftChars="-45" w:firstLine="120" w:firstLineChars="50"/>
              <w:rPr>
                <w:rFonts w:hint="eastAsia" w:ascii="宋体" w:hAnsi="宋体" w:eastAsia="宋体" w:cs="宋体"/>
                <w:color w:val="auto"/>
                <w:sz w:val="24"/>
                <w:szCs w:val="24"/>
              </w:rPr>
            </w:pPr>
          </w:p>
        </w:tc>
        <w:tc>
          <w:tcPr>
            <w:tcW w:w="648" w:type="dxa"/>
            <w:vMerge w:val="restart"/>
            <w:noWrap w:val="0"/>
            <w:vAlign w:val="center"/>
          </w:tcPr>
          <w:p w14:paraId="6471DFC2">
            <w:pPr>
              <w:spacing w:line="288"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41</w:t>
            </w:r>
            <w:r>
              <w:rPr>
                <w:rFonts w:hint="eastAsia" w:ascii="宋体" w:hAnsi="宋体" w:eastAsia="宋体" w:cs="宋体"/>
                <w:b/>
                <w:bCs/>
                <w:color w:val="auto"/>
                <w:sz w:val="24"/>
                <w:szCs w:val="24"/>
              </w:rPr>
              <w:t>分</w:t>
            </w:r>
          </w:p>
          <w:p w14:paraId="60B3693C">
            <w:pPr>
              <w:spacing w:line="288" w:lineRule="auto"/>
              <w:jc w:val="center"/>
              <w:rPr>
                <w:rFonts w:hint="eastAsia" w:ascii="宋体" w:hAnsi="宋体" w:eastAsia="宋体" w:cs="宋体"/>
                <w:b/>
                <w:bCs/>
                <w:color w:val="auto"/>
                <w:sz w:val="24"/>
                <w:szCs w:val="24"/>
              </w:rPr>
            </w:pPr>
          </w:p>
        </w:tc>
        <w:tc>
          <w:tcPr>
            <w:tcW w:w="785" w:type="dxa"/>
            <w:noWrap w:val="0"/>
            <w:vAlign w:val="center"/>
          </w:tcPr>
          <w:p w14:paraId="2D2B592F">
            <w:pPr>
              <w:numPr>
                <w:ilvl w:val="0"/>
                <w:numId w:val="0"/>
              </w:numPr>
              <w:spacing w:line="288" w:lineRule="auto"/>
              <w:ind w:left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产品描述</w:t>
            </w:r>
          </w:p>
        </w:tc>
        <w:tc>
          <w:tcPr>
            <w:tcW w:w="6450" w:type="dxa"/>
            <w:noWrap w:val="0"/>
            <w:vAlign w:val="center"/>
          </w:tcPr>
          <w:p w14:paraId="0BF84C59">
            <w:pPr>
              <w:spacing w:line="288" w:lineRule="auto"/>
              <w:ind w:firstLine="240" w:firstLineChars="100"/>
              <w:rPr>
                <w:rFonts w:hint="eastAsia" w:ascii="宋体" w:hAnsi="宋体" w:eastAsia="宋体" w:cs="宋体"/>
                <w:color w:val="auto"/>
                <w:sz w:val="24"/>
                <w:szCs w:val="24"/>
                <w:lang w:eastAsia="zh-CN"/>
              </w:rPr>
            </w:pPr>
            <w:r>
              <w:rPr>
                <w:rFonts w:hint="eastAsia" w:ascii="宋体" w:hAnsi="宋体" w:cs="宋体"/>
                <w:color w:val="auto"/>
                <w:sz w:val="24"/>
                <w:lang w:bidi="ar"/>
              </w:rPr>
              <w:t>产品及产品说明描述详细，层次清楚明确，结构合理，</w:t>
            </w:r>
            <w:r>
              <w:rPr>
                <w:rFonts w:hint="eastAsia" w:ascii="宋体" w:hAnsi="宋体" w:cs="宋体"/>
                <w:color w:val="auto"/>
                <w:sz w:val="24"/>
                <w:lang w:eastAsia="zh-CN" w:bidi="ar"/>
              </w:rPr>
              <w:t>（</w:t>
            </w:r>
            <w:r>
              <w:rPr>
                <w:rFonts w:hint="eastAsia" w:ascii="宋体" w:hAnsi="宋体" w:cs="宋体"/>
                <w:color w:val="auto"/>
                <w:sz w:val="24"/>
                <w:highlight w:val="none"/>
                <w:lang w:bidi="ar"/>
              </w:rPr>
              <w:t>提供实物图片及阐述原理</w:t>
            </w:r>
            <w:r>
              <w:rPr>
                <w:rFonts w:hint="eastAsia" w:ascii="宋体" w:hAnsi="宋体" w:cs="宋体"/>
                <w:color w:val="auto"/>
                <w:sz w:val="24"/>
                <w:highlight w:val="none"/>
                <w:lang w:eastAsia="zh-CN" w:bidi="ar"/>
              </w:rPr>
              <w:t>）</w:t>
            </w:r>
            <w:r>
              <w:rPr>
                <w:rFonts w:hint="eastAsia" w:ascii="宋体" w:hAnsi="宋体" w:cs="宋体"/>
                <w:color w:val="auto"/>
                <w:sz w:val="24"/>
                <w:lang w:bidi="ar"/>
              </w:rPr>
              <w:t>实用性良好、稳定、合理和扩展性的要求的计</w:t>
            </w:r>
            <w:r>
              <w:rPr>
                <w:rFonts w:hint="eastAsia" w:ascii="宋体" w:hAnsi="宋体" w:cs="宋体"/>
                <w:color w:val="auto"/>
                <w:sz w:val="24"/>
                <w:lang w:val="en-US" w:eastAsia="zh-CN" w:bidi="ar"/>
              </w:rPr>
              <w:t>5.1</w:t>
            </w:r>
            <w:r>
              <w:rPr>
                <w:rFonts w:hint="eastAsia" w:ascii="宋体" w:hAnsi="宋体" w:cs="宋体"/>
                <w:color w:val="auto"/>
                <w:sz w:val="24"/>
                <w:lang w:bidi="ar"/>
              </w:rPr>
              <w:t>～</w:t>
            </w:r>
            <w:r>
              <w:rPr>
                <w:rFonts w:hint="eastAsia" w:ascii="宋体" w:hAnsi="宋体" w:cs="宋体"/>
                <w:color w:val="auto"/>
                <w:sz w:val="24"/>
                <w:lang w:val="en-US" w:eastAsia="zh-CN" w:bidi="ar"/>
              </w:rPr>
              <w:t>8</w:t>
            </w:r>
            <w:r>
              <w:rPr>
                <w:rFonts w:hint="eastAsia" w:ascii="宋体" w:hAnsi="宋体" w:cs="宋体"/>
                <w:color w:val="auto"/>
                <w:sz w:val="24"/>
                <w:lang w:bidi="ar"/>
              </w:rPr>
              <w:t>分；层次较清楚、明确性不强、结构</w:t>
            </w:r>
            <w:r>
              <w:rPr>
                <w:rFonts w:hint="eastAsia" w:ascii="宋体" w:hAnsi="宋体" w:cs="宋体"/>
                <w:color w:val="auto"/>
                <w:sz w:val="24"/>
                <w:lang w:eastAsia="zh-CN" w:bidi="ar"/>
              </w:rPr>
              <w:t>较为</w:t>
            </w:r>
            <w:r>
              <w:rPr>
                <w:rFonts w:hint="eastAsia" w:ascii="宋体" w:hAnsi="宋体" w:cs="宋体"/>
                <w:color w:val="auto"/>
                <w:sz w:val="24"/>
                <w:lang w:bidi="ar"/>
              </w:rPr>
              <w:t>合理、实用性一般的计1～</w:t>
            </w:r>
            <w:r>
              <w:rPr>
                <w:rFonts w:hint="eastAsia" w:ascii="宋体" w:hAnsi="宋体" w:cs="宋体"/>
                <w:color w:val="auto"/>
                <w:sz w:val="24"/>
                <w:lang w:val="en-US" w:eastAsia="zh-CN" w:bidi="ar"/>
              </w:rPr>
              <w:t>5</w:t>
            </w:r>
            <w:r>
              <w:rPr>
                <w:rFonts w:hint="eastAsia" w:ascii="宋体" w:hAnsi="宋体" w:cs="宋体"/>
                <w:color w:val="auto"/>
                <w:sz w:val="24"/>
                <w:lang w:bidi="ar"/>
              </w:rPr>
              <w:t>分；</w:t>
            </w:r>
            <w:r>
              <w:rPr>
                <w:rFonts w:hint="eastAsia" w:ascii="宋体" w:hAnsi="宋体" w:cs="宋体"/>
                <w:color w:val="auto"/>
                <w:sz w:val="24"/>
              </w:rPr>
              <w:t>其他得</w:t>
            </w:r>
            <w:r>
              <w:rPr>
                <w:rFonts w:hint="eastAsia" w:ascii="宋体" w:hAnsi="宋体" w:cs="宋体"/>
                <w:color w:val="auto"/>
                <w:sz w:val="24"/>
                <w:lang w:val="en-US" w:eastAsia="zh-CN"/>
              </w:rPr>
              <w:t>0</w:t>
            </w:r>
            <w:r>
              <w:rPr>
                <w:rFonts w:hint="eastAsia" w:ascii="宋体" w:hAnsi="宋体" w:cs="宋体"/>
                <w:color w:val="auto"/>
                <w:sz w:val="24"/>
              </w:rPr>
              <w:t>分。</w:t>
            </w:r>
          </w:p>
        </w:tc>
        <w:tc>
          <w:tcPr>
            <w:tcW w:w="956" w:type="dxa"/>
            <w:noWrap w:val="0"/>
            <w:vAlign w:val="center"/>
          </w:tcPr>
          <w:p w14:paraId="598CDC46">
            <w:pPr>
              <w:spacing w:line="288"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8分</w:t>
            </w:r>
          </w:p>
        </w:tc>
      </w:tr>
      <w:tr w14:paraId="04D0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688" w:type="dxa"/>
            <w:vMerge w:val="continue"/>
            <w:noWrap w:val="0"/>
            <w:vAlign w:val="center"/>
          </w:tcPr>
          <w:p w14:paraId="57B0D306">
            <w:pPr>
              <w:spacing w:line="288" w:lineRule="auto"/>
              <w:ind w:left="-94" w:leftChars="-45" w:firstLine="120" w:firstLineChars="50"/>
              <w:rPr>
                <w:rFonts w:hint="eastAsia" w:ascii="宋体" w:hAnsi="宋体" w:eastAsia="宋体" w:cs="宋体"/>
                <w:color w:val="auto"/>
                <w:sz w:val="24"/>
                <w:szCs w:val="24"/>
              </w:rPr>
            </w:pPr>
          </w:p>
        </w:tc>
        <w:tc>
          <w:tcPr>
            <w:tcW w:w="648" w:type="dxa"/>
            <w:vMerge w:val="continue"/>
            <w:noWrap w:val="0"/>
            <w:vAlign w:val="center"/>
          </w:tcPr>
          <w:p w14:paraId="276CCF37">
            <w:pPr>
              <w:spacing w:line="288" w:lineRule="auto"/>
              <w:jc w:val="center"/>
              <w:rPr>
                <w:rFonts w:hint="eastAsia" w:ascii="宋体" w:hAnsi="宋体" w:eastAsia="宋体" w:cs="宋体"/>
                <w:b/>
                <w:bCs/>
                <w:color w:val="auto"/>
                <w:sz w:val="24"/>
                <w:szCs w:val="24"/>
              </w:rPr>
            </w:pPr>
          </w:p>
        </w:tc>
        <w:tc>
          <w:tcPr>
            <w:tcW w:w="785" w:type="dxa"/>
            <w:noWrap w:val="0"/>
            <w:vAlign w:val="center"/>
          </w:tcPr>
          <w:p w14:paraId="62B3251F">
            <w:pPr>
              <w:numPr>
                <w:ilvl w:val="0"/>
                <w:numId w:val="0"/>
              </w:numPr>
              <w:spacing w:line="288" w:lineRule="auto"/>
              <w:ind w:left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质量</w:t>
            </w:r>
          </w:p>
        </w:tc>
        <w:tc>
          <w:tcPr>
            <w:tcW w:w="6450" w:type="dxa"/>
            <w:noWrap w:val="0"/>
            <w:vAlign w:val="center"/>
          </w:tcPr>
          <w:p w14:paraId="07A87CEE">
            <w:pPr>
              <w:pStyle w:val="27"/>
              <w:spacing w:line="360" w:lineRule="auto"/>
              <w:ind w:left="0" w:leftChars="0" w:firstLine="240" w:firstLineChars="100"/>
              <w:rPr>
                <w:rFonts w:hint="eastAsia"/>
                <w:color w:val="auto"/>
              </w:rPr>
            </w:pPr>
            <w:r>
              <w:rPr>
                <w:rFonts w:hint="eastAsia" w:ascii="宋体" w:hAnsi="宋体" w:cs="宋体"/>
                <w:color w:val="auto"/>
                <w:sz w:val="24"/>
                <w:lang w:val="en-US" w:eastAsia="zh-CN"/>
              </w:rPr>
              <w:t>投标产品质量可靠，具有较好的使用效果，满足国家相关质量标准，产品来源及渠道正常（佐证材料不限于：产品说明书、检测检验报告、产品售后服务承诺函等），检验手续合法有效等：产品质量可靠，具有较好的使用效果、能够提供合法来源渠道、产品检测/检验报告完整齐全、国家强制认证内容齐全、满足磋商文件技术要求的得7.1</w:t>
            </w:r>
            <w:r>
              <w:rPr>
                <w:rFonts w:hint="eastAsia" w:ascii="宋体" w:hAnsi="宋体" w:cs="宋体"/>
                <w:color w:val="auto"/>
                <w:sz w:val="24"/>
              </w:rPr>
              <w:t>～</w:t>
            </w:r>
            <w:r>
              <w:rPr>
                <w:rFonts w:hint="eastAsia" w:ascii="宋体" w:hAnsi="宋体" w:cs="宋体"/>
                <w:color w:val="auto"/>
                <w:sz w:val="24"/>
                <w:lang w:val="en-US" w:eastAsia="zh-CN"/>
              </w:rPr>
              <w:t>13分；产品质量普通、来源渠道合法，满足强制性要求，产品检测/检验报告不全或内容有缺项的得1</w:t>
            </w:r>
            <w:r>
              <w:rPr>
                <w:rFonts w:hint="eastAsia" w:ascii="宋体" w:hAnsi="宋体" w:cs="宋体"/>
                <w:color w:val="auto"/>
                <w:sz w:val="24"/>
              </w:rPr>
              <w:t>～</w:t>
            </w:r>
            <w:r>
              <w:rPr>
                <w:rFonts w:hint="eastAsia" w:ascii="宋体" w:hAnsi="宋体" w:cs="宋体"/>
                <w:color w:val="auto"/>
                <w:sz w:val="24"/>
                <w:lang w:val="en-US" w:eastAsia="zh-CN"/>
              </w:rPr>
              <w:t>7分；产品质量不合格、无法提供能证明合法来源及渠道的得0分。</w:t>
            </w:r>
          </w:p>
        </w:tc>
        <w:tc>
          <w:tcPr>
            <w:tcW w:w="956" w:type="dxa"/>
            <w:noWrap w:val="0"/>
            <w:vAlign w:val="center"/>
          </w:tcPr>
          <w:p w14:paraId="150DDD7E">
            <w:pPr>
              <w:spacing w:line="288"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13分</w:t>
            </w:r>
          </w:p>
        </w:tc>
      </w:tr>
      <w:tr w14:paraId="0679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688" w:type="dxa"/>
            <w:vMerge w:val="continue"/>
            <w:noWrap w:val="0"/>
            <w:vAlign w:val="center"/>
          </w:tcPr>
          <w:p w14:paraId="09969A4F">
            <w:pPr>
              <w:spacing w:line="288" w:lineRule="auto"/>
              <w:ind w:left="-94" w:leftChars="-45" w:firstLine="120" w:firstLineChars="50"/>
              <w:rPr>
                <w:rFonts w:hint="eastAsia" w:ascii="宋体" w:hAnsi="宋体" w:eastAsia="宋体" w:cs="宋体"/>
                <w:color w:val="auto"/>
                <w:sz w:val="24"/>
                <w:szCs w:val="24"/>
              </w:rPr>
            </w:pPr>
          </w:p>
        </w:tc>
        <w:tc>
          <w:tcPr>
            <w:tcW w:w="648" w:type="dxa"/>
            <w:vMerge w:val="continue"/>
            <w:noWrap w:val="0"/>
            <w:vAlign w:val="center"/>
          </w:tcPr>
          <w:p w14:paraId="0A4E76B5">
            <w:pPr>
              <w:spacing w:line="288" w:lineRule="auto"/>
              <w:ind w:left="-94" w:leftChars="-45" w:firstLine="120" w:firstLineChars="50"/>
              <w:rPr>
                <w:rFonts w:hint="eastAsia" w:ascii="宋体" w:hAnsi="宋体" w:eastAsia="宋体" w:cs="宋体"/>
                <w:color w:val="auto"/>
                <w:sz w:val="24"/>
                <w:szCs w:val="24"/>
              </w:rPr>
            </w:pPr>
          </w:p>
        </w:tc>
        <w:tc>
          <w:tcPr>
            <w:tcW w:w="785" w:type="dxa"/>
            <w:noWrap w:val="0"/>
            <w:vAlign w:val="center"/>
          </w:tcPr>
          <w:p w14:paraId="41C8F07F">
            <w:pPr>
              <w:numPr>
                <w:ilvl w:val="0"/>
                <w:numId w:val="0"/>
              </w:numPr>
              <w:spacing w:line="288" w:lineRule="auto"/>
              <w:ind w:left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供货组织方案</w:t>
            </w:r>
          </w:p>
        </w:tc>
        <w:tc>
          <w:tcPr>
            <w:tcW w:w="6450" w:type="dxa"/>
            <w:noWrap w:val="0"/>
            <w:vAlign w:val="center"/>
          </w:tcPr>
          <w:p w14:paraId="608CB515">
            <w:pPr>
              <w:spacing w:line="288"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rPr>
              <w:t>本项目的组织能力、供货实施方案：供货组织安排及分工合理、责任明确，有详细的人员、财力调配措施的</w:t>
            </w:r>
            <w:r>
              <w:rPr>
                <w:rFonts w:hint="eastAsia" w:ascii="宋体" w:hAnsi="宋体" w:cs="宋体"/>
                <w:color w:val="auto"/>
                <w:sz w:val="24"/>
              </w:rPr>
              <w:t>得</w:t>
            </w:r>
            <w:r>
              <w:rPr>
                <w:rFonts w:hint="eastAsia" w:ascii="宋体" w:hAnsi="宋体" w:cs="宋体"/>
                <w:color w:val="auto"/>
                <w:sz w:val="24"/>
                <w:lang w:val="en-US" w:eastAsia="zh-CN"/>
              </w:rPr>
              <w:t>6.1</w:t>
            </w:r>
            <w:r>
              <w:rPr>
                <w:rFonts w:hint="eastAsia" w:ascii="宋体" w:hAnsi="宋体" w:cs="宋体"/>
                <w:color w:val="auto"/>
                <w:sz w:val="24"/>
                <w:lang w:bidi="ar"/>
              </w:rPr>
              <w:t>～</w:t>
            </w:r>
            <w:r>
              <w:rPr>
                <w:rFonts w:hint="eastAsia" w:ascii="宋体" w:hAnsi="宋体" w:cs="宋体"/>
                <w:color w:val="auto"/>
                <w:sz w:val="24"/>
                <w:lang w:val="en-US" w:eastAsia="zh-CN"/>
              </w:rPr>
              <w:t>10</w:t>
            </w:r>
            <w:r>
              <w:rPr>
                <w:rFonts w:hint="eastAsia" w:ascii="宋体" w:hAnsi="宋体" w:cs="宋体"/>
                <w:color w:val="auto"/>
                <w:sz w:val="24"/>
              </w:rPr>
              <w:t>分；供货组织安排及分工</w:t>
            </w:r>
            <w:r>
              <w:rPr>
                <w:rFonts w:hint="eastAsia" w:ascii="宋体" w:hAnsi="宋体" w:cs="宋体"/>
                <w:color w:val="auto"/>
                <w:sz w:val="24"/>
                <w:lang w:eastAsia="zh-CN"/>
              </w:rPr>
              <w:t>含糊不清</w:t>
            </w:r>
            <w:r>
              <w:rPr>
                <w:rFonts w:hint="eastAsia" w:ascii="宋体" w:hAnsi="宋体" w:cs="宋体"/>
                <w:color w:val="auto"/>
                <w:sz w:val="24"/>
              </w:rPr>
              <w:t>、责任</w:t>
            </w:r>
            <w:r>
              <w:rPr>
                <w:rFonts w:hint="eastAsia" w:ascii="宋体" w:hAnsi="宋体" w:cs="宋体"/>
                <w:color w:val="auto"/>
                <w:sz w:val="24"/>
                <w:lang w:eastAsia="zh-CN"/>
              </w:rPr>
              <w:t>不</w:t>
            </w:r>
            <w:r>
              <w:rPr>
                <w:rFonts w:hint="eastAsia" w:ascii="宋体" w:hAnsi="宋体" w:cs="宋体"/>
                <w:color w:val="auto"/>
                <w:sz w:val="24"/>
              </w:rPr>
              <w:t>明确，人员、财力调配措施</w:t>
            </w:r>
            <w:r>
              <w:rPr>
                <w:rFonts w:hint="eastAsia" w:ascii="宋体" w:hAnsi="宋体" w:cs="宋体"/>
                <w:color w:val="auto"/>
                <w:sz w:val="24"/>
                <w:lang w:eastAsia="zh-CN"/>
              </w:rPr>
              <w:t>不得当</w:t>
            </w:r>
            <w:r>
              <w:rPr>
                <w:rFonts w:hint="eastAsia" w:ascii="宋体" w:hAnsi="宋体" w:eastAsia="宋体" w:cs="宋体"/>
                <w:color w:val="auto"/>
                <w:sz w:val="24"/>
                <w:lang w:eastAsia="zh-CN"/>
              </w:rPr>
              <w:t>的</w:t>
            </w:r>
            <w:r>
              <w:rPr>
                <w:rFonts w:hint="eastAsia" w:ascii="宋体" w:hAnsi="宋体" w:cs="宋体"/>
                <w:color w:val="auto"/>
                <w:sz w:val="24"/>
              </w:rPr>
              <w:t>得</w:t>
            </w:r>
            <w:r>
              <w:rPr>
                <w:rFonts w:hint="eastAsia" w:ascii="宋体" w:hAnsi="宋体" w:cs="宋体"/>
                <w:color w:val="auto"/>
                <w:sz w:val="24"/>
                <w:lang w:val="en-US" w:eastAsia="zh-CN"/>
              </w:rPr>
              <w:t>1</w:t>
            </w:r>
            <w:r>
              <w:rPr>
                <w:rFonts w:hint="eastAsia" w:ascii="宋体" w:hAnsi="宋体" w:cs="宋体"/>
                <w:color w:val="auto"/>
                <w:sz w:val="24"/>
                <w:lang w:bidi="ar"/>
              </w:rPr>
              <w:t>～</w:t>
            </w:r>
            <w:r>
              <w:rPr>
                <w:rFonts w:hint="eastAsia" w:ascii="宋体" w:hAnsi="宋体" w:cs="宋体"/>
                <w:color w:val="auto"/>
                <w:sz w:val="24"/>
                <w:lang w:val="en-US" w:eastAsia="zh-CN"/>
              </w:rPr>
              <w:t>6</w:t>
            </w:r>
            <w:r>
              <w:rPr>
                <w:rFonts w:hint="eastAsia" w:ascii="宋体" w:hAnsi="宋体" w:cs="宋体"/>
                <w:color w:val="auto"/>
                <w:sz w:val="24"/>
              </w:rPr>
              <w:t>分；其他得</w:t>
            </w:r>
            <w:r>
              <w:rPr>
                <w:rFonts w:hint="eastAsia" w:ascii="宋体" w:hAnsi="宋体" w:cs="宋体"/>
                <w:color w:val="auto"/>
                <w:sz w:val="24"/>
                <w:lang w:val="en-US" w:eastAsia="zh-CN"/>
              </w:rPr>
              <w:t>0</w:t>
            </w:r>
            <w:r>
              <w:rPr>
                <w:rFonts w:hint="eastAsia" w:ascii="宋体" w:hAnsi="宋体" w:cs="宋体"/>
                <w:color w:val="auto"/>
                <w:sz w:val="24"/>
              </w:rPr>
              <w:t>分。</w:t>
            </w:r>
          </w:p>
        </w:tc>
        <w:tc>
          <w:tcPr>
            <w:tcW w:w="956" w:type="dxa"/>
            <w:noWrap w:val="0"/>
            <w:vAlign w:val="center"/>
          </w:tcPr>
          <w:p w14:paraId="662D81D1">
            <w:pPr>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r>
      <w:tr w14:paraId="5B52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88" w:type="dxa"/>
            <w:vMerge w:val="continue"/>
            <w:noWrap w:val="0"/>
            <w:vAlign w:val="center"/>
          </w:tcPr>
          <w:p w14:paraId="57013E1D">
            <w:pPr>
              <w:spacing w:line="288" w:lineRule="auto"/>
              <w:ind w:left="-94" w:leftChars="-45" w:firstLine="120" w:firstLineChars="50"/>
              <w:rPr>
                <w:rFonts w:hint="eastAsia" w:ascii="宋体" w:hAnsi="宋体" w:eastAsia="宋体" w:cs="宋体"/>
                <w:color w:val="auto"/>
                <w:sz w:val="24"/>
                <w:szCs w:val="24"/>
              </w:rPr>
            </w:pPr>
          </w:p>
        </w:tc>
        <w:tc>
          <w:tcPr>
            <w:tcW w:w="648" w:type="dxa"/>
            <w:vMerge w:val="continue"/>
            <w:noWrap w:val="0"/>
            <w:vAlign w:val="center"/>
          </w:tcPr>
          <w:p w14:paraId="3016E98D">
            <w:pPr>
              <w:spacing w:line="288" w:lineRule="auto"/>
              <w:ind w:left="-94" w:leftChars="-45" w:firstLine="120" w:firstLineChars="50"/>
              <w:rPr>
                <w:rFonts w:hint="eastAsia" w:ascii="宋体" w:hAnsi="宋体" w:eastAsia="宋体" w:cs="宋体"/>
                <w:color w:val="auto"/>
                <w:sz w:val="24"/>
                <w:szCs w:val="24"/>
              </w:rPr>
            </w:pPr>
          </w:p>
        </w:tc>
        <w:tc>
          <w:tcPr>
            <w:tcW w:w="785" w:type="dxa"/>
            <w:noWrap w:val="0"/>
            <w:vAlign w:val="center"/>
          </w:tcPr>
          <w:p w14:paraId="5264F0FD">
            <w:pPr>
              <w:numPr>
                <w:ilvl w:val="0"/>
                <w:numId w:val="0"/>
              </w:numPr>
              <w:spacing w:line="288" w:lineRule="auto"/>
              <w:ind w:leftChars="0"/>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highlight w:val="none"/>
                <w:lang w:val="en-US" w:eastAsia="zh-CN" w:bidi="ar"/>
              </w:rPr>
              <w:t>配送方案及计划</w:t>
            </w:r>
          </w:p>
        </w:tc>
        <w:tc>
          <w:tcPr>
            <w:tcW w:w="6450" w:type="dxa"/>
            <w:noWrap w:val="0"/>
            <w:vAlign w:val="center"/>
          </w:tcPr>
          <w:p w14:paraId="63923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right="0" w:rightChars="0" w:firstLine="240" w:firstLineChars="1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rPr>
              <w:t>本项目的配备人员和车辆、配送路线</w:t>
            </w:r>
            <w:r>
              <w:rPr>
                <w:rFonts w:hint="eastAsia" w:ascii="宋体" w:hAnsi="宋体" w:eastAsia="宋体" w:cs="宋体"/>
                <w:color w:val="auto"/>
                <w:sz w:val="24"/>
                <w:lang w:eastAsia="zh-CN"/>
              </w:rPr>
              <w:t>、配送方案及计划：</w:t>
            </w:r>
            <w:r>
              <w:rPr>
                <w:rFonts w:hint="eastAsia" w:ascii="宋体" w:hAnsi="宋体" w:eastAsia="宋体" w:cs="宋体"/>
                <w:color w:val="auto"/>
                <w:kern w:val="2"/>
                <w:sz w:val="24"/>
                <w:szCs w:val="24"/>
                <w:highlight w:val="none"/>
                <w:lang w:val="en-US" w:eastAsia="zh-CN" w:bidi="ar"/>
              </w:rPr>
              <w:t>配送方案及计划合理可行，综合配送服务能力强，配送及时，</w:t>
            </w:r>
            <w:r>
              <w:rPr>
                <w:rFonts w:hint="eastAsia" w:ascii="宋体" w:hAnsi="宋体" w:eastAsia="宋体" w:cs="宋体"/>
                <w:color w:val="auto"/>
                <w:sz w:val="24"/>
                <w:lang w:eastAsia="zh-CN"/>
              </w:rPr>
              <w:t>有详细的车辆运输安全与应急方案、配送线路合理、</w:t>
            </w:r>
            <w:r>
              <w:rPr>
                <w:rFonts w:hint="eastAsia" w:ascii="宋体" w:hAnsi="宋体" w:eastAsia="宋体" w:cs="宋体"/>
                <w:color w:val="auto"/>
                <w:kern w:val="2"/>
                <w:sz w:val="24"/>
                <w:szCs w:val="24"/>
                <w:highlight w:val="none"/>
                <w:lang w:val="en-US" w:eastAsia="zh-CN" w:bidi="ar"/>
              </w:rPr>
              <w:t>配送仓储完善的得6.1</w:t>
            </w:r>
            <w:r>
              <w:rPr>
                <w:rFonts w:hint="eastAsia" w:ascii="宋体" w:hAnsi="宋体" w:eastAsia="宋体" w:cs="宋体"/>
                <w:color w:val="auto"/>
                <w:sz w:val="24"/>
                <w:szCs w:val="24"/>
                <w:lang w:bidi="ar"/>
              </w:rPr>
              <w:t>～</w:t>
            </w:r>
            <w:r>
              <w:rPr>
                <w:rFonts w:hint="eastAsia" w:ascii="宋体" w:hAnsi="宋体" w:eastAsia="宋体" w:cs="宋体"/>
                <w:color w:val="auto"/>
                <w:kern w:val="2"/>
                <w:sz w:val="24"/>
                <w:szCs w:val="24"/>
                <w:highlight w:val="none"/>
                <w:lang w:val="en-US" w:eastAsia="zh-CN" w:bidi="ar"/>
              </w:rPr>
              <w:t>10分；配送方案及计划不完善，综合配送服务能力欠缺</w:t>
            </w:r>
            <w:r>
              <w:rPr>
                <w:rFonts w:hint="eastAsia" w:ascii="宋体" w:hAnsi="宋体" w:cs="宋体"/>
                <w:color w:val="auto"/>
                <w:sz w:val="24"/>
                <w:lang w:eastAsia="zh-CN"/>
              </w:rPr>
              <w:t>、</w:t>
            </w:r>
            <w:r>
              <w:rPr>
                <w:rFonts w:hint="eastAsia" w:ascii="宋体" w:hAnsi="宋体" w:eastAsia="宋体" w:cs="宋体"/>
                <w:color w:val="auto"/>
                <w:sz w:val="24"/>
                <w:lang w:eastAsia="zh-CN"/>
              </w:rPr>
              <w:t>车辆运输安全与应急方案不全面、配送线路不合理、</w:t>
            </w:r>
            <w:r>
              <w:rPr>
                <w:rFonts w:hint="eastAsia" w:ascii="宋体" w:hAnsi="宋体" w:eastAsia="宋体" w:cs="宋体"/>
                <w:color w:val="auto"/>
                <w:kern w:val="2"/>
                <w:sz w:val="24"/>
                <w:szCs w:val="24"/>
                <w:highlight w:val="none"/>
                <w:lang w:val="en-US" w:eastAsia="zh-CN" w:bidi="ar"/>
              </w:rPr>
              <w:t>仓储条件基本能满足本项目要求的得1</w:t>
            </w:r>
            <w:r>
              <w:rPr>
                <w:rFonts w:hint="eastAsia" w:ascii="宋体" w:hAnsi="宋体" w:eastAsia="宋体" w:cs="宋体"/>
                <w:color w:val="auto"/>
                <w:sz w:val="24"/>
                <w:szCs w:val="24"/>
                <w:lang w:bidi="ar"/>
              </w:rPr>
              <w:t>～</w:t>
            </w:r>
            <w:r>
              <w:rPr>
                <w:rFonts w:hint="eastAsia" w:ascii="宋体" w:hAnsi="宋体" w:eastAsia="宋体" w:cs="宋体"/>
                <w:color w:val="auto"/>
                <w:kern w:val="2"/>
                <w:sz w:val="24"/>
                <w:szCs w:val="24"/>
                <w:highlight w:val="none"/>
                <w:lang w:val="en-US" w:eastAsia="zh-CN" w:bidi="ar"/>
              </w:rPr>
              <w:t>6分；</w:t>
            </w:r>
            <w:r>
              <w:rPr>
                <w:rFonts w:hint="eastAsia" w:ascii="宋体" w:hAnsi="宋体" w:eastAsia="宋体" w:cs="宋体"/>
                <w:color w:val="auto"/>
                <w:kern w:val="2"/>
                <w:sz w:val="24"/>
                <w:szCs w:val="24"/>
                <w:highlight w:val="none"/>
                <w:lang w:val="en-US" w:eastAsia="zh-CN"/>
              </w:rPr>
              <w:t>其他得0分。</w:t>
            </w:r>
          </w:p>
        </w:tc>
        <w:tc>
          <w:tcPr>
            <w:tcW w:w="956" w:type="dxa"/>
            <w:noWrap w:val="0"/>
            <w:vAlign w:val="center"/>
          </w:tcPr>
          <w:p w14:paraId="029724AF">
            <w:pPr>
              <w:spacing w:line="288"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10分</w:t>
            </w:r>
          </w:p>
        </w:tc>
      </w:tr>
      <w:tr w14:paraId="3A4E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8" w:hRule="atLeast"/>
          <w:jc w:val="center"/>
        </w:trPr>
        <w:tc>
          <w:tcPr>
            <w:tcW w:w="688" w:type="dxa"/>
            <w:noWrap w:val="0"/>
            <w:vAlign w:val="center"/>
          </w:tcPr>
          <w:p w14:paraId="1BA2C04D">
            <w:pPr>
              <w:spacing w:line="288"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履约能力及</w:t>
            </w:r>
            <w:r>
              <w:rPr>
                <w:rFonts w:hint="eastAsia" w:ascii="宋体" w:hAnsi="宋体" w:eastAsia="宋体" w:cs="宋体"/>
                <w:b w:val="0"/>
                <w:bCs/>
                <w:color w:val="auto"/>
                <w:kern w:val="2"/>
                <w:sz w:val="24"/>
                <w:szCs w:val="24"/>
                <w:lang w:val="en-US" w:eastAsia="zh-CN"/>
              </w:rPr>
              <w:t>售后</w:t>
            </w:r>
            <w:r>
              <w:rPr>
                <w:rFonts w:hint="eastAsia" w:ascii="宋体" w:hAnsi="宋体" w:eastAsia="宋体" w:cs="宋体"/>
                <w:b w:val="0"/>
                <w:bCs/>
                <w:color w:val="auto"/>
                <w:sz w:val="24"/>
                <w:szCs w:val="24"/>
              </w:rPr>
              <w:t>服务承诺</w:t>
            </w:r>
          </w:p>
        </w:tc>
        <w:tc>
          <w:tcPr>
            <w:tcW w:w="648" w:type="dxa"/>
            <w:noWrap w:val="0"/>
            <w:vAlign w:val="center"/>
          </w:tcPr>
          <w:p w14:paraId="6EAD0817">
            <w:pPr>
              <w:spacing w:line="288" w:lineRule="auto"/>
              <w:jc w:val="center"/>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lang w:val="en-US" w:eastAsia="zh-CN"/>
              </w:rPr>
              <w:t>1</w:t>
            </w:r>
            <w:r>
              <w:rPr>
                <w:rFonts w:hint="eastAsia" w:ascii="宋体" w:hAnsi="宋体" w:cs="宋体"/>
                <w:b/>
                <w:bCs w:val="0"/>
                <w:color w:val="auto"/>
                <w:sz w:val="24"/>
                <w:szCs w:val="24"/>
                <w:lang w:val="en-US" w:eastAsia="zh-CN"/>
              </w:rPr>
              <w:t>4</w:t>
            </w:r>
            <w:bookmarkStart w:id="156" w:name="_GoBack"/>
            <w:bookmarkEnd w:id="156"/>
            <w:r>
              <w:rPr>
                <w:rFonts w:hint="eastAsia" w:ascii="宋体" w:hAnsi="宋体" w:eastAsia="宋体" w:cs="宋体"/>
                <w:b/>
                <w:bCs w:val="0"/>
                <w:color w:val="auto"/>
                <w:sz w:val="24"/>
                <w:szCs w:val="24"/>
              </w:rPr>
              <w:t>分</w:t>
            </w:r>
          </w:p>
        </w:tc>
        <w:tc>
          <w:tcPr>
            <w:tcW w:w="785" w:type="dxa"/>
            <w:noWrap w:val="0"/>
            <w:vAlign w:val="center"/>
          </w:tcPr>
          <w:p w14:paraId="077C07C5">
            <w:pPr>
              <w:spacing w:line="288" w:lineRule="auto"/>
              <w:jc w:val="both"/>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p>
          <w:p w14:paraId="72F5A66C">
            <w:pPr>
              <w:spacing w:line="288"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售后服务</w:t>
            </w:r>
          </w:p>
        </w:tc>
        <w:tc>
          <w:tcPr>
            <w:tcW w:w="6450" w:type="dxa"/>
            <w:noWrap w:val="0"/>
            <w:vAlign w:val="center"/>
          </w:tcPr>
          <w:p w14:paraId="3F9A51F1">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cs="宋体"/>
                <w:color w:val="auto"/>
                <w:sz w:val="24"/>
              </w:rPr>
              <w:t>对所投标货物质量目标有承诺，符合规格、数量等要求，有</w:t>
            </w:r>
            <w:r>
              <w:rPr>
                <w:rFonts w:hint="eastAsia" w:ascii="宋体" w:hAnsi="宋体" w:cs="宋体"/>
                <w:color w:val="auto"/>
                <w:sz w:val="24"/>
                <w:lang w:eastAsia="zh-CN"/>
              </w:rPr>
              <w:t>详细的</w:t>
            </w:r>
            <w:r>
              <w:rPr>
                <w:rFonts w:hint="eastAsia" w:ascii="宋体" w:hAnsi="宋体" w:cs="宋体"/>
                <w:color w:val="auto"/>
                <w:sz w:val="24"/>
              </w:rPr>
              <w:t>违约经济处罚措施，对货物交货后</w:t>
            </w:r>
            <w:r>
              <w:rPr>
                <w:rFonts w:hint="eastAsia" w:ascii="宋体" w:hAnsi="宋体" w:cs="宋体"/>
                <w:color w:val="auto"/>
                <w:sz w:val="24"/>
                <w:lang w:eastAsia="zh-CN"/>
              </w:rPr>
              <w:t>质量</w:t>
            </w:r>
            <w:r>
              <w:rPr>
                <w:rFonts w:hint="eastAsia" w:ascii="宋体" w:hAnsi="宋体" w:cs="宋体"/>
                <w:color w:val="auto"/>
                <w:sz w:val="24"/>
              </w:rPr>
              <w:t>有承诺</w:t>
            </w:r>
            <w:r>
              <w:rPr>
                <w:rFonts w:hint="eastAsia" w:ascii="宋体" w:hAnsi="宋体" w:cs="宋体"/>
                <w:color w:val="auto"/>
                <w:sz w:val="24"/>
                <w:lang w:eastAsia="zh-CN"/>
              </w:rPr>
              <w:t>，</w:t>
            </w:r>
            <w:r>
              <w:rPr>
                <w:rFonts w:hint="eastAsia" w:ascii="宋体" w:hAnsi="宋体" w:cs="宋体"/>
                <w:color w:val="auto"/>
                <w:sz w:val="24"/>
              </w:rPr>
              <w:t>交货后，在一定的时间内，若发现有产品没达到要求，有</w:t>
            </w:r>
            <w:r>
              <w:rPr>
                <w:rFonts w:hint="eastAsia" w:ascii="宋体" w:hAnsi="宋体" w:cs="宋体"/>
                <w:color w:val="auto"/>
                <w:sz w:val="24"/>
                <w:lang w:eastAsia="zh-CN"/>
              </w:rPr>
              <w:t>详细具体的</w:t>
            </w:r>
            <w:r>
              <w:rPr>
                <w:rFonts w:hint="eastAsia" w:ascii="宋体" w:hAnsi="宋体" w:cs="宋体"/>
                <w:color w:val="auto"/>
                <w:sz w:val="24"/>
              </w:rPr>
              <w:t>换货或修补方法，违约经济</w:t>
            </w:r>
            <w:r>
              <w:rPr>
                <w:rFonts w:hint="eastAsia" w:ascii="宋体" w:hAnsi="宋体" w:cs="宋体"/>
                <w:color w:val="auto"/>
                <w:sz w:val="24"/>
                <w:lang w:eastAsia="zh-CN"/>
              </w:rPr>
              <w:t>补偿</w:t>
            </w:r>
            <w:r>
              <w:rPr>
                <w:rFonts w:hint="eastAsia" w:ascii="宋体" w:hAnsi="宋体" w:cs="宋体"/>
                <w:color w:val="auto"/>
                <w:sz w:val="24"/>
              </w:rPr>
              <w:t>措施</w:t>
            </w:r>
            <w:r>
              <w:rPr>
                <w:rFonts w:hint="eastAsia" w:ascii="宋体" w:hAnsi="宋体" w:cs="宋体"/>
                <w:color w:val="auto"/>
                <w:sz w:val="24"/>
                <w:lang w:eastAsia="zh-CN"/>
              </w:rPr>
              <w:t>得力</w:t>
            </w:r>
            <w:r>
              <w:rPr>
                <w:rFonts w:hint="eastAsia" w:ascii="宋体" w:hAnsi="宋体" w:cs="宋体"/>
                <w:color w:val="auto"/>
                <w:sz w:val="24"/>
              </w:rPr>
              <w:t>的得</w:t>
            </w:r>
            <w:r>
              <w:rPr>
                <w:rFonts w:hint="eastAsia" w:ascii="宋体" w:hAnsi="宋体" w:cs="宋体"/>
                <w:color w:val="auto"/>
                <w:sz w:val="24"/>
                <w:lang w:val="en-US" w:eastAsia="zh-CN"/>
              </w:rPr>
              <w:t>8.1</w:t>
            </w:r>
            <w:r>
              <w:rPr>
                <w:rFonts w:hint="eastAsia" w:ascii="宋体" w:hAnsi="宋体" w:cs="宋体"/>
                <w:color w:val="auto"/>
                <w:sz w:val="24"/>
                <w:lang w:bidi="ar"/>
              </w:rPr>
              <w:t>～</w:t>
            </w:r>
            <w:r>
              <w:rPr>
                <w:rFonts w:hint="eastAsia" w:ascii="宋体" w:hAnsi="宋体" w:cs="宋体"/>
                <w:color w:val="auto"/>
                <w:sz w:val="24"/>
                <w:lang w:val="en-US" w:eastAsia="zh-CN" w:bidi="ar"/>
              </w:rPr>
              <w:t>1</w:t>
            </w:r>
            <w:r>
              <w:rPr>
                <w:rFonts w:hint="eastAsia" w:ascii="宋体" w:hAnsi="宋体" w:cs="宋体"/>
                <w:color w:val="auto"/>
                <w:sz w:val="24"/>
                <w:lang w:val="en-US" w:eastAsia="zh-CN"/>
              </w:rPr>
              <w:t>4</w:t>
            </w:r>
            <w:r>
              <w:rPr>
                <w:rFonts w:hint="eastAsia" w:ascii="宋体" w:hAnsi="宋体" w:cs="宋体"/>
                <w:color w:val="auto"/>
                <w:sz w:val="24"/>
              </w:rPr>
              <w:t>分；</w:t>
            </w:r>
            <w:r>
              <w:rPr>
                <w:rFonts w:hint="eastAsia" w:ascii="宋体" w:hAnsi="宋体" w:cs="宋体"/>
                <w:color w:val="auto"/>
                <w:sz w:val="24"/>
                <w:lang w:eastAsia="zh-CN"/>
              </w:rPr>
              <w:t>质量目标承诺不具体、发现质量不达标产品后，换货或修补方式不明确、违约经济补偿措施不全面的得</w:t>
            </w:r>
            <w:r>
              <w:rPr>
                <w:rFonts w:hint="eastAsia" w:ascii="宋体" w:hAnsi="宋体" w:cs="宋体"/>
                <w:color w:val="auto"/>
                <w:sz w:val="24"/>
                <w:lang w:val="en-US" w:eastAsia="zh-CN"/>
              </w:rPr>
              <w:t>1</w:t>
            </w:r>
            <w:r>
              <w:rPr>
                <w:rFonts w:hint="eastAsia" w:ascii="宋体" w:hAnsi="宋体" w:eastAsia="宋体" w:cs="宋体"/>
                <w:color w:val="auto"/>
                <w:sz w:val="24"/>
                <w:szCs w:val="24"/>
                <w:lang w:bidi="ar"/>
              </w:rPr>
              <w:t>～</w:t>
            </w:r>
            <w:r>
              <w:rPr>
                <w:rFonts w:hint="eastAsia" w:ascii="宋体" w:hAnsi="宋体" w:cs="宋体"/>
                <w:color w:val="auto"/>
                <w:sz w:val="24"/>
                <w:lang w:val="en-US" w:eastAsia="zh-CN"/>
              </w:rPr>
              <w:t>8分；</w:t>
            </w:r>
            <w:r>
              <w:rPr>
                <w:rFonts w:hint="eastAsia" w:ascii="宋体" w:hAnsi="宋体" w:cs="宋体"/>
                <w:color w:val="auto"/>
                <w:sz w:val="24"/>
              </w:rPr>
              <w:t>其他得</w:t>
            </w:r>
            <w:r>
              <w:rPr>
                <w:rFonts w:hint="eastAsia" w:ascii="宋体" w:hAnsi="宋体" w:cs="宋体"/>
                <w:color w:val="auto"/>
                <w:sz w:val="24"/>
                <w:lang w:val="en-US" w:eastAsia="zh-CN"/>
              </w:rPr>
              <w:t>0</w:t>
            </w:r>
            <w:r>
              <w:rPr>
                <w:rFonts w:hint="eastAsia" w:ascii="宋体" w:hAnsi="宋体" w:cs="宋体"/>
                <w:color w:val="auto"/>
                <w:sz w:val="24"/>
              </w:rPr>
              <w:t>分。</w:t>
            </w:r>
          </w:p>
        </w:tc>
        <w:tc>
          <w:tcPr>
            <w:tcW w:w="956" w:type="dxa"/>
            <w:noWrap w:val="0"/>
            <w:vAlign w:val="center"/>
          </w:tcPr>
          <w:p w14:paraId="757D4D3E">
            <w:pPr>
              <w:spacing w:line="288"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tc>
      </w:tr>
    </w:tbl>
    <w:p w14:paraId="715279E9">
      <w:pPr>
        <w:pStyle w:val="20"/>
        <w:shd w:val="clear" w:color="auto" w:fill="FFFFFF"/>
        <w:spacing w:line="360" w:lineRule="auto"/>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注：特殊情况的处理</w:t>
      </w:r>
    </w:p>
    <w:p w14:paraId="44E1AFC0">
      <w:pPr>
        <w:pStyle w:val="20"/>
        <w:numPr>
          <w:ilvl w:val="0"/>
          <w:numId w:val="2"/>
        </w:numPr>
        <w:shd w:val="clear" w:color="auto" w:fill="FFFFFF"/>
        <w:spacing w:line="360" w:lineRule="auto"/>
        <w:ind w:left="150" w:leftChars="0" w:firstLine="480" w:firstLineChars="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单一产品采购项目中，提供相同品牌的产品的不同</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参加同一合同项下投标的，按以下方法处理：</w:t>
      </w:r>
    </w:p>
    <w:p w14:paraId="49F98C25">
      <w:pPr>
        <w:pStyle w:val="20"/>
        <w:shd w:val="clear" w:color="auto" w:fill="FFFFFF"/>
        <w:spacing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1.1、使用最低评标价法的采购项目，提供相同品牌产品的不同</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参加同一合同项下投标的，以其中通过资格审查、符合性审查且报价最低的参加评标；报价相同的，由采购人及评审小组按照技术方案、售后服务等内容择优选择确定一个参加评标的</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，其他投标无效。</w:t>
      </w:r>
    </w:p>
    <w:p w14:paraId="42EFDD02">
      <w:pPr>
        <w:pStyle w:val="20"/>
        <w:shd w:val="clear" w:color="auto" w:fill="FFFFFF"/>
        <w:spacing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1.2、使用综合评分法的采购项目，提供相同品牌产品且通过资格审查、符合性审查的不同</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参加同一合同项下投标的，按一家</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计算，评审后得分最高的同品牌</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获得</w:t>
      </w:r>
      <w:r>
        <w:rPr>
          <w:rFonts w:hint="eastAsia" w:eastAsia="宋体" w:cs="宋体"/>
          <w:color w:val="auto"/>
          <w:kern w:val="2"/>
          <w:sz w:val="24"/>
          <w:szCs w:val="24"/>
          <w:lang w:eastAsia="zh-CN"/>
        </w:rPr>
        <w:t>成交供应商</w:t>
      </w:r>
      <w:r>
        <w:rPr>
          <w:rFonts w:hint="eastAsia" w:ascii="宋体" w:hAnsi="宋体" w:eastAsia="宋体" w:cs="宋体"/>
          <w:color w:val="auto"/>
          <w:kern w:val="2"/>
          <w:sz w:val="24"/>
          <w:szCs w:val="24"/>
        </w:rPr>
        <w:t>推荐资格；评审得分相同的，由采购人及评审小组按照投标报价最低的方式确定一个</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获得</w:t>
      </w:r>
      <w:r>
        <w:rPr>
          <w:rFonts w:hint="eastAsia" w:eastAsia="宋体" w:cs="宋体"/>
          <w:color w:val="auto"/>
          <w:kern w:val="2"/>
          <w:sz w:val="24"/>
          <w:szCs w:val="24"/>
          <w:lang w:eastAsia="zh-CN"/>
        </w:rPr>
        <w:t>成交供应商</w:t>
      </w:r>
      <w:r>
        <w:rPr>
          <w:rFonts w:hint="eastAsia" w:ascii="宋体" w:hAnsi="宋体" w:eastAsia="宋体" w:cs="宋体"/>
          <w:color w:val="auto"/>
          <w:kern w:val="2"/>
          <w:sz w:val="24"/>
          <w:szCs w:val="24"/>
        </w:rPr>
        <w:t>推荐资格，其他同品牌</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不作为中标候选人。</w:t>
      </w:r>
    </w:p>
    <w:p w14:paraId="66067D0B">
      <w:pPr>
        <w:pStyle w:val="20"/>
        <w:shd w:val="clear" w:color="auto" w:fill="FFFFFF"/>
        <w:spacing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非单一产品采购项目中，提供相同品牌的核心产品的不同</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参加同一合同项下投标的，按以下方法处理：</w:t>
      </w:r>
    </w:p>
    <w:p w14:paraId="79F93149">
      <w:pPr>
        <w:pStyle w:val="20"/>
        <w:shd w:val="clear" w:color="auto" w:fill="FFFFFF"/>
        <w:spacing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2.1、使用最低评标价法的采购项目，提供相同品牌核心产品的不同</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参加同一合同项下投标的，以其中通过资格审查、符合性审查且投标报价最低的参加评标；投标报价相同的，由采购人及评审小组按照技术方案、售后服务等内容择优选择确定一个参加评标的</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，其他投标无效。</w:t>
      </w:r>
    </w:p>
    <w:p w14:paraId="04A27DAC">
      <w:pPr>
        <w:pStyle w:val="20"/>
        <w:shd w:val="clear" w:color="auto" w:fill="FFFFFF"/>
        <w:spacing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2.2、使用综合评分法的采购项目，提供相同品牌核心产品且通过资格审查、符合性审查的不同</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参加同一合同项下投标的，按一家</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计算，评审后得分最高的同品牌</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获得</w:t>
      </w:r>
      <w:r>
        <w:rPr>
          <w:rFonts w:hint="eastAsia" w:eastAsia="宋体" w:cs="宋体"/>
          <w:color w:val="auto"/>
          <w:kern w:val="2"/>
          <w:sz w:val="24"/>
          <w:szCs w:val="24"/>
          <w:lang w:eastAsia="zh-CN"/>
        </w:rPr>
        <w:t>成交供应商</w:t>
      </w:r>
      <w:r>
        <w:rPr>
          <w:rFonts w:hint="eastAsia" w:ascii="宋体" w:hAnsi="宋体" w:eastAsia="宋体" w:cs="宋体"/>
          <w:color w:val="auto"/>
          <w:kern w:val="2"/>
          <w:sz w:val="24"/>
          <w:szCs w:val="24"/>
        </w:rPr>
        <w:t>推荐资格；评审得分相同的，由采购人及评审小组按照投标报价最低的方式确定一个</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获得</w:t>
      </w:r>
      <w:r>
        <w:rPr>
          <w:rFonts w:hint="eastAsia" w:eastAsia="宋体" w:cs="宋体"/>
          <w:color w:val="auto"/>
          <w:kern w:val="2"/>
          <w:sz w:val="24"/>
          <w:szCs w:val="24"/>
          <w:lang w:eastAsia="zh-CN"/>
        </w:rPr>
        <w:t>成交供应商</w:t>
      </w:r>
      <w:r>
        <w:rPr>
          <w:rFonts w:hint="eastAsia" w:ascii="宋体" w:hAnsi="宋体" w:eastAsia="宋体" w:cs="宋体"/>
          <w:color w:val="auto"/>
          <w:kern w:val="2"/>
          <w:sz w:val="24"/>
          <w:szCs w:val="24"/>
        </w:rPr>
        <w:t>推荐资格，其他同品牌</w:t>
      </w:r>
      <w:r>
        <w:rPr>
          <w:rFonts w:hint="eastAsia" w:eastAsia="宋体" w:cs="宋体"/>
          <w:color w:val="auto"/>
          <w:kern w:val="2"/>
          <w:sz w:val="24"/>
          <w:szCs w:val="24"/>
          <w:lang w:eastAsia="zh-CN"/>
        </w:rPr>
        <w:t>供应商</w:t>
      </w:r>
      <w:r>
        <w:rPr>
          <w:rFonts w:hint="eastAsia" w:ascii="宋体" w:hAnsi="宋体" w:eastAsia="宋体" w:cs="宋体"/>
          <w:color w:val="auto"/>
          <w:kern w:val="2"/>
          <w:sz w:val="24"/>
          <w:szCs w:val="24"/>
        </w:rPr>
        <w:t>不作为中标候选人。</w:t>
      </w:r>
    </w:p>
    <w:p w14:paraId="0987875B">
      <w:pPr>
        <w:pStyle w:val="20"/>
        <w:shd w:val="clear" w:color="auto" w:fill="FFFFFF"/>
        <w:spacing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3、评标过程中，若出现本评标方法以外的特殊情况时，将暂停评标，待评委会商榷后，再进行评定。</w:t>
      </w:r>
    </w:p>
    <w:p w14:paraId="417B3B91">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eastAsia="zh-CN"/>
        </w:rPr>
        <w:t>、</w:t>
      </w:r>
      <w:r>
        <w:rPr>
          <w:rFonts w:hint="eastAsia" w:ascii="宋体" w:hAnsi="宋体" w:eastAsia="宋体" w:cs="宋体"/>
          <w:color w:val="auto"/>
          <w:sz w:val="24"/>
          <w:szCs w:val="24"/>
        </w:rPr>
        <w:t xml:space="preserve"> 供应商的磋商响应文件中必须提供与以上评分因素相关的证明材料。如果发现有弄虚作假的，磋商小组将取消其磋商资格。</w:t>
      </w:r>
    </w:p>
    <w:p w14:paraId="43A7C440">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5 </w:t>
      </w:r>
      <w:r>
        <w:rPr>
          <w:rFonts w:hint="eastAsia" w:ascii="宋体" w:hAnsi="宋体" w:cs="宋体"/>
          <w:color w:val="auto"/>
          <w:sz w:val="24"/>
          <w:szCs w:val="24"/>
          <w:lang w:eastAsia="zh-CN"/>
        </w:rPr>
        <w:t>、</w:t>
      </w:r>
      <w:r>
        <w:rPr>
          <w:rFonts w:hint="eastAsia" w:ascii="宋体" w:hAnsi="宋体" w:eastAsia="宋体" w:cs="宋体"/>
          <w:color w:val="auto"/>
          <w:sz w:val="24"/>
          <w:szCs w:val="24"/>
        </w:rPr>
        <w:t>磋商小组对进入详细评审的供应商进行综合评分，根据得分由高到低，推荐出三名以上成交候选单位。如果综合评分出现两个供应商得分相同的情况，按下列顺序排列：</w:t>
      </w:r>
    </w:p>
    <w:p w14:paraId="00F49CCE">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磋商价格低的；</w:t>
      </w:r>
    </w:p>
    <w:p w14:paraId="5D61F41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服务承诺优的。</w:t>
      </w:r>
    </w:p>
    <w:p w14:paraId="0B96F58C">
      <w:pPr>
        <w:spacing w:line="480" w:lineRule="exact"/>
        <w:ind w:firstLine="482"/>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cs="宋体"/>
          <w:color w:val="auto"/>
          <w:sz w:val="24"/>
          <w:szCs w:val="24"/>
          <w:lang w:eastAsia="zh-CN"/>
        </w:rPr>
        <w:t>、</w:t>
      </w:r>
      <w:r>
        <w:rPr>
          <w:rFonts w:hint="eastAsia" w:ascii="宋体" w:hAnsi="宋体" w:eastAsia="宋体" w:cs="宋体"/>
          <w:color w:val="auto"/>
          <w:sz w:val="24"/>
          <w:szCs w:val="24"/>
        </w:rPr>
        <w:t>磋商小组根据原始磋商记录和磋商成交结果编写评审报告，报采购人。</w:t>
      </w:r>
    </w:p>
    <w:p w14:paraId="208AB26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2</w:t>
      </w:r>
      <w:r>
        <w:rPr>
          <w:rFonts w:hint="eastAsia" w:ascii="宋体" w:hAnsi="宋体" w:cs="宋体"/>
          <w:b/>
          <w:color w:val="auto"/>
          <w:sz w:val="24"/>
          <w:szCs w:val="24"/>
          <w:lang w:val="en-US" w:eastAsia="zh-CN"/>
        </w:rPr>
        <w:t>9、</w:t>
      </w:r>
      <w:r>
        <w:rPr>
          <w:rFonts w:hint="eastAsia" w:ascii="宋体" w:hAnsi="宋体" w:eastAsia="宋体" w:cs="宋体"/>
          <w:b/>
          <w:color w:val="auto"/>
          <w:sz w:val="24"/>
          <w:szCs w:val="24"/>
          <w:lang w:val="zh-CN"/>
        </w:rPr>
        <w:t>本项目落实政府采购政策</w:t>
      </w:r>
    </w:p>
    <w:p w14:paraId="259A1041">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cs="宋体"/>
          <w:b/>
          <w:color w:val="auto"/>
          <w:sz w:val="24"/>
          <w:szCs w:val="24"/>
          <w:lang w:val="en-US" w:eastAsia="zh-CN"/>
        </w:rPr>
        <w:t>9</w:t>
      </w:r>
      <w:r>
        <w:rPr>
          <w:rFonts w:hint="eastAsia" w:ascii="宋体" w:hAnsi="宋体" w:eastAsia="宋体" w:cs="宋体"/>
          <w:b/>
          <w:color w:val="auto"/>
          <w:sz w:val="24"/>
          <w:szCs w:val="24"/>
        </w:rPr>
        <w:t>.</w:t>
      </w:r>
      <w:r>
        <w:rPr>
          <w:rFonts w:hint="eastAsia" w:ascii="宋体" w:hAnsi="宋体" w:eastAsia="宋体" w:cs="宋体"/>
          <w:b/>
          <w:color w:val="auto"/>
          <w:sz w:val="24"/>
          <w:szCs w:val="24"/>
          <w:lang w:val="zh-CN"/>
        </w:rPr>
        <w:t>1</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zh-CN"/>
        </w:rPr>
        <w:t>供应商政府采购政策</w:t>
      </w:r>
    </w:p>
    <w:p w14:paraId="0F52DF93">
      <w:pPr>
        <w:spacing w:line="480" w:lineRule="exact"/>
        <w:ind w:firstLine="480" w:firstLineChars="200"/>
        <w:rPr>
          <w:rFonts w:hint="eastAsia" w:ascii="宋体" w:hAnsi="宋体" w:eastAsia="宋体" w:cs="宋体"/>
          <w:color w:val="auto"/>
          <w:sz w:val="24"/>
          <w:szCs w:val="24"/>
          <w:lang w:val="zh-CN" w:eastAsia="zh-CN"/>
        </w:rPr>
      </w:pPr>
      <w:bookmarkStart w:id="107" w:name="_Toc208337155"/>
      <w:bookmarkStart w:id="108" w:name="_Toc169846864"/>
      <w:bookmarkStart w:id="109" w:name="_Toc167591483"/>
      <w:bookmarkStart w:id="110" w:name="_Toc169838523"/>
      <w:bookmarkStart w:id="111" w:name="_Toc170980543"/>
      <w:bookmarkStart w:id="112" w:name="_Toc245657544"/>
      <w:bookmarkStart w:id="113" w:name="_Toc244623582"/>
      <w:bookmarkStart w:id="114" w:name="_Toc167591034"/>
      <w:bookmarkStart w:id="115" w:name="_Toc169846767"/>
      <w:bookmarkStart w:id="116" w:name="_Toc167591135"/>
      <w:bookmarkStart w:id="117" w:name="_Toc245176656"/>
      <w:bookmarkStart w:id="118" w:name="_Toc173549969"/>
      <w:bookmarkStart w:id="119" w:name="_Toc167591321"/>
      <w:bookmarkStart w:id="120" w:name="_Toc245658525"/>
      <w:bookmarkStart w:id="121" w:name="_Toc154482470"/>
      <w:bookmarkStart w:id="122" w:name="_Toc167590766"/>
      <w:bookmarkStart w:id="123" w:name="_Toc207897907"/>
      <w:bookmarkStart w:id="124" w:name="_Toc167849351"/>
      <w:bookmarkStart w:id="125" w:name="_Toc175032428"/>
      <w:bookmarkStart w:id="126" w:name="_Toc175033583"/>
      <w:bookmarkStart w:id="127" w:name="_Toc170980445"/>
      <w:r>
        <w:rPr>
          <w:rFonts w:hint="eastAsia" w:ascii="宋体" w:hAnsi="宋体" w:eastAsia="宋体" w:cs="宋体"/>
          <w:color w:val="auto"/>
          <w:sz w:val="24"/>
          <w:szCs w:val="24"/>
          <w:lang w:eastAsia="zh-CN"/>
        </w:rPr>
        <w:t>（1）中小企业落实政府采购政策</w:t>
      </w:r>
    </w:p>
    <w:p w14:paraId="07F3EFE6">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本次采购活动执行财政部、工业和信息化部关于印发《政府采购促进中小企业发展管理办法》的通知（财库〔2020〕46号）的规定专门面向中小企业采购。依据本办法规定享受扶持政策获得政府采购合同的，小微企业不得将合同分包给大中型企业，中型企业不得将合同分包给大型企业。</w:t>
      </w:r>
    </w:p>
    <w:p w14:paraId="188264BD">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w:t>
      </w:r>
      <w:r>
        <w:rPr>
          <w:rFonts w:hint="eastAsia" w:hAnsi="宋体" w:eastAsia="宋体" w:cs="宋体"/>
          <w:b/>
          <w:bCs/>
          <w:color w:val="auto"/>
          <w:sz w:val="24"/>
          <w:szCs w:val="24"/>
          <w:lang w:eastAsia="zh-CN"/>
        </w:rPr>
        <w:t>本</w:t>
      </w:r>
      <w:r>
        <w:rPr>
          <w:rFonts w:hint="eastAsia" w:ascii="宋体" w:hAnsi="宋体" w:eastAsia="宋体" w:cs="宋体"/>
          <w:b/>
          <w:bCs/>
          <w:color w:val="auto"/>
          <w:sz w:val="24"/>
          <w:szCs w:val="24"/>
          <w:lang w:eastAsia="zh-CN"/>
        </w:rPr>
        <w:t>项目所属行业为</w:t>
      </w:r>
      <w:r>
        <w:rPr>
          <w:rFonts w:hint="eastAsia" w:ascii="宋体" w:hAnsi="宋体" w:eastAsia="宋体" w:cs="宋体"/>
          <w:color w:val="auto"/>
          <w:sz w:val="24"/>
          <w:szCs w:val="24"/>
        </w:rPr>
        <w:t>农、林、牧、渔业</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eastAsia="zh-CN"/>
        </w:rPr>
        <w:t>参与本次采购活动的中小企业应按工信部联企业[2011]300号文件规定的中小企业划型标准如实填写《中小企业声明函》，且提供由本企业承担的工程。</w:t>
      </w:r>
    </w:p>
    <w:p w14:paraId="56FA2D56">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）监狱和戒毒企业应符合《财政部</w:t>
      </w:r>
      <w:r>
        <w:rPr>
          <w:rFonts w:hint="eastAsia" w:ascii="宋体" w:hAnsi="宋体" w:eastAsia="宋体" w:cs="宋体"/>
          <w:color w:val="auto"/>
          <w:sz w:val="24"/>
          <w:szCs w:val="24"/>
          <w:lang w:eastAsia="zh-CN"/>
        </w:rPr>
        <w:t>、司法部关于政府采购支持监狱企业发展有关问题的通知》-－财库[2014]68号</w:t>
      </w:r>
      <w:r>
        <w:rPr>
          <w:rFonts w:hint="eastAsia" w:ascii="宋体" w:hAnsi="宋体" w:eastAsia="宋体" w:cs="宋体"/>
          <w:color w:val="auto"/>
          <w:sz w:val="24"/>
          <w:szCs w:val="24"/>
          <w:lang w:val="zh-CN" w:eastAsia="zh-CN"/>
        </w:rPr>
        <w:t>，并提供由省级以上监狱管理局、戒毒管理局（含新疆生产建设兵团）出具的属于监狱企业的证明</w:t>
      </w:r>
      <w:r>
        <w:rPr>
          <w:rFonts w:hint="eastAsia" w:ascii="宋体" w:hAnsi="宋体" w:eastAsia="宋体" w:cs="宋体"/>
          <w:color w:val="auto"/>
          <w:sz w:val="24"/>
          <w:szCs w:val="24"/>
          <w:lang w:eastAsia="zh-CN"/>
        </w:rPr>
        <w:t>。</w:t>
      </w:r>
    </w:p>
    <w:p w14:paraId="7B74EE6D">
      <w:pPr>
        <w:pStyle w:val="9"/>
        <w:numPr>
          <w:ilvl w:val="0"/>
          <w:numId w:val="0"/>
        </w:numPr>
        <w:spacing w:line="360" w:lineRule="auto"/>
        <w:ind w:firstLine="480" w:firstLineChars="200"/>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w:t>
      </w: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lang w:val="zh-CN" w:eastAsia="zh-CN" w:bidi="ar-SA"/>
        </w:rPr>
        <w:t>）残疾人福利性单位应符合《财政部民政部中国残疾人联合会关于促进残疾人就业政府采购政策的通知》（财库〔2017〕141号）的规定，且应当提供《残疾人福利性单位声明函》，并对声明的真实性负责。</w:t>
      </w:r>
    </w:p>
    <w:p w14:paraId="2C3F072F">
      <w:pPr>
        <w:pStyle w:val="9"/>
        <w:numPr>
          <w:ilvl w:val="0"/>
          <w:numId w:val="0"/>
        </w:numPr>
        <w:spacing w:line="360" w:lineRule="auto"/>
        <w:ind w:left="360" w:leftChars="0"/>
        <w:rPr>
          <w:rFonts w:hint="eastAsia" w:ascii="宋体" w:hAnsi="宋体" w:eastAsia="宋体" w:cs="宋体"/>
          <w:color w:val="auto"/>
          <w:sz w:val="28"/>
          <w:szCs w:val="28"/>
          <w:lang w:val="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）供应商应如实提供以上证明文件，如存在虚假应标，将取消其投标资格。</w:t>
      </w:r>
    </w:p>
    <w:p w14:paraId="2D687297">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w:t>
      </w:r>
      <w:r>
        <w:rPr>
          <w:rFonts w:hint="eastAsia" w:ascii="宋体" w:hAnsi="宋体" w:eastAsia="宋体" w:cs="宋体"/>
          <w:b/>
          <w:bCs/>
          <w:snapToGrid w:val="0"/>
          <w:color w:val="auto"/>
          <w:kern w:val="2"/>
          <w:sz w:val="24"/>
          <w:szCs w:val="24"/>
          <w:lang w:val="en-US" w:eastAsia="zh-CN"/>
        </w:rPr>
        <w:t xml:space="preserve">  </w:t>
      </w:r>
      <w:r>
        <w:rPr>
          <w:rFonts w:hint="eastAsia" w:ascii="宋体" w:hAnsi="宋体" w:cs="宋体"/>
          <w:b/>
          <w:bCs/>
          <w:snapToGrid w:val="0"/>
          <w:color w:val="auto"/>
          <w:kern w:val="2"/>
          <w:sz w:val="24"/>
          <w:szCs w:val="24"/>
          <w:lang w:val="en-US" w:eastAsia="zh-CN"/>
        </w:rPr>
        <w:t>30</w:t>
      </w:r>
      <w:r>
        <w:rPr>
          <w:rFonts w:hint="eastAsia" w:ascii="宋体" w:hAnsi="宋体" w:eastAsia="宋体" w:cs="宋体"/>
          <w:b/>
          <w:bCs/>
          <w:snapToGrid w:val="0"/>
          <w:color w:val="auto"/>
          <w:kern w:val="2"/>
          <w:sz w:val="24"/>
          <w:szCs w:val="24"/>
          <w:lang w:val="en-US" w:eastAsia="zh-CN"/>
        </w:rPr>
        <w:t>. 确定成交单位</w:t>
      </w:r>
    </w:p>
    <w:p w14:paraId="24F7072D">
      <w:pPr>
        <w:spacing w:line="480" w:lineRule="exact"/>
        <w:ind w:firstLine="480" w:firstLineChars="20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采购人按照磋商小组推荐的成交候选人排名顺序确定成交单位并函告采购代理机构。</w:t>
      </w:r>
    </w:p>
    <w:p w14:paraId="7C8B324A">
      <w:pPr>
        <w:spacing w:line="480" w:lineRule="exact"/>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六、授予合同</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BFBE8C7">
      <w:pPr>
        <w:spacing w:line="480" w:lineRule="exact"/>
        <w:ind w:firstLine="482" w:firstLineChars="200"/>
        <w:rPr>
          <w:rFonts w:hint="eastAsia" w:ascii="宋体" w:hAnsi="宋体" w:eastAsia="宋体" w:cs="宋体"/>
          <w:b/>
          <w:color w:val="auto"/>
          <w:sz w:val="24"/>
          <w:szCs w:val="24"/>
        </w:rPr>
      </w:pPr>
      <w:bookmarkStart w:id="128" w:name="_Toc245658527"/>
      <w:bookmarkStart w:id="129" w:name="_Toc245176658"/>
      <w:bookmarkStart w:id="130" w:name="_Toc208337157"/>
      <w:bookmarkStart w:id="131" w:name="_Toc244623584"/>
      <w:bookmarkStart w:id="132" w:name="_Toc245657546"/>
      <w:bookmarkStart w:id="133" w:name="_Toc207897909"/>
      <w:r>
        <w:rPr>
          <w:rFonts w:hint="eastAsia" w:ascii="宋体" w:hAnsi="宋体" w:cs="宋体"/>
          <w:b/>
          <w:color w:val="auto"/>
          <w:sz w:val="24"/>
          <w:szCs w:val="24"/>
          <w:lang w:val="en-US" w:eastAsia="zh-CN"/>
        </w:rPr>
        <w:t>31</w:t>
      </w:r>
      <w:r>
        <w:rPr>
          <w:rFonts w:hint="eastAsia" w:ascii="宋体" w:hAnsi="宋体" w:eastAsia="宋体" w:cs="宋体"/>
          <w:b/>
          <w:color w:val="auto"/>
          <w:sz w:val="24"/>
          <w:szCs w:val="24"/>
        </w:rPr>
        <w:t>．成交通知书</w:t>
      </w:r>
    </w:p>
    <w:p w14:paraId="3E56D89B">
      <w:pPr>
        <w:spacing w:line="48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31</w:t>
      </w:r>
      <w:r>
        <w:rPr>
          <w:rFonts w:hint="eastAsia" w:ascii="宋体" w:hAnsi="宋体" w:eastAsia="宋体" w:cs="宋体"/>
          <w:color w:val="auto"/>
          <w:sz w:val="24"/>
          <w:szCs w:val="24"/>
        </w:rPr>
        <w:t>.1 采购代理机构在收到采购人的成交定标复函后，按规定时间向成交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发出成交通知书。</w:t>
      </w:r>
    </w:p>
    <w:p w14:paraId="705923E6">
      <w:pPr>
        <w:spacing w:line="48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31</w:t>
      </w:r>
      <w:r>
        <w:rPr>
          <w:rFonts w:hint="eastAsia" w:ascii="宋体" w:hAnsi="宋体" w:eastAsia="宋体" w:cs="宋体"/>
          <w:color w:val="auto"/>
          <w:sz w:val="24"/>
          <w:szCs w:val="24"/>
        </w:rPr>
        <w:t>.2 成交通知书是合同的组成部分。</w:t>
      </w:r>
    </w:p>
    <w:p w14:paraId="5648CEF9">
      <w:pPr>
        <w:spacing w:line="480" w:lineRule="exact"/>
        <w:ind w:firstLine="482" w:firstLineChars="200"/>
        <w:rPr>
          <w:rFonts w:hint="eastAsia" w:ascii="宋体" w:hAnsi="宋体" w:eastAsia="宋体" w:cs="宋体"/>
          <w:b/>
          <w:color w:val="auto"/>
          <w:sz w:val="24"/>
          <w:szCs w:val="24"/>
        </w:rPr>
      </w:pPr>
      <w:r>
        <w:rPr>
          <w:rFonts w:hint="eastAsia" w:ascii="宋体" w:hAnsi="宋体" w:cs="宋体"/>
          <w:b/>
          <w:color w:val="auto"/>
          <w:sz w:val="24"/>
          <w:szCs w:val="24"/>
          <w:lang w:val="en-US" w:eastAsia="zh-CN"/>
        </w:rPr>
        <w:t>32</w:t>
      </w:r>
      <w:r>
        <w:rPr>
          <w:rFonts w:hint="eastAsia" w:ascii="宋体" w:hAnsi="宋体" w:eastAsia="宋体" w:cs="宋体"/>
          <w:b/>
          <w:color w:val="auto"/>
          <w:sz w:val="24"/>
          <w:szCs w:val="24"/>
        </w:rPr>
        <w:t>．磋商代理服务费</w:t>
      </w:r>
    </w:p>
    <w:p w14:paraId="4DFA0B62">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由中标（成交）单位承担，按国家计委计价格[2002]1980号、[2011]534号及《招标代理服务收费管理暂行办法》所规定的收费标准，计取代理服务费。中标供应商在领取中标通知书时向磋商代理机构一次性付清磋商代理服务费</w:t>
      </w:r>
      <w:r>
        <w:rPr>
          <w:rFonts w:hint="eastAsia" w:ascii="宋体" w:hAnsi="宋体" w:eastAsia="宋体" w:cs="宋体"/>
          <w:color w:val="auto"/>
          <w:sz w:val="24"/>
          <w:szCs w:val="24"/>
        </w:rPr>
        <w:t>。</w:t>
      </w:r>
    </w:p>
    <w:p w14:paraId="2E51672F">
      <w:pPr>
        <w:spacing w:line="480" w:lineRule="exact"/>
        <w:ind w:firstLine="482" w:firstLineChars="200"/>
        <w:rPr>
          <w:rFonts w:hint="eastAsia" w:ascii="宋体" w:hAnsi="宋体" w:eastAsia="宋体" w:cs="宋体"/>
          <w:b/>
          <w:color w:val="auto"/>
          <w:sz w:val="24"/>
          <w:szCs w:val="24"/>
        </w:rPr>
      </w:pPr>
      <w:r>
        <w:rPr>
          <w:rFonts w:hint="eastAsia" w:ascii="宋体" w:hAnsi="宋体" w:cs="宋体"/>
          <w:b/>
          <w:color w:val="auto"/>
          <w:sz w:val="24"/>
          <w:szCs w:val="24"/>
          <w:lang w:val="en-US" w:eastAsia="zh-CN"/>
        </w:rPr>
        <w:t>33</w:t>
      </w:r>
      <w:r>
        <w:rPr>
          <w:rFonts w:hint="eastAsia" w:ascii="宋体" w:hAnsi="宋体" w:eastAsia="宋体" w:cs="宋体"/>
          <w:b/>
          <w:color w:val="auto"/>
          <w:sz w:val="24"/>
          <w:szCs w:val="24"/>
        </w:rPr>
        <w:t>．签订合同</w:t>
      </w:r>
    </w:p>
    <w:p w14:paraId="6A7603AE">
      <w:pPr>
        <w:spacing w:line="48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33</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在领取中标通知书的</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天内与采购人签订合同。</w:t>
      </w:r>
    </w:p>
    <w:p w14:paraId="0D02A729">
      <w:pPr>
        <w:spacing w:line="48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33</w:t>
      </w:r>
      <w:r>
        <w:rPr>
          <w:rFonts w:hint="eastAsia" w:ascii="宋体" w:hAnsi="宋体" w:eastAsia="宋体" w:cs="宋体"/>
          <w:color w:val="auto"/>
          <w:sz w:val="24"/>
          <w:szCs w:val="24"/>
        </w:rPr>
        <w:t>.2 如果成交人没有按照上述第</w:t>
      </w:r>
      <w:r>
        <w:rPr>
          <w:rFonts w:hint="eastAsia" w:ascii="宋体" w:hAnsi="宋体" w:cs="宋体"/>
          <w:color w:val="auto"/>
          <w:sz w:val="24"/>
          <w:szCs w:val="24"/>
          <w:lang w:val="en-US" w:eastAsia="zh-CN"/>
        </w:rPr>
        <w:t>32</w:t>
      </w:r>
      <w:r>
        <w:rPr>
          <w:rFonts w:hint="eastAsia" w:ascii="宋体" w:hAnsi="宋体" w:eastAsia="宋体" w:cs="宋体"/>
          <w:color w:val="auto"/>
          <w:sz w:val="24"/>
          <w:szCs w:val="24"/>
        </w:rPr>
        <w:t>条或第</w:t>
      </w:r>
      <w:r>
        <w:rPr>
          <w:rFonts w:hint="eastAsia" w:ascii="宋体" w:hAnsi="宋体" w:cs="宋体"/>
          <w:color w:val="auto"/>
          <w:sz w:val="24"/>
          <w:szCs w:val="24"/>
          <w:lang w:val="en-US" w:eastAsia="zh-CN"/>
        </w:rPr>
        <w:t>33.1</w:t>
      </w:r>
      <w:r>
        <w:rPr>
          <w:rFonts w:hint="eastAsia" w:ascii="宋体" w:hAnsi="宋体" w:eastAsia="宋体" w:cs="宋体"/>
          <w:color w:val="auto"/>
          <w:sz w:val="24"/>
          <w:szCs w:val="24"/>
        </w:rPr>
        <w:t>条规定执行，磋商采购单位将有充分理由取消该成交决定。在此情况下，磋商采购单位可将合同授予综合得分排序名列下一个的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，或重新组织采购。</w:t>
      </w:r>
    </w:p>
    <w:p w14:paraId="048D2854">
      <w:pPr>
        <w:spacing w:line="480" w:lineRule="exact"/>
        <w:ind w:firstLine="482" w:firstLineChars="200"/>
        <w:rPr>
          <w:rFonts w:hint="eastAsia" w:ascii="宋体" w:hAnsi="宋体" w:eastAsia="宋体" w:cs="宋体"/>
          <w:b/>
          <w:color w:val="auto"/>
          <w:sz w:val="24"/>
          <w:szCs w:val="24"/>
        </w:rPr>
      </w:pPr>
      <w:r>
        <w:rPr>
          <w:rFonts w:hint="eastAsia" w:ascii="宋体" w:hAnsi="宋体" w:cs="宋体"/>
          <w:b/>
          <w:bCs/>
          <w:color w:val="auto"/>
          <w:sz w:val="24"/>
          <w:szCs w:val="24"/>
          <w:lang w:val="en-US" w:eastAsia="zh-CN"/>
        </w:rPr>
        <w:t>34</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拒绝商业贿赂</w:t>
      </w:r>
    </w:p>
    <w:p w14:paraId="7316D1BC">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必须填写一份《拒绝政府采购领域商业贿赂承诺书》（格式见第</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章附件）编制在响应文件中。</w:t>
      </w:r>
    </w:p>
    <w:p w14:paraId="2ACEDDC7">
      <w:pPr>
        <w:tabs>
          <w:tab w:val="left" w:pos="3574"/>
          <w:tab w:val="center" w:pos="4855"/>
        </w:tabs>
        <w:spacing w:line="48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七、质疑与投诉</w:t>
      </w:r>
    </w:p>
    <w:p w14:paraId="2D884F13">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3C2837BD">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（2）提出质疑的供应商应当是参与本项目采购活动的供应商。</w:t>
      </w:r>
    </w:p>
    <w:p w14:paraId="0E0AF7E1">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（3）潜在供应商已依法获取其可质疑的采购文件的，可以对该文件提出质疑。对采购文件提出质疑的，应当在获取采购文件（以供应商填写报名登记表的时间为准）起7个工作日内一次性提出。</w:t>
      </w:r>
    </w:p>
    <w:p w14:paraId="796CAFA2">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（4）供应商提出质疑应当提交质疑函和必要的证明材料，质疑函应包括下列内容：</w:t>
      </w:r>
    </w:p>
    <w:p w14:paraId="6ABB0B6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 供应商的姓名或者名称、地址、邮编、联系人及联系电话；</w:t>
      </w:r>
    </w:p>
    <w:p w14:paraId="73BDA7B3">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 质疑项目的名称、编号；</w:t>
      </w:r>
    </w:p>
    <w:p w14:paraId="26347C98">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③ 具体、明确的质疑事项和与质疑事项相关的请求；</w:t>
      </w:r>
    </w:p>
    <w:p w14:paraId="2082E2E7">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 事实依据；</w:t>
      </w:r>
    </w:p>
    <w:p w14:paraId="7B30F0C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⑤ 必要的法律依据；</w:t>
      </w:r>
    </w:p>
    <w:p w14:paraId="457B84E4">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⑥ 提出质疑的日期。</w:t>
      </w:r>
    </w:p>
    <w:p w14:paraId="354FB777">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（5）供应商为自然人的，应当由本人签字；供应商为法人或者其他组织的，应当由法定代表人、主要负责人，或者其授权代表签字或者盖章并加盖公章。</w:t>
      </w:r>
    </w:p>
    <w:p w14:paraId="5483C082">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A1787E8">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（7）采购人负责供应商质疑答复。采购人委托采购代理机构采购的，采购代理机构在委托授权范围内作出答复。</w:t>
      </w:r>
    </w:p>
    <w:p w14:paraId="0925AE26">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（8）接收质疑函的方式和联系方式：</w:t>
      </w:r>
    </w:p>
    <w:p w14:paraId="46B7A68D">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 接收质疑函的方式：书面递交质疑函纸质版（当面递交）或PDF格式扫描件（发至电子邮箱）</w:t>
      </w:r>
    </w:p>
    <w:p w14:paraId="7B05C0BB">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 联系方式</w:t>
      </w:r>
    </w:p>
    <w:p w14:paraId="6E2AD028">
      <w:pPr>
        <w:spacing w:line="48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采购人名称：</w:t>
      </w:r>
      <w:r>
        <w:rPr>
          <w:rFonts w:hint="eastAsia" w:ascii="宋体" w:hAnsi="宋体" w:cs="宋体"/>
          <w:b w:val="0"/>
          <w:bCs w:val="0"/>
          <w:color w:val="auto"/>
          <w:sz w:val="24"/>
          <w:szCs w:val="24"/>
          <w:lang w:eastAsia="zh-CN"/>
        </w:rPr>
        <w:t>镇坪县农业技术推广站</w:t>
      </w:r>
    </w:p>
    <w:p w14:paraId="486CCC12">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default" w:ascii="宋体" w:hAnsi="宋体" w:eastAsia="宋体" w:cs="宋体"/>
          <w:color w:val="auto"/>
          <w:lang w:val="en-US" w:eastAsia="zh-CN"/>
        </w:rPr>
      </w:pPr>
      <w:r>
        <w:rPr>
          <w:rFonts w:hint="eastAsia" w:ascii="宋体" w:hAnsi="宋体" w:eastAsia="宋体" w:cs="宋体"/>
          <w:color w:val="auto"/>
          <w:sz w:val="24"/>
          <w:szCs w:val="24"/>
        </w:rPr>
        <w:t>地    址：</w:t>
      </w:r>
      <w:r>
        <w:rPr>
          <w:rFonts w:hint="eastAsia" w:cs="宋体"/>
          <w:color w:val="auto"/>
          <w:lang w:val="en-US" w:eastAsia="zh-CN"/>
        </w:rPr>
        <w:t xml:space="preserve"> 镇坪县下新街17号</w:t>
      </w:r>
    </w:p>
    <w:p w14:paraId="77877FC4">
      <w:pPr>
        <w:spacing w:line="480" w:lineRule="exact"/>
        <w:ind w:firstLine="480" w:firstLineChars="200"/>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宋体" w:hAnsi="宋体" w:eastAsia="宋体" w:cs="宋体"/>
          <w:color w:val="auto"/>
          <w:kern w:val="0"/>
          <w:sz w:val="24"/>
          <w:szCs w:val="24"/>
          <w:lang w:val="en-US" w:eastAsia="zh-CN" w:bidi="ar-SA"/>
        </w:rPr>
        <w:t>联系电话：</w:t>
      </w:r>
      <w:r>
        <w:rPr>
          <w:rFonts w:hint="eastAsia" w:ascii="仿宋" w:hAnsi="仿宋" w:eastAsia="仿宋" w:cs="仿宋"/>
          <w:i w:val="0"/>
          <w:iCs w:val="0"/>
          <w:caps w:val="0"/>
          <w:color w:val="auto"/>
          <w:spacing w:val="0"/>
          <w:sz w:val="24"/>
          <w:szCs w:val="24"/>
          <w:shd w:val="clear" w:color="auto" w:fill="FFFFFF"/>
          <w:lang w:val="en-US" w:eastAsia="zh-CN"/>
        </w:rPr>
        <w:t xml:space="preserve"> 15353356678</w:t>
      </w:r>
    </w:p>
    <w:p w14:paraId="6BD8263C">
      <w:pPr>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采购代理机构：</w:t>
      </w:r>
      <w:r>
        <w:rPr>
          <w:rFonts w:hint="eastAsia" w:ascii="宋体" w:hAnsi="宋体" w:cs="宋体"/>
          <w:color w:val="auto"/>
          <w:sz w:val="24"/>
          <w:szCs w:val="24"/>
          <w:lang w:eastAsia="zh-CN"/>
        </w:rPr>
        <w:t>安康远程智信项目管理有限公司</w:t>
      </w:r>
    </w:p>
    <w:p w14:paraId="69ECD917">
      <w:pPr>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cs="宋体"/>
          <w:color w:val="auto"/>
          <w:sz w:val="24"/>
          <w:szCs w:val="24"/>
          <w:lang w:val="en-US" w:eastAsia="zh-CN"/>
        </w:rPr>
        <w:t xml:space="preserve"> 安康市汉滨区后张岭张家大院路口进来50米处</w:t>
      </w:r>
    </w:p>
    <w:p w14:paraId="766920B5">
      <w:pPr>
        <w:spacing w:line="480" w:lineRule="exact"/>
        <w:ind w:firstLine="480" w:firstLineChars="200"/>
        <w:rPr>
          <w:rFonts w:hint="eastAsia" w:ascii="宋体" w:hAnsi="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cs="宋体"/>
          <w:color w:val="auto"/>
          <w:sz w:val="24"/>
          <w:szCs w:val="24"/>
          <w:lang w:val="en-US" w:eastAsia="zh-CN"/>
        </w:rPr>
        <w:t xml:space="preserve"> 18590005321</w:t>
      </w:r>
    </w:p>
    <w:p w14:paraId="33AC14A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30.2 投诉</w:t>
      </w:r>
    </w:p>
    <w:p w14:paraId="04A0BD72">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（1）质疑供应商对采购人、采购代理机构的答复不满意，或者采购人、采购代理机构未在规定时间内作出答复的，可以在答复期满后15个工作日内向同级财政部门提起投诉。</w:t>
      </w:r>
    </w:p>
    <w:p w14:paraId="7D43178E">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（2）投诉人投诉时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应当提交投诉书和必要的证明材料，并按照被投诉采购人、采购代理机构（以下简称被投诉人）和与投诉事项有关的供应商数量提供投诉书的副本。投诉书应当包括下列内容：</w:t>
      </w:r>
    </w:p>
    <w:p w14:paraId="54C54F67">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 投诉人和被投诉人的姓名或者名称、通讯地址、邮编、联系人及联系电话；</w:t>
      </w:r>
    </w:p>
    <w:p w14:paraId="6CBBB02E">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 质疑和质疑答复情况说明及相关证明材料；</w:t>
      </w:r>
    </w:p>
    <w:p w14:paraId="08396A87">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③ 具体、明确的投诉事项和与投诉事项相关的投诉请求；</w:t>
      </w:r>
    </w:p>
    <w:p w14:paraId="5E29B7B1">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 事实依据；</w:t>
      </w:r>
    </w:p>
    <w:p w14:paraId="1B01618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⑤ 法律依据；</w:t>
      </w:r>
    </w:p>
    <w:p w14:paraId="1AB1FDB0">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⑥ 提起投诉的日期。</w:t>
      </w:r>
    </w:p>
    <w:p w14:paraId="7777B5A3">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（3）投诉人为自然人的，应当由本人签字；投诉人为法人或者其他组织的，应当由法定代表人、主要负责人，或者其授权代表签字或者盖章，并加盖公章。</w:t>
      </w:r>
    </w:p>
    <w:p w14:paraId="1612441A">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（4）投诉人提起投诉应当符合下列条件：</w:t>
      </w:r>
    </w:p>
    <w:p w14:paraId="66643054">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 提起投诉前已依法进行质疑；</w:t>
      </w:r>
    </w:p>
    <w:p w14:paraId="56B63E0D">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 投诉书内容符合《政府采购质疑和投诉办法》（财政部令第94号令）的规定；</w:t>
      </w:r>
    </w:p>
    <w:p w14:paraId="49DCF030">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③ 在投诉有效期限内提起投诉；</w:t>
      </w:r>
    </w:p>
    <w:p w14:paraId="64746D1A">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 同一投诉事项未经财政部门投诉处理；</w:t>
      </w:r>
    </w:p>
    <w:p w14:paraId="403C3FD2">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⑤ 财政部规定的其他条件。</w:t>
      </w:r>
    </w:p>
    <w:p w14:paraId="3F5BB851">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（5）供应商投诉的事项不得超出已质疑事项的范围，但基于质疑答复内容提出的投诉事项除外。</w:t>
      </w:r>
    </w:p>
    <w:p w14:paraId="59B034CF">
      <w:pPr>
        <w:adjustRightInd w:val="0"/>
        <w:snapToGrid w:val="0"/>
        <w:spacing w:line="440" w:lineRule="exact"/>
        <w:jc w:val="center"/>
        <w:rPr>
          <w:rFonts w:hint="eastAsia" w:ascii="宋体" w:hAnsi="宋体" w:eastAsia="宋体" w:cs="宋体"/>
          <w:b/>
          <w:bCs/>
          <w:color w:val="auto"/>
          <w:sz w:val="24"/>
          <w:szCs w:val="24"/>
        </w:rPr>
      </w:pPr>
    </w:p>
    <w:p w14:paraId="488FB1D5">
      <w:pPr>
        <w:adjustRightInd w:val="0"/>
        <w:snapToGrid w:val="0"/>
        <w:spacing w:line="440" w:lineRule="exact"/>
        <w:jc w:val="both"/>
        <w:rPr>
          <w:rFonts w:hint="eastAsia" w:ascii="宋体" w:hAnsi="宋体" w:eastAsia="宋体" w:cs="宋体"/>
          <w:b/>
          <w:bCs/>
          <w:color w:val="auto"/>
          <w:sz w:val="24"/>
          <w:szCs w:val="24"/>
        </w:rPr>
      </w:pPr>
    </w:p>
    <w:p w14:paraId="73290101">
      <w:pPr>
        <w:adjustRightInd w:val="0"/>
        <w:snapToGrid w:val="0"/>
        <w:spacing w:line="440" w:lineRule="exact"/>
        <w:jc w:val="center"/>
        <w:rPr>
          <w:rFonts w:hint="eastAsia" w:ascii="宋体" w:hAnsi="宋体" w:cs="宋体"/>
          <w:b/>
          <w:bCs/>
          <w:color w:val="auto"/>
          <w:sz w:val="24"/>
          <w:szCs w:val="24"/>
          <w:lang w:val="en-US" w:eastAsia="zh-CN"/>
        </w:rPr>
      </w:pPr>
    </w:p>
    <w:p w14:paraId="0C1930DC">
      <w:pPr>
        <w:adjustRightInd w:val="0"/>
        <w:snapToGrid w:val="0"/>
        <w:spacing w:line="440" w:lineRule="exact"/>
        <w:jc w:val="center"/>
        <w:rPr>
          <w:rFonts w:hint="eastAsia" w:ascii="宋体" w:hAnsi="宋体" w:cs="宋体"/>
          <w:b/>
          <w:bCs/>
          <w:color w:val="auto"/>
          <w:sz w:val="24"/>
          <w:szCs w:val="24"/>
          <w:lang w:val="en-US" w:eastAsia="zh-CN"/>
        </w:rPr>
      </w:pPr>
    </w:p>
    <w:p w14:paraId="7F8E10A9">
      <w:pPr>
        <w:adjustRightInd w:val="0"/>
        <w:snapToGrid w:val="0"/>
        <w:spacing w:line="440" w:lineRule="exact"/>
        <w:jc w:val="center"/>
        <w:rPr>
          <w:rFonts w:hint="eastAsia" w:ascii="宋体" w:hAnsi="宋体" w:cs="宋体"/>
          <w:b/>
          <w:bCs/>
          <w:color w:val="auto"/>
          <w:sz w:val="24"/>
          <w:szCs w:val="24"/>
          <w:lang w:val="en-US" w:eastAsia="zh-CN"/>
        </w:rPr>
      </w:pPr>
    </w:p>
    <w:p w14:paraId="194DDCD8">
      <w:pPr>
        <w:adjustRightInd w:val="0"/>
        <w:snapToGrid w:val="0"/>
        <w:spacing w:line="440" w:lineRule="exact"/>
        <w:jc w:val="center"/>
        <w:rPr>
          <w:rFonts w:hint="eastAsia" w:ascii="宋体" w:hAnsi="宋体" w:cs="宋体"/>
          <w:b/>
          <w:bCs/>
          <w:color w:val="auto"/>
          <w:sz w:val="24"/>
          <w:szCs w:val="24"/>
          <w:lang w:val="en-US" w:eastAsia="zh-CN"/>
        </w:rPr>
      </w:pPr>
    </w:p>
    <w:p w14:paraId="6DF47013">
      <w:pPr>
        <w:adjustRightInd w:val="0"/>
        <w:snapToGrid w:val="0"/>
        <w:spacing w:line="440" w:lineRule="exact"/>
        <w:jc w:val="center"/>
        <w:rPr>
          <w:rFonts w:hint="eastAsia" w:ascii="宋体" w:hAnsi="宋体" w:cs="宋体"/>
          <w:b/>
          <w:bCs/>
          <w:color w:val="auto"/>
          <w:sz w:val="24"/>
          <w:szCs w:val="24"/>
          <w:lang w:val="en-US" w:eastAsia="zh-CN"/>
        </w:rPr>
      </w:pPr>
    </w:p>
    <w:p w14:paraId="1E2A5E47">
      <w:pPr>
        <w:adjustRightInd w:val="0"/>
        <w:snapToGrid w:val="0"/>
        <w:spacing w:line="440" w:lineRule="exact"/>
        <w:jc w:val="center"/>
        <w:rPr>
          <w:rFonts w:hint="eastAsia" w:ascii="宋体" w:hAnsi="宋体" w:cs="宋体"/>
          <w:b/>
          <w:bCs/>
          <w:color w:val="auto"/>
          <w:sz w:val="24"/>
          <w:szCs w:val="24"/>
          <w:lang w:val="en-US" w:eastAsia="zh-CN"/>
        </w:rPr>
      </w:pPr>
    </w:p>
    <w:p w14:paraId="450778F6">
      <w:pPr>
        <w:adjustRightInd w:val="0"/>
        <w:snapToGrid w:val="0"/>
        <w:spacing w:line="440" w:lineRule="exact"/>
        <w:jc w:val="center"/>
        <w:rPr>
          <w:rFonts w:hint="eastAsia" w:ascii="宋体" w:hAnsi="宋体" w:cs="宋体"/>
          <w:b/>
          <w:bCs/>
          <w:color w:val="auto"/>
          <w:sz w:val="24"/>
          <w:szCs w:val="24"/>
          <w:lang w:val="en-US" w:eastAsia="zh-CN"/>
        </w:rPr>
      </w:pPr>
    </w:p>
    <w:p w14:paraId="0F07816E">
      <w:pPr>
        <w:adjustRightInd w:val="0"/>
        <w:snapToGrid w:val="0"/>
        <w:spacing w:line="440" w:lineRule="exact"/>
        <w:jc w:val="center"/>
        <w:rPr>
          <w:rFonts w:hint="eastAsia" w:ascii="宋体" w:hAnsi="宋体" w:cs="宋体"/>
          <w:b/>
          <w:bCs/>
          <w:color w:val="auto"/>
          <w:sz w:val="24"/>
          <w:szCs w:val="24"/>
          <w:lang w:val="en-US" w:eastAsia="zh-CN"/>
        </w:rPr>
      </w:pPr>
    </w:p>
    <w:p w14:paraId="77C884D0">
      <w:pPr>
        <w:adjustRightInd w:val="0"/>
        <w:snapToGrid w:val="0"/>
        <w:spacing w:line="440" w:lineRule="exact"/>
        <w:jc w:val="center"/>
        <w:rPr>
          <w:rFonts w:hint="eastAsia" w:ascii="宋体" w:hAnsi="宋体" w:cs="宋体"/>
          <w:b/>
          <w:bCs/>
          <w:color w:val="auto"/>
          <w:sz w:val="24"/>
          <w:szCs w:val="24"/>
          <w:lang w:val="en-US" w:eastAsia="zh-CN"/>
        </w:rPr>
      </w:pPr>
    </w:p>
    <w:p w14:paraId="288B0400">
      <w:pPr>
        <w:adjustRightInd w:val="0"/>
        <w:snapToGrid w:val="0"/>
        <w:spacing w:line="440" w:lineRule="exact"/>
        <w:jc w:val="center"/>
        <w:rPr>
          <w:rFonts w:hint="eastAsia" w:ascii="宋体" w:hAnsi="宋体" w:cs="宋体"/>
          <w:b/>
          <w:bCs/>
          <w:color w:val="auto"/>
          <w:sz w:val="24"/>
          <w:szCs w:val="24"/>
          <w:lang w:val="en-US" w:eastAsia="zh-CN"/>
        </w:rPr>
      </w:pPr>
    </w:p>
    <w:p w14:paraId="14881599">
      <w:pPr>
        <w:adjustRightInd w:val="0"/>
        <w:snapToGrid w:val="0"/>
        <w:spacing w:line="440" w:lineRule="exact"/>
        <w:jc w:val="center"/>
        <w:rPr>
          <w:rFonts w:hint="eastAsia" w:ascii="宋体" w:hAnsi="宋体" w:cs="宋体"/>
          <w:b/>
          <w:bCs/>
          <w:color w:val="auto"/>
          <w:sz w:val="24"/>
          <w:szCs w:val="24"/>
          <w:lang w:val="en-US" w:eastAsia="zh-CN"/>
        </w:rPr>
      </w:pPr>
    </w:p>
    <w:p w14:paraId="11C53530">
      <w:pPr>
        <w:adjustRightInd w:val="0"/>
        <w:snapToGrid w:val="0"/>
        <w:spacing w:line="440" w:lineRule="exact"/>
        <w:jc w:val="center"/>
        <w:rPr>
          <w:rFonts w:hint="eastAsia" w:ascii="宋体" w:hAnsi="宋体" w:cs="宋体"/>
          <w:b/>
          <w:bCs/>
          <w:color w:val="auto"/>
          <w:sz w:val="24"/>
          <w:szCs w:val="24"/>
          <w:lang w:val="en-US" w:eastAsia="zh-CN"/>
        </w:rPr>
      </w:pPr>
    </w:p>
    <w:p w14:paraId="36D6F6EF">
      <w:pPr>
        <w:adjustRightInd w:val="0"/>
        <w:snapToGrid w:val="0"/>
        <w:spacing w:line="440" w:lineRule="exact"/>
        <w:jc w:val="center"/>
        <w:rPr>
          <w:rFonts w:hint="eastAsia" w:ascii="宋体" w:hAnsi="宋体" w:cs="宋体"/>
          <w:b/>
          <w:bCs/>
          <w:color w:val="auto"/>
          <w:sz w:val="24"/>
          <w:szCs w:val="24"/>
          <w:lang w:val="en-US" w:eastAsia="zh-CN"/>
        </w:rPr>
      </w:pPr>
    </w:p>
    <w:p w14:paraId="2BA3312E">
      <w:pPr>
        <w:adjustRightInd w:val="0"/>
        <w:snapToGrid w:val="0"/>
        <w:spacing w:line="440" w:lineRule="exact"/>
        <w:jc w:val="center"/>
        <w:rPr>
          <w:rFonts w:hint="eastAsia" w:ascii="宋体" w:hAnsi="宋体" w:cs="宋体"/>
          <w:b/>
          <w:bCs/>
          <w:color w:val="auto"/>
          <w:sz w:val="24"/>
          <w:szCs w:val="24"/>
          <w:lang w:val="en-US" w:eastAsia="zh-CN"/>
        </w:rPr>
      </w:pPr>
    </w:p>
    <w:p w14:paraId="4DB4C82C">
      <w:pPr>
        <w:pStyle w:val="2"/>
        <w:rPr>
          <w:rFonts w:hint="eastAsia" w:ascii="宋体" w:hAnsi="宋体" w:cs="宋体"/>
          <w:b/>
          <w:bCs/>
          <w:color w:val="auto"/>
          <w:sz w:val="24"/>
          <w:szCs w:val="24"/>
          <w:lang w:val="en-US" w:eastAsia="zh-CN"/>
        </w:rPr>
      </w:pPr>
    </w:p>
    <w:p w14:paraId="25265888">
      <w:pPr>
        <w:pStyle w:val="2"/>
        <w:rPr>
          <w:rFonts w:hint="eastAsia" w:ascii="宋体" w:hAnsi="宋体" w:cs="宋体"/>
          <w:b/>
          <w:bCs/>
          <w:color w:val="auto"/>
          <w:sz w:val="24"/>
          <w:szCs w:val="24"/>
          <w:lang w:val="en-US" w:eastAsia="zh-CN"/>
        </w:rPr>
      </w:pPr>
    </w:p>
    <w:p w14:paraId="55BB7900">
      <w:pPr>
        <w:pStyle w:val="2"/>
        <w:rPr>
          <w:rFonts w:hint="eastAsia" w:ascii="宋体" w:hAnsi="宋体" w:cs="宋体"/>
          <w:b/>
          <w:bCs/>
          <w:color w:val="auto"/>
          <w:sz w:val="24"/>
          <w:szCs w:val="24"/>
          <w:lang w:val="en-US" w:eastAsia="zh-CN"/>
        </w:rPr>
      </w:pPr>
    </w:p>
    <w:p w14:paraId="21338978">
      <w:pPr>
        <w:pStyle w:val="2"/>
        <w:rPr>
          <w:rFonts w:hint="eastAsia" w:ascii="宋体" w:hAnsi="宋体" w:cs="宋体"/>
          <w:b/>
          <w:bCs/>
          <w:color w:val="auto"/>
          <w:sz w:val="24"/>
          <w:szCs w:val="24"/>
          <w:lang w:val="en-US" w:eastAsia="zh-CN"/>
        </w:rPr>
      </w:pPr>
    </w:p>
    <w:p w14:paraId="23F8BD52">
      <w:pPr>
        <w:pStyle w:val="2"/>
        <w:rPr>
          <w:rFonts w:hint="eastAsia" w:ascii="宋体" w:hAnsi="宋体" w:cs="宋体"/>
          <w:b/>
          <w:bCs/>
          <w:color w:val="auto"/>
          <w:sz w:val="24"/>
          <w:szCs w:val="24"/>
          <w:lang w:val="en-US" w:eastAsia="zh-CN"/>
        </w:rPr>
      </w:pPr>
    </w:p>
    <w:p w14:paraId="7619F68C">
      <w:pPr>
        <w:adjustRightInd w:val="0"/>
        <w:snapToGrid w:val="0"/>
        <w:spacing w:line="440" w:lineRule="exact"/>
        <w:jc w:val="center"/>
        <w:rPr>
          <w:rFonts w:hint="eastAsia" w:ascii="宋体" w:hAnsi="宋体" w:cs="宋体"/>
          <w:b/>
          <w:bCs/>
          <w:color w:val="auto"/>
          <w:sz w:val="24"/>
          <w:szCs w:val="24"/>
          <w:lang w:val="en-US" w:eastAsia="zh-CN"/>
        </w:rPr>
      </w:pPr>
    </w:p>
    <w:p w14:paraId="18E2E063">
      <w:pPr>
        <w:adjustRightInd w:val="0"/>
        <w:snapToGrid w:val="0"/>
        <w:spacing w:line="440" w:lineRule="exact"/>
        <w:jc w:val="center"/>
        <w:rPr>
          <w:rFonts w:hint="eastAsia" w:ascii="宋体" w:hAnsi="宋体" w:cs="宋体"/>
          <w:b/>
          <w:bCs/>
          <w:color w:val="auto"/>
          <w:sz w:val="24"/>
          <w:szCs w:val="24"/>
          <w:lang w:val="en-US" w:eastAsia="zh-CN"/>
        </w:rPr>
      </w:pPr>
    </w:p>
    <w:p w14:paraId="45FBB305">
      <w:pPr>
        <w:adjustRightInd w:val="0"/>
        <w:snapToGri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章  商务条款</w:t>
      </w:r>
    </w:p>
    <w:bookmarkEnd w:id="21"/>
    <w:bookmarkEnd w:id="22"/>
    <w:bookmarkEnd w:id="128"/>
    <w:bookmarkEnd w:id="129"/>
    <w:bookmarkEnd w:id="130"/>
    <w:bookmarkEnd w:id="131"/>
    <w:bookmarkEnd w:id="132"/>
    <w:bookmarkEnd w:id="133"/>
    <w:p w14:paraId="0BBE04BC">
      <w:pPr>
        <w:adjustRightInd w:val="0"/>
        <w:snapToGrid w:val="0"/>
        <w:spacing w:line="520" w:lineRule="exact"/>
        <w:rPr>
          <w:rFonts w:hint="eastAsia" w:ascii="宋体" w:hAnsi="宋体" w:cs="宋体"/>
          <w:b/>
          <w:color w:val="auto"/>
          <w:sz w:val="24"/>
        </w:rPr>
      </w:pPr>
      <w:bookmarkStart w:id="134" w:name="_Toc167714047"/>
      <w:bookmarkStart w:id="135" w:name="_Toc167715244"/>
      <w:bookmarkStart w:id="136" w:name="_Toc167712849"/>
      <w:bookmarkStart w:id="137" w:name="_Toc245657548"/>
      <w:bookmarkStart w:id="138" w:name="_Toc237598150"/>
      <w:bookmarkStart w:id="139" w:name="_Toc245658529"/>
      <w:bookmarkStart w:id="140" w:name="_Toc245176660"/>
      <w:bookmarkStart w:id="141" w:name="_Toc244623586"/>
      <w:r>
        <w:rPr>
          <w:rFonts w:hint="eastAsia" w:ascii="宋体" w:hAnsi="宋体" w:cs="宋体"/>
          <w:b/>
          <w:color w:val="auto"/>
          <w:sz w:val="24"/>
        </w:rPr>
        <w:t>一、交货期</w:t>
      </w:r>
    </w:p>
    <w:p w14:paraId="783660AD">
      <w:pPr>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交货期：30天（具体起止日期可随合同签订时间相应顺延）。</w:t>
      </w:r>
    </w:p>
    <w:p w14:paraId="00DC049D">
      <w:pPr>
        <w:spacing w:line="440" w:lineRule="exact"/>
        <w:rPr>
          <w:rFonts w:hint="eastAsia" w:ascii="宋体" w:hAnsi="宋体" w:cs="宋体"/>
          <w:b/>
          <w:color w:val="auto"/>
          <w:sz w:val="24"/>
        </w:rPr>
      </w:pPr>
      <w:r>
        <w:rPr>
          <w:rFonts w:hint="eastAsia" w:ascii="宋体" w:hAnsi="宋体" w:cs="宋体"/>
          <w:b/>
          <w:color w:val="auto"/>
          <w:sz w:val="24"/>
        </w:rPr>
        <w:t>二、交货地点</w:t>
      </w:r>
      <w:bookmarkStart w:id="142" w:name="_Toc167712840"/>
      <w:bookmarkStart w:id="143" w:name="_Toc167715235"/>
      <w:bookmarkStart w:id="144" w:name="_Toc167714038"/>
    </w:p>
    <w:p w14:paraId="43DE6788">
      <w:pPr>
        <w:spacing w:line="440" w:lineRule="exact"/>
        <w:ind w:firstLine="482" w:firstLineChars="200"/>
        <w:rPr>
          <w:rFonts w:hint="eastAsia" w:ascii="宋体" w:hAnsi="宋体" w:eastAsia="宋体" w:cs="宋体"/>
          <w:b/>
          <w:color w:val="auto"/>
          <w:sz w:val="24"/>
          <w:lang w:val="en-US" w:eastAsia="zh-CN"/>
        </w:rPr>
      </w:pPr>
      <w:r>
        <w:rPr>
          <w:rFonts w:hint="eastAsia" w:ascii="宋体" w:hAnsi="宋体" w:cs="宋体"/>
          <w:b/>
          <w:color w:val="auto"/>
          <w:sz w:val="24"/>
        </w:rPr>
        <w:t>采购人指定地点</w:t>
      </w:r>
    </w:p>
    <w:p w14:paraId="6AE98E36">
      <w:pPr>
        <w:spacing w:line="440" w:lineRule="exact"/>
        <w:rPr>
          <w:rFonts w:hint="eastAsia" w:ascii="宋体" w:hAnsi="宋体" w:eastAsia="宋体" w:cs="宋体"/>
          <w:b/>
          <w:color w:val="auto"/>
          <w:sz w:val="24"/>
          <w:lang w:eastAsia="zh-CN"/>
        </w:rPr>
      </w:pPr>
      <w:r>
        <w:rPr>
          <w:rFonts w:hint="eastAsia" w:ascii="宋体" w:hAnsi="宋体" w:cs="宋体"/>
          <w:b/>
          <w:color w:val="auto"/>
          <w:sz w:val="24"/>
        </w:rPr>
        <w:t>三、包装、运输要求</w:t>
      </w:r>
      <w:r>
        <w:rPr>
          <w:rFonts w:hint="eastAsia" w:ascii="宋体" w:hAnsi="宋体" w:cs="宋体"/>
          <w:b/>
          <w:color w:val="auto"/>
          <w:sz w:val="24"/>
          <w:lang w:eastAsia="zh-CN"/>
        </w:rPr>
        <w:t>及质量保证</w:t>
      </w:r>
    </w:p>
    <w:p w14:paraId="457A31D1">
      <w:pPr>
        <w:tabs>
          <w:tab w:val="left" w:pos="720"/>
        </w:tabs>
        <w:spacing w:line="440" w:lineRule="exact"/>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成交供应商</w:t>
      </w:r>
      <w:r>
        <w:rPr>
          <w:rFonts w:hint="eastAsia" w:ascii="宋体" w:hAnsi="宋体" w:cs="宋体"/>
          <w:color w:val="auto"/>
          <w:sz w:val="24"/>
        </w:rPr>
        <w:t>负责办理将货物运抵采购人指定交货地点的一切运输事项，所有费用一次性计入投标总价。</w:t>
      </w:r>
    </w:p>
    <w:p w14:paraId="70FC9AD2">
      <w:pPr>
        <w:autoSpaceDN w:val="0"/>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成交供应商</w:t>
      </w:r>
      <w:r>
        <w:rPr>
          <w:rFonts w:hint="eastAsia" w:ascii="宋体" w:hAnsi="宋体" w:cs="宋体"/>
          <w:color w:val="auto"/>
          <w:sz w:val="24"/>
        </w:rPr>
        <w:t>须提供货物运至合同规定的最终目的地所需要的包装，以防止货物在转运中损坏或变质。应采取防潮、防晒及防止</w:t>
      </w:r>
      <w:r>
        <w:rPr>
          <w:rFonts w:hint="eastAsia" w:ascii="宋体" w:hAnsi="宋体" w:cs="宋体"/>
          <w:color w:val="auto"/>
          <w:sz w:val="24"/>
          <w:lang w:eastAsia="zh-CN"/>
        </w:rPr>
        <w:t>其他损坏</w:t>
      </w:r>
      <w:r>
        <w:rPr>
          <w:rFonts w:hint="eastAsia" w:ascii="宋体" w:hAnsi="宋体" w:cs="宋体"/>
          <w:color w:val="auto"/>
          <w:sz w:val="24"/>
        </w:rPr>
        <w:t>的必要保护措施，从而保护货物能够经受多次搬运、装卸及长途运输。</w:t>
      </w:r>
      <w:r>
        <w:rPr>
          <w:rFonts w:hint="eastAsia" w:ascii="宋体" w:hAnsi="宋体" w:cs="宋体"/>
          <w:color w:val="auto"/>
          <w:sz w:val="24"/>
          <w:lang w:eastAsia="zh-CN"/>
        </w:rPr>
        <w:t>成交供应商</w:t>
      </w:r>
      <w:r>
        <w:rPr>
          <w:rFonts w:hint="eastAsia" w:ascii="宋体" w:hAnsi="宋体" w:cs="宋体"/>
          <w:color w:val="auto"/>
          <w:sz w:val="24"/>
        </w:rPr>
        <w:t>应承担由于其包装或防护措施不妥而引起的货物</w:t>
      </w:r>
      <w:r>
        <w:rPr>
          <w:rFonts w:hint="eastAsia" w:ascii="宋体" w:hAnsi="宋体" w:cs="宋体"/>
          <w:color w:val="auto"/>
          <w:sz w:val="24"/>
          <w:lang w:eastAsia="zh-CN"/>
        </w:rPr>
        <w:t>受潮</w:t>
      </w:r>
      <w:r>
        <w:rPr>
          <w:rFonts w:hint="eastAsia" w:ascii="宋体" w:hAnsi="宋体" w:cs="宋体"/>
          <w:color w:val="auto"/>
          <w:sz w:val="24"/>
        </w:rPr>
        <w:t>、损坏和丢失等任何损失造成的责任或费用。</w:t>
      </w:r>
      <w:bookmarkEnd w:id="142"/>
      <w:bookmarkEnd w:id="143"/>
      <w:bookmarkEnd w:id="144"/>
    </w:p>
    <w:p w14:paraId="14495068">
      <w:pPr>
        <w:pStyle w:val="27"/>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提供的产品必须保证质量可靠，为市场最新或主流产品，进货渠道正常，应全面满足磋商文件的要求，磋商文件未明确要求的内容，供应商须按招标产品主流标准配置或以采购人的补充要求为准。所供产品工艺质量应严格按国家最新发布的规范标准执行，如发生质量问题由供应商承担全部责任。供应商应保证所有产品的完好无损包括配套包装，如有缺漏、损坏，由供应商负责调换、补齐或赔偿。供方必须严格按照需方要求和国家颁布的有关技术规范标准提供货物。</w:t>
      </w:r>
    </w:p>
    <w:p w14:paraId="179457CB">
      <w:pPr>
        <w:autoSpaceDN w:val="0"/>
        <w:spacing w:line="440" w:lineRule="exact"/>
        <w:rPr>
          <w:rFonts w:hint="eastAsia" w:ascii="宋体" w:hAnsi="宋体" w:cs="宋体"/>
          <w:b/>
          <w:color w:val="auto"/>
          <w:sz w:val="24"/>
        </w:rPr>
      </w:pPr>
      <w:r>
        <w:rPr>
          <w:rFonts w:hint="eastAsia" w:ascii="宋体" w:hAnsi="宋体" w:cs="宋体"/>
          <w:b/>
          <w:color w:val="auto"/>
          <w:sz w:val="24"/>
        </w:rPr>
        <w:t>四、验收</w:t>
      </w:r>
    </w:p>
    <w:p w14:paraId="0E399D61">
      <w:pPr>
        <w:autoSpaceDN w:val="0"/>
        <w:spacing w:line="440" w:lineRule="exact"/>
        <w:ind w:firstLine="240" w:firstLineChars="1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成交供应商</w:t>
      </w:r>
      <w:r>
        <w:rPr>
          <w:rFonts w:hint="eastAsia" w:ascii="宋体" w:hAnsi="宋体" w:cs="宋体"/>
          <w:color w:val="auto"/>
          <w:sz w:val="24"/>
        </w:rPr>
        <w:t>提供的产品性能及质量有国家标准的应提供</w:t>
      </w:r>
      <w:r>
        <w:rPr>
          <w:rFonts w:hint="eastAsia" w:ascii="宋体" w:hAnsi="宋体" w:cs="宋体"/>
          <w:color w:val="auto"/>
          <w:sz w:val="24"/>
          <w:lang w:eastAsia="zh-CN"/>
        </w:rPr>
        <w:t>相关证明</w:t>
      </w:r>
      <w:r>
        <w:rPr>
          <w:rFonts w:hint="eastAsia" w:ascii="宋体" w:hAnsi="宋体" w:cs="宋体"/>
          <w:color w:val="auto"/>
          <w:sz w:val="24"/>
        </w:rPr>
        <w:t>，无国家标准的应符合行业标准或企业标准，并满足</w:t>
      </w:r>
      <w:r>
        <w:rPr>
          <w:rFonts w:hint="eastAsia" w:ascii="宋体" w:hAnsi="宋体" w:cs="宋体"/>
          <w:color w:val="auto"/>
          <w:sz w:val="24"/>
          <w:lang w:eastAsia="zh-CN"/>
        </w:rPr>
        <w:t>采购人</w:t>
      </w:r>
      <w:r>
        <w:rPr>
          <w:rFonts w:hint="eastAsia" w:ascii="宋体" w:hAnsi="宋体" w:cs="宋体"/>
          <w:color w:val="auto"/>
          <w:sz w:val="24"/>
        </w:rPr>
        <w:t>要求，</w:t>
      </w:r>
    </w:p>
    <w:p w14:paraId="5DA5E353">
      <w:pPr>
        <w:autoSpaceDN w:val="0"/>
        <w:spacing w:line="440" w:lineRule="exact"/>
        <w:ind w:firstLine="240" w:firstLineChars="100"/>
        <w:rPr>
          <w:rFonts w:hint="eastAsia" w:ascii="宋体" w:hAnsi="宋体" w:cs="宋体"/>
          <w:color w:val="auto"/>
          <w:sz w:val="24"/>
        </w:rPr>
      </w:pPr>
      <w:r>
        <w:rPr>
          <w:rFonts w:hint="eastAsia" w:ascii="宋体" w:hAnsi="宋体" w:cs="宋体"/>
          <w:color w:val="auto"/>
          <w:sz w:val="24"/>
        </w:rPr>
        <w:t>2.验收</w:t>
      </w:r>
      <w:r>
        <w:rPr>
          <w:rFonts w:hint="eastAsia" w:ascii="宋体" w:hAnsi="宋体" w:cs="宋体"/>
          <w:color w:val="auto"/>
          <w:sz w:val="24"/>
          <w:lang w:eastAsia="zh-CN"/>
        </w:rPr>
        <w:t>：</w:t>
      </w:r>
      <w:r>
        <w:rPr>
          <w:rFonts w:hint="eastAsia" w:ascii="宋体" w:hAnsi="宋体" w:cs="宋体"/>
          <w:color w:val="auto"/>
          <w:sz w:val="24"/>
        </w:rPr>
        <w:t>货到当场验收，供方需提供合格证、发票等有效质量证明材料。如发现货物的规格</w:t>
      </w:r>
      <w:r>
        <w:rPr>
          <w:rFonts w:hint="eastAsia" w:ascii="宋体" w:hAnsi="宋体" w:cs="宋体"/>
          <w:color w:val="auto"/>
          <w:sz w:val="24"/>
          <w:lang w:eastAsia="zh-CN"/>
        </w:rPr>
        <w:t>，</w:t>
      </w:r>
      <w:r>
        <w:rPr>
          <w:rFonts w:hint="eastAsia" w:ascii="宋体" w:hAnsi="宋体" w:cs="宋体"/>
          <w:color w:val="auto"/>
          <w:sz w:val="24"/>
        </w:rPr>
        <w:t>数量</w:t>
      </w:r>
      <w:r>
        <w:rPr>
          <w:rFonts w:hint="eastAsia" w:ascii="宋体" w:hAnsi="宋体" w:cs="宋体"/>
          <w:color w:val="auto"/>
          <w:sz w:val="24"/>
          <w:lang w:eastAsia="zh-CN"/>
        </w:rPr>
        <w:t>，</w:t>
      </w:r>
      <w:r>
        <w:rPr>
          <w:rFonts w:hint="eastAsia" w:ascii="宋体" w:hAnsi="宋体" w:cs="宋体"/>
          <w:color w:val="auto"/>
          <w:sz w:val="24"/>
        </w:rPr>
        <w:t>质量有任何问题，</w:t>
      </w:r>
      <w:r>
        <w:rPr>
          <w:rFonts w:hint="eastAsia" w:ascii="宋体" w:hAnsi="宋体" w:cs="宋体"/>
          <w:color w:val="auto"/>
          <w:sz w:val="24"/>
          <w:lang w:eastAsia="zh-CN"/>
        </w:rPr>
        <w:t>成交供应商</w:t>
      </w:r>
      <w:r>
        <w:rPr>
          <w:rFonts w:hint="eastAsia" w:ascii="宋体" w:hAnsi="宋体" w:cs="宋体"/>
          <w:color w:val="auto"/>
          <w:sz w:val="24"/>
        </w:rPr>
        <w:t>需无条件更换，并承担一切责任（验收费用由供应商支付）。</w:t>
      </w:r>
    </w:p>
    <w:p w14:paraId="0450DDF7">
      <w:pPr>
        <w:autoSpaceDN w:val="0"/>
        <w:spacing w:line="440" w:lineRule="exact"/>
        <w:ind w:firstLine="240" w:firstLineChars="1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eastAsia="zh-CN"/>
        </w:rPr>
        <w:t>成交供应商</w:t>
      </w:r>
      <w:r>
        <w:rPr>
          <w:rFonts w:hint="eastAsia" w:ascii="宋体" w:hAnsi="宋体" w:cs="宋体"/>
          <w:color w:val="auto"/>
          <w:sz w:val="24"/>
        </w:rPr>
        <w:t>向采购人提供项目履约过程中的所有资料</w:t>
      </w:r>
      <w:r>
        <w:rPr>
          <w:rFonts w:hint="eastAsia" w:ascii="宋体" w:hAnsi="宋体" w:cs="宋体"/>
          <w:color w:val="auto"/>
          <w:sz w:val="24"/>
          <w:lang w:eastAsia="zh-CN"/>
        </w:rPr>
        <w:t>，</w:t>
      </w:r>
      <w:r>
        <w:rPr>
          <w:rFonts w:hint="eastAsia" w:ascii="宋体" w:hAnsi="宋体" w:cs="宋体"/>
          <w:color w:val="auto"/>
          <w:sz w:val="24"/>
        </w:rPr>
        <w:t>以便采购人日后管理和维护。</w:t>
      </w:r>
    </w:p>
    <w:p w14:paraId="457379F1">
      <w:pPr>
        <w:autoSpaceDN w:val="0"/>
        <w:spacing w:line="440" w:lineRule="exact"/>
        <w:ind w:firstLine="240" w:firstLineChars="100"/>
        <w:rPr>
          <w:rFonts w:hint="eastAsia" w:ascii="宋体" w:hAnsi="宋体" w:cs="宋体"/>
          <w:color w:val="auto"/>
          <w:sz w:val="24"/>
        </w:rPr>
      </w:pPr>
      <w:r>
        <w:rPr>
          <w:rFonts w:hint="eastAsia" w:ascii="宋体" w:hAnsi="宋体" w:cs="宋体"/>
          <w:color w:val="auto"/>
          <w:sz w:val="24"/>
        </w:rPr>
        <w:t>3.1 验收依据</w:t>
      </w:r>
    </w:p>
    <w:p w14:paraId="54246BE4">
      <w:pPr>
        <w:autoSpaceDN w:val="0"/>
        <w:spacing w:line="440" w:lineRule="exact"/>
        <w:ind w:firstLine="240" w:firstLineChars="100"/>
        <w:rPr>
          <w:rFonts w:hint="eastAsia" w:ascii="宋体" w:hAnsi="宋体" w:cs="宋体"/>
          <w:color w:val="auto"/>
          <w:sz w:val="24"/>
        </w:rPr>
      </w:pPr>
      <w:r>
        <w:rPr>
          <w:rFonts w:hint="eastAsia" w:ascii="宋体" w:hAnsi="宋体" w:cs="宋体"/>
          <w:color w:val="auto"/>
          <w:sz w:val="24"/>
        </w:rPr>
        <w:t xml:space="preserve">3.2 </w:t>
      </w:r>
      <w:r>
        <w:rPr>
          <w:rFonts w:hint="eastAsia" w:ascii="宋体" w:hAnsi="宋体" w:cs="宋体"/>
          <w:color w:val="auto"/>
          <w:sz w:val="24"/>
          <w:lang w:eastAsia="zh-CN"/>
        </w:rPr>
        <w:t>磋商文件</w:t>
      </w:r>
      <w:r>
        <w:rPr>
          <w:rFonts w:hint="eastAsia" w:ascii="宋体" w:hAnsi="宋体" w:cs="宋体"/>
          <w:color w:val="auto"/>
          <w:sz w:val="24"/>
        </w:rPr>
        <w:t>、投标文件、澄清表（如有）；</w:t>
      </w:r>
    </w:p>
    <w:p w14:paraId="3E541328">
      <w:pPr>
        <w:autoSpaceDN w:val="0"/>
        <w:spacing w:line="440" w:lineRule="exact"/>
        <w:ind w:firstLine="240" w:firstLineChars="100"/>
        <w:rPr>
          <w:rFonts w:hint="eastAsia" w:ascii="宋体" w:hAnsi="宋体" w:cs="宋体"/>
          <w:color w:val="auto"/>
          <w:sz w:val="24"/>
        </w:rPr>
      </w:pPr>
      <w:r>
        <w:rPr>
          <w:rFonts w:hint="eastAsia" w:ascii="宋体" w:hAnsi="宋体" w:cs="宋体"/>
          <w:color w:val="auto"/>
          <w:sz w:val="24"/>
        </w:rPr>
        <w:t>3.3 本合同及附件文本；</w:t>
      </w:r>
    </w:p>
    <w:p w14:paraId="03DA7ABF">
      <w:pPr>
        <w:autoSpaceDN w:val="0"/>
        <w:spacing w:line="440" w:lineRule="exact"/>
        <w:ind w:firstLine="240" w:firstLineChars="100"/>
        <w:rPr>
          <w:rFonts w:hint="eastAsia" w:ascii="宋体" w:hAnsi="宋体" w:eastAsia="宋体" w:cs="宋体"/>
          <w:color w:val="auto"/>
          <w:sz w:val="24"/>
          <w:lang w:eastAsia="zh-CN"/>
        </w:rPr>
      </w:pPr>
      <w:r>
        <w:rPr>
          <w:rFonts w:hint="eastAsia" w:ascii="宋体" w:hAnsi="宋体" w:cs="宋体"/>
          <w:color w:val="auto"/>
          <w:sz w:val="24"/>
        </w:rPr>
        <w:t>3.4 国家相应的标准、规范</w:t>
      </w:r>
      <w:r>
        <w:rPr>
          <w:rFonts w:hint="eastAsia" w:ascii="宋体" w:hAnsi="宋体" w:cs="宋体"/>
          <w:color w:val="auto"/>
          <w:sz w:val="24"/>
          <w:lang w:eastAsia="zh-CN"/>
        </w:rPr>
        <w:t>。</w:t>
      </w:r>
    </w:p>
    <w:p w14:paraId="42FD05F6">
      <w:pPr>
        <w:snapToGrid w:val="0"/>
        <w:spacing w:line="440" w:lineRule="exact"/>
        <w:rPr>
          <w:rFonts w:hint="eastAsia" w:ascii="宋体" w:hAnsi="宋体" w:cs="宋体"/>
          <w:b/>
          <w:color w:val="auto"/>
          <w:sz w:val="24"/>
        </w:rPr>
      </w:pPr>
      <w:r>
        <w:rPr>
          <w:rFonts w:hint="eastAsia" w:ascii="宋体" w:hAnsi="宋体" w:cs="宋体"/>
          <w:b/>
          <w:color w:val="auto"/>
          <w:sz w:val="24"/>
          <w:lang w:eastAsia="zh-CN"/>
        </w:rPr>
        <w:t>五</w:t>
      </w:r>
      <w:r>
        <w:rPr>
          <w:rFonts w:hint="eastAsia" w:ascii="宋体" w:hAnsi="宋体" w:cs="宋体"/>
          <w:b/>
          <w:color w:val="auto"/>
          <w:sz w:val="24"/>
        </w:rPr>
        <w:t>、款项结算</w:t>
      </w:r>
    </w:p>
    <w:p w14:paraId="087CE256">
      <w:pPr>
        <w:spacing w:line="440" w:lineRule="exact"/>
        <w:ind w:firstLine="480" w:firstLineChars="200"/>
        <w:rPr>
          <w:rFonts w:hint="eastAsia" w:ascii="宋体" w:hAnsi="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eastAsia="zh-CN"/>
        </w:rPr>
        <w:t>付款方式：</w:t>
      </w:r>
    </w:p>
    <w:p w14:paraId="41420B2B">
      <w:pPr>
        <w:spacing w:line="44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）以签订合同为准。</w:t>
      </w:r>
      <w:r>
        <w:rPr>
          <w:rFonts w:hint="eastAsia"/>
          <w:color w:val="auto"/>
          <w:sz w:val="24"/>
        </w:rPr>
        <w:t>甲方应在乙方货物运到且验收合格后，一次性付清全部货款（乙方按要求提供发票）</w:t>
      </w:r>
      <w:r>
        <w:rPr>
          <w:rFonts w:hint="eastAsia" w:ascii="宋体" w:hAnsi="宋体" w:cs="宋体"/>
          <w:color w:val="auto"/>
          <w:sz w:val="24"/>
        </w:rPr>
        <w:t>。</w:t>
      </w:r>
    </w:p>
    <w:p w14:paraId="1D26E0C3">
      <w:pPr>
        <w:spacing w:line="440" w:lineRule="exact"/>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采购人不承担因财政资金不能及时到位给成交人造成的任何损失。</w:t>
      </w:r>
    </w:p>
    <w:p w14:paraId="387645A8">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货款支付单位为：</w:t>
      </w:r>
      <w:r>
        <w:rPr>
          <w:rFonts w:hint="eastAsia" w:ascii="宋体" w:hAnsi="宋体" w:cs="宋体"/>
          <w:color w:val="auto"/>
          <w:sz w:val="24"/>
          <w:lang w:eastAsia="zh-CN"/>
        </w:rPr>
        <w:t>镇坪县农业技术推广站</w:t>
      </w:r>
      <w:r>
        <w:rPr>
          <w:rFonts w:hint="eastAsia" w:ascii="宋体" w:hAnsi="宋体" w:cs="宋体"/>
          <w:color w:val="auto"/>
          <w:sz w:val="24"/>
        </w:rPr>
        <w:t>；</w:t>
      </w:r>
    </w:p>
    <w:p w14:paraId="74D817B5">
      <w:pPr>
        <w:spacing w:line="440" w:lineRule="exact"/>
        <w:ind w:firstLine="480" w:firstLineChars="200"/>
        <w:rPr>
          <w:rFonts w:hint="eastAsia" w:ascii="宋体" w:hAnsi="宋体" w:cs="宋体"/>
          <w:color w:val="auto"/>
          <w:sz w:val="24"/>
        </w:rPr>
      </w:pPr>
      <w:r>
        <w:rPr>
          <w:rFonts w:hint="eastAsia" w:ascii="宋体" w:hAnsi="宋体" w:cs="宋体"/>
          <w:color w:val="auto"/>
          <w:sz w:val="24"/>
        </w:rPr>
        <w:t>发票开具的“购货单位（人）名称”以：</w:t>
      </w:r>
      <w:r>
        <w:rPr>
          <w:rFonts w:hint="eastAsia" w:ascii="宋体" w:hAnsi="宋体" w:cs="宋体"/>
          <w:color w:val="auto"/>
          <w:sz w:val="24"/>
          <w:lang w:eastAsia="zh-CN"/>
        </w:rPr>
        <w:t>镇坪县农业技术推广站</w:t>
      </w:r>
      <w:r>
        <w:rPr>
          <w:rFonts w:hint="eastAsia" w:ascii="宋体" w:hAnsi="宋体" w:cs="宋体"/>
          <w:color w:val="auto"/>
          <w:sz w:val="24"/>
        </w:rPr>
        <w:t>指定为准。</w:t>
      </w:r>
    </w:p>
    <w:bookmarkEnd w:id="134"/>
    <w:bookmarkEnd w:id="135"/>
    <w:bookmarkEnd w:id="136"/>
    <w:p w14:paraId="605C15A7">
      <w:pPr>
        <w:spacing w:line="440" w:lineRule="exact"/>
        <w:rPr>
          <w:rFonts w:hint="eastAsia" w:ascii="宋体" w:hAnsi="宋体" w:cs="宋体"/>
          <w:b/>
          <w:bCs/>
          <w:color w:val="auto"/>
          <w:sz w:val="24"/>
        </w:rPr>
      </w:pPr>
      <w:r>
        <w:rPr>
          <w:rFonts w:hint="eastAsia" w:ascii="宋体" w:hAnsi="宋体" w:cs="宋体"/>
          <w:b/>
          <w:bCs/>
          <w:color w:val="auto"/>
          <w:sz w:val="24"/>
          <w:lang w:eastAsia="zh-CN"/>
        </w:rPr>
        <w:t>六</w:t>
      </w:r>
      <w:r>
        <w:rPr>
          <w:rFonts w:hint="eastAsia" w:ascii="宋体" w:hAnsi="宋体" w:cs="宋体"/>
          <w:b/>
          <w:bCs/>
          <w:color w:val="auto"/>
          <w:sz w:val="24"/>
        </w:rPr>
        <w:t>、履约保证</w:t>
      </w:r>
    </w:p>
    <w:p w14:paraId="1F8A9874">
      <w:pPr>
        <w:spacing w:line="440" w:lineRule="exact"/>
        <w:ind w:firstLine="470" w:firstLineChars="196"/>
        <w:rPr>
          <w:rFonts w:hint="eastAsia" w:ascii="宋体" w:hAnsi="宋体" w:cs="宋体"/>
          <w:color w:val="auto"/>
          <w:sz w:val="24"/>
        </w:rPr>
      </w:pPr>
      <w:r>
        <w:rPr>
          <w:rFonts w:hint="eastAsia" w:ascii="宋体" w:hAnsi="宋体" w:cs="宋体"/>
          <w:color w:val="auto"/>
          <w:sz w:val="24"/>
        </w:rPr>
        <w:t>1、所</w:t>
      </w:r>
      <w:r>
        <w:rPr>
          <w:rFonts w:hint="eastAsia" w:ascii="宋体" w:hAnsi="宋体" w:cs="宋体"/>
          <w:color w:val="auto"/>
          <w:sz w:val="24"/>
          <w:lang w:eastAsia="zh-CN"/>
        </w:rPr>
        <w:t>提供</w:t>
      </w:r>
      <w:r>
        <w:rPr>
          <w:rFonts w:hint="eastAsia" w:ascii="宋体" w:hAnsi="宋体" w:cs="宋体"/>
          <w:color w:val="auto"/>
          <w:sz w:val="24"/>
        </w:rPr>
        <w:t>的货物须符合本次采购的质量要求。</w:t>
      </w:r>
    </w:p>
    <w:p w14:paraId="78A27E99">
      <w:pPr>
        <w:spacing w:line="440" w:lineRule="exact"/>
        <w:ind w:firstLine="470" w:firstLineChars="196"/>
        <w:rPr>
          <w:rFonts w:hint="eastAsia" w:ascii="宋体" w:hAnsi="宋体" w:cs="宋体"/>
          <w:color w:val="auto"/>
          <w:sz w:val="24"/>
        </w:rPr>
      </w:pPr>
      <w:r>
        <w:rPr>
          <w:rFonts w:hint="eastAsia" w:ascii="宋体" w:hAnsi="宋体" w:cs="宋体"/>
          <w:color w:val="auto"/>
          <w:sz w:val="24"/>
        </w:rPr>
        <w:t>2、本项目质量验收达到工作要求，一次性验收合格。</w:t>
      </w:r>
    </w:p>
    <w:p w14:paraId="69699832">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、中标公告公示期结束后30天内，</w:t>
      </w:r>
      <w:r>
        <w:rPr>
          <w:rFonts w:hint="eastAsia" w:ascii="宋体" w:hAnsi="宋体" w:cs="宋体"/>
          <w:color w:val="auto"/>
          <w:sz w:val="24"/>
          <w:lang w:eastAsia="zh-CN"/>
        </w:rPr>
        <w:t>成交供应商</w:t>
      </w:r>
      <w:r>
        <w:rPr>
          <w:rFonts w:hint="eastAsia" w:ascii="宋体" w:hAnsi="宋体" w:cs="宋体"/>
          <w:color w:val="auto"/>
          <w:sz w:val="24"/>
        </w:rPr>
        <w:t>主动与采购方联系并签订合同书，超过30天未签订合同书视为</w:t>
      </w:r>
      <w:r>
        <w:rPr>
          <w:rFonts w:hint="eastAsia" w:ascii="宋体" w:hAnsi="宋体" w:cs="宋体"/>
          <w:color w:val="auto"/>
          <w:sz w:val="24"/>
          <w:lang w:eastAsia="zh-CN"/>
        </w:rPr>
        <w:t>成交供应商</w:t>
      </w:r>
      <w:r>
        <w:rPr>
          <w:rFonts w:hint="eastAsia" w:ascii="宋体" w:hAnsi="宋体" w:cs="宋体"/>
          <w:color w:val="auto"/>
          <w:sz w:val="24"/>
        </w:rPr>
        <w:t>主动放弃，由此引发的一切后果由成交供应商承担。</w:t>
      </w:r>
    </w:p>
    <w:p w14:paraId="5AA896C7">
      <w:pP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、提供的产品及配套的服务等，能满足</w:t>
      </w:r>
      <w:r>
        <w:rPr>
          <w:rFonts w:hint="eastAsia" w:ascii="宋体" w:hAnsi="宋体" w:eastAsia="宋体" w:cs="宋体"/>
          <w:color w:val="auto"/>
          <w:sz w:val="24"/>
          <w:lang w:eastAsia="zh-CN"/>
        </w:rPr>
        <w:t>采购人</w:t>
      </w:r>
      <w:r>
        <w:rPr>
          <w:rFonts w:hint="eastAsia" w:ascii="宋体" w:hAnsi="宋体" w:eastAsia="宋体" w:cs="宋体"/>
          <w:color w:val="auto"/>
          <w:sz w:val="24"/>
        </w:rPr>
        <w:t>业务发展的需要，符合国家与行业相关规定与要求。若无法满足上述所有需求，在</w:t>
      </w:r>
      <w:r>
        <w:rPr>
          <w:rFonts w:hint="eastAsia" w:ascii="宋体" w:hAnsi="宋体" w:eastAsia="宋体" w:cs="宋体"/>
          <w:color w:val="auto"/>
          <w:sz w:val="24"/>
          <w:lang w:eastAsia="zh-CN"/>
        </w:rPr>
        <w:t>供货期</w:t>
      </w:r>
      <w:r>
        <w:rPr>
          <w:rFonts w:hint="eastAsia" w:ascii="宋体" w:hAnsi="宋体" w:eastAsia="宋体" w:cs="宋体"/>
          <w:color w:val="auto"/>
          <w:sz w:val="24"/>
        </w:rPr>
        <w:t>之内，成交供应商需采取可行的方法进行修正与补救，并不得要求采购方承担任何费用。若成交供应商在上述规定的时间之内没有执行修正与补救措施，或经过修正与补救后仍然无法满足采购方上述所有需求，采购方有权单方面解除采购合同，并且不承担任何责任与后果，同时追究成交供应商的违约责任，对采购方造成损失的可继续追偿。</w:t>
      </w:r>
    </w:p>
    <w:p w14:paraId="3CF83237">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、采购人只对</w:t>
      </w:r>
      <w:r>
        <w:rPr>
          <w:rFonts w:hint="eastAsia" w:ascii="宋体" w:hAnsi="宋体" w:eastAsia="宋体" w:cs="宋体"/>
          <w:color w:val="auto"/>
          <w:sz w:val="24"/>
          <w:lang w:eastAsia="zh-CN"/>
        </w:rPr>
        <w:t>成交供应商</w:t>
      </w:r>
      <w:r>
        <w:rPr>
          <w:rFonts w:hint="eastAsia" w:ascii="宋体" w:hAnsi="宋体" w:eastAsia="宋体" w:cs="宋体"/>
          <w:color w:val="auto"/>
          <w:sz w:val="24"/>
        </w:rPr>
        <w:t>提出质量服务要求，所有涉及货物制造商的有关事项均由</w:t>
      </w:r>
      <w:r>
        <w:rPr>
          <w:rFonts w:hint="eastAsia" w:ascii="宋体" w:hAnsi="宋体" w:eastAsia="宋体" w:cs="宋体"/>
          <w:color w:val="auto"/>
          <w:sz w:val="24"/>
          <w:lang w:eastAsia="zh-CN"/>
        </w:rPr>
        <w:t>成交供应商</w:t>
      </w:r>
      <w:r>
        <w:rPr>
          <w:rFonts w:hint="eastAsia" w:ascii="宋体" w:hAnsi="宋体" w:eastAsia="宋体" w:cs="宋体"/>
          <w:color w:val="auto"/>
          <w:sz w:val="24"/>
        </w:rPr>
        <w:t>负责。</w:t>
      </w:r>
    </w:p>
    <w:p w14:paraId="5BAFB162">
      <w:pPr>
        <w:adjustRightInd w:val="0"/>
        <w:spacing w:line="480" w:lineRule="exact"/>
        <w:ind w:firstLine="480" w:firstLineChars="200"/>
        <w:rPr>
          <w:rFonts w:hint="eastAsia" w:ascii="宋体" w:hAnsi="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、成交供应商的投标文件为签订正式书面合同书不可分割的部分，成交供应商应履行相应的责任。</w:t>
      </w:r>
    </w:p>
    <w:p w14:paraId="61B37FE2">
      <w:pPr>
        <w:pStyle w:val="27"/>
        <w:rPr>
          <w:rFonts w:hint="eastAsia"/>
          <w:color w:val="auto"/>
        </w:rPr>
      </w:pPr>
    </w:p>
    <w:p w14:paraId="1D066A4C">
      <w:pPr>
        <w:pStyle w:val="27"/>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七、违约责任</w:t>
      </w:r>
    </w:p>
    <w:p w14:paraId="600477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 xml:space="preserve">1.按《中华人民共和国政府采购法》《中华人民共和国民法典》中的相关条款执行。 </w:t>
      </w:r>
    </w:p>
    <w:p w14:paraId="464C35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 xml:space="preserve">2.未按合同或磋商文件要求提供产品或供应的产品质量不能满足采购人技术要求，采购单位有权终止合同，甚至对供应商违约行为进行追究。 </w:t>
      </w:r>
    </w:p>
    <w:p w14:paraId="3CA209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sz w:val="24"/>
          <w:lang w:val="en-US" w:eastAsia="zh-CN"/>
        </w:rPr>
        <w:t>3.供应商的投标文件为签订正式书面合同书不可分割的部分，成交供应商应履行相应的责任。</w:t>
      </w:r>
    </w:p>
    <w:p w14:paraId="6E456328">
      <w:pPr>
        <w:pStyle w:val="2"/>
        <w:rPr>
          <w:rFonts w:hint="eastAsia" w:ascii="宋体" w:hAnsi="宋体" w:eastAsia="宋体" w:cs="宋体"/>
          <w:b/>
          <w:bCs w:val="0"/>
          <w:color w:val="auto"/>
          <w:sz w:val="24"/>
          <w:szCs w:val="24"/>
          <w:lang w:eastAsia="zh-CN"/>
        </w:rPr>
      </w:pPr>
    </w:p>
    <w:p w14:paraId="6CF2DF60">
      <w:pPr>
        <w:pStyle w:val="19"/>
        <w:keepNext w:val="0"/>
        <w:keepLines w:val="0"/>
        <w:pageBreakBefore w:val="0"/>
        <w:numPr>
          <w:ilvl w:val="0"/>
          <w:numId w:val="0"/>
        </w:numPr>
        <w:overflowPunct/>
        <w:topLinePunct w:val="0"/>
        <w:bidi w:val="0"/>
        <w:spacing w:line="240" w:lineRule="auto"/>
        <w:ind w:leftChars="0"/>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eastAsia="zh-CN"/>
        </w:rPr>
        <w:t>第四章</w:t>
      </w:r>
      <w:r>
        <w:rPr>
          <w:rFonts w:hint="eastAsia" w:ascii="宋体" w:hAnsi="宋体" w:eastAsia="宋体" w:cs="宋体"/>
          <w:b/>
          <w:bCs w:val="0"/>
          <w:color w:val="auto"/>
          <w:sz w:val="28"/>
          <w:szCs w:val="28"/>
          <w:lang w:val="en-US" w:eastAsia="zh-CN"/>
        </w:rPr>
        <w:t xml:space="preserve"> </w:t>
      </w:r>
      <w:r>
        <w:rPr>
          <w:rFonts w:hint="eastAsia" w:ascii="宋体" w:hAnsi="宋体" w:eastAsia="宋体" w:cs="宋体"/>
          <w:b/>
          <w:bCs w:val="0"/>
          <w:color w:val="auto"/>
          <w:sz w:val="28"/>
          <w:szCs w:val="28"/>
        </w:rPr>
        <w:t>合同条款及格式</w:t>
      </w:r>
    </w:p>
    <w:bookmarkEnd w:id="137"/>
    <w:bookmarkEnd w:id="138"/>
    <w:bookmarkEnd w:id="139"/>
    <w:bookmarkEnd w:id="140"/>
    <w:bookmarkEnd w:id="141"/>
    <w:p w14:paraId="66124D18">
      <w:pPr>
        <w:jc w:val="center"/>
        <w:rPr>
          <w:rFonts w:ascii="黑体" w:hAnsi="黑体" w:eastAsia="黑体" w:cs="黑体"/>
          <w:b/>
          <w:sz w:val="44"/>
          <w:szCs w:val="44"/>
        </w:rPr>
      </w:pPr>
      <w:r>
        <mc:AlternateContent>
          <mc:Choice Requires="wps">
            <w:drawing>
              <wp:anchor distT="0" distB="0" distL="114300" distR="114300" simplePos="0" relativeHeight="251661312" behindDoc="0" locked="0" layoutInCell="1" allowOverlap="1">
                <wp:simplePos x="0" y="0"/>
                <wp:positionH relativeFrom="column">
                  <wp:posOffset>10276205</wp:posOffset>
                </wp:positionH>
                <wp:positionV relativeFrom="page">
                  <wp:posOffset>1589405</wp:posOffset>
                </wp:positionV>
                <wp:extent cx="8551545" cy="4506595"/>
                <wp:effectExtent l="4445" t="4445" r="16510" b="22860"/>
                <wp:wrapNone/>
                <wp:docPr id="2" name="文本框 2"/>
                <wp:cNvGraphicFramePr/>
                <a:graphic xmlns:a="http://schemas.openxmlformats.org/drawingml/2006/main">
                  <a:graphicData uri="http://schemas.microsoft.com/office/word/2010/wordprocessingShape">
                    <wps:wsp>
                      <wps:cNvSpPr txBox="1"/>
                      <wps:spPr>
                        <a:xfrm>
                          <a:off x="0" y="0"/>
                          <a:ext cx="8551545" cy="4506595"/>
                        </a:xfrm>
                        <a:prstGeom prst="rect">
                          <a:avLst/>
                        </a:prstGeom>
                        <a:solidFill>
                          <a:srgbClr val="D0CECE"/>
                        </a:solidFill>
                        <a:ln w="6350" cap="flat" cmpd="sng">
                          <a:solidFill>
                            <a:srgbClr val="000000"/>
                          </a:solidFill>
                          <a:prstDash val="solid"/>
                          <a:round/>
                          <a:headEnd type="none" w="med" len="med"/>
                          <a:tailEnd type="none" w="med" len="med"/>
                        </a:ln>
                      </wps:spPr>
                      <wps:txbx>
                        <w:txbxContent>
                          <w:p w14:paraId="4730358C">
                            <w:pPr>
                              <w:shd w:val="clear" w:color="auto" w:fill="E7E6E6"/>
                              <w:spacing w:line="360" w:lineRule="auto"/>
                              <w:rPr>
                                <w:b/>
                                <w:bCs/>
                                <w:color w:val="000000"/>
                                <w:sz w:val="40"/>
                                <w:szCs w:val="36"/>
                              </w:rPr>
                            </w:pPr>
                            <w:r>
                              <w:rPr>
                                <w:b/>
                                <w:bCs/>
                                <w:sz w:val="32"/>
                                <w:szCs w:val="28"/>
                              </w:rPr>
                              <w:t xml:space="preserve"> </w:t>
                            </w:r>
                            <w:r>
                              <w:rPr>
                                <w:rFonts w:eastAsia="Times New Roman"/>
                                <w:kern w:val="0"/>
                                <w:sz w:val="20"/>
                                <w:szCs w:val="20"/>
                              </w:rPr>
                              <w:drawing>
                                <wp:inline distT="0" distB="0" distL="114300" distR="114300">
                                  <wp:extent cx="1304925" cy="49530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304925" cy="495300"/>
                                          </a:xfrm>
                                          <a:prstGeom prst="rect">
                                            <a:avLst/>
                                          </a:prstGeom>
                                          <a:noFill/>
                                          <a:ln>
                                            <a:noFill/>
                                          </a:ln>
                                        </pic:spPr>
                                      </pic:pic>
                                    </a:graphicData>
                                  </a:graphic>
                                </wp:inline>
                              </w:drawing>
                            </w:r>
                            <w:r>
                              <w:rPr>
                                <w:b/>
                                <w:bCs/>
                                <w:sz w:val="32"/>
                                <w:szCs w:val="28"/>
                              </w:rPr>
                              <w:t xml:space="preserve"> </w:t>
                            </w:r>
                            <w:r>
                              <w:rPr>
                                <w:rFonts w:hint="eastAsia"/>
                                <w:b/>
                                <w:bCs/>
                                <w:color w:val="000000"/>
                                <w:sz w:val="40"/>
                                <w:szCs w:val="36"/>
                              </w:rPr>
                              <w:t>该文本已由内蒙古则维律师事务所审核并出具以下法律意见，电子文本中所有批注及正文中彩色字体或加重字体均为我所修改审核的内容，敬请参照修改。</w:t>
                            </w:r>
                            <w:r>
                              <w:rPr>
                                <w:rFonts w:hint="eastAsia" w:ascii="楷体" w:hAnsi="楷体" w:eastAsia="楷体" w:cs="楷体"/>
                                <w:b/>
                                <w:bCs/>
                                <w:color w:val="FF0000"/>
                                <w:sz w:val="40"/>
                                <w:szCs w:val="36"/>
                                <w:u w:val="single"/>
                              </w:rPr>
                              <w:t>特别提示：请勿将我律所为贵公司出具的法律意见向合同相对方出示。我所向贵公司出具的法律意见仅限于审查合同文本之文字表述是否符合法律规定，不对贵公司提供签订建议。</w:t>
                            </w:r>
                            <w:r>
                              <w:rPr>
                                <w:rFonts w:hint="eastAsia"/>
                                <w:b/>
                                <w:bCs/>
                                <w:color w:val="000000"/>
                                <w:sz w:val="40"/>
                                <w:szCs w:val="36"/>
                              </w:rPr>
                              <w:t>未经相关律师许可，不得向任何第三人出示，亦不得为任何证据使用。因材料及修改时间限制，相关法律意见有待展开的内容，敬待协商解决，相关法律意见不做最终意见。</w:t>
                            </w:r>
                          </w:p>
                          <w:p w14:paraId="0CE998C4">
                            <w:pPr>
                              <w:shd w:val="clear" w:color="auto" w:fill="E7E6E6"/>
                              <w:spacing w:line="360" w:lineRule="auto"/>
                              <w:rPr>
                                <w:b/>
                                <w:bCs/>
                                <w:color w:val="000000"/>
                                <w:sz w:val="36"/>
                                <w:szCs w:val="32"/>
                              </w:rPr>
                            </w:pPr>
                            <w:r>
                              <w:rPr>
                                <w:b/>
                                <w:bCs/>
                                <w:color w:val="000000"/>
                                <w:sz w:val="40"/>
                                <w:szCs w:val="36"/>
                              </w:rPr>
                              <w:t xml:space="preserve">   </w:t>
                            </w:r>
                            <w:r>
                              <w:rPr>
                                <w:rFonts w:hint="eastAsia"/>
                                <w:b/>
                                <w:bCs/>
                                <w:color w:val="000000"/>
                                <w:sz w:val="40"/>
                                <w:szCs w:val="36"/>
                              </w:rPr>
                              <w:t>由于电子合同修改格式问题，为了方便贵公司领导等相关人员阅读，我所将电子版审查稿“页面布局”的“纸张方向”设置成了“横向”，请贵公司参照我所审核内容修改后重新调整为“纵向”页面布局。</w:t>
                            </w:r>
                          </w:p>
                          <w:p w14:paraId="3CB60B6F">
                            <w:pPr>
                              <w:spacing w:line="360" w:lineRule="auto"/>
                            </w:pPr>
                          </w:p>
                        </w:txbxContent>
                      </wps:txbx>
                      <wps:bodyPr upright="1"/>
                    </wps:wsp>
                  </a:graphicData>
                </a:graphic>
              </wp:anchor>
            </w:drawing>
          </mc:Choice>
          <mc:Fallback>
            <w:pict>
              <v:shape id="_x0000_s1026" o:spid="_x0000_s1026" o:spt="202" type="#_x0000_t202" style="position:absolute;left:0pt;margin-left:809.15pt;margin-top:125.15pt;height:354.85pt;width:673.35pt;mso-position-vertical-relative:page;z-index:251661312;mso-width-relative:page;mso-height-relative:page;" fillcolor="#D0CECE" filled="t" stroked="t" coordsize="21600,21600" o:gfxdata="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ZePyrcAAAADQEAAA8AAAAA&#10;AAAAAQAgAAAAIgAAAGRycy9kb3ducmV2LnhtbFBLAQIUABQAAAAIAIdO4kBkvzrVEAIAADcEAAAO&#10;AAAAAAAAAAEAIAAAACsBAABkcnMvZTJvRG9jLnhtbFBLBQYAAAAABgAGAFkBAACtBQAAAAA=&#10;">
                <v:fill on="t" focussize="0,0"/>
                <v:stroke weight="0.5pt" color="#000000" joinstyle="round"/>
                <v:imagedata o:title=""/>
                <o:lock v:ext="edit" aspectratio="f"/>
                <v:textbox>
                  <w:txbxContent>
                    <w:p w14:paraId="4730358C">
                      <w:pPr>
                        <w:shd w:val="clear" w:color="auto" w:fill="E7E6E6"/>
                        <w:spacing w:line="360" w:lineRule="auto"/>
                        <w:rPr>
                          <w:b/>
                          <w:bCs/>
                          <w:color w:val="000000"/>
                          <w:sz w:val="40"/>
                          <w:szCs w:val="36"/>
                        </w:rPr>
                      </w:pPr>
                      <w:r>
                        <w:rPr>
                          <w:b/>
                          <w:bCs/>
                          <w:sz w:val="32"/>
                          <w:szCs w:val="28"/>
                        </w:rPr>
                        <w:t xml:space="preserve"> </w:t>
                      </w:r>
                      <w:r>
                        <w:rPr>
                          <w:rFonts w:eastAsia="Times New Roman"/>
                          <w:kern w:val="0"/>
                          <w:sz w:val="20"/>
                          <w:szCs w:val="20"/>
                        </w:rPr>
                        <w:drawing>
                          <wp:inline distT="0" distB="0" distL="114300" distR="114300">
                            <wp:extent cx="1304925" cy="49530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304925" cy="495300"/>
                                    </a:xfrm>
                                    <a:prstGeom prst="rect">
                                      <a:avLst/>
                                    </a:prstGeom>
                                    <a:noFill/>
                                    <a:ln>
                                      <a:noFill/>
                                    </a:ln>
                                  </pic:spPr>
                                </pic:pic>
                              </a:graphicData>
                            </a:graphic>
                          </wp:inline>
                        </w:drawing>
                      </w:r>
                      <w:r>
                        <w:rPr>
                          <w:b/>
                          <w:bCs/>
                          <w:sz w:val="32"/>
                          <w:szCs w:val="28"/>
                        </w:rPr>
                        <w:t xml:space="preserve"> </w:t>
                      </w:r>
                      <w:r>
                        <w:rPr>
                          <w:rFonts w:hint="eastAsia"/>
                          <w:b/>
                          <w:bCs/>
                          <w:color w:val="000000"/>
                          <w:sz w:val="40"/>
                          <w:szCs w:val="36"/>
                        </w:rPr>
                        <w:t>该文本已由内蒙古则维律师事务所审核并出具以下法律意见，电子文本中所有批注及正文中彩色字体或加重字体均为我所修改审核的内容，敬请参照修改。</w:t>
                      </w:r>
                      <w:r>
                        <w:rPr>
                          <w:rFonts w:hint="eastAsia" w:ascii="楷体" w:hAnsi="楷体" w:eastAsia="楷体" w:cs="楷体"/>
                          <w:b/>
                          <w:bCs/>
                          <w:color w:val="FF0000"/>
                          <w:sz w:val="40"/>
                          <w:szCs w:val="36"/>
                          <w:u w:val="single"/>
                        </w:rPr>
                        <w:t>特别提示：请勿将我律所为贵公司出具的法律意见向合同相对方出示。我所向贵公司出具的法律意见仅限于审查合同文本之文字表述是否符合法律规定，不对贵公司提供签订建议。</w:t>
                      </w:r>
                      <w:r>
                        <w:rPr>
                          <w:rFonts w:hint="eastAsia"/>
                          <w:b/>
                          <w:bCs/>
                          <w:color w:val="000000"/>
                          <w:sz w:val="40"/>
                          <w:szCs w:val="36"/>
                        </w:rPr>
                        <w:t>未经相关律师许可，不得向任何第三人出示，亦不得为任何证据使用。因材料及修改时间限制，相关法律意见有待展开的内容，敬待协商解决，相关法律意见不做最终意见。</w:t>
                      </w:r>
                    </w:p>
                    <w:p w14:paraId="0CE998C4">
                      <w:pPr>
                        <w:shd w:val="clear" w:color="auto" w:fill="E7E6E6"/>
                        <w:spacing w:line="360" w:lineRule="auto"/>
                        <w:rPr>
                          <w:b/>
                          <w:bCs/>
                          <w:color w:val="000000"/>
                          <w:sz w:val="36"/>
                          <w:szCs w:val="32"/>
                        </w:rPr>
                      </w:pPr>
                      <w:r>
                        <w:rPr>
                          <w:b/>
                          <w:bCs/>
                          <w:color w:val="000000"/>
                          <w:sz w:val="40"/>
                          <w:szCs w:val="36"/>
                        </w:rPr>
                        <w:t xml:space="preserve">   </w:t>
                      </w:r>
                      <w:r>
                        <w:rPr>
                          <w:rFonts w:hint="eastAsia"/>
                          <w:b/>
                          <w:bCs/>
                          <w:color w:val="000000"/>
                          <w:sz w:val="40"/>
                          <w:szCs w:val="36"/>
                        </w:rPr>
                        <w:t>由于电子合同修改格式问题，为了方便贵公司领导等相关人员阅读，我所将电子版审查稿“页面布局”的“纸张方向”设置成了“横向”，请贵公司参照我所审核内容修改后重新调整为“纵向”页面布局。</w:t>
                      </w:r>
                    </w:p>
                    <w:p w14:paraId="3CB60B6F">
                      <w:pPr>
                        <w:spacing w:line="360" w:lineRule="auto"/>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12179300</wp:posOffset>
                </wp:positionH>
                <wp:positionV relativeFrom="page">
                  <wp:posOffset>1752600</wp:posOffset>
                </wp:positionV>
                <wp:extent cx="6938645" cy="4879340"/>
                <wp:effectExtent l="4445" t="4445" r="10160" b="12065"/>
                <wp:wrapNone/>
                <wp:docPr id="4" name="文本框 3"/>
                <wp:cNvGraphicFramePr/>
                <a:graphic xmlns:a="http://schemas.openxmlformats.org/drawingml/2006/main">
                  <a:graphicData uri="http://schemas.microsoft.com/office/word/2010/wordprocessingShape">
                    <wps:wsp>
                      <wps:cNvSpPr txBox="1"/>
                      <wps:spPr>
                        <a:xfrm>
                          <a:off x="0" y="0"/>
                          <a:ext cx="6938645" cy="4879340"/>
                        </a:xfrm>
                        <a:prstGeom prst="rect">
                          <a:avLst/>
                        </a:prstGeom>
                        <a:solidFill>
                          <a:srgbClr val="D0CECE"/>
                        </a:solidFill>
                        <a:ln w="6350" cap="flat" cmpd="sng">
                          <a:solidFill>
                            <a:srgbClr val="000000"/>
                          </a:solidFill>
                          <a:prstDash val="solid"/>
                          <a:round/>
                          <a:headEnd type="none" w="med" len="med"/>
                          <a:tailEnd type="none" w="med" len="med"/>
                        </a:ln>
                      </wps:spPr>
                      <wps:txbx>
                        <w:txbxContent>
                          <w:p w14:paraId="5CB8F677">
                            <w:pPr>
                              <w:shd w:val="clear" w:color="auto" w:fill="E7E6E6"/>
                              <w:spacing w:line="360" w:lineRule="auto"/>
                              <w:rPr>
                                <w:b/>
                                <w:bCs/>
                                <w:color w:val="000000"/>
                                <w:sz w:val="40"/>
                                <w:szCs w:val="36"/>
                              </w:rPr>
                            </w:pPr>
                            <w:r>
                              <w:rPr>
                                <w:b/>
                                <w:bCs/>
                                <w:sz w:val="32"/>
                                <w:szCs w:val="28"/>
                              </w:rPr>
                              <w:t xml:space="preserve"> </w:t>
                            </w:r>
                            <w:r>
                              <w:rPr>
                                <w:rFonts w:eastAsia="Times New Roman"/>
                                <w:kern w:val="0"/>
                                <w:sz w:val="20"/>
                                <w:szCs w:val="20"/>
                              </w:rPr>
                              <w:drawing>
                                <wp:inline distT="0" distB="0" distL="114300" distR="114300">
                                  <wp:extent cx="1304925" cy="495300"/>
                                  <wp:effectExtent l="0" t="0" r="952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1304925" cy="495300"/>
                                          </a:xfrm>
                                          <a:prstGeom prst="rect">
                                            <a:avLst/>
                                          </a:prstGeom>
                                          <a:noFill/>
                                          <a:ln>
                                            <a:noFill/>
                                          </a:ln>
                                        </pic:spPr>
                                      </pic:pic>
                                    </a:graphicData>
                                  </a:graphic>
                                </wp:inline>
                              </w:drawing>
                            </w:r>
                            <w:r>
                              <w:rPr>
                                <w:b/>
                                <w:bCs/>
                                <w:sz w:val="32"/>
                                <w:szCs w:val="28"/>
                              </w:rPr>
                              <w:t xml:space="preserve"> </w:t>
                            </w:r>
                            <w:r>
                              <w:rPr>
                                <w:rFonts w:hint="eastAsia"/>
                                <w:b/>
                                <w:bCs/>
                                <w:color w:val="000000"/>
                                <w:sz w:val="40"/>
                                <w:szCs w:val="36"/>
                              </w:rPr>
                              <w:t>该文本已由内蒙古则维律师事务所审核并出具以下法律意见，电子文本中所有批注及正文中彩色字体或加重字体均为我所修改审核的内容，敬请参照修改。</w:t>
                            </w:r>
                            <w:r>
                              <w:rPr>
                                <w:rFonts w:hint="eastAsia" w:ascii="楷体" w:hAnsi="楷体" w:eastAsia="楷体" w:cs="楷体"/>
                                <w:b/>
                                <w:bCs/>
                                <w:color w:val="FF0000"/>
                                <w:sz w:val="40"/>
                                <w:szCs w:val="36"/>
                                <w:u w:val="single"/>
                              </w:rPr>
                              <w:t>特别提示：请勿将我律所为贵公司出具的法律意见向合同相对方出示。我所向贵公司出具的法律意见仅限于审查合同文本之文字表述是否符合法律规定，不对贵公司提供签订建议。</w:t>
                            </w:r>
                            <w:r>
                              <w:rPr>
                                <w:rFonts w:hint="eastAsia"/>
                                <w:b/>
                                <w:bCs/>
                                <w:color w:val="000000"/>
                                <w:sz w:val="40"/>
                                <w:szCs w:val="36"/>
                              </w:rPr>
                              <w:t>未经相关律师许可，不得向任何第三人出示，亦不得为任何证据使用。因材料及修改时间限制，相关法律意见有待展开的内容，敬待协商解决，相关法律意见不做最终意见。</w:t>
                            </w:r>
                          </w:p>
                          <w:p w14:paraId="1AFC257F">
                            <w:pPr>
                              <w:shd w:val="clear" w:color="auto" w:fill="E7E6E6"/>
                              <w:spacing w:line="360" w:lineRule="auto"/>
                              <w:rPr>
                                <w:b/>
                                <w:bCs/>
                                <w:color w:val="000000"/>
                                <w:sz w:val="36"/>
                                <w:szCs w:val="32"/>
                              </w:rPr>
                            </w:pPr>
                            <w:r>
                              <w:rPr>
                                <w:b/>
                                <w:bCs/>
                                <w:color w:val="000000"/>
                                <w:sz w:val="40"/>
                                <w:szCs w:val="36"/>
                              </w:rPr>
                              <w:t xml:space="preserve">   </w:t>
                            </w:r>
                            <w:r>
                              <w:rPr>
                                <w:rFonts w:hint="eastAsia"/>
                                <w:b/>
                                <w:bCs/>
                                <w:color w:val="000000"/>
                                <w:sz w:val="40"/>
                                <w:szCs w:val="36"/>
                              </w:rPr>
                              <w:t>由于电子合同修改格式问题，为了方便贵公司领导等相关人员阅读，我所将电子版审查稿“页面布局”的“纸张方向”设置成了“横向”，请贵公司参照我所审核内容修改后重新调整为“纵向”页面布局。</w:t>
                            </w:r>
                          </w:p>
                          <w:p w14:paraId="4E16F024">
                            <w:pPr>
                              <w:spacing w:line="360" w:lineRule="auto"/>
                            </w:pPr>
                          </w:p>
                        </w:txbxContent>
                      </wps:txbx>
                      <wps:bodyPr upright="1"/>
                    </wps:wsp>
                  </a:graphicData>
                </a:graphic>
              </wp:anchor>
            </w:drawing>
          </mc:Choice>
          <mc:Fallback>
            <w:pict>
              <v:shape id="文本框 3" o:spid="_x0000_s1026" o:spt="202" type="#_x0000_t202" style="position:absolute;left:0pt;margin-left:959pt;margin-top:138pt;height:384.2pt;width:546.35pt;mso-position-vertical-relative:page;z-index:251660288;mso-width-relative:page;mso-height-relative:page;" fillcolor="#D0CECE" filled="t" stroked="t" coordsize="21600,21600" o:gfxdata="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PYSTC3QAAAA4BAAAP&#10;AAAAAAAAAAEAIAAAACIAAABkcnMvZG93bnJldi54bWxQSwECFAAUAAAACACHTuJANMcZ5xMCAAA3&#10;BAAADgAAAAAAAAABACAAAAAsAQAAZHJzL2Uyb0RvYy54bWxQSwUGAAAAAAYABgBZAQAAsQUAAAAA&#10;">
                <v:fill on="t" focussize="0,0"/>
                <v:stroke weight="0.5pt" color="#000000" joinstyle="round"/>
                <v:imagedata o:title=""/>
                <o:lock v:ext="edit" aspectratio="f"/>
                <v:textbox>
                  <w:txbxContent>
                    <w:p w14:paraId="5CB8F677">
                      <w:pPr>
                        <w:shd w:val="clear" w:color="auto" w:fill="E7E6E6"/>
                        <w:spacing w:line="360" w:lineRule="auto"/>
                        <w:rPr>
                          <w:b/>
                          <w:bCs/>
                          <w:color w:val="000000"/>
                          <w:sz w:val="40"/>
                          <w:szCs w:val="36"/>
                        </w:rPr>
                      </w:pPr>
                      <w:r>
                        <w:rPr>
                          <w:b/>
                          <w:bCs/>
                          <w:sz w:val="32"/>
                          <w:szCs w:val="28"/>
                        </w:rPr>
                        <w:t xml:space="preserve"> </w:t>
                      </w:r>
                      <w:r>
                        <w:rPr>
                          <w:rFonts w:eastAsia="Times New Roman"/>
                          <w:kern w:val="0"/>
                          <w:sz w:val="20"/>
                          <w:szCs w:val="20"/>
                        </w:rPr>
                        <w:drawing>
                          <wp:inline distT="0" distB="0" distL="114300" distR="114300">
                            <wp:extent cx="1304925" cy="495300"/>
                            <wp:effectExtent l="0" t="0" r="952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1304925" cy="495300"/>
                                    </a:xfrm>
                                    <a:prstGeom prst="rect">
                                      <a:avLst/>
                                    </a:prstGeom>
                                    <a:noFill/>
                                    <a:ln>
                                      <a:noFill/>
                                    </a:ln>
                                  </pic:spPr>
                                </pic:pic>
                              </a:graphicData>
                            </a:graphic>
                          </wp:inline>
                        </w:drawing>
                      </w:r>
                      <w:r>
                        <w:rPr>
                          <w:b/>
                          <w:bCs/>
                          <w:sz w:val="32"/>
                          <w:szCs w:val="28"/>
                        </w:rPr>
                        <w:t xml:space="preserve"> </w:t>
                      </w:r>
                      <w:r>
                        <w:rPr>
                          <w:rFonts w:hint="eastAsia"/>
                          <w:b/>
                          <w:bCs/>
                          <w:color w:val="000000"/>
                          <w:sz w:val="40"/>
                          <w:szCs w:val="36"/>
                        </w:rPr>
                        <w:t>该文本已由内蒙古则维律师事务所审核并出具以下法律意见，电子文本中所有批注及正文中彩色字体或加重字体均为我所修改审核的内容，敬请参照修改。</w:t>
                      </w:r>
                      <w:r>
                        <w:rPr>
                          <w:rFonts w:hint="eastAsia" w:ascii="楷体" w:hAnsi="楷体" w:eastAsia="楷体" w:cs="楷体"/>
                          <w:b/>
                          <w:bCs/>
                          <w:color w:val="FF0000"/>
                          <w:sz w:val="40"/>
                          <w:szCs w:val="36"/>
                          <w:u w:val="single"/>
                        </w:rPr>
                        <w:t>特别提示：请勿将我律所为贵公司出具的法律意见向合同相对方出示。我所向贵公司出具的法律意见仅限于审查合同文本之文字表述是否符合法律规定，不对贵公司提供签订建议。</w:t>
                      </w:r>
                      <w:r>
                        <w:rPr>
                          <w:rFonts w:hint="eastAsia"/>
                          <w:b/>
                          <w:bCs/>
                          <w:color w:val="000000"/>
                          <w:sz w:val="40"/>
                          <w:szCs w:val="36"/>
                        </w:rPr>
                        <w:t>未经相关律师许可，不得向任何第三人出示，亦不得为任何证据使用。因材料及修改时间限制，相关法律意见有待展开的内容，敬待协商解决，相关法律意见不做最终意见。</w:t>
                      </w:r>
                    </w:p>
                    <w:p w14:paraId="1AFC257F">
                      <w:pPr>
                        <w:shd w:val="clear" w:color="auto" w:fill="E7E6E6"/>
                        <w:spacing w:line="360" w:lineRule="auto"/>
                        <w:rPr>
                          <w:b/>
                          <w:bCs/>
                          <w:color w:val="000000"/>
                          <w:sz w:val="36"/>
                          <w:szCs w:val="32"/>
                        </w:rPr>
                      </w:pPr>
                      <w:r>
                        <w:rPr>
                          <w:b/>
                          <w:bCs/>
                          <w:color w:val="000000"/>
                          <w:sz w:val="40"/>
                          <w:szCs w:val="36"/>
                        </w:rPr>
                        <w:t xml:space="preserve">   </w:t>
                      </w:r>
                      <w:r>
                        <w:rPr>
                          <w:rFonts w:hint="eastAsia"/>
                          <w:b/>
                          <w:bCs/>
                          <w:color w:val="000000"/>
                          <w:sz w:val="40"/>
                          <w:szCs w:val="36"/>
                        </w:rPr>
                        <w:t>由于电子合同修改格式问题，为了方便贵公司领导等相关人员阅读，我所将电子版审查稿“页面布局”的“纸张方向”设置成了“横向”，请贵公司参照我所审核内容修改后重新调整为“纵向”页面布局。</w:t>
                      </w:r>
                    </w:p>
                    <w:p w14:paraId="4E16F024">
                      <w:pPr>
                        <w:spacing w:line="360" w:lineRule="auto"/>
                      </w:pPr>
                    </w:p>
                  </w:txbxContent>
                </v:textbox>
              </v:shape>
            </w:pict>
          </mc:Fallback>
        </mc:AlternateContent>
      </w:r>
      <w:r>
        <w:rPr>
          <w:rFonts w:hint="eastAsia" w:ascii="黑体" w:hAnsi="黑体" w:eastAsia="黑体" w:cs="黑体"/>
          <w:b/>
          <w:sz w:val="44"/>
          <w:szCs w:val="44"/>
        </w:rPr>
        <w:t>采购合同</w:t>
      </w:r>
    </w:p>
    <w:p w14:paraId="7089894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lang w:val="en-US" w:eastAsia="zh-CN"/>
        </w:rPr>
      </w:pPr>
      <w:r>
        <w:rPr>
          <w:rFonts w:hint="eastAsia" w:ascii="宋体" w:hAnsi="宋体" w:eastAsia="宋体" w:cs="宋体"/>
          <w:bCs/>
          <w:sz w:val="28"/>
          <w:szCs w:val="28"/>
        </w:rPr>
        <w:t>甲方（采购人）</w:t>
      </w:r>
    </w:p>
    <w:p w14:paraId="4B0F3487">
      <w:pPr>
        <w:pStyle w:val="7"/>
        <w:keepNext w:val="0"/>
        <w:keepLines w:val="0"/>
        <w:pageBreakBefore w:val="0"/>
        <w:widowControl w:val="0"/>
        <w:kinsoku/>
        <w:wordWrap/>
        <w:overflowPunct/>
        <w:topLinePunct w:val="0"/>
        <w:autoSpaceDE/>
        <w:autoSpaceDN/>
        <w:bidi w:val="0"/>
        <w:adjustRightInd/>
        <w:snapToGrid/>
        <w:spacing w:line="560" w:lineRule="exact"/>
        <w:ind w:firstLine="3168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 xml:space="preserve">     法定代表人：</w:t>
      </w:r>
    </w:p>
    <w:p w14:paraId="3538026E">
      <w:pPr>
        <w:pStyle w:val="7"/>
        <w:keepNext w:val="0"/>
        <w:keepLines w:val="0"/>
        <w:pageBreakBefore w:val="0"/>
        <w:widowControl w:val="0"/>
        <w:kinsoku/>
        <w:wordWrap/>
        <w:overflowPunct/>
        <w:topLinePunct w:val="0"/>
        <w:autoSpaceDE/>
        <w:autoSpaceDN/>
        <w:bidi w:val="0"/>
        <w:adjustRightInd/>
        <w:snapToGrid/>
        <w:spacing w:line="560" w:lineRule="exact"/>
        <w:ind w:firstLine="3168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地址：</w:t>
      </w:r>
    </w:p>
    <w:p w14:paraId="0885FF95">
      <w:pPr>
        <w:pStyle w:val="7"/>
        <w:keepNext w:val="0"/>
        <w:keepLines w:val="0"/>
        <w:pageBreakBefore w:val="0"/>
        <w:widowControl w:val="0"/>
        <w:kinsoku/>
        <w:wordWrap/>
        <w:overflowPunct/>
        <w:topLinePunct w:val="0"/>
        <w:autoSpaceDE/>
        <w:autoSpaceDN/>
        <w:bidi w:val="0"/>
        <w:adjustRightInd/>
        <w:snapToGrid/>
        <w:spacing w:line="560" w:lineRule="exact"/>
        <w:ind w:firstLine="3168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联系电话：</w:t>
      </w:r>
    </w:p>
    <w:p w14:paraId="1BE90E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bCs/>
          <w:sz w:val="28"/>
          <w:szCs w:val="28"/>
        </w:rPr>
        <w:t>乙方（供应商）</w:t>
      </w:r>
      <w:r>
        <w:rPr>
          <w:rFonts w:hint="eastAsia" w:ascii="宋体" w:hAnsi="宋体" w:eastAsia="宋体" w:cs="宋体"/>
          <w:sz w:val="28"/>
          <w:szCs w:val="28"/>
        </w:rPr>
        <w:t>：</w:t>
      </w:r>
      <w:r>
        <w:rPr>
          <w:rFonts w:hint="eastAsia" w:ascii="宋体" w:hAnsi="宋体" w:eastAsia="宋体" w:cs="宋体"/>
          <w:sz w:val="28"/>
          <w:szCs w:val="28"/>
          <w:lang w:val="en-US" w:eastAsia="zh-CN"/>
        </w:rPr>
        <w:t>邯郸市源沃肥业科技有限公司</w:t>
      </w:r>
    </w:p>
    <w:p w14:paraId="2CF0894E">
      <w:pPr>
        <w:pStyle w:val="7"/>
        <w:keepNext w:val="0"/>
        <w:keepLines w:val="0"/>
        <w:pageBreakBefore w:val="0"/>
        <w:widowControl w:val="0"/>
        <w:kinsoku/>
        <w:wordWrap/>
        <w:overflowPunct/>
        <w:topLinePunct w:val="0"/>
        <w:autoSpaceDE/>
        <w:autoSpaceDN/>
        <w:bidi w:val="0"/>
        <w:adjustRightInd/>
        <w:snapToGrid/>
        <w:spacing w:line="560" w:lineRule="exact"/>
        <w:ind w:firstLine="3168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法定代表人：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31B0FB23">
      <w:pPr>
        <w:pStyle w:val="7"/>
        <w:keepNext w:val="0"/>
        <w:keepLines w:val="0"/>
        <w:pageBreakBefore w:val="0"/>
        <w:widowControl w:val="0"/>
        <w:kinsoku/>
        <w:wordWrap/>
        <w:overflowPunct/>
        <w:topLinePunct w:val="0"/>
        <w:autoSpaceDE/>
        <w:autoSpaceDN/>
        <w:bidi w:val="0"/>
        <w:adjustRightInd/>
        <w:snapToGrid/>
        <w:spacing w:line="560" w:lineRule="exact"/>
        <w:ind w:firstLine="1400" w:firstLineChars="500"/>
        <w:jc w:val="left"/>
        <w:textAlignment w:val="auto"/>
        <w:rPr>
          <w:rFonts w:hint="eastAsia" w:ascii="宋体" w:hAnsi="宋体" w:eastAsia="宋体" w:cs="宋体"/>
          <w:sz w:val="28"/>
          <w:szCs w:val="28"/>
        </w:rPr>
      </w:pPr>
      <w:r>
        <w:rPr>
          <w:rFonts w:hint="eastAsia" w:ascii="宋体" w:hAnsi="宋体" w:eastAsia="宋体" w:cs="宋体"/>
          <w:sz w:val="28"/>
          <w:szCs w:val="28"/>
        </w:rPr>
        <w:t>地址：</w:t>
      </w:r>
    </w:p>
    <w:p w14:paraId="2C43101C">
      <w:pPr>
        <w:pStyle w:val="7"/>
        <w:keepNext w:val="0"/>
        <w:keepLines w:val="0"/>
        <w:pageBreakBefore w:val="0"/>
        <w:widowControl w:val="0"/>
        <w:kinsoku/>
        <w:wordWrap/>
        <w:overflowPunct/>
        <w:topLinePunct w:val="0"/>
        <w:autoSpaceDE/>
        <w:autoSpaceDN/>
        <w:bidi w:val="0"/>
        <w:adjustRightInd/>
        <w:snapToGrid/>
        <w:spacing w:line="560" w:lineRule="exact"/>
        <w:ind w:firstLine="1400" w:firstLineChars="5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w:t>
      </w:r>
    </w:p>
    <w:p w14:paraId="2EBB48F5">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根据《中华人民共和国民法典》、《中华人民共和国政府采购法》的规定以及项目编号为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的《</w:t>
      </w:r>
      <w:r>
        <w:rPr>
          <w:rFonts w:hint="eastAsia" w:ascii="宋体" w:hAnsi="宋体" w:eastAsia="宋体" w:cs="宋体"/>
          <w:sz w:val="28"/>
          <w:szCs w:val="28"/>
          <w:lang w:val="en-US" w:eastAsia="zh-CN"/>
        </w:rPr>
        <w:t>镇坪县2024年耕地质量保护与提升项目</w:t>
      </w:r>
      <w:r>
        <w:rPr>
          <w:rFonts w:hint="eastAsia" w:ascii="宋体" w:hAnsi="宋体" w:eastAsia="宋体" w:cs="宋体"/>
          <w:sz w:val="28"/>
          <w:szCs w:val="28"/>
        </w:rPr>
        <w:t>》</w:t>
      </w:r>
      <w:r>
        <w:rPr>
          <w:rFonts w:hint="eastAsia" w:ascii="宋体" w:hAnsi="宋体" w:eastAsia="宋体" w:cs="宋体"/>
          <w:sz w:val="28"/>
          <w:szCs w:val="28"/>
          <w:lang w:val="en-US" w:eastAsia="zh-CN"/>
        </w:rPr>
        <w:t>组织了竞争性磋商会议</w:t>
      </w:r>
      <w:r>
        <w:rPr>
          <w:rFonts w:hint="eastAsia" w:ascii="宋体" w:hAnsi="宋体" w:eastAsia="宋体" w:cs="宋体"/>
          <w:sz w:val="28"/>
          <w:szCs w:val="28"/>
          <w:lang w:eastAsia="zh-CN"/>
        </w:rPr>
        <w:t>。</w:t>
      </w:r>
      <w:r>
        <w:rPr>
          <w:rFonts w:hint="eastAsia" w:ascii="宋体" w:hAnsi="宋体" w:eastAsia="宋体" w:cs="宋体"/>
          <w:sz w:val="28"/>
          <w:szCs w:val="28"/>
        </w:rPr>
        <w:t>甲、乙双方在平等、自愿、公平、诚实信用的基础上，就甲方采购</w:t>
      </w:r>
      <w:r>
        <w:rPr>
          <w:rFonts w:hint="eastAsia" w:ascii="宋体" w:hAnsi="宋体" w:eastAsia="宋体" w:cs="宋体"/>
          <w:sz w:val="28"/>
          <w:szCs w:val="28"/>
          <w:lang w:val="en-US" w:eastAsia="zh-CN"/>
        </w:rPr>
        <w:t>肥料</w:t>
      </w:r>
      <w:r>
        <w:rPr>
          <w:rFonts w:hint="eastAsia" w:ascii="宋体" w:hAnsi="宋体" w:eastAsia="宋体" w:cs="宋体"/>
          <w:sz w:val="28"/>
          <w:szCs w:val="28"/>
        </w:rPr>
        <w:t>的相关事宜达成如下协议：</w:t>
      </w:r>
    </w:p>
    <w:p w14:paraId="09D053F6">
      <w:pPr>
        <w:tabs>
          <w:tab w:val="left" w:pos="0"/>
        </w:tabs>
        <w:ind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一、产品名称、数量、规格、单价、金额</w:t>
      </w:r>
    </w:p>
    <w:tbl>
      <w:tblPr>
        <w:tblStyle w:val="23"/>
        <w:tblpPr w:leftFromText="180" w:rightFromText="180" w:vertAnchor="text" w:horzAnchor="page" w:tblpX="1716" w:tblpY="339"/>
        <w:tblOverlap w:val="never"/>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1193"/>
        <w:gridCol w:w="1138"/>
        <w:gridCol w:w="2024"/>
        <w:gridCol w:w="1916"/>
      </w:tblGrid>
      <w:tr w14:paraId="2E82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32" w:type="dxa"/>
          </w:tcPr>
          <w:p w14:paraId="0CBB7582">
            <w:pPr>
              <w:jc w:val="center"/>
              <w:rPr>
                <w:rFonts w:hint="eastAsia" w:ascii="宋体" w:hAnsi="宋体" w:eastAsia="宋体" w:cs="宋体"/>
                <w:sz w:val="28"/>
                <w:szCs w:val="28"/>
              </w:rPr>
            </w:pPr>
            <w:r>
              <w:rPr>
                <w:rFonts w:hint="eastAsia" w:ascii="宋体" w:hAnsi="宋体" w:eastAsia="宋体" w:cs="宋体"/>
                <w:sz w:val="28"/>
                <w:szCs w:val="28"/>
              </w:rPr>
              <w:t>产品名称</w:t>
            </w:r>
          </w:p>
        </w:tc>
        <w:tc>
          <w:tcPr>
            <w:tcW w:w="1193" w:type="dxa"/>
          </w:tcPr>
          <w:p w14:paraId="40D7149B">
            <w:pPr>
              <w:jc w:val="center"/>
              <w:rPr>
                <w:rFonts w:hint="eastAsia" w:ascii="宋体" w:hAnsi="宋体" w:eastAsia="宋体" w:cs="宋体"/>
                <w:sz w:val="28"/>
                <w:szCs w:val="28"/>
              </w:rPr>
            </w:pPr>
            <w:r>
              <w:rPr>
                <w:rFonts w:hint="eastAsia" w:ascii="宋体" w:hAnsi="宋体" w:eastAsia="宋体" w:cs="宋体"/>
                <w:sz w:val="28"/>
                <w:szCs w:val="28"/>
              </w:rPr>
              <w:t>数量</w:t>
            </w:r>
          </w:p>
        </w:tc>
        <w:tc>
          <w:tcPr>
            <w:tcW w:w="1138" w:type="dxa"/>
          </w:tcPr>
          <w:p w14:paraId="031678A0">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单位</w:t>
            </w:r>
          </w:p>
        </w:tc>
        <w:tc>
          <w:tcPr>
            <w:tcW w:w="2024" w:type="dxa"/>
            <w:vAlign w:val="top"/>
          </w:tcPr>
          <w:p w14:paraId="4FFEB3BC">
            <w:pPr>
              <w:jc w:val="center"/>
              <w:rPr>
                <w:rFonts w:hint="eastAsia" w:ascii="宋体" w:hAnsi="宋体" w:eastAsia="宋体" w:cs="宋体"/>
                <w:sz w:val="28"/>
                <w:szCs w:val="28"/>
              </w:rPr>
            </w:pPr>
            <w:r>
              <w:rPr>
                <w:rFonts w:hint="eastAsia" w:ascii="宋体" w:hAnsi="宋体" w:eastAsia="宋体" w:cs="宋体"/>
                <w:sz w:val="28"/>
                <w:szCs w:val="28"/>
              </w:rPr>
              <w:t>单价（元</w:t>
            </w:r>
            <w:r>
              <w:rPr>
                <w:rFonts w:hint="eastAsia" w:ascii="宋体" w:hAnsi="宋体" w:eastAsia="宋体" w:cs="宋体"/>
                <w:sz w:val="28"/>
                <w:szCs w:val="28"/>
                <w:lang w:val="en-US" w:eastAsia="zh-CN"/>
              </w:rPr>
              <w:t>/</w:t>
            </w:r>
            <w:r>
              <w:rPr>
                <w:rFonts w:hint="eastAsia" w:ascii="宋体" w:hAnsi="宋体" w:eastAsia="宋体" w:cs="宋体"/>
                <w:sz w:val="28"/>
                <w:szCs w:val="28"/>
              </w:rPr>
              <w:t>kg）</w:t>
            </w:r>
          </w:p>
        </w:tc>
        <w:tc>
          <w:tcPr>
            <w:tcW w:w="1916" w:type="dxa"/>
            <w:vAlign w:val="top"/>
          </w:tcPr>
          <w:p w14:paraId="193846AE">
            <w:pPr>
              <w:jc w:val="center"/>
              <w:rPr>
                <w:rFonts w:hint="eastAsia" w:ascii="宋体" w:hAnsi="宋体" w:eastAsia="宋体" w:cs="宋体"/>
                <w:sz w:val="28"/>
                <w:szCs w:val="28"/>
                <w:lang w:eastAsia="zh-CN"/>
              </w:rPr>
            </w:pPr>
            <w:r>
              <w:rPr>
                <w:rFonts w:hint="eastAsia" w:ascii="宋体" w:hAnsi="宋体" w:eastAsia="宋体" w:cs="宋体"/>
                <w:sz w:val="28"/>
                <w:szCs w:val="28"/>
              </w:rPr>
              <w:t>金额</w:t>
            </w:r>
            <w:r>
              <w:rPr>
                <w:rFonts w:hint="eastAsia" w:ascii="宋体" w:hAnsi="宋体" w:eastAsia="宋体" w:cs="宋体"/>
                <w:sz w:val="28"/>
                <w:szCs w:val="28"/>
                <w:lang w:eastAsia="zh-CN"/>
              </w:rPr>
              <w:t>（元）</w:t>
            </w:r>
          </w:p>
        </w:tc>
      </w:tr>
      <w:tr w14:paraId="4267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132" w:type="dxa"/>
            <w:vAlign w:val="center"/>
          </w:tcPr>
          <w:p w14:paraId="0888F9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tc>
        <w:tc>
          <w:tcPr>
            <w:tcW w:w="1193" w:type="dxa"/>
            <w:vAlign w:val="center"/>
          </w:tcPr>
          <w:p w14:paraId="30FE4F82">
            <w:pPr>
              <w:jc w:val="center"/>
              <w:rPr>
                <w:rFonts w:hint="eastAsia" w:ascii="宋体" w:hAnsi="宋体" w:eastAsia="宋体" w:cs="宋体"/>
                <w:sz w:val="28"/>
                <w:szCs w:val="28"/>
                <w:lang w:val="en-US" w:eastAsia="zh-CN"/>
              </w:rPr>
            </w:pPr>
          </w:p>
        </w:tc>
        <w:tc>
          <w:tcPr>
            <w:tcW w:w="1138" w:type="dxa"/>
            <w:vAlign w:val="center"/>
          </w:tcPr>
          <w:p w14:paraId="0E4A98BD">
            <w:pPr>
              <w:jc w:val="center"/>
              <w:rPr>
                <w:rFonts w:hint="eastAsia" w:ascii="宋体" w:hAnsi="宋体" w:eastAsia="宋体" w:cs="宋体"/>
                <w:sz w:val="28"/>
                <w:szCs w:val="28"/>
                <w:lang w:val="en-US" w:eastAsia="zh-CN"/>
              </w:rPr>
            </w:pPr>
          </w:p>
        </w:tc>
        <w:tc>
          <w:tcPr>
            <w:tcW w:w="2024" w:type="dxa"/>
            <w:vAlign w:val="center"/>
          </w:tcPr>
          <w:p w14:paraId="57C70239">
            <w:pPr>
              <w:jc w:val="center"/>
              <w:rPr>
                <w:rFonts w:hint="eastAsia" w:ascii="宋体" w:hAnsi="宋体" w:eastAsia="宋体" w:cs="宋体"/>
                <w:sz w:val="28"/>
                <w:szCs w:val="28"/>
                <w:lang w:val="en-US" w:eastAsia="zh-CN"/>
              </w:rPr>
            </w:pPr>
          </w:p>
        </w:tc>
        <w:tc>
          <w:tcPr>
            <w:tcW w:w="1916" w:type="dxa"/>
            <w:vAlign w:val="center"/>
          </w:tcPr>
          <w:p w14:paraId="4BD139A3">
            <w:pPr>
              <w:jc w:val="center"/>
              <w:rPr>
                <w:rFonts w:hint="eastAsia" w:ascii="宋体" w:hAnsi="宋体" w:eastAsia="宋体" w:cs="宋体"/>
                <w:sz w:val="28"/>
                <w:szCs w:val="28"/>
                <w:lang w:val="en-US" w:eastAsia="zh-CN"/>
              </w:rPr>
            </w:pPr>
          </w:p>
        </w:tc>
      </w:tr>
      <w:tr w14:paraId="291A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132" w:type="dxa"/>
            <w:vAlign w:val="center"/>
          </w:tcPr>
          <w:p w14:paraId="053F40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tc>
        <w:tc>
          <w:tcPr>
            <w:tcW w:w="1193" w:type="dxa"/>
            <w:vAlign w:val="center"/>
          </w:tcPr>
          <w:p w14:paraId="10D90F00">
            <w:pPr>
              <w:jc w:val="center"/>
              <w:rPr>
                <w:rFonts w:hint="eastAsia" w:ascii="宋体" w:hAnsi="宋体" w:eastAsia="宋体" w:cs="宋体"/>
                <w:sz w:val="28"/>
                <w:szCs w:val="28"/>
                <w:lang w:val="en-US" w:eastAsia="zh-CN"/>
              </w:rPr>
            </w:pPr>
          </w:p>
        </w:tc>
        <w:tc>
          <w:tcPr>
            <w:tcW w:w="1138" w:type="dxa"/>
            <w:vAlign w:val="center"/>
          </w:tcPr>
          <w:p w14:paraId="1E2DF883">
            <w:pPr>
              <w:jc w:val="center"/>
              <w:rPr>
                <w:rFonts w:hint="eastAsia" w:ascii="宋体" w:hAnsi="宋体" w:eastAsia="宋体" w:cs="宋体"/>
                <w:sz w:val="28"/>
                <w:szCs w:val="28"/>
                <w:lang w:val="en-US" w:eastAsia="zh-CN"/>
              </w:rPr>
            </w:pPr>
          </w:p>
        </w:tc>
        <w:tc>
          <w:tcPr>
            <w:tcW w:w="2024" w:type="dxa"/>
            <w:vAlign w:val="center"/>
          </w:tcPr>
          <w:p w14:paraId="42B2468B">
            <w:pPr>
              <w:jc w:val="center"/>
              <w:rPr>
                <w:rFonts w:hint="eastAsia" w:ascii="宋体" w:hAnsi="宋体" w:eastAsia="宋体" w:cs="宋体"/>
                <w:sz w:val="28"/>
                <w:szCs w:val="28"/>
                <w:lang w:val="en-US" w:eastAsia="zh-CN"/>
              </w:rPr>
            </w:pPr>
          </w:p>
        </w:tc>
        <w:tc>
          <w:tcPr>
            <w:tcW w:w="1916" w:type="dxa"/>
            <w:vAlign w:val="center"/>
          </w:tcPr>
          <w:p w14:paraId="361C385B">
            <w:pPr>
              <w:jc w:val="center"/>
              <w:rPr>
                <w:rFonts w:hint="eastAsia" w:ascii="宋体" w:hAnsi="宋体" w:eastAsia="宋体" w:cs="宋体"/>
                <w:sz w:val="28"/>
                <w:szCs w:val="28"/>
                <w:lang w:val="en-US" w:eastAsia="zh-CN"/>
              </w:rPr>
            </w:pPr>
          </w:p>
        </w:tc>
      </w:tr>
      <w:tr w14:paraId="6ABB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3" w:type="dxa"/>
            <w:gridSpan w:val="5"/>
            <w:vAlign w:val="center"/>
          </w:tcPr>
          <w:p w14:paraId="137676A2">
            <w:pPr>
              <w:pStyle w:val="31"/>
              <w:ind w:left="0" w:leftChars="0"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合同总价款：¥ </w:t>
            </w:r>
            <w:r>
              <w:rPr>
                <w:rFonts w:hint="eastAsia" w:ascii="宋体" w:hAnsi="宋体" w:eastAsia="宋体" w:cs="宋体"/>
                <w:b/>
                <w:bCs/>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元（大写：    元整）</w:t>
            </w:r>
          </w:p>
        </w:tc>
      </w:tr>
    </w:tbl>
    <w:p w14:paraId="7B05E276">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rPr>
        <w:t>质量要求</w:t>
      </w:r>
    </w:p>
    <w:p w14:paraId="76A16853">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技术标准：按照</w:t>
      </w:r>
      <w:r>
        <w:rPr>
          <w:rFonts w:hint="eastAsia" w:ascii="宋体" w:hAnsi="宋体" w:eastAsia="宋体" w:cs="宋体"/>
          <w:sz w:val="28"/>
          <w:szCs w:val="28"/>
          <w:lang w:val="en-US" w:eastAsia="zh-CN"/>
        </w:rPr>
        <w:t>国家</w:t>
      </w:r>
      <w:r>
        <w:rPr>
          <w:rFonts w:hint="eastAsia" w:ascii="宋体" w:hAnsi="宋体" w:eastAsia="宋体" w:cs="宋体"/>
          <w:sz w:val="28"/>
          <w:szCs w:val="28"/>
        </w:rPr>
        <w:t>现行标准执行；</w:t>
      </w:r>
    </w:p>
    <w:p w14:paraId="2905A006">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乙方所供货物及辅材系未经使用过、用最新工艺生产的新产品，质量优良、渠道正当，配置合理。</w:t>
      </w:r>
    </w:p>
    <w:p w14:paraId="1EAE85DD">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乙方所供货物的质量保证期自出厂验收合格之日起不少于12个月。</w:t>
      </w:r>
    </w:p>
    <w:p w14:paraId="036EE454">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订货与发货</w:t>
      </w:r>
    </w:p>
    <w:p w14:paraId="040DEFA2">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1、订货：甲方根据上述</w:t>
      </w:r>
      <w:r>
        <w:rPr>
          <w:rFonts w:hint="eastAsia" w:ascii="宋体" w:hAnsi="宋体" w:eastAsia="宋体" w:cs="宋体"/>
          <w:sz w:val="28"/>
          <w:szCs w:val="28"/>
          <w:lang w:val="en-US" w:eastAsia="zh-CN"/>
        </w:rPr>
        <w:t>磋商</w:t>
      </w:r>
      <w:r>
        <w:rPr>
          <w:rFonts w:hint="eastAsia" w:ascii="宋体" w:hAnsi="宋体" w:eastAsia="宋体" w:cs="宋体"/>
          <w:sz w:val="28"/>
          <w:szCs w:val="28"/>
        </w:rPr>
        <w:t>文件，应当提前</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7</w:t>
      </w:r>
      <w:r>
        <w:rPr>
          <w:rFonts w:hint="eastAsia" w:ascii="宋体" w:hAnsi="宋体" w:eastAsia="宋体" w:cs="宋体"/>
          <w:sz w:val="28"/>
          <w:szCs w:val="28"/>
          <w:u w:val="single"/>
        </w:rPr>
        <w:t xml:space="preserve"> </w:t>
      </w:r>
      <w:r>
        <w:rPr>
          <w:rFonts w:hint="eastAsia" w:ascii="宋体" w:hAnsi="宋体" w:eastAsia="宋体" w:cs="宋体"/>
          <w:sz w:val="28"/>
          <w:szCs w:val="28"/>
        </w:rPr>
        <w:t>天在其供货数量、交货时间范围内向乙方提出供货计划，该供货计划包括但不限于产品数量、规格和具体的交货时间和卸货地点。乙方按照甲方供货计划和本合同约定向甲方供货。</w:t>
      </w:r>
    </w:p>
    <w:p w14:paraId="0B343BA7">
      <w:pPr>
        <w:keepNext w:val="0"/>
        <w:keepLines w:val="0"/>
        <w:pageBreakBefore w:val="0"/>
        <w:widowControl w:val="0"/>
        <w:numPr>
          <w:ilvl w:val="255"/>
          <w:numId w:val="0"/>
        </w:numPr>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2、交货期：</w:t>
      </w:r>
      <w:r>
        <w:rPr>
          <w:rFonts w:hint="eastAsia" w:ascii="宋体" w:hAnsi="宋体" w:eastAsia="宋体" w:cs="宋体"/>
          <w:sz w:val="28"/>
          <w:szCs w:val="28"/>
          <w:lang w:val="en-US" w:eastAsia="zh-CN"/>
        </w:rPr>
        <w:t>按中标通知书要求时间</w:t>
      </w:r>
      <w:r>
        <w:rPr>
          <w:rFonts w:hint="eastAsia" w:ascii="宋体" w:hAnsi="宋体" w:eastAsia="宋体" w:cs="宋体"/>
          <w:sz w:val="28"/>
          <w:szCs w:val="28"/>
        </w:rPr>
        <w:t>完成本合同项下全部供货。</w:t>
      </w:r>
    </w:p>
    <w:p w14:paraId="27C1E1BE">
      <w:pPr>
        <w:keepNext w:val="0"/>
        <w:keepLines w:val="0"/>
        <w:pageBreakBefore w:val="0"/>
        <w:widowControl w:val="0"/>
        <w:numPr>
          <w:ilvl w:val="255"/>
          <w:numId w:val="0"/>
        </w:numPr>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3、交货方式和地点：交货方式为分批分次交货。乙方根据甲方供货计划确定的日期、期限、种类、数量由乙方运至甲方指定的具体卸货地点。</w:t>
      </w:r>
    </w:p>
    <w:p w14:paraId="1FA750FC">
      <w:pPr>
        <w:keepNext w:val="0"/>
        <w:keepLines w:val="0"/>
        <w:pageBreakBefore w:val="0"/>
        <w:widowControl w:val="0"/>
        <w:kinsoku/>
        <w:wordWrap/>
        <w:overflowPunct/>
        <w:topLinePunct w:val="0"/>
        <w:autoSpaceDE/>
        <w:autoSpaceDN/>
        <w:bidi w:val="0"/>
        <w:adjustRightInd/>
        <w:snapToGrid/>
        <w:spacing w:beforeLines="50" w:line="5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rPr>
        <w:t>四、运输方式、费用负担及风险承担</w:t>
      </w:r>
    </w:p>
    <w:p w14:paraId="2BFAA75C">
      <w:pPr>
        <w:keepNext w:val="0"/>
        <w:keepLines w:val="0"/>
        <w:pageBreakBefore w:val="0"/>
        <w:widowControl w:val="0"/>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sz w:val="28"/>
          <w:szCs w:val="28"/>
        </w:rPr>
        <w:t>1、运输方式由乙方负责；运费、装</w:t>
      </w:r>
      <w:r>
        <w:rPr>
          <w:rFonts w:hint="eastAsia" w:ascii="宋体" w:hAnsi="宋体" w:eastAsia="宋体" w:cs="宋体"/>
          <w:sz w:val="28"/>
          <w:szCs w:val="28"/>
          <w:lang w:eastAsia="zh-CN"/>
        </w:rPr>
        <w:t>车</w:t>
      </w:r>
      <w:r>
        <w:rPr>
          <w:rFonts w:hint="eastAsia" w:ascii="宋体" w:hAnsi="宋体" w:eastAsia="宋体" w:cs="宋体"/>
          <w:sz w:val="28"/>
          <w:szCs w:val="28"/>
        </w:rPr>
        <w:t>费等送达过程中产生的一切相关费用由乙方承担。乙方按照甲方要求将货物依照约定送达至指定的具体卸货地点并由甲方</w:t>
      </w:r>
      <w:r>
        <w:rPr>
          <w:rFonts w:hint="eastAsia" w:ascii="宋体" w:hAnsi="宋体" w:eastAsia="宋体" w:cs="宋体"/>
          <w:color w:val="000000"/>
          <w:sz w:val="28"/>
          <w:szCs w:val="28"/>
        </w:rPr>
        <w:t>验收货物。</w:t>
      </w:r>
      <w:r>
        <w:rPr>
          <w:rFonts w:hint="eastAsia" w:ascii="宋体" w:hAnsi="宋体" w:eastAsia="宋体" w:cs="宋体"/>
          <w:sz w:val="28"/>
          <w:szCs w:val="28"/>
        </w:rPr>
        <w:t>货物运输过程中发生的灭失、毁损等一切货损风险均由乙方承担；</w:t>
      </w:r>
      <w:r>
        <w:rPr>
          <w:rFonts w:hint="eastAsia" w:ascii="宋体" w:hAnsi="宋体" w:eastAsia="宋体" w:cs="宋体"/>
          <w:color w:val="auto"/>
          <w:sz w:val="28"/>
          <w:szCs w:val="28"/>
        </w:rPr>
        <w:t>甲方验收货物后</w:t>
      </w:r>
      <w:r>
        <w:rPr>
          <w:rFonts w:hint="eastAsia" w:ascii="宋体" w:hAnsi="宋体" w:eastAsia="宋体" w:cs="宋体"/>
          <w:sz w:val="28"/>
          <w:szCs w:val="28"/>
        </w:rPr>
        <w:t>发生的灭失、毁损等一切货损风险均由甲方自行承担。甲方改变卸货地点的，应当提前征得乙方同意，</w:t>
      </w:r>
      <w:r>
        <w:rPr>
          <w:rFonts w:hint="eastAsia" w:ascii="宋体" w:hAnsi="宋体" w:eastAsia="宋体" w:cs="宋体"/>
          <w:color w:val="auto"/>
          <w:sz w:val="28"/>
          <w:szCs w:val="28"/>
        </w:rPr>
        <w:t>因变更卸货地点增加的费用和风险由甲方承担。</w:t>
      </w:r>
      <w:r>
        <w:rPr>
          <w:rFonts w:hint="eastAsia" w:ascii="宋体" w:hAnsi="宋体" w:eastAsia="宋体" w:cs="宋体"/>
          <w:color w:val="auto"/>
          <w:sz w:val="28"/>
          <w:szCs w:val="28"/>
          <w:lang w:eastAsia="zh-CN"/>
        </w:rPr>
        <w:t>货物到达甲方指定位置因倒货二次运输产生的运输费、装卸费由甲方负责。</w:t>
      </w:r>
    </w:p>
    <w:p w14:paraId="5CA0A726">
      <w:pPr>
        <w:keepNext w:val="0"/>
        <w:keepLines w:val="0"/>
        <w:pageBreakBefore w:val="0"/>
        <w:widowControl w:val="0"/>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auto"/>
          <w:sz w:val="28"/>
          <w:szCs w:val="28"/>
        </w:rPr>
        <w:t>甲方负责提供卸货地点的交通、供电、照明等必要条件，涉及卸货地点的相临关系问题</w:t>
      </w:r>
      <w:r>
        <w:rPr>
          <w:rFonts w:hint="eastAsia" w:ascii="宋体" w:hAnsi="宋体" w:eastAsia="宋体" w:cs="宋体"/>
          <w:sz w:val="28"/>
          <w:szCs w:val="28"/>
        </w:rPr>
        <w:t>由甲方负责解决。因</w:t>
      </w:r>
      <w:r>
        <w:rPr>
          <w:rFonts w:hint="eastAsia" w:ascii="宋体" w:hAnsi="宋体" w:eastAsia="宋体" w:cs="宋体"/>
          <w:color w:val="auto"/>
          <w:sz w:val="28"/>
          <w:szCs w:val="28"/>
        </w:rPr>
        <w:t>卸货地点的</w:t>
      </w:r>
      <w:r>
        <w:rPr>
          <w:rFonts w:hint="eastAsia" w:ascii="宋体" w:hAnsi="宋体" w:eastAsia="宋体" w:cs="宋体"/>
          <w:sz w:val="28"/>
          <w:szCs w:val="28"/>
        </w:rPr>
        <w:t>道路、环境影响等造成乙方车辆无法正常作业或车辆到达现场无法正常卸料或因堵门堵路等原因造成乙方车辆无法进入指定地点所造成的损失由甲方承担。</w:t>
      </w:r>
    </w:p>
    <w:p w14:paraId="0101B4E2">
      <w:pPr>
        <w:keepNext w:val="0"/>
        <w:keepLines w:val="0"/>
        <w:pageBreakBefore w:val="0"/>
        <w:widowControl w:val="0"/>
        <w:kinsoku/>
        <w:wordWrap/>
        <w:overflowPunct/>
        <w:topLinePunct w:val="0"/>
        <w:autoSpaceDE/>
        <w:autoSpaceDN/>
        <w:bidi w:val="0"/>
        <w:adjustRightInd/>
        <w:snapToGrid/>
        <w:spacing w:beforeLines="50"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五、货物包装</w:t>
      </w:r>
    </w:p>
    <w:p w14:paraId="003F2E89">
      <w:pPr>
        <w:keepNext w:val="0"/>
        <w:keepLines w:val="0"/>
        <w:pageBreakBefore w:val="0"/>
        <w:widowControl w:val="0"/>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乙方应确保包装符合国家质量要求、包装属性和内在品质一致，保护产品自身不受损害以及满足产品本身特性的要求。如因包装不完善导致货物在运输过程中受损，乙方须及时修复或更换受损产品并承担由货损造成的一切损失。</w:t>
      </w:r>
    </w:p>
    <w:p w14:paraId="6FB7D2E1">
      <w:pPr>
        <w:keepNext w:val="0"/>
        <w:keepLines w:val="0"/>
        <w:pageBreakBefore w:val="0"/>
        <w:widowControl w:val="0"/>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甲方对商品包装无特殊要求。</w:t>
      </w:r>
    </w:p>
    <w:p w14:paraId="3991AD45">
      <w:pPr>
        <w:keepNext w:val="0"/>
        <w:keepLines w:val="0"/>
        <w:pageBreakBefore w:val="0"/>
        <w:widowControl w:val="0"/>
        <w:kinsoku/>
        <w:wordWrap/>
        <w:overflowPunct/>
        <w:topLinePunct w:val="0"/>
        <w:autoSpaceDE/>
        <w:autoSpaceDN/>
        <w:bidi w:val="0"/>
        <w:adjustRightInd/>
        <w:snapToGrid/>
        <w:spacing w:beforeLines="50"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六、验收标准、方法</w:t>
      </w:r>
    </w:p>
    <w:p w14:paraId="6B528A74">
      <w:pPr>
        <w:keepNext w:val="0"/>
        <w:keepLines w:val="0"/>
        <w:pageBreakBefore w:val="0"/>
        <w:widowControl w:val="0"/>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1、甲方应在乙方将货物运送至指定卸货地点</w:t>
      </w:r>
      <w:r>
        <w:rPr>
          <w:rFonts w:hint="eastAsia" w:ascii="宋体" w:hAnsi="宋体" w:eastAsia="宋体" w:cs="宋体"/>
          <w:color w:val="auto"/>
          <w:sz w:val="28"/>
          <w:szCs w:val="28"/>
        </w:rPr>
        <w:t>后及时进行验收，</w:t>
      </w:r>
      <w:r>
        <w:rPr>
          <w:rFonts w:hint="eastAsia" w:ascii="宋体" w:hAnsi="宋体" w:eastAsia="宋体" w:cs="宋体"/>
          <w:sz w:val="28"/>
          <w:szCs w:val="28"/>
        </w:rPr>
        <w:t>甲方指定</w:t>
      </w:r>
      <w:r>
        <w:rPr>
          <w:rFonts w:hint="eastAsia" w:ascii="宋体" w:hAnsi="宋体" w:eastAsia="宋体" w:cs="宋体"/>
          <w:sz w:val="28"/>
          <w:szCs w:val="28"/>
          <w:u w:val="single"/>
        </w:rPr>
        <w:t xml:space="preserve">        </w:t>
      </w:r>
      <w:r>
        <w:rPr>
          <w:rFonts w:hint="eastAsia" w:ascii="宋体" w:hAnsi="宋体" w:eastAsia="宋体" w:cs="宋体"/>
          <w:sz w:val="28"/>
          <w:szCs w:val="28"/>
        </w:rPr>
        <w:t>代表甲方检验、接收货物，乙方指定</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代表乙方交付货物，按合同约定标准进行现场验收。</w:t>
      </w:r>
    </w:p>
    <w:p w14:paraId="13F45BE2">
      <w:pPr>
        <w:keepNext w:val="0"/>
        <w:keepLines w:val="0"/>
        <w:pageBreakBefore w:val="0"/>
        <w:widowControl w:val="0"/>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2、验收合格后，双方填写货物《验收单》，《验收单》作为乙方交付合格产品和双方进行货款结算的</w:t>
      </w:r>
      <w:r>
        <w:rPr>
          <w:rFonts w:hint="eastAsia" w:ascii="宋体" w:hAnsi="宋体" w:eastAsia="宋体" w:cs="宋体"/>
          <w:color w:val="auto"/>
          <w:sz w:val="28"/>
          <w:szCs w:val="28"/>
        </w:rPr>
        <w:t>依据，但抽查结果不合格时除外。（</w:t>
      </w:r>
      <w:r>
        <w:rPr>
          <w:rFonts w:hint="eastAsia" w:ascii="宋体" w:hAnsi="宋体" w:eastAsia="宋体" w:cs="宋体"/>
          <w:sz w:val="28"/>
          <w:szCs w:val="28"/>
        </w:rPr>
        <w:t>上述指定人员如需变更，应以书面形式于变更之日通知对方）。</w:t>
      </w:r>
    </w:p>
    <w:p w14:paraId="42033A9E">
      <w:pPr>
        <w:keepNext w:val="0"/>
        <w:keepLines w:val="0"/>
        <w:pageBreakBefore w:val="0"/>
        <w:widowControl w:val="0"/>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3、甲方若对有机肥数量和质量有质疑，可随时随机进行抽查，但须在乙方人员现场见证下采取第三方地磅称重形式抽查，在乙方提供的</w:t>
      </w:r>
      <w:r>
        <w:rPr>
          <w:rFonts w:hint="eastAsia" w:ascii="宋体" w:hAnsi="宋体" w:eastAsia="宋体" w:cs="宋体"/>
          <w:sz w:val="28"/>
          <w:szCs w:val="28"/>
          <w:lang w:val="en-US" w:eastAsia="zh-CN"/>
        </w:rPr>
        <w:t>生物</w:t>
      </w:r>
      <w:r>
        <w:rPr>
          <w:rFonts w:hint="eastAsia" w:ascii="宋体" w:hAnsi="宋体" w:eastAsia="宋体" w:cs="宋体"/>
          <w:sz w:val="28"/>
          <w:szCs w:val="28"/>
        </w:rPr>
        <w:t>有机肥配合比容重±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%范围内为合格，结算数量按《验收单》数量计算不作调整；若抽查结果正负偏差超过±</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%范围时，则当天批次有机肥数量可按偏差值折算扣减。</w:t>
      </w:r>
    </w:p>
    <w:p w14:paraId="74E9628C">
      <w:pPr>
        <w:keepNext w:val="0"/>
        <w:keepLines w:val="0"/>
        <w:pageBreakBefore w:val="0"/>
        <w:widowControl w:val="0"/>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4、货物的</w:t>
      </w:r>
      <w:r>
        <w:rPr>
          <w:rFonts w:hint="eastAsia" w:ascii="宋体" w:hAnsi="宋体" w:eastAsia="宋体" w:cs="宋体"/>
          <w:color w:val="auto"/>
          <w:sz w:val="28"/>
          <w:szCs w:val="28"/>
        </w:rPr>
        <w:t>抽查</w:t>
      </w:r>
      <w:r>
        <w:rPr>
          <w:rFonts w:hint="eastAsia" w:ascii="宋体" w:hAnsi="宋体" w:eastAsia="宋体" w:cs="宋体"/>
          <w:sz w:val="28"/>
          <w:szCs w:val="28"/>
        </w:rPr>
        <w:t>期间为卸货现场验收后当天，</w:t>
      </w:r>
      <w:r>
        <w:rPr>
          <w:rFonts w:hint="eastAsia" w:ascii="宋体" w:hAnsi="宋体" w:eastAsia="宋体" w:cs="宋体"/>
          <w:color w:val="auto"/>
          <w:sz w:val="28"/>
          <w:szCs w:val="28"/>
        </w:rPr>
        <w:t>卸货验收当天未进行抽查的，视为</w:t>
      </w:r>
      <w:r>
        <w:rPr>
          <w:rFonts w:hint="eastAsia" w:ascii="宋体" w:hAnsi="宋体" w:eastAsia="宋体" w:cs="宋体"/>
          <w:sz w:val="28"/>
          <w:szCs w:val="28"/>
        </w:rPr>
        <w:t>甲方认可《验收单》所记载的数量和质量。</w:t>
      </w:r>
    </w:p>
    <w:p w14:paraId="2E1170E9">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sz w:val="28"/>
          <w:szCs w:val="28"/>
        </w:rPr>
        <w:t>5、甲方应当在乙方送达卸货地点后</w:t>
      </w:r>
      <w:r>
        <w:rPr>
          <w:rFonts w:hint="eastAsia" w:ascii="宋体" w:hAnsi="宋体" w:eastAsia="宋体" w:cs="宋体"/>
          <w:color w:val="auto"/>
          <w:sz w:val="28"/>
          <w:szCs w:val="28"/>
        </w:rPr>
        <w:t>及时启动验收，若甲方在乙方到达后2小时仍不进行验收或者拒绝卸货的，乙方可以在指定地点卸货，视为乙方所供产品验收合格并已经实际交付甲方。</w:t>
      </w:r>
    </w:p>
    <w:p w14:paraId="5DDE9867">
      <w:pPr>
        <w:keepNext w:val="0"/>
        <w:keepLines w:val="0"/>
        <w:pageBreakBefore w:val="0"/>
        <w:widowControl w:val="0"/>
        <w:tabs>
          <w:tab w:val="left" w:pos="0"/>
        </w:tabs>
        <w:kinsoku/>
        <w:wordWrap/>
        <w:overflowPunct/>
        <w:topLinePunct w:val="0"/>
        <w:autoSpaceDE/>
        <w:autoSpaceDN/>
        <w:bidi w:val="0"/>
        <w:adjustRightInd/>
        <w:snapToGrid/>
        <w:spacing w:beforeLines="50"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七、合同价款及结算方式</w:t>
      </w:r>
    </w:p>
    <w:p w14:paraId="174A7A33">
      <w:pPr>
        <w:pStyle w:val="7"/>
        <w:keepNext w:val="0"/>
        <w:keepLines w:val="0"/>
        <w:pageBreakBefore w:val="0"/>
        <w:widowControl w:val="0"/>
        <w:kinsoku/>
        <w:wordWrap/>
        <w:overflowPunct/>
        <w:topLinePunct w:val="0"/>
        <w:autoSpaceDE/>
        <w:autoSpaceDN/>
        <w:bidi w:val="0"/>
        <w:adjustRightInd/>
        <w:snapToGrid/>
        <w:spacing w:beforeLines="50" w:line="560" w:lineRule="exact"/>
        <w:ind w:firstLine="31680"/>
        <w:jc w:val="left"/>
        <w:textAlignment w:val="auto"/>
        <w:rPr>
          <w:rFonts w:hint="eastAsia" w:ascii="宋体" w:hAnsi="宋体" w:eastAsia="宋体" w:cs="宋体"/>
          <w:sz w:val="28"/>
          <w:szCs w:val="28"/>
        </w:rPr>
      </w:pPr>
      <w:r>
        <w:rPr>
          <w:rFonts w:hint="eastAsia" w:ascii="宋体" w:hAnsi="宋体" w:eastAsia="宋体" w:cs="宋体"/>
          <w:sz w:val="28"/>
          <w:szCs w:val="28"/>
        </w:rPr>
        <w:t>1、合同总价款为：（大写）</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人民币：</w:t>
      </w:r>
    </w:p>
    <w:p w14:paraId="2CF64040">
      <w:pPr>
        <w:pStyle w:val="7"/>
        <w:keepNext w:val="0"/>
        <w:keepLines w:val="0"/>
        <w:pageBreakBefore w:val="0"/>
        <w:widowControl w:val="0"/>
        <w:kinsoku/>
        <w:wordWrap/>
        <w:overflowPunct/>
        <w:topLinePunct w:val="0"/>
        <w:autoSpaceDE/>
        <w:autoSpaceDN/>
        <w:bidi w:val="0"/>
        <w:adjustRightInd/>
        <w:snapToGrid/>
        <w:spacing w:beforeLines="50" w:line="560" w:lineRule="exact"/>
        <w:ind w:firstLine="3168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w:t>
      </w:r>
      <w:r>
        <w:rPr>
          <w:rFonts w:hint="eastAsia" w:ascii="宋体" w:hAnsi="宋体" w:eastAsia="宋体" w:cs="宋体"/>
          <w:sz w:val="28"/>
          <w:szCs w:val="28"/>
          <w:lang w:eastAsia="zh-CN"/>
        </w:rPr>
        <w:t>）</w:t>
      </w:r>
    </w:p>
    <w:p w14:paraId="7D7825AC">
      <w:pPr>
        <w:pStyle w:val="7"/>
        <w:keepNext w:val="0"/>
        <w:keepLines w:val="0"/>
        <w:pageBreakBefore w:val="0"/>
        <w:widowControl w:val="0"/>
        <w:numPr>
          <w:ilvl w:val="0"/>
          <w:numId w:val="5"/>
        </w:numPr>
        <w:kinsoku/>
        <w:wordWrap/>
        <w:overflowPunct/>
        <w:topLinePunct w:val="0"/>
        <w:autoSpaceDE/>
        <w:autoSpaceDN/>
        <w:bidi w:val="0"/>
        <w:adjustRightInd/>
        <w:snapToGrid/>
        <w:spacing w:beforeLines="50" w:line="560" w:lineRule="exact"/>
        <w:ind w:firstLine="31680"/>
        <w:jc w:val="left"/>
        <w:textAlignment w:val="auto"/>
        <w:rPr>
          <w:rFonts w:hint="eastAsia" w:ascii="宋体" w:hAnsi="宋体" w:eastAsia="宋体" w:cs="宋体"/>
          <w:sz w:val="28"/>
          <w:szCs w:val="28"/>
        </w:rPr>
      </w:pPr>
      <w:r>
        <w:rPr>
          <w:rFonts w:hint="eastAsia" w:ascii="宋体" w:hAnsi="宋体" w:eastAsia="宋体" w:cs="宋体"/>
          <w:sz w:val="28"/>
          <w:szCs w:val="28"/>
        </w:rPr>
        <w:t>合同签订后</w:t>
      </w:r>
      <w:r>
        <w:rPr>
          <w:rFonts w:hint="eastAsia" w:ascii="宋体" w:hAnsi="宋体" w:eastAsia="宋体" w:cs="宋体"/>
          <w:sz w:val="28"/>
          <w:szCs w:val="28"/>
          <w:lang w:val="en-US" w:eastAsia="zh-CN"/>
        </w:rPr>
        <w:t>由甲方通知供货时间，乙方在15日内供货完毕</w:t>
      </w:r>
      <w:r>
        <w:rPr>
          <w:rFonts w:hint="eastAsia" w:ascii="宋体" w:hAnsi="宋体" w:eastAsia="宋体" w:cs="宋体"/>
          <w:sz w:val="28"/>
          <w:szCs w:val="28"/>
        </w:rPr>
        <w:t>，</w:t>
      </w:r>
      <w:r>
        <w:rPr>
          <w:rFonts w:hint="eastAsia" w:ascii="宋体" w:hAnsi="宋体" w:eastAsia="宋体" w:cs="宋体"/>
          <w:sz w:val="28"/>
          <w:szCs w:val="28"/>
          <w:lang w:eastAsia="zh-CN"/>
        </w:rPr>
        <w:t>货物</w:t>
      </w:r>
      <w:r>
        <w:rPr>
          <w:rFonts w:hint="eastAsia" w:ascii="宋体" w:hAnsi="宋体" w:eastAsia="宋体" w:cs="宋体"/>
          <w:sz w:val="28"/>
          <w:szCs w:val="28"/>
        </w:rPr>
        <w:t>调运结束后</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甲方在7日内一次性支付乙方全部货款。</w:t>
      </w:r>
    </w:p>
    <w:p w14:paraId="01E90DD7">
      <w:pPr>
        <w:pStyle w:val="7"/>
        <w:keepNext w:val="0"/>
        <w:keepLines w:val="0"/>
        <w:pageBreakBefore w:val="0"/>
        <w:widowControl w:val="0"/>
        <w:numPr>
          <w:ilvl w:val="0"/>
          <w:numId w:val="0"/>
        </w:numPr>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3、合同款项汇入供方以下指定账户：</w:t>
      </w:r>
    </w:p>
    <w:p w14:paraId="5AB64C1F">
      <w:pPr>
        <w:pStyle w:val="7"/>
        <w:ind w:left="0" w:leftChars="0" w:firstLine="840" w:firstLineChars="3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全  称 </w:t>
      </w:r>
    </w:p>
    <w:p w14:paraId="0B79D016">
      <w:pPr>
        <w:pStyle w:val="7"/>
        <w:ind w:left="0" w:leftChars="0" w:firstLine="840" w:firstLineChars="3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开户行：</w:t>
      </w:r>
    </w:p>
    <w:p w14:paraId="45860782">
      <w:pPr>
        <w:pStyle w:val="7"/>
        <w:ind w:left="0" w:leftChars="0" w:firstLine="840" w:firstLineChars="3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账  号：</w:t>
      </w:r>
    </w:p>
    <w:p w14:paraId="3D15B920">
      <w:pPr>
        <w:pStyle w:val="7"/>
        <w:keepNext w:val="0"/>
        <w:keepLines w:val="0"/>
        <w:pageBreakBefore w:val="0"/>
        <w:widowControl w:val="0"/>
        <w:numPr>
          <w:ilvl w:val="255"/>
          <w:numId w:val="0"/>
        </w:numPr>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sz w:val="28"/>
          <w:szCs w:val="28"/>
          <w:highlight w:val="yellow"/>
        </w:rPr>
      </w:pPr>
      <w:r>
        <w:rPr>
          <w:rFonts w:hint="eastAsia" w:ascii="宋体" w:hAnsi="宋体" w:eastAsia="宋体" w:cs="宋体"/>
          <w:sz w:val="28"/>
          <w:szCs w:val="28"/>
          <w:lang w:val="en-US" w:eastAsia="zh-CN"/>
        </w:rPr>
        <w:t>4</w:t>
      </w:r>
      <w:r>
        <w:rPr>
          <w:rFonts w:hint="eastAsia" w:ascii="宋体" w:hAnsi="宋体" w:eastAsia="宋体" w:cs="宋体"/>
          <w:sz w:val="28"/>
          <w:szCs w:val="28"/>
        </w:rPr>
        <w:t>、为保证资金安全，甲方付款时，乙方委派专人负责办理手续，乙方根据甲方的实际采购数量对应的价款开具增值税发票。</w:t>
      </w:r>
      <w:r>
        <w:rPr>
          <w:rFonts w:hint="eastAsia" w:ascii="宋体" w:hAnsi="宋体" w:eastAsia="宋体" w:cs="宋体"/>
          <w:sz w:val="28"/>
          <w:szCs w:val="28"/>
          <w:lang w:val="en-US" w:eastAsia="zh-CN"/>
        </w:rPr>
        <w:t>注（采购的两种货物都按生物有机肥发票进行结算）。</w:t>
      </w:r>
    </w:p>
    <w:p w14:paraId="5DFFC04E">
      <w:pPr>
        <w:pStyle w:val="7"/>
        <w:keepNext w:val="0"/>
        <w:keepLines w:val="0"/>
        <w:pageBreakBefore w:val="0"/>
        <w:widowControl w:val="0"/>
        <w:kinsoku/>
        <w:wordWrap/>
        <w:overflowPunct/>
        <w:topLinePunct w:val="0"/>
        <w:autoSpaceDE/>
        <w:autoSpaceDN/>
        <w:bidi w:val="0"/>
        <w:adjustRightInd/>
        <w:snapToGrid/>
        <w:spacing w:beforeLines="50" w:line="560" w:lineRule="exact"/>
        <w:ind w:firstLine="31680"/>
        <w:jc w:val="left"/>
        <w:textAlignment w:val="auto"/>
        <w:rPr>
          <w:rFonts w:hint="eastAsia" w:ascii="宋体" w:hAnsi="宋体" w:eastAsia="宋体" w:cs="宋体"/>
          <w:sz w:val="28"/>
          <w:szCs w:val="28"/>
        </w:rPr>
      </w:pPr>
      <w:r>
        <w:rPr>
          <w:rFonts w:hint="eastAsia" w:ascii="宋体" w:hAnsi="宋体" w:eastAsia="宋体" w:cs="宋体"/>
          <w:sz w:val="28"/>
          <w:szCs w:val="28"/>
        </w:rPr>
        <w:t>5、本合同签订后非因乙方原因，导致合同无法履行时，甲方应于停工之日起30日内付清未结算的货款。</w:t>
      </w:r>
    </w:p>
    <w:p w14:paraId="1544DDDA">
      <w:pPr>
        <w:pStyle w:val="7"/>
        <w:keepNext w:val="0"/>
        <w:keepLines w:val="0"/>
        <w:pageBreakBefore w:val="0"/>
        <w:widowControl w:val="0"/>
        <w:kinsoku/>
        <w:wordWrap/>
        <w:overflowPunct/>
        <w:topLinePunct w:val="0"/>
        <w:autoSpaceDE/>
        <w:autoSpaceDN/>
        <w:bidi w:val="0"/>
        <w:adjustRightInd/>
        <w:snapToGrid/>
        <w:spacing w:beforeLines="50" w:line="560" w:lineRule="exact"/>
        <w:ind w:firstLine="3168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八、技术质量服务要求</w:t>
      </w:r>
    </w:p>
    <w:p w14:paraId="76E2C38E">
      <w:pPr>
        <w:pStyle w:val="7"/>
        <w:keepNext w:val="0"/>
        <w:keepLines w:val="0"/>
        <w:pageBreakBefore w:val="0"/>
        <w:widowControl w:val="0"/>
        <w:kinsoku/>
        <w:wordWrap/>
        <w:overflowPunct/>
        <w:topLinePunct w:val="0"/>
        <w:autoSpaceDE/>
        <w:autoSpaceDN/>
        <w:bidi w:val="0"/>
        <w:adjustRightInd/>
        <w:snapToGrid/>
        <w:spacing w:beforeLines="50" w:line="560" w:lineRule="exact"/>
        <w:ind w:firstLine="31680"/>
        <w:jc w:val="left"/>
        <w:textAlignment w:val="auto"/>
        <w:rPr>
          <w:rFonts w:hint="eastAsia" w:ascii="宋体" w:hAnsi="宋体" w:eastAsia="宋体" w:cs="宋体"/>
          <w:sz w:val="28"/>
          <w:szCs w:val="28"/>
        </w:rPr>
      </w:pPr>
      <w:r>
        <w:rPr>
          <w:rFonts w:hint="eastAsia" w:ascii="宋体" w:hAnsi="宋体" w:eastAsia="宋体" w:cs="宋体"/>
          <w:sz w:val="28"/>
          <w:szCs w:val="28"/>
        </w:rPr>
        <w:t>1、乙方所提供的服务内容严格按照国家规范标准执行，符合甲方宣传理念及要求。</w:t>
      </w:r>
    </w:p>
    <w:p w14:paraId="0D3A13AE">
      <w:pPr>
        <w:pStyle w:val="7"/>
        <w:keepNext w:val="0"/>
        <w:keepLines w:val="0"/>
        <w:pageBreakBefore w:val="0"/>
        <w:widowControl w:val="0"/>
        <w:kinsoku/>
        <w:wordWrap/>
        <w:overflowPunct/>
        <w:topLinePunct w:val="0"/>
        <w:autoSpaceDE/>
        <w:autoSpaceDN/>
        <w:bidi w:val="0"/>
        <w:adjustRightInd/>
        <w:snapToGrid/>
        <w:spacing w:beforeLines="50" w:line="560" w:lineRule="exact"/>
        <w:ind w:firstLine="31680"/>
        <w:jc w:val="left"/>
        <w:textAlignment w:val="auto"/>
        <w:rPr>
          <w:rFonts w:hint="eastAsia" w:ascii="宋体" w:hAnsi="宋体" w:eastAsia="宋体" w:cs="宋体"/>
          <w:sz w:val="28"/>
          <w:szCs w:val="28"/>
        </w:rPr>
      </w:pPr>
      <w:r>
        <w:rPr>
          <w:rFonts w:hint="eastAsia" w:ascii="宋体" w:hAnsi="宋体" w:eastAsia="宋体" w:cs="宋体"/>
          <w:sz w:val="28"/>
          <w:szCs w:val="28"/>
        </w:rPr>
        <w:t>2、服务方式：现场服务。乙方承诺在质量保证期内免费提供货物技术培训等服务，技术响应时间不小于2小时，技术人员抵达现场时间不小于8小时，遇到紧急突发时间远程无法解决的，应在24小时内到达现场并解决问题，费用乙方自行承担。</w:t>
      </w:r>
    </w:p>
    <w:p w14:paraId="13B5A75D">
      <w:pPr>
        <w:pStyle w:val="7"/>
        <w:keepNext w:val="0"/>
        <w:keepLines w:val="0"/>
        <w:pageBreakBefore w:val="0"/>
        <w:widowControl w:val="0"/>
        <w:kinsoku/>
        <w:wordWrap/>
        <w:overflowPunct/>
        <w:topLinePunct w:val="0"/>
        <w:autoSpaceDE/>
        <w:autoSpaceDN/>
        <w:bidi w:val="0"/>
        <w:adjustRightInd/>
        <w:snapToGrid/>
        <w:spacing w:beforeLines="50" w:line="560" w:lineRule="exact"/>
        <w:ind w:firstLine="31680"/>
        <w:jc w:val="left"/>
        <w:textAlignment w:val="auto"/>
        <w:rPr>
          <w:rFonts w:hint="eastAsia" w:ascii="宋体" w:hAnsi="宋体" w:eastAsia="宋体" w:cs="宋体"/>
          <w:sz w:val="28"/>
          <w:szCs w:val="28"/>
        </w:rPr>
      </w:pPr>
      <w:r>
        <w:rPr>
          <w:rFonts w:hint="eastAsia" w:ascii="宋体" w:hAnsi="宋体" w:eastAsia="宋体" w:cs="宋体"/>
          <w:sz w:val="28"/>
          <w:szCs w:val="28"/>
        </w:rPr>
        <w:t>3、因甲方在施肥过程中，不按相应的规范进行操作、自行添加其他材料、未创造适宜的土壤环境、天气因素、自然环境等原因造成的，其一切责任由甲方承担。</w:t>
      </w:r>
    </w:p>
    <w:p w14:paraId="057B6069">
      <w:pPr>
        <w:keepNext w:val="0"/>
        <w:keepLines w:val="0"/>
        <w:pageBreakBefore w:val="0"/>
        <w:widowControl w:val="0"/>
        <w:tabs>
          <w:tab w:val="left" w:pos="0"/>
        </w:tabs>
        <w:kinsoku/>
        <w:wordWrap/>
        <w:overflowPunct/>
        <w:topLinePunct w:val="0"/>
        <w:autoSpaceDE/>
        <w:autoSpaceDN/>
        <w:bidi w:val="0"/>
        <w:adjustRightInd/>
        <w:snapToGrid/>
        <w:spacing w:beforeLines="50" w:line="5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rPr>
        <w:t>九、违约责任</w:t>
      </w:r>
    </w:p>
    <w:p w14:paraId="0AE08CCF">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1、甲、乙双方应严格按照合同约定履行义务，任意一方违约，守约方有权解除合同并要求违约方支付违约金。</w:t>
      </w:r>
    </w:p>
    <w:p w14:paraId="3E5482AB">
      <w:pPr>
        <w:pStyle w:val="7"/>
        <w:keepNext w:val="0"/>
        <w:keepLines w:val="0"/>
        <w:pageBreakBefore w:val="0"/>
        <w:widowControl w:val="0"/>
        <w:kinsoku/>
        <w:wordWrap/>
        <w:overflowPunct/>
        <w:topLinePunct w:val="0"/>
        <w:autoSpaceDE/>
        <w:autoSpaceDN/>
        <w:bidi w:val="0"/>
        <w:adjustRightInd/>
        <w:snapToGrid/>
        <w:spacing w:line="560" w:lineRule="exact"/>
        <w:ind w:firstLine="3168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2、甲、乙双方均不得在未经对方同意的情况下将本合同项下任何权利义务向第三方转让，否则，构成违约，守约方有权解除合同并要求违约方承担违约责任。</w:t>
      </w:r>
    </w:p>
    <w:p w14:paraId="4A422B15">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3、乙方应保证所交付的货物质量符合本合同规定的质量标准及技术要求，因乙方产品质量问题而使甲方造成损失的，甲方有权终止合同和要求赔偿损失，同时报请政府采购管理部门对其违约行为进行追究。</w:t>
      </w:r>
    </w:p>
    <w:p w14:paraId="6CA63DA9">
      <w:pPr>
        <w:keepNext w:val="0"/>
        <w:keepLines w:val="0"/>
        <w:pageBreakBefore w:val="0"/>
        <w:widowControl w:val="0"/>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乙方按照甲方招投标文件要求进行加工包衣生产，如甲方未按其约定的数量、规格进行订购，除甲方应当支付已将交付货物的价款外，乙方有权要求甲方支付货物总价款30%的违约金并赔偿由此造成的一切损失。</w:t>
      </w:r>
    </w:p>
    <w:p w14:paraId="43F3DE5F">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5、如甲方未在合同约定期内付款，乙方有权拒绝提供技术服务并要求甲方承担延期付款金额30%的违约金，并赔偿由此给乙方造成的一切损失。</w:t>
      </w:r>
    </w:p>
    <w:p w14:paraId="2EC892E3">
      <w:pPr>
        <w:keepNext w:val="0"/>
        <w:keepLines w:val="0"/>
        <w:pageBreakBefore w:val="0"/>
        <w:widowControl w:val="0"/>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auto"/>
          <w:sz w:val="28"/>
          <w:szCs w:val="28"/>
        </w:rPr>
        <w:t>6、上</w:t>
      </w:r>
      <w:r>
        <w:rPr>
          <w:rFonts w:hint="eastAsia" w:ascii="宋体" w:hAnsi="宋体" w:eastAsia="宋体" w:cs="宋体"/>
          <w:sz w:val="28"/>
          <w:szCs w:val="28"/>
        </w:rPr>
        <w:t>述违约金、损害赔偿金的赔偿范围（包括但不限于直接损失、甲方向第三方的违约或赔偿损失、误工费、鉴定费、损失的评估费、律师费、诉讼费或仲裁费、保全费、公告费、执行费等全部损失）等双方均已经详细了解并知悉。</w:t>
      </w:r>
    </w:p>
    <w:p w14:paraId="27F6889E">
      <w:pPr>
        <w:keepNext w:val="0"/>
        <w:keepLines w:val="0"/>
        <w:pageBreakBefore w:val="0"/>
        <w:widowControl w:val="0"/>
        <w:kinsoku/>
        <w:wordWrap/>
        <w:overflowPunct/>
        <w:topLinePunct w:val="0"/>
        <w:autoSpaceDE/>
        <w:autoSpaceDN/>
        <w:bidi w:val="0"/>
        <w:adjustRightInd/>
        <w:snapToGrid/>
        <w:spacing w:beforeLines="50"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十、通知</w:t>
      </w:r>
    </w:p>
    <w:p w14:paraId="0F1A6C45">
      <w:pPr>
        <w:keepNext w:val="0"/>
        <w:keepLines w:val="0"/>
        <w:pageBreakBefore w:val="0"/>
        <w:widowControl w:val="0"/>
        <w:kinsoku/>
        <w:wordWrap/>
        <w:overflowPunct/>
        <w:topLinePunct w:val="0"/>
        <w:autoSpaceDE/>
        <w:autoSpaceDN/>
        <w:bidi w:val="0"/>
        <w:adjustRightInd/>
        <w:snapToGrid/>
        <w:spacing w:beforeLines="50"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根据本合同需要发出的全部通知以及双方的文件往来及与本合同有关的通知和要求等，必须用书面形式，可采用电子邮件或微信(书信、传真、电报、当面送交等)等方式传递，解除合同的通知自通知到达双方公司后次日起发生效力。上述通讯地址、邮箱和微信视为通知、法律文书等的邮寄、收、发地址。</w:t>
      </w:r>
    </w:p>
    <w:p w14:paraId="7FB6420B">
      <w:pPr>
        <w:keepNext w:val="0"/>
        <w:keepLines w:val="0"/>
        <w:pageBreakBefore w:val="0"/>
        <w:widowControl w:val="0"/>
        <w:kinsoku/>
        <w:wordWrap/>
        <w:overflowPunct/>
        <w:topLinePunct w:val="0"/>
        <w:autoSpaceDE/>
        <w:autoSpaceDN/>
        <w:bidi w:val="0"/>
        <w:adjustRightInd/>
        <w:snapToGrid/>
        <w:spacing w:beforeLines="50" w:line="5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rPr>
        <w:t>十一、</w:t>
      </w:r>
      <w:r>
        <w:rPr>
          <w:rFonts w:hint="eastAsia" w:ascii="宋体" w:hAnsi="宋体" w:eastAsia="宋体" w:cs="宋体"/>
          <w:b w:val="0"/>
          <w:bCs w:val="0"/>
          <w:sz w:val="28"/>
          <w:szCs w:val="28"/>
        </w:rPr>
        <w:t>解决合同纠纷的方式：</w:t>
      </w:r>
      <w:r>
        <w:rPr>
          <w:rFonts w:hint="eastAsia" w:ascii="宋体" w:hAnsi="宋体" w:eastAsia="宋体" w:cs="宋体"/>
          <w:sz w:val="28"/>
          <w:szCs w:val="28"/>
        </w:rPr>
        <w:t>本合同在履行过程中发生争议，双方协商解决，若协商不成，均可向</w:t>
      </w:r>
      <w:r>
        <w:rPr>
          <w:rFonts w:hint="eastAsia" w:ascii="宋体" w:hAnsi="宋体" w:eastAsia="宋体" w:cs="宋体"/>
          <w:sz w:val="28"/>
          <w:szCs w:val="28"/>
          <w:lang w:val="en-US" w:eastAsia="zh-CN"/>
        </w:rPr>
        <w:t>主张方地方</w:t>
      </w:r>
      <w:r>
        <w:rPr>
          <w:rFonts w:hint="eastAsia" w:ascii="宋体" w:hAnsi="宋体" w:eastAsia="宋体" w:cs="宋体"/>
          <w:sz w:val="28"/>
          <w:szCs w:val="28"/>
        </w:rPr>
        <w:t>法院提起诉讼。</w:t>
      </w:r>
    </w:p>
    <w:p w14:paraId="25E2A0F9">
      <w:pPr>
        <w:keepNext w:val="0"/>
        <w:keepLines w:val="0"/>
        <w:pageBreakBefore w:val="0"/>
        <w:widowControl w:val="0"/>
        <w:kinsoku/>
        <w:wordWrap/>
        <w:overflowPunct/>
        <w:topLinePunct w:val="0"/>
        <w:autoSpaceDE/>
        <w:autoSpaceDN/>
        <w:bidi w:val="0"/>
        <w:adjustRightInd/>
        <w:snapToGrid/>
        <w:spacing w:beforeLines="50" w:line="5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rPr>
        <w:t>十二、</w:t>
      </w:r>
      <w:r>
        <w:rPr>
          <w:rFonts w:hint="eastAsia" w:ascii="宋体" w:hAnsi="宋体" w:eastAsia="宋体" w:cs="宋体"/>
          <w:sz w:val="28"/>
          <w:szCs w:val="28"/>
        </w:rPr>
        <w:t>本合同经双方法定代表人或委托人签字并加盖公司章后生效，甲、乙方授权委托代理人签章的，应提供公司出具的委托代理人的授权委托书原件和委托代理人身份证复印件（经与原件核对确认无误）。本合同一式</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三</w:t>
      </w:r>
      <w:r>
        <w:rPr>
          <w:rFonts w:hint="eastAsia" w:ascii="宋体" w:hAnsi="宋体" w:eastAsia="宋体" w:cs="宋体"/>
          <w:sz w:val="28"/>
          <w:szCs w:val="28"/>
          <w:u w:val="single"/>
        </w:rPr>
        <w:t xml:space="preserve">  </w:t>
      </w:r>
      <w:r>
        <w:rPr>
          <w:rFonts w:hint="eastAsia" w:ascii="宋体" w:hAnsi="宋体" w:eastAsia="宋体" w:cs="宋体"/>
          <w:sz w:val="28"/>
          <w:szCs w:val="28"/>
        </w:rPr>
        <w:t>份，甲、乙双方各执</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壹</w:t>
      </w:r>
      <w:r>
        <w:rPr>
          <w:rFonts w:hint="eastAsia" w:ascii="宋体" w:hAnsi="宋体" w:eastAsia="宋体" w:cs="宋体"/>
          <w:sz w:val="28"/>
          <w:szCs w:val="28"/>
        </w:rPr>
        <w:t>份，招标代理机构存档</w:t>
      </w:r>
      <w:r>
        <w:rPr>
          <w:rFonts w:hint="eastAsia" w:ascii="宋体" w:hAnsi="宋体" w:eastAsia="宋体" w:cs="宋体"/>
          <w:sz w:val="28"/>
          <w:szCs w:val="28"/>
          <w:lang w:val="en-US" w:eastAsia="zh-CN"/>
        </w:rPr>
        <w:t>一</w:t>
      </w:r>
      <w:r>
        <w:rPr>
          <w:rFonts w:hint="eastAsia" w:ascii="宋体" w:hAnsi="宋体" w:eastAsia="宋体" w:cs="宋体"/>
          <w:sz w:val="28"/>
          <w:szCs w:val="28"/>
        </w:rPr>
        <w:t>份，具有同等法律效力。</w:t>
      </w:r>
    </w:p>
    <w:p w14:paraId="5800C772">
      <w:pPr>
        <w:keepNext w:val="0"/>
        <w:keepLines w:val="0"/>
        <w:pageBreakBefore w:val="0"/>
        <w:widowControl w:val="0"/>
        <w:kinsoku/>
        <w:wordWrap/>
        <w:overflowPunct/>
        <w:topLinePunct w:val="0"/>
        <w:autoSpaceDE/>
        <w:autoSpaceDN/>
        <w:bidi w:val="0"/>
        <w:adjustRightInd/>
        <w:snapToGrid/>
        <w:spacing w:line="560" w:lineRule="exact"/>
        <w:ind w:left="-4" w:leftChars="-2" w:firstLine="562"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rPr>
        <w:t>十三</w:t>
      </w:r>
      <w:r>
        <w:rPr>
          <w:rFonts w:hint="eastAsia" w:ascii="宋体" w:hAnsi="宋体" w:eastAsia="宋体" w:cs="宋体"/>
          <w:sz w:val="28"/>
          <w:szCs w:val="28"/>
        </w:rPr>
        <w:t>、本合同未尽事宜，双方可签订补充协议，合同履行过程中形成的有关协议及双方认可的来往电报、传真、会议纪要等书面文件和本合同附件，均为本合同不可分割的组成部分，与本合同具有同等法律效力，内容相悖之处以生成在后的协议内容为准。</w:t>
      </w:r>
    </w:p>
    <w:p w14:paraId="2B3E98EF">
      <w:pPr>
        <w:keepNext w:val="0"/>
        <w:keepLines w:val="0"/>
        <w:pageBreakBefore w:val="0"/>
        <w:widowControl w:val="0"/>
        <w:kinsoku/>
        <w:wordWrap/>
        <w:overflowPunct/>
        <w:topLinePunct w:val="0"/>
        <w:autoSpaceDE/>
        <w:autoSpaceDN/>
        <w:bidi w:val="0"/>
        <w:adjustRightInd/>
        <w:snapToGrid/>
        <w:spacing w:line="560" w:lineRule="exact"/>
        <w:ind w:left="-4" w:leftChars="-2"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tbl>
      <w:tblPr>
        <w:tblStyle w:val="23"/>
        <w:tblpPr w:leftFromText="180" w:rightFromText="180" w:vertAnchor="text" w:horzAnchor="page" w:tblpX="1077" w:tblpY="726"/>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0"/>
        <w:gridCol w:w="4959"/>
      </w:tblGrid>
      <w:tr w14:paraId="4DFC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4" w:hRule="atLeast"/>
        </w:trPr>
        <w:tc>
          <w:tcPr>
            <w:tcW w:w="5360" w:type="dxa"/>
          </w:tcPr>
          <w:p w14:paraId="66BC5A0D">
            <w:pPr>
              <w:jc w:val="both"/>
              <w:rPr>
                <w:rFonts w:hint="eastAsia" w:ascii="宋体" w:hAnsi="宋体" w:eastAsia="宋体" w:cs="宋体"/>
                <w:sz w:val="28"/>
                <w:szCs w:val="28"/>
              </w:rPr>
            </w:pPr>
          </w:p>
          <w:p w14:paraId="474C357F">
            <w:pPr>
              <w:jc w:val="both"/>
              <w:rPr>
                <w:rFonts w:hint="eastAsia" w:ascii="宋体" w:hAnsi="宋体" w:eastAsia="宋体" w:cs="宋体"/>
                <w:sz w:val="28"/>
                <w:szCs w:val="28"/>
              </w:rPr>
            </w:pPr>
            <w:r>
              <w:rPr>
                <w:rFonts w:hint="eastAsia" w:ascii="宋体" w:hAnsi="宋体" w:eastAsia="宋体" w:cs="宋体"/>
                <w:sz w:val="28"/>
                <w:szCs w:val="28"/>
              </w:rPr>
              <w:t>甲方（盖章）</w:t>
            </w:r>
          </w:p>
          <w:p w14:paraId="735B70AE">
            <w:pPr>
              <w:ind w:firstLine="560" w:firstLineChars="200"/>
              <w:jc w:val="both"/>
              <w:rPr>
                <w:rFonts w:hint="eastAsia" w:ascii="宋体" w:hAnsi="宋体" w:eastAsia="宋体" w:cs="宋体"/>
                <w:sz w:val="28"/>
                <w:szCs w:val="28"/>
              </w:rPr>
            </w:pPr>
          </w:p>
          <w:p w14:paraId="3560F5E0">
            <w:pPr>
              <w:jc w:val="both"/>
              <w:rPr>
                <w:rFonts w:hint="eastAsia" w:ascii="宋体" w:hAnsi="宋体" w:eastAsia="宋体" w:cs="宋体"/>
                <w:sz w:val="28"/>
                <w:szCs w:val="28"/>
              </w:rPr>
            </w:pPr>
            <w:r>
              <w:rPr>
                <w:rFonts w:hint="eastAsia" w:ascii="宋体" w:hAnsi="宋体" w:eastAsia="宋体" w:cs="宋体"/>
                <w:sz w:val="28"/>
                <w:szCs w:val="28"/>
              </w:rPr>
              <w:t>单位名称：</w:t>
            </w:r>
          </w:p>
          <w:p w14:paraId="108FABB0">
            <w:pPr>
              <w:tabs>
                <w:tab w:val="left" w:pos="735"/>
              </w:tabs>
              <w:ind w:firstLine="560" w:firstLineChars="200"/>
              <w:jc w:val="both"/>
              <w:rPr>
                <w:rFonts w:hint="eastAsia" w:ascii="宋体" w:hAnsi="宋体" w:eastAsia="宋体" w:cs="宋体"/>
                <w:sz w:val="28"/>
                <w:szCs w:val="28"/>
              </w:rPr>
            </w:pPr>
          </w:p>
          <w:p w14:paraId="3BB2BC6F">
            <w:pPr>
              <w:tabs>
                <w:tab w:val="left" w:pos="735"/>
              </w:tabs>
              <w:jc w:val="both"/>
              <w:rPr>
                <w:rFonts w:hint="eastAsia" w:ascii="宋体" w:hAnsi="宋体" w:eastAsia="宋体" w:cs="宋体"/>
                <w:sz w:val="28"/>
                <w:szCs w:val="28"/>
              </w:rPr>
            </w:pPr>
            <w:r>
              <w:rPr>
                <w:rFonts w:hint="eastAsia" w:ascii="宋体" w:hAnsi="宋体" w:eastAsia="宋体" w:cs="宋体"/>
                <w:sz w:val="28"/>
                <w:szCs w:val="28"/>
              </w:rPr>
              <w:t>全权代表（签字）：</w:t>
            </w:r>
          </w:p>
          <w:p w14:paraId="42960D7D">
            <w:pPr>
              <w:pStyle w:val="7"/>
              <w:ind w:firstLine="31680"/>
              <w:jc w:val="both"/>
              <w:rPr>
                <w:rFonts w:hint="eastAsia" w:ascii="宋体" w:hAnsi="宋体" w:eastAsia="宋体" w:cs="宋体"/>
                <w:sz w:val="28"/>
                <w:szCs w:val="28"/>
              </w:rPr>
            </w:pPr>
          </w:p>
          <w:p w14:paraId="59776E36">
            <w:pPr>
              <w:pStyle w:val="7"/>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开户银行：</w:t>
            </w:r>
          </w:p>
          <w:p w14:paraId="09D78C52">
            <w:pPr>
              <w:pStyle w:val="7"/>
              <w:ind w:firstLine="31680"/>
              <w:jc w:val="both"/>
              <w:rPr>
                <w:rFonts w:hint="eastAsia" w:ascii="宋体" w:hAnsi="宋体" w:eastAsia="宋体" w:cs="宋体"/>
                <w:sz w:val="28"/>
                <w:szCs w:val="28"/>
              </w:rPr>
            </w:pPr>
          </w:p>
          <w:p w14:paraId="58DD100B">
            <w:pPr>
              <w:pStyle w:val="7"/>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开户账号：</w:t>
            </w:r>
          </w:p>
          <w:p w14:paraId="3F2335C5">
            <w:pPr>
              <w:pStyle w:val="7"/>
              <w:ind w:left="0" w:leftChars="0" w:firstLine="0" w:firstLineChars="0"/>
              <w:jc w:val="both"/>
              <w:rPr>
                <w:rFonts w:hint="eastAsia" w:ascii="宋体" w:hAnsi="宋体" w:eastAsia="宋体" w:cs="宋体"/>
                <w:sz w:val="28"/>
                <w:szCs w:val="28"/>
              </w:rPr>
            </w:pPr>
          </w:p>
          <w:p w14:paraId="7688278B">
            <w:pPr>
              <w:pStyle w:val="7"/>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签订时间：</w:t>
            </w:r>
          </w:p>
        </w:tc>
        <w:tc>
          <w:tcPr>
            <w:tcW w:w="4959" w:type="dxa"/>
          </w:tcPr>
          <w:p w14:paraId="39F2A558">
            <w:pPr>
              <w:ind w:firstLine="562" w:firstLineChars="200"/>
              <w:jc w:val="both"/>
              <w:rPr>
                <w:rFonts w:hint="eastAsia" w:ascii="宋体" w:hAnsi="宋体" w:eastAsia="宋体" w:cs="宋体"/>
                <w:b/>
                <w:sz w:val="28"/>
                <w:szCs w:val="28"/>
              </w:rPr>
            </w:pPr>
          </w:p>
          <w:p w14:paraId="456A2F8B">
            <w:pPr>
              <w:jc w:val="both"/>
              <w:rPr>
                <w:rFonts w:hint="eastAsia" w:ascii="宋体" w:hAnsi="宋体" w:eastAsia="宋体" w:cs="宋体"/>
                <w:sz w:val="28"/>
                <w:szCs w:val="28"/>
              </w:rPr>
            </w:pPr>
            <w:r>
              <w:rPr>
                <w:rFonts w:hint="eastAsia" w:ascii="宋体" w:hAnsi="宋体" w:eastAsia="宋体" w:cs="宋体"/>
                <w:sz w:val="28"/>
                <w:szCs w:val="28"/>
              </w:rPr>
              <w:t>乙方（盖章）</w:t>
            </w:r>
          </w:p>
          <w:p w14:paraId="27F7D0B7">
            <w:pPr>
              <w:ind w:left="1050" w:firstLine="560" w:firstLineChars="200"/>
              <w:jc w:val="both"/>
              <w:rPr>
                <w:rFonts w:hint="eastAsia" w:ascii="宋体" w:hAnsi="宋体" w:eastAsia="宋体" w:cs="宋体"/>
                <w:sz w:val="28"/>
                <w:szCs w:val="28"/>
              </w:rPr>
            </w:pPr>
          </w:p>
          <w:p w14:paraId="45D0CC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单位名称</w:t>
            </w:r>
            <w:r>
              <w:rPr>
                <w:rFonts w:hint="eastAsia" w:ascii="宋体" w:hAnsi="宋体" w:eastAsia="宋体" w:cs="宋体"/>
                <w:sz w:val="28"/>
                <w:szCs w:val="28"/>
                <w:lang w:eastAsia="zh-CN"/>
              </w:rPr>
              <w:t>：</w:t>
            </w:r>
          </w:p>
          <w:p w14:paraId="07B22DCC">
            <w:pPr>
              <w:pStyle w:val="31"/>
              <w:rPr>
                <w:rFonts w:hint="eastAsia" w:ascii="宋体" w:hAnsi="宋体" w:eastAsia="宋体" w:cs="宋体"/>
                <w:lang w:val="en-US" w:eastAsia="zh-CN"/>
              </w:rPr>
            </w:pPr>
          </w:p>
          <w:p w14:paraId="030C4418">
            <w:pPr>
              <w:jc w:val="both"/>
              <w:rPr>
                <w:rFonts w:hint="eastAsia" w:ascii="宋体" w:hAnsi="宋体" w:eastAsia="宋体" w:cs="宋体"/>
                <w:sz w:val="28"/>
                <w:szCs w:val="28"/>
              </w:rPr>
            </w:pPr>
            <w:r>
              <w:rPr>
                <w:rFonts w:hint="eastAsia" w:ascii="宋体" w:hAnsi="宋体" w:eastAsia="宋体" w:cs="宋体"/>
                <w:sz w:val="28"/>
                <w:szCs w:val="28"/>
              </w:rPr>
              <w:t>法定代表人（签字）：</w:t>
            </w:r>
          </w:p>
          <w:p w14:paraId="74F7A851">
            <w:pPr>
              <w:pStyle w:val="7"/>
              <w:ind w:firstLine="31680"/>
              <w:jc w:val="both"/>
              <w:rPr>
                <w:rFonts w:hint="eastAsia" w:ascii="宋体" w:hAnsi="宋体" w:eastAsia="宋体" w:cs="宋体"/>
                <w:sz w:val="28"/>
                <w:szCs w:val="28"/>
              </w:rPr>
            </w:pPr>
          </w:p>
          <w:p w14:paraId="29639850">
            <w:pPr>
              <w:jc w:val="both"/>
              <w:rPr>
                <w:rFonts w:hint="eastAsia" w:ascii="宋体" w:hAnsi="宋体" w:eastAsia="宋体" w:cs="宋体"/>
                <w:sz w:val="28"/>
                <w:szCs w:val="28"/>
                <w:lang w:val="en-US" w:eastAsia="zh-CN"/>
              </w:rPr>
            </w:pPr>
            <w:r>
              <w:rPr>
                <w:rFonts w:hint="eastAsia" w:ascii="宋体" w:hAnsi="宋体" w:eastAsia="宋体" w:cs="宋体"/>
                <w:sz w:val="28"/>
                <w:szCs w:val="28"/>
              </w:rPr>
              <w:t>授权委托人（签字）：</w:t>
            </w:r>
          </w:p>
          <w:p w14:paraId="231FE314">
            <w:pPr>
              <w:pStyle w:val="7"/>
              <w:ind w:left="0" w:leftChars="0" w:firstLine="0" w:firstLineChars="0"/>
              <w:jc w:val="both"/>
              <w:rPr>
                <w:rFonts w:hint="eastAsia" w:ascii="宋体" w:hAnsi="宋体" w:eastAsia="宋体" w:cs="宋体"/>
                <w:sz w:val="28"/>
                <w:szCs w:val="28"/>
              </w:rPr>
            </w:pPr>
          </w:p>
          <w:p w14:paraId="7F9C498D">
            <w:pPr>
              <w:pStyle w:val="7"/>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开户银行：</w:t>
            </w:r>
          </w:p>
          <w:p w14:paraId="24807065">
            <w:pPr>
              <w:pStyle w:val="7"/>
              <w:ind w:left="0"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rPr>
              <w:t>开户账号：</w:t>
            </w:r>
          </w:p>
          <w:p w14:paraId="71A1ED63">
            <w:pPr>
              <w:jc w:val="both"/>
              <w:rPr>
                <w:rFonts w:hint="eastAsia" w:ascii="宋体" w:hAnsi="宋体" w:eastAsia="宋体" w:cs="宋体"/>
                <w:sz w:val="28"/>
                <w:szCs w:val="28"/>
              </w:rPr>
            </w:pPr>
            <w:r>
              <w:rPr>
                <w:rFonts w:hint="eastAsia" w:ascii="宋体" w:hAnsi="宋体" w:eastAsia="宋体" w:cs="宋体"/>
                <w:sz w:val="28"/>
                <w:szCs w:val="28"/>
              </w:rPr>
              <w:t>签订时间：</w:t>
            </w:r>
          </w:p>
        </w:tc>
      </w:tr>
    </w:tbl>
    <w:p w14:paraId="58A399D3">
      <w:pPr>
        <w:widowControl/>
        <w:ind w:firstLine="560" w:firstLineChars="200"/>
        <w:jc w:val="both"/>
        <w:rPr>
          <w:rFonts w:ascii="仿宋" w:hAnsi="仿宋" w:eastAsia="仿宋" w:cs="仿宋"/>
          <w:sz w:val="28"/>
          <w:szCs w:val="28"/>
        </w:rPr>
      </w:pPr>
    </w:p>
    <w:p w14:paraId="0051B25B">
      <w:pPr>
        <w:ind w:firstLine="560" w:firstLineChars="200"/>
        <w:jc w:val="both"/>
        <w:rPr>
          <w:rFonts w:ascii="仿宋" w:hAnsi="仿宋" w:eastAsia="仿宋" w:cs="仿宋"/>
          <w:sz w:val="28"/>
          <w:szCs w:val="28"/>
        </w:rPr>
      </w:pPr>
    </w:p>
    <w:p w14:paraId="0F340BB0"/>
    <w:p w14:paraId="63739D67">
      <w:pPr>
        <w:pStyle w:val="8"/>
        <w:rPr>
          <w:rFonts w:hint="eastAsia" w:ascii="宋体" w:hAnsi="宋体" w:eastAsia="宋体" w:cs="宋体"/>
          <w:b/>
          <w:bCs/>
          <w:color w:val="auto"/>
          <w:sz w:val="24"/>
          <w:szCs w:val="24"/>
        </w:rPr>
      </w:pPr>
    </w:p>
    <w:p w14:paraId="099E56D2">
      <w:pPr>
        <w:rPr>
          <w:rFonts w:hint="eastAsia" w:ascii="宋体" w:hAnsi="宋体" w:eastAsia="宋体" w:cs="宋体"/>
          <w:b/>
          <w:bCs/>
          <w:color w:val="auto"/>
          <w:sz w:val="24"/>
          <w:szCs w:val="24"/>
        </w:rPr>
      </w:pPr>
    </w:p>
    <w:p w14:paraId="5C9D0C76">
      <w:pPr>
        <w:pStyle w:val="21"/>
        <w:rPr>
          <w:rFonts w:hint="eastAsia" w:ascii="宋体" w:hAnsi="宋体" w:eastAsia="宋体" w:cs="宋体"/>
          <w:b/>
          <w:bCs/>
          <w:color w:val="auto"/>
          <w:sz w:val="24"/>
          <w:szCs w:val="24"/>
        </w:rPr>
      </w:pPr>
    </w:p>
    <w:p w14:paraId="472B5DAE">
      <w:pPr>
        <w:pStyle w:val="22"/>
        <w:rPr>
          <w:rFonts w:hint="eastAsia" w:ascii="宋体" w:hAnsi="宋体" w:eastAsia="宋体" w:cs="宋体"/>
          <w:b/>
          <w:bCs/>
          <w:color w:val="auto"/>
          <w:sz w:val="24"/>
          <w:szCs w:val="24"/>
        </w:rPr>
      </w:pPr>
    </w:p>
    <w:p w14:paraId="00C16351">
      <w:pPr>
        <w:rPr>
          <w:rFonts w:hint="eastAsia" w:ascii="宋体" w:hAnsi="宋体" w:eastAsia="宋体" w:cs="宋体"/>
          <w:b/>
          <w:bCs/>
          <w:color w:val="auto"/>
          <w:sz w:val="24"/>
          <w:szCs w:val="24"/>
        </w:rPr>
      </w:pPr>
    </w:p>
    <w:p w14:paraId="6A5D2585">
      <w:pPr>
        <w:rPr>
          <w:rFonts w:hint="eastAsia"/>
        </w:rPr>
      </w:pPr>
    </w:p>
    <w:p w14:paraId="5F8DA833">
      <w:pPr>
        <w:spacing w:line="440" w:lineRule="exact"/>
        <w:ind w:firstLine="643" w:firstLineChars="2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val="en-US" w:eastAsia="zh-CN"/>
        </w:rPr>
        <w:t>五</w:t>
      </w:r>
      <w:r>
        <w:rPr>
          <w:rFonts w:hint="eastAsia" w:ascii="宋体" w:hAnsi="宋体" w:eastAsia="宋体" w:cs="宋体"/>
          <w:b/>
          <w:bCs/>
          <w:color w:val="auto"/>
          <w:sz w:val="32"/>
          <w:szCs w:val="32"/>
        </w:rPr>
        <w:t>章 采购内容及技术参数和要求</w:t>
      </w:r>
    </w:p>
    <w:p w14:paraId="34C6FB7B">
      <w:pPr>
        <w:spacing w:line="360" w:lineRule="auto"/>
        <w:outlineLvl w:val="0"/>
        <w:rPr>
          <w:rFonts w:hint="eastAsia" w:ascii="宋体" w:hAnsi="宋体" w:cs="宋体"/>
          <w:b/>
          <w:color w:val="auto"/>
          <w:sz w:val="28"/>
          <w:szCs w:val="28"/>
        </w:rPr>
      </w:pPr>
      <w:bookmarkStart w:id="145" w:name="_Toc479696752"/>
      <w:bookmarkStart w:id="146" w:name="_Toc23792"/>
      <w:r>
        <w:rPr>
          <w:rFonts w:hint="eastAsia" w:ascii="宋体" w:hAnsi="宋体" w:cs="宋体"/>
          <w:b/>
          <w:color w:val="auto"/>
          <w:sz w:val="28"/>
          <w:szCs w:val="28"/>
        </w:rPr>
        <w:t>一、采购内容</w:t>
      </w:r>
    </w:p>
    <w:p w14:paraId="3828F62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1.采购玉米种子</w:t>
      </w:r>
      <w:r>
        <w:rPr>
          <w:rFonts w:hint="eastAsia" w:ascii="宋体" w:hAnsi="宋体" w:cs="宋体"/>
          <w:b w:val="0"/>
          <w:bCs w:val="0"/>
          <w:color w:val="auto"/>
          <w:sz w:val="24"/>
          <w:lang w:val="en-US" w:eastAsia="zh-CN"/>
        </w:rPr>
        <w:t>、</w:t>
      </w:r>
      <w:r>
        <w:rPr>
          <w:rFonts w:hint="eastAsia" w:ascii="宋体" w:hAnsi="宋体" w:eastAsia="宋体" w:cs="宋体"/>
          <w:b w:val="0"/>
          <w:bCs w:val="0"/>
          <w:color w:val="auto"/>
          <w:sz w:val="24"/>
          <w:lang w:val="en-US" w:eastAsia="zh-CN"/>
        </w:rPr>
        <w:t>有机肥、</w:t>
      </w:r>
      <w:r>
        <w:rPr>
          <w:rFonts w:hint="eastAsia" w:ascii="宋体" w:hAnsi="宋体" w:cs="宋体"/>
          <w:b w:val="0"/>
          <w:bCs w:val="0"/>
          <w:color w:val="auto"/>
          <w:sz w:val="24"/>
          <w:lang w:val="en-US" w:eastAsia="zh-CN"/>
        </w:rPr>
        <w:t>叶</w:t>
      </w:r>
      <w:r>
        <w:rPr>
          <w:rFonts w:hint="eastAsia" w:ascii="宋体" w:hAnsi="宋体" w:eastAsia="宋体" w:cs="宋体"/>
          <w:b w:val="0"/>
          <w:bCs w:val="0"/>
          <w:color w:val="auto"/>
          <w:sz w:val="24"/>
          <w:lang w:val="en-US" w:eastAsia="zh-CN"/>
        </w:rPr>
        <w:t>面阻控剂1批；</w:t>
      </w:r>
    </w:p>
    <w:p w14:paraId="7DCDF489">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2.采购预算：</w:t>
      </w:r>
      <w:r>
        <w:rPr>
          <w:rFonts w:hint="eastAsia" w:ascii="宋体" w:hAnsi="宋体" w:cs="宋体"/>
          <w:b w:val="0"/>
          <w:bCs w:val="0"/>
          <w:color w:val="auto"/>
          <w:sz w:val="24"/>
          <w:lang w:val="en-US" w:eastAsia="zh-CN"/>
        </w:rPr>
        <w:t xml:space="preserve">224000.00 </w:t>
      </w:r>
      <w:r>
        <w:rPr>
          <w:rFonts w:hint="eastAsia" w:ascii="宋体" w:hAnsi="宋体" w:eastAsia="宋体" w:cs="宋体"/>
          <w:b w:val="0"/>
          <w:bCs w:val="0"/>
          <w:color w:val="auto"/>
          <w:sz w:val="24"/>
          <w:lang w:val="en-US" w:eastAsia="zh-CN"/>
        </w:rPr>
        <w:t>元</w:t>
      </w:r>
      <w:r>
        <w:rPr>
          <w:rFonts w:hint="eastAsia" w:ascii="宋体" w:hAnsi="宋体" w:cs="宋体"/>
          <w:b w:val="0"/>
          <w:bCs w:val="0"/>
          <w:color w:val="auto"/>
          <w:sz w:val="24"/>
          <w:lang w:val="en-US" w:eastAsia="zh-CN"/>
        </w:rPr>
        <w:t>、有机肥、钝化剂（页面阻控剂）30天内完成配送，玉米种子根据后续采购人实际需求随时完成配送</w:t>
      </w:r>
      <w:r>
        <w:rPr>
          <w:rFonts w:hint="eastAsia" w:ascii="宋体" w:hAnsi="宋体" w:eastAsia="宋体" w:cs="宋体"/>
          <w:b w:val="0"/>
          <w:bCs w:val="0"/>
          <w:color w:val="auto"/>
          <w:sz w:val="24"/>
          <w:lang w:val="en-US" w:eastAsia="zh-CN"/>
        </w:rPr>
        <w:t>；</w:t>
      </w:r>
    </w:p>
    <w:p w14:paraId="74671675">
      <w:pPr>
        <w:widowControl/>
        <w:spacing w:line="440" w:lineRule="exact"/>
        <w:jc w:val="left"/>
        <w:outlineLvl w:val="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技术参数</w:t>
      </w:r>
    </w:p>
    <w:bookmarkEnd w:id="145"/>
    <w:bookmarkEnd w:id="146"/>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7088"/>
        <w:gridCol w:w="1136"/>
      </w:tblGrid>
      <w:tr w14:paraId="057D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noWrap w:val="0"/>
            <w:vAlign w:val="center"/>
          </w:tcPr>
          <w:p w14:paraId="5E69FB75">
            <w:pPr>
              <w:pStyle w:val="9"/>
              <w:jc w:val="center"/>
              <w:rPr>
                <w:rFonts w:hint="eastAsia" w:ascii="宋体" w:hAnsi="宋体" w:eastAsia="宋体" w:cs="宋体"/>
                <w:b/>
                <w:color w:val="auto"/>
                <w:sz w:val="24"/>
                <w:szCs w:val="24"/>
                <w:vertAlign w:val="baseline"/>
                <w:lang w:eastAsia="zh-CN"/>
              </w:rPr>
            </w:pPr>
            <w:r>
              <w:rPr>
                <w:rFonts w:hint="eastAsia" w:ascii="宋体" w:hAnsi="宋体" w:eastAsia="宋体" w:cs="宋体"/>
                <w:b/>
                <w:color w:val="auto"/>
                <w:sz w:val="24"/>
                <w:szCs w:val="24"/>
                <w:vertAlign w:val="baseline"/>
                <w:lang w:eastAsia="zh-CN"/>
              </w:rPr>
              <w:t>序号</w:t>
            </w:r>
          </w:p>
        </w:tc>
        <w:tc>
          <w:tcPr>
            <w:tcW w:w="7088" w:type="dxa"/>
            <w:noWrap w:val="0"/>
            <w:vAlign w:val="center"/>
          </w:tcPr>
          <w:p w14:paraId="7DD729BB">
            <w:pPr>
              <w:pStyle w:val="9"/>
              <w:jc w:val="center"/>
              <w:rPr>
                <w:rFonts w:hint="eastAsia" w:ascii="宋体" w:hAnsi="宋体" w:eastAsia="宋体" w:cs="宋体"/>
                <w:b/>
                <w:color w:val="auto"/>
                <w:sz w:val="24"/>
                <w:szCs w:val="24"/>
                <w:vertAlign w:val="baseline"/>
                <w:lang w:eastAsia="zh-CN"/>
              </w:rPr>
            </w:pPr>
            <w:r>
              <w:rPr>
                <w:rFonts w:hint="eastAsia" w:ascii="宋体" w:hAnsi="宋体" w:eastAsia="宋体" w:cs="宋体"/>
                <w:b/>
                <w:color w:val="auto"/>
                <w:sz w:val="24"/>
                <w:szCs w:val="24"/>
                <w:vertAlign w:val="baseline"/>
                <w:lang w:eastAsia="zh-CN"/>
              </w:rPr>
              <w:t>技术参数要求</w:t>
            </w:r>
          </w:p>
        </w:tc>
        <w:tc>
          <w:tcPr>
            <w:tcW w:w="1136" w:type="dxa"/>
            <w:noWrap w:val="0"/>
            <w:vAlign w:val="center"/>
          </w:tcPr>
          <w:p w14:paraId="252CBCB9">
            <w:pPr>
              <w:pStyle w:val="9"/>
              <w:jc w:val="center"/>
              <w:rPr>
                <w:rFonts w:hint="eastAsia" w:ascii="宋体" w:hAnsi="宋体" w:eastAsia="宋体" w:cs="宋体"/>
                <w:b/>
                <w:color w:val="auto"/>
                <w:sz w:val="24"/>
                <w:szCs w:val="24"/>
                <w:vertAlign w:val="baseline"/>
                <w:lang w:eastAsia="zh-CN"/>
              </w:rPr>
            </w:pPr>
            <w:r>
              <w:rPr>
                <w:rFonts w:hint="eastAsia" w:ascii="宋体" w:hAnsi="宋体" w:eastAsia="宋体" w:cs="宋体"/>
                <w:b/>
                <w:color w:val="auto"/>
                <w:sz w:val="24"/>
                <w:szCs w:val="24"/>
                <w:vertAlign w:val="baseline"/>
                <w:lang w:eastAsia="zh-CN"/>
              </w:rPr>
              <w:t>备注</w:t>
            </w:r>
          </w:p>
        </w:tc>
      </w:tr>
      <w:tr w14:paraId="5779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97" w:type="dxa"/>
            <w:noWrap w:val="0"/>
            <w:vAlign w:val="center"/>
          </w:tcPr>
          <w:p w14:paraId="0036ABA1">
            <w:pPr>
              <w:pStyle w:val="9"/>
              <w:jc w:val="center"/>
              <w:rPr>
                <w:rFonts w:hint="eastAsia"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1</w:t>
            </w:r>
          </w:p>
        </w:tc>
        <w:tc>
          <w:tcPr>
            <w:tcW w:w="7088" w:type="dxa"/>
            <w:noWrap w:val="0"/>
            <w:vAlign w:val="center"/>
          </w:tcPr>
          <w:p w14:paraId="0D42EDA1">
            <w:pPr>
              <w:pStyle w:val="9"/>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eastAsia="zh-CN"/>
              </w:rPr>
              <w:t>玉米种子</w:t>
            </w:r>
            <w:r>
              <w:rPr>
                <w:rFonts w:hint="eastAsia" w:ascii="宋体" w:hAnsi="宋体" w:cs="宋体"/>
                <w:b w:val="0"/>
                <w:bCs w:val="0"/>
                <w:color w:val="auto"/>
                <w:sz w:val="24"/>
                <w:szCs w:val="24"/>
                <w:vertAlign w:val="baseline"/>
                <w:lang w:val="en-US" w:eastAsia="zh-CN"/>
              </w:rPr>
              <w:t xml:space="preserve"> 0.3吨</w:t>
            </w:r>
          </w:p>
          <w:p w14:paraId="0C456F5B">
            <w:pPr>
              <w:pStyle w:val="9"/>
              <w:jc w:val="left"/>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 xml:space="preserve">质量指标：纯度（不低于95%）发芽率（不低于）92% </w:t>
            </w:r>
            <w:r>
              <w:rPr>
                <w:rFonts w:hint="eastAsia" w:ascii="宋体" w:hAnsi="宋体" w:cs="宋体"/>
                <w:b w:val="0"/>
                <w:bCs w:val="0"/>
                <w:color w:val="auto"/>
                <w:sz w:val="24"/>
                <w:szCs w:val="24"/>
                <w:vertAlign w:val="baseline"/>
                <w:lang w:eastAsia="zh-CN"/>
              </w:rPr>
              <w:t>、</w:t>
            </w:r>
            <w:r>
              <w:rPr>
                <w:rFonts w:hint="eastAsia" w:ascii="宋体" w:hAnsi="宋体" w:eastAsia="宋体" w:cs="宋体"/>
                <w:b w:val="0"/>
                <w:bCs w:val="0"/>
                <w:color w:val="auto"/>
                <w:sz w:val="24"/>
                <w:szCs w:val="24"/>
                <w:vertAlign w:val="baseline"/>
                <w:lang w:eastAsia="zh-CN"/>
              </w:rPr>
              <w:t xml:space="preserve">净度（不低于）99% </w:t>
            </w:r>
            <w:r>
              <w:rPr>
                <w:rFonts w:hint="eastAsia" w:ascii="宋体" w:hAnsi="宋体" w:cs="宋体"/>
                <w:b w:val="0"/>
                <w:bCs w:val="0"/>
                <w:color w:val="auto"/>
                <w:sz w:val="24"/>
                <w:szCs w:val="24"/>
                <w:vertAlign w:val="baseline"/>
                <w:lang w:eastAsia="zh-CN"/>
              </w:rPr>
              <w:t>、</w:t>
            </w:r>
            <w:r>
              <w:rPr>
                <w:rFonts w:hint="eastAsia" w:ascii="宋体" w:hAnsi="宋体" w:eastAsia="宋体" w:cs="宋体"/>
                <w:b w:val="0"/>
                <w:bCs w:val="0"/>
                <w:color w:val="auto"/>
                <w:sz w:val="24"/>
                <w:szCs w:val="24"/>
                <w:vertAlign w:val="baseline"/>
                <w:lang w:eastAsia="zh-CN"/>
              </w:rPr>
              <w:t>水分（不高于）15%</w:t>
            </w:r>
          </w:p>
        </w:tc>
        <w:tc>
          <w:tcPr>
            <w:tcW w:w="1136" w:type="dxa"/>
            <w:noWrap w:val="0"/>
            <w:vAlign w:val="center"/>
          </w:tcPr>
          <w:p w14:paraId="5CA1B3BA">
            <w:pPr>
              <w:pStyle w:val="9"/>
              <w:jc w:val="center"/>
              <w:rPr>
                <w:rFonts w:hint="eastAsia" w:ascii="宋体" w:hAnsi="宋体" w:eastAsia="宋体" w:cs="宋体"/>
                <w:b/>
                <w:color w:val="auto"/>
                <w:sz w:val="24"/>
                <w:szCs w:val="24"/>
                <w:vertAlign w:val="baseline"/>
                <w:lang w:eastAsia="zh-CN"/>
              </w:rPr>
            </w:pPr>
          </w:p>
        </w:tc>
      </w:tr>
      <w:tr w14:paraId="72D3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97" w:type="dxa"/>
            <w:noWrap w:val="0"/>
            <w:vAlign w:val="center"/>
          </w:tcPr>
          <w:p w14:paraId="57611E8A">
            <w:pPr>
              <w:pStyle w:val="9"/>
              <w:jc w:val="center"/>
              <w:rPr>
                <w:rFonts w:hint="default"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2</w:t>
            </w:r>
          </w:p>
        </w:tc>
        <w:tc>
          <w:tcPr>
            <w:tcW w:w="7088" w:type="dxa"/>
            <w:noWrap w:val="0"/>
            <w:vAlign w:val="center"/>
          </w:tcPr>
          <w:p w14:paraId="18D0ED6D">
            <w:pPr>
              <w:pStyle w:val="9"/>
              <w:jc w:val="left"/>
              <w:rPr>
                <w:rFonts w:hint="default" w:ascii="宋体" w:hAnsi="宋体" w:eastAsia="宋体" w:cs="宋体"/>
                <w:b w:val="0"/>
                <w:bCs w:val="0"/>
                <w:color w:val="auto"/>
                <w:sz w:val="24"/>
                <w:szCs w:val="24"/>
                <w:lang w:val="en-US" w:eastAsia="zh-CN" w:bidi="ar"/>
              </w:rPr>
            </w:pPr>
            <w:r>
              <w:rPr>
                <w:rFonts w:hint="eastAsia" w:ascii="宋体" w:hAnsi="宋体" w:eastAsia="宋体" w:cs="宋体"/>
                <w:b w:val="0"/>
                <w:bCs w:val="0"/>
                <w:color w:val="auto"/>
                <w:sz w:val="24"/>
                <w:szCs w:val="24"/>
                <w:lang w:eastAsia="zh-CN" w:bidi="ar"/>
              </w:rPr>
              <w:t>有机肥</w:t>
            </w:r>
            <w:r>
              <w:rPr>
                <w:rFonts w:hint="eastAsia" w:ascii="宋体" w:hAnsi="宋体" w:cs="宋体"/>
                <w:b w:val="0"/>
                <w:bCs w:val="0"/>
                <w:color w:val="auto"/>
                <w:sz w:val="24"/>
                <w:szCs w:val="24"/>
                <w:lang w:val="en-US" w:eastAsia="zh-CN" w:bidi="ar"/>
              </w:rPr>
              <w:t xml:space="preserve"> </w:t>
            </w:r>
            <w:r>
              <w:rPr>
                <w:rFonts w:hint="eastAsia" w:ascii="宋体" w:hAnsi="宋体" w:eastAsia="宋体" w:cs="宋体"/>
                <w:b w:val="0"/>
                <w:bCs w:val="0"/>
                <w:color w:val="auto"/>
                <w:sz w:val="24"/>
                <w:szCs w:val="24"/>
                <w:lang w:val="en-US" w:eastAsia="zh-CN" w:bidi="ar"/>
              </w:rPr>
              <w:t>125</w:t>
            </w:r>
            <w:r>
              <w:rPr>
                <w:rFonts w:hint="eastAsia" w:ascii="宋体" w:hAnsi="宋体" w:cs="宋体"/>
                <w:b w:val="0"/>
                <w:bCs w:val="0"/>
                <w:color w:val="auto"/>
                <w:sz w:val="24"/>
                <w:szCs w:val="24"/>
                <w:lang w:val="en-US" w:eastAsia="zh-CN" w:bidi="ar"/>
              </w:rPr>
              <w:t>吨</w:t>
            </w:r>
          </w:p>
          <w:p w14:paraId="1AFD1D03">
            <w:pPr>
              <w:pStyle w:val="9"/>
              <w:jc w:val="left"/>
              <w:rPr>
                <w:rFonts w:hint="eastAsia" w:ascii="宋体" w:hAnsi="宋体" w:eastAsia="宋体" w:cs="宋体"/>
                <w:b w:val="0"/>
                <w:bCs w:val="0"/>
                <w:color w:val="auto"/>
                <w:sz w:val="24"/>
                <w:szCs w:val="24"/>
                <w:lang w:eastAsia="zh-CN" w:bidi="ar"/>
              </w:rPr>
            </w:pPr>
            <w:r>
              <w:rPr>
                <w:rFonts w:hint="eastAsia" w:ascii="宋体" w:hAnsi="宋体" w:eastAsia="宋体" w:cs="宋体"/>
                <w:b w:val="0"/>
                <w:bCs w:val="0"/>
                <w:color w:val="auto"/>
                <w:sz w:val="24"/>
                <w:szCs w:val="24"/>
                <w:lang w:eastAsia="zh-CN" w:bidi="ar"/>
              </w:rPr>
              <w:t>技术参数：有效活菌数≥0.2亿/g</w:t>
            </w:r>
            <w:r>
              <w:rPr>
                <w:rFonts w:hint="eastAsia" w:ascii="宋体" w:hAnsi="宋体" w:cs="宋体"/>
                <w:b w:val="0"/>
                <w:bCs w:val="0"/>
                <w:color w:val="auto"/>
                <w:sz w:val="24"/>
                <w:szCs w:val="24"/>
                <w:lang w:eastAsia="zh-CN" w:bidi="ar"/>
              </w:rPr>
              <w:t>；</w:t>
            </w:r>
            <w:r>
              <w:rPr>
                <w:rFonts w:hint="eastAsia" w:ascii="宋体" w:hAnsi="宋体" w:eastAsia="宋体" w:cs="宋体"/>
                <w:b w:val="0"/>
                <w:bCs w:val="0"/>
                <w:color w:val="auto"/>
                <w:sz w:val="24"/>
                <w:szCs w:val="24"/>
                <w:lang w:eastAsia="zh-CN" w:bidi="ar"/>
              </w:rPr>
              <w:t>有机质≥40%</w:t>
            </w:r>
          </w:p>
        </w:tc>
        <w:tc>
          <w:tcPr>
            <w:tcW w:w="1136" w:type="dxa"/>
            <w:noWrap w:val="0"/>
            <w:vAlign w:val="center"/>
          </w:tcPr>
          <w:p w14:paraId="097B5B57">
            <w:pPr>
              <w:pStyle w:val="9"/>
              <w:jc w:val="center"/>
              <w:rPr>
                <w:rFonts w:hint="eastAsia" w:ascii="宋体" w:hAnsi="宋体" w:eastAsia="宋体" w:cs="宋体"/>
                <w:b/>
                <w:color w:val="auto"/>
                <w:sz w:val="24"/>
                <w:szCs w:val="24"/>
                <w:vertAlign w:val="baseline"/>
                <w:lang w:eastAsia="zh-CN"/>
              </w:rPr>
            </w:pPr>
          </w:p>
        </w:tc>
      </w:tr>
      <w:tr w14:paraId="4950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897" w:type="dxa"/>
            <w:noWrap w:val="0"/>
            <w:vAlign w:val="center"/>
          </w:tcPr>
          <w:p w14:paraId="151BE401">
            <w:pPr>
              <w:pStyle w:val="9"/>
              <w:jc w:val="center"/>
              <w:rPr>
                <w:rFonts w:hint="default"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3</w:t>
            </w:r>
          </w:p>
        </w:tc>
        <w:tc>
          <w:tcPr>
            <w:tcW w:w="7088" w:type="dxa"/>
            <w:noWrap w:val="0"/>
            <w:vAlign w:val="center"/>
          </w:tcPr>
          <w:p w14:paraId="5F43A5C1">
            <w:pPr>
              <w:pStyle w:val="9"/>
              <w:jc w:val="left"/>
              <w:rPr>
                <w:rFonts w:hint="default" w:ascii="宋体" w:hAnsi="宋体" w:cs="宋体"/>
                <w:b w:val="0"/>
                <w:bCs w:val="0"/>
                <w:color w:val="auto"/>
                <w:sz w:val="24"/>
                <w:szCs w:val="24"/>
                <w:lang w:val="en-US" w:eastAsia="zh-CN" w:bidi="ar"/>
              </w:rPr>
            </w:pPr>
            <w:r>
              <w:rPr>
                <w:rFonts w:hint="eastAsia" w:ascii="宋体" w:hAnsi="宋体" w:cs="宋体"/>
                <w:b w:val="0"/>
                <w:bCs w:val="0"/>
                <w:color w:val="auto"/>
                <w:sz w:val="24"/>
                <w:szCs w:val="24"/>
                <w:lang w:eastAsia="zh-CN" w:bidi="ar"/>
              </w:rPr>
              <w:t>叶面控制剂：</w:t>
            </w:r>
            <w:r>
              <w:rPr>
                <w:rFonts w:hint="eastAsia" w:ascii="宋体" w:hAnsi="宋体" w:cs="宋体"/>
                <w:b w:val="0"/>
                <w:bCs w:val="0"/>
                <w:color w:val="auto"/>
                <w:sz w:val="24"/>
                <w:szCs w:val="24"/>
                <w:lang w:val="en-US" w:eastAsia="zh-CN" w:bidi="ar"/>
              </w:rPr>
              <w:t>0.65吨</w:t>
            </w:r>
          </w:p>
          <w:p w14:paraId="2BA96C6B">
            <w:pPr>
              <w:pStyle w:val="9"/>
              <w:jc w:val="left"/>
              <w:rPr>
                <w:rFonts w:hint="eastAsia" w:ascii="宋体" w:hAnsi="宋体" w:eastAsia="宋体" w:cs="宋体"/>
                <w:b w:val="0"/>
                <w:bCs w:val="0"/>
                <w:color w:val="auto"/>
                <w:sz w:val="24"/>
                <w:szCs w:val="24"/>
                <w:lang w:eastAsia="zh-CN" w:bidi="ar"/>
              </w:rPr>
            </w:pPr>
            <w:r>
              <w:rPr>
                <w:rFonts w:hint="eastAsia" w:ascii="宋体" w:hAnsi="宋体" w:cs="宋体"/>
                <w:b w:val="0"/>
                <w:bCs w:val="0"/>
                <w:color w:val="auto"/>
                <w:sz w:val="24"/>
                <w:szCs w:val="24"/>
                <w:lang w:eastAsia="zh-CN" w:bidi="ar"/>
              </w:rPr>
              <w:t>技术参数:硅≥120克/L，钠≤30克/L，水不溶物≤50克/L</w:t>
            </w:r>
          </w:p>
        </w:tc>
        <w:tc>
          <w:tcPr>
            <w:tcW w:w="1136" w:type="dxa"/>
            <w:noWrap w:val="0"/>
            <w:vAlign w:val="center"/>
          </w:tcPr>
          <w:p w14:paraId="696DA46F">
            <w:pPr>
              <w:pStyle w:val="9"/>
              <w:jc w:val="center"/>
              <w:rPr>
                <w:rFonts w:hint="eastAsia" w:ascii="宋体" w:hAnsi="宋体" w:eastAsia="宋体" w:cs="宋体"/>
                <w:b/>
                <w:color w:val="auto"/>
                <w:sz w:val="24"/>
                <w:szCs w:val="24"/>
                <w:vertAlign w:val="baseline"/>
                <w:lang w:eastAsia="zh-CN"/>
              </w:rPr>
            </w:pPr>
          </w:p>
        </w:tc>
      </w:tr>
    </w:tbl>
    <w:p w14:paraId="42644A8D">
      <w:pPr>
        <w:pStyle w:val="9"/>
        <w:rPr>
          <w:rFonts w:hint="eastAsia" w:ascii="宋体" w:hAnsi="宋体" w:cs="宋体"/>
          <w:b/>
          <w:color w:val="auto"/>
          <w:sz w:val="28"/>
          <w:szCs w:val="28"/>
        </w:rPr>
      </w:pPr>
      <w:r>
        <w:rPr>
          <w:rFonts w:hint="eastAsia" w:ascii="宋体" w:hAnsi="宋体" w:cs="宋体"/>
          <w:b/>
          <w:color w:val="auto"/>
          <w:sz w:val="28"/>
          <w:szCs w:val="28"/>
          <w:lang w:eastAsia="zh-CN"/>
        </w:rPr>
        <w:t>三</w:t>
      </w:r>
      <w:r>
        <w:rPr>
          <w:rFonts w:hint="eastAsia" w:ascii="宋体" w:hAnsi="宋体" w:cs="宋体"/>
          <w:b/>
          <w:color w:val="auto"/>
          <w:sz w:val="28"/>
          <w:szCs w:val="28"/>
        </w:rPr>
        <w:t>、采购要求</w:t>
      </w:r>
    </w:p>
    <w:p w14:paraId="1303594D">
      <w:pPr>
        <w:pStyle w:val="27"/>
        <w:numPr>
          <w:ilvl w:val="0"/>
          <w:numId w:val="0"/>
        </w:numPr>
        <w:spacing w:line="360" w:lineRule="auto"/>
        <w:ind w:firstLine="480" w:firstLineChars="20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1、所有报价货物必须有明确的生产厂家，且为国家优质产品或同类合格产品。</w:t>
      </w:r>
    </w:p>
    <w:p w14:paraId="5389B3ED">
      <w:pPr>
        <w:spacing w:line="440" w:lineRule="exact"/>
        <w:ind w:firstLine="480" w:firstLineChars="200"/>
        <w:outlineLvl w:val="0"/>
        <w:rPr>
          <w:rFonts w:hint="eastAsia" w:ascii="宋体" w:hAnsi="宋体" w:eastAsia="宋体" w:cs="宋体"/>
          <w:bCs/>
          <w:color w:val="auto"/>
          <w:kern w:val="2"/>
          <w:sz w:val="24"/>
          <w:szCs w:val="24"/>
          <w:lang w:val="en-US" w:eastAsia="zh-CN" w:bidi="ar-SA"/>
        </w:rPr>
      </w:pPr>
      <w:r>
        <w:rPr>
          <w:rFonts w:hint="eastAsia" w:ascii="宋体" w:hAnsi="宋体" w:cs="宋体"/>
          <w:bCs/>
          <w:color w:val="auto"/>
          <w:kern w:val="2"/>
          <w:sz w:val="24"/>
          <w:szCs w:val="24"/>
          <w:lang w:val="en-US" w:eastAsia="zh-CN" w:bidi="ar-SA"/>
        </w:rPr>
        <w:t>2</w:t>
      </w:r>
      <w:r>
        <w:rPr>
          <w:rFonts w:hint="eastAsia" w:ascii="宋体" w:hAnsi="宋体" w:eastAsia="宋体" w:cs="宋体"/>
          <w:bCs/>
          <w:color w:val="auto"/>
          <w:kern w:val="2"/>
          <w:sz w:val="24"/>
          <w:szCs w:val="24"/>
          <w:lang w:val="en-US" w:eastAsia="zh-CN" w:bidi="ar-SA"/>
        </w:rPr>
        <w:t>、复合肥料执行标准N/Y884-2012，供应商须</w:t>
      </w:r>
      <w:r>
        <w:rPr>
          <w:rFonts w:hint="eastAsia" w:ascii="宋体" w:hAnsi="宋体" w:eastAsia="宋体" w:cs="宋体"/>
          <w:color w:val="auto"/>
          <w:sz w:val="24"/>
          <w:szCs w:val="24"/>
          <w:lang w:val="en-US" w:eastAsia="zh-CN"/>
        </w:rPr>
        <w:t>提供</w:t>
      </w:r>
      <w:r>
        <w:rPr>
          <w:rFonts w:hint="eastAsia" w:ascii="宋体" w:hAnsi="宋体" w:cs="宋体"/>
          <w:color w:val="auto"/>
          <w:sz w:val="24"/>
          <w:szCs w:val="24"/>
          <w:lang w:val="en-US" w:eastAsia="zh-CN"/>
        </w:rPr>
        <w:t>合格的</w:t>
      </w:r>
      <w:r>
        <w:rPr>
          <w:rFonts w:hint="eastAsia" w:ascii="宋体" w:hAnsi="宋体" w:eastAsia="宋体" w:cs="宋体"/>
          <w:color w:val="auto"/>
          <w:sz w:val="24"/>
          <w:szCs w:val="24"/>
          <w:lang w:val="en-US" w:eastAsia="zh-CN"/>
        </w:rPr>
        <w:t>检验</w:t>
      </w:r>
      <w:r>
        <w:rPr>
          <w:rFonts w:hint="eastAsia" w:ascii="宋体" w:hAnsi="宋体" w:cs="宋体"/>
          <w:color w:val="auto"/>
          <w:sz w:val="24"/>
          <w:szCs w:val="24"/>
          <w:lang w:val="en-US" w:eastAsia="zh-CN"/>
        </w:rPr>
        <w:t>检测</w:t>
      </w:r>
      <w:r>
        <w:rPr>
          <w:rFonts w:hint="eastAsia" w:ascii="宋体" w:hAnsi="宋体" w:eastAsia="宋体" w:cs="宋体"/>
          <w:color w:val="auto"/>
          <w:sz w:val="24"/>
          <w:szCs w:val="24"/>
          <w:lang w:val="en-US" w:eastAsia="zh-CN"/>
        </w:rPr>
        <w:t>报告，</w:t>
      </w:r>
      <w:r>
        <w:rPr>
          <w:rFonts w:hint="eastAsia" w:ascii="宋体" w:hAnsi="宋体" w:eastAsia="宋体" w:cs="宋体"/>
          <w:bCs/>
          <w:color w:val="auto"/>
          <w:kern w:val="2"/>
          <w:sz w:val="24"/>
          <w:szCs w:val="24"/>
          <w:lang w:val="en-US" w:eastAsia="zh-CN" w:bidi="ar-SA"/>
        </w:rPr>
        <w:t>质量检验机构为有检验资质的第三方产品质量检验机构。</w:t>
      </w:r>
    </w:p>
    <w:p w14:paraId="75E33DE1">
      <w:pPr>
        <w:pStyle w:val="3"/>
        <w:jc w:val="center"/>
        <w:rPr>
          <w:rFonts w:hint="eastAsia" w:ascii="宋体" w:hAnsi="宋体" w:eastAsia="宋体" w:cs="宋体"/>
          <w:color w:val="FF0000"/>
          <w:sz w:val="36"/>
          <w:szCs w:val="36"/>
          <w:highlight w:val="none"/>
        </w:rPr>
      </w:pPr>
    </w:p>
    <w:p w14:paraId="473E8C95">
      <w:pPr>
        <w:rPr>
          <w:rFonts w:hint="eastAsia" w:ascii="宋体" w:hAnsi="宋体" w:eastAsia="宋体" w:cs="宋体"/>
          <w:color w:val="FF0000"/>
          <w:sz w:val="36"/>
          <w:szCs w:val="36"/>
          <w:highlight w:val="none"/>
        </w:rPr>
      </w:pPr>
    </w:p>
    <w:p w14:paraId="3E6F9962">
      <w:pPr>
        <w:pStyle w:val="2"/>
        <w:rPr>
          <w:rFonts w:hint="eastAsia" w:ascii="宋体" w:hAnsi="宋体" w:eastAsia="宋体" w:cs="宋体"/>
          <w:color w:val="FF0000"/>
          <w:sz w:val="36"/>
          <w:szCs w:val="36"/>
          <w:highlight w:val="none"/>
        </w:rPr>
      </w:pPr>
    </w:p>
    <w:p w14:paraId="4C7BE6CD">
      <w:pPr>
        <w:pStyle w:val="2"/>
        <w:rPr>
          <w:rFonts w:hint="eastAsia" w:ascii="宋体" w:hAnsi="宋体" w:eastAsia="宋体" w:cs="宋体"/>
          <w:color w:val="FF0000"/>
          <w:sz w:val="36"/>
          <w:szCs w:val="36"/>
          <w:highlight w:val="none"/>
        </w:rPr>
      </w:pPr>
    </w:p>
    <w:p w14:paraId="62767BCD">
      <w:pPr>
        <w:pStyle w:val="2"/>
        <w:rPr>
          <w:rFonts w:hint="eastAsia" w:ascii="宋体" w:hAnsi="宋体" w:eastAsia="宋体" w:cs="宋体"/>
          <w:color w:val="FF0000"/>
          <w:sz w:val="36"/>
          <w:szCs w:val="36"/>
          <w:highlight w:val="none"/>
        </w:rPr>
      </w:pPr>
    </w:p>
    <w:p w14:paraId="2B797972">
      <w:pPr>
        <w:pStyle w:val="3"/>
        <w:jc w:val="center"/>
        <w:rPr>
          <w:rFonts w:hint="eastAsia" w:ascii="宋体" w:hAnsi="宋体" w:eastAsia="宋体" w:cs="宋体"/>
          <w:b w:val="0"/>
          <w:color w:val="auto"/>
          <w:sz w:val="44"/>
          <w:szCs w:val="44"/>
        </w:rPr>
      </w:pPr>
      <w:r>
        <w:rPr>
          <w:rFonts w:hint="eastAsia" w:ascii="宋体" w:hAnsi="宋体" w:eastAsia="宋体" w:cs="宋体"/>
          <w:color w:val="auto"/>
          <w:sz w:val="36"/>
          <w:szCs w:val="36"/>
          <w:highlight w:val="none"/>
        </w:rPr>
        <w:t>第</w:t>
      </w:r>
      <w:r>
        <w:rPr>
          <w:rFonts w:hint="eastAsia" w:ascii="宋体" w:hAnsi="宋体" w:cs="宋体"/>
          <w:color w:val="auto"/>
          <w:sz w:val="36"/>
          <w:szCs w:val="36"/>
          <w:highlight w:val="none"/>
          <w:lang w:val="en-US" w:eastAsia="zh-CN"/>
        </w:rPr>
        <w:t>六</w:t>
      </w:r>
      <w:r>
        <w:rPr>
          <w:rFonts w:hint="eastAsia" w:ascii="宋体" w:hAnsi="宋体" w:eastAsia="宋体" w:cs="宋体"/>
          <w:color w:val="auto"/>
          <w:sz w:val="36"/>
          <w:szCs w:val="36"/>
          <w:highlight w:val="none"/>
        </w:rPr>
        <w:t xml:space="preserve">章 </w:t>
      </w:r>
      <w:r>
        <w:rPr>
          <w:rFonts w:hint="eastAsia" w:ascii="宋体" w:hAnsi="宋体" w:eastAsia="宋体" w:cs="宋体"/>
          <w:color w:val="auto"/>
          <w:sz w:val="36"/>
          <w:szCs w:val="36"/>
          <w:highlight w:val="none"/>
          <w:lang w:val="zh-CN"/>
        </w:rPr>
        <w:t>磋商响应文件基本格式</w:t>
      </w:r>
    </w:p>
    <w:p w14:paraId="68B5B86C">
      <w:pPr>
        <w:pStyle w:val="27"/>
        <w:ind w:left="0" w:leftChars="0" w:firstLine="0" w:firstLineChars="0"/>
        <w:jc w:val="center"/>
        <w:rPr>
          <w:rFonts w:hint="eastAsia" w:ascii="宋体" w:hAnsi="宋体" w:eastAsia="宋体" w:cs="宋体"/>
          <w:b/>
          <w:bCs/>
          <w:color w:val="auto"/>
          <w:kern w:val="2"/>
          <w:sz w:val="52"/>
          <w:szCs w:val="52"/>
          <w:lang w:val="en-US" w:eastAsia="zh-CN" w:bidi="ar-SA"/>
        </w:rPr>
      </w:pPr>
      <w:r>
        <w:rPr>
          <w:rFonts w:hint="eastAsia" w:ascii="宋体" w:hAnsi="宋体" w:cs="宋体"/>
          <w:b/>
          <w:bCs/>
          <w:color w:val="auto"/>
          <w:kern w:val="2"/>
          <w:sz w:val="52"/>
          <w:szCs w:val="52"/>
          <w:lang w:val="en-US" w:eastAsia="zh-CN" w:bidi="ar-SA"/>
        </w:rPr>
        <w:t>镇坪县2025年耕地质量保护与提升项目</w:t>
      </w:r>
    </w:p>
    <w:p w14:paraId="3B4206F9">
      <w:pPr>
        <w:jc w:val="center"/>
        <w:rPr>
          <w:rFonts w:hint="eastAsia" w:ascii="宋体" w:hAnsi="宋体" w:eastAsia="宋体" w:cs="宋体"/>
          <w:b/>
          <w:color w:val="auto"/>
          <w:sz w:val="48"/>
          <w:szCs w:val="48"/>
        </w:rPr>
      </w:pPr>
    </w:p>
    <w:p w14:paraId="1B4D8541">
      <w:pPr>
        <w:jc w:val="both"/>
        <w:rPr>
          <w:rFonts w:hint="eastAsia" w:ascii="宋体" w:hAnsi="宋体" w:eastAsia="宋体" w:cs="宋体"/>
          <w:b/>
          <w:color w:val="auto"/>
          <w:sz w:val="52"/>
          <w:szCs w:val="52"/>
        </w:rPr>
      </w:pPr>
    </w:p>
    <w:p w14:paraId="7B7C1649">
      <w:pPr>
        <w:pStyle w:val="8"/>
        <w:rPr>
          <w:rFonts w:hint="eastAsia" w:ascii="宋体" w:hAnsi="宋体" w:eastAsia="宋体" w:cs="宋体"/>
          <w:color w:val="auto"/>
        </w:rPr>
      </w:pPr>
    </w:p>
    <w:p w14:paraId="433DC74E">
      <w:pPr>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磋商响应文件</w:t>
      </w:r>
    </w:p>
    <w:p w14:paraId="1EAF1F11">
      <w:pPr>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自采2025-YCZX（032）</w:t>
      </w:r>
    </w:p>
    <w:p w14:paraId="785260F6">
      <w:pPr>
        <w:spacing w:line="20" w:lineRule="atLeast"/>
        <w:rPr>
          <w:rFonts w:hint="eastAsia" w:ascii="宋体" w:hAnsi="宋体" w:eastAsia="宋体" w:cs="宋体"/>
          <w:b/>
          <w:color w:val="auto"/>
          <w:sz w:val="36"/>
        </w:rPr>
      </w:pPr>
    </w:p>
    <w:p w14:paraId="3862037B">
      <w:pPr>
        <w:spacing w:line="20" w:lineRule="atLeast"/>
        <w:rPr>
          <w:rFonts w:hint="eastAsia" w:ascii="宋体" w:hAnsi="宋体" w:eastAsia="宋体" w:cs="宋体"/>
          <w:b/>
          <w:color w:val="auto"/>
          <w:sz w:val="36"/>
        </w:rPr>
      </w:pPr>
      <w:r>
        <w:rPr>
          <w:rFonts w:hint="eastAsia" w:ascii="宋体" w:hAnsi="宋体" w:eastAsia="宋体" w:cs="宋体"/>
          <w:b/>
          <w:color w:val="auto"/>
          <w:sz w:val="36"/>
        </w:rPr>
        <w:t xml:space="preserve">              </w:t>
      </w:r>
    </w:p>
    <w:p w14:paraId="0F70685A">
      <w:pPr>
        <w:pStyle w:val="8"/>
        <w:rPr>
          <w:rFonts w:hint="eastAsia" w:ascii="宋体" w:hAnsi="宋体" w:eastAsia="宋体" w:cs="宋体"/>
          <w:color w:val="auto"/>
        </w:rPr>
      </w:pPr>
    </w:p>
    <w:p w14:paraId="10AF131E">
      <w:pPr>
        <w:rPr>
          <w:rFonts w:hint="eastAsia" w:ascii="宋体" w:hAnsi="宋体" w:eastAsia="宋体" w:cs="宋体"/>
          <w:color w:val="auto"/>
        </w:rPr>
      </w:pPr>
    </w:p>
    <w:p w14:paraId="237C8AC4">
      <w:pPr>
        <w:pStyle w:val="9"/>
        <w:rPr>
          <w:rFonts w:hint="eastAsia"/>
          <w:color w:val="auto"/>
        </w:rPr>
      </w:pPr>
    </w:p>
    <w:p w14:paraId="09743A4F">
      <w:pPr>
        <w:adjustRightInd w:val="0"/>
        <w:snapToGrid w:val="0"/>
        <w:spacing w:line="720" w:lineRule="exact"/>
        <w:ind w:firstLine="1606" w:firstLineChars="500"/>
        <w:rPr>
          <w:rFonts w:hint="eastAsia" w:ascii="宋体" w:hAnsi="宋体" w:eastAsia="宋体" w:cs="宋体"/>
          <w:b/>
          <w:bCs/>
          <w:color w:val="auto"/>
          <w:sz w:val="32"/>
          <w:szCs w:val="32"/>
        </w:rPr>
      </w:pPr>
    </w:p>
    <w:p w14:paraId="4E4D7A88">
      <w:pPr>
        <w:adjustRightInd w:val="0"/>
        <w:snapToGrid w:val="0"/>
        <w:spacing w:line="720" w:lineRule="exact"/>
        <w:ind w:firstLine="1606" w:firstLineChars="500"/>
        <w:rPr>
          <w:rFonts w:hint="eastAsia" w:ascii="宋体" w:hAnsi="宋体" w:eastAsia="宋体" w:cs="宋体"/>
          <w:b/>
          <w:color w:val="auto"/>
          <w:sz w:val="32"/>
          <w:szCs w:val="32"/>
          <w:u w:val="single"/>
        </w:rPr>
      </w:pPr>
      <w:r>
        <w:rPr>
          <w:rFonts w:hint="eastAsia" w:ascii="宋体" w:hAnsi="宋体" w:eastAsia="宋体" w:cs="宋体"/>
          <w:b/>
          <w:bCs/>
          <w:color w:val="auto"/>
          <w:sz w:val="32"/>
          <w:szCs w:val="32"/>
        </w:rPr>
        <w:t>供 应 商</w:t>
      </w:r>
      <w:r>
        <w:rPr>
          <w:rFonts w:hint="eastAsia" w:ascii="宋体" w:hAnsi="宋体" w:eastAsia="宋体" w:cs="宋体"/>
          <w:b/>
          <w:color w:val="auto"/>
          <w:sz w:val="32"/>
          <w:szCs w:val="32"/>
        </w:rPr>
        <w:t>：</w:t>
      </w:r>
      <w:r>
        <w:rPr>
          <w:rFonts w:hint="eastAsia" w:ascii="宋体" w:hAnsi="宋体" w:eastAsia="宋体" w:cs="宋体"/>
          <w:color w:val="auto"/>
          <w:sz w:val="32"/>
          <w:szCs w:val="32"/>
          <w:u w:val="single"/>
        </w:rPr>
        <w:t xml:space="preserve">                       </w:t>
      </w:r>
      <w:r>
        <w:rPr>
          <w:rFonts w:hint="eastAsia" w:ascii="宋体" w:hAnsi="宋体" w:eastAsia="宋体" w:cs="宋体"/>
          <w:b/>
          <w:color w:val="auto"/>
          <w:sz w:val="32"/>
          <w:szCs w:val="32"/>
          <w:u w:val="single"/>
        </w:rPr>
        <w:t xml:space="preserve">     </w:t>
      </w:r>
    </w:p>
    <w:p w14:paraId="1F4D6D65">
      <w:pPr>
        <w:adjustRightInd w:val="0"/>
        <w:snapToGrid w:val="0"/>
        <w:spacing w:line="720" w:lineRule="exact"/>
        <w:ind w:firstLine="1576"/>
        <w:rPr>
          <w:rFonts w:hint="eastAsia" w:ascii="宋体" w:hAnsi="宋体" w:eastAsia="宋体" w:cs="宋体"/>
          <w:color w:val="auto"/>
          <w:sz w:val="32"/>
          <w:szCs w:val="32"/>
          <w:u w:val="single"/>
        </w:rPr>
      </w:pPr>
      <w:r>
        <w:rPr>
          <w:rFonts w:hint="eastAsia" w:ascii="宋体" w:hAnsi="宋体" w:eastAsia="宋体" w:cs="宋体"/>
          <w:b/>
          <w:bCs/>
          <w:color w:val="auto"/>
          <w:sz w:val="32"/>
          <w:szCs w:val="32"/>
        </w:rPr>
        <w:t>法</w:t>
      </w:r>
      <w:r>
        <w:rPr>
          <w:rFonts w:hint="eastAsia" w:ascii="宋体" w:hAnsi="宋体" w:eastAsia="宋体" w:cs="宋体"/>
          <w:b/>
          <w:bCs/>
          <w:color w:val="auto"/>
          <w:sz w:val="32"/>
          <w:szCs w:val="32"/>
          <w:lang w:eastAsia="zh-CN"/>
        </w:rPr>
        <w:t>定代表</w:t>
      </w:r>
      <w:r>
        <w:rPr>
          <w:rFonts w:hint="eastAsia" w:ascii="宋体" w:hAnsi="宋体" w:eastAsia="宋体" w:cs="宋体"/>
          <w:b/>
          <w:bCs/>
          <w:color w:val="auto"/>
          <w:sz w:val="32"/>
          <w:szCs w:val="32"/>
        </w:rPr>
        <w:t>人或委托人（签</w:t>
      </w:r>
      <w:r>
        <w:rPr>
          <w:rFonts w:hint="eastAsia" w:ascii="宋体" w:hAnsi="宋体" w:eastAsia="宋体" w:cs="宋体"/>
          <w:b/>
          <w:bCs/>
          <w:color w:val="auto"/>
          <w:sz w:val="32"/>
          <w:szCs w:val="32"/>
          <w:lang w:eastAsia="zh-CN"/>
        </w:rPr>
        <w:t>字或盖</w:t>
      </w:r>
      <w:r>
        <w:rPr>
          <w:rFonts w:hint="eastAsia" w:ascii="宋体" w:hAnsi="宋体" w:eastAsia="宋体" w:cs="宋体"/>
          <w:b/>
          <w:bCs/>
          <w:color w:val="auto"/>
          <w:sz w:val="32"/>
          <w:szCs w:val="32"/>
        </w:rPr>
        <w:t>章）：</w:t>
      </w:r>
      <w:r>
        <w:rPr>
          <w:rFonts w:hint="eastAsia" w:ascii="宋体" w:hAnsi="宋体" w:eastAsia="宋体" w:cs="宋体"/>
          <w:color w:val="auto"/>
          <w:sz w:val="32"/>
          <w:szCs w:val="32"/>
          <w:u w:val="single"/>
        </w:rPr>
        <w:t xml:space="preserve">          </w:t>
      </w:r>
    </w:p>
    <w:p w14:paraId="66823A3B">
      <w:pPr>
        <w:adjustRightInd w:val="0"/>
        <w:snapToGrid w:val="0"/>
        <w:spacing w:line="720" w:lineRule="exact"/>
        <w:ind w:firstLine="1576"/>
        <w:rPr>
          <w:rFonts w:hint="eastAsia" w:ascii="宋体" w:hAnsi="宋体" w:eastAsia="宋体" w:cs="宋体"/>
          <w:b/>
          <w:bCs/>
          <w:color w:val="auto"/>
          <w:sz w:val="32"/>
          <w:szCs w:val="32"/>
        </w:rPr>
      </w:pPr>
      <w:r>
        <w:rPr>
          <w:rFonts w:hint="eastAsia" w:ascii="宋体" w:hAnsi="宋体" w:eastAsia="宋体" w:cs="宋体"/>
          <w:b/>
          <w:bCs/>
          <w:color w:val="auto"/>
          <w:sz w:val="32"/>
          <w:szCs w:val="32"/>
        </w:rPr>
        <w:t>地    址：</w:t>
      </w:r>
      <w:r>
        <w:rPr>
          <w:rFonts w:hint="eastAsia" w:ascii="宋体" w:hAnsi="宋体" w:eastAsia="宋体" w:cs="宋体"/>
          <w:b/>
          <w:bCs/>
          <w:color w:val="auto"/>
          <w:sz w:val="32"/>
          <w:szCs w:val="32"/>
          <w:u w:val="single"/>
        </w:rPr>
        <w:t xml:space="preserve">                            </w:t>
      </w:r>
    </w:p>
    <w:p w14:paraId="675F7253">
      <w:pPr>
        <w:adjustRightInd w:val="0"/>
        <w:snapToGrid w:val="0"/>
        <w:spacing w:line="720" w:lineRule="exact"/>
        <w:ind w:firstLine="1576"/>
        <w:rPr>
          <w:rFonts w:hint="eastAsia" w:ascii="宋体" w:hAnsi="宋体" w:eastAsia="宋体" w:cs="宋体"/>
          <w:b/>
          <w:color w:val="auto"/>
          <w:sz w:val="44"/>
          <w:szCs w:val="44"/>
        </w:rPr>
      </w:pPr>
      <w:r>
        <w:rPr>
          <w:rFonts w:hint="eastAsia" w:ascii="宋体" w:hAnsi="宋体" w:eastAsia="宋体" w:cs="宋体"/>
          <w:b/>
          <w:color w:val="auto"/>
          <w:sz w:val="32"/>
          <w:szCs w:val="32"/>
        </w:rPr>
        <w:t>时    间</w:t>
      </w:r>
      <w:r>
        <w:rPr>
          <w:rFonts w:hint="eastAsia" w:ascii="宋体" w:hAnsi="宋体" w:eastAsia="宋体" w:cs="宋体"/>
          <w:color w:val="auto"/>
          <w:sz w:val="32"/>
          <w:szCs w:val="32"/>
        </w:rPr>
        <w:t>：</w:t>
      </w:r>
      <w:r>
        <w:rPr>
          <w:rFonts w:hint="eastAsia" w:ascii="宋体" w:hAnsi="宋体" w:eastAsia="宋体" w:cs="宋体"/>
          <w:color w:val="auto"/>
          <w:sz w:val="32"/>
          <w:szCs w:val="32"/>
          <w:u w:val="single"/>
        </w:rPr>
        <w:t xml:space="preserve">                            </w:t>
      </w:r>
    </w:p>
    <w:p w14:paraId="2EF80985">
      <w:pPr>
        <w:jc w:val="center"/>
        <w:rPr>
          <w:rFonts w:hint="eastAsia" w:ascii="宋体" w:hAnsi="宋体" w:eastAsia="宋体" w:cs="宋体"/>
          <w:b/>
          <w:color w:val="auto"/>
          <w:sz w:val="44"/>
          <w:szCs w:val="44"/>
        </w:rPr>
      </w:pPr>
    </w:p>
    <w:p w14:paraId="6427BBBB">
      <w:pPr>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14:paraId="4C90E608">
      <w:pPr>
        <w:autoSpaceDE w:val="0"/>
        <w:autoSpaceDN w:val="0"/>
        <w:adjustRightInd w:val="0"/>
        <w:snapToGrid w:val="0"/>
        <w:spacing w:line="360" w:lineRule="auto"/>
        <w:rPr>
          <w:rFonts w:hint="eastAsia" w:ascii="宋体" w:hAnsi="宋体" w:eastAsia="宋体" w:cs="宋体"/>
          <w:color w:val="auto"/>
          <w:sz w:val="24"/>
          <w:lang w:val="zh-CN"/>
        </w:rPr>
      </w:pPr>
    </w:p>
    <w:p w14:paraId="12C33888">
      <w:pPr>
        <w:keepNext w:val="0"/>
        <w:keepLines w:val="0"/>
        <w:pageBreakBefore w:val="0"/>
        <w:widowControl w:val="0"/>
        <w:kinsoku/>
        <w:wordWrap/>
        <w:overflowPunct/>
        <w:topLinePunct w:val="0"/>
        <w:autoSpaceDE/>
        <w:autoSpaceDN/>
        <w:bidi w:val="0"/>
        <w:adjustRightInd/>
        <w:snapToGrid/>
        <w:spacing w:line="60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响应函</w:t>
      </w:r>
    </w:p>
    <w:p w14:paraId="276BEFD0">
      <w:pPr>
        <w:keepNext w:val="0"/>
        <w:keepLines w:val="0"/>
        <w:pageBreakBefore w:val="0"/>
        <w:widowControl w:val="0"/>
        <w:kinsoku/>
        <w:wordWrap/>
        <w:overflowPunct/>
        <w:topLinePunct w:val="0"/>
        <w:autoSpaceDE/>
        <w:autoSpaceDN/>
        <w:bidi w:val="0"/>
        <w:adjustRightInd/>
        <w:snapToGrid/>
        <w:spacing w:line="60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法定代表人授权委托书</w:t>
      </w:r>
    </w:p>
    <w:p w14:paraId="7BE660FA">
      <w:pPr>
        <w:keepNext w:val="0"/>
        <w:keepLines w:val="0"/>
        <w:pageBreakBefore w:val="0"/>
        <w:widowControl w:val="0"/>
        <w:kinsoku/>
        <w:wordWrap/>
        <w:overflowPunct/>
        <w:topLinePunct w:val="0"/>
        <w:autoSpaceDE/>
        <w:autoSpaceDN/>
        <w:bidi w:val="0"/>
        <w:adjustRightInd/>
        <w:snapToGrid/>
        <w:spacing w:line="60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磋商报价表</w:t>
      </w:r>
    </w:p>
    <w:p w14:paraId="13B728B4">
      <w:pPr>
        <w:keepNext w:val="0"/>
        <w:keepLines w:val="0"/>
        <w:pageBreakBefore w:val="0"/>
        <w:widowControl w:val="0"/>
        <w:kinsoku/>
        <w:wordWrap/>
        <w:overflowPunct/>
        <w:topLinePunct w:val="0"/>
        <w:autoSpaceDE/>
        <w:autoSpaceDN/>
        <w:bidi w:val="0"/>
        <w:adjustRightInd/>
        <w:snapToGrid/>
        <w:spacing w:line="60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分项报价表</w:t>
      </w:r>
    </w:p>
    <w:p w14:paraId="3E8E5DB4">
      <w:pPr>
        <w:keepNext w:val="0"/>
        <w:keepLines w:val="0"/>
        <w:pageBreakBefore w:val="0"/>
        <w:widowControl w:val="0"/>
        <w:kinsoku/>
        <w:wordWrap/>
        <w:overflowPunct/>
        <w:topLinePunct w:val="0"/>
        <w:autoSpaceDE/>
        <w:autoSpaceDN/>
        <w:bidi w:val="0"/>
        <w:adjustRightInd/>
        <w:snapToGrid/>
        <w:spacing w:line="60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技术规格响应偏离表</w:t>
      </w:r>
    </w:p>
    <w:p w14:paraId="4253A96B">
      <w:pPr>
        <w:keepNext w:val="0"/>
        <w:keepLines w:val="0"/>
        <w:pageBreakBefore w:val="0"/>
        <w:widowControl w:val="0"/>
        <w:kinsoku/>
        <w:wordWrap/>
        <w:overflowPunct/>
        <w:topLinePunct w:val="0"/>
        <w:autoSpaceDE/>
        <w:autoSpaceDN/>
        <w:bidi w:val="0"/>
        <w:adjustRightInd/>
        <w:snapToGrid/>
        <w:spacing w:line="60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六、商</w:t>
      </w:r>
      <w:r>
        <w:rPr>
          <w:rFonts w:hint="eastAsia" w:ascii="宋体" w:hAnsi="宋体" w:eastAsia="宋体" w:cs="宋体"/>
          <w:b/>
          <w:bCs/>
          <w:color w:val="auto"/>
          <w:sz w:val="28"/>
          <w:szCs w:val="28"/>
        </w:rPr>
        <w:t>务响应偏离表</w:t>
      </w:r>
    </w:p>
    <w:p w14:paraId="78F3BFCA">
      <w:pPr>
        <w:keepNext w:val="0"/>
        <w:keepLines w:val="0"/>
        <w:pageBreakBefore w:val="0"/>
        <w:widowControl w:val="0"/>
        <w:kinsoku/>
        <w:wordWrap/>
        <w:overflowPunct/>
        <w:topLinePunct w:val="0"/>
        <w:autoSpaceDE/>
        <w:autoSpaceDN/>
        <w:bidi w:val="0"/>
        <w:adjustRightInd/>
        <w:snapToGrid/>
        <w:spacing w:line="600" w:lineRule="auto"/>
        <w:ind w:firstLine="56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sz w:val="28"/>
          <w:szCs w:val="28"/>
          <w:lang w:eastAsia="zh-CN"/>
        </w:rPr>
        <w:t>七、资</w:t>
      </w:r>
      <w:r>
        <w:rPr>
          <w:rFonts w:hint="eastAsia" w:ascii="宋体" w:hAnsi="宋体" w:eastAsia="宋体" w:cs="宋体"/>
          <w:b/>
          <w:bCs/>
          <w:color w:val="auto"/>
          <w:sz w:val="28"/>
          <w:szCs w:val="28"/>
        </w:rPr>
        <w:t>格证明文件</w:t>
      </w:r>
    </w:p>
    <w:p w14:paraId="5285F07F">
      <w:pPr>
        <w:keepNext w:val="0"/>
        <w:keepLines w:val="0"/>
        <w:pageBreakBefore w:val="0"/>
        <w:widowControl w:val="0"/>
        <w:kinsoku/>
        <w:wordWrap/>
        <w:overflowPunct/>
        <w:topLinePunct w:val="0"/>
        <w:autoSpaceDE/>
        <w:autoSpaceDN/>
        <w:bidi w:val="0"/>
        <w:adjustRightInd/>
        <w:snapToGrid/>
        <w:spacing w:line="600" w:lineRule="auto"/>
        <w:ind w:firstLine="562" w:firstLineChars="20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八、</w:t>
      </w:r>
      <w:r>
        <w:rPr>
          <w:rFonts w:hint="eastAsia" w:ascii="宋体" w:hAnsi="宋体" w:eastAsia="宋体" w:cs="宋体"/>
          <w:b/>
          <w:bCs/>
          <w:color w:val="auto"/>
          <w:sz w:val="28"/>
          <w:szCs w:val="28"/>
        </w:rPr>
        <w:t>磋商方案</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售后服务承诺</w:t>
      </w:r>
    </w:p>
    <w:p w14:paraId="28C242FE">
      <w:pPr>
        <w:keepNext w:val="0"/>
        <w:keepLines w:val="0"/>
        <w:pageBreakBefore w:val="0"/>
        <w:widowControl w:val="0"/>
        <w:kinsoku/>
        <w:wordWrap/>
        <w:overflowPunct/>
        <w:topLinePunct w:val="0"/>
        <w:autoSpaceDE/>
        <w:autoSpaceDN/>
        <w:bidi w:val="0"/>
        <w:adjustRightInd/>
        <w:snapToGrid/>
        <w:spacing w:line="60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九、</w:t>
      </w:r>
      <w:r>
        <w:rPr>
          <w:rFonts w:hint="eastAsia" w:ascii="宋体" w:hAnsi="宋体" w:eastAsia="宋体" w:cs="宋体"/>
          <w:b/>
          <w:bCs/>
          <w:color w:val="auto"/>
          <w:sz w:val="28"/>
          <w:szCs w:val="28"/>
        </w:rPr>
        <w:t>供应商拒绝政府采购领域商业贿赂承诺</w:t>
      </w:r>
    </w:p>
    <w:p w14:paraId="728B0F5D">
      <w:pPr>
        <w:spacing w:line="600" w:lineRule="exact"/>
        <w:ind w:firstLine="2080" w:firstLineChars="740"/>
        <w:rPr>
          <w:rFonts w:hint="eastAsia" w:ascii="宋体" w:hAnsi="宋体" w:eastAsia="宋体" w:cs="宋体"/>
          <w:b/>
          <w:bCs/>
          <w:color w:val="auto"/>
          <w:sz w:val="28"/>
          <w:szCs w:val="28"/>
        </w:rPr>
      </w:pPr>
    </w:p>
    <w:p w14:paraId="4670BE0F">
      <w:pPr>
        <w:autoSpaceDE w:val="0"/>
        <w:autoSpaceDN w:val="0"/>
        <w:adjustRightInd w:val="0"/>
        <w:snapToGrid w:val="0"/>
        <w:spacing w:line="360" w:lineRule="auto"/>
        <w:rPr>
          <w:rFonts w:hint="eastAsia" w:ascii="宋体" w:hAnsi="宋体" w:eastAsia="宋体" w:cs="宋体"/>
          <w:color w:val="auto"/>
          <w:sz w:val="24"/>
          <w:lang w:val="zh-CN"/>
        </w:rPr>
      </w:pPr>
    </w:p>
    <w:p w14:paraId="20E2EB96">
      <w:pPr>
        <w:autoSpaceDE w:val="0"/>
        <w:autoSpaceDN w:val="0"/>
        <w:adjustRightInd w:val="0"/>
        <w:snapToGrid w:val="0"/>
        <w:spacing w:line="360" w:lineRule="auto"/>
        <w:rPr>
          <w:rFonts w:hint="eastAsia" w:ascii="宋体" w:hAnsi="宋体" w:eastAsia="宋体" w:cs="宋体"/>
          <w:color w:val="auto"/>
          <w:sz w:val="24"/>
          <w:lang w:val="zh-CN"/>
        </w:rPr>
      </w:pPr>
    </w:p>
    <w:p w14:paraId="78DC3C87">
      <w:pPr>
        <w:autoSpaceDE w:val="0"/>
        <w:autoSpaceDN w:val="0"/>
        <w:adjustRightInd w:val="0"/>
        <w:snapToGrid w:val="0"/>
        <w:spacing w:line="360" w:lineRule="auto"/>
        <w:rPr>
          <w:rFonts w:hint="eastAsia" w:ascii="宋体" w:hAnsi="宋体" w:eastAsia="宋体" w:cs="宋体"/>
          <w:color w:val="auto"/>
          <w:sz w:val="24"/>
          <w:lang w:val="zh-CN"/>
        </w:rPr>
      </w:pPr>
    </w:p>
    <w:p w14:paraId="5C195F74">
      <w:pPr>
        <w:autoSpaceDE w:val="0"/>
        <w:autoSpaceDN w:val="0"/>
        <w:adjustRightInd w:val="0"/>
        <w:snapToGrid w:val="0"/>
        <w:spacing w:line="360" w:lineRule="auto"/>
        <w:rPr>
          <w:rFonts w:hint="eastAsia" w:ascii="宋体" w:hAnsi="宋体" w:eastAsia="宋体" w:cs="宋体"/>
          <w:color w:val="auto"/>
          <w:sz w:val="24"/>
          <w:lang w:val="zh-CN"/>
        </w:rPr>
      </w:pPr>
    </w:p>
    <w:p w14:paraId="5DB1F526">
      <w:pPr>
        <w:autoSpaceDE w:val="0"/>
        <w:autoSpaceDN w:val="0"/>
        <w:adjustRightInd w:val="0"/>
        <w:snapToGrid w:val="0"/>
        <w:spacing w:line="360" w:lineRule="auto"/>
        <w:rPr>
          <w:rFonts w:hint="eastAsia" w:ascii="宋体" w:hAnsi="宋体" w:eastAsia="宋体" w:cs="宋体"/>
          <w:color w:val="auto"/>
          <w:sz w:val="24"/>
          <w:lang w:val="zh-CN"/>
        </w:rPr>
      </w:pPr>
    </w:p>
    <w:p w14:paraId="6F9FD642">
      <w:pPr>
        <w:autoSpaceDE w:val="0"/>
        <w:autoSpaceDN w:val="0"/>
        <w:adjustRightInd w:val="0"/>
        <w:snapToGrid w:val="0"/>
        <w:spacing w:line="360" w:lineRule="auto"/>
        <w:rPr>
          <w:rFonts w:hint="eastAsia" w:ascii="宋体" w:hAnsi="宋体" w:eastAsia="宋体" w:cs="宋体"/>
          <w:color w:val="auto"/>
          <w:sz w:val="24"/>
          <w:lang w:val="zh-CN"/>
        </w:rPr>
      </w:pPr>
    </w:p>
    <w:p w14:paraId="68B8B7B7">
      <w:pPr>
        <w:autoSpaceDE w:val="0"/>
        <w:autoSpaceDN w:val="0"/>
        <w:snapToGrid w:val="0"/>
        <w:spacing w:before="312" w:beforeLines="100" w:after="156" w:afterLines="50" w:line="600" w:lineRule="exact"/>
        <w:jc w:val="center"/>
        <w:rPr>
          <w:rFonts w:hint="eastAsia" w:ascii="宋体" w:hAnsi="宋体" w:eastAsia="宋体" w:cs="宋体"/>
          <w:b/>
          <w:color w:val="auto"/>
          <w:sz w:val="32"/>
          <w:szCs w:val="32"/>
        </w:rPr>
      </w:pPr>
    </w:p>
    <w:p w14:paraId="512B9129">
      <w:pPr>
        <w:pStyle w:val="27"/>
        <w:rPr>
          <w:rFonts w:hint="eastAsia" w:ascii="宋体" w:hAnsi="宋体" w:eastAsia="宋体" w:cs="宋体"/>
          <w:b/>
          <w:color w:val="auto"/>
          <w:sz w:val="24"/>
          <w:szCs w:val="24"/>
        </w:rPr>
      </w:pPr>
    </w:p>
    <w:p w14:paraId="6F82ABA2">
      <w:pPr>
        <w:autoSpaceDE w:val="0"/>
        <w:autoSpaceDN w:val="0"/>
        <w:snapToGrid w:val="0"/>
        <w:spacing w:before="312" w:beforeLines="100" w:after="156" w:afterLines="50" w:line="600" w:lineRule="exact"/>
        <w:jc w:val="center"/>
        <w:rPr>
          <w:rFonts w:hint="eastAsia" w:ascii="宋体" w:hAnsi="宋体" w:eastAsia="宋体" w:cs="宋体"/>
          <w:b/>
          <w:color w:val="auto"/>
          <w:sz w:val="28"/>
          <w:szCs w:val="28"/>
        </w:rPr>
        <w:sectPr>
          <w:pgSz w:w="11906" w:h="16838"/>
          <w:pgMar w:top="1440" w:right="1463" w:bottom="1440" w:left="1463" w:header="851" w:footer="992" w:gutter="0"/>
          <w:cols w:space="720" w:num="1"/>
          <w:rtlGutter w:val="0"/>
          <w:docGrid w:type="lines" w:linePitch="312" w:charSpace="0"/>
        </w:sectPr>
      </w:pPr>
    </w:p>
    <w:p w14:paraId="5ECFD7C7">
      <w:pPr>
        <w:autoSpaceDE w:val="0"/>
        <w:autoSpaceDN w:val="0"/>
        <w:snapToGrid w:val="0"/>
        <w:spacing w:before="312" w:beforeLines="100" w:after="156" w:afterLines="50"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一、响应函</w:t>
      </w:r>
    </w:p>
    <w:p w14:paraId="279EBCD5">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安康远程智信项目管理有限公司</w:t>
      </w:r>
      <w:r>
        <w:rPr>
          <w:rFonts w:hint="eastAsia" w:ascii="宋体" w:hAnsi="宋体" w:eastAsia="宋体" w:cs="宋体"/>
          <w:color w:val="auto"/>
          <w:sz w:val="24"/>
          <w:szCs w:val="24"/>
        </w:rPr>
        <w:t>：</w:t>
      </w:r>
    </w:p>
    <w:p w14:paraId="4B7B88C9">
      <w:pPr>
        <w:spacing w:line="36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根据贵方为</w:t>
      </w:r>
      <w:r>
        <w:rPr>
          <w:rFonts w:hint="eastAsia" w:ascii="宋体" w:hAnsi="宋体" w:eastAsia="宋体" w:cs="宋体"/>
          <w:color w:val="auto"/>
          <w:sz w:val="24"/>
          <w:szCs w:val="24"/>
          <w:u w:val="single"/>
        </w:rPr>
        <w:t>（采购项目名称）</w:t>
      </w:r>
      <w:r>
        <w:rPr>
          <w:rFonts w:hint="eastAsia" w:ascii="宋体" w:hAnsi="宋体" w:eastAsia="宋体" w:cs="宋体"/>
          <w:color w:val="auto"/>
          <w:sz w:val="24"/>
          <w:szCs w:val="24"/>
        </w:rPr>
        <w:t>磋商采购货物及服务的磋商公告</w:t>
      </w:r>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rPr>
        <w:t>，签字代表</w:t>
      </w:r>
      <w:r>
        <w:rPr>
          <w:rFonts w:hint="eastAsia" w:ascii="宋体" w:hAnsi="宋体" w:eastAsia="宋体" w:cs="宋体"/>
          <w:color w:val="auto"/>
          <w:sz w:val="24"/>
          <w:szCs w:val="24"/>
          <w:u w:val="single"/>
        </w:rPr>
        <w:t>（姓名、职务）</w:t>
      </w:r>
      <w:r>
        <w:rPr>
          <w:rFonts w:hint="eastAsia" w:ascii="宋体" w:hAnsi="宋体" w:eastAsia="宋体" w:cs="宋体"/>
          <w:color w:val="auto"/>
          <w:sz w:val="24"/>
          <w:szCs w:val="24"/>
        </w:rPr>
        <w:t>经正式授权并代表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名称、地址）</w:t>
      </w:r>
      <w:r>
        <w:rPr>
          <w:rFonts w:hint="eastAsia" w:ascii="宋体" w:hAnsi="宋体" w:eastAsia="宋体" w:cs="宋体"/>
          <w:color w:val="auto"/>
          <w:sz w:val="24"/>
          <w:szCs w:val="24"/>
        </w:rPr>
        <w:t>，提交</w:t>
      </w:r>
      <w:r>
        <w:rPr>
          <w:rFonts w:hint="eastAsia" w:ascii="宋体" w:hAnsi="宋体"/>
          <w:b w:val="0"/>
          <w:bCs w:val="0"/>
          <w:color w:val="auto"/>
          <w:kern w:val="0"/>
          <w:sz w:val="24"/>
          <w:szCs w:val="24"/>
        </w:rPr>
        <w:t>正本壹份、</w:t>
      </w:r>
      <w:r>
        <w:rPr>
          <w:rFonts w:hint="eastAsia" w:ascii="宋体" w:hAnsi="宋体"/>
          <w:b w:val="0"/>
          <w:bCs w:val="0"/>
          <w:color w:val="auto"/>
          <w:kern w:val="0"/>
          <w:sz w:val="24"/>
          <w:szCs w:val="24"/>
          <w:lang w:eastAsia="zh-CN"/>
        </w:rPr>
        <w:t>副本</w:t>
      </w:r>
      <w:r>
        <w:rPr>
          <w:rFonts w:hint="eastAsia" w:ascii="宋体" w:hAnsi="宋体"/>
          <w:b w:val="0"/>
          <w:bCs w:val="0"/>
          <w:color w:val="auto"/>
          <w:kern w:val="0"/>
          <w:sz w:val="24"/>
          <w:szCs w:val="24"/>
          <w:lang w:val="en-US" w:eastAsia="zh-CN"/>
        </w:rPr>
        <w:t>贰</w:t>
      </w:r>
      <w:r>
        <w:rPr>
          <w:rFonts w:hint="eastAsia" w:ascii="宋体" w:hAnsi="宋体"/>
          <w:b w:val="0"/>
          <w:bCs w:val="0"/>
          <w:color w:val="auto"/>
          <w:kern w:val="0"/>
          <w:sz w:val="24"/>
          <w:szCs w:val="24"/>
          <w:lang w:eastAsia="zh-CN"/>
        </w:rPr>
        <w:t>份、</w:t>
      </w:r>
      <w:r>
        <w:rPr>
          <w:rFonts w:hint="eastAsia" w:ascii="宋体" w:hAnsi="宋体"/>
          <w:b w:val="0"/>
          <w:bCs w:val="0"/>
          <w:color w:val="auto"/>
          <w:kern w:val="0"/>
          <w:sz w:val="24"/>
          <w:szCs w:val="24"/>
          <w:lang w:val="en-US" w:eastAsia="zh-CN"/>
        </w:rPr>
        <w:t>资质文件壹份</w:t>
      </w:r>
      <w:r>
        <w:rPr>
          <w:rFonts w:hint="eastAsia" w:ascii="宋体" w:hAnsi="宋体" w:eastAsia="宋体" w:cs="宋体"/>
          <w:b w:val="0"/>
          <w:bCs w:val="0"/>
          <w:color w:val="auto"/>
          <w:sz w:val="24"/>
          <w:szCs w:val="24"/>
        </w:rPr>
        <w:t>。</w:t>
      </w:r>
    </w:p>
    <w:p w14:paraId="3831614A">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在此，签字代表宣布同意如下：</w:t>
      </w:r>
    </w:p>
    <w:p w14:paraId="4852AFC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1．应提交和交付的各货物</w:t>
      </w:r>
      <w:r>
        <w:rPr>
          <w:rFonts w:hint="eastAsia" w:ascii="宋体" w:hAnsi="宋体" w:eastAsia="宋体" w:cs="宋体"/>
          <w:b/>
          <w:bCs/>
          <w:color w:val="auto"/>
          <w:sz w:val="24"/>
          <w:lang w:val="en-US" w:eastAsia="zh-CN"/>
        </w:rPr>
        <w:t>投标报价</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人民币金额数（同时用汉字大写和数字表示的</w:t>
      </w:r>
      <w:r>
        <w:rPr>
          <w:rFonts w:hint="eastAsia" w:ascii="宋体" w:hAnsi="宋体" w:eastAsia="宋体" w:cs="宋体"/>
          <w:b/>
          <w:bCs/>
          <w:color w:val="auto"/>
          <w:sz w:val="24"/>
          <w:szCs w:val="24"/>
          <w:u w:val="single"/>
        </w:rPr>
        <w:t>投标</w:t>
      </w:r>
      <w:r>
        <w:rPr>
          <w:rFonts w:hint="eastAsia" w:ascii="宋体" w:hAnsi="宋体" w:eastAsia="宋体" w:cs="宋体"/>
          <w:b/>
          <w:bCs/>
          <w:color w:val="auto"/>
          <w:sz w:val="24"/>
          <w:szCs w:val="24"/>
          <w:u w:val="single"/>
          <w:lang w:eastAsia="zh-CN"/>
        </w:rPr>
        <w:t>报价</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2DD039C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将按磋商文件的规定履行合同责任和义务。</w:t>
      </w:r>
    </w:p>
    <w:p w14:paraId="3F0587ED">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已详细审查全部磋商文件。我们完全理解并同意放弃对这方面有不明及误解的权力。</w:t>
      </w:r>
    </w:p>
    <w:p w14:paraId="44B10BC1">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4．本投标有效期为自开标日起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90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个日历日（</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的投标文件有效期延长为与合同有效期一致）。</w:t>
      </w:r>
    </w:p>
    <w:p w14:paraId="75589EE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完全理解并同意贵方在磋商文件中的有关拒绝投标的条款。</w:t>
      </w:r>
    </w:p>
    <w:p w14:paraId="14A09C6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同意提供按照贵方可能要求的与其投标有关的一切数据或资料，完全理解贵方不一定接受最低投标报价的投标或收到的任何投标。</w:t>
      </w:r>
    </w:p>
    <w:p w14:paraId="4C3986F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7．若我方获得中标，我方保证按有关规定向贵方支付中标服务费。</w:t>
      </w:r>
    </w:p>
    <w:p w14:paraId="249A937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8．与本投标有关的一切正式往来信函请寄：</w:t>
      </w:r>
    </w:p>
    <w:p w14:paraId="10A37565">
      <w:p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r>
        <w:rPr>
          <w:rFonts w:hint="eastAsia" w:ascii="宋体" w:hAnsi="宋体" w:eastAsia="宋体" w:cs="宋体"/>
          <w:color w:val="auto"/>
          <w:sz w:val="24"/>
          <w:szCs w:val="24"/>
          <w:u w:val="single"/>
          <w:lang w:val="en-US" w:eastAsia="zh-CN"/>
        </w:rPr>
        <w:t xml:space="preserve">                       </w:t>
      </w:r>
    </w:p>
    <w:p w14:paraId="4C052B99">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详细地址：</w:t>
      </w:r>
      <w:r>
        <w:rPr>
          <w:rFonts w:hint="eastAsia" w:ascii="宋体" w:hAnsi="宋体" w:eastAsia="宋体" w:cs="宋体"/>
          <w:color w:val="auto"/>
          <w:sz w:val="24"/>
          <w:szCs w:val="24"/>
          <w:u w:val="single"/>
        </w:rPr>
        <w:t xml:space="preserve">                                  </w:t>
      </w:r>
    </w:p>
    <w:p w14:paraId="772AF695">
      <w:pPr>
        <w:tabs>
          <w:tab w:val="left" w:pos="360"/>
        </w:tabs>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0BA9356B">
      <w:pPr>
        <w:autoSpaceDE w:val="0"/>
        <w:autoSpaceDN w:val="0"/>
        <w:spacing w:line="360" w:lineRule="auto"/>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电话：</w:t>
      </w:r>
      <w:r>
        <w:rPr>
          <w:rFonts w:hint="eastAsia" w:ascii="宋体" w:hAnsi="宋体" w:eastAsia="宋体" w:cs="宋体"/>
          <w:color w:val="auto"/>
          <w:sz w:val="24"/>
          <w:szCs w:val="24"/>
          <w:u w:val="single"/>
        </w:rPr>
        <w:t xml:space="preserve">                                      </w:t>
      </w:r>
    </w:p>
    <w:p w14:paraId="67258585">
      <w:pPr>
        <w:autoSpaceDE w:val="0"/>
        <w:autoSpaceDN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传真：</w:t>
      </w:r>
      <w:r>
        <w:rPr>
          <w:rFonts w:hint="eastAsia" w:ascii="宋体" w:hAnsi="宋体" w:eastAsia="宋体" w:cs="宋体"/>
          <w:color w:val="auto"/>
          <w:sz w:val="24"/>
          <w:szCs w:val="24"/>
          <w:u w:val="single"/>
        </w:rPr>
        <w:t xml:space="preserve">                                      </w:t>
      </w:r>
    </w:p>
    <w:p w14:paraId="6B1A8119">
      <w:pPr>
        <w:tabs>
          <w:tab w:val="left" w:pos="3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电子邮件地址：</w:t>
      </w:r>
      <w:r>
        <w:rPr>
          <w:rFonts w:hint="eastAsia" w:ascii="宋体" w:hAnsi="宋体" w:eastAsia="宋体" w:cs="宋体"/>
          <w:color w:val="auto"/>
          <w:sz w:val="24"/>
          <w:szCs w:val="24"/>
          <w:u w:val="single"/>
        </w:rPr>
        <w:t xml:space="preserve">                              </w:t>
      </w:r>
    </w:p>
    <w:p w14:paraId="4E0FA15E">
      <w:pPr>
        <w:autoSpaceDE w:val="0"/>
        <w:autoSpaceDN w:val="0"/>
        <w:spacing w:line="360" w:lineRule="auto"/>
        <w:ind w:right="480"/>
        <w:rPr>
          <w:rFonts w:hint="eastAsia" w:ascii="宋体" w:hAnsi="宋体" w:eastAsia="宋体" w:cs="宋体"/>
          <w:color w:val="auto"/>
          <w:sz w:val="24"/>
          <w:szCs w:val="24"/>
          <w:lang w:val="zh-CN"/>
        </w:rPr>
      </w:pPr>
    </w:p>
    <w:p w14:paraId="5AA4EDDA">
      <w:pPr>
        <w:autoSpaceDE w:val="0"/>
        <w:autoSpaceDN w:val="0"/>
        <w:spacing w:line="360" w:lineRule="auto"/>
        <w:ind w:right="480"/>
        <w:rPr>
          <w:rFonts w:hint="eastAsia" w:ascii="宋体" w:hAnsi="宋体" w:eastAsia="宋体" w:cs="宋体"/>
          <w:color w:val="auto"/>
          <w:sz w:val="24"/>
          <w:szCs w:val="24"/>
          <w:lang w:val="zh-CN"/>
        </w:rPr>
      </w:pPr>
    </w:p>
    <w:p w14:paraId="66AB69FD">
      <w:pPr>
        <w:wordWrap w:val="0"/>
        <w:autoSpaceDE w:val="0"/>
        <w:autoSpaceDN w:val="0"/>
        <w:spacing w:line="360" w:lineRule="auto"/>
        <w:ind w:right="480" w:firstLine="480" w:firstLineChars="200"/>
        <w:jc w:val="right"/>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rPr>
        <w:t>年     月     日</w:t>
      </w:r>
    </w:p>
    <w:p w14:paraId="3294255C">
      <w:pPr>
        <w:autoSpaceDE w:val="0"/>
        <w:autoSpaceDN w:val="0"/>
        <w:adjustRightInd w:val="0"/>
        <w:spacing w:line="480" w:lineRule="exact"/>
        <w:ind w:right="480"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lang w:val="zh-CN"/>
        </w:rPr>
        <w:t xml:space="preserve">            </w:t>
      </w:r>
    </w:p>
    <w:p w14:paraId="20879914">
      <w:pPr>
        <w:spacing w:line="440" w:lineRule="exact"/>
        <w:jc w:val="center"/>
        <w:rPr>
          <w:rFonts w:hint="eastAsia" w:ascii="宋体" w:hAnsi="宋体" w:eastAsia="宋体" w:cs="宋体"/>
          <w:color w:val="auto"/>
          <w:sz w:val="32"/>
          <w:szCs w:val="32"/>
        </w:rPr>
      </w:pPr>
      <w:r>
        <w:rPr>
          <w:rFonts w:hint="eastAsia" w:ascii="宋体" w:hAnsi="宋体" w:eastAsia="宋体" w:cs="宋体"/>
          <w:b/>
          <w:color w:val="auto"/>
          <w:sz w:val="32"/>
          <w:szCs w:val="32"/>
          <w:lang w:val="en-US" w:eastAsia="zh-CN"/>
        </w:rPr>
        <w:t>二</w:t>
      </w:r>
      <w:r>
        <w:rPr>
          <w:rFonts w:hint="eastAsia" w:ascii="宋体" w:hAnsi="宋体" w:eastAsia="宋体" w:cs="宋体"/>
          <w:b/>
          <w:color w:val="auto"/>
          <w:sz w:val="32"/>
          <w:szCs w:val="32"/>
        </w:rPr>
        <w:t>、法定代表人授权委托书</w:t>
      </w:r>
    </w:p>
    <w:p w14:paraId="64077AA8">
      <w:pPr>
        <w:spacing w:after="156" w:afterLines="50" w:line="240" w:lineRule="exact"/>
        <w:ind w:firstLine="437"/>
        <w:rPr>
          <w:rFonts w:hint="eastAsia" w:ascii="宋体" w:hAnsi="宋体" w:eastAsia="宋体" w:cs="宋体"/>
          <w:color w:val="auto"/>
          <w:sz w:val="24"/>
          <w:szCs w:val="24"/>
        </w:rPr>
      </w:pPr>
    </w:p>
    <w:p w14:paraId="2D2439B5">
      <w:pPr>
        <w:spacing w:line="360" w:lineRule="auto"/>
        <w:jc w:val="center"/>
        <w:outlineLvl w:val="1"/>
        <w:rPr>
          <w:rFonts w:hint="eastAsia" w:ascii="宋体" w:hAnsi="宋体" w:eastAsia="宋体" w:cs="宋体"/>
          <w:b/>
          <w:bCs/>
          <w:color w:val="auto"/>
          <w:sz w:val="28"/>
        </w:rPr>
      </w:pPr>
      <w:r>
        <w:rPr>
          <w:rFonts w:hint="eastAsia" w:ascii="宋体" w:hAnsi="宋体" w:eastAsia="宋体" w:cs="宋体"/>
          <w:b/>
          <w:bCs/>
          <w:color w:val="auto"/>
          <w:sz w:val="28"/>
          <w:lang w:val="en-US" w:eastAsia="zh-CN"/>
        </w:rPr>
        <w:t>2.1</w:t>
      </w:r>
      <w:r>
        <w:rPr>
          <w:rFonts w:hint="eastAsia" w:ascii="宋体" w:hAnsi="宋体" w:eastAsia="宋体" w:cs="宋体"/>
          <w:b/>
          <w:bCs/>
          <w:color w:val="auto"/>
          <w:sz w:val="28"/>
        </w:rPr>
        <w:t>、法定代表人资格证明</w:t>
      </w:r>
    </w:p>
    <w:p w14:paraId="741C4917">
      <w:pPr>
        <w:spacing w:line="360" w:lineRule="auto"/>
        <w:ind w:firstLine="120" w:firstLineChars="50"/>
        <w:rPr>
          <w:rFonts w:hint="eastAsia" w:ascii="宋体" w:hAnsi="宋体" w:eastAsia="宋体" w:cs="宋体"/>
          <w:color w:val="auto"/>
          <w:sz w:val="24"/>
          <w:szCs w:val="24"/>
        </w:rPr>
      </w:pPr>
    </w:p>
    <w:p w14:paraId="08FF08A3">
      <w:pPr>
        <w:spacing w:line="480" w:lineRule="auto"/>
        <w:ind w:firstLine="120" w:firstLineChars="50"/>
        <w:rPr>
          <w:rFonts w:hint="eastAsia" w:ascii="宋体" w:hAnsi="宋体" w:eastAsia="宋体" w:cs="宋体"/>
          <w:color w:val="auto"/>
          <w:sz w:val="24"/>
          <w:szCs w:val="24"/>
          <w:u w:val="single"/>
        </w:rPr>
      </w:pPr>
      <w:r>
        <w:rPr>
          <w:rFonts w:hint="eastAsia"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6F4AEDF2">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1370C87D">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061D83C2">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558BD827">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39B63B37">
      <w:pPr>
        <w:spacing w:line="480" w:lineRule="auto"/>
        <w:ind w:left="108"/>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hAnsi="宋体" w:eastAsia="宋体" w:cs="宋体"/>
          <w:color w:val="auto"/>
          <w:sz w:val="24"/>
          <w:szCs w:val="24"/>
          <w:lang w:eastAsia="zh-CN"/>
        </w:rPr>
        <w:t>供应商</w:t>
      </w:r>
      <w:r>
        <w:rPr>
          <w:rFonts w:hint="eastAsia" w:ascii="宋体" w:hAnsi="宋体" w:eastAsia="宋体" w:cs="宋体"/>
          <w:color w:val="auto"/>
          <w:sz w:val="24"/>
          <w:szCs w:val="24"/>
        </w:rPr>
        <w:t>）的法定代表人。</w:t>
      </w:r>
    </w:p>
    <w:p w14:paraId="05A846AD">
      <w:pPr>
        <w:spacing w:line="480" w:lineRule="auto"/>
        <w:ind w:left="107" w:leftChars="51" w:firstLine="480" w:firstLineChars="200"/>
        <w:rPr>
          <w:rFonts w:hint="eastAsia" w:ascii="宋体" w:hAnsi="宋体" w:eastAsia="宋体" w:cs="宋体"/>
          <w:color w:val="auto"/>
          <w:sz w:val="24"/>
          <w:szCs w:val="24"/>
        </w:rPr>
      </w:pPr>
    </w:p>
    <w:p w14:paraId="57A3E27E">
      <w:pPr>
        <w:spacing w:line="480" w:lineRule="auto"/>
        <w:ind w:left="107" w:leftChars="5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3A56913B">
      <w:pPr>
        <w:spacing w:line="480" w:lineRule="auto"/>
        <w:rPr>
          <w:rFonts w:hint="eastAsia" w:ascii="宋体" w:hAnsi="宋体" w:eastAsia="宋体" w:cs="宋体"/>
          <w:color w:val="auto"/>
          <w:sz w:val="24"/>
          <w:szCs w:val="24"/>
        </w:rPr>
      </w:pPr>
    </w:p>
    <w:p w14:paraId="33E1C298">
      <w:pPr>
        <w:spacing w:line="480" w:lineRule="auto"/>
        <w:ind w:left="107" w:leftChars="51"/>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（盖章）</w:t>
      </w:r>
    </w:p>
    <w:p w14:paraId="56823657">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8CBCDEF">
      <w:pPr>
        <w:spacing w:line="480" w:lineRule="auto"/>
        <w:rPr>
          <w:rFonts w:hint="eastAsia" w:ascii="宋体" w:hAnsi="宋体" w:eastAsia="宋体" w:cs="宋体"/>
          <w:color w:val="auto"/>
          <w:szCs w:val="21"/>
        </w:rPr>
      </w:pPr>
      <w:r>
        <w:rPr>
          <w:rFonts w:hint="eastAsia" w:ascii="宋体" w:hAnsi="宋体" w:eastAsia="宋体" w:cs="宋体"/>
          <w:color w:val="auto"/>
          <w:sz w:val="24"/>
          <w:szCs w:val="24"/>
        </w:rPr>
        <w:t>附：法定代表人身份证复印件。</w:t>
      </w:r>
    </w:p>
    <w:tbl>
      <w:tblPr>
        <w:tblStyle w:val="23"/>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610"/>
      </w:tblGrid>
      <w:tr w14:paraId="668B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4943972B">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正面</w:t>
            </w:r>
          </w:p>
          <w:p w14:paraId="274B626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4F566826">
            <w:pPr>
              <w:spacing w:line="360" w:lineRule="auto"/>
              <w:jc w:val="center"/>
              <w:rPr>
                <w:rFonts w:hint="eastAsia" w:ascii="宋体" w:hAnsi="宋体" w:eastAsia="宋体" w:cs="宋体"/>
                <w:color w:val="auto"/>
                <w:sz w:val="24"/>
                <w:szCs w:val="24"/>
              </w:rPr>
            </w:pPr>
          </w:p>
          <w:p w14:paraId="619CA309">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反面</w:t>
            </w:r>
          </w:p>
          <w:p w14:paraId="711622CC">
            <w:pPr>
              <w:spacing w:line="360" w:lineRule="auto"/>
              <w:jc w:val="center"/>
              <w:rPr>
                <w:rFonts w:hint="eastAsia" w:ascii="宋体" w:hAnsi="宋体" w:eastAsia="宋体" w:cs="宋体"/>
                <w:color w:val="auto"/>
                <w:sz w:val="24"/>
                <w:szCs w:val="24"/>
              </w:rPr>
            </w:pPr>
          </w:p>
          <w:p w14:paraId="362638C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1659C303">
      <w:pPr>
        <w:widowControl/>
        <w:jc w:val="center"/>
        <w:rPr>
          <w:rFonts w:hint="eastAsia" w:ascii="宋体" w:hAnsi="宋体" w:eastAsia="宋体" w:cs="宋体"/>
          <w:b/>
          <w:bCs/>
          <w:color w:val="auto"/>
          <w:sz w:val="28"/>
          <w:lang w:eastAsia="zh-CN"/>
        </w:rPr>
      </w:pPr>
      <w:r>
        <w:rPr>
          <w:rFonts w:hint="eastAsia" w:ascii="宋体" w:hAnsi="宋体" w:eastAsia="宋体" w:cs="宋体"/>
          <w:b/>
          <w:bCs/>
          <w:color w:val="auto"/>
          <w:sz w:val="28"/>
        </w:rPr>
        <w:br w:type="page"/>
      </w:r>
      <w:bookmarkStart w:id="147" w:name="_Toc31886"/>
      <w:bookmarkStart w:id="148" w:name="_Toc22428"/>
      <w:bookmarkStart w:id="149" w:name="_Toc31176"/>
      <w:bookmarkStart w:id="150" w:name="_Toc1538"/>
      <w:bookmarkStart w:id="151" w:name="_Toc11463"/>
      <w:bookmarkStart w:id="152" w:name="_Toc25530"/>
      <w:bookmarkStart w:id="153" w:name="_Toc3474"/>
      <w:r>
        <w:rPr>
          <w:rFonts w:hint="eastAsia" w:ascii="宋体" w:hAnsi="宋体" w:eastAsia="宋体" w:cs="宋体"/>
          <w:b/>
          <w:bCs/>
          <w:color w:val="auto"/>
          <w:sz w:val="28"/>
          <w:lang w:val="en-US" w:eastAsia="zh-CN"/>
        </w:rPr>
        <w:t>2.2</w:t>
      </w:r>
      <w:r>
        <w:rPr>
          <w:rFonts w:hint="eastAsia" w:ascii="宋体" w:hAnsi="宋体" w:eastAsia="宋体" w:cs="宋体"/>
          <w:b/>
          <w:bCs/>
          <w:color w:val="auto"/>
          <w:sz w:val="28"/>
        </w:rPr>
        <w:t>、法人授权委托书</w:t>
      </w:r>
      <w:bookmarkEnd w:id="147"/>
      <w:bookmarkEnd w:id="148"/>
      <w:bookmarkEnd w:id="149"/>
      <w:bookmarkEnd w:id="150"/>
      <w:bookmarkEnd w:id="151"/>
      <w:bookmarkEnd w:id="152"/>
      <w:bookmarkEnd w:id="153"/>
      <w:r>
        <w:rPr>
          <w:rFonts w:hint="eastAsia" w:ascii="宋体" w:hAnsi="宋体" w:eastAsia="宋体" w:cs="宋体"/>
          <w:b/>
          <w:bCs/>
          <w:color w:val="auto"/>
          <w:sz w:val="28"/>
          <w:lang w:eastAsia="zh-CN"/>
        </w:rPr>
        <w:t>（如有）</w:t>
      </w:r>
    </w:p>
    <w:p w14:paraId="5A45A3D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hAnsi="宋体" w:eastAsia="宋体" w:cs="宋体"/>
          <w:color w:val="auto"/>
          <w:sz w:val="24"/>
          <w:szCs w:val="24"/>
          <w:lang w:eastAsia="zh-CN"/>
        </w:rPr>
        <w:t>供应商</w:t>
      </w:r>
      <w:r>
        <w:rPr>
          <w:rFonts w:hint="eastAsia" w:ascii="宋体" w:hAnsi="宋体" w:eastAsia="宋体" w:cs="宋体"/>
          <w:color w:val="auto"/>
          <w:sz w:val="24"/>
          <w:szCs w:val="24"/>
        </w:rPr>
        <w:t>名称）的法定代表人，现代表公司授权委托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（被授权人的姓名、职务）为我公司合法代理人，代表本公司参加签署本项目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投标工作</w:t>
      </w:r>
      <w:r>
        <w:rPr>
          <w:rFonts w:hint="eastAsia" w:ascii="宋体" w:hAnsi="宋体" w:eastAsia="宋体" w:cs="宋体"/>
          <w:color w:val="auto"/>
          <w:sz w:val="24"/>
          <w:szCs w:val="24"/>
        </w:rPr>
        <w:t>。代理人在本次</w:t>
      </w:r>
      <w:r>
        <w:rPr>
          <w:rFonts w:hint="eastAsia" w:hAnsi="宋体" w:eastAsia="宋体" w:cs="宋体"/>
          <w:color w:val="auto"/>
          <w:sz w:val="24"/>
          <w:szCs w:val="24"/>
          <w:lang w:eastAsia="zh-CN"/>
        </w:rPr>
        <w:t>投标</w:t>
      </w:r>
      <w:r>
        <w:rPr>
          <w:rFonts w:hint="eastAsia" w:ascii="宋体" w:hAnsi="宋体" w:eastAsia="宋体" w:cs="宋体"/>
          <w:color w:val="auto"/>
          <w:sz w:val="24"/>
          <w:szCs w:val="24"/>
        </w:rPr>
        <w:t>中所签署的一切文件和处理的一切有关事</w:t>
      </w:r>
      <w:r>
        <w:rPr>
          <w:rFonts w:hint="eastAsia" w:ascii="宋体" w:hAnsi="宋体" w:eastAsia="宋体" w:cs="宋体"/>
          <w:color w:val="auto"/>
          <w:sz w:val="24"/>
          <w:szCs w:val="24"/>
          <w:lang w:eastAsia="zh-CN"/>
        </w:rPr>
        <w:t>务</w:t>
      </w:r>
      <w:r>
        <w:rPr>
          <w:rFonts w:hint="eastAsia" w:ascii="宋体" w:hAnsi="宋体" w:eastAsia="宋体" w:cs="宋体"/>
          <w:color w:val="auto"/>
          <w:sz w:val="24"/>
          <w:szCs w:val="24"/>
        </w:rPr>
        <w:t>，我公司均予承认。</w:t>
      </w:r>
    </w:p>
    <w:p w14:paraId="15E0C6BC">
      <w:pPr>
        <w:spacing w:line="360" w:lineRule="auto"/>
        <w:ind w:left="109" w:leftChars="51" w:hanging="2"/>
        <w:rPr>
          <w:rFonts w:hint="eastAsia" w:ascii="宋体" w:hAnsi="宋体" w:eastAsia="宋体" w:cs="宋体"/>
          <w:color w:val="auto"/>
          <w:sz w:val="24"/>
          <w:szCs w:val="24"/>
        </w:rPr>
      </w:pPr>
      <w:r>
        <w:rPr>
          <w:rFonts w:hint="eastAsia" w:ascii="宋体" w:hAnsi="宋体" w:eastAsia="宋体" w:cs="宋体"/>
          <w:color w:val="auto"/>
          <w:sz w:val="24"/>
          <w:szCs w:val="24"/>
        </w:rPr>
        <w:t xml:space="preserve">    代理人无转委托权，特此委托。</w:t>
      </w:r>
    </w:p>
    <w:p w14:paraId="2D267F49">
      <w:pPr>
        <w:spacing w:after="156" w:afterLines="50" w:line="440" w:lineRule="exact"/>
        <w:ind w:firstLine="437"/>
        <w:rPr>
          <w:rFonts w:hint="eastAsia" w:ascii="宋体" w:hAnsi="宋体" w:cs="宋体"/>
          <w:color w:val="auto"/>
          <w:sz w:val="24"/>
          <w:szCs w:val="24"/>
        </w:rPr>
      </w:pPr>
      <w:r>
        <w:rPr>
          <w:rFonts w:hint="eastAsia" w:ascii="宋体" w:hAnsi="宋体" w:cs="宋体"/>
          <w:color w:val="auto"/>
          <w:sz w:val="24"/>
          <w:szCs w:val="24"/>
        </w:rPr>
        <w:t>本授权书于</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日签字生效，</w:t>
      </w:r>
    </w:p>
    <w:p w14:paraId="5176D7B0">
      <w:pPr>
        <w:spacing w:line="360" w:lineRule="auto"/>
        <w:ind w:left="109" w:leftChars="5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27452797">
      <w:pPr>
        <w:spacing w:line="440" w:lineRule="exact"/>
        <w:rPr>
          <w:rFonts w:hint="eastAsia" w:ascii="宋体" w:hAnsi="宋体" w:cs="宋体"/>
          <w:color w:val="auto"/>
          <w:sz w:val="24"/>
          <w:u w:val="single"/>
        </w:rPr>
      </w:pPr>
      <w:r>
        <w:rPr>
          <w:rFonts w:hint="eastAsia" w:ascii="宋体" w:hAnsi="宋体" w:eastAsia="宋体" w:cs="宋体"/>
          <w:color w:val="auto"/>
          <w:sz w:val="24"/>
          <w:szCs w:val="24"/>
        </w:rPr>
        <w:t>法定代表人</w:t>
      </w:r>
      <w:r>
        <w:rPr>
          <w:rFonts w:hint="eastAsia" w:ascii="宋体" w:hAnsi="宋体" w:cs="宋体"/>
          <w:color w:val="auto"/>
          <w:sz w:val="24"/>
        </w:rPr>
        <w:t>签字或盖章：</w:t>
      </w:r>
      <w:r>
        <w:rPr>
          <w:rFonts w:hint="eastAsia" w:ascii="宋体" w:hAnsi="宋体" w:cs="宋体"/>
          <w:color w:val="auto"/>
          <w:sz w:val="24"/>
          <w:u w:val="single"/>
        </w:rPr>
        <w:t xml:space="preserve">            </w:t>
      </w:r>
      <w:r>
        <w:rPr>
          <w:rFonts w:hint="eastAsia" w:ascii="宋体" w:hAnsi="宋体" w:cs="宋体"/>
          <w:color w:val="auto"/>
          <w:sz w:val="24"/>
          <w:u w:val="none"/>
          <w:lang w:val="en-US" w:eastAsia="zh-CN"/>
        </w:rPr>
        <w:t xml:space="preserve">     </w:t>
      </w:r>
      <w:r>
        <w:rPr>
          <w:rFonts w:hint="eastAsia" w:ascii="宋体" w:hAnsi="宋体" w:cs="宋体"/>
          <w:color w:val="auto"/>
          <w:sz w:val="24"/>
        </w:rPr>
        <w:t>被授权人签字：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13597A8B">
      <w:pPr>
        <w:spacing w:line="440" w:lineRule="exact"/>
        <w:rPr>
          <w:rFonts w:hint="default" w:ascii="宋体" w:hAnsi="宋体" w:eastAsia="宋体" w:cs="宋体"/>
          <w:color w:val="auto"/>
          <w:sz w:val="24"/>
          <w:u w:val="single"/>
          <w:lang w:val="en-US" w:eastAsia="zh-CN"/>
        </w:rPr>
      </w:pPr>
    </w:p>
    <w:p w14:paraId="0B1764B4">
      <w:pPr>
        <w:spacing w:line="440" w:lineRule="exact"/>
        <w:rPr>
          <w:rFonts w:hint="default" w:ascii="宋体" w:hAnsi="宋体" w:eastAsia="宋体" w:cs="宋体"/>
          <w:color w:val="auto"/>
          <w:sz w:val="24"/>
          <w:u w:val="none"/>
          <w:lang w:val="en-US" w:eastAsia="zh-CN"/>
        </w:rPr>
      </w:pPr>
      <w:r>
        <w:rPr>
          <w:rFonts w:hint="eastAsia" w:ascii="宋体" w:hAnsi="宋体" w:cs="宋体"/>
          <w:color w:val="auto"/>
          <w:sz w:val="24"/>
        </w:rPr>
        <w:t>（公章）：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 xml:space="preserve">    </w:t>
      </w:r>
      <w:r>
        <w:rPr>
          <w:rFonts w:hint="eastAsia" w:ascii="宋体" w:hAnsi="宋体" w:cs="宋体"/>
          <w:color w:val="auto"/>
          <w:sz w:val="24"/>
        </w:rPr>
        <w:t>被授权人联系电话：</w:t>
      </w:r>
      <w:r>
        <w:rPr>
          <w:rFonts w:hint="eastAsia" w:ascii="宋体" w:hAnsi="宋体" w:cs="宋体"/>
          <w:color w:val="auto"/>
          <w:sz w:val="24"/>
          <w:u w:val="single"/>
        </w:rPr>
        <w:t xml:space="preserve">              </w:t>
      </w:r>
    </w:p>
    <w:p w14:paraId="05E522B0">
      <w:pPr>
        <w:spacing w:after="156" w:afterLines="50" w:line="440" w:lineRule="exact"/>
        <w:ind w:firstLine="437"/>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  年  月  日</w:t>
      </w:r>
    </w:p>
    <w:p w14:paraId="69FCDE61">
      <w:pPr>
        <w:spacing w:line="480" w:lineRule="auto"/>
        <w:ind w:firstLine="120" w:firstLineChars="50"/>
        <w:rPr>
          <w:rFonts w:hint="eastAsia" w:ascii="宋体" w:hAnsi="宋体" w:eastAsia="宋体" w:cs="宋体"/>
          <w:bCs/>
          <w:color w:val="auto"/>
          <w:sz w:val="24"/>
          <w:szCs w:val="24"/>
        </w:rPr>
      </w:pPr>
      <w:r>
        <w:rPr>
          <w:rFonts w:hint="eastAsia" w:ascii="宋体" w:hAnsi="宋体" w:eastAsia="宋体" w:cs="宋体"/>
          <w:color w:val="auto"/>
          <w:sz w:val="24"/>
          <w:szCs w:val="24"/>
        </w:rPr>
        <w:t>附：法定代表人、被授权人身份证复印件。</w:t>
      </w:r>
    </w:p>
    <w:tbl>
      <w:tblPr>
        <w:tblStyle w:val="23"/>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610"/>
      </w:tblGrid>
      <w:tr w14:paraId="2519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72FEC620">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正面</w:t>
            </w:r>
          </w:p>
          <w:p w14:paraId="39CAD99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0F8FEA2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r>
              <w:rPr>
                <w:rFonts w:hint="eastAsia" w:ascii="宋体" w:hAnsi="宋体" w:eastAsia="宋体" w:cs="宋体"/>
                <w:color w:val="auto"/>
                <w:sz w:val="24"/>
                <w:szCs w:val="24"/>
                <w:lang w:eastAsia="zh-CN"/>
              </w:rPr>
              <w:t>正面</w:t>
            </w:r>
          </w:p>
          <w:p w14:paraId="60084F6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A50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6B4A7FEF">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反面</w:t>
            </w:r>
          </w:p>
          <w:p w14:paraId="2143679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2C51234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r>
              <w:rPr>
                <w:rFonts w:hint="eastAsia" w:ascii="宋体" w:hAnsi="宋体" w:eastAsia="宋体" w:cs="宋体"/>
                <w:color w:val="auto"/>
                <w:sz w:val="24"/>
                <w:szCs w:val="24"/>
                <w:lang w:eastAsia="zh-CN"/>
              </w:rPr>
              <w:t>反面</w:t>
            </w:r>
          </w:p>
          <w:p w14:paraId="593E660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7276825A">
      <w:pPr>
        <w:autoSpaceDE w:val="0"/>
        <w:autoSpaceDN w:val="0"/>
        <w:adjustRightInd w:val="0"/>
        <w:snapToGrid w:val="0"/>
        <w:spacing w:line="440" w:lineRule="exact"/>
        <w:jc w:val="both"/>
        <w:rPr>
          <w:rFonts w:hint="eastAsia" w:ascii="宋体" w:hAnsi="宋体" w:eastAsia="宋体" w:cs="宋体"/>
          <w:b/>
          <w:color w:val="auto"/>
          <w:sz w:val="32"/>
          <w:szCs w:val="32"/>
          <w:lang w:eastAsia="zh-CN"/>
        </w:rPr>
      </w:pPr>
    </w:p>
    <w:p w14:paraId="084D1B99">
      <w:pPr>
        <w:autoSpaceDE w:val="0"/>
        <w:autoSpaceDN w:val="0"/>
        <w:snapToGrid w:val="0"/>
        <w:spacing w:line="360" w:lineRule="auto"/>
        <w:jc w:val="center"/>
        <w:rPr>
          <w:rFonts w:hint="eastAsia" w:ascii="宋体" w:hAnsi="宋体" w:eastAsia="宋体" w:cs="宋体"/>
          <w:b/>
          <w:color w:val="auto"/>
          <w:sz w:val="28"/>
          <w:szCs w:val="28"/>
          <w:lang w:val="en-US" w:eastAsia="zh-CN"/>
        </w:rPr>
        <w:sectPr>
          <w:pgSz w:w="11906" w:h="16838"/>
          <w:pgMar w:top="1440" w:right="1463" w:bottom="1440" w:left="1463" w:header="851" w:footer="992" w:gutter="0"/>
          <w:cols w:space="720" w:num="1"/>
          <w:rtlGutter w:val="0"/>
          <w:docGrid w:type="lines" w:linePitch="312" w:charSpace="0"/>
        </w:sectPr>
      </w:pPr>
    </w:p>
    <w:p w14:paraId="4D04D7BE">
      <w:pPr>
        <w:autoSpaceDE w:val="0"/>
        <w:autoSpaceDN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、磋商报价表</w:t>
      </w:r>
    </w:p>
    <w:p w14:paraId="132DD68B">
      <w:pPr>
        <w:autoSpaceDE w:val="0"/>
        <w:autoSpaceDN w:val="0"/>
        <w:snapToGrid w:val="0"/>
        <w:spacing w:line="360" w:lineRule="auto"/>
        <w:jc w:val="left"/>
        <w:rPr>
          <w:rFonts w:hint="eastAsia" w:ascii="宋体" w:hAnsi="宋体" w:eastAsia="宋体" w:cs="宋体"/>
          <w:b/>
          <w:color w:val="auto"/>
          <w:sz w:val="24"/>
          <w:szCs w:val="24"/>
          <w:lang w:val="en-US" w:eastAsia="zh-CN"/>
        </w:rPr>
      </w:pPr>
      <w:r>
        <w:rPr>
          <w:rFonts w:hint="eastAsia" w:ascii="宋体" w:hAnsi="宋体" w:eastAsia="宋体" w:cs="宋体"/>
          <w:bCs/>
          <w:color w:val="auto"/>
          <w:sz w:val="24"/>
          <w:szCs w:val="24"/>
        </w:rPr>
        <w:t>项目编号：</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2072"/>
        <w:gridCol w:w="2491"/>
        <w:gridCol w:w="2167"/>
      </w:tblGrid>
      <w:tr w14:paraId="5B9D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338" w:type="pct"/>
            <w:noWrap w:val="0"/>
            <w:vAlign w:val="center"/>
          </w:tcPr>
          <w:p w14:paraId="0D659853">
            <w:pPr>
              <w:spacing w:line="560" w:lineRule="exact"/>
              <w:jc w:val="center"/>
              <w:rPr>
                <w:rFonts w:hint="eastAsia" w:ascii="宋体" w:hAnsi="宋体" w:cs="宋体"/>
                <w:bCs/>
                <w:color w:val="auto"/>
                <w:sz w:val="24"/>
              </w:rPr>
            </w:pPr>
            <w:r>
              <w:rPr>
                <w:rFonts w:hint="eastAsia" w:ascii="宋体" w:hAnsi="宋体" w:cs="宋体"/>
                <w:bCs/>
                <w:color w:val="auto"/>
                <w:sz w:val="24"/>
              </w:rPr>
              <w:t>项目名称</w:t>
            </w:r>
          </w:p>
        </w:tc>
        <w:tc>
          <w:tcPr>
            <w:tcW w:w="1127" w:type="pct"/>
            <w:noWrap w:val="0"/>
            <w:vAlign w:val="center"/>
          </w:tcPr>
          <w:p w14:paraId="786B8053">
            <w:pPr>
              <w:spacing w:line="560" w:lineRule="exact"/>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投标单价报价</w:t>
            </w:r>
          </w:p>
          <w:p w14:paraId="00450F55">
            <w:pPr>
              <w:spacing w:line="560" w:lineRule="exact"/>
              <w:jc w:val="center"/>
              <w:rPr>
                <w:rFonts w:hint="eastAsia" w:ascii="宋体" w:hAnsi="宋体" w:eastAsia="宋体" w:cs="宋体"/>
                <w:bCs/>
                <w:color w:val="auto"/>
                <w:sz w:val="24"/>
                <w:lang w:val="en-US" w:eastAsia="zh-CN"/>
              </w:rPr>
            </w:pPr>
            <w:r>
              <w:rPr>
                <w:rFonts w:hint="eastAsia" w:ascii="宋体" w:hAnsi="宋体" w:cs="宋体"/>
                <w:bCs/>
                <w:color w:val="auto"/>
                <w:sz w:val="24"/>
                <w:lang w:val="en-US" w:eastAsia="zh-CN"/>
              </w:rPr>
              <w:t>（元）</w:t>
            </w:r>
          </w:p>
        </w:tc>
        <w:tc>
          <w:tcPr>
            <w:tcW w:w="1355" w:type="pct"/>
            <w:noWrap w:val="0"/>
            <w:vAlign w:val="center"/>
          </w:tcPr>
          <w:p w14:paraId="3F8F0ADB">
            <w:pPr>
              <w:spacing w:line="560" w:lineRule="exact"/>
              <w:jc w:val="center"/>
              <w:rPr>
                <w:rFonts w:hint="eastAsia" w:ascii="宋体" w:hAnsi="宋体" w:cs="宋体"/>
                <w:bCs/>
                <w:color w:val="auto"/>
                <w:sz w:val="24"/>
              </w:rPr>
            </w:pPr>
            <w:r>
              <w:rPr>
                <w:rFonts w:hint="eastAsia" w:ascii="宋体" w:hAnsi="宋体" w:cs="宋体"/>
                <w:bCs/>
                <w:color w:val="auto"/>
                <w:sz w:val="24"/>
                <w:lang w:eastAsia="zh-CN"/>
              </w:rPr>
              <w:t>交</w:t>
            </w:r>
            <w:r>
              <w:rPr>
                <w:rFonts w:hint="eastAsia" w:ascii="宋体" w:hAnsi="宋体" w:cs="宋体"/>
                <w:bCs/>
                <w:color w:val="auto"/>
                <w:sz w:val="24"/>
              </w:rPr>
              <w:t>货期</w:t>
            </w:r>
          </w:p>
        </w:tc>
        <w:tc>
          <w:tcPr>
            <w:tcW w:w="1178" w:type="pct"/>
            <w:noWrap w:val="0"/>
            <w:vAlign w:val="center"/>
          </w:tcPr>
          <w:p w14:paraId="320EBED2">
            <w:pPr>
              <w:spacing w:line="560" w:lineRule="exact"/>
              <w:jc w:val="center"/>
              <w:rPr>
                <w:rFonts w:hint="eastAsia" w:ascii="宋体" w:hAnsi="宋体" w:cs="宋体"/>
                <w:bCs/>
                <w:color w:val="auto"/>
                <w:sz w:val="24"/>
              </w:rPr>
            </w:pPr>
            <w:r>
              <w:rPr>
                <w:rFonts w:hint="eastAsia" w:ascii="宋体" w:hAnsi="宋体" w:cs="宋体"/>
                <w:bCs/>
                <w:color w:val="auto"/>
                <w:sz w:val="24"/>
              </w:rPr>
              <w:t>备注</w:t>
            </w:r>
          </w:p>
        </w:tc>
      </w:tr>
      <w:tr w14:paraId="58EC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1338" w:type="pct"/>
            <w:noWrap w:val="0"/>
            <w:vAlign w:val="center"/>
          </w:tcPr>
          <w:p w14:paraId="6AA79E80">
            <w:pPr>
              <w:spacing w:line="560" w:lineRule="exact"/>
              <w:jc w:val="center"/>
              <w:rPr>
                <w:rFonts w:hint="eastAsia" w:ascii="宋体" w:hAnsi="宋体" w:cs="宋体"/>
                <w:color w:val="auto"/>
                <w:sz w:val="24"/>
              </w:rPr>
            </w:pPr>
          </w:p>
        </w:tc>
        <w:tc>
          <w:tcPr>
            <w:tcW w:w="1127" w:type="pct"/>
            <w:noWrap w:val="0"/>
            <w:vAlign w:val="center"/>
          </w:tcPr>
          <w:p w14:paraId="15E1A88C">
            <w:pPr>
              <w:spacing w:line="560" w:lineRule="exact"/>
              <w:jc w:val="center"/>
              <w:rPr>
                <w:rFonts w:hint="eastAsia" w:ascii="宋体" w:hAnsi="宋体" w:cs="宋体"/>
                <w:bCs/>
                <w:color w:val="auto"/>
                <w:sz w:val="24"/>
              </w:rPr>
            </w:pPr>
          </w:p>
        </w:tc>
        <w:tc>
          <w:tcPr>
            <w:tcW w:w="1355" w:type="pct"/>
            <w:noWrap w:val="0"/>
            <w:vAlign w:val="center"/>
          </w:tcPr>
          <w:p w14:paraId="30070931">
            <w:pPr>
              <w:spacing w:line="560" w:lineRule="exact"/>
              <w:jc w:val="center"/>
              <w:rPr>
                <w:rFonts w:hint="eastAsia" w:ascii="宋体" w:hAnsi="宋体" w:cs="宋体"/>
                <w:bCs/>
                <w:color w:val="auto"/>
                <w:sz w:val="24"/>
              </w:rPr>
            </w:pPr>
          </w:p>
        </w:tc>
        <w:tc>
          <w:tcPr>
            <w:tcW w:w="1178" w:type="pct"/>
            <w:noWrap w:val="0"/>
            <w:vAlign w:val="center"/>
          </w:tcPr>
          <w:p w14:paraId="4D1E977B">
            <w:pPr>
              <w:spacing w:line="560" w:lineRule="exact"/>
              <w:jc w:val="center"/>
              <w:rPr>
                <w:rFonts w:hint="eastAsia" w:ascii="宋体" w:hAnsi="宋体" w:cs="宋体"/>
                <w:bCs/>
                <w:color w:val="auto"/>
                <w:sz w:val="24"/>
              </w:rPr>
            </w:pPr>
          </w:p>
        </w:tc>
      </w:tr>
      <w:tr w14:paraId="00EF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1338" w:type="pct"/>
            <w:noWrap w:val="0"/>
            <w:vAlign w:val="center"/>
          </w:tcPr>
          <w:p w14:paraId="38F687F8">
            <w:pPr>
              <w:spacing w:line="560" w:lineRule="exact"/>
              <w:jc w:val="center"/>
              <w:rPr>
                <w:rFonts w:hint="eastAsia" w:ascii="宋体" w:hAnsi="宋体" w:eastAsia="宋体" w:cs="宋体"/>
                <w:color w:val="auto"/>
                <w:sz w:val="24"/>
                <w:lang w:eastAsia="zh-CN"/>
              </w:rPr>
            </w:pPr>
            <w:r>
              <w:rPr>
                <w:rFonts w:hint="eastAsia" w:ascii="宋体" w:hAnsi="宋体" w:cs="宋体"/>
                <w:color w:val="auto"/>
                <w:sz w:val="24"/>
                <w:lang w:eastAsia="zh-CN"/>
              </w:rPr>
              <w:t>投标总报价（元）</w:t>
            </w:r>
          </w:p>
        </w:tc>
        <w:tc>
          <w:tcPr>
            <w:tcW w:w="3661" w:type="pct"/>
            <w:gridSpan w:val="3"/>
            <w:noWrap w:val="0"/>
            <w:vAlign w:val="center"/>
          </w:tcPr>
          <w:p w14:paraId="407104A9">
            <w:pPr>
              <w:spacing w:line="560" w:lineRule="exact"/>
              <w:jc w:val="center"/>
              <w:rPr>
                <w:rFonts w:hint="eastAsia" w:ascii="宋体" w:hAnsi="宋体" w:cs="宋体"/>
                <w:bCs/>
                <w:color w:val="auto"/>
                <w:sz w:val="24"/>
              </w:rPr>
            </w:pPr>
          </w:p>
        </w:tc>
      </w:tr>
    </w:tbl>
    <w:p w14:paraId="188A6A57">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w:t>
      </w:r>
    </w:p>
    <w:p w14:paraId="4F929370">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注：1、</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的投标单价报价不得超过采购预算</w:t>
      </w:r>
      <w:r>
        <w:rPr>
          <w:rFonts w:hint="eastAsia" w:ascii="宋体" w:hAnsi="宋体" w:eastAsia="宋体" w:cs="宋体"/>
          <w:color w:val="auto"/>
          <w:sz w:val="24"/>
          <w:szCs w:val="24"/>
          <w:lang w:val="en-US" w:eastAsia="zh-CN"/>
        </w:rPr>
        <w:t>和最高限价</w:t>
      </w:r>
      <w:r>
        <w:rPr>
          <w:rFonts w:hint="eastAsia" w:ascii="宋体" w:hAnsi="宋体" w:eastAsia="宋体" w:cs="宋体"/>
          <w:color w:val="auto"/>
          <w:sz w:val="24"/>
          <w:szCs w:val="24"/>
        </w:rPr>
        <w:t>，否则按无效文件处理。</w:t>
      </w:r>
    </w:p>
    <w:p w14:paraId="68E503EF">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2、本表应保证竞争性磋商响应文件的正、副本中仍有此表且一致。</w:t>
      </w:r>
    </w:p>
    <w:p w14:paraId="15CAC173">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3、报价精确到小数点后两位。</w:t>
      </w:r>
    </w:p>
    <w:p w14:paraId="31D72ED1">
      <w:pPr>
        <w:ind w:firstLine="240" w:firstLineChars="100"/>
        <w:rPr>
          <w:rFonts w:hint="eastAsia" w:ascii="宋体" w:hAnsi="宋体" w:eastAsia="宋体" w:cs="宋体"/>
          <w:color w:val="FF0000"/>
          <w:sz w:val="24"/>
          <w:szCs w:val="24"/>
        </w:rPr>
      </w:pPr>
    </w:p>
    <w:p w14:paraId="4A239756">
      <w:pPr>
        <w:ind w:firstLine="240" w:firstLineChars="100"/>
        <w:rPr>
          <w:rFonts w:hint="eastAsia" w:ascii="宋体" w:hAnsi="宋体" w:eastAsia="宋体" w:cs="宋体"/>
          <w:color w:val="auto"/>
          <w:sz w:val="24"/>
          <w:szCs w:val="24"/>
        </w:rPr>
      </w:pPr>
    </w:p>
    <w:p w14:paraId="614D8A60">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：（盖章）</w:t>
      </w:r>
      <w:r>
        <w:rPr>
          <w:rFonts w:hint="eastAsia" w:ascii="宋体" w:hAnsi="宋体" w:eastAsia="宋体" w:cs="宋体"/>
          <w:color w:val="auto"/>
          <w:sz w:val="24"/>
          <w:szCs w:val="24"/>
          <w:u w:val="single"/>
        </w:rPr>
        <w:t>                            </w:t>
      </w:r>
    </w:p>
    <w:p w14:paraId="00289CD8">
      <w:pPr>
        <w:rPr>
          <w:rFonts w:hint="eastAsia" w:ascii="宋体" w:hAnsi="宋体" w:eastAsia="宋体" w:cs="宋体"/>
          <w:color w:val="auto"/>
          <w:sz w:val="24"/>
          <w:szCs w:val="24"/>
        </w:rPr>
      </w:pPr>
    </w:p>
    <w:p w14:paraId="282DE8F7">
      <w:pPr>
        <w:ind w:firstLine="240" w:firstLineChars="100"/>
        <w:rPr>
          <w:rFonts w:hint="eastAsia" w:ascii="宋体" w:hAnsi="宋体" w:eastAsia="宋体" w:cs="宋体"/>
          <w:color w:val="auto"/>
          <w:sz w:val="24"/>
          <w:szCs w:val="24"/>
        </w:rPr>
      </w:pPr>
    </w:p>
    <w:p w14:paraId="062B9E0C">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w:t>
      </w:r>
    </w:p>
    <w:p w14:paraId="6D15E59E">
      <w:pPr>
        <w:rPr>
          <w:rFonts w:hint="eastAsia" w:ascii="宋体" w:hAnsi="宋体" w:eastAsia="宋体" w:cs="宋体"/>
          <w:color w:val="auto"/>
          <w:sz w:val="24"/>
          <w:szCs w:val="24"/>
        </w:rPr>
      </w:pPr>
    </w:p>
    <w:p w14:paraId="7379E3D5">
      <w:pPr>
        <w:ind w:firstLine="4480"/>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8AFBB0A">
      <w:pPr>
        <w:wordWrap w:val="0"/>
        <w:ind w:firstLine="4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307DE629">
      <w:pPr>
        <w:pStyle w:val="8"/>
        <w:rPr>
          <w:rFonts w:hint="eastAsia" w:ascii="宋体" w:hAnsi="宋体" w:eastAsia="宋体" w:cs="宋体"/>
          <w:color w:val="auto"/>
        </w:rPr>
      </w:pPr>
    </w:p>
    <w:p w14:paraId="74827898">
      <w:pPr>
        <w:spacing w:line="600" w:lineRule="exact"/>
        <w:jc w:val="center"/>
        <w:rPr>
          <w:rFonts w:hint="eastAsia" w:ascii="宋体" w:hAnsi="宋体" w:eastAsia="宋体" w:cs="宋体"/>
          <w:b/>
          <w:bCs/>
          <w:color w:val="auto"/>
          <w:sz w:val="24"/>
          <w:szCs w:val="24"/>
        </w:rPr>
        <w:sectPr>
          <w:pgSz w:w="11906" w:h="16838"/>
          <w:pgMar w:top="1440" w:right="1463" w:bottom="1440" w:left="1463" w:header="851" w:footer="992" w:gutter="0"/>
          <w:cols w:space="720" w:num="1"/>
          <w:rtlGutter w:val="0"/>
          <w:docGrid w:type="lines" w:linePitch="312" w:charSpace="0"/>
        </w:sectPr>
      </w:pPr>
    </w:p>
    <w:p w14:paraId="1509B790">
      <w:pPr>
        <w:spacing w:line="6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四、分项报价表</w:t>
      </w:r>
    </w:p>
    <w:tbl>
      <w:tblPr>
        <w:tblStyle w:val="23"/>
        <w:tblW w:w="4997" w:type="pct"/>
        <w:jc w:val="center"/>
        <w:tblLayout w:type="autofit"/>
        <w:tblCellMar>
          <w:top w:w="15" w:type="dxa"/>
          <w:left w:w="15" w:type="dxa"/>
          <w:bottom w:w="15" w:type="dxa"/>
          <w:right w:w="15" w:type="dxa"/>
        </w:tblCellMar>
      </w:tblPr>
      <w:tblGrid>
        <w:gridCol w:w="595"/>
        <w:gridCol w:w="1531"/>
        <w:gridCol w:w="998"/>
        <w:gridCol w:w="1385"/>
        <w:gridCol w:w="1234"/>
        <w:gridCol w:w="1622"/>
        <w:gridCol w:w="1626"/>
      </w:tblGrid>
      <w:tr w14:paraId="7B5037D2">
        <w:trPr>
          <w:trHeight w:val="1799" w:hRule="atLeast"/>
          <w:jc w:val="center"/>
        </w:trPr>
        <w:tc>
          <w:tcPr>
            <w:tcW w:w="331" w:type="pct"/>
            <w:tcBorders>
              <w:top w:val="single" w:color="000000" w:sz="6" w:space="0"/>
              <w:left w:val="single" w:color="000000" w:sz="6" w:space="0"/>
              <w:bottom w:val="single" w:color="auto" w:sz="4" w:space="0"/>
            </w:tcBorders>
            <w:noWrap w:val="0"/>
            <w:tcMar>
              <w:top w:w="0" w:type="dxa"/>
              <w:left w:w="0" w:type="dxa"/>
              <w:bottom w:w="0" w:type="dxa"/>
              <w:right w:w="0" w:type="dxa"/>
            </w:tcMar>
            <w:vAlign w:val="center"/>
          </w:tcPr>
          <w:p w14:paraId="1BE7382A">
            <w:pPr>
              <w:spacing w:after="0"/>
              <w:jc w:val="center"/>
              <w:rPr>
                <w:b/>
                <w:color w:val="auto"/>
                <w:sz w:val="24"/>
                <w:szCs w:val="24"/>
              </w:rPr>
            </w:pPr>
            <w:r>
              <w:rPr>
                <w:rFonts w:hint="eastAsia"/>
                <w:b/>
                <w:color w:val="auto"/>
                <w:sz w:val="24"/>
                <w:szCs w:val="24"/>
              </w:rPr>
              <w:t>序号</w:t>
            </w:r>
          </w:p>
        </w:tc>
        <w:tc>
          <w:tcPr>
            <w:tcW w:w="851" w:type="pct"/>
            <w:tcBorders>
              <w:top w:val="single" w:color="000000" w:sz="6" w:space="0"/>
              <w:left w:val="single" w:color="000000" w:sz="6" w:space="0"/>
              <w:bottom w:val="single" w:color="auto" w:sz="4" w:space="0"/>
              <w:right w:val="single" w:color="000000" w:sz="6" w:space="0"/>
            </w:tcBorders>
            <w:noWrap w:val="0"/>
            <w:tcMar>
              <w:top w:w="0" w:type="dxa"/>
              <w:left w:w="0" w:type="dxa"/>
              <w:bottom w:w="0" w:type="dxa"/>
              <w:right w:w="0" w:type="dxa"/>
            </w:tcMar>
            <w:vAlign w:val="center"/>
          </w:tcPr>
          <w:p w14:paraId="2897D714">
            <w:pPr>
              <w:spacing w:after="0"/>
              <w:jc w:val="center"/>
              <w:rPr>
                <w:b/>
                <w:color w:val="auto"/>
                <w:sz w:val="24"/>
                <w:szCs w:val="24"/>
              </w:rPr>
            </w:pPr>
            <w:r>
              <w:rPr>
                <w:rFonts w:hint="eastAsia"/>
                <w:b/>
                <w:color w:val="auto"/>
                <w:sz w:val="24"/>
                <w:szCs w:val="24"/>
                <w:lang w:eastAsia="zh-CN"/>
              </w:rPr>
              <w:t>货物</w:t>
            </w:r>
            <w:r>
              <w:rPr>
                <w:rFonts w:hint="eastAsia"/>
                <w:b/>
                <w:color w:val="auto"/>
                <w:sz w:val="24"/>
                <w:szCs w:val="24"/>
              </w:rPr>
              <w:t>名称</w:t>
            </w:r>
          </w:p>
        </w:tc>
        <w:tc>
          <w:tcPr>
            <w:tcW w:w="55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5769FBA">
            <w:pPr>
              <w:spacing w:after="0"/>
              <w:jc w:val="center"/>
              <w:rPr>
                <w:b/>
                <w:color w:val="auto"/>
                <w:sz w:val="24"/>
                <w:szCs w:val="24"/>
              </w:rPr>
            </w:pPr>
            <w:r>
              <w:rPr>
                <w:rFonts w:hint="eastAsia"/>
                <w:b/>
                <w:color w:val="auto"/>
                <w:sz w:val="24"/>
                <w:szCs w:val="24"/>
              </w:rPr>
              <w:t>规格</w:t>
            </w:r>
          </w:p>
        </w:tc>
        <w:tc>
          <w:tcPr>
            <w:tcW w:w="770"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45D46DA">
            <w:pPr>
              <w:spacing w:after="0"/>
              <w:jc w:val="center"/>
              <w:rPr>
                <w:b/>
                <w:color w:val="auto"/>
                <w:sz w:val="24"/>
                <w:szCs w:val="24"/>
              </w:rPr>
            </w:pPr>
            <w:r>
              <w:rPr>
                <w:rFonts w:hint="eastAsia"/>
                <w:b/>
                <w:color w:val="auto"/>
                <w:sz w:val="24"/>
                <w:szCs w:val="24"/>
              </w:rPr>
              <w:t>原产地及制造厂名</w:t>
            </w:r>
          </w:p>
        </w:tc>
        <w:tc>
          <w:tcPr>
            <w:tcW w:w="68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4967384">
            <w:pPr>
              <w:spacing w:after="0"/>
              <w:jc w:val="center"/>
              <w:rPr>
                <w:b/>
                <w:color w:val="auto"/>
                <w:sz w:val="24"/>
                <w:szCs w:val="24"/>
              </w:rPr>
            </w:pPr>
            <w:r>
              <w:rPr>
                <w:rFonts w:hint="eastAsia"/>
                <w:b/>
                <w:color w:val="auto"/>
                <w:sz w:val="24"/>
                <w:szCs w:val="24"/>
              </w:rPr>
              <w:t>数量</w:t>
            </w:r>
          </w:p>
          <w:p w14:paraId="5EA28AD5">
            <w:pPr>
              <w:spacing w:after="0"/>
              <w:jc w:val="center"/>
              <w:rPr>
                <w:b/>
                <w:color w:val="auto"/>
                <w:sz w:val="24"/>
                <w:szCs w:val="24"/>
              </w:rPr>
            </w:pPr>
            <w:r>
              <w:rPr>
                <w:rFonts w:hint="eastAsia"/>
                <w:b/>
                <w:color w:val="auto"/>
                <w:sz w:val="24"/>
                <w:szCs w:val="24"/>
              </w:rPr>
              <w:t>（吨）</w:t>
            </w:r>
          </w:p>
        </w:tc>
        <w:tc>
          <w:tcPr>
            <w:tcW w:w="9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3DAAD51">
            <w:pPr>
              <w:spacing w:after="0"/>
              <w:jc w:val="center"/>
              <w:rPr>
                <w:b/>
                <w:color w:val="auto"/>
                <w:sz w:val="24"/>
                <w:szCs w:val="24"/>
              </w:rPr>
            </w:pPr>
            <w:r>
              <w:rPr>
                <w:rFonts w:hint="eastAsia"/>
                <w:b/>
                <w:color w:val="auto"/>
                <w:sz w:val="24"/>
                <w:szCs w:val="24"/>
                <w:lang w:eastAsia="zh-CN"/>
              </w:rPr>
              <w:t>投标</w:t>
            </w:r>
            <w:r>
              <w:rPr>
                <w:rFonts w:hint="eastAsia"/>
                <w:b/>
                <w:color w:val="auto"/>
                <w:sz w:val="24"/>
                <w:szCs w:val="24"/>
              </w:rPr>
              <w:t>单价</w:t>
            </w:r>
          </w:p>
          <w:p w14:paraId="30710738">
            <w:pPr>
              <w:spacing w:after="0"/>
              <w:jc w:val="center"/>
              <w:rPr>
                <w:b/>
                <w:color w:val="auto"/>
                <w:sz w:val="24"/>
                <w:szCs w:val="24"/>
              </w:rPr>
            </w:pPr>
            <w:r>
              <w:rPr>
                <w:rFonts w:hint="eastAsia"/>
                <w:b/>
                <w:color w:val="auto"/>
                <w:sz w:val="24"/>
                <w:szCs w:val="24"/>
              </w:rPr>
              <w:t>（元</w:t>
            </w:r>
            <w:r>
              <w:rPr>
                <w:rFonts w:hint="eastAsia"/>
                <w:b/>
                <w:color w:val="auto"/>
                <w:sz w:val="24"/>
                <w:szCs w:val="24"/>
                <w:lang w:val="en-US" w:eastAsia="zh-CN"/>
              </w:rPr>
              <w:t>/吨</w:t>
            </w:r>
            <w:r>
              <w:rPr>
                <w:rFonts w:hint="eastAsia"/>
                <w:b/>
                <w:color w:val="auto"/>
                <w:sz w:val="24"/>
                <w:szCs w:val="24"/>
              </w:rPr>
              <w:t>）</w:t>
            </w:r>
          </w:p>
        </w:tc>
        <w:tc>
          <w:tcPr>
            <w:tcW w:w="9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F9D8DCC">
            <w:pPr>
              <w:spacing w:after="0"/>
              <w:jc w:val="center"/>
              <w:rPr>
                <w:b/>
                <w:color w:val="auto"/>
                <w:sz w:val="24"/>
                <w:szCs w:val="24"/>
              </w:rPr>
            </w:pPr>
            <w:r>
              <w:rPr>
                <w:rFonts w:hint="eastAsia"/>
                <w:b/>
                <w:color w:val="auto"/>
                <w:sz w:val="24"/>
                <w:szCs w:val="24"/>
                <w:lang w:eastAsia="zh-CN"/>
              </w:rPr>
              <w:t>投标总</w:t>
            </w:r>
            <w:r>
              <w:rPr>
                <w:rFonts w:hint="eastAsia"/>
                <w:b/>
                <w:color w:val="auto"/>
                <w:sz w:val="24"/>
                <w:szCs w:val="24"/>
              </w:rPr>
              <w:t>价</w:t>
            </w:r>
          </w:p>
          <w:p w14:paraId="641BBAC4">
            <w:pPr>
              <w:spacing w:after="0"/>
              <w:jc w:val="center"/>
              <w:rPr>
                <w:rFonts w:hint="eastAsia"/>
                <w:b/>
                <w:color w:val="auto"/>
                <w:sz w:val="24"/>
                <w:szCs w:val="24"/>
              </w:rPr>
            </w:pPr>
            <w:r>
              <w:rPr>
                <w:rFonts w:hint="eastAsia"/>
                <w:b/>
                <w:color w:val="auto"/>
                <w:sz w:val="24"/>
                <w:szCs w:val="24"/>
              </w:rPr>
              <w:t>（元）</w:t>
            </w:r>
          </w:p>
        </w:tc>
      </w:tr>
      <w:tr w14:paraId="65D3248E">
        <w:tblPrEx>
          <w:tblCellMar>
            <w:top w:w="15" w:type="dxa"/>
            <w:left w:w="15" w:type="dxa"/>
            <w:bottom w:w="15" w:type="dxa"/>
            <w:right w:w="15" w:type="dxa"/>
          </w:tblCellMar>
        </w:tblPrEx>
        <w:trPr>
          <w:trHeight w:val="1213" w:hRule="atLeast"/>
          <w:jc w:val="center"/>
        </w:trPr>
        <w:tc>
          <w:tcPr>
            <w:tcW w:w="331" w:type="pct"/>
            <w:tcBorders>
              <w:top w:val="single" w:color="auto" w:sz="4" w:space="0"/>
              <w:left w:val="single" w:color="000000" w:sz="6" w:space="0"/>
            </w:tcBorders>
            <w:noWrap w:val="0"/>
            <w:vAlign w:val="center"/>
          </w:tcPr>
          <w:p w14:paraId="0AF71F13">
            <w:pPr>
              <w:spacing w:after="0"/>
              <w:jc w:val="center"/>
              <w:rPr>
                <w:rFonts w:ascii="宋体" w:hAnsi="宋体" w:eastAsia="宋体" w:cs="宋体"/>
                <w:color w:val="auto"/>
                <w:sz w:val="24"/>
              </w:rPr>
            </w:pPr>
            <w:r>
              <w:rPr>
                <w:rFonts w:hint="eastAsia" w:ascii="宋体" w:hAnsi="宋体" w:eastAsia="宋体" w:cs="宋体"/>
                <w:color w:val="auto"/>
                <w:sz w:val="24"/>
              </w:rPr>
              <w:t>1</w:t>
            </w:r>
          </w:p>
        </w:tc>
        <w:tc>
          <w:tcPr>
            <w:tcW w:w="851" w:type="pct"/>
            <w:tcBorders>
              <w:top w:val="single" w:color="auto" w:sz="4"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E484CE8">
            <w:pPr>
              <w:spacing w:after="0"/>
              <w:jc w:val="center"/>
              <w:rPr>
                <w:rFonts w:ascii="宋体" w:hAnsi="宋体" w:eastAsia="宋体" w:cs="宋体"/>
                <w:color w:val="auto"/>
                <w:sz w:val="24"/>
              </w:rPr>
            </w:pPr>
          </w:p>
        </w:tc>
        <w:tc>
          <w:tcPr>
            <w:tcW w:w="55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1B1B7B1">
            <w:pPr>
              <w:spacing w:after="0"/>
              <w:jc w:val="center"/>
              <w:rPr>
                <w:rFonts w:ascii="宋体" w:hAnsi="宋体" w:eastAsia="宋体" w:cs="宋体"/>
                <w:color w:val="auto"/>
                <w:sz w:val="24"/>
              </w:rPr>
            </w:pPr>
          </w:p>
        </w:tc>
        <w:tc>
          <w:tcPr>
            <w:tcW w:w="770"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C41AD58">
            <w:pPr>
              <w:spacing w:after="0"/>
              <w:jc w:val="center"/>
              <w:rPr>
                <w:rFonts w:ascii="宋体" w:hAnsi="宋体" w:eastAsia="宋体" w:cs="宋体"/>
                <w:color w:val="auto"/>
                <w:sz w:val="24"/>
              </w:rPr>
            </w:pPr>
          </w:p>
        </w:tc>
        <w:tc>
          <w:tcPr>
            <w:tcW w:w="68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CD350E0">
            <w:pPr>
              <w:spacing w:after="0"/>
              <w:jc w:val="center"/>
              <w:rPr>
                <w:rFonts w:hint="default" w:ascii="宋体" w:hAnsi="宋体" w:eastAsia="宋体" w:cs="宋体"/>
                <w:color w:val="auto"/>
                <w:sz w:val="24"/>
                <w:lang w:val="en-US" w:eastAsia="zh-CN"/>
              </w:rPr>
            </w:pPr>
          </w:p>
        </w:tc>
        <w:tc>
          <w:tcPr>
            <w:tcW w:w="9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41A7EEF">
            <w:pPr>
              <w:spacing w:after="0"/>
              <w:jc w:val="center"/>
              <w:rPr>
                <w:rFonts w:ascii="宋体" w:hAnsi="宋体" w:eastAsia="宋体" w:cs="宋体"/>
                <w:color w:val="auto"/>
                <w:sz w:val="24"/>
              </w:rPr>
            </w:pPr>
          </w:p>
        </w:tc>
        <w:tc>
          <w:tcPr>
            <w:tcW w:w="9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5F20666">
            <w:pPr>
              <w:spacing w:after="0"/>
              <w:jc w:val="center"/>
              <w:rPr>
                <w:rFonts w:ascii="宋体" w:hAnsi="宋体" w:eastAsia="宋体" w:cs="宋体"/>
                <w:color w:val="auto"/>
                <w:sz w:val="24"/>
              </w:rPr>
            </w:pPr>
          </w:p>
        </w:tc>
      </w:tr>
      <w:tr w14:paraId="012CFC60">
        <w:tblPrEx>
          <w:tblCellMar>
            <w:top w:w="15" w:type="dxa"/>
            <w:left w:w="15" w:type="dxa"/>
            <w:bottom w:w="15" w:type="dxa"/>
            <w:right w:w="15" w:type="dxa"/>
          </w:tblCellMar>
        </w:tblPrEx>
        <w:trPr>
          <w:trHeight w:val="1161" w:hRule="atLeast"/>
          <w:jc w:val="center"/>
        </w:trPr>
        <w:tc>
          <w:tcPr>
            <w:tcW w:w="1182" w:type="pct"/>
            <w:gridSpan w:val="2"/>
            <w:tcBorders>
              <w:top w:val="single" w:color="000000" w:sz="6" w:space="0"/>
              <w:left w:val="single" w:color="000000" w:sz="6" w:space="0"/>
              <w:bottom w:val="single" w:color="000000" w:sz="6" w:space="0"/>
            </w:tcBorders>
            <w:noWrap w:val="0"/>
            <w:tcMar>
              <w:top w:w="0" w:type="dxa"/>
              <w:left w:w="0" w:type="dxa"/>
              <w:bottom w:w="0" w:type="dxa"/>
              <w:right w:w="0" w:type="dxa"/>
            </w:tcMar>
            <w:vAlign w:val="center"/>
          </w:tcPr>
          <w:p w14:paraId="78D1D41E">
            <w:pPr>
              <w:spacing w:after="0"/>
              <w:jc w:val="center"/>
              <w:rPr>
                <w:rFonts w:ascii="宋体" w:hAnsi="宋体" w:eastAsia="宋体" w:cs="宋体"/>
                <w:color w:val="auto"/>
                <w:sz w:val="24"/>
              </w:rPr>
            </w:pPr>
            <w:r>
              <w:rPr>
                <w:rFonts w:hint="eastAsia" w:ascii="宋体" w:hAnsi="宋体" w:eastAsia="宋体" w:cs="宋体"/>
                <w:color w:val="auto"/>
                <w:sz w:val="24"/>
              </w:rPr>
              <w:t>备注</w:t>
            </w:r>
          </w:p>
        </w:tc>
        <w:tc>
          <w:tcPr>
            <w:tcW w:w="3817"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D30A983">
            <w:pPr>
              <w:spacing w:after="0"/>
              <w:ind w:firstLine="120" w:firstLineChars="50"/>
              <w:rPr>
                <w:rFonts w:ascii="宋体" w:hAnsi="宋体" w:eastAsia="宋体" w:cs="宋体"/>
                <w:color w:val="auto"/>
                <w:sz w:val="24"/>
              </w:rPr>
            </w:pPr>
          </w:p>
        </w:tc>
      </w:tr>
    </w:tbl>
    <w:p w14:paraId="39239885">
      <w:pPr>
        <w:pStyle w:val="9"/>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注：</w:t>
      </w:r>
    </w:p>
    <w:p w14:paraId="6F5DADC8">
      <w:pPr>
        <w:pStyle w:val="9"/>
        <w:keepNext w:val="0"/>
        <w:keepLines w:val="0"/>
        <w:pageBreakBefore w:val="0"/>
        <w:widowControl w:val="0"/>
        <w:numPr>
          <w:ilvl w:val="0"/>
          <w:numId w:val="6"/>
        </w:numPr>
        <w:kinsoku/>
        <w:overflowPunct/>
        <w:topLinePunct w:val="0"/>
        <w:autoSpaceDE/>
        <w:autoSpaceDN/>
        <w:bidi w:val="0"/>
        <w:adjustRightInd/>
        <w:snapToGrid/>
        <w:spacing w:line="440" w:lineRule="exact"/>
        <w:ind w:left="210" w:leftChars="100" w:firstLine="480" w:firstLineChars="200"/>
        <w:textAlignment w:val="auto"/>
        <w:rPr>
          <w:rFonts w:ascii="宋体" w:hAnsi="宋体" w:eastAsia="宋体" w:cs="楷体"/>
          <w:color w:val="auto"/>
          <w:sz w:val="24"/>
        </w:rPr>
      </w:pPr>
      <w:r>
        <w:rPr>
          <w:rFonts w:hint="eastAsia" w:ascii="宋体" w:hAnsi="宋体" w:eastAsia="宋体" w:cs="宋体"/>
          <w:color w:val="auto"/>
          <w:sz w:val="24"/>
          <w:lang w:eastAsia="zh-CN"/>
        </w:rPr>
        <w:t>投标单价应为综合单价，综合单价是指</w:t>
      </w:r>
      <w:r>
        <w:rPr>
          <w:rFonts w:hint="eastAsia" w:ascii="宋体" w:hAnsi="宋体" w:eastAsia="宋体" w:cs="宋体"/>
          <w:color w:val="auto"/>
          <w:sz w:val="24"/>
        </w:rPr>
        <w:t>货物到达指定交货地点包括（村、组）所包含的费用，包括产品、包装、运输（含二次倒运）、装卸（含二次装卸）、存储、发货、送货、保险费（指货物运抵现场所发生的费用）、人工、机械、保险、劳保、各种税费、验收、检测、培训的一切费用等。</w:t>
      </w:r>
    </w:p>
    <w:p w14:paraId="7B68B201">
      <w:pPr>
        <w:keepNext w:val="0"/>
        <w:keepLines w:val="0"/>
        <w:pageBreakBefore w:val="0"/>
        <w:widowControl w:val="0"/>
        <w:numPr>
          <w:ilvl w:val="0"/>
          <w:numId w:val="6"/>
        </w:numPr>
        <w:shd w:val="clear" w:color="auto" w:fill="FFFFFF"/>
        <w:kinsoku/>
        <w:overflowPunct/>
        <w:topLinePunct w:val="0"/>
        <w:autoSpaceDE/>
        <w:autoSpaceDN/>
        <w:bidi w:val="0"/>
        <w:adjustRightInd/>
        <w:snapToGrid/>
        <w:spacing w:after="0" w:line="440" w:lineRule="exact"/>
        <w:ind w:left="210" w:leftChars="100" w:firstLine="480" w:firstLineChars="200"/>
        <w:jc w:val="both"/>
        <w:textAlignment w:val="auto"/>
        <w:rPr>
          <w:rFonts w:ascii="宋体" w:hAnsi="宋体" w:eastAsia="宋体" w:cs="楷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自行承担填写错误被视为无效投</w:t>
      </w:r>
      <w:r>
        <w:rPr>
          <w:rFonts w:hint="eastAsia" w:ascii="宋体" w:hAnsi="宋体" w:eastAsia="宋体" w:cs="楷体"/>
          <w:color w:val="auto"/>
          <w:sz w:val="24"/>
        </w:rPr>
        <w:t>标文件的风险。</w:t>
      </w:r>
    </w:p>
    <w:p w14:paraId="0F0F063A">
      <w:pPr>
        <w:pStyle w:val="9"/>
        <w:keepNext w:val="0"/>
        <w:keepLines w:val="0"/>
        <w:pageBreakBefore w:val="0"/>
        <w:widowControl w:val="0"/>
        <w:numPr>
          <w:ilvl w:val="0"/>
          <w:numId w:val="6"/>
        </w:numPr>
        <w:kinsoku/>
        <w:overflowPunct/>
        <w:topLinePunct w:val="0"/>
        <w:autoSpaceDE/>
        <w:autoSpaceDN/>
        <w:bidi w:val="0"/>
        <w:adjustRightInd/>
        <w:snapToGrid/>
        <w:spacing w:line="440" w:lineRule="exact"/>
        <w:ind w:left="210" w:leftChars="100" w:firstLine="480" w:firstLineChars="200"/>
        <w:textAlignment w:val="auto"/>
        <w:rPr>
          <w:rFonts w:ascii="宋体" w:hAnsi="宋体" w:eastAsia="宋体" w:cs="楷体"/>
          <w:color w:val="auto"/>
          <w:sz w:val="24"/>
        </w:rPr>
      </w:pPr>
      <w:r>
        <w:rPr>
          <w:rFonts w:hint="eastAsia" w:ascii="宋体" w:hAnsi="宋体" w:eastAsia="宋体" w:cs="楷体"/>
          <w:color w:val="auto"/>
          <w:sz w:val="24"/>
        </w:rPr>
        <w:t>此表格格式不可自行制作</w:t>
      </w:r>
      <w:r>
        <w:rPr>
          <w:rFonts w:hint="eastAsia" w:ascii="宋体" w:hAnsi="宋体" w:eastAsia="宋体" w:cs="楷体"/>
          <w:color w:val="auto"/>
          <w:sz w:val="24"/>
          <w:lang w:eastAsia="zh-CN"/>
        </w:rPr>
        <w:t>。</w:t>
      </w:r>
    </w:p>
    <w:p w14:paraId="066BA241">
      <w:pPr>
        <w:keepNext w:val="0"/>
        <w:keepLines w:val="0"/>
        <w:pageBreakBefore w:val="0"/>
        <w:widowControl w:val="0"/>
        <w:numPr>
          <w:ilvl w:val="0"/>
          <w:numId w:val="6"/>
        </w:numPr>
        <w:kinsoku/>
        <w:overflowPunct/>
        <w:topLinePunct w:val="0"/>
        <w:autoSpaceDE/>
        <w:autoSpaceDN/>
        <w:bidi w:val="0"/>
        <w:adjustRightInd/>
        <w:snapToGrid/>
        <w:spacing w:line="440" w:lineRule="exact"/>
        <w:ind w:left="210" w:leftChars="100" w:firstLine="480" w:firstLineChars="200"/>
        <w:textAlignment w:val="auto"/>
        <w:rPr>
          <w:rFonts w:hint="default" w:ascii="宋体" w:hAnsi="宋体" w:eastAsia="宋体" w:cs="楷体"/>
          <w:color w:val="auto"/>
          <w:sz w:val="24"/>
          <w:lang w:val="en-US" w:eastAsia="zh-CN"/>
        </w:rPr>
      </w:pPr>
      <w:r>
        <w:rPr>
          <w:rFonts w:hint="eastAsia" w:ascii="宋体" w:hAnsi="宋体" w:eastAsia="宋体" w:cs="宋体"/>
          <w:color w:val="auto"/>
          <w:sz w:val="24"/>
          <w:lang w:eastAsia="zh-CN"/>
        </w:rPr>
        <w:t>投标报价需保留两位有效小数。</w:t>
      </w:r>
    </w:p>
    <w:p w14:paraId="47013690">
      <w:pPr>
        <w:keepNext w:val="0"/>
        <w:keepLines w:val="0"/>
        <w:pageBreakBefore w:val="0"/>
        <w:widowControl w:val="0"/>
        <w:kinsoku/>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 ：（盖章）</w:t>
      </w:r>
      <w:r>
        <w:rPr>
          <w:rFonts w:hint="eastAsia" w:ascii="宋体" w:hAnsi="宋体" w:eastAsia="宋体" w:cs="宋体"/>
          <w:color w:val="auto"/>
          <w:sz w:val="24"/>
          <w:szCs w:val="24"/>
          <w:u w:val="single"/>
        </w:rPr>
        <w:t>              </w:t>
      </w:r>
    </w:p>
    <w:p w14:paraId="5996F82C">
      <w:pPr>
        <w:keepNext w:val="0"/>
        <w:keepLines w:val="0"/>
        <w:pageBreakBefore w:val="0"/>
        <w:widowControl w:val="0"/>
        <w:kinsoku/>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w:t>
      </w:r>
    </w:p>
    <w:p w14:paraId="57C554D1">
      <w:pPr>
        <w:keepNext w:val="0"/>
        <w:keepLines w:val="0"/>
        <w:pageBreakBefore w:val="0"/>
        <w:widowControl w:val="0"/>
        <w:kinsoku/>
        <w:wordWrap w:val="0"/>
        <w:overflowPunct/>
        <w:topLinePunct w:val="0"/>
        <w:autoSpaceDE/>
        <w:autoSpaceDN/>
        <w:bidi w:val="0"/>
        <w:adjustRightInd/>
        <w:snapToGrid/>
        <w:spacing w:line="440" w:lineRule="exact"/>
        <w:ind w:firstLine="1017" w:firstLineChars="424"/>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09577C8C">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p w14:paraId="7B6EEEEF">
      <w:pPr>
        <w:spacing w:before="156" w:beforeLines="50" w:line="440" w:lineRule="exact"/>
        <w:ind w:firstLine="539"/>
        <w:rPr>
          <w:rFonts w:hint="eastAsia" w:ascii="宋体" w:hAnsi="宋体" w:eastAsia="宋体" w:cs="宋体"/>
          <w:color w:val="auto"/>
          <w:sz w:val="24"/>
          <w:szCs w:val="24"/>
        </w:rPr>
        <w:sectPr>
          <w:pgSz w:w="11906" w:h="16838"/>
          <w:pgMar w:top="1440" w:right="1463" w:bottom="1440" w:left="1463" w:header="851" w:footer="992" w:gutter="0"/>
          <w:cols w:space="720" w:num="1"/>
          <w:rtlGutter w:val="0"/>
          <w:docGrid w:type="lines" w:linePitch="312" w:charSpace="0"/>
        </w:sectPr>
      </w:pPr>
    </w:p>
    <w:p w14:paraId="2B45DC8A">
      <w:pPr>
        <w:spacing w:after="312" w:afterLines="100" w:line="52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五、技术规格响应偏离表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636"/>
        <w:gridCol w:w="2472"/>
        <w:gridCol w:w="2658"/>
        <w:gridCol w:w="1748"/>
      </w:tblGrid>
      <w:tr w14:paraId="3DA4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center"/>
          </w:tcPr>
          <w:p w14:paraId="29C3E05D">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472" w:type="dxa"/>
            <w:noWrap w:val="0"/>
            <w:tcMar>
              <w:top w:w="28" w:type="dxa"/>
              <w:left w:w="57" w:type="dxa"/>
              <w:bottom w:w="28" w:type="dxa"/>
              <w:right w:w="57" w:type="dxa"/>
            </w:tcMar>
            <w:vAlign w:val="center"/>
          </w:tcPr>
          <w:p w14:paraId="217899DE">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磋商文件</w:t>
            </w:r>
            <w:r>
              <w:rPr>
                <w:rFonts w:hint="eastAsia" w:ascii="宋体" w:hAnsi="宋体" w:eastAsia="宋体" w:cs="宋体"/>
                <w:b/>
                <w:color w:val="auto"/>
                <w:sz w:val="24"/>
                <w:szCs w:val="24"/>
                <w:lang w:val="en-US" w:eastAsia="zh-CN"/>
              </w:rPr>
              <w:t>要求</w:t>
            </w:r>
          </w:p>
        </w:tc>
        <w:tc>
          <w:tcPr>
            <w:tcW w:w="2658" w:type="dxa"/>
            <w:noWrap w:val="0"/>
            <w:tcMar>
              <w:top w:w="28" w:type="dxa"/>
              <w:left w:w="57" w:type="dxa"/>
              <w:bottom w:w="28" w:type="dxa"/>
              <w:right w:w="57" w:type="dxa"/>
            </w:tcMar>
            <w:vAlign w:val="center"/>
          </w:tcPr>
          <w:p w14:paraId="770F210A">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响应</w:t>
            </w:r>
            <w:r>
              <w:rPr>
                <w:rFonts w:hint="eastAsia" w:ascii="宋体" w:hAnsi="宋体" w:eastAsia="宋体" w:cs="宋体"/>
                <w:b/>
                <w:color w:val="auto"/>
                <w:sz w:val="24"/>
                <w:szCs w:val="24"/>
              </w:rPr>
              <w:t>文件</w:t>
            </w:r>
            <w:r>
              <w:rPr>
                <w:rFonts w:hint="eastAsia" w:ascii="宋体" w:hAnsi="宋体" w:eastAsia="宋体" w:cs="宋体"/>
                <w:b/>
                <w:color w:val="auto"/>
                <w:sz w:val="24"/>
                <w:szCs w:val="24"/>
                <w:lang w:val="en-US" w:eastAsia="zh-CN"/>
              </w:rPr>
              <w:t>响应</w:t>
            </w:r>
          </w:p>
        </w:tc>
        <w:tc>
          <w:tcPr>
            <w:tcW w:w="1748" w:type="dxa"/>
            <w:noWrap w:val="0"/>
            <w:tcMar>
              <w:top w:w="28" w:type="dxa"/>
              <w:left w:w="57" w:type="dxa"/>
              <w:bottom w:w="28" w:type="dxa"/>
              <w:right w:w="57" w:type="dxa"/>
            </w:tcMar>
            <w:vAlign w:val="center"/>
          </w:tcPr>
          <w:p w14:paraId="76F1A60A">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偏离度</w:t>
            </w:r>
          </w:p>
        </w:tc>
      </w:tr>
      <w:tr w14:paraId="168C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73FE1496">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48894E34">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6A30E79A">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34DDE1A2">
            <w:pPr>
              <w:rPr>
                <w:rFonts w:hint="eastAsia" w:ascii="宋体" w:hAnsi="宋体" w:eastAsia="宋体" w:cs="宋体"/>
                <w:color w:val="auto"/>
                <w:sz w:val="24"/>
                <w:szCs w:val="24"/>
              </w:rPr>
            </w:pPr>
          </w:p>
        </w:tc>
      </w:tr>
      <w:tr w14:paraId="4D54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07" w:hRule="exact"/>
          <w:jc w:val="center"/>
        </w:trPr>
        <w:tc>
          <w:tcPr>
            <w:tcW w:w="1636" w:type="dxa"/>
            <w:noWrap w:val="0"/>
            <w:tcMar>
              <w:top w:w="28" w:type="dxa"/>
              <w:left w:w="57" w:type="dxa"/>
              <w:bottom w:w="28" w:type="dxa"/>
              <w:right w:w="57" w:type="dxa"/>
            </w:tcMar>
            <w:vAlign w:val="top"/>
          </w:tcPr>
          <w:p w14:paraId="0009A55C">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2B3A0ADA">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25C6F342">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1A63907E">
            <w:pPr>
              <w:rPr>
                <w:rFonts w:hint="eastAsia" w:ascii="宋体" w:hAnsi="宋体" w:eastAsia="宋体" w:cs="宋体"/>
                <w:color w:val="auto"/>
                <w:sz w:val="24"/>
                <w:szCs w:val="24"/>
              </w:rPr>
            </w:pPr>
          </w:p>
        </w:tc>
      </w:tr>
      <w:tr w14:paraId="1670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7B8B4DC9">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5FBAAB2F">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774F86E7">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4A10F0F6">
            <w:pPr>
              <w:rPr>
                <w:rFonts w:hint="eastAsia" w:ascii="宋体" w:hAnsi="宋体" w:eastAsia="宋体" w:cs="宋体"/>
                <w:color w:val="auto"/>
                <w:sz w:val="24"/>
                <w:szCs w:val="24"/>
              </w:rPr>
            </w:pPr>
          </w:p>
        </w:tc>
      </w:tr>
      <w:tr w14:paraId="5DA7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12ABA3AE">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1B92B857">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3629E12E">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303DED54">
            <w:pPr>
              <w:rPr>
                <w:rFonts w:hint="eastAsia" w:ascii="宋体" w:hAnsi="宋体" w:eastAsia="宋体" w:cs="宋体"/>
                <w:color w:val="auto"/>
                <w:sz w:val="24"/>
                <w:szCs w:val="24"/>
              </w:rPr>
            </w:pPr>
          </w:p>
        </w:tc>
      </w:tr>
      <w:tr w14:paraId="7B15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3DE39F0A">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6E478F62">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6B8F17AB">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0A40C4E7">
            <w:pPr>
              <w:rPr>
                <w:rFonts w:hint="eastAsia" w:ascii="宋体" w:hAnsi="宋体" w:eastAsia="宋体" w:cs="宋体"/>
                <w:color w:val="auto"/>
                <w:sz w:val="24"/>
                <w:szCs w:val="24"/>
              </w:rPr>
            </w:pPr>
          </w:p>
        </w:tc>
      </w:tr>
      <w:tr w14:paraId="11B4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3725D4F1">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10F76580">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4340CBB2">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3B3B6B0D">
            <w:pPr>
              <w:rPr>
                <w:rFonts w:hint="eastAsia" w:ascii="宋体" w:hAnsi="宋体" w:eastAsia="宋体" w:cs="宋体"/>
                <w:color w:val="auto"/>
                <w:sz w:val="24"/>
                <w:szCs w:val="24"/>
              </w:rPr>
            </w:pPr>
          </w:p>
        </w:tc>
      </w:tr>
      <w:tr w14:paraId="7069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0A5C8AD2">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398A83D8">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5A4F143C">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15CA839E">
            <w:pPr>
              <w:rPr>
                <w:rFonts w:hint="eastAsia" w:ascii="宋体" w:hAnsi="宋体" w:eastAsia="宋体" w:cs="宋体"/>
                <w:color w:val="auto"/>
                <w:sz w:val="24"/>
                <w:szCs w:val="24"/>
              </w:rPr>
            </w:pPr>
          </w:p>
        </w:tc>
      </w:tr>
      <w:tr w14:paraId="4281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21D0B813">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13B01235">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14EB240C">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175E205C">
            <w:pPr>
              <w:rPr>
                <w:rFonts w:hint="eastAsia" w:ascii="宋体" w:hAnsi="宋体" w:eastAsia="宋体" w:cs="宋体"/>
                <w:color w:val="auto"/>
                <w:sz w:val="24"/>
                <w:szCs w:val="24"/>
              </w:rPr>
            </w:pPr>
          </w:p>
        </w:tc>
      </w:tr>
      <w:tr w14:paraId="7452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12D75F16">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57E2AA18">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275D5267">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1B559381">
            <w:pPr>
              <w:rPr>
                <w:rFonts w:hint="eastAsia" w:ascii="宋体" w:hAnsi="宋体" w:eastAsia="宋体" w:cs="宋体"/>
                <w:color w:val="auto"/>
                <w:sz w:val="24"/>
                <w:szCs w:val="24"/>
              </w:rPr>
            </w:pPr>
          </w:p>
        </w:tc>
      </w:tr>
      <w:tr w14:paraId="5BA0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3E0779E1">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44855D02">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1A032AEF">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7A7C1FC5">
            <w:pPr>
              <w:rPr>
                <w:rFonts w:hint="eastAsia" w:ascii="宋体" w:hAnsi="宋体" w:eastAsia="宋体" w:cs="宋体"/>
                <w:color w:val="auto"/>
                <w:sz w:val="24"/>
                <w:szCs w:val="24"/>
              </w:rPr>
            </w:pPr>
          </w:p>
        </w:tc>
      </w:tr>
      <w:tr w14:paraId="2C07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045FB875">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37C47ABE">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4D645EFD">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76688060">
            <w:pPr>
              <w:rPr>
                <w:rFonts w:hint="eastAsia" w:ascii="宋体" w:hAnsi="宋体" w:eastAsia="宋体" w:cs="宋体"/>
                <w:color w:val="auto"/>
                <w:sz w:val="24"/>
                <w:szCs w:val="24"/>
              </w:rPr>
            </w:pPr>
          </w:p>
        </w:tc>
      </w:tr>
      <w:tr w14:paraId="1939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7C6808C8">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4A957473">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1CD8D24B">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702D5D57">
            <w:pPr>
              <w:rPr>
                <w:rFonts w:hint="eastAsia" w:ascii="宋体" w:hAnsi="宋体" w:eastAsia="宋体" w:cs="宋体"/>
                <w:color w:val="auto"/>
                <w:sz w:val="24"/>
                <w:szCs w:val="24"/>
              </w:rPr>
            </w:pPr>
          </w:p>
        </w:tc>
      </w:tr>
      <w:tr w14:paraId="7405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74B98F37">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08CDE85D">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467B0B52">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57382F6C">
            <w:pPr>
              <w:rPr>
                <w:rFonts w:hint="eastAsia" w:ascii="宋体" w:hAnsi="宋体" w:eastAsia="宋体" w:cs="宋体"/>
                <w:color w:val="auto"/>
                <w:sz w:val="24"/>
                <w:szCs w:val="24"/>
              </w:rPr>
            </w:pPr>
          </w:p>
        </w:tc>
      </w:tr>
      <w:tr w14:paraId="7430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05BE6778">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5DBA4812">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002643CB">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63432300">
            <w:pPr>
              <w:rPr>
                <w:rFonts w:hint="eastAsia" w:ascii="宋体" w:hAnsi="宋体" w:eastAsia="宋体" w:cs="宋体"/>
                <w:color w:val="auto"/>
                <w:sz w:val="24"/>
                <w:szCs w:val="24"/>
              </w:rPr>
            </w:pPr>
          </w:p>
        </w:tc>
      </w:tr>
      <w:tr w14:paraId="7CA2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21EB6FF2">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25D990F4">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1AD4853D">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7A9F9988">
            <w:pPr>
              <w:rPr>
                <w:rFonts w:hint="eastAsia" w:ascii="宋体" w:hAnsi="宋体" w:eastAsia="宋体" w:cs="宋体"/>
                <w:color w:val="auto"/>
                <w:sz w:val="24"/>
                <w:szCs w:val="24"/>
              </w:rPr>
            </w:pPr>
          </w:p>
        </w:tc>
      </w:tr>
      <w:tr w14:paraId="28D6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636" w:type="dxa"/>
            <w:noWrap w:val="0"/>
            <w:tcMar>
              <w:top w:w="28" w:type="dxa"/>
              <w:left w:w="57" w:type="dxa"/>
              <w:bottom w:w="28" w:type="dxa"/>
              <w:right w:w="57" w:type="dxa"/>
            </w:tcMar>
            <w:vAlign w:val="top"/>
          </w:tcPr>
          <w:p w14:paraId="2F3893DA">
            <w:pPr>
              <w:rPr>
                <w:rFonts w:hint="eastAsia" w:ascii="宋体" w:hAnsi="宋体" w:eastAsia="宋体" w:cs="宋体"/>
                <w:color w:val="auto"/>
                <w:sz w:val="24"/>
                <w:szCs w:val="24"/>
              </w:rPr>
            </w:pPr>
          </w:p>
        </w:tc>
        <w:tc>
          <w:tcPr>
            <w:tcW w:w="2472" w:type="dxa"/>
            <w:noWrap w:val="0"/>
            <w:tcMar>
              <w:top w:w="28" w:type="dxa"/>
              <w:left w:w="57" w:type="dxa"/>
              <w:bottom w:w="28" w:type="dxa"/>
              <w:right w:w="57" w:type="dxa"/>
            </w:tcMar>
            <w:vAlign w:val="top"/>
          </w:tcPr>
          <w:p w14:paraId="39039F2D">
            <w:pPr>
              <w:rPr>
                <w:rFonts w:hint="eastAsia" w:ascii="宋体" w:hAnsi="宋体" w:eastAsia="宋体" w:cs="宋体"/>
                <w:color w:val="auto"/>
                <w:sz w:val="24"/>
                <w:szCs w:val="24"/>
              </w:rPr>
            </w:pPr>
          </w:p>
        </w:tc>
        <w:tc>
          <w:tcPr>
            <w:tcW w:w="2658" w:type="dxa"/>
            <w:noWrap w:val="0"/>
            <w:tcMar>
              <w:top w:w="28" w:type="dxa"/>
              <w:left w:w="57" w:type="dxa"/>
              <w:bottom w:w="28" w:type="dxa"/>
              <w:right w:w="57" w:type="dxa"/>
            </w:tcMar>
            <w:vAlign w:val="top"/>
          </w:tcPr>
          <w:p w14:paraId="75384D87">
            <w:pPr>
              <w:rPr>
                <w:rFonts w:hint="eastAsia" w:ascii="宋体" w:hAnsi="宋体" w:eastAsia="宋体" w:cs="宋体"/>
                <w:color w:val="auto"/>
                <w:sz w:val="24"/>
                <w:szCs w:val="24"/>
              </w:rPr>
            </w:pPr>
          </w:p>
        </w:tc>
        <w:tc>
          <w:tcPr>
            <w:tcW w:w="1748" w:type="dxa"/>
            <w:noWrap w:val="0"/>
            <w:tcMar>
              <w:top w:w="28" w:type="dxa"/>
              <w:left w:w="57" w:type="dxa"/>
              <w:bottom w:w="28" w:type="dxa"/>
              <w:right w:w="57" w:type="dxa"/>
            </w:tcMar>
            <w:vAlign w:val="top"/>
          </w:tcPr>
          <w:p w14:paraId="60A50698">
            <w:pPr>
              <w:rPr>
                <w:rFonts w:hint="eastAsia" w:ascii="宋体" w:hAnsi="宋体" w:eastAsia="宋体" w:cs="宋体"/>
                <w:color w:val="auto"/>
                <w:sz w:val="24"/>
                <w:szCs w:val="24"/>
              </w:rPr>
            </w:pPr>
          </w:p>
        </w:tc>
      </w:tr>
    </w:tbl>
    <w:p w14:paraId="1ED2D9E6">
      <w:pPr>
        <w:pStyle w:val="14"/>
        <w:spacing w:line="360" w:lineRule="auto"/>
        <w:ind w:firstLine="241" w:firstLineChars="100"/>
        <w:rPr>
          <w:rFonts w:hint="eastAsia" w:ascii="宋体" w:hAnsi="宋体" w:eastAsia="宋体" w:cs="宋体"/>
          <w:b/>
          <w:bCs/>
          <w:color w:val="auto"/>
          <w:sz w:val="24"/>
          <w:szCs w:val="24"/>
        </w:rPr>
      </w:pPr>
      <w:r>
        <w:rPr>
          <w:rFonts w:hint="eastAsia" w:ascii="宋体" w:hAnsi="宋体" w:eastAsia="宋体" w:cs="宋体"/>
          <w:b/>
          <w:bCs/>
          <w:color w:val="auto"/>
          <w:sz w:val="24"/>
          <w:szCs w:val="24"/>
        </w:rPr>
        <w:t>注：请按所投项目的实际技术参数，逐条对应</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文件的“技术参数”认真填写本表。偏</w:t>
      </w:r>
      <w:r>
        <w:rPr>
          <w:rFonts w:hint="eastAsia" w:ascii="宋体" w:hAnsi="宋体" w:eastAsia="宋体" w:cs="宋体"/>
          <w:b/>
          <w:bCs/>
          <w:color w:val="auto"/>
          <w:sz w:val="24"/>
          <w:szCs w:val="24"/>
          <w:lang w:eastAsia="zh-CN"/>
        </w:rPr>
        <w:t>离度</w:t>
      </w:r>
      <w:r>
        <w:rPr>
          <w:rFonts w:hint="eastAsia" w:ascii="宋体" w:hAnsi="宋体" w:eastAsia="宋体" w:cs="宋体"/>
          <w:b/>
          <w:bCs/>
          <w:color w:val="auto"/>
          <w:sz w:val="24"/>
          <w:szCs w:val="24"/>
        </w:rPr>
        <w:t>填写：优于、等于、低于。</w:t>
      </w:r>
    </w:p>
    <w:p w14:paraId="31BD00C4">
      <w:pPr>
        <w:rPr>
          <w:rFonts w:hint="eastAsia" w:ascii="宋体" w:hAnsi="宋体" w:eastAsia="宋体" w:cs="宋体"/>
          <w:b/>
          <w:bCs/>
          <w:color w:val="auto"/>
          <w:sz w:val="24"/>
          <w:szCs w:val="24"/>
        </w:rPr>
      </w:pPr>
    </w:p>
    <w:p w14:paraId="2020D653">
      <w:pPr>
        <w:spacing w:line="440" w:lineRule="exact"/>
        <w:ind w:firstLine="240" w:firstLineChars="100"/>
        <w:rPr>
          <w:rFonts w:hint="eastAsia" w:ascii="宋体" w:hAnsi="宋体" w:eastAsia="宋体" w:cs="宋体"/>
          <w:color w:val="auto"/>
          <w:sz w:val="24"/>
          <w:szCs w:val="24"/>
        </w:rPr>
      </w:pPr>
    </w:p>
    <w:p w14:paraId="613F6805">
      <w:pPr>
        <w:spacing w:line="44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：（盖章）</w:t>
      </w:r>
      <w:r>
        <w:rPr>
          <w:rFonts w:hint="eastAsia" w:ascii="宋体" w:hAnsi="宋体" w:eastAsia="宋体" w:cs="宋体"/>
          <w:color w:val="auto"/>
          <w:sz w:val="24"/>
          <w:szCs w:val="24"/>
          <w:u w:val="single"/>
        </w:rPr>
        <w:t>               </w:t>
      </w:r>
    </w:p>
    <w:p w14:paraId="70C88486">
      <w:pPr>
        <w:spacing w:line="440" w:lineRule="exact"/>
        <w:ind w:firstLine="240" w:firstLineChars="100"/>
        <w:rPr>
          <w:rFonts w:hint="eastAsia" w:ascii="宋体" w:hAnsi="宋体" w:eastAsia="宋体" w:cs="宋体"/>
          <w:color w:val="auto"/>
          <w:sz w:val="24"/>
          <w:szCs w:val="24"/>
        </w:rPr>
      </w:pPr>
    </w:p>
    <w:p w14:paraId="628DB0FF">
      <w:pPr>
        <w:spacing w:line="44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w:t>
      </w:r>
    </w:p>
    <w:p w14:paraId="620F511A">
      <w:pPr>
        <w:spacing w:line="440" w:lineRule="exact"/>
        <w:ind w:firstLine="1017" w:firstLineChars="424"/>
        <w:jc w:val="right"/>
        <w:rPr>
          <w:rFonts w:hint="eastAsia" w:ascii="宋体" w:hAnsi="宋体" w:eastAsia="宋体" w:cs="宋体"/>
          <w:color w:val="auto"/>
          <w:sz w:val="24"/>
          <w:szCs w:val="24"/>
        </w:rPr>
      </w:pPr>
    </w:p>
    <w:p w14:paraId="2E63EE83">
      <w:pPr>
        <w:spacing w:line="44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278B76C9">
      <w:pPr>
        <w:tabs>
          <w:tab w:val="left" w:pos="210"/>
        </w:tabs>
        <w:spacing w:line="320" w:lineRule="exact"/>
        <w:jc w:val="center"/>
        <w:rPr>
          <w:rFonts w:hint="eastAsia" w:ascii="宋体" w:hAnsi="宋体" w:eastAsia="宋体" w:cs="宋体"/>
          <w:b/>
          <w:color w:val="auto"/>
          <w:sz w:val="24"/>
          <w:szCs w:val="24"/>
        </w:rPr>
        <w:sectPr>
          <w:pgSz w:w="11906" w:h="16838"/>
          <w:pgMar w:top="1440" w:right="1463" w:bottom="1440" w:left="1463" w:header="851" w:footer="992" w:gutter="0"/>
          <w:cols w:space="720" w:num="1"/>
          <w:rtlGutter w:val="0"/>
          <w:docGrid w:type="lines" w:linePitch="312" w:charSpace="0"/>
        </w:sectPr>
      </w:pPr>
    </w:p>
    <w:p w14:paraId="3685EDF3">
      <w:pPr>
        <w:spacing w:line="440" w:lineRule="exact"/>
        <w:ind w:firstLine="42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六、商务响应偏离表</w:t>
      </w:r>
    </w:p>
    <w:p w14:paraId="1119E8F9">
      <w:pPr>
        <w:spacing w:line="440" w:lineRule="exact"/>
        <w:jc w:val="center"/>
        <w:rPr>
          <w:rFonts w:hint="eastAsia" w:ascii="宋体" w:hAnsi="宋体" w:eastAsia="宋体" w:cs="宋体"/>
          <w:b/>
          <w:bCs/>
          <w:color w:val="auto"/>
          <w:sz w:val="24"/>
          <w:szCs w:val="24"/>
        </w:rPr>
      </w:pPr>
    </w:p>
    <w:p w14:paraId="30D3186F">
      <w:pPr>
        <w:rPr>
          <w:rFonts w:hint="eastAsia" w:ascii="宋体" w:hAnsi="宋体" w:eastAsia="宋体" w:cs="宋体"/>
          <w:b/>
          <w:bCs/>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19DE63E">
      <w:pPr>
        <w:pStyle w:val="9"/>
        <w:rPr>
          <w:rFonts w:hint="eastAsia" w:ascii="宋体" w:hAnsi="宋体" w:eastAsia="宋体" w:cs="宋体"/>
          <w:color w:val="auto"/>
          <w:sz w:val="24"/>
          <w:szCs w:val="24"/>
        </w:rPr>
      </w:pPr>
    </w:p>
    <w:tbl>
      <w:tblPr>
        <w:tblStyle w:val="23"/>
        <w:tblpPr w:leftFromText="180" w:rightFromText="180" w:vertAnchor="page" w:horzAnchor="margin" w:tblpY="31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2340"/>
      </w:tblGrid>
      <w:tr w14:paraId="3F0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tcBorders>
              <w:bottom w:val="single" w:color="auto" w:sz="4" w:space="0"/>
            </w:tcBorders>
            <w:noWrap w:val="0"/>
            <w:vAlign w:val="center"/>
          </w:tcPr>
          <w:p w14:paraId="04EAB19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010" w:type="dxa"/>
            <w:tcBorders>
              <w:bottom w:val="single" w:color="auto" w:sz="4" w:space="0"/>
            </w:tcBorders>
            <w:noWrap w:val="0"/>
            <w:vAlign w:val="center"/>
          </w:tcPr>
          <w:p w14:paraId="1686AC2A">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磋商文件要求</w:t>
            </w:r>
          </w:p>
        </w:tc>
        <w:tc>
          <w:tcPr>
            <w:tcW w:w="3240" w:type="dxa"/>
            <w:tcBorders>
              <w:bottom w:val="single" w:color="auto" w:sz="4" w:space="0"/>
            </w:tcBorders>
            <w:noWrap w:val="0"/>
            <w:vAlign w:val="center"/>
          </w:tcPr>
          <w:p w14:paraId="0A25341D">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响应文件响应</w:t>
            </w:r>
          </w:p>
        </w:tc>
        <w:tc>
          <w:tcPr>
            <w:tcW w:w="2340" w:type="dxa"/>
            <w:tcBorders>
              <w:bottom w:val="single" w:color="auto" w:sz="4" w:space="0"/>
            </w:tcBorders>
            <w:noWrap w:val="0"/>
            <w:vAlign w:val="center"/>
          </w:tcPr>
          <w:p w14:paraId="050FE58B">
            <w:p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偏离度</w:t>
            </w:r>
          </w:p>
        </w:tc>
      </w:tr>
      <w:tr w14:paraId="2E37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321E838C">
            <w:pPr>
              <w:spacing w:line="360" w:lineRule="auto"/>
              <w:jc w:val="center"/>
              <w:rPr>
                <w:rFonts w:hint="eastAsia" w:ascii="宋体" w:hAnsi="宋体" w:eastAsia="宋体" w:cs="宋体"/>
                <w:color w:val="auto"/>
                <w:sz w:val="24"/>
                <w:szCs w:val="24"/>
              </w:rPr>
            </w:pPr>
          </w:p>
        </w:tc>
        <w:tc>
          <w:tcPr>
            <w:tcW w:w="3010" w:type="dxa"/>
            <w:noWrap w:val="0"/>
            <w:vAlign w:val="center"/>
          </w:tcPr>
          <w:p w14:paraId="40AE595B">
            <w:pPr>
              <w:spacing w:line="360" w:lineRule="auto"/>
              <w:jc w:val="center"/>
              <w:rPr>
                <w:rFonts w:hint="eastAsia" w:ascii="宋体" w:hAnsi="宋体" w:eastAsia="宋体" w:cs="宋体"/>
                <w:color w:val="auto"/>
                <w:sz w:val="24"/>
                <w:szCs w:val="24"/>
              </w:rPr>
            </w:pPr>
          </w:p>
        </w:tc>
        <w:tc>
          <w:tcPr>
            <w:tcW w:w="3240" w:type="dxa"/>
            <w:noWrap w:val="0"/>
            <w:vAlign w:val="center"/>
          </w:tcPr>
          <w:p w14:paraId="2C9E2CE5">
            <w:pPr>
              <w:spacing w:line="360" w:lineRule="auto"/>
              <w:jc w:val="center"/>
              <w:rPr>
                <w:rFonts w:hint="eastAsia" w:ascii="宋体" w:hAnsi="宋体" w:eastAsia="宋体" w:cs="宋体"/>
                <w:color w:val="auto"/>
                <w:sz w:val="24"/>
                <w:szCs w:val="24"/>
              </w:rPr>
            </w:pPr>
          </w:p>
        </w:tc>
        <w:tc>
          <w:tcPr>
            <w:tcW w:w="2340" w:type="dxa"/>
            <w:noWrap w:val="0"/>
            <w:vAlign w:val="center"/>
          </w:tcPr>
          <w:p w14:paraId="5B894B8A">
            <w:pPr>
              <w:spacing w:line="360" w:lineRule="auto"/>
              <w:jc w:val="center"/>
              <w:rPr>
                <w:rFonts w:hint="eastAsia" w:ascii="宋体" w:hAnsi="宋体" w:eastAsia="宋体" w:cs="宋体"/>
                <w:color w:val="auto"/>
                <w:sz w:val="24"/>
                <w:szCs w:val="24"/>
              </w:rPr>
            </w:pPr>
          </w:p>
        </w:tc>
      </w:tr>
      <w:tr w14:paraId="727D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08BEC444">
            <w:pPr>
              <w:spacing w:line="360" w:lineRule="auto"/>
              <w:jc w:val="center"/>
              <w:rPr>
                <w:rFonts w:hint="eastAsia" w:ascii="宋体" w:hAnsi="宋体" w:eastAsia="宋体" w:cs="宋体"/>
                <w:color w:val="auto"/>
                <w:sz w:val="24"/>
                <w:szCs w:val="24"/>
              </w:rPr>
            </w:pPr>
          </w:p>
        </w:tc>
        <w:tc>
          <w:tcPr>
            <w:tcW w:w="3010" w:type="dxa"/>
            <w:noWrap w:val="0"/>
            <w:vAlign w:val="center"/>
          </w:tcPr>
          <w:p w14:paraId="6EA8A843">
            <w:pPr>
              <w:spacing w:line="360" w:lineRule="auto"/>
              <w:jc w:val="center"/>
              <w:rPr>
                <w:rFonts w:hint="eastAsia" w:ascii="宋体" w:hAnsi="宋体" w:eastAsia="宋体" w:cs="宋体"/>
                <w:color w:val="auto"/>
                <w:sz w:val="24"/>
                <w:szCs w:val="24"/>
              </w:rPr>
            </w:pPr>
          </w:p>
        </w:tc>
        <w:tc>
          <w:tcPr>
            <w:tcW w:w="3240" w:type="dxa"/>
            <w:noWrap w:val="0"/>
            <w:vAlign w:val="center"/>
          </w:tcPr>
          <w:p w14:paraId="03584BAB">
            <w:pPr>
              <w:spacing w:line="360" w:lineRule="auto"/>
              <w:jc w:val="center"/>
              <w:rPr>
                <w:rFonts w:hint="eastAsia" w:ascii="宋体" w:hAnsi="宋体" w:eastAsia="宋体" w:cs="宋体"/>
                <w:color w:val="auto"/>
                <w:sz w:val="24"/>
                <w:szCs w:val="24"/>
              </w:rPr>
            </w:pPr>
          </w:p>
        </w:tc>
        <w:tc>
          <w:tcPr>
            <w:tcW w:w="2340" w:type="dxa"/>
            <w:noWrap w:val="0"/>
            <w:vAlign w:val="center"/>
          </w:tcPr>
          <w:p w14:paraId="0FBAC638">
            <w:pPr>
              <w:spacing w:line="360" w:lineRule="auto"/>
              <w:jc w:val="center"/>
              <w:rPr>
                <w:rFonts w:hint="eastAsia" w:ascii="宋体" w:hAnsi="宋体" w:eastAsia="宋体" w:cs="宋体"/>
                <w:color w:val="auto"/>
                <w:sz w:val="24"/>
                <w:szCs w:val="24"/>
              </w:rPr>
            </w:pPr>
          </w:p>
        </w:tc>
      </w:tr>
      <w:tr w14:paraId="38FC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5B60885A">
            <w:pPr>
              <w:spacing w:line="360" w:lineRule="auto"/>
              <w:jc w:val="center"/>
              <w:rPr>
                <w:rFonts w:hint="eastAsia" w:ascii="宋体" w:hAnsi="宋体" w:eastAsia="宋体" w:cs="宋体"/>
                <w:color w:val="auto"/>
                <w:sz w:val="24"/>
                <w:szCs w:val="24"/>
              </w:rPr>
            </w:pPr>
          </w:p>
        </w:tc>
        <w:tc>
          <w:tcPr>
            <w:tcW w:w="3010" w:type="dxa"/>
            <w:noWrap w:val="0"/>
            <w:vAlign w:val="center"/>
          </w:tcPr>
          <w:p w14:paraId="5AF97FB3">
            <w:pPr>
              <w:spacing w:line="360" w:lineRule="auto"/>
              <w:jc w:val="center"/>
              <w:rPr>
                <w:rFonts w:hint="eastAsia" w:ascii="宋体" w:hAnsi="宋体" w:eastAsia="宋体" w:cs="宋体"/>
                <w:color w:val="auto"/>
                <w:sz w:val="24"/>
                <w:szCs w:val="24"/>
              </w:rPr>
            </w:pPr>
          </w:p>
        </w:tc>
        <w:tc>
          <w:tcPr>
            <w:tcW w:w="3240" w:type="dxa"/>
            <w:noWrap w:val="0"/>
            <w:vAlign w:val="center"/>
          </w:tcPr>
          <w:p w14:paraId="00B4A786">
            <w:pPr>
              <w:spacing w:line="360" w:lineRule="auto"/>
              <w:jc w:val="center"/>
              <w:rPr>
                <w:rFonts w:hint="eastAsia" w:ascii="宋体" w:hAnsi="宋体" w:eastAsia="宋体" w:cs="宋体"/>
                <w:color w:val="auto"/>
                <w:sz w:val="24"/>
                <w:szCs w:val="24"/>
              </w:rPr>
            </w:pPr>
          </w:p>
        </w:tc>
        <w:tc>
          <w:tcPr>
            <w:tcW w:w="2340" w:type="dxa"/>
            <w:noWrap w:val="0"/>
            <w:vAlign w:val="center"/>
          </w:tcPr>
          <w:p w14:paraId="61B965C1">
            <w:pPr>
              <w:spacing w:line="360" w:lineRule="auto"/>
              <w:jc w:val="center"/>
              <w:rPr>
                <w:rFonts w:hint="eastAsia" w:ascii="宋体" w:hAnsi="宋体" w:eastAsia="宋体" w:cs="宋体"/>
                <w:color w:val="auto"/>
                <w:sz w:val="24"/>
                <w:szCs w:val="24"/>
              </w:rPr>
            </w:pPr>
          </w:p>
        </w:tc>
      </w:tr>
      <w:tr w14:paraId="167E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noWrap w:val="0"/>
            <w:vAlign w:val="center"/>
          </w:tcPr>
          <w:p w14:paraId="4C5E8B97">
            <w:pPr>
              <w:spacing w:line="360" w:lineRule="auto"/>
              <w:jc w:val="center"/>
              <w:rPr>
                <w:rFonts w:hint="eastAsia" w:ascii="宋体" w:hAnsi="宋体" w:eastAsia="宋体" w:cs="宋体"/>
                <w:color w:val="auto"/>
                <w:sz w:val="24"/>
                <w:szCs w:val="24"/>
              </w:rPr>
            </w:pPr>
          </w:p>
        </w:tc>
        <w:tc>
          <w:tcPr>
            <w:tcW w:w="3010" w:type="dxa"/>
            <w:noWrap w:val="0"/>
            <w:vAlign w:val="center"/>
          </w:tcPr>
          <w:p w14:paraId="50BA9282">
            <w:pPr>
              <w:spacing w:line="360" w:lineRule="auto"/>
              <w:jc w:val="center"/>
              <w:rPr>
                <w:rFonts w:hint="eastAsia" w:ascii="宋体" w:hAnsi="宋体" w:eastAsia="宋体" w:cs="宋体"/>
                <w:color w:val="auto"/>
                <w:sz w:val="24"/>
                <w:szCs w:val="24"/>
              </w:rPr>
            </w:pPr>
          </w:p>
        </w:tc>
        <w:tc>
          <w:tcPr>
            <w:tcW w:w="3240" w:type="dxa"/>
            <w:noWrap w:val="0"/>
            <w:vAlign w:val="center"/>
          </w:tcPr>
          <w:p w14:paraId="5995532D">
            <w:pPr>
              <w:spacing w:line="360" w:lineRule="auto"/>
              <w:jc w:val="center"/>
              <w:rPr>
                <w:rFonts w:hint="eastAsia" w:ascii="宋体" w:hAnsi="宋体" w:eastAsia="宋体" w:cs="宋体"/>
                <w:color w:val="auto"/>
                <w:sz w:val="24"/>
                <w:szCs w:val="24"/>
              </w:rPr>
            </w:pPr>
          </w:p>
        </w:tc>
        <w:tc>
          <w:tcPr>
            <w:tcW w:w="2340" w:type="dxa"/>
            <w:noWrap w:val="0"/>
            <w:vAlign w:val="center"/>
          </w:tcPr>
          <w:p w14:paraId="1306FEE7">
            <w:pPr>
              <w:spacing w:line="360" w:lineRule="auto"/>
              <w:jc w:val="center"/>
              <w:rPr>
                <w:rFonts w:hint="eastAsia" w:ascii="宋体" w:hAnsi="宋体" w:eastAsia="宋体" w:cs="宋体"/>
                <w:color w:val="auto"/>
                <w:sz w:val="24"/>
                <w:szCs w:val="24"/>
              </w:rPr>
            </w:pPr>
          </w:p>
        </w:tc>
      </w:tr>
      <w:tr w14:paraId="2B08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56FBB5B4">
            <w:pPr>
              <w:spacing w:line="360" w:lineRule="auto"/>
              <w:jc w:val="center"/>
              <w:rPr>
                <w:rFonts w:hint="eastAsia" w:ascii="宋体" w:hAnsi="宋体" w:eastAsia="宋体" w:cs="宋体"/>
                <w:color w:val="auto"/>
                <w:sz w:val="24"/>
                <w:szCs w:val="24"/>
              </w:rPr>
            </w:pPr>
          </w:p>
        </w:tc>
        <w:tc>
          <w:tcPr>
            <w:tcW w:w="3010" w:type="dxa"/>
            <w:noWrap w:val="0"/>
            <w:vAlign w:val="center"/>
          </w:tcPr>
          <w:p w14:paraId="7774AFA2">
            <w:pPr>
              <w:spacing w:line="360" w:lineRule="auto"/>
              <w:jc w:val="center"/>
              <w:rPr>
                <w:rFonts w:hint="eastAsia" w:ascii="宋体" w:hAnsi="宋体" w:eastAsia="宋体" w:cs="宋体"/>
                <w:color w:val="auto"/>
                <w:sz w:val="24"/>
                <w:szCs w:val="24"/>
              </w:rPr>
            </w:pPr>
          </w:p>
        </w:tc>
        <w:tc>
          <w:tcPr>
            <w:tcW w:w="3240" w:type="dxa"/>
            <w:noWrap w:val="0"/>
            <w:vAlign w:val="center"/>
          </w:tcPr>
          <w:p w14:paraId="7DCD55C2">
            <w:pPr>
              <w:spacing w:line="360" w:lineRule="auto"/>
              <w:jc w:val="center"/>
              <w:rPr>
                <w:rFonts w:hint="eastAsia" w:ascii="宋体" w:hAnsi="宋体" w:eastAsia="宋体" w:cs="宋体"/>
                <w:color w:val="auto"/>
                <w:sz w:val="24"/>
                <w:szCs w:val="24"/>
              </w:rPr>
            </w:pPr>
          </w:p>
        </w:tc>
        <w:tc>
          <w:tcPr>
            <w:tcW w:w="2340" w:type="dxa"/>
            <w:noWrap w:val="0"/>
            <w:vAlign w:val="center"/>
          </w:tcPr>
          <w:p w14:paraId="2CF95F9E">
            <w:pPr>
              <w:spacing w:line="360" w:lineRule="auto"/>
              <w:jc w:val="center"/>
              <w:rPr>
                <w:rFonts w:hint="eastAsia" w:ascii="宋体" w:hAnsi="宋体" w:eastAsia="宋体" w:cs="宋体"/>
                <w:color w:val="auto"/>
                <w:sz w:val="24"/>
                <w:szCs w:val="24"/>
              </w:rPr>
            </w:pPr>
          </w:p>
        </w:tc>
      </w:tr>
      <w:tr w14:paraId="3705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2203C480">
            <w:pPr>
              <w:spacing w:line="360" w:lineRule="auto"/>
              <w:jc w:val="center"/>
              <w:rPr>
                <w:rFonts w:hint="eastAsia" w:ascii="宋体" w:hAnsi="宋体" w:eastAsia="宋体" w:cs="宋体"/>
                <w:color w:val="auto"/>
                <w:sz w:val="24"/>
                <w:szCs w:val="24"/>
              </w:rPr>
            </w:pPr>
          </w:p>
        </w:tc>
        <w:tc>
          <w:tcPr>
            <w:tcW w:w="3010" w:type="dxa"/>
            <w:noWrap w:val="0"/>
            <w:vAlign w:val="center"/>
          </w:tcPr>
          <w:p w14:paraId="0A05D0E9">
            <w:pPr>
              <w:spacing w:line="360" w:lineRule="auto"/>
              <w:jc w:val="center"/>
              <w:rPr>
                <w:rFonts w:hint="eastAsia" w:ascii="宋体" w:hAnsi="宋体" w:eastAsia="宋体" w:cs="宋体"/>
                <w:color w:val="auto"/>
                <w:sz w:val="24"/>
                <w:szCs w:val="24"/>
              </w:rPr>
            </w:pPr>
          </w:p>
        </w:tc>
        <w:tc>
          <w:tcPr>
            <w:tcW w:w="3240" w:type="dxa"/>
            <w:noWrap w:val="0"/>
            <w:vAlign w:val="center"/>
          </w:tcPr>
          <w:p w14:paraId="099C6FE9">
            <w:pPr>
              <w:spacing w:line="360" w:lineRule="auto"/>
              <w:jc w:val="center"/>
              <w:rPr>
                <w:rFonts w:hint="eastAsia" w:ascii="宋体" w:hAnsi="宋体" w:eastAsia="宋体" w:cs="宋体"/>
                <w:color w:val="auto"/>
                <w:sz w:val="24"/>
                <w:szCs w:val="24"/>
              </w:rPr>
            </w:pPr>
          </w:p>
        </w:tc>
        <w:tc>
          <w:tcPr>
            <w:tcW w:w="2340" w:type="dxa"/>
            <w:noWrap w:val="0"/>
            <w:vAlign w:val="center"/>
          </w:tcPr>
          <w:p w14:paraId="4BEBECFA">
            <w:pPr>
              <w:spacing w:line="360" w:lineRule="auto"/>
              <w:jc w:val="center"/>
              <w:rPr>
                <w:rFonts w:hint="eastAsia" w:ascii="宋体" w:hAnsi="宋体" w:eastAsia="宋体" w:cs="宋体"/>
                <w:color w:val="auto"/>
                <w:sz w:val="24"/>
                <w:szCs w:val="24"/>
              </w:rPr>
            </w:pPr>
          </w:p>
        </w:tc>
      </w:tr>
      <w:tr w14:paraId="5AB2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34BAB45B">
            <w:pPr>
              <w:spacing w:line="360" w:lineRule="auto"/>
              <w:jc w:val="center"/>
              <w:rPr>
                <w:rFonts w:hint="eastAsia" w:ascii="宋体" w:hAnsi="宋体" w:eastAsia="宋体" w:cs="宋体"/>
                <w:color w:val="auto"/>
                <w:sz w:val="24"/>
                <w:szCs w:val="24"/>
              </w:rPr>
            </w:pPr>
          </w:p>
        </w:tc>
        <w:tc>
          <w:tcPr>
            <w:tcW w:w="3010" w:type="dxa"/>
            <w:noWrap w:val="0"/>
            <w:vAlign w:val="center"/>
          </w:tcPr>
          <w:p w14:paraId="722DBAC3">
            <w:pPr>
              <w:spacing w:line="360" w:lineRule="auto"/>
              <w:jc w:val="center"/>
              <w:rPr>
                <w:rFonts w:hint="eastAsia" w:ascii="宋体" w:hAnsi="宋体" w:eastAsia="宋体" w:cs="宋体"/>
                <w:color w:val="auto"/>
                <w:sz w:val="24"/>
                <w:szCs w:val="24"/>
              </w:rPr>
            </w:pPr>
          </w:p>
        </w:tc>
        <w:tc>
          <w:tcPr>
            <w:tcW w:w="3240" w:type="dxa"/>
            <w:noWrap w:val="0"/>
            <w:vAlign w:val="center"/>
          </w:tcPr>
          <w:p w14:paraId="1F366A8B">
            <w:pPr>
              <w:spacing w:line="360" w:lineRule="auto"/>
              <w:jc w:val="center"/>
              <w:rPr>
                <w:rFonts w:hint="eastAsia" w:ascii="宋体" w:hAnsi="宋体" w:eastAsia="宋体" w:cs="宋体"/>
                <w:color w:val="auto"/>
                <w:sz w:val="24"/>
                <w:szCs w:val="24"/>
              </w:rPr>
            </w:pPr>
          </w:p>
        </w:tc>
        <w:tc>
          <w:tcPr>
            <w:tcW w:w="2340" w:type="dxa"/>
            <w:noWrap w:val="0"/>
            <w:vAlign w:val="center"/>
          </w:tcPr>
          <w:p w14:paraId="6EE39900">
            <w:pPr>
              <w:spacing w:line="360" w:lineRule="auto"/>
              <w:jc w:val="center"/>
              <w:rPr>
                <w:rFonts w:hint="eastAsia" w:ascii="宋体" w:hAnsi="宋体" w:eastAsia="宋体" w:cs="宋体"/>
                <w:color w:val="auto"/>
                <w:sz w:val="24"/>
                <w:szCs w:val="24"/>
              </w:rPr>
            </w:pPr>
          </w:p>
        </w:tc>
      </w:tr>
      <w:tr w14:paraId="1C5B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2815633C">
            <w:pPr>
              <w:spacing w:line="360" w:lineRule="auto"/>
              <w:jc w:val="center"/>
              <w:rPr>
                <w:rFonts w:hint="eastAsia" w:ascii="宋体" w:hAnsi="宋体" w:eastAsia="宋体" w:cs="宋体"/>
                <w:color w:val="auto"/>
                <w:sz w:val="24"/>
                <w:szCs w:val="24"/>
              </w:rPr>
            </w:pPr>
          </w:p>
        </w:tc>
        <w:tc>
          <w:tcPr>
            <w:tcW w:w="3010" w:type="dxa"/>
            <w:noWrap w:val="0"/>
            <w:vAlign w:val="center"/>
          </w:tcPr>
          <w:p w14:paraId="33BD1D11">
            <w:pPr>
              <w:spacing w:line="360" w:lineRule="auto"/>
              <w:jc w:val="center"/>
              <w:rPr>
                <w:rFonts w:hint="eastAsia" w:ascii="宋体" w:hAnsi="宋体" w:eastAsia="宋体" w:cs="宋体"/>
                <w:color w:val="auto"/>
                <w:sz w:val="24"/>
                <w:szCs w:val="24"/>
              </w:rPr>
            </w:pPr>
          </w:p>
        </w:tc>
        <w:tc>
          <w:tcPr>
            <w:tcW w:w="3240" w:type="dxa"/>
            <w:noWrap w:val="0"/>
            <w:vAlign w:val="center"/>
          </w:tcPr>
          <w:p w14:paraId="7F047F9A">
            <w:pPr>
              <w:spacing w:line="360" w:lineRule="auto"/>
              <w:jc w:val="center"/>
              <w:rPr>
                <w:rFonts w:hint="eastAsia" w:ascii="宋体" w:hAnsi="宋体" w:eastAsia="宋体" w:cs="宋体"/>
                <w:color w:val="auto"/>
                <w:sz w:val="24"/>
                <w:szCs w:val="24"/>
              </w:rPr>
            </w:pPr>
          </w:p>
        </w:tc>
        <w:tc>
          <w:tcPr>
            <w:tcW w:w="2340" w:type="dxa"/>
            <w:noWrap w:val="0"/>
            <w:vAlign w:val="center"/>
          </w:tcPr>
          <w:p w14:paraId="7C7E17A1">
            <w:pPr>
              <w:spacing w:line="360" w:lineRule="auto"/>
              <w:jc w:val="center"/>
              <w:rPr>
                <w:rFonts w:hint="eastAsia" w:ascii="宋体" w:hAnsi="宋体" w:eastAsia="宋体" w:cs="宋体"/>
                <w:color w:val="auto"/>
                <w:sz w:val="24"/>
                <w:szCs w:val="24"/>
              </w:rPr>
            </w:pPr>
          </w:p>
        </w:tc>
      </w:tr>
      <w:tr w14:paraId="7AF8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724B34F8">
            <w:pPr>
              <w:spacing w:line="360" w:lineRule="auto"/>
              <w:jc w:val="center"/>
              <w:rPr>
                <w:rFonts w:hint="eastAsia" w:ascii="宋体" w:hAnsi="宋体" w:eastAsia="宋体" w:cs="宋体"/>
                <w:color w:val="auto"/>
                <w:sz w:val="24"/>
                <w:szCs w:val="24"/>
              </w:rPr>
            </w:pPr>
          </w:p>
        </w:tc>
        <w:tc>
          <w:tcPr>
            <w:tcW w:w="3010" w:type="dxa"/>
            <w:noWrap w:val="0"/>
            <w:vAlign w:val="center"/>
          </w:tcPr>
          <w:p w14:paraId="4A917AF6">
            <w:pPr>
              <w:spacing w:line="360" w:lineRule="auto"/>
              <w:jc w:val="center"/>
              <w:rPr>
                <w:rFonts w:hint="eastAsia" w:ascii="宋体" w:hAnsi="宋体" w:eastAsia="宋体" w:cs="宋体"/>
                <w:color w:val="auto"/>
                <w:sz w:val="24"/>
                <w:szCs w:val="24"/>
              </w:rPr>
            </w:pPr>
          </w:p>
        </w:tc>
        <w:tc>
          <w:tcPr>
            <w:tcW w:w="3240" w:type="dxa"/>
            <w:noWrap w:val="0"/>
            <w:vAlign w:val="center"/>
          </w:tcPr>
          <w:p w14:paraId="5C5BDA92">
            <w:pPr>
              <w:spacing w:line="360" w:lineRule="auto"/>
              <w:jc w:val="center"/>
              <w:rPr>
                <w:rFonts w:hint="eastAsia" w:ascii="宋体" w:hAnsi="宋体" w:eastAsia="宋体" w:cs="宋体"/>
                <w:color w:val="auto"/>
                <w:sz w:val="24"/>
                <w:szCs w:val="24"/>
              </w:rPr>
            </w:pPr>
          </w:p>
        </w:tc>
        <w:tc>
          <w:tcPr>
            <w:tcW w:w="2340" w:type="dxa"/>
            <w:noWrap w:val="0"/>
            <w:vAlign w:val="center"/>
          </w:tcPr>
          <w:p w14:paraId="3BC704A3">
            <w:pPr>
              <w:spacing w:line="360" w:lineRule="auto"/>
              <w:jc w:val="center"/>
              <w:rPr>
                <w:rFonts w:hint="eastAsia" w:ascii="宋体" w:hAnsi="宋体" w:eastAsia="宋体" w:cs="宋体"/>
                <w:color w:val="auto"/>
                <w:sz w:val="24"/>
                <w:szCs w:val="24"/>
              </w:rPr>
            </w:pPr>
          </w:p>
        </w:tc>
      </w:tr>
      <w:tr w14:paraId="7194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5975407D">
            <w:pPr>
              <w:spacing w:line="360" w:lineRule="auto"/>
              <w:jc w:val="center"/>
              <w:rPr>
                <w:rFonts w:hint="eastAsia" w:ascii="宋体" w:hAnsi="宋体" w:eastAsia="宋体" w:cs="宋体"/>
                <w:color w:val="auto"/>
                <w:sz w:val="24"/>
                <w:szCs w:val="24"/>
              </w:rPr>
            </w:pPr>
          </w:p>
        </w:tc>
        <w:tc>
          <w:tcPr>
            <w:tcW w:w="3010" w:type="dxa"/>
            <w:noWrap w:val="0"/>
            <w:vAlign w:val="center"/>
          </w:tcPr>
          <w:p w14:paraId="5B80D432">
            <w:pPr>
              <w:spacing w:line="360" w:lineRule="auto"/>
              <w:jc w:val="center"/>
              <w:rPr>
                <w:rFonts w:hint="eastAsia" w:ascii="宋体" w:hAnsi="宋体" w:eastAsia="宋体" w:cs="宋体"/>
                <w:color w:val="auto"/>
                <w:sz w:val="24"/>
                <w:szCs w:val="24"/>
              </w:rPr>
            </w:pPr>
          </w:p>
        </w:tc>
        <w:tc>
          <w:tcPr>
            <w:tcW w:w="3240" w:type="dxa"/>
            <w:noWrap w:val="0"/>
            <w:vAlign w:val="center"/>
          </w:tcPr>
          <w:p w14:paraId="7C2063BD">
            <w:pPr>
              <w:spacing w:line="360" w:lineRule="auto"/>
              <w:jc w:val="center"/>
              <w:rPr>
                <w:rFonts w:hint="eastAsia" w:ascii="宋体" w:hAnsi="宋体" w:eastAsia="宋体" w:cs="宋体"/>
                <w:color w:val="auto"/>
                <w:sz w:val="24"/>
                <w:szCs w:val="24"/>
              </w:rPr>
            </w:pPr>
          </w:p>
        </w:tc>
        <w:tc>
          <w:tcPr>
            <w:tcW w:w="2340" w:type="dxa"/>
            <w:noWrap w:val="0"/>
            <w:vAlign w:val="center"/>
          </w:tcPr>
          <w:p w14:paraId="4877895E">
            <w:pPr>
              <w:spacing w:line="360" w:lineRule="auto"/>
              <w:jc w:val="center"/>
              <w:rPr>
                <w:rFonts w:hint="eastAsia" w:ascii="宋体" w:hAnsi="宋体" w:eastAsia="宋体" w:cs="宋体"/>
                <w:color w:val="auto"/>
                <w:sz w:val="24"/>
                <w:szCs w:val="24"/>
              </w:rPr>
            </w:pPr>
          </w:p>
        </w:tc>
      </w:tr>
      <w:tr w14:paraId="0565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32BC30AE">
            <w:pPr>
              <w:spacing w:line="360" w:lineRule="auto"/>
              <w:jc w:val="center"/>
              <w:rPr>
                <w:rFonts w:hint="eastAsia" w:ascii="宋体" w:hAnsi="宋体" w:eastAsia="宋体" w:cs="宋体"/>
                <w:color w:val="auto"/>
                <w:sz w:val="24"/>
                <w:szCs w:val="24"/>
              </w:rPr>
            </w:pPr>
          </w:p>
        </w:tc>
        <w:tc>
          <w:tcPr>
            <w:tcW w:w="3010" w:type="dxa"/>
            <w:noWrap w:val="0"/>
            <w:vAlign w:val="center"/>
          </w:tcPr>
          <w:p w14:paraId="5BFA88A6">
            <w:pPr>
              <w:spacing w:line="360" w:lineRule="auto"/>
              <w:jc w:val="center"/>
              <w:rPr>
                <w:rFonts w:hint="eastAsia" w:ascii="宋体" w:hAnsi="宋体" w:eastAsia="宋体" w:cs="宋体"/>
                <w:color w:val="auto"/>
                <w:sz w:val="24"/>
                <w:szCs w:val="24"/>
              </w:rPr>
            </w:pPr>
          </w:p>
        </w:tc>
        <w:tc>
          <w:tcPr>
            <w:tcW w:w="3240" w:type="dxa"/>
            <w:noWrap w:val="0"/>
            <w:vAlign w:val="center"/>
          </w:tcPr>
          <w:p w14:paraId="5756BC5D">
            <w:pPr>
              <w:spacing w:line="360" w:lineRule="auto"/>
              <w:jc w:val="center"/>
              <w:rPr>
                <w:rFonts w:hint="eastAsia" w:ascii="宋体" w:hAnsi="宋体" w:eastAsia="宋体" w:cs="宋体"/>
                <w:color w:val="auto"/>
                <w:sz w:val="24"/>
                <w:szCs w:val="24"/>
              </w:rPr>
            </w:pPr>
          </w:p>
        </w:tc>
        <w:tc>
          <w:tcPr>
            <w:tcW w:w="2340" w:type="dxa"/>
            <w:noWrap w:val="0"/>
            <w:vAlign w:val="center"/>
          </w:tcPr>
          <w:p w14:paraId="7D54039E">
            <w:pPr>
              <w:spacing w:line="360" w:lineRule="auto"/>
              <w:jc w:val="center"/>
              <w:rPr>
                <w:rFonts w:hint="eastAsia" w:ascii="宋体" w:hAnsi="宋体" w:eastAsia="宋体" w:cs="宋体"/>
                <w:color w:val="auto"/>
                <w:sz w:val="24"/>
                <w:szCs w:val="24"/>
              </w:rPr>
            </w:pPr>
          </w:p>
        </w:tc>
      </w:tr>
    </w:tbl>
    <w:p w14:paraId="3BF04AC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：（盖章）</w:t>
      </w:r>
      <w:r>
        <w:rPr>
          <w:rFonts w:hint="eastAsia" w:ascii="宋体" w:hAnsi="宋体" w:eastAsia="宋体" w:cs="宋体"/>
          <w:color w:val="auto"/>
          <w:sz w:val="24"/>
          <w:szCs w:val="24"/>
          <w:u w:val="single"/>
        </w:rPr>
        <w:t>                            </w:t>
      </w:r>
    </w:p>
    <w:p w14:paraId="3AA4AF33">
      <w:pPr>
        <w:spacing w:line="360" w:lineRule="auto"/>
        <w:rPr>
          <w:rFonts w:hint="eastAsia" w:ascii="宋体" w:hAnsi="宋体" w:eastAsia="宋体" w:cs="宋体"/>
          <w:color w:val="auto"/>
          <w:sz w:val="24"/>
          <w:szCs w:val="24"/>
        </w:rPr>
      </w:pPr>
    </w:p>
    <w:p w14:paraId="294CEE37">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w:t>
      </w:r>
    </w:p>
    <w:p w14:paraId="255A136C">
      <w:pPr>
        <w:spacing w:line="360" w:lineRule="auto"/>
        <w:rPr>
          <w:rFonts w:hint="eastAsia" w:ascii="宋体" w:hAnsi="宋体" w:eastAsia="宋体" w:cs="宋体"/>
          <w:color w:val="auto"/>
          <w:sz w:val="24"/>
          <w:szCs w:val="24"/>
          <w:u w:val="single"/>
        </w:rPr>
      </w:pPr>
    </w:p>
    <w:p w14:paraId="5E577218">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日 期：</w:t>
      </w:r>
      <w:r>
        <w:rPr>
          <w:rFonts w:hint="eastAsia" w:ascii="宋体" w:hAnsi="宋体" w:eastAsia="宋体" w:cs="宋体"/>
          <w:color w:val="auto"/>
          <w:sz w:val="24"/>
          <w:szCs w:val="24"/>
          <w:u w:val="single"/>
        </w:rPr>
        <w:t xml:space="preserve">           </w:t>
      </w:r>
    </w:p>
    <w:p w14:paraId="0C0B50B5">
      <w:pPr>
        <w:rPr>
          <w:rFonts w:hint="eastAsia" w:ascii="宋体" w:hAnsi="宋体" w:eastAsia="宋体" w:cs="宋体"/>
          <w:color w:val="auto"/>
          <w:sz w:val="24"/>
          <w:szCs w:val="24"/>
        </w:rPr>
      </w:pPr>
    </w:p>
    <w:p w14:paraId="49E05D54">
      <w:pPr>
        <w:rPr>
          <w:rFonts w:hint="eastAsia" w:ascii="宋体" w:hAnsi="宋体" w:eastAsia="宋体" w:cs="宋体"/>
          <w:color w:val="auto"/>
          <w:sz w:val="24"/>
          <w:szCs w:val="24"/>
        </w:rPr>
      </w:pPr>
      <w:r>
        <w:rPr>
          <w:rFonts w:hint="eastAsia" w:ascii="宋体" w:hAnsi="宋体" w:eastAsia="宋体" w:cs="宋体"/>
          <w:color w:val="auto"/>
          <w:sz w:val="24"/>
          <w:szCs w:val="24"/>
        </w:rPr>
        <w:t>注：逐条对应</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等要求</w:t>
      </w:r>
      <w:r>
        <w:rPr>
          <w:rFonts w:hint="eastAsia" w:ascii="宋体" w:hAnsi="宋体" w:eastAsia="宋体" w:cs="宋体"/>
          <w:color w:val="auto"/>
          <w:sz w:val="24"/>
          <w:szCs w:val="24"/>
          <w:lang w:eastAsia="zh-CN"/>
        </w:rPr>
        <w:t>填写，</w:t>
      </w:r>
      <w:r>
        <w:rPr>
          <w:rFonts w:hint="eastAsia" w:ascii="宋体" w:hAnsi="宋体" w:eastAsia="宋体" w:cs="宋体"/>
          <w:color w:val="auto"/>
          <w:sz w:val="24"/>
          <w:szCs w:val="24"/>
        </w:rPr>
        <w:t>此表在不改变表式的情况下可自行制作。偏</w:t>
      </w:r>
      <w:r>
        <w:rPr>
          <w:rFonts w:hint="eastAsia" w:ascii="宋体" w:hAnsi="宋体" w:eastAsia="宋体" w:cs="宋体"/>
          <w:color w:val="auto"/>
          <w:sz w:val="24"/>
          <w:szCs w:val="24"/>
          <w:lang w:eastAsia="zh-CN"/>
        </w:rPr>
        <w:t>离度</w:t>
      </w:r>
      <w:r>
        <w:rPr>
          <w:rFonts w:hint="eastAsia" w:ascii="宋体" w:hAnsi="宋体" w:eastAsia="宋体" w:cs="宋体"/>
          <w:color w:val="auto"/>
          <w:sz w:val="24"/>
          <w:szCs w:val="24"/>
        </w:rPr>
        <w:t>填写：优于、等于、低于。</w:t>
      </w:r>
    </w:p>
    <w:p w14:paraId="0E8181A5">
      <w:pPr>
        <w:spacing w:line="440" w:lineRule="exact"/>
        <w:outlineLvl w:val="1"/>
        <w:rPr>
          <w:rFonts w:hint="eastAsia" w:ascii="宋体" w:hAnsi="宋体" w:eastAsia="宋体" w:cs="宋体"/>
          <w:b/>
          <w:bCs/>
          <w:color w:val="auto"/>
          <w:sz w:val="24"/>
          <w:szCs w:val="24"/>
        </w:rPr>
      </w:pPr>
    </w:p>
    <w:p w14:paraId="224AADAE">
      <w:pPr>
        <w:spacing w:line="440" w:lineRule="exact"/>
        <w:outlineLvl w:val="1"/>
        <w:rPr>
          <w:rFonts w:hint="eastAsia" w:ascii="宋体" w:hAnsi="宋体" w:eastAsia="宋体" w:cs="宋体"/>
          <w:b/>
          <w:bCs/>
          <w:color w:val="auto"/>
          <w:sz w:val="24"/>
          <w:szCs w:val="24"/>
        </w:rPr>
      </w:pPr>
    </w:p>
    <w:p w14:paraId="2642E416">
      <w:pPr>
        <w:spacing w:line="440" w:lineRule="exact"/>
        <w:jc w:val="center"/>
        <w:outlineLvl w:val="1"/>
        <w:rPr>
          <w:rFonts w:hint="eastAsia" w:ascii="宋体" w:hAnsi="宋体" w:eastAsia="宋体" w:cs="宋体"/>
          <w:b/>
          <w:bCs/>
          <w:color w:val="auto"/>
          <w:sz w:val="24"/>
          <w:szCs w:val="24"/>
        </w:rPr>
      </w:pPr>
    </w:p>
    <w:p w14:paraId="0275C29C">
      <w:pPr>
        <w:spacing w:line="440" w:lineRule="exact"/>
        <w:jc w:val="center"/>
        <w:outlineLvl w:val="1"/>
        <w:rPr>
          <w:rFonts w:hint="eastAsia" w:ascii="宋体" w:hAnsi="宋体" w:eastAsia="宋体" w:cs="宋体"/>
          <w:b/>
          <w:bCs/>
          <w:color w:val="auto"/>
          <w:sz w:val="24"/>
          <w:szCs w:val="24"/>
        </w:rPr>
      </w:pPr>
    </w:p>
    <w:p w14:paraId="11085F6F">
      <w:pPr>
        <w:outlineLvl w:val="0"/>
        <w:rPr>
          <w:rFonts w:hint="eastAsia" w:ascii="宋体" w:hAnsi="宋体" w:eastAsia="宋体" w:cs="宋体"/>
          <w:b/>
          <w:bCs/>
          <w:color w:val="auto"/>
          <w:sz w:val="24"/>
          <w:szCs w:val="24"/>
        </w:rPr>
      </w:pPr>
    </w:p>
    <w:p w14:paraId="1C89E55C">
      <w:pPr>
        <w:jc w:val="center"/>
        <w:outlineLvl w:val="0"/>
        <w:rPr>
          <w:rFonts w:hint="eastAsia" w:ascii="宋体" w:hAnsi="宋体" w:eastAsia="宋体" w:cs="宋体"/>
          <w:b/>
          <w:bCs/>
          <w:color w:val="auto"/>
          <w:sz w:val="24"/>
          <w:szCs w:val="24"/>
        </w:rPr>
        <w:sectPr>
          <w:pgSz w:w="11906" w:h="16838"/>
          <w:pgMar w:top="1440" w:right="1463" w:bottom="1440" w:left="1463" w:header="851" w:footer="992" w:gutter="0"/>
          <w:cols w:space="720" w:num="1"/>
          <w:rtlGutter w:val="0"/>
          <w:docGrid w:type="lines" w:linePitch="312" w:charSpace="0"/>
        </w:sectPr>
      </w:pPr>
    </w:p>
    <w:p w14:paraId="61EECBCC">
      <w:pPr>
        <w:numPr>
          <w:ilvl w:val="0"/>
          <w:numId w:val="0"/>
        </w:numPr>
        <w:spacing w:line="440" w:lineRule="exact"/>
        <w:ind w:leftChars="0"/>
        <w:jc w:val="center"/>
        <w:outlineLvl w:val="1"/>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七、</w:t>
      </w:r>
      <w:r>
        <w:rPr>
          <w:rFonts w:hint="eastAsia" w:ascii="宋体" w:hAnsi="宋体" w:eastAsia="宋体" w:cs="宋体"/>
          <w:b/>
          <w:bCs/>
          <w:color w:val="auto"/>
          <w:sz w:val="32"/>
          <w:szCs w:val="32"/>
        </w:rPr>
        <w:t>资格证明文件</w:t>
      </w:r>
    </w:p>
    <w:p w14:paraId="12139D59">
      <w:pPr>
        <w:pStyle w:val="29"/>
        <w:keepNext w:val="0"/>
        <w:keepLines w:val="0"/>
        <w:pageBreakBefore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b/>
          <w:bCs/>
          <w:color w:val="auto"/>
          <w:sz w:val="24"/>
        </w:rPr>
      </w:pPr>
      <w:r>
        <w:rPr>
          <w:rFonts w:hint="eastAsia" w:ascii="宋体" w:hAnsi="宋体" w:eastAsia="宋体" w:cs="宋体"/>
          <w:sz w:val="24"/>
          <w:szCs w:val="24"/>
        </w:rPr>
        <w:t>（1）具有独立承担民事责任能力的法人、其他组织或自然人，提供年检有效的统一社会信用代码的营业执照或其他合法组织登记证书，自然人参与的提供其身份证明；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（2）法定代表人参加投标时，提供本人身份证复印件；授权代表参加投标时，提供法定代表人授权委托书、法定代表人和被授权人身份证复印件；</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（3）供应商须提供所投产品的肥料登记证或省级农业农村部门肥料备案信息系统的备案凭证（供应商为代理商的提供加盖厂家公章的肥料登记证或备案证明材料）；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（4）参加本次政府采购活动前三年内在经营活动中没有重大违纪，以及未被列入失信被执行人、重大税收违法失信主体、政府采购严重违法失信行为记录名单的书面声明；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供应商通过“信用中国”网站（www.creditchina.gov.cn）和中国政府采购网（www.ccgp.gov.cn）等渠道查询相关主体信用记录，对列入失信被执行人、重大税收违法失信主体、政府采购严重违法失信行为记录名单的供应商，将拒绝其参与政府采购活动；</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农、林、牧、渔业；供应商为监狱企业的，应提供监狱企业的证明文件；供应商为残疾人福利性单位的，应提供《残疾人福利性单位声明函》。</w:t>
      </w:r>
    </w:p>
    <w:p w14:paraId="1B2B9E72">
      <w:pPr>
        <w:pageBreakBefore w:val="0"/>
        <w:kinsoku/>
        <w:wordWrap w:val="0"/>
        <w:overflowPunct/>
        <w:bidi w:val="0"/>
        <w:spacing w:line="360" w:lineRule="auto"/>
        <w:ind w:left="172" w:leftChars="82" w:firstLine="482" w:firstLineChars="200"/>
        <w:outlineLvl w:val="1"/>
        <w:rPr>
          <w:rFonts w:hint="eastAsia" w:ascii="宋体" w:hAnsi="宋体" w:eastAsia="宋体" w:cs="宋体"/>
          <w:b/>
          <w:bCs/>
          <w:color w:val="auto"/>
          <w:sz w:val="24"/>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未按磋商文件要求附相关资质证件的，按</w:t>
      </w:r>
      <w:r>
        <w:rPr>
          <w:rFonts w:hint="eastAsia" w:ascii="宋体" w:hAnsi="宋体" w:eastAsia="宋体" w:cs="宋体"/>
          <w:b/>
          <w:bCs/>
          <w:color w:val="auto"/>
          <w:sz w:val="24"/>
          <w:lang w:eastAsia="zh-CN"/>
        </w:rPr>
        <w:t>无效投标</w:t>
      </w:r>
      <w:r>
        <w:rPr>
          <w:rFonts w:hint="eastAsia" w:ascii="宋体" w:hAnsi="宋体" w:eastAsia="宋体" w:cs="宋体"/>
          <w:b/>
          <w:bCs/>
          <w:color w:val="auto"/>
          <w:sz w:val="24"/>
        </w:rPr>
        <w:t>处理。</w:t>
      </w:r>
    </w:p>
    <w:p w14:paraId="1BE56A52">
      <w:pPr>
        <w:widowControl/>
        <w:spacing w:line="480" w:lineRule="auto"/>
        <w:ind w:firstLine="482" w:firstLineChars="200"/>
        <w:jc w:val="left"/>
        <w:rPr>
          <w:rFonts w:hint="eastAsia" w:ascii="宋体" w:hAnsi="宋体" w:eastAsia="宋体" w:cs="宋体"/>
          <w:b/>
          <w:bCs/>
          <w:color w:val="auto"/>
          <w:sz w:val="24"/>
        </w:rPr>
      </w:pPr>
    </w:p>
    <w:p w14:paraId="5CC839D8">
      <w:pPr>
        <w:widowControl/>
        <w:spacing w:line="480" w:lineRule="auto"/>
        <w:ind w:firstLine="482" w:firstLineChars="200"/>
        <w:jc w:val="left"/>
        <w:rPr>
          <w:rFonts w:hint="eastAsia" w:ascii="宋体" w:hAnsi="宋体" w:eastAsia="宋体" w:cs="宋体"/>
          <w:b/>
          <w:bCs/>
          <w:color w:val="auto"/>
          <w:sz w:val="24"/>
        </w:rPr>
      </w:pPr>
    </w:p>
    <w:p w14:paraId="33596DDF">
      <w:pPr>
        <w:widowControl/>
        <w:spacing w:line="480" w:lineRule="auto"/>
        <w:ind w:firstLine="482" w:firstLineChars="200"/>
        <w:jc w:val="left"/>
        <w:rPr>
          <w:rFonts w:hint="eastAsia" w:ascii="宋体" w:hAnsi="宋体" w:eastAsia="宋体" w:cs="宋体"/>
          <w:b/>
          <w:bCs/>
          <w:color w:val="auto"/>
          <w:sz w:val="24"/>
        </w:rPr>
      </w:pPr>
    </w:p>
    <w:p w14:paraId="4F854FE6">
      <w:pPr>
        <w:widowControl/>
        <w:spacing w:line="480" w:lineRule="auto"/>
        <w:ind w:firstLine="482" w:firstLineChars="200"/>
        <w:jc w:val="left"/>
        <w:rPr>
          <w:rFonts w:hint="eastAsia" w:ascii="宋体" w:hAnsi="宋体" w:eastAsia="宋体" w:cs="宋体"/>
          <w:b/>
          <w:bCs/>
          <w:color w:val="auto"/>
          <w:sz w:val="24"/>
        </w:rPr>
      </w:pPr>
    </w:p>
    <w:p w14:paraId="251CF616">
      <w:pPr>
        <w:widowControl/>
        <w:spacing w:line="480" w:lineRule="auto"/>
        <w:ind w:firstLine="482" w:firstLineChars="200"/>
        <w:jc w:val="left"/>
        <w:rPr>
          <w:rFonts w:hint="eastAsia" w:ascii="宋体" w:hAnsi="宋体" w:eastAsia="宋体" w:cs="宋体"/>
          <w:b/>
          <w:bCs/>
          <w:color w:val="auto"/>
          <w:sz w:val="24"/>
        </w:rPr>
      </w:pPr>
    </w:p>
    <w:p w14:paraId="5341A3FE">
      <w:pPr>
        <w:widowControl/>
        <w:spacing w:line="480" w:lineRule="auto"/>
        <w:ind w:firstLine="482" w:firstLineChars="200"/>
        <w:jc w:val="left"/>
        <w:rPr>
          <w:rFonts w:hint="eastAsia" w:ascii="宋体" w:hAnsi="宋体" w:eastAsia="宋体" w:cs="宋体"/>
          <w:b/>
          <w:bCs/>
          <w:color w:val="auto"/>
          <w:sz w:val="24"/>
        </w:rPr>
      </w:pPr>
    </w:p>
    <w:p w14:paraId="4F589B5A">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eastAsia="宋体" w:cs="宋体"/>
          <w:b/>
          <w:bCs/>
          <w:color w:val="000000" w:themeColor="text1"/>
          <w:kern w:val="0"/>
          <w:sz w:val="28"/>
          <w:szCs w:val="21"/>
          <w:lang w:val="en-US" w:eastAsia="zh-CN"/>
          <w14:textFill>
            <w14:solidFill>
              <w14:schemeClr w14:val="tx1"/>
            </w14:solidFill>
          </w14:textFill>
        </w:rPr>
      </w:pPr>
      <w:r>
        <w:rPr>
          <w:rFonts w:hint="eastAsia" w:ascii="宋体" w:hAnsi="宋体" w:eastAsia="宋体" w:cs="宋体"/>
          <w:b/>
          <w:color w:val="auto"/>
          <w:kern w:val="0"/>
          <w:sz w:val="28"/>
          <w:szCs w:val="21"/>
          <w:lang w:eastAsia="zh-CN"/>
        </w:rPr>
        <w:t>附件</w:t>
      </w:r>
      <w:r>
        <w:rPr>
          <w:rFonts w:hint="eastAsia" w:ascii="宋体" w:hAnsi="宋体" w:eastAsia="宋体" w:cs="宋体"/>
          <w:b/>
          <w:color w:val="auto"/>
          <w:kern w:val="0"/>
          <w:sz w:val="28"/>
          <w:szCs w:val="21"/>
          <w:lang w:val="en-US" w:eastAsia="zh-CN"/>
        </w:rPr>
        <w:t>1：</w:t>
      </w:r>
      <w:r>
        <w:rPr>
          <w:rFonts w:hint="eastAsia" w:ascii="宋体" w:hAnsi="宋体" w:eastAsia="宋体" w:cs="宋体"/>
          <w:b/>
          <w:bCs/>
          <w:color w:val="000000" w:themeColor="text1"/>
          <w:sz w:val="24"/>
          <w:szCs w:val="24"/>
          <w14:textFill>
            <w14:solidFill>
              <w14:schemeClr w14:val="tx1"/>
            </w14:solidFill>
          </w14:textFill>
        </w:rPr>
        <w:t>法定代表人参加投标时，提供本人身份证复印件；授权代表参加投标时，提供法定代表人授权委托书、法定代表人和被授权人身份证复印件；</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F4E180A">
      <w:pPr>
        <w:pStyle w:val="13"/>
        <w:ind w:left="0" w:leftChars="0" w:firstLine="0" w:firstLineChars="0"/>
        <w:rPr>
          <w:rFonts w:hint="eastAsia" w:ascii="宋体" w:hAnsi="宋体"/>
          <w:sz w:val="24"/>
          <w:szCs w:val="24"/>
        </w:rPr>
      </w:pPr>
    </w:p>
    <w:p w14:paraId="21544127">
      <w:pPr>
        <w:spacing w:line="440" w:lineRule="exact"/>
        <w:jc w:val="center"/>
        <w:rPr>
          <w:rFonts w:hint="eastAsia" w:ascii="宋体" w:hAnsi="宋体"/>
          <w:b/>
          <w:bCs/>
          <w:sz w:val="24"/>
          <w:szCs w:val="24"/>
          <w:lang w:val="en-US" w:eastAsia="zh-CN"/>
        </w:rPr>
      </w:pPr>
    </w:p>
    <w:p w14:paraId="145A1F3A">
      <w:pPr>
        <w:spacing w:line="440" w:lineRule="exact"/>
        <w:jc w:val="center"/>
        <w:rPr>
          <w:rFonts w:hint="eastAsia" w:ascii="宋体" w:hAnsi="宋体"/>
          <w:b/>
          <w:bCs/>
          <w:sz w:val="24"/>
          <w:szCs w:val="24"/>
          <w:lang w:val="en-US" w:eastAsia="zh-CN"/>
        </w:rPr>
      </w:pPr>
      <w:r>
        <w:rPr>
          <w:rFonts w:hint="eastAsia" w:ascii="宋体" w:hAnsi="宋体"/>
          <w:b/>
          <w:bCs/>
          <w:sz w:val="24"/>
          <w:szCs w:val="24"/>
          <w:lang w:val="en-US" w:eastAsia="zh-CN"/>
        </w:rPr>
        <w:t>2、</w:t>
      </w:r>
      <w:r>
        <w:rPr>
          <w:rFonts w:hint="eastAsia" w:ascii="宋体" w:hAnsi="宋体" w:eastAsia="宋体" w:cs="Times New Roman"/>
          <w:b/>
          <w:sz w:val="24"/>
          <w:szCs w:val="24"/>
        </w:rPr>
        <w:t>参加本次政府采购活动前三年内在经营活动中没有重大违纪，以及未被列入失信被执行人、重大税收违法失信主体、政府采购严重违法失信行为记录名单的书面声明；</w:t>
      </w:r>
      <w:r>
        <w:rPr>
          <w:rFonts w:hint="eastAsia" w:ascii="宋体" w:hAnsi="宋体" w:eastAsia="宋体" w:cs="Times New Roman"/>
          <w:b/>
          <w:sz w:val="24"/>
          <w:szCs w:val="24"/>
        </w:rPr>
        <w:br w:type="textWrapping"/>
      </w: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sz w:val="24"/>
          <w:szCs w:val="24"/>
          <w:lang w:eastAsia="zh-CN"/>
        </w:rPr>
        <w:t>安康远程智信项目管理有限公司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eastAsia="宋体" w:cs="宋体"/>
          <w:sz w:val="24"/>
          <w:szCs w:val="24"/>
        </w:rPr>
      </w:pPr>
      <w:r>
        <w:rPr>
          <w:rFonts w:hint="eastAsia" w:ascii="宋体" w:hAnsi="宋体" w:cs="宋体"/>
          <w:sz w:val="24"/>
          <w:szCs w:val="24"/>
        </w:rPr>
        <w:t>2、我公司</w:t>
      </w:r>
      <w:r>
        <w:rPr>
          <w:rFonts w:hint="eastAsia" w:ascii="宋体" w:hAnsi="宋体" w:cs="宋体"/>
          <w:sz w:val="24"/>
          <w:szCs w:val="24"/>
          <w:lang w:val="en-US" w:eastAsia="zh-CN"/>
        </w:rPr>
        <w:t>前</w:t>
      </w:r>
      <w:r>
        <w:rPr>
          <w:rFonts w:hint="eastAsia" w:ascii="宋体" w:hAnsi="宋体" w:cs="宋体"/>
          <w:sz w:val="24"/>
          <w:szCs w:val="24"/>
        </w:rPr>
        <w:t>3年来无因安全事故、质量事故、投标违规</w:t>
      </w:r>
      <w:r>
        <w:rPr>
          <w:rFonts w:hint="eastAsia" w:ascii="宋体" w:hAnsi="宋体" w:cs="宋体"/>
          <w:sz w:val="24"/>
          <w:szCs w:val="24"/>
          <w:lang w:eastAsia="zh-CN"/>
        </w:rPr>
        <w:t>、</w:t>
      </w:r>
      <w:r>
        <w:rPr>
          <w:rFonts w:hint="eastAsia" w:ascii="宋体" w:hAnsi="宋体" w:eastAsia="宋体" w:cs="宋体"/>
          <w:sz w:val="24"/>
          <w:szCs w:val="24"/>
        </w:rPr>
        <w:t>以及未被列入失信被执行人、重大税收违法失信主体、政府采购严重违法失信行为等不良记录被政府有关部门处罚或仍在处罚期限内的情形存在；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w:t>
      </w:r>
      <w:r>
        <w:rPr>
          <w:rFonts w:hint="eastAsia" w:ascii="宋体" w:hAnsi="宋体" w:cs="宋体"/>
          <w:sz w:val="24"/>
          <w:szCs w:val="24"/>
          <w:lang w:val="en-US" w:eastAsia="zh-CN"/>
        </w:rPr>
        <w:t>前</w:t>
      </w:r>
      <w:r>
        <w:rPr>
          <w:rFonts w:hint="eastAsia" w:ascii="宋体" w:hAnsi="宋体" w:cs="宋体"/>
          <w:sz w:val="24"/>
          <w:szCs w:val="24"/>
        </w:rPr>
        <w:t>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30"/>
      </w:pPr>
    </w:p>
    <w:p w14:paraId="6230A3A6">
      <w:pPr>
        <w:rPr>
          <w:rFonts w:hint="eastAsia" w:ascii="宋体" w:hAnsi="宋体"/>
          <w:sz w:val="24"/>
          <w:szCs w:val="24"/>
        </w:rPr>
      </w:pPr>
    </w:p>
    <w:p w14:paraId="561DB0DB">
      <w:pPr>
        <w:pStyle w:val="13"/>
        <w:rPr>
          <w:rFonts w:hint="eastAsia"/>
        </w:rPr>
      </w:pPr>
    </w:p>
    <w:p w14:paraId="2026424D">
      <w:pPr>
        <w:rPr>
          <w:rFonts w:hint="eastAsia"/>
        </w:rPr>
      </w:pPr>
    </w:p>
    <w:p w14:paraId="5C9C11D3">
      <w:pPr>
        <w:pStyle w:val="4"/>
        <w:rPr>
          <w:rFonts w:hint="eastAsia"/>
        </w:rPr>
      </w:pPr>
    </w:p>
    <w:p w14:paraId="446056C0">
      <w:pPr>
        <w:rPr>
          <w:rFonts w:hint="eastAsia"/>
        </w:rPr>
      </w:pPr>
    </w:p>
    <w:p w14:paraId="45D3F53E">
      <w:pPr>
        <w:widowControl/>
        <w:shd w:val="clear" w:color="auto" w:fill="FFFFFF"/>
        <w:spacing w:before="156" w:beforeLines="50" w:after="156" w:afterLines="50"/>
        <w:jc w:val="both"/>
        <w:textAlignment w:val="baseline"/>
        <w:rPr>
          <w:rFonts w:hint="eastAsia" w:ascii="宋体" w:hAnsi="宋体" w:eastAsia="宋体" w:cs="宋体"/>
          <w:b/>
          <w:color w:val="auto"/>
          <w:kern w:val="0"/>
          <w:sz w:val="24"/>
          <w:szCs w:val="24"/>
          <w:lang w:eastAsia="zh-CN"/>
        </w:rPr>
      </w:pPr>
      <w:r>
        <w:rPr>
          <w:rFonts w:hint="eastAsia" w:ascii="宋体" w:hAnsi="宋体" w:cs="宋体"/>
          <w:b/>
          <w:color w:val="auto"/>
          <w:kern w:val="0"/>
          <w:sz w:val="24"/>
          <w:szCs w:val="24"/>
          <w:lang w:val="en-US" w:eastAsia="zh-CN"/>
        </w:rPr>
        <w:t>3、</w:t>
      </w:r>
      <w:r>
        <w:rPr>
          <w:rFonts w:hint="eastAsia" w:ascii="宋体" w:hAnsi="宋体" w:eastAsia="宋体" w:cs="宋体"/>
          <w:b/>
          <w:color w:val="auto"/>
          <w:kern w:val="0"/>
          <w:sz w:val="24"/>
          <w:szCs w:val="24"/>
        </w:rPr>
        <w:t>中小企业声明函</w:t>
      </w:r>
      <w:r>
        <w:rPr>
          <w:rFonts w:hint="eastAsia" w:ascii="宋体" w:hAnsi="宋体" w:eastAsia="宋体" w:cs="宋体"/>
          <w:b/>
          <w:color w:val="auto"/>
          <w:kern w:val="0"/>
          <w:sz w:val="24"/>
          <w:szCs w:val="24"/>
          <w:lang w:eastAsia="zh-CN"/>
        </w:rPr>
        <w:t>（货物）</w:t>
      </w:r>
    </w:p>
    <w:p w14:paraId="42013CCF">
      <w:pPr>
        <w:widowControl/>
        <w:shd w:val="clear" w:color="auto" w:fill="FFFFFF"/>
        <w:spacing w:after="240" w:line="360" w:lineRule="auto"/>
        <w:ind w:firstLine="480"/>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本公司</w:t>
      </w:r>
      <w:r>
        <w:rPr>
          <w:rFonts w:hint="eastAsia" w:ascii="宋体" w:hAnsi="宋体" w:eastAsia="宋体" w:cs="宋体"/>
          <w:color w:val="auto"/>
          <w:kern w:val="0"/>
          <w:sz w:val="24"/>
          <w:lang w:eastAsia="zh-CN"/>
        </w:rPr>
        <w:t>（联合体）</w:t>
      </w:r>
      <w:r>
        <w:rPr>
          <w:rFonts w:hint="eastAsia" w:ascii="宋体" w:hAnsi="宋体" w:eastAsia="宋体" w:cs="宋体"/>
          <w:color w:val="auto"/>
          <w:kern w:val="0"/>
          <w:sz w:val="24"/>
        </w:rPr>
        <w:t>郑重声明，根据关于印发《政府采购促进中小企业发展管理办法》的通知（财库〔2020〕46号）的规定，本公司参加</w:t>
      </w:r>
      <w:r>
        <w:rPr>
          <w:rFonts w:hint="eastAsia" w:ascii="宋体" w:hAnsi="宋体" w:eastAsia="宋体" w:cs="宋体"/>
          <w:color w:val="auto"/>
          <w:kern w:val="0"/>
          <w:sz w:val="24"/>
          <w:u w:val="single"/>
          <w:lang w:val="en-US" w:eastAsia="zh-CN"/>
        </w:rPr>
        <w:t xml:space="preserve"> </w:t>
      </w:r>
      <w:r>
        <w:rPr>
          <w:rFonts w:hint="eastAsia" w:ascii="宋体" w:hAnsi="宋体" w:cs="宋体"/>
          <w:color w:val="auto"/>
          <w:kern w:val="0"/>
          <w:sz w:val="24"/>
          <w:u w:val="single"/>
          <w:lang w:val="en-US" w:eastAsia="zh-CN"/>
        </w:rPr>
        <w:t>镇坪县农业技术推广站</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单位名称</w:t>
      </w:r>
      <w:r>
        <w:rPr>
          <w:rFonts w:hint="eastAsia" w:ascii="宋体" w:hAnsi="宋体" w:eastAsia="宋体" w:cs="宋体"/>
          <w:color w:val="auto"/>
          <w:kern w:val="0"/>
          <w:sz w:val="24"/>
        </w:rPr>
        <w:t>）的</w:t>
      </w:r>
      <w:r>
        <w:rPr>
          <w:rFonts w:hint="eastAsia" w:ascii="宋体" w:hAnsi="宋体" w:eastAsia="宋体" w:cs="宋体"/>
          <w:color w:val="auto"/>
          <w:kern w:val="0"/>
          <w:sz w:val="24"/>
          <w:u w:val="single"/>
          <w:lang w:val="en-US" w:eastAsia="zh-CN"/>
        </w:rPr>
        <w:t xml:space="preserve"> </w:t>
      </w:r>
      <w:r>
        <w:rPr>
          <w:rFonts w:hint="eastAsia" w:ascii="宋体" w:hAnsi="宋体" w:cs="宋体"/>
          <w:color w:val="auto"/>
          <w:kern w:val="0"/>
          <w:sz w:val="24"/>
          <w:u w:val="single"/>
          <w:lang w:val="en-US" w:eastAsia="zh-CN"/>
        </w:rPr>
        <w:t>镇坪县2025年耕地质量保护与提升项目</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eastAsia="zh-CN"/>
        </w:rPr>
        <w:t>（项目名称）</w:t>
      </w:r>
      <w:r>
        <w:rPr>
          <w:rFonts w:hint="eastAsia" w:ascii="宋体" w:hAnsi="宋体" w:eastAsia="宋体" w:cs="宋体"/>
          <w:color w:val="auto"/>
          <w:kern w:val="0"/>
          <w:sz w:val="24"/>
        </w:rPr>
        <w:t>项目采购活动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提供的货物</w:t>
      </w:r>
      <w:r>
        <w:rPr>
          <w:rFonts w:hint="eastAsia" w:ascii="宋体" w:hAnsi="宋体" w:eastAsia="宋体" w:cs="宋体"/>
          <w:color w:val="auto"/>
          <w:kern w:val="0"/>
          <w:sz w:val="24"/>
          <w:lang w:eastAsia="zh-CN"/>
        </w:rPr>
        <w:t>全部由符合政策要求的中小企业制造，相关企业（含联合体中的中小企业、签订分包意向协议的中小企业）的具体情况如下：</w:t>
      </w:r>
    </w:p>
    <w:p w14:paraId="2226EFD8">
      <w:pPr>
        <w:pStyle w:val="20"/>
        <w:keepNext w:val="0"/>
        <w:keepLines w:val="0"/>
        <w:pageBreakBefore w:val="0"/>
        <w:widowControl/>
        <w:numPr>
          <w:ilvl w:val="0"/>
          <w:numId w:val="7"/>
        </w:numPr>
        <w:suppressLineNumbers w:val="0"/>
        <w:kinsoku/>
        <w:wordWrap/>
        <w:overflowPunct/>
        <w:topLinePunct w:val="0"/>
        <w:autoSpaceDE/>
        <w:autoSpaceDN/>
        <w:bidi w:val="0"/>
        <w:adjustRightInd/>
        <w:snapToGrid/>
        <w:spacing w:before="226" w:beforeAutospacing="0" w:after="0" w:afterAutospacing="0" w:line="52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u w:val="single"/>
          <w:lang w:val="en-US" w:eastAsia="zh-CN"/>
        </w:rPr>
        <w:t xml:space="preserve"> </w:t>
      </w:r>
      <w:r>
        <w:rPr>
          <w:rFonts w:hint="eastAsia" w:cs="宋体"/>
          <w:color w:val="auto"/>
          <w:kern w:val="0"/>
          <w:sz w:val="24"/>
          <w:u w:val="singl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（标的名称或货物名称），属于</w:t>
      </w:r>
      <w:r>
        <w:rPr>
          <w:rFonts w:hint="eastAsia" w:ascii="宋体" w:hAnsi="宋体" w:eastAsia="宋体" w:cs="宋体"/>
          <w:color w:val="auto"/>
          <w:kern w:val="0"/>
          <w:sz w:val="24"/>
          <w:u w:val="single"/>
          <w:lang w:val="en-US" w:eastAsia="zh-CN"/>
        </w:rPr>
        <w:t xml:space="preserve">  </w:t>
      </w:r>
      <w:r>
        <w:rPr>
          <w:rFonts w:hint="eastAsia" w:cs="宋体"/>
          <w:color w:val="auto"/>
          <w:kern w:val="0"/>
          <w:sz w:val="24"/>
          <w:u w:val="singl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（采购文件中明确的所属行业）行业，制造商为</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（中型企业、小型企业、微型企业）；</w:t>
      </w:r>
    </w:p>
    <w:p w14:paraId="793F537F">
      <w:pPr>
        <w:pStyle w:val="20"/>
        <w:keepNext w:val="0"/>
        <w:keepLines w:val="0"/>
        <w:pageBreakBefore w:val="0"/>
        <w:widowControl/>
        <w:numPr>
          <w:ilvl w:val="0"/>
          <w:numId w:val="7"/>
        </w:numPr>
        <w:suppressLineNumbers w:val="0"/>
        <w:kinsoku/>
        <w:wordWrap/>
        <w:overflowPunct/>
        <w:topLinePunct w:val="0"/>
        <w:autoSpaceDE/>
        <w:autoSpaceDN/>
        <w:bidi w:val="0"/>
        <w:adjustRightInd/>
        <w:snapToGrid/>
        <w:spacing w:before="226" w:beforeAutospacing="0" w:after="0" w:afterAutospacing="0" w:line="52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（标的名称或货物名称），属于</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（采购文件中明确的所属行业）行业，制造商为</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（中型企业、小型企业、微型企业）；</w:t>
      </w:r>
    </w:p>
    <w:p w14:paraId="2E9F5E7B">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226" w:beforeAutospacing="0" w:after="0" w:afterAutospacing="0" w:line="520" w:lineRule="exact"/>
        <w:ind w:leftChars="200" w:right="0" w:righ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p w14:paraId="11B70261">
      <w:pPr>
        <w:keepNext w:val="0"/>
        <w:keepLines w:val="0"/>
        <w:pageBreakBefore w:val="0"/>
        <w:widowControl/>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2913B2F4">
      <w:pPr>
        <w:keepNext w:val="0"/>
        <w:keepLines w:val="0"/>
        <w:pageBreakBefore w:val="0"/>
        <w:widowControl/>
        <w:kinsoku/>
        <w:wordWrap/>
        <w:overflowPunct/>
        <w:topLinePunct w:val="0"/>
        <w:autoSpaceDE/>
        <w:autoSpaceDN/>
        <w:bidi w:val="0"/>
        <w:adjustRightInd/>
        <w:snapToGrid/>
        <w:spacing w:beforeLines="0" w:afterLines="0" w:line="520" w:lineRule="exact"/>
        <w:jc w:val="left"/>
        <w:textAlignment w:val="auto"/>
        <w:rPr>
          <w:rFonts w:hint="eastAsia" w:ascii="宋体" w:hAnsi="宋体" w:eastAsia="宋体" w:cs="宋体"/>
          <w:color w:val="auto"/>
          <w:sz w:val="24"/>
          <w:szCs w:val="24"/>
        </w:rPr>
      </w:pPr>
    </w:p>
    <w:p w14:paraId="7CB95C9B">
      <w:pPr>
        <w:keepNext w:val="0"/>
        <w:keepLines w:val="0"/>
        <w:pageBreakBefore w:val="0"/>
        <w:widowControl/>
        <w:kinsoku/>
        <w:wordWrap/>
        <w:overflowPunct/>
        <w:topLinePunct w:val="0"/>
        <w:autoSpaceDE/>
        <w:autoSpaceDN/>
        <w:bidi w:val="0"/>
        <w:adjustRightInd/>
        <w:snapToGrid/>
        <w:spacing w:beforeLines="0" w:afterLines="0"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7C66C0BD">
      <w:pPr>
        <w:keepNext w:val="0"/>
        <w:keepLines w:val="0"/>
        <w:pageBreakBefore w:val="0"/>
        <w:widowControl/>
        <w:kinsoku/>
        <w:wordWrap w:val="0"/>
        <w:overflowPunct/>
        <w:topLinePunct w:val="0"/>
        <w:autoSpaceDE/>
        <w:autoSpaceDN/>
        <w:bidi w:val="0"/>
        <w:adjustRightInd/>
        <w:snapToGrid/>
        <w:spacing w:beforeLines="0" w:afterLines="0" w:line="520" w:lineRule="exact"/>
        <w:jc w:val="righ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企业名称（盖章）：</w:t>
      </w:r>
      <w:r>
        <w:rPr>
          <w:rFonts w:hint="eastAsia" w:ascii="宋体" w:hAnsi="宋体" w:eastAsia="宋体" w:cs="宋体"/>
          <w:color w:val="auto"/>
          <w:sz w:val="24"/>
          <w:szCs w:val="24"/>
          <w:lang w:val="en-US" w:eastAsia="zh-CN"/>
        </w:rPr>
        <w:t xml:space="preserve">                                </w:t>
      </w:r>
    </w:p>
    <w:p w14:paraId="1A158D65">
      <w:pPr>
        <w:keepNext w:val="0"/>
        <w:keepLines w:val="0"/>
        <w:pageBreakBefore w:val="0"/>
        <w:widowControl/>
        <w:kinsoku/>
        <w:wordWrap/>
        <w:overflowPunct/>
        <w:topLinePunct w:val="0"/>
        <w:autoSpaceDE/>
        <w:autoSpaceDN/>
        <w:bidi w:val="0"/>
        <w:adjustRightInd/>
        <w:snapToGrid/>
        <w:spacing w:beforeLines="0" w:afterLines="0" w:line="520" w:lineRule="exact"/>
        <w:ind w:firstLine="3120" w:firstLineChars="13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14:paraId="58632BD0">
      <w:pPr>
        <w:pStyle w:val="9"/>
        <w:rPr>
          <w:rFonts w:hint="eastAsia" w:ascii="宋体" w:hAnsi="宋体" w:eastAsia="宋体" w:cs="宋体"/>
          <w:color w:val="auto"/>
          <w:sz w:val="24"/>
          <w:szCs w:val="24"/>
        </w:rPr>
      </w:pPr>
    </w:p>
    <w:p w14:paraId="69202097">
      <w:pPr>
        <w:pStyle w:val="9"/>
        <w:rPr>
          <w:rFonts w:hint="eastAsia" w:ascii="宋体" w:hAnsi="宋体" w:eastAsia="宋体" w:cs="宋体"/>
          <w:color w:val="auto"/>
        </w:rPr>
      </w:pPr>
    </w:p>
    <w:p w14:paraId="51A45FA1">
      <w:pPr>
        <w:rPr>
          <w:rFonts w:hint="eastAsia" w:ascii="宋体" w:hAnsi="宋体" w:eastAsia="宋体" w:cs="宋体"/>
          <w:color w:val="auto"/>
          <w:sz w:val="20"/>
          <w:szCs w:val="28"/>
        </w:rPr>
      </w:pPr>
      <w:r>
        <w:rPr>
          <w:rFonts w:hint="eastAsia" w:ascii="宋体" w:hAnsi="宋体" w:eastAsia="宋体" w:cs="宋体"/>
          <w:color w:val="auto"/>
          <w:sz w:val="13"/>
          <w:szCs w:val="28"/>
        </w:rPr>
        <w:t xml:space="preserve">1 </w:t>
      </w:r>
      <w:r>
        <w:rPr>
          <w:rFonts w:hint="eastAsia" w:ascii="宋体" w:hAnsi="宋体" w:eastAsia="宋体" w:cs="宋体"/>
          <w:color w:val="auto"/>
          <w:sz w:val="20"/>
          <w:szCs w:val="28"/>
        </w:rPr>
        <w:t>从业人员、营业收入、资产总额填报上一年度数据，无上一年度数据的新成立企业可不填报。</w:t>
      </w:r>
    </w:p>
    <w:p w14:paraId="0B00477A">
      <w:pPr>
        <w:spacing w:line="480" w:lineRule="exact"/>
        <w:ind w:firstLine="562" w:firstLineChars="200"/>
        <w:jc w:val="center"/>
        <w:rPr>
          <w:rFonts w:hint="eastAsia" w:ascii="宋体" w:hAnsi="宋体" w:eastAsia="宋体" w:cs="宋体"/>
          <w:b/>
          <w:bCs/>
          <w:color w:val="auto"/>
          <w:sz w:val="28"/>
          <w:szCs w:val="28"/>
          <w:lang w:eastAsia="zh-CN"/>
        </w:rPr>
      </w:pPr>
    </w:p>
    <w:p w14:paraId="1E13AEB0">
      <w:pPr>
        <w:spacing w:line="480" w:lineRule="exact"/>
        <w:ind w:firstLine="562" w:firstLineChars="200"/>
        <w:jc w:val="center"/>
        <w:rPr>
          <w:rFonts w:hint="eastAsia" w:ascii="宋体" w:hAnsi="宋体" w:eastAsia="宋体" w:cs="宋体"/>
          <w:b/>
          <w:bCs/>
          <w:color w:val="auto"/>
          <w:sz w:val="28"/>
          <w:szCs w:val="28"/>
          <w:lang w:eastAsia="zh-CN"/>
        </w:rPr>
      </w:pPr>
    </w:p>
    <w:p w14:paraId="7D834C28">
      <w:pPr>
        <w:spacing w:line="480" w:lineRule="exact"/>
        <w:ind w:firstLine="562" w:firstLineChars="200"/>
        <w:jc w:val="center"/>
        <w:rPr>
          <w:rFonts w:hint="eastAsia" w:ascii="宋体" w:hAnsi="宋体" w:eastAsia="宋体" w:cs="宋体"/>
          <w:b/>
          <w:bCs/>
          <w:color w:val="auto"/>
          <w:sz w:val="28"/>
          <w:szCs w:val="28"/>
          <w:lang w:eastAsia="zh-CN"/>
        </w:rPr>
      </w:pPr>
    </w:p>
    <w:p w14:paraId="200D4F58">
      <w:pPr>
        <w:spacing w:line="480" w:lineRule="exact"/>
        <w:ind w:firstLine="562" w:firstLineChars="200"/>
        <w:jc w:val="center"/>
        <w:rPr>
          <w:rFonts w:hint="eastAsia" w:ascii="宋体" w:hAnsi="宋体" w:eastAsia="宋体" w:cs="宋体"/>
          <w:b/>
          <w:bCs/>
          <w:color w:val="auto"/>
          <w:sz w:val="28"/>
          <w:szCs w:val="28"/>
          <w:lang w:eastAsia="zh-CN"/>
        </w:rPr>
      </w:pPr>
    </w:p>
    <w:p w14:paraId="3B62BCF1">
      <w:pPr>
        <w:spacing w:line="480" w:lineRule="exact"/>
        <w:ind w:firstLine="562" w:firstLineChars="200"/>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八</w:t>
      </w:r>
      <w:r>
        <w:rPr>
          <w:rFonts w:hint="eastAsia" w:ascii="宋体" w:hAnsi="宋体" w:eastAsia="宋体" w:cs="宋体"/>
          <w:b/>
          <w:bCs/>
          <w:color w:val="auto"/>
          <w:sz w:val="28"/>
          <w:szCs w:val="28"/>
        </w:rPr>
        <w:t>、磋商方案</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售后服务承诺</w:t>
      </w:r>
    </w:p>
    <w:p w14:paraId="40C4929E">
      <w:pPr>
        <w:spacing w:line="440" w:lineRule="exact"/>
        <w:jc w:val="center"/>
        <w:outlineLvl w:val="1"/>
        <w:rPr>
          <w:rFonts w:hint="eastAsia" w:ascii="宋体" w:hAnsi="宋体" w:eastAsia="宋体" w:cs="宋体"/>
          <w:b/>
          <w:bCs/>
          <w:color w:val="auto"/>
          <w:sz w:val="24"/>
          <w:szCs w:val="24"/>
        </w:rPr>
      </w:pPr>
    </w:p>
    <w:p w14:paraId="6F18B227">
      <w:pPr>
        <w:spacing w:line="440" w:lineRule="exact"/>
        <w:jc w:val="center"/>
        <w:outlineLvl w:val="1"/>
        <w:rPr>
          <w:rFonts w:hint="eastAsia" w:ascii="宋体" w:hAnsi="宋体" w:eastAsia="宋体" w:cs="宋体"/>
          <w:b/>
          <w:bCs/>
          <w:color w:val="auto"/>
          <w:sz w:val="24"/>
          <w:szCs w:val="24"/>
        </w:rPr>
      </w:pPr>
    </w:p>
    <w:p w14:paraId="4E68DEBF">
      <w:pPr>
        <w:numPr>
          <w:ilvl w:val="0"/>
          <w:numId w:val="0"/>
        </w:numPr>
        <w:spacing w:line="360" w:lineRule="auto"/>
        <w:ind w:firstLine="241" w:firstLineChars="1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color w:val="auto"/>
          <w:sz w:val="24"/>
          <w:szCs w:val="24"/>
        </w:rPr>
        <w:t>按照磋商文件的</w:t>
      </w:r>
      <w:r>
        <w:rPr>
          <w:rFonts w:hint="eastAsia" w:ascii="宋体" w:hAnsi="宋体" w:eastAsia="宋体" w:cs="宋体"/>
          <w:color w:val="auto"/>
          <w:sz w:val="24"/>
          <w:szCs w:val="24"/>
          <w:lang w:eastAsia="zh-CN"/>
        </w:rPr>
        <w:t>评分</w:t>
      </w:r>
      <w:r>
        <w:rPr>
          <w:rFonts w:hint="eastAsia" w:ascii="宋体" w:hAnsi="宋体" w:eastAsia="宋体" w:cs="宋体"/>
          <w:color w:val="auto"/>
          <w:sz w:val="24"/>
          <w:szCs w:val="24"/>
        </w:rPr>
        <w:t>要求编写投标方案及售后服务承诺，格式自拟</w:t>
      </w:r>
    </w:p>
    <w:p w14:paraId="21B16FA8">
      <w:pPr>
        <w:kinsoku w:val="0"/>
        <w:spacing w:line="360" w:lineRule="auto"/>
        <w:rPr>
          <w:rFonts w:hint="eastAsia" w:ascii="宋体" w:hAnsi="宋体" w:eastAsia="宋体" w:cs="宋体"/>
          <w:color w:val="auto"/>
          <w:sz w:val="24"/>
          <w:szCs w:val="24"/>
        </w:rPr>
      </w:pPr>
    </w:p>
    <w:p w14:paraId="06245308">
      <w:pPr>
        <w:tabs>
          <w:tab w:val="left" w:pos="720"/>
          <w:tab w:val="left" w:pos="8364"/>
        </w:tabs>
        <w:adjustRightInd w:val="0"/>
        <w:snapToGrid w:val="0"/>
        <w:rPr>
          <w:rFonts w:hint="eastAsia" w:ascii="宋体" w:hAnsi="宋体" w:eastAsia="宋体" w:cs="宋体"/>
          <w:color w:val="auto"/>
          <w:sz w:val="24"/>
          <w:szCs w:val="24"/>
        </w:rPr>
      </w:pPr>
    </w:p>
    <w:p w14:paraId="446110B9">
      <w:pPr>
        <w:tabs>
          <w:tab w:val="left" w:pos="720"/>
          <w:tab w:val="left" w:pos="8364"/>
        </w:tabs>
        <w:adjustRightInd w:val="0"/>
        <w:snapToGrid w:val="0"/>
        <w:rPr>
          <w:rFonts w:hint="eastAsia" w:ascii="宋体" w:hAnsi="宋体" w:eastAsia="宋体" w:cs="宋体"/>
          <w:color w:val="auto"/>
          <w:sz w:val="24"/>
          <w:szCs w:val="24"/>
        </w:rPr>
      </w:pPr>
    </w:p>
    <w:p w14:paraId="2D3806DA">
      <w:pPr>
        <w:tabs>
          <w:tab w:val="left" w:pos="720"/>
          <w:tab w:val="left" w:pos="8364"/>
        </w:tabs>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p>
    <w:p w14:paraId="47CAD028">
      <w:pPr>
        <w:rPr>
          <w:rFonts w:hint="eastAsia" w:ascii="宋体" w:hAnsi="宋体" w:eastAsia="宋体" w:cs="宋体"/>
          <w:color w:val="auto"/>
          <w:sz w:val="24"/>
          <w:szCs w:val="24"/>
        </w:rPr>
      </w:pPr>
    </w:p>
    <w:p w14:paraId="2C50FEF3">
      <w:pPr>
        <w:spacing w:line="480" w:lineRule="auto"/>
        <w:ind w:firstLine="2409" w:firstLineChars="1000"/>
        <w:rPr>
          <w:rFonts w:hint="eastAsia" w:ascii="宋体" w:hAnsi="宋体" w:eastAsia="宋体" w:cs="宋体"/>
          <w:b/>
          <w:color w:val="auto"/>
          <w:sz w:val="24"/>
          <w:szCs w:val="24"/>
        </w:rPr>
      </w:pPr>
    </w:p>
    <w:p w14:paraId="574AFFB6">
      <w:pPr>
        <w:jc w:val="both"/>
        <w:rPr>
          <w:rFonts w:hint="eastAsia" w:ascii="宋体" w:hAnsi="宋体" w:eastAsia="宋体" w:cs="宋体"/>
          <w:color w:val="auto"/>
        </w:rPr>
      </w:pPr>
      <w:bookmarkStart w:id="154" w:name="_Toc25411"/>
      <w:bookmarkStart w:id="155" w:name="_Toc11970"/>
      <w:r>
        <w:rPr>
          <w:rFonts w:hint="eastAsia" w:ascii="宋体" w:hAnsi="宋体" w:eastAsia="宋体" w:cs="宋体"/>
          <w:color w:val="auto"/>
          <w:sz w:val="24"/>
          <w:lang w:val="en-US" w:eastAsia="zh-CN"/>
        </w:rPr>
        <w:t xml:space="preserve">                    </w:t>
      </w:r>
    </w:p>
    <w:p w14:paraId="58F53723">
      <w:pPr>
        <w:rPr>
          <w:rFonts w:hint="eastAsia" w:ascii="宋体" w:hAnsi="宋体" w:eastAsia="宋体" w:cs="宋体"/>
          <w:color w:val="auto"/>
          <w:lang w:val="en-US" w:eastAsia="zh-CN"/>
        </w:rPr>
        <w:sectPr>
          <w:pgSz w:w="11906" w:h="16838"/>
          <w:pgMar w:top="1440" w:right="1417" w:bottom="1440" w:left="1417" w:header="851" w:footer="992" w:gutter="0"/>
          <w:cols w:space="720" w:num="1"/>
          <w:docGrid w:type="lines" w:linePitch="312" w:charSpace="0"/>
        </w:sectPr>
      </w:pPr>
    </w:p>
    <w:p w14:paraId="4D03E77C">
      <w:pPr>
        <w:widowControl/>
        <w:ind w:firstLine="843" w:firstLineChars="300"/>
        <w:jc w:val="center"/>
        <w:rPr>
          <w:rFonts w:hint="eastAsia" w:ascii="宋体" w:hAnsi="宋体" w:eastAsia="宋体" w:cs="宋体"/>
          <w:b/>
          <w:bCs/>
          <w:color w:val="auto"/>
          <w:kern w:val="0"/>
          <w:sz w:val="24"/>
          <w:szCs w:val="24"/>
        </w:rPr>
      </w:pPr>
      <w:r>
        <w:rPr>
          <w:rFonts w:hint="eastAsia" w:ascii="宋体" w:hAnsi="宋体" w:eastAsia="宋体" w:cs="宋体"/>
          <w:b/>
          <w:color w:val="auto"/>
          <w:sz w:val="28"/>
          <w:szCs w:val="28"/>
          <w:lang w:eastAsia="zh-CN"/>
        </w:rPr>
        <w:t>九</w:t>
      </w:r>
      <w:r>
        <w:rPr>
          <w:rFonts w:hint="eastAsia" w:ascii="宋体" w:hAnsi="宋体" w:eastAsia="宋体" w:cs="宋体"/>
          <w:b/>
          <w:bCs/>
          <w:color w:val="auto"/>
          <w:sz w:val="28"/>
          <w:szCs w:val="28"/>
        </w:rPr>
        <w:t>、供应商拒绝政府采购领域商业贿赂承诺书</w:t>
      </w:r>
      <w:r>
        <w:rPr>
          <w:rFonts w:hint="eastAsia" w:ascii="宋体" w:hAnsi="宋体" w:eastAsia="宋体" w:cs="宋体"/>
          <w:b/>
          <w:bCs/>
          <w:color w:val="auto"/>
          <w:kern w:val="0"/>
          <w:sz w:val="24"/>
          <w:szCs w:val="24"/>
        </w:rPr>
        <w:br w:type="textWrapping"/>
      </w:r>
    </w:p>
    <w:p w14:paraId="7B722E7A">
      <w:pPr>
        <w:widowControl/>
        <w:ind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为响应党中央、国务院关于治理政府采购领域商业贿赂行为的号召，我单位在此庄严承诺：</w:t>
      </w:r>
    </w:p>
    <w:p w14:paraId="024A7E76">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1、在参与政府采购活动中遵纪守法、诚信经营、公平竞标。</w:t>
      </w:r>
    </w:p>
    <w:p w14:paraId="66691057">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2、不向政府采购人、采购代理机构和政府采购评审专家进行任何形式的商业贿赂以谋取交易机会。</w:t>
      </w:r>
    </w:p>
    <w:p w14:paraId="54D14D0F">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3、不向政府采购代理机构和采购人提供虚假资质文件或采用虚假应标方式参与政府采购市场竞争并谋取中标、成交。</w:t>
      </w:r>
    </w:p>
    <w:p w14:paraId="6FBA037D">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4、不采取“围标、陪标”等商业欺诈手段获得政府采购</w:t>
      </w:r>
      <w:r>
        <w:rPr>
          <w:rFonts w:hint="eastAsia" w:ascii="宋体" w:hAnsi="宋体" w:eastAsia="宋体" w:cs="宋体"/>
          <w:color w:val="auto"/>
          <w:sz w:val="24"/>
          <w:szCs w:val="24"/>
          <w:lang w:eastAsia="zh-CN"/>
        </w:rPr>
        <w:t>订单</w:t>
      </w:r>
      <w:r>
        <w:rPr>
          <w:rFonts w:hint="eastAsia" w:ascii="宋体" w:hAnsi="宋体" w:eastAsia="宋体" w:cs="宋体"/>
          <w:color w:val="auto"/>
          <w:sz w:val="24"/>
          <w:szCs w:val="24"/>
        </w:rPr>
        <w:t>。</w:t>
      </w:r>
    </w:p>
    <w:p w14:paraId="1B13A334">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5、不采取不正当手段</w:t>
      </w:r>
      <w:r>
        <w:rPr>
          <w:rFonts w:hint="eastAsia" w:ascii="宋体" w:hAnsi="宋体" w:eastAsia="宋体" w:cs="宋体"/>
          <w:color w:val="auto"/>
          <w:sz w:val="24"/>
          <w:szCs w:val="24"/>
          <w:lang w:eastAsia="zh-CN"/>
        </w:rPr>
        <w:t>诋</w:t>
      </w:r>
      <w:r>
        <w:rPr>
          <w:rFonts w:hint="eastAsia" w:ascii="宋体" w:hAnsi="宋体" w:eastAsia="宋体" w:cs="宋体"/>
          <w:color w:val="auto"/>
          <w:sz w:val="24"/>
          <w:szCs w:val="24"/>
        </w:rPr>
        <w:t>毁、排挤其他供应商。</w:t>
      </w:r>
    </w:p>
    <w:p w14:paraId="23BE2666">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6、不在提供商品和服务时“偷梁换柱、以次充好”损害采购人的合法权益。</w:t>
      </w:r>
    </w:p>
    <w:p w14:paraId="08B45D6C">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7、不与采购人、采购代理机构政府采购评审专家</w:t>
      </w:r>
      <w:r>
        <w:rPr>
          <w:rFonts w:hint="eastAsia" w:ascii="宋体" w:hAnsi="宋体" w:eastAsia="宋体" w:cs="宋体"/>
          <w:color w:val="auto"/>
          <w:sz w:val="24"/>
          <w:szCs w:val="24"/>
          <w:lang w:eastAsia="zh-CN"/>
        </w:rPr>
        <w:t>或其他</w:t>
      </w:r>
      <w:r>
        <w:rPr>
          <w:rFonts w:hint="eastAsia" w:ascii="宋体" w:hAnsi="宋体" w:eastAsia="宋体" w:cs="宋体"/>
          <w:color w:val="auto"/>
          <w:sz w:val="24"/>
          <w:szCs w:val="24"/>
        </w:rPr>
        <w:t>供应商恶意串通，进行质疑和投诉，维护政府采购市场秩序。</w:t>
      </w:r>
    </w:p>
    <w:p w14:paraId="19DB802E">
      <w:pPr>
        <w:widowControl/>
        <w:spacing w:line="44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8、尊重和接受政府采购监督管理部门的监督和政府采购代理机构磋商采购要求，承担因违约行为给采购人造成的损失。</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9、不发生其他有悖于政府采购公开、公平、公正和诚信原则的行为。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承诺单位：</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（盖章）</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w:t>
      </w:r>
      <w:r>
        <w:rPr>
          <w:rFonts w:hint="eastAsia" w:ascii="宋体" w:hAnsi="宋体" w:eastAsia="宋体" w:cs="宋体"/>
          <w:color w:val="auto"/>
          <w:sz w:val="24"/>
        </w:rPr>
        <w:t>法定代表人或委托代理人</w:t>
      </w:r>
      <w:r>
        <w:rPr>
          <w:rFonts w:hint="eastAsia" w:ascii="宋体" w:hAnsi="宋体" w:eastAsia="宋体" w:cs="宋体"/>
          <w:color w:val="auto"/>
          <w:sz w:val="24"/>
          <w:lang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r>
        <w:rPr>
          <w:rFonts w:hint="eastAsia" w:ascii="宋体" w:hAnsi="宋体" w:eastAsia="宋体" w:cs="宋体"/>
          <w:color w:val="auto"/>
          <w:sz w:val="24"/>
          <w:lang w:eastAsia="zh-CN"/>
        </w:rPr>
        <w:t>或盖章</w:t>
      </w:r>
      <w:r>
        <w:rPr>
          <w:rFonts w:hint="eastAsia" w:ascii="宋体" w:hAnsi="宋体" w:eastAsia="宋体" w:cs="宋体"/>
          <w:color w:val="auto"/>
          <w:sz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地　　址：</w:t>
      </w:r>
      <w:r>
        <w:rPr>
          <w:rFonts w:hint="eastAsia" w:ascii="宋体" w:hAnsi="宋体" w:eastAsia="宋体" w:cs="宋体"/>
          <w:color w:val="auto"/>
          <w:sz w:val="24"/>
          <w:szCs w:val="24"/>
          <w:u w:val="single"/>
        </w:rPr>
        <w:t xml:space="preserve">                          </w:t>
      </w:r>
    </w:p>
    <w:p w14:paraId="0F55B903">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邮    编：</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电　　话：</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w:t>
      </w:r>
    </w:p>
    <w:p w14:paraId="6E512FF1">
      <w:pPr>
        <w:widowControl/>
        <w:spacing w:line="440" w:lineRule="exact"/>
        <w:ind w:firstLine="5760" w:firstLineChars="24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4EBD4074">
      <w:pPr>
        <w:rPr>
          <w:rFonts w:hint="eastAsia" w:ascii="宋体" w:hAnsi="宋体" w:eastAsia="宋体" w:cs="宋体"/>
          <w:color w:val="auto"/>
          <w:sz w:val="24"/>
          <w:szCs w:val="24"/>
        </w:rPr>
      </w:pPr>
    </w:p>
    <w:p w14:paraId="34580128">
      <w:pPr>
        <w:pStyle w:val="9"/>
        <w:rPr>
          <w:rFonts w:hint="eastAsia" w:ascii="宋体" w:hAnsi="宋体" w:eastAsia="宋体" w:cs="宋体"/>
          <w:color w:val="auto"/>
          <w:sz w:val="24"/>
          <w:szCs w:val="24"/>
        </w:rPr>
      </w:pPr>
    </w:p>
    <w:bookmarkEnd w:id="154"/>
    <w:bookmarkEnd w:id="155"/>
    <w:p w14:paraId="078AF29A">
      <w:pPr>
        <w:rPr>
          <w:rFonts w:hint="eastAsia" w:ascii="宋体" w:hAnsi="宋体" w:eastAsia="宋体" w:cs="宋体"/>
          <w:color w:val="auto"/>
          <w:sz w:val="24"/>
          <w:szCs w:val="24"/>
        </w:rPr>
      </w:pPr>
    </w:p>
    <w:p w14:paraId="3DE2A55B">
      <w:pPr>
        <w:pStyle w:val="9"/>
        <w:rPr>
          <w:rFonts w:hint="eastAsia" w:ascii="宋体" w:hAnsi="宋体" w:eastAsia="宋体" w:cs="宋体"/>
          <w:color w:val="auto"/>
          <w:sz w:val="24"/>
          <w:szCs w:val="24"/>
        </w:rPr>
      </w:pPr>
    </w:p>
    <w:p w14:paraId="60E7042F">
      <w:pPr>
        <w:pStyle w:val="21"/>
        <w:ind w:left="0" w:leftChars="0" w:firstLine="0" w:firstLineChars="0"/>
        <w:rPr>
          <w:rFonts w:hint="eastAsia"/>
          <w:color w:val="auto"/>
        </w:rPr>
      </w:pPr>
    </w:p>
    <w:p w14:paraId="4B128DD3"/>
    <w:sectPr>
      <w:pgSz w:w="11906" w:h="16838"/>
      <w:pgMar w:top="1440" w:right="1463" w:bottom="1440" w:left="146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C55D">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2C168B">
                          <w:pPr>
                            <w:pStyle w:val="1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54</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A2C168B">
                    <w:pPr>
                      <w:pStyle w:val="1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54</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99F3">
    <w:pPr>
      <w:pStyle w:val="18"/>
      <w:pBdr>
        <w:bottom w:val="none" w:color="auto" w:sz="0" w:space="0"/>
      </w:pBd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CA2EB"/>
    <w:multiLevelType w:val="singleLevel"/>
    <w:tmpl w:val="8FCCA2EB"/>
    <w:lvl w:ilvl="0" w:tentative="0">
      <w:start w:val="2"/>
      <w:numFmt w:val="chineseCounting"/>
      <w:suff w:val="nothing"/>
      <w:lvlText w:val="%1、"/>
      <w:lvlJc w:val="left"/>
      <w:rPr>
        <w:rFonts w:hint="eastAsia" w:cs="Times New Roman"/>
      </w:rPr>
    </w:lvl>
  </w:abstractNum>
  <w:abstractNum w:abstractNumId="1">
    <w:nsid w:val="F1492585"/>
    <w:multiLevelType w:val="singleLevel"/>
    <w:tmpl w:val="F1492585"/>
    <w:lvl w:ilvl="0" w:tentative="0">
      <w:start w:val="2"/>
      <w:numFmt w:val="decimal"/>
      <w:suff w:val="nothing"/>
      <w:lvlText w:val="%1、"/>
      <w:lvlJc w:val="left"/>
    </w:lvl>
  </w:abstractNum>
  <w:abstractNum w:abstractNumId="2">
    <w:nsid w:val="F924AF7E"/>
    <w:multiLevelType w:val="singleLevel"/>
    <w:tmpl w:val="F924AF7E"/>
    <w:lvl w:ilvl="0" w:tentative="0">
      <w:start w:val="1"/>
      <w:numFmt w:val="decimal"/>
      <w:suff w:val="space"/>
      <w:lvlText w:val="%1、"/>
      <w:lvlJc w:val="left"/>
    </w:lvl>
  </w:abstractNum>
  <w:abstractNum w:abstractNumId="3">
    <w:nsid w:val="18052E7E"/>
    <w:multiLevelType w:val="singleLevel"/>
    <w:tmpl w:val="18052E7E"/>
    <w:lvl w:ilvl="0" w:tentative="0">
      <w:start w:val="1"/>
      <w:numFmt w:val="decimal"/>
      <w:suff w:val="nothing"/>
      <w:lvlText w:val="%1、"/>
      <w:lvlJc w:val="left"/>
    </w:lvl>
  </w:abstractNum>
  <w:abstractNum w:abstractNumId="4">
    <w:nsid w:val="1BA0C03A"/>
    <w:multiLevelType w:val="singleLevel"/>
    <w:tmpl w:val="1BA0C03A"/>
    <w:lvl w:ilvl="0" w:tentative="0">
      <w:start w:val="1"/>
      <w:numFmt w:val="decimal"/>
      <w:lvlText w:val="%1."/>
      <w:lvlJc w:val="left"/>
      <w:pPr>
        <w:tabs>
          <w:tab w:val="left" w:pos="312"/>
        </w:tabs>
      </w:pPr>
    </w:lvl>
  </w:abstractNum>
  <w:abstractNum w:abstractNumId="5">
    <w:nsid w:val="59B5F382"/>
    <w:multiLevelType w:val="singleLevel"/>
    <w:tmpl w:val="59B5F382"/>
    <w:lvl w:ilvl="0" w:tentative="0">
      <w:start w:val="1"/>
      <w:numFmt w:val="decimal"/>
      <w:suff w:val="nothing"/>
      <w:lvlText w:val="%1、"/>
      <w:lvlJc w:val="left"/>
      <w:pPr>
        <w:ind w:left="150"/>
      </w:pPr>
    </w:lvl>
  </w:abstractNum>
  <w:abstractNum w:abstractNumId="6">
    <w:nsid w:val="71B1CD1B"/>
    <w:multiLevelType w:val="singleLevel"/>
    <w:tmpl w:val="71B1CD1B"/>
    <w:lvl w:ilvl="0" w:tentative="0">
      <w:start w:val="1"/>
      <w:numFmt w:val="decimal"/>
      <w:suff w:val="nothing"/>
      <w:lvlText w:val="%1、"/>
      <w:lvlJc w:val="left"/>
      <w:rPr>
        <w:rFonts w:cs="Times New Roman"/>
      </w:r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655EC"/>
    <w:rsid w:val="002A7F7D"/>
    <w:rsid w:val="00C74EC1"/>
    <w:rsid w:val="00E4668A"/>
    <w:rsid w:val="01211AD4"/>
    <w:rsid w:val="02094A42"/>
    <w:rsid w:val="02E37041"/>
    <w:rsid w:val="032A2EC2"/>
    <w:rsid w:val="04310280"/>
    <w:rsid w:val="04DF7CDC"/>
    <w:rsid w:val="05816FE5"/>
    <w:rsid w:val="05A131E3"/>
    <w:rsid w:val="064D5B87"/>
    <w:rsid w:val="077A1F3E"/>
    <w:rsid w:val="0BDC41AC"/>
    <w:rsid w:val="0C6F7B97"/>
    <w:rsid w:val="106F0166"/>
    <w:rsid w:val="12490E8B"/>
    <w:rsid w:val="1283614B"/>
    <w:rsid w:val="12E666D9"/>
    <w:rsid w:val="13EC5F71"/>
    <w:rsid w:val="144813FA"/>
    <w:rsid w:val="166444E5"/>
    <w:rsid w:val="16EF0253"/>
    <w:rsid w:val="17D47448"/>
    <w:rsid w:val="21B36042"/>
    <w:rsid w:val="22AF6AE8"/>
    <w:rsid w:val="25115838"/>
    <w:rsid w:val="25950217"/>
    <w:rsid w:val="280B47C0"/>
    <w:rsid w:val="2AC46EA9"/>
    <w:rsid w:val="2ADD2398"/>
    <w:rsid w:val="2B5F65B7"/>
    <w:rsid w:val="2C901738"/>
    <w:rsid w:val="2D2F7543"/>
    <w:rsid w:val="2EE23DA1"/>
    <w:rsid w:val="2F8A3246"/>
    <w:rsid w:val="300A1801"/>
    <w:rsid w:val="31C3610C"/>
    <w:rsid w:val="32453B10"/>
    <w:rsid w:val="35B46497"/>
    <w:rsid w:val="373F6235"/>
    <w:rsid w:val="37403D5B"/>
    <w:rsid w:val="37AC319E"/>
    <w:rsid w:val="3A092B2A"/>
    <w:rsid w:val="3A8D5509"/>
    <w:rsid w:val="3B1D688D"/>
    <w:rsid w:val="3D000214"/>
    <w:rsid w:val="3E0C2BE9"/>
    <w:rsid w:val="3F4E170B"/>
    <w:rsid w:val="3F9133A5"/>
    <w:rsid w:val="41D659E7"/>
    <w:rsid w:val="441E71D2"/>
    <w:rsid w:val="44AE67A8"/>
    <w:rsid w:val="44E85C6E"/>
    <w:rsid w:val="451A5BEB"/>
    <w:rsid w:val="4AB523AE"/>
    <w:rsid w:val="4ACF1226"/>
    <w:rsid w:val="4B9A5CD8"/>
    <w:rsid w:val="4C4A01C2"/>
    <w:rsid w:val="4EA730D4"/>
    <w:rsid w:val="4EFE032C"/>
    <w:rsid w:val="54270BB2"/>
    <w:rsid w:val="54BF230B"/>
    <w:rsid w:val="55EB785C"/>
    <w:rsid w:val="57FE314A"/>
    <w:rsid w:val="5AEB3E5A"/>
    <w:rsid w:val="5CB85FBE"/>
    <w:rsid w:val="60093361"/>
    <w:rsid w:val="6049108E"/>
    <w:rsid w:val="611E12EE"/>
    <w:rsid w:val="62774225"/>
    <w:rsid w:val="628928F9"/>
    <w:rsid w:val="62A96BAB"/>
    <w:rsid w:val="64487C27"/>
    <w:rsid w:val="64B67287"/>
    <w:rsid w:val="652B2BD1"/>
    <w:rsid w:val="667411A7"/>
    <w:rsid w:val="679A4C3E"/>
    <w:rsid w:val="6A6D6639"/>
    <w:rsid w:val="6E290AC9"/>
    <w:rsid w:val="6EBF142E"/>
    <w:rsid w:val="6F60676D"/>
    <w:rsid w:val="6F6873CF"/>
    <w:rsid w:val="712D08D1"/>
    <w:rsid w:val="713954C7"/>
    <w:rsid w:val="717E2EDA"/>
    <w:rsid w:val="728C7879"/>
    <w:rsid w:val="73504D4A"/>
    <w:rsid w:val="743D707D"/>
    <w:rsid w:val="7463285B"/>
    <w:rsid w:val="74B445E4"/>
    <w:rsid w:val="75B4336E"/>
    <w:rsid w:val="75EF084A"/>
    <w:rsid w:val="76DD4B47"/>
    <w:rsid w:val="773C054B"/>
    <w:rsid w:val="7BC655EC"/>
    <w:rsid w:val="7CFE75C5"/>
    <w:rsid w:val="7DC66335"/>
    <w:rsid w:val="7E130E4E"/>
    <w:rsid w:val="7E964176"/>
    <w:rsid w:val="7EF40365"/>
    <w:rsid w:val="7F4F4108"/>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4"/>
    <w:basedOn w:val="1"/>
    <w:next w:val="1"/>
    <w:qFormat/>
    <w:uiPriority w:val="0"/>
    <w:pPr>
      <w:keepNext/>
      <w:spacing w:line="600" w:lineRule="exact"/>
      <w:jc w:val="center"/>
      <w:outlineLvl w:val="3"/>
    </w:pPr>
    <w:rPr>
      <w:rFonts w:ascii="楷体_GB2312" w:eastAsia="楷体_GB2312"/>
      <w:kern w:val="0"/>
      <w:sz w:val="32"/>
      <w:szCs w:val="20"/>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7">
    <w:name w:val="Normal Indent"/>
    <w:basedOn w:val="1"/>
    <w:qFormat/>
    <w:uiPriority w:val="0"/>
    <w:pPr>
      <w:ind w:firstLine="420" w:firstLineChars="200"/>
    </w:pPr>
    <w:rPr>
      <w:kern w:val="0"/>
      <w:sz w:val="20"/>
      <w:szCs w:val="20"/>
    </w:rPr>
  </w:style>
  <w:style w:type="paragraph" w:styleId="8">
    <w:name w:val="toa heading"/>
    <w:basedOn w:val="1"/>
    <w:next w:val="1"/>
    <w:qFormat/>
    <w:uiPriority w:val="0"/>
    <w:pPr>
      <w:spacing w:before="120" w:beforeLines="0" w:beforeAutospacing="0"/>
    </w:pPr>
    <w:rPr>
      <w:rFonts w:ascii="Arial" w:hAnsi="Arial"/>
      <w:sz w:val="24"/>
    </w:rPr>
  </w:style>
  <w:style w:type="paragraph" w:styleId="9">
    <w:name w:val="Body Text"/>
    <w:basedOn w:val="1"/>
    <w:next w:val="1"/>
    <w:qFormat/>
    <w:uiPriority w:val="0"/>
    <w:pPr>
      <w:spacing w:after="120"/>
    </w:pPr>
    <w:rPr>
      <w:kern w:val="0"/>
      <w:sz w:val="20"/>
    </w:rPr>
  </w:style>
  <w:style w:type="paragraph" w:styleId="10">
    <w:name w:val="Body Text Indent"/>
    <w:basedOn w:val="1"/>
    <w:next w:val="11"/>
    <w:qFormat/>
    <w:uiPriority w:val="99"/>
    <w:pPr>
      <w:spacing w:line="640" w:lineRule="exact"/>
      <w:ind w:firstLine="585"/>
    </w:pPr>
    <w:rPr>
      <w:kern w:val="0"/>
      <w:sz w:val="20"/>
    </w:rPr>
  </w:style>
  <w:style w:type="paragraph" w:customStyle="1" w:styleId="11">
    <w:name w:val="Default"/>
    <w:next w:val="12"/>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2">
    <w:name w:val="toc 2"/>
    <w:basedOn w:val="1"/>
    <w:next w:val="1"/>
    <w:qFormat/>
    <w:uiPriority w:val="39"/>
    <w:pPr>
      <w:ind w:left="420" w:leftChars="200"/>
    </w:pPr>
    <w:rPr>
      <w:szCs w:val="24"/>
    </w:rPr>
  </w:style>
  <w:style w:type="paragraph" w:styleId="13">
    <w:name w:val="index 4"/>
    <w:basedOn w:val="1"/>
    <w:next w:val="1"/>
    <w:qFormat/>
    <w:uiPriority w:val="0"/>
    <w:pPr>
      <w:ind w:left="600" w:leftChars="600"/>
    </w:pPr>
    <w:rPr>
      <w:szCs w:val="24"/>
    </w:rPr>
  </w:style>
  <w:style w:type="paragraph" w:styleId="14">
    <w:name w:val="Plain Text"/>
    <w:basedOn w:val="1"/>
    <w:qFormat/>
    <w:uiPriority w:val="0"/>
    <w:rPr>
      <w:rFonts w:ascii="宋体" w:hAnsi="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Times New Roman"/>
      <w:kern w:val="2"/>
      <w:sz w:val="2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iPriority w:val="0"/>
    <w:pPr>
      <w:tabs>
        <w:tab w:val="right" w:leader="dot" w:pos="8296"/>
      </w:tabs>
      <w:adjustRightInd/>
      <w:spacing w:before="120" w:after="120" w:line="360" w:lineRule="auto"/>
      <w:ind w:left="-426" w:leftChars="-152" w:firstLine="566" w:firstLineChars="202"/>
      <w:jc w:val="center"/>
      <w:textAlignment w:val="auto"/>
    </w:pPr>
    <w:rPr>
      <w:rFonts w:ascii="Times New Roman" w:hAnsi="Times New Roman"/>
      <w:kern w:val="2"/>
      <w:sz w:val="24"/>
      <w:szCs w:val="24"/>
    </w:rPr>
  </w:style>
  <w:style w:type="paragraph" w:styleId="20">
    <w:name w:val="Normal (Web)"/>
    <w:basedOn w:val="1"/>
    <w:unhideWhenUsed/>
    <w:qFormat/>
    <w:uiPriority w:val="99"/>
    <w:pPr>
      <w:widowControl/>
      <w:jc w:val="left"/>
    </w:pPr>
    <w:rPr>
      <w:rFonts w:ascii="宋体" w:hAnsi="宋体" w:cs="宋体"/>
      <w:kern w:val="0"/>
      <w:sz w:val="24"/>
    </w:rPr>
  </w:style>
  <w:style w:type="paragraph" w:styleId="21">
    <w:name w:val="Body Text First Indent"/>
    <w:basedOn w:val="9"/>
    <w:next w:val="22"/>
    <w:qFormat/>
    <w:uiPriority w:val="0"/>
    <w:pPr>
      <w:ind w:firstLine="420" w:firstLineChars="100"/>
    </w:pPr>
  </w:style>
  <w:style w:type="paragraph" w:styleId="22">
    <w:name w:val="Body Text First Indent 2"/>
    <w:basedOn w:val="10"/>
    <w:next w:val="1"/>
    <w:qFormat/>
    <w:uiPriority w:val="0"/>
    <w:pPr>
      <w:tabs>
        <w:tab w:val="left" w:pos="0"/>
      </w:tabs>
      <w:ind w:firstLine="420" w:firstLineChars="200"/>
    </w:pPr>
    <w:rPr>
      <w:rFonts w:eastAsia="宋?"/>
      <w:sz w:val="21"/>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paragraph" w:customStyle="1" w:styleId="27">
    <w:name w:val="正文缩进1"/>
    <w:basedOn w:val="1"/>
    <w:qFormat/>
    <w:uiPriority w:val="0"/>
    <w:pPr>
      <w:ind w:firstLine="420" w:firstLineChars="200"/>
    </w:pPr>
  </w:style>
  <w:style w:type="character" w:customStyle="1" w:styleId="28">
    <w:name w:val="NormalCharacter"/>
    <w:link w:val="1"/>
    <w:autoRedefine/>
    <w:qFormat/>
    <w:uiPriority w:val="0"/>
    <w:rPr>
      <w:rFonts w:ascii="Times New Roman" w:hAnsi="Times New Roman" w:eastAsia="宋体" w:cs="Times New Roman"/>
      <w:kern w:val="2"/>
      <w:sz w:val="21"/>
      <w:szCs w:val="24"/>
      <w:lang w:val="en-US" w:eastAsia="zh-CN" w:bidi="ar-SA"/>
    </w:rPr>
  </w:style>
  <w:style w:type="paragraph" w:customStyle="1" w:styleId="29">
    <w:name w:val="null3"/>
    <w:hidden/>
    <w:qFormat/>
    <w:uiPriority w:val="0"/>
    <w:rPr>
      <w:rFonts w:hint="eastAsia" w:asciiTheme="minorHAnsi" w:hAnsiTheme="minorHAnsi" w:eastAsiaTheme="minorEastAsia" w:cstheme="minorBidi"/>
      <w:lang w:val="en-US" w:eastAsia="zh-Hans"/>
    </w:rPr>
  </w:style>
  <w:style w:type="paragraph" w:customStyle="1" w:styleId="30">
    <w:name w:val="TOC 标题1"/>
    <w:basedOn w:val="3"/>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31">
    <w:name w:val="正文（缩进）"/>
    <w:basedOn w:val="1"/>
    <w:qFormat/>
    <w:uiPriority w:val="0"/>
    <w:pPr>
      <w:spacing w:before="156" w:after="156" w:line="360" w:lineRule="auto"/>
      <w:ind w:firstLine="480" w:firstLineChars="20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24430</Words>
  <Characters>25521</Characters>
  <Lines>0</Lines>
  <Paragraphs>0</Paragraphs>
  <TotalTime>21</TotalTime>
  <ScaleCrop>false</ScaleCrop>
  <LinksUpToDate>false</LinksUpToDate>
  <CharactersWithSpaces>27666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2025-09-23T01:49:00Z</dcterms:created>
  <dc:creator>Administrator</dc:creator>
  <cp:lastModifiedBy>Administrator</cp:lastModifiedBy>
  <dcterms:modified xsi:type="dcterms:W3CDTF">2025-10-14T02:43:56Z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AABEA44DA8E144A9930076BFA51F352A_13</vt:lpwstr>
  </property>
  <property fmtid="{D5CDD505-2E9C-101B-9397-08002B2CF9AE}" pid="4" name="KSOTemplateDocerSaveRecord">
    <vt:lpwstr>eyJoZGlkIjoiNzhhMzYxODdjOTZmZWMwYjRmMzVmN2I3MDJkMzg0YTQiLCJ1c2VySWQiOiIyODU0ODI4MDcifQ==</vt:lpwstr>
  </property>
</Properties>
</file>