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ECDEC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6D89787C">
      <w:pPr>
        <w:pStyle w:val="6"/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</w:rPr>
        <w:t>2025年考务指挥中心及分会场维保服务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56"/>
        <w:gridCol w:w="6429"/>
      </w:tblGrid>
      <w:tr w14:paraId="1FB15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3CE9CDB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56" w:type="dxa"/>
          </w:tcPr>
          <w:p w14:paraId="2BF0B39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429" w:type="dxa"/>
          </w:tcPr>
          <w:p w14:paraId="493FCB2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AFA8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0930D1F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156" w:type="dxa"/>
          </w:tcPr>
          <w:p w14:paraId="70545DF8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9" w:type="dxa"/>
          </w:tcPr>
          <w:p w14:paraId="25B3CB82">
            <w:pPr>
              <w:pStyle w:val="6"/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考务指挥中心维保范围：</w:t>
            </w:r>
            <w:r>
              <w:rPr>
                <w:rFonts w:hint="eastAsia" w:ascii="仿宋_GB2312" w:hAnsi="仿宋_GB2312" w:eastAsia="仿宋_GB2312" w:cs="仿宋_GB2312"/>
              </w:rPr>
              <w:t>考务指挥中心主会场扩声系统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考务指挥中心分布式显示系统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考务指挥中心视频会议系统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音频混音器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音视频线缆</w:t>
            </w:r>
          </w:p>
        </w:tc>
      </w:tr>
      <w:tr w14:paraId="3DF97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68D4B86D">
            <w:pPr>
              <w:pStyle w:val="6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156" w:type="dxa"/>
          </w:tcPr>
          <w:p w14:paraId="4F9558B2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9" w:type="dxa"/>
          </w:tcPr>
          <w:p w14:paraId="7A87FE5C">
            <w:pPr>
              <w:pStyle w:val="6"/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院六楼会议室维保范围：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院办公楼6楼会议室大屏显示系统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、、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院办公楼6楼会议室扩声系统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院办公楼6楼会议室分布式显示系统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院办公楼6楼会议室视频会议系统</w:t>
            </w:r>
          </w:p>
        </w:tc>
      </w:tr>
      <w:tr w14:paraId="0A08A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77E0CA78">
            <w:pPr>
              <w:pStyle w:val="6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156" w:type="dxa"/>
          </w:tcPr>
          <w:p w14:paraId="357C6F93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9" w:type="dxa"/>
          </w:tcPr>
          <w:p w14:paraId="071ABF62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Hans"/>
              </w:rPr>
              <w:t>3、维保设备清单</w:t>
            </w:r>
          </w:p>
          <w:tbl>
            <w:tblPr>
              <w:tblStyle w:val="4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8"/>
              <w:gridCol w:w="3068"/>
              <w:gridCol w:w="1037"/>
              <w:gridCol w:w="698"/>
              <w:gridCol w:w="702"/>
            </w:tblGrid>
            <w:tr w14:paraId="1A0122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03C05E7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序号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3C6620B8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产品名称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58F2157B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品牌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1187DCC8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数量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0F097116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单位</w:t>
                  </w:r>
                </w:p>
              </w:tc>
            </w:tr>
            <w:tr w14:paraId="16A358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000" w:type="pct"/>
                  <w:gridSpan w:val="5"/>
                  <w:shd w:val="clear" w:color="000000" w:fill="FFFFFF"/>
                  <w:noWrap w:val="0"/>
                  <w:vAlign w:val="center"/>
                </w:tcPr>
                <w:p w14:paraId="36050F6A">
                  <w:pPr>
                    <w:widowControl/>
                    <w:spacing w:line="240" w:lineRule="auto"/>
                    <w:jc w:val="left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一、考务指挥中心</w:t>
                  </w:r>
                </w:p>
              </w:tc>
            </w:tr>
            <w:tr w14:paraId="5C6AD0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000" w:type="pct"/>
                  <w:gridSpan w:val="5"/>
                  <w:shd w:val="clear" w:color="000000" w:fill="FFFFFF"/>
                  <w:noWrap w:val="0"/>
                  <w:vAlign w:val="center"/>
                </w:tcPr>
                <w:p w14:paraId="29DAD99D">
                  <w:pPr>
                    <w:widowControl/>
                    <w:spacing w:line="240" w:lineRule="auto"/>
                    <w:jc w:val="left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（一）考务指挥中心主会场扩声系统</w:t>
                  </w:r>
                </w:p>
              </w:tc>
            </w:tr>
            <w:tr w14:paraId="5A1522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1FC0C0D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57A32D7B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线性阵列音柱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37AF4575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LAX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005B8D6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4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18F0A64C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只</w:t>
                  </w:r>
                </w:p>
              </w:tc>
            </w:tr>
            <w:tr w14:paraId="374D01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98D08B8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7A8461D9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吸顶音箱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5AFA13F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BOSE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6D9EEBD5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4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4904FC0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只</w:t>
                  </w:r>
                </w:p>
              </w:tc>
            </w:tr>
            <w:tr w14:paraId="26843D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6033297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3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3BBEB9AB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功率放大器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282F59E9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LAX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7B000F9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79BBDAAA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25069D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73DE80BD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4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557D6F1F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音频处理器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1E00190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百安普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F65287F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1D9BC9BA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626301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000" w:type="pct"/>
                  <w:gridSpan w:val="5"/>
                  <w:shd w:val="clear" w:color="000000" w:fill="FFFFFF"/>
                  <w:noWrap w:val="0"/>
                  <w:vAlign w:val="center"/>
                </w:tcPr>
                <w:p w14:paraId="545BEBC9">
                  <w:pPr>
                    <w:widowControl/>
                    <w:spacing w:line="24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（二）考务指挥中心分布式显示系统</w:t>
                  </w:r>
                </w:p>
              </w:tc>
            </w:tr>
            <w:tr w14:paraId="350FDB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0919F0BF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7E342806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高清一体化分布式云节点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41735E67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上海寰视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73882EA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72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3760574A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个</w:t>
                  </w:r>
                </w:p>
              </w:tc>
            </w:tr>
            <w:tr w14:paraId="4B65CE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0F0885FB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2A34E818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分布式服务器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455FA1E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上海寰视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62FA31F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5BAB8F0F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1F2AFE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64718F27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3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3FBF255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分布式控制节点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7ED9EAD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上海寰视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62F7CD1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3F328583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271471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000" w:type="pct"/>
                  <w:gridSpan w:val="5"/>
                  <w:shd w:val="clear" w:color="000000" w:fill="FFFFFF"/>
                  <w:noWrap w:val="0"/>
                  <w:vAlign w:val="center"/>
                </w:tcPr>
                <w:p w14:paraId="6870A1DC">
                  <w:pPr>
                    <w:widowControl/>
                    <w:spacing w:line="24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（三）考务指挥中心视频会议系统</w:t>
                  </w:r>
                </w:p>
              </w:tc>
            </w:tr>
            <w:tr w14:paraId="1CB83E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20B9520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181C437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MCU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4CA601C5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华为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4078430B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74752DD9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19842C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43308E0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572D6F8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会议控制服务器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7E4A462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华为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0CE7B2D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0B9EEFF6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59CB3B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6E26E173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3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5701F03D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高清视频会议终端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3A89038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华为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264B5C7F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3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7DDB08AA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76FA49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744C720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4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687752A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电视墙服务器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03FDBB47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超然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D4463B6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2D565D3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23ED6C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0D9367B3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5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649AEE52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抓包服务器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064237EF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超然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5B6A003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58F61AD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0A6DB5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27A4912B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6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66E365F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硬盘录像机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0757031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海康威视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B6330F3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31B7D176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54F0BD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765DCAF5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7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47CC3E4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SDI分配器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32347208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科达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6753470D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2A06300B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2C3BBD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71AAF286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8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395BFC5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无线话筒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3E28058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海天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02D883B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6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1BC7E185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个</w:t>
                  </w:r>
                </w:p>
              </w:tc>
            </w:tr>
            <w:tr w14:paraId="0A6599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2CB2800F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9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334737F7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有线话筒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72D88873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铁三角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600A435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14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1A9D945A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个</w:t>
                  </w:r>
                </w:p>
              </w:tc>
            </w:tr>
            <w:tr w14:paraId="0E546A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000" w:type="pct"/>
                  <w:gridSpan w:val="5"/>
                  <w:shd w:val="clear" w:color="000000" w:fill="FFFFFF"/>
                  <w:noWrap w:val="0"/>
                  <w:vAlign w:val="center"/>
                </w:tcPr>
                <w:p w14:paraId="094B067C">
                  <w:pPr>
                    <w:widowControl/>
                    <w:spacing w:line="24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（四）其他</w:t>
                  </w:r>
                </w:p>
              </w:tc>
            </w:tr>
            <w:tr w14:paraId="339C2A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15D3B53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7E29B8A2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线缆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7F85937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不限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1703B4C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124BB61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</w:p>
              </w:tc>
            </w:tr>
            <w:tr w14:paraId="183EAB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228C3D4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778A1A9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音频混音器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5E613913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不限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D165F85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2144038A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</w:p>
              </w:tc>
            </w:tr>
            <w:tr w14:paraId="5E5924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000" w:type="pct"/>
                  <w:gridSpan w:val="5"/>
                  <w:shd w:val="clear" w:color="000000" w:fill="FFFFFF"/>
                  <w:noWrap w:val="0"/>
                  <w:vAlign w:val="center"/>
                </w:tcPr>
                <w:p w14:paraId="0BCDA3DE">
                  <w:pPr>
                    <w:widowControl/>
                    <w:spacing w:line="240" w:lineRule="auto"/>
                    <w:jc w:val="left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二、院办公楼6楼会议室</w:t>
                  </w:r>
                </w:p>
              </w:tc>
            </w:tr>
            <w:tr w14:paraId="379BC0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000" w:type="pct"/>
                  <w:gridSpan w:val="5"/>
                  <w:shd w:val="clear" w:color="000000" w:fill="FFFFFF"/>
                  <w:noWrap w:val="0"/>
                  <w:vAlign w:val="center"/>
                </w:tcPr>
                <w:p w14:paraId="31424336">
                  <w:pPr>
                    <w:widowControl/>
                    <w:spacing w:line="240" w:lineRule="auto"/>
                    <w:jc w:val="left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（一）院办公楼6楼会议室大屏显示系统</w:t>
                  </w:r>
                </w:p>
              </w:tc>
            </w:tr>
            <w:tr w14:paraId="5B0400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58F43452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7582C14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LED小间距显示屏体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0FB8EAD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利亚德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53196B4F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720E48C3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体</w:t>
                  </w:r>
                </w:p>
              </w:tc>
            </w:tr>
            <w:tr w14:paraId="709F3C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5705880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16BB4372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显示屏控制器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6E2B3488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利亚德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4EC17FE5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3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03CCA19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637410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0CAEEB9F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3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167E572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智能配电柜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381C391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利亚德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0F2B115B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05688C3C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套</w:t>
                  </w:r>
                </w:p>
              </w:tc>
            </w:tr>
            <w:tr w14:paraId="5C0805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081F245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4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1ECEF7A5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控制室显示器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5F61EAFD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海信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29D9715A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14B788E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4E40D0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000" w:type="pct"/>
                  <w:gridSpan w:val="5"/>
                  <w:shd w:val="clear" w:color="000000" w:fill="FFFFFF"/>
                  <w:noWrap w:val="0"/>
                  <w:vAlign w:val="center"/>
                </w:tcPr>
                <w:p w14:paraId="29B6EDFF">
                  <w:pPr>
                    <w:widowControl/>
                    <w:spacing w:line="240" w:lineRule="auto"/>
                    <w:jc w:val="left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（二）院办公楼6楼会议室扩声系统</w:t>
                  </w:r>
                </w:p>
              </w:tc>
            </w:tr>
            <w:tr w14:paraId="49183E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60D42E78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73E5F01D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两分频单10寸全频音箱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72F36306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讯谷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0771D2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4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20E2F479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0298FB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4A13E846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18D75965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主扩数字功放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top"/>
                </w:tcPr>
                <w:p w14:paraId="478FAB81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讯谷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91C10FD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top"/>
                </w:tcPr>
                <w:p w14:paraId="4B6594F1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6CB222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58BE57C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3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46E5F8BC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音频处理器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top"/>
                </w:tcPr>
                <w:p w14:paraId="45842DB8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讯谷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50A8375B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top"/>
                </w:tcPr>
                <w:p w14:paraId="4D5F3AA3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6F0F9A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17E676A2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4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6080199B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反馈抑制器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top"/>
                </w:tcPr>
                <w:p w14:paraId="2CF89816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讯谷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B9D9B8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top"/>
                </w:tcPr>
                <w:p w14:paraId="35FD6015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3B65AB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4C966EA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5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1F92A75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16路模拟调音台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top"/>
                </w:tcPr>
                <w:p w14:paraId="7E8DF29F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讯谷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31BE161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top"/>
                </w:tcPr>
                <w:p w14:paraId="2B92E1D5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7F9C8A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225D8CBD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6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12184743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电源时序器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top"/>
                </w:tcPr>
                <w:p w14:paraId="6646DACD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讯谷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1D0957AB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top"/>
                </w:tcPr>
                <w:p w14:paraId="15E8F8F8">
                  <w:pPr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084AC7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000" w:type="pct"/>
                  <w:gridSpan w:val="5"/>
                  <w:shd w:val="clear" w:color="000000" w:fill="FFFFFF"/>
                  <w:noWrap w:val="0"/>
                  <w:vAlign w:val="center"/>
                </w:tcPr>
                <w:p w14:paraId="5EE157C2">
                  <w:pPr>
                    <w:widowControl/>
                    <w:spacing w:line="240" w:lineRule="auto"/>
                    <w:jc w:val="left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（三）院办公楼6楼会议室分布式显示系统</w:t>
                  </w:r>
                </w:p>
              </w:tc>
            </w:tr>
            <w:tr w14:paraId="3467C8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78E2BD39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15413EE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云管理服务器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4C7A9EAE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上海寰视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47A50DA6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78E5090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  <w:tr w14:paraId="7E34F3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6268A520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3D1316B7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高清一体化分布式云节点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66926AC4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上海寰视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04EB460D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6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1A3C7EB3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个</w:t>
                  </w:r>
                </w:p>
              </w:tc>
            </w:tr>
            <w:tr w14:paraId="069279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000" w:type="pct"/>
                  <w:gridSpan w:val="5"/>
                  <w:shd w:val="clear" w:color="000000" w:fill="FFFFFF"/>
                  <w:noWrap w:val="0"/>
                  <w:vAlign w:val="center"/>
                </w:tcPr>
                <w:p w14:paraId="10DE892E">
                  <w:pPr>
                    <w:widowControl/>
                    <w:spacing w:line="240" w:lineRule="auto"/>
                    <w:jc w:val="left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（四）院办公楼6楼会议室视频会议系统</w:t>
                  </w:r>
                </w:p>
              </w:tc>
            </w:tr>
            <w:tr w14:paraId="334B2D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7D902327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1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4138FD1A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高清视频会议终端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0B8D2672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华为/科达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4FD42022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5CFB0CD6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套</w:t>
                  </w:r>
                </w:p>
              </w:tc>
            </w:tr>
            <w:tr w14:paraId="207EB1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47002A5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2473" w:type="pct"/>
                  <w:shd w:val="clear" w:color="000000" w:fill="FFFFFF"/>
                  <w:noWrap w:val="0"/>
                  <w:vAlign w:val="center"/>
                </w:tcPr>
                <w:p w14:paraId="5871299D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视频会议摄像机</w:t>
                  </w:r>
                </w:p>
              </w:tc>
              <w:tc>
                <w:tcPr>
                  <w:tcW w:w="836" w:type="pct"/>
                  <w:shd w:val="clear" w:color="000000" w:fill="FFFFFF"/>
                  <w:noWrap w:val="0"/>
                  <w:vAlign w:val="center"/>
                </w:tcPr>
                <w:p w14:paraId="3B06D9A8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华为/松下</w:t>
                  </w:r>
                </w:p>
              </w:tc>
              <w:tc>
                <w:tcPr>
                  <w:tcW w:w="563" w:type="pct"/>
                  <w:shd w:val="clear" w:color="000000" w:fill="FFFFFF"/>
                  <w:noWrap w:val="0"/>
                  <w:vAlign w:val="center"/>
                </w:tcPr>
                <w:p w14:paraId="0D2379D1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2</w:t>
                  </w:r>
                </w:p>
              </w:tc>
              <w:tc>
                <w:tcPr>
                  <w:tcW w:w="565" w:type="pct"/>
                  <w:shd w:val="clear" w:color="000000" w:fill="FFFFFF"/>
                  <w:noWrap w:val="0"/>
                  <w:vAlign w:val="center"/>
                </w:tcPr>
                <w:p w14:paraId="1D9EC6A7">
                  <w:pPr>
                    <w:widowControl/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szCs w:val="20"/>
                      <w:lang w:val="en-US" w:eastAsia="zh-Hans"/>
                    </w:rPr>
                    <w:t>台</w:t>
                  </w:r>
                </w:p>
              </w:tc>
            </w:tr>
          </w:tbl>
          <w:p w14:paraId="5738B783">
            <w:pPr>
              <w:pStyle w:val="6"/>
            </w:pPr>
          </w:p>
        </w:tc>
      </w:tr>
      <w:tr w14:paraId="39FD5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58965F8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156" w:type="dxa"/>
          </w:tcPr>
          <w:p w14:paraId="08607C00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9" w:type="dxa"/>
          </w:tcPr>
          <w:p w14:paraId="6B118DAC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4、维保国家标准：</w:t>
            </w:r>
          </w:p>
          <w:p w14:paraId="55513E3B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本项目必须按照有关国际标准和国家标准进行实施，具体参考标准如下：</w:t>
            </w:r>
          </w:p>
          <w:p w14:paraId="22E2B025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安全防范工程程序与要求（GA/T75-1994）</w:t>
            </w:r>
          </w:p>
          <w:p w14:paraId="367DB45A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电子计算机机房施工及验收规范（SJ/T30003-1993）</w:t>
            </w:r>
          </w:p>
          <w:p w14:paraId="168BC844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电气装置安装工程1KV及以下配线工程施工及验收（GB50258-1996）</w:t>
            </w:r>
          </w:p>
          <w:p w14:paraId="5F2BDEEE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电气装置安装工程电气设备交接试验标准（GB50150-91）</w:t>
            </w:r>
          </w:p>
          <w:p w14:paraId="0A403C63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高层民用建筑设计防火规范（GBJ45）</w:t>
            </w:r>
          </w:p>
          <w:p w14:paraId="7B559763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建筑设计防火规范（TJ16）</w:t>
            </w:r>
          </w:p>
          <w:p w14:paraId="77AF5F6C">
            <w:pPr>
              <w:widowControl/>
              <w:spacing w:line="240" w:lineRule="auto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建筑与建筑群综合布线系统工程验收规范（GB/T50312-2000）</w:t>
            </w:r>
          </w:p>
        </w:tc>
      </w:tr>
      <w:tr w14:paraId="4B5EA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1674DC8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156" w:type="dxa"/>
          </w:tcPr>
          <w:p w14:paraId="06586CFF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9" w:type="dxa"/>
          </w:tcPr>
          <w:p w14:paraId="126B26A6">
            <w:pPr>
              <w:pStyle w:val="6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-SA"/>
              </w:rPr>
              <w:t>5、项目维保要求</w:t>
            </w:r>
          </w:p>
          <w:p w14:paraId="608B0402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（1）负责设备的保养、故障诊断、保修及系统性能维护，重大活动现场维护保障等。</w:t>
            </w:r>
          </w:p>
          <w:p w14:paraId="000A1808">
            <w:pPr>
              <w:pStyle w:val="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（2）对所有维护设备的故障件均给予现场维修及换件服务，所提供备件必须为原厂的正品，保证故障得到及时维修。</w:t>
            </w:r>
          </w:p>
          <w:p w14:paraId="7D12B88B">
            <w:pPr>
              <w:pStyle w:val="6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（3）提供7*24小时的现场服务，重大考试和视频会议要有工程师现场支持。</w:t>
            </w:r>
          </w:p>
        </w:tc>
      </w:tr>
      <w:tr w14:paraId="1AE38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3454BD3B">
            <w:pPr>
              <w:pStyle w:val="6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156" w:type="dxa"/>
          </w:tcPr>
          <w:p w14:paraId="420A883A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429" w:type="dxa"/>
          </w:tcPr>
          <w:p w14:paraId="66B59CE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-SA"/>
              </w:rPr>
              <w:t>6、更新设备清单</w:t>
            </w:r>
          </w:p>
          <w:p w14:paraId="67134DD7">
            <w:pPr>
              <w:pStyle w:val="2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/>
              </w:rPr>
              <w:t>为保证考务指挥中心会场会议系统清晰、稳定，无啸叫，拟采购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更新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/>
              </w:rPr>
              <w:t>一批会议话筒。</w:t>
            </w:r>
          </w:p>
          <w:tbl>
            <w:tblPr>
              <w:tblStyle w:val="4"/>
              <w:tblW w:w="608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4"/>
              <w:gridCol w:w="812"/>
              <w:gridCol w:w="3533"/>
              <w:gridCol w:w="606"/>
              <w:gridCol w:w="768"/>
            </w:tblGrid>
            <w:tr w14:paraId="6F9796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3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BA50BD">
                  <w:pPr>
                    <w:widowControl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8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116D71">
                  <w:pPr>
                    <w:widowControl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3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4E5666">
                  <w:pPr>
                    <w:widowControl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技术参数要求</w:t>
                  </w:r>
                </w:p>
              </w:tc>
              <w:tc>
                <w:tcPr>
                  <w:tcW w:w="6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0DDB52">
                  <w:pPr>
                    <w:widowControl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4DFFFD">
                  <w:pPr>
                    <w:widowControl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单位</w:t>
                  </w:r>
                </w:p>
              </w:tc>
            </w:tr>
            <w:tr w14:paraId="106CBD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3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EE0E52">
                  <w:pPr>
                    <w:widowControl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049F44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  <w:highlight w:val="none"/>
                    </w:rPr>
                  </w:pPr>
                  <w:bookmarkStart w:id="0" w:name="OLE_LINK4"/>
                  <w:bookmarkStart w:id="1" w:name="OLE_LINK3"/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一拖二无线手持话筒</w:t>
                  </w:r>
                  <w:bookmarkEnd w:id="0"/>
                  <w:bookmarkEnd w:id="1"/>
                </w:p>
              </w:tc>
              <w:tc>
                <w:tcPr>
                  <w:tcW w:w="3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945133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1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.真分集接收机，四组道独立选讯系统；</w:t>
                  </w:r>
                </w:p>
                <w:p w14:paraId="63FA3FE6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2.接收机与发射机通过IR红外对频技术,一键同步对码；</w:t>
                  </w:r>
                </w:p>
                <w:p w14:paraId="2E79A1DF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3.工作频率：540MHz-586MHz/615-665MHz；</w:t>
                  </w:r>
                </w:p>
                <w:p w14:paraId="26449C89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4.调制方式：宽带FM；</w:t>
                  </w:r>
                </w:p>
                <w:p w14:paraId="0804FB48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5.信道数目</w:t>
                  </w:r>
                  <w:bookmarkStart w:id="2" w:name="OLE_LINK14"/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：≥</w:t>
                  </w:r>
                  <w:bookmarkEnd w:id="2"/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200个；</w:t>
                  </w:r>
                </w:p>
                <w:p w14:paraId="5747F6A0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6.信道间隔：250kHz；</w:t>
                  </w:r>
                </w:p>
                <w:p w14:paraId="4530C520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7.频率稳定度：±0.005%；</w:t>
                  </w:r>
                </w:p>
                <w:p w14:paraId="2901745A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8.动态范围：≥85dB；</w:t>
                  </w:r>
                </w:p>
                <w:p w14:paraId="18AFF621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9.偏移：±45kHz；</w:t>
                  </w:r>
                </w:p>
                <w:p w14:paraId="49DDF6EE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10.综合信噪比：＞87dB；</w:t>
                  </w:r>
                </w:p>
                <w:p w14:paraId="1DBE3D31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11.综合失真：≤0.5%；</w:t>
                  </w:r>
                </w:p>
                <w:p w14:paraId="15F4D8E8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12.</w:t>
                  </w:r>
                  <w:bookmarkStart w:id="3" w:name="OLE_LINK15"/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工作接收距离：350m—500m（空扩使用范围）</w:t>
                  </w:r>
                  <w:bookmarkEnd w:id="3"/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；</w:t>
                  </w:r>
                </w:p>
                <w:p w14:paraId="05AC1D44">
                  <w:pPr>
                    <w:pStyle w:val="2"/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13.供电：2节5号1.5V碱性电池；</w:t>
                  </w:r>
                </w:p>
                <w:p w14:paraId="1BA9F142">
                  <w:pPr>
                    <w:pStyle w:val="2"/>
                    <w:jc w:val="left"/>
                    <w:rPr>
                      <w:rFonts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0"/>
                      <w:sz w:val="20"/>
                      <w:szCs w:val="20"/>
                      <w:highlight w:val="none"/>
                      <w:lang w:val="zh-CN"/>
                    </w:rPr>
                    <w:t>14.电池寿命：正常功率发射时，可使用超过8小时。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990FF4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1B481A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套</w:t>
                  </w:r>
                </w:p>
              </w:tc>
            </w:tr>
          </w:tbl>
          <w:p w14:paraId="2B551B63">
            <w:pPr>
              <w:pStyle w:val="6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3234F39D">
      <w:pPr>
        <w:pStyle w:val="6"/>
        <w:rPr>
          <w:rFonts w:ascii="仿宋_GB2312" w:hAnsi="仿宋_GB2312" w:eastAsia="仿宋_GB2312" w:cs="仿宋_GB2312"/>
        </w:rPr>
      </w:pPr>
    </w:p>
    <w:p w14:paraId="66D55AF2">
      <w:pPr>
        <w:pStyle w:val="6"/>
      </w:pPr>
      <w:r>
        <w:rPr>
          <w:rFonts w:ascii="仿宋_GB2312" w:hAnsi="仿宋_GB2312" w:eastAsia="仿宋_GB2312" w:cs="仿宋_GB2312"/>
        </w:rPr>
        <w:t>采购包2：</w:t>
      </w:r>
    </w:p>
    <w:p w14:paraId="5937A714">
      <w:pPr>
        <w:pStyle w:val="6"/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</w:rPr>
        <w:t>（虚拟化）一体机设备维保服务及技术支持（其他运维）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65"/>
        <w:gridCol w:w="6420"/>
      </w:tblGrid>
      <w:tr w14:paraId="71B82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 w14:paraId="56679F5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65" w:type="dxa"/>
          </w:tcPr>
          <w:p w14:paraId="0CAC5D0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420" w:type="dxa"/>
          </w:tcPr>
          <w:p w14:paraId="0408883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5537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shd w:val="clear" w:color="auto" w:fill="auto"/>
            <w:vAlign w:val="top"/>
          </w:tcPr>
          <w:p w14:paraId="36C350B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165" w:type="dxa"/>
          </w:tcPr>
          <w:p w14:paraId="0F403265"/>
        </w:tc>
        <w:tc>
          <w:tcPr>
            <w:tcW w:w="6420" w:type="dxa"/>
          </w:tcPr>
          <w:p w14:paraId="44172B41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1、维保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Hans"/>
              </w:rPr>
              <w:t>设备清单</w:t>
            </w:r>
          </w:p>
          <w:tbl>
            <w:tblPr>
              <w:tblStyle w:val="4"/>
              <w:tblW w:w="6203" w:type="dxa"/>
              <w:tblInd w:w="0" w:type="dxa"/>
              <w:tblBorders>
                <w:top w:val="none" w:color="999999" w:sz="6" w:space="0"/>
                <w:left w:val="none" w:color="999999" w:sz="6" w:space="0"/>
                <w:bottom w:val="none" w:color="999999" w:sz="6" w:space="0"/>
                <w:right w:val="none" w:color="999999" w:sz="6" w:space="0"/>
                <w:insideH w:val="none" w:color="999999" w:sz="6" w:space="0"/>
                <w:insideV w:val="none" w:color="999999" w:sz="6" w:space="0"/>
              </w:tblBorders>
              <w:tblLayout w:type="autofit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990"/>
              <w:gridCol w:w="3073"/>
              <w:gridCol w:w="1140"/>
            </w:tblGrid>
            <w:tr w14:paraId="6C313797">
              <w:tblPrEx>
                <w:tblBorders>
                  <w:top w:val="none" w:color="999999" w:sz="6" w:space="0"/>
                  <w:left w:val="none" w:color="999999" w:sz="6" w:space="0"/>
                  <w:bottom w:val="none" w:color="999999" w:sz="6" w:space="0"/>
                  <w:right w:val="none" w:color="999999" w:sz="6" w:space="0"/>
                  <w:insideH w:val="none" w:color="999999" w:sz="6" w:space="0"/>
                  <w:insideV w:val="none" w:color="999999" w:sz="6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10" w:hRule="atLeast"/>
              </w:trPr>
              <w:tc>
                <w:tcPr>
                  <w:tcW w:w="1604" w:type="pct"/>
                  <w:tcBorders>
                    <w:top w:val="single" w:color="7B8187" w:sz="8" w:space="0"/>
                    <w:left w:val="single" w:color="7B8187" w:sz="8" w:space="0"/>
                    <w:bottom w:val="single" w:color="7B8187" w:sz="8" w:space="0"/>
                    <w:right w:val="single" w:color="7B8187" w:sz="8" w:space="0"/>
                  </w:tcBorders>
                  <w:shd w:val="clear" w:color="auto" w:fill="FFFFFF"/>
                  <w:noWrap w:val="0"/>
                  <w:vAlign w:val="center"/>
                </w:tcPr>
                <w:p w14:paraId="1E948E05">
                  <w:pPr>
                    <w:spacing w:line="440" w:lineRule="exact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设备型号</w:t>
                  </w:r>
                </w:p>
              </w:tc>
              <w:tc>
                <w:tcPr>
                  <w:tcW w:w="2477" w:type="pct"/>
                  <w:tcBorders>
                    <w:top w:val="single" w:color="7B8187" w:sz="8" w:space="0"/>
                    <w:bottom w:val="single" w:color="7B8187" w:sz="8" w:space="0"/>
                    <w:right w:val="single" w:color="7B8187" w:sz="8" w:space="0"/>
                  </w:tcBorders>
                  <w:shd w:val="clear" w:color="auto" w:fill="FFFFFF"/>
                  <w:noWrap w:val="0"/>
                  <w:vAlign w:val="center"/>
                </w:tcPr>
                <w:p w14:paraId="455CF489">
                  <w:pPr>
                    <w:spacing w:line="440" w:lineRule="exact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描述</w:t>
                  </w:r>
                </w:p>
              </w:tc>
              <w:tc>
                <w:tcPr>
                  <w:tcW w:w="918" w:type="pct"/>
                  <w:tcBorders>
                    <w:top w:val="single" w:color="7B8187" w:sz="8" w:space="0"/>
                    <w:bottom w:val="single" w:color="7B8187" w:sz="8" w:space="0"/>
                    <w:right w:val="single" w:color="7B8187" w:sz="8" w:space="0"/>
                  </w:tcBorders>
                  <w:shd w:val="clear" w:color="auto" w:fill="FFFFFF"/>
                  <w:noWrap w:val="0"/>
                  <w:vAlign w:val="center"/>
                </w:tcPr>
                <w:p w14:paraId="4D11F345">
                  <w:pPr>
                    <w:spacing w:line="440" w:lineRule="exact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数量</w:t>
                  </w:r>
                </w:p>
              </w:tc>
            </w:tr>
            <w:tr w14:paraId="125E0644">
              <w:tblPrEx>
                <w:tblBorders>
                  <w:top w:val="none" w:color="999999" w:sz="6" w:space="0"/>
                  <w:left w:val="none" w:color="999999" w:sz="6" w:space="0"/>
                  <w:bottom w:val="none" w:color="999999" w:sz="6" w:space="0"/>
                  <w:right w:val="none" w:color="999999" w:sz="6" w:space="0"/>
                  <w:insideH w:val="none" w:color="999999" w:sz="6" w:space="0"/>
                  <w:insideV w:val="none" w:color="999999" w:sz="6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10" w:hRule="atLeast"/>
              </w:trPr>
              <w:tc>
                <w:tcPr>
                  <w:tcW w:w="1604" w:type="pct"/>
                  <w:tcBorders>
                    <w:left w:val="single" w:color="7B8187" w:sz="8" w:space="0"/>
                    <w:bottom w:val="single" w:color="7B8187" w:sz="8" w:space="0"/>
                    <w:right w:val="single" w:color="7B8187" w:sz="8" w:space="0"/>
                  </w:tcBorders>
                  <w:noWrap w:val="0"/>
                  <w:vAlign w:val="center"/>
                </w:tcPr>
                <w:p w14:paraId="7E2355A1">
                  <w:pPr>
                    <w:spacing w:line="440" w:lineRule="exact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FusionCube超融合一体机</w:t>
                  </w:r>
                </w:p>
              </w:tc>
              <w:tc>
                <w:tcPr>
                  <w:tcW w:w="2477" w:type="pct"/>
                  <w:tcBorders>
                    <w:bottom w:val="single" w:color="7B8187" w:sz="8" w:space="0"/>
                    <w:right w:val="single" w:color="7B8187" w:sz="8" w:space="0"/>
                  </w:tcBorders>
                  <w:noWrap w:val="0"/>
                  <w:vAlign w:val="center"/>
                </w:tcPr>
                <w:p w14:paraId="70BF97C7">
                  <w:pPr>
                    <w:spacing w:line="440" w:lineRule="exact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fusioncube超融合软件、E9000硬件</w:t>
                  </w:r>
                </w:p>
              </w:tc>
              <w:tc>
                <w:tcPr>
                  <w:tcW w:w="918" w:type="pct"/>
                  <w:tcBorders>
                    <w:bottom w:val="single" w:color="7B8187" w:sz="8" w:space="0"/>
                    <w:right w:val="single" w:color="7B8187" w:sz="8" w:space="0"/>
                  </w:tcBorders>
                  <w:noWrap w:val="0"/>
                  <w:vAlign w:val="center"/>
                </w:tcPr>
                <w:p w14:paraId="4B169DCB">
                  <w:pPr>
                    <w:spacing w:line="440" w:lineRule="exact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Hans"/>
                    </w:rPr>
                    <w:t>3套</w:t>
                  </w:r>
                </w:p>
              </w:tc>
            </w:tr>
          </w:tbl>
          <w:p w14:paraId="494B4914">
            <w:pPr>
              <w:pStyle w:val="6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</w:tr>
      <w:tr w14:paraId="3064C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shd w:val="clear" w:color="auto" w:fill="auto"/>
            <w:vAlign w:val="top"/>
          </w:tcPr>
          <w:p w14:paraId="21A4FFC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165" w:type="dxa"/>
          </w:tcPr>
          <w:p w14:paraId="31052F6C"/>
        </w:tc>
        <w:tc>
          <w:tcPr>
            <w:tcW w:w="6420" w:type="dxa"/>
          </w:tcPr>
          <w:p w14:paraId="10F46F7E"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 w:bidi="ar-SA"/>
              </w:rPr>
              <w:t>2、维保服务要求</w:t>
            </w:r>
          </w:p>
          <w:p w14:paraId="645550B5"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（1）要求提供华为fusioncube超融合一体机维保服务报价。不需要任何超出本部分要求的功能，也不为额外增加的任何功能增加任何预算费用。</w:t>
            </w:r>
          </w:p>
          <w:p w14:paraId="6AAE9C4D"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（2）电话支持。在维护期内，采购人在使用上述产品时，遇到使用中的疑难问题或者软、硬件出现不正常状态，通过电话或其他方式向供应商寻求技术支持和帮助，供应商在确认采购人的服务请求后，安排技术人员在十五分钟内（即响应时间）通过电话帮助采购人进行故障定位，提出解决方案，最终指导采购人工程师排除设备故障。供应商提供7X24（每周7天、每天24小时）的受理故障服务。</w:t>
            </w:r>
          </w:p>
          <w:p w14:paraId="06DF44CB"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（3）维保期间，供应商负责保证充足的备件供应，要求提供免费备件先行服务，供应商免费上门更换故障备件。对于一般备件，要求48小时内将备件运抵我方现场；对于生产系统设备核心部件，要求判断故障后2小时内运抵现场。供应商保证备件使用的可靠性，提供的备件是原厂备件。采购人有权力要求供应商工程师来现场协助更换备件，供应商必须配合。</w:t>
            </w:r>
          </w:p>
          <w:p w14:paraId="13291617"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（4）由于设备异常、复杂问题、技术故障等涉及到的咨询、调试、排障等事宜，采购人有权利要求供应商工程师到达现场配合进行咨询、故障解决等，供应商必须配合。</w:t>
            </w:r>
          </w:p>
          <w:p w14:paraId="3932FBA7"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（5）合同期内，重大节假日（国庆、春节等）或其他重要事件期间，采购人认为有必要，有权力要求供应商工程师来现场支持，供应商必须配合。</w:t>
            </w:r>
          </w:p>
          <w:p w14:paraId="27942D78"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（6）至少每季度巡检一次。</w:t>
            </w:r>
          </w:p>
          <w:p w14:paraId="45E6D0D8">
            <w:pPr>
              <w:pStyle w:val="6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（7）现场培训：为提高采购人维护人员排除故障的能力，采购人在进行现场故障排除后，应针对本次故障出现的原因和故障排除方法对采购人进行现场培训</w:t>
            </w:r>
          </w:p>
          <w:p w14:paraId="40AAA77D">
            <w:pPr>
              <w:pStyle w:val="6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（8）其它需求。根据采购人业务发展需求，如果在维保的系统上增加新的应用业务或其他变更操作，供应商应协助采购人完成。</w:t>
            </w:r>
          </w:p>
        </w:tc>
      </w:tr>
    </w:tbl>
    <w:p w14:paraId="081CF0B7">
      <w:pPr>
        <w:pStyle w:val="6"/>
        <w:rPr>
          <w:rFonts w:ascii="仿宋_GB2312" w:hAnsi="仿宋_GB2312" w:eastAsia="仿宋_GB2312" w:cs="仿宋_GB2312"/>
        </w:rPr>
      </w:pPr>
    </w:p>
    <w:p w14:paraId="42D9DE9E">
      <w:pPr>
        <w:pStyle w:val="6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ascii="仿宋_GB2312" w:hAnsi="仿宋_GB2312" w:eastAsia="仿宋_GB2312" w:cs="仿宋_GB2312"/>
        </w:rPr>
        <w:t>：</w:t>
      </w:r>
    </w:p>
    <w:p w14:paraId="1AB33F5B">
      <w:pPr>
        <w:pStyle w:val="6"/>
      </w:pPr>
      <w:r>
        <w:rPr>
          <w:rFonts w:ascii="仿宋_GB2312" w:hAnsi="仿宋_GB2312" w:eastAsia="仿宋_GB2312" w:cs="仿宋_GB2312"/>
        </w:rPr>
        <w:t>标的名称：</w:t>
      </w:r>
      <w:r>
        <w:rPr>
          <w:rFonts w:hint="eastAsia" w:ascii="仿宋_GB2312" w:hAnsi="仿宋_GB2312" w:eastAsia="仿宋_GB2312" w:cs="仿宋_GB2312"/>
        </w:rPr>
        <w:t>2025年国家教育考试综合管理平台系统维护及技术支持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96"/>
        <w:gridCol w:w="6680"/>
      </w:tblGrid>
      <w:tr w14:paraId="3B614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6FE61D3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96" w:type="dxa"/>
          </w:tcPr>
          <w:p w14:paraId="7DAACAB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680" w:type="dxa"/>
          </w:tcPr>
          <w:p w14:paraId="3E45A52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47EA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shd w:val="clear" w:color="auto" w:fill="auto"/>
            <w:vAlign w:val="top"/>
          </w:tcPr>
          <w:p w14:paraId="6FA28DAD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196" w:type="dxa"/>
          </w:tcPr>
          <w:p w14:paraId="73086C30">
            <w:pPr>
              <w:pStyle w:val="6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680" w:type="dxa"/>
          </w:tcPr>
          <w:p w14:paraId="48E0B49D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1、维保内容：</w:t>
            </w:r>
          </w:p>
          <w:p w14:paraId="0B679B1C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(1)基础支撑服务完善</w:t>
            </w:r>
          </w:p>
          <w:p w14:paraId="39C06174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①基础支撑服务：包含报考点、招生单位相关数据采集与维护；用户账户的创建、角色权限划分。</w:t>
            </w:r>
          </w:p>
          <w:p w14:paraId="65FD32A9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②软件优化：优化系统底层业务逻辑，预留扩展接口，提升系统灵活性；针对高数据量业务场景，进行代码优化，确保系统稳定运行。</w:t>
            </w:r>
          </w:p>
          <w:p w14:paraId="797CFFB4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(2)考务辅助业务补充完善</w:t>
            </w:r>
          </w:p>
          <w:p w14:paraId="63CAD240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①模板填报：包含模板创建维护，满足多样化需求；业务系统智能调用模板构建采集任务；用户通过模板填报数据，签章文件回传；填报结果及附件查询导出。</w:t>
            </w:r>
          </w:p>
          <w:p w14:paraId="633B83A7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②任务中心：中心化管理填报任务，提高管理效率；支持任务置顶、优先级排序；支持实时展示任务时间、超期任务状态；支持任务完成进度、完成情况展示及报表导出；支持任务追踪、督促及一键催办功能。</w:t>
            </w:r>
          </w:p>
        </w:tc>
      </w:tr>
      <w:tr w14:paraId="78DAEF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shd w:val="clear" w:color="auto" w:fill="auto"/>
            <w:vAlign w:val="top"/>
          </w:tcPr>
          <w:p w14:paraId="33B07083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196" w:type="dxa"/>
          </w:tcPr>
          <w:p w14:paraId="43CD72BB">
            <w:pPr>
              <w:pStyle w:val="6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680" w:type="dxa"/>
          </w:tcPr>
          <w:p w14:paraId="02CCDEB4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2、业务说明：</w:t>
            </w:r>
          </w:p>
          <w:p w14:paraId="7BB0BBF4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（1）报考点、招生单位、用户数据完善</w:t>
            </w:r>
          </w:p>
          <w:p w14:paraId="317EDD3D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用户通过综合管理平台完善考点/单位信息，研考系统通过数据同步方式获取并生成报考点/招生单位信息；用户基于报考点/招生单位信息来创建生成，用户账户信息与综合平台互相独立，可支持用户信息修改与维护；用户角色与权限由统一用户中心统一管理与维护。</w:t>
            </w:r>
          </w:p>
          <w:p w14:paraId="75B24614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主要流程包括：</w:t>
            </w:r>
          </w:p>
          <w:p w14:paraId="17F02FC9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1）考点用户在系统中完善考点基础数据；</w:t>
            </w:r>
          </w:p>
          <w:p w14:paraId="247A8B76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2）通过研考系统同步功能将考点数据生成报考点/招生单位信息；</w:t>
            </w:r>
          </w:p>
          <w:p w14:paraId="141B2E60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3）创建报考点/招生单位用户信息；</w:t>
            </w:r>
          </w:p>
          <w:p w14:paraId="1208BE1D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4）报考点/招生单位用户分配角色及权限；</w:t>
            </w:r>
          </w:p>
          <w:p w14:paraId="2454E64A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114300" distR="114300">
                  <wp:extent cx="3766820" cy="1879600"/>
                  <wp:effectExtent l="0" t="0" r="5080" b="635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82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863BC3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（2）基础服务优化</w:t>
            </w:r>
          </w:p>
          <w:p w14:paraId="01902171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在面对系统功能需求不断增长和变化的情况，为了确保系统的持续发展和高效运行，需要对系统进行相应的优化。优化过程中为系统预留足够的扩展接口，以便后续能够快速、灵活地添加新功能。</w:t>
            </w:r>
          </w:p>
          <w:p w14:paraId="0FC71376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针对现有填报业务流程进行全面梳理，将复杂的业务流程拆分成多个简单的、独立的逻辑单元。这些逻辑单元可以单独执行，也可以组合起来完成整个业务流程。对填报流程进行优化。通过并行处理、提前验证等方式减少等待时间；通过简化操作步骤、优化界面布局等方式提高执行效率。针对部分复杂的业务逻辑，进行重构或简化。通过算法优化、数据库查询优化等方式提升系统整体性能和响应速度。</w:t>
            </w:r>
          </w:p>
          <w:p w14:paraId="683230CE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（3）模板填报</w:t>
            </w:r>
          </w:p>
          <w:p w14:paraId="122FBC50">
            <w:pPr>
              <w:pStyle w:val="6"/>
              <w:ind w:firstLine="40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模板管理</w:t>
            </w:r>
          </w:p>
          <w:p w14:paraId="287F925D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级用户可通过模板管理页面来创建和维护模板库，填报模板采用H5形式，支持图形化方式构建表单。模板库汇集所有填报模板，实现统一、集中的管理，业务系统能够直接调用该模板库，实现快速搭建相应的数据采集任务。</w:t>
            </w:r>
          </w:p>
          <w:p w14:paraId="22211254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主要流程包括：</w:t>
            </w:r>
          </w:p>
          <w:p w14:paraId="15578CB8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1）省级用户使用H5表单设计页面在系统中创建填报模板；</w:t>
            </w:r>
          </w:p>
          <w:p w14:paraId="3E210581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2）省级用户可编辑已有填报模板对表单结构及参数调整；</w:t>
            </w:r>
          </w:p>
          <w:p w14:paraId="47FB0CB4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3）省级用户可对模板数据填报栏格式、校验方式进行配置；</w:t>
            </w:r>
          </w:p>
          <w:p w14:paraId="0A8EEE7B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4）省级用户可对现有模板库进行查看、删除操作；</w:t>
            </w:r>
          </w:p>
          <w:p w14:paraId="44511282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114300" distR="114300">
                  <wp:extent cx="4119880" cy="2053590"/>
                  <wp:effectExtent l="0" t="0" r="13970" b="381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880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266506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构建模板采集业务</w:t>
            </w:r>
          </w:p>
          <w:p w14:paraId="7CDB81D8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级用户创建数据采集业务时，需填写数据采集业务基本信息，并选择对应的报考点/招生单位用户，系统将会自动从模板库中读取相关信息，并即时向用户展示模板的预览效果，选定模板后，系统会根据所选模板自动生成数据采集任务的框架并完成任务创建。</w:t>
            </w:r>
          </w:p>
          <w:p w14:paraId="22A75CD6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主要流程包括：</w:t>
            </w:r>
          </w:p>
          <w:p w14:paraId="08162B46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1）省级用户填写采集业务所需基本信息；</w:t>
            </w:r>
          </w:p>
          <w:p w14:paraId="16843B86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2）省级用户选择业务对应的报考点/招生单位用户；</w:t>
            </w:r>
          </w:p>
          <w:p w14:paraId="14199958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3）系统读取模板库模板信息并显示预览效果；</w:t>
            </w:r>
          </w:p>
          <w:p w14:paraId="1080CD6F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4）省级用户选择所需模板完成业务创建</w:t>
            </w:r>
          </w:p>
          <w:p w14:paraId="3B2D7DB5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114300" distR="114300">
                  <wp:extent cx="3917950" cy="1948815"/>
                  <wp:effectExtent l="0" t="0" r="6350" b="13335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0" cy="194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D8C521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数据填报、文件回传</w:t>
            </w:r>
          </w:p>
          <w:p w14:paraId="254AA883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考点/招生单位用户在任务中心页面，可以清晰查看当前所有待办的数据采集任务；点击填报时，系统将根据不同的业务类型加载不同的填报页面，当任务为自定义数据采集时，将加载excel文件格式填报页面；当任务为模板采集时，将加载对应的模板并提供在线填写的方式进行填报；数据填报结束后系统会自动更新填报状态，用户可导出填报表单，签章后将文件作为附件回传。</w:t>
            </w:r>
          </w:p>
          <w:p w14:paraId="7D1A0BF6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主要流程包括：</w:t>
            </w:r>
          </w:p>
          <w:p w14:paraId="3F8F095B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1）报考点/招生单位用户查询数据采集任务；</w:t>
            </w:r>
          </w:p>
          <w:p w14:paraId="3BA49B2C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2）报考点/招生单位用户在线填报数据；</w:t>
            </w:r>
          </w:p>
          <w:p w14:paraId="784B7C60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3）系统更新填报状态并提供文件导出；</w:t>
            </w:r>
          </w:p>
          <w:p w14:paraId="596D1AD0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4）报考点/招生单位用户将文件签章后回传；</w:t>
            </w:r>
          </w:p>
          <w:p w14:paraId="2FA43059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114300" distR="114300">
                  <wp:extent cx="4228465" cy="2079625"/>
                  <wp:effectExtent l="0" t="0" r="635" b="15875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8465" cy="207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221AA5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114300" distR="114300">
                  <wp:extent cx="3943985" cy="1922780"/>
                  <wp:effectExtent l="0" t="0" r="18415" b="1270"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985" cy="192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BC72E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填报结果、文件查询导出</w:t>
            </w:r>
          </w:p>
          <w:p w14:paraId="0A1A6C97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省级用户通过查询结果页面，获取报考点/招生单位已经填报的数据信息及上传的附件内容，可以清晰地看到各个报考点/招生单位填报的详细数据信息；支持导出、下载填报内容及附件。</w:t>
            </w:r>
          </w:p>
          <w:p w14:paraId="730490FE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主要流程包括：</w:t>
            </w:r>
          </w:p>
          <w:p w14:paraId="516B7701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1）省级用户通过树节点查询对应的填报信息；</w:t>
            </w:r>
          </w:p>
          <w:p w14:paraId="42FDF059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2）省级用户导出填报信息；</w:t>
            </w:r>
          </w:p>
          <w:p w14:paraId="5B81E7EE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3）省级用户查询、下载签章附件；</w:t>
            </w:r>
          </w:p>
          <w:p w14:paraId="1253B79B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114300" distR="114300">
                  <wp:extent cx="4131945" cy="2028190"/>
                  <wp:effectExtent l="0" t="0" r="1905" b="10160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945" cy="202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27CA5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⑤ 任务中心</w:t>
            </w:r>
          </w:p>
          <w:p w14:paraId="6D53D8AF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级用户任务中心具备全面的任务管理功能，能够统一监控并管理所有现行数据采集任务。能够实时检查任务是否超期，确保工作进度不受延误。用户可轻松识别处于开放状态的任务，并进行填报操作。用户也可以直观地查看各项任务的填报进度及完成情况，可以对未完成填报的用户进行短信催办。操作选项中提供了任务详情、编辑、删除、结果查看选项，同时也可设置或取消当前任务优先级。</w:t>
            </w:r>
          </w:p>
          <w:p w14:paraId="6C698F85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114300" distR="114300">
                  <wp:extent cx="4225290" cy="2061845"/>
                  <wp:effectExtent l="0" t="0" r="3810" b="14605"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5290" cy="206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B7175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1）详情、编辑操作可查看数据采集业务详细信息，并对任务参数进行调整；</w:t>
            </w:r>
          </w:p>
          <w:p w14:paraId="6188155E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114300" distR="114300">
                  <wp:extent cx="4176395" cy="2098040"/>
                  <wp:effectExtent l="0" t="0" r="14605" b="16510"/>
                  <wp:docPr id="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395" cy="209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AECDC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2）任务优先设定，省级用户可将特定任务标红并添加优先图标，提至列表首位显示，可同时优先多个任务；无需优先时取消优先即可。</w:t>
            </w:r>
          </w:p>
          <w:p w14:paraId="14C8ADA5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114300" distR="114300">
                  <wp:extent cx="4151630" cy="877570"/>
                  <wp:effectExtent l="0" t="0" r="1270" b="17780"/>
                  <wp:docPr id="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163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FD7EA">
            <w:pPr>
              <w:pStyle w:val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）省级用户可通过已完成/总数，完成进度百分比来跟踪当前任务的完成情况；任务进度页面详细列出需填报的报考点/招生单位信息，并区别显示完成状态及时间，未完成的用户显示为催办按钮，催办会通过短信系统提醒当前用户填报，一键催办则会群发短信给所有未完成填报的用户提醒填报；填报与未填报清单可通过系统导出为文件使用。</w:t>
            </w:r>
          </w:p>
          <w:p w14:paraId="64A94F67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drawing>
                <wp:inline distT="0" distB="0" distL="114300" distR="114300">
                  <wp:extent cx="4231640" cy="2063115"/>
                  <wp:effectExtent l="0" t="0" r="16510" b="133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640" cy="206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9D78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46" w:type="dxa"/>
            <w:shd w:val="clear" w:color="auto" w:fill="auto"/>
            <w:vAlign w:val="top"/>
          </w:tcPr>
          <w:p w14:paraId="37923F68"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196" w:type="dxa"/>
          </w:tcPr>
          <w:p w14:paraId="3FACB17B">
            <w:pPr>
              <w:pStyle w:val="6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680" w:type="dxa"/>
          </w:tcPr>
          <w:p w14:paraId="3D8FD3CE">
            <w:pPr>
              <w:pStyle w:val="6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Hans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综合管理平台优化测试报告</w:t>
            </w:r>
          </w:p>
          <w:p w14:paraId="72E9A918">
            <w:pPr>
              <w:pStyle w:val="6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硬件环境：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6"/>
              <w:gridCol w:w="4968"/>
            </w:tblGrid>
            <w:tr w14:paraId="69F9F4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6224" w:type="dxa"/>
                  <w:gridSpan w:val="2"/>
                  <w:noWrap w:val="0"/>
                  <w:vAlign w:val="center"/>
                </w:tcPr>
                <w:p w14:paraId="5E245177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服务器环境</w:t>
                  </w:r>
                </w:p>
              </w:tc>
            </w:tr>
            <w:tr w14:paraId="03D28E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256" w:type="dxa"/>
                  <w:noWrap w:val="0"/>
                  <w:vAlign w:val="center"/>
                </w:tcPr>
                <w:p w14:paraId="4ED5F784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服务器品牌</w:t>
                  </w:r>
                </w:p>
              </w:tc>
              <w:tc>
                <w:tcPr>
                  <w:tcW w:w="4808" w:type="dxa"/>
                  <w:noWrap w:val="0"/>
                  <w:vAlign w:val="center"/>
                </w:tcPr>
                <w:p w14:paraId="3CC9ABD4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阿里云服务器</w:t>
                  </w:r>
                </w:p>
              </w:tc>
            </w:tr>
            <w:tr w14:paraId="475C84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256" w:type="dxa"/>
                  <w:noWrap w:val="0"/>
                  <w:vAlign w:val="center"/>
                </w:tcPr>
                <w:p w14:paraId="0AE52642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CPU</w:t>
                  </w:r>
                </w:p>
              </w:tc>
              <w:tc>
                <w:tcPr>
                  <w:tcW w:w="4808" w:type="dxa"/>
                  <w:noWrap w:val="0"/>
                  <w:vAlign w:val="center"/>
                </w:tcPr>
                <w:p w14:paraId="4D8B0FBF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10核心20线程，主频2.1G</w:t>
                  </w:r>
                </w:p>
              </w:tc>
            </w:tr>
            <w:tr w14:paraId="0A1745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256" w:type="dxa"/>
                  <w:noWrap w:val="0"/>
                  <w:vAlign w:val="center"/>
                </w:tcPr>
                <w:p w14:paraId="1A2A2073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内存</w:t>
                  </w:r>
                </w:p>
              </w:tc>
              <w:tc>
                <w:tcPr>
                  <w:tcW w:w="4808" w:type="dxa"/>
                  <w:noWrap w:val="0"/>
                  <w:vAlign w:val="center"/>
                </w:tcPr>
                <w:p w14:paraId="6314B3A7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64G</w:t>
                  </w:r>
                </w:p>
              </w:tc>
            </w:tr>
            <w:tr w14:paraId="28632B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256" w:type="dxa"/>
                  <w:noWrap w:val="0"/>
                  <w:vAlign w:val="center"/>
                </w:tcPr>
                <w:p w14:paraId="213F4A42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硬盘</w:t>
                  </w:r>
                </w:p>
              </w:tc>
              <w:tc>
                <w:tcPr>
                  <w:tcW w:w="4808" w:type="dxa"/>
                  <w:noWrap w:val="0"/>
                  <w:vAlign w:val="center"/>
                </w:tcPr>
                <w:p w14:paraId="0C4AE75A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1T SSD</w:t>
                  </w:r>
                </w:p>
              </w:tc>
            </w:tr>
            <w:tr w14:paraId="4AFED7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256" w:type="dxa"/>
                  <w:noWrap w:val="0"/>
                  <w:vAlign w:val="center"/>
                </w:tcPr>
                <w:p w14:paraId="2EFE4B01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网口</w:t>
                  </w:r>
                </w:p>
              </w:tc>
              <w:tc>
                <w:tcPr>
                  <w:tcW w:w="4808" w:type="dxa"/>
                  <w:noWrap w:val="0"/>
                  <w:vAlign w:val="center"/>
                </w:tcPr>
                <w:p w14:paraId="0911C4B0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双万兆网络接口。</w:t>
                  </w:r>
                </w:p>
              </w:tc>
            </w:tr>
            <w:tr w14:paraId="656B7A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6224" w:type="dxa"/>
                  <w:gridSpan w:val="2"/>
                  <w:noWrap w:val="0"/>
                  <w:vAlign w:val="center"/>
                </w:tcPr>
                <w:p w14:paraId="454FC48C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客户端环境</w:t>
                  </w:r>
                </w:p>
              </w:tc>
            </w:tr>
            <w:tr w14:paraId="228C7F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256" w:type="dxa"/>
                  <w:noWrap w:val="0"/>
                  <w:vAlign w:val="center"/>
                </w:tcPr>
                <w:p w14:paraId="249BCFD4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主机品牌</w:t>
                  </w:r>
                </w:p>
              </w:tc>
              <w:tc>
                <w:tcPr>
                  <w:tcW w:w="4808" w:type="dxa"/>
                  <w:noWrap w:val="0"/>
                  <w:vAlign w:val="center"/>
                </w:tcPr>
                <w:p w14:paraId="56786DF2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联想</w:t>
                  </w:r>
                </w:p>
              </w:tc>
            </w:tr>
            <w:tr w14:paraId="12952D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256" w:type="dxa"/>
                  <w:noWrap w:val="0"/>
                  <w:vAlign w:val="center"/>
                </w:tcPr>
                <w:p w14:paraId="32B155F4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CPU</w:t>
                  </w:r>
                </w:p>
              </w:tc>
              <w:tc>
                <w:tcPr>
                  <w:tcW w:w="4808" w:type="dxa"/>
                  <w:noWrap w:val="0"/>
                  <w:vAlign w:val="center"/>
                </w:tcPr>
                <w:p w14:paraId="10856B30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Intel i5 6核，12线程；主频3.4G</w:t>
                  </w:r>
                </w:p>
              </w:tc>
            </w:tr>
            <w:tr w14:paraId="27562E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256" w:type="dxa"/>
                  <w:noWrap w:val="0"/>
                  <w:vAlign w:val="center"/>
                </w:tcPr>
                <w:p w14:paraId="40674241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内存</w:t>
                  </w:r>
                </w:p>
              </w:tc>
              <w:tc>
                <w:tcPr>
                  <w:tcW w:w="4808" w:type="dxa"/>
                  <w:noWrap w:val="0"/>
                  <w:vAlign w:val="center"/>
                </w:tcPr>
                <w:p w14:paraId="184C9C7B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16G</w:t>
                  </w:r>
                </w:p>
              </w:tc>
            </w:tr>
            <w:tr w14:paraId="699F01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256" w:type="dxa"/>
                  <w:noWrap w:val="0"/>
                  <w:vAlign w:val="center"/>
                </w:tcPr>
                <w:p w14:paraId="7B925D41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硬盘</w:t>
                  </w:r>
                </w:p>
              </w:tc>
              <w:tc>
                <w:tcPr>
                  <w:tcW w:w="4808" w:type="dxa"/>
                  <w:noWrap w:val="0"/>
                  <w:vAlign w:val="center"/>
                </w:tcPr>
                <w:p w14:paraId="14025514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500G SSD</w:t>
                  </w:r>
                </w:p>
              </w:tc>
            </w:tr>
            <w:tr w14:paraId="56D2C0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256" w:type="dxa"/>
                  <w:noWrap w:val="0"/>
                  <w:vAlign w:val="center"/>
                </w:tcPr>
                <w:p w14:paraId="7C08036B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网口</w:t>
                  </w:r>
                </w:p>
              </w:tc>
              <w:tc>
                <w:tcPr>
                  <w:tcW w:w="4808" w:type="dxa"/>
                  <w:noWrap w:val="0"/>
                  <w:vAlign w:val="center"/>
                </w:tcPr>
                <w:p w14:paraId="6B7EFE83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千兆网口</w:t>
                  </w:r>
                </w:p>
              </w:tc>
            </w:tr>
            <w:tr w14:paraId="0F0181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256" w:type="dxa"/>
                  <w:noWrap w:val="0"/>
                  <w:vAlign w:val="center"/>
                </w:tcPr>
                <w:p w14:paraId="5A315012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显示器</w:t>
                  </w:r>
                </w:p>
              </w:tc>
              <w:tc>
                <w:tcPr>
                  <w:tcW w:w="4808" w:type="dxa"/>
                  <w:noWrap w:val="0"/>
                  <w:vAlign w:val="center"/>
                </w:tcPr>
                <w:p w14:paraId="13C9B136">
                  <w:pPr>
                    <w:pStyle w:val="6"/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24寸，1920*1080分辨率</w:t>
                  </w:r>
                </w:p>
              </w:tc>
            </w:tr>
          </w:tbl>
          <w:p w14:paraId="31506D2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5BCAD8E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软件环境：</w:t>
            </w:r>
          </w:p>
          <w:tbl>
            <w:tblPr>
              <w:tblStyle w:val="4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5"/>
              <w:gridCol w:w="4509"/>
            </w:tblGrid>
            <w:tr w14:paraId="7A5B95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506" w:type="pct"/>
                  <w:noWrap w:val="0"/>
                  <w:vAlign w:val="top"/>
                </w:tcPr>
                <w:p w14:paraId="7AE96AEA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操作系统</w:t>
                  </w:r>
                </w:p>
              </w:tc>
              <w:tc>
                <w:tcPr>
                  <w:tcW w:w="3493" w:type="pct"/>
                  <w:noWrap w:val="0"/>
                  <w:vAlign w:val="top"/>
                </w:tcPr>
                <w:p w14:paraId="1D48B9EE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Linux (CentOS 7.8)</w:t>
                  </w:r>
                </w:p>
              </w:tc>
            </w:tr>
            <w:tr w14:paraId="0849DA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506" w:type="pct"/>
                  <w:noWrap w:val="0"/>
                  <w:vAlign w:val="top"/>
                </w:tcPr>
                <w:p w14:paraId="0D9520EC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运行环境</w:t>
                  </w:r>
                </w:p>
              </w:tc>
              <w:tc>
                <w:tcPr>
                  <w:tcW w:w="3493" w:type="pct"/>
                  <w:noWrap w:val="0"/>
                  <w:vAlign w:val="top"/>
                </w:tcPr>
                <w:p w14:paraId="4D3CFFA7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Java SE 8.0（jdk 8.0）</w:t>
                  </w:r>
                </w:p>
              </w:tc>
            </w:tr>
            <w:tr w14:paraId="1769DE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9" w:hRule="exact"/>
              </w:trPr>
              <w:tc>
                <w:tcPr>
                  <w:tcW w:w="1506" w:type="pct"/>
                  <w:noWrap w:val="0"/>
                  <w:vAlign w:val="top"/>
                </w:tcPr>
                <w:p w14:paraId="6D65A904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系统环境</w:t>
                  </w:r>
                </w:p>
              </w:tc>
              <w:tc>
                <w:tcPr>
                  <w:tcW w:w="3493" w:type="pct"/>
                  <w:noWrap w:val="0"/>
                  <w:vAlign w:val="top"/>
                </w:tcPr>
                <w:p w14:paraId="09C2E0FE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Ng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inx、redis、tomcat、fastdfs、jdk环境</w:t>
                  </w:r>
                </w:p>
              </w:tc>
            </w:tr>
            <w:tr w14:paraId="6C31F6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506" w:type="pct"/>
                  <w:noWrap w:val="0"/>
                  <w:vAlign w:val="top"/>
                </w:tcPr>
                <w:p w14:paraId="5A42556A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Web服务器</w:t>
                  </w:r>
                </w:p>
              </w:tc>
              <w:tc>
                <w:tcPr>
                  <w:tcW w:w="3493" w:type="pct"/>
                  <w:noWrap w:val="0"/>
                  <w:vAlign w:val="top"/>
                </w:tcPr>
                <w:p w14:paraId="658FD7BF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Apache Tomcat 9.0.55</w:t>
                  </w:r>
                </w:p>
              </w:tc>
            </w:tr>
            <w:tr w14:paraId="1701B0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1506" w:type="pct"/>
                  <w:noWrap w:val="0"/>
                  <w:vAlign w:val="top"/>
                </w:tcPr>
                <w:p w14:paraId="3CCD3DA8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测试工具</w:t>
                  </w:r>
                </w:p>
              </w:tc>
              <w:tc>
                <w:tcPr>
                  <w:tcW w:w="3493" w:type="pct"/>
                  <w:noWrap w:val="0"/>
                  <w:vAlign w:val="top"/>
                </w:tcPr>
                <w:p w14:paraId="7CB190DB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SecureCRT、MySQLWorkbench、apache-jmeter</w:t>
                  </w:r>
                </w:p>
              </w:tc>
            </w:tr>
            <w:tr w14:paraId="5481FB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506" w:type="pct"/>
                  <w:noWrap w:val="0"/>
                  <w:vAlign w:val="top"/>
                </w:tcPr>
                <w:p w14:paraId="2AABC83E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测试数据</w:t>
                  </w:r>
                </w:p>
              </w:tc>
              <w:tc>
                <w:tcPr>
                  <w:tcW w:w="3493" w:type="pct"/>
                  <w:noWrap w:val="0"/>
                  <w:vAlign w:val="top"/>
                </w:tcPr>
                <w:p w14:paraId="20757E8E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lang w:val="en-US" w:eastAsia="zh-Hans"/>
                    </w:rPr>
                    <w:t>系统初始化数据</w:t>
                  </w:r>
                </w:p>
              </w:tc>
            </w:tr>
          </w:tbl>
          <w:p w14:paraId="3C6230A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44C1EBF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编程语言：</w:t>
            </w:r>
          </w:p>
          <w:tbl>
            <w:tblPr>
              <w:tblStyle w:val="4"/>
              <w:tblW w:w="64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1"/>
              <w:gridCol w:w="4738"/>
            </w:tblGrid>
            <w:tr w14:paraId="798234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exact"/>
              </w:trPr>
              <w:tc>
                <w:tcPr>
                  <w:tcW w:w="1332" w:type="pct"/>
                  <w:noWrap w:val="0"/>
                  <w:vAlign w:val="center"/>
                </w:tcPr>
                <w:p w14:paraId="65F06B85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kern w:val="0"/>
                      <w:sz w:val="20"/>
                      <w:lang w:val="en-US" w:eastAsia="zh-Hans"/>
                    </w:rPr>
                    <w:t>服务端</w:t>
                  </w:r>
                </w:p>
              </w:tc>
              <w:tc>
                <w:tcPr>
                  <w:tcW w:w="3667" w:type="pct"/>
                  <w:noWrap w:val="0"/>
                  <w:vAlign w:val="center"/>
                </w:tcPr>
                <w:p w14:paraId="0D22FA0E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kern w:val="0"/>
                      <w:sz w:val="20"/>
                      <w:lang w:val="en-US" w:eastAsia="zh-Hans"/>
                    </w:rPr>
                    <w:t>Java 1.8</w:t>
                  </w:r>
                </w:p>
              </w:tc>
            </w:tr>
            <w:tr w14:paraId="58A58D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exact"/>
              </w:trPr>
              <w:tc>
                <w:tcPr>
                  <w:tcW w:w="1332" w:type="pct"/>
                  <w:vMerge w:val="restart"/>
                  <w:noWrap w:val="0"/>
                  <w:vAlign w:val="center"/>
                </w:tcPr>
                <w:p w14:paraId="2EDD9484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kern w:val="0"/>
                      <w:sz w:val="20"/>
                      <w:lang w:val="en-US" w:eastAsia="zh-Hans"/>
                    </w:rPr>
                    <w:t>页面端</w:t>
                  </w:r>
                </w:p>
              </w:tc>
              <w:tc>
                <w:tcPr>
                  <w:tcW w:w="3667" w:type="pct"/>
                  <w:noWrap w:val="0"/>
                  <w:vAlign w:val="center"/>
                </w:tcPr>
                <w:p w14:paraId="6ECE5C7B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kern w:val="0"/>
                      <w:sz w:val="20"/>
                      <w:lang w:val="en-US" w:eastAsia="zh-Hans"/>
                    </w:rPr>
                    <w:t>javaScript</w:t>
                  </w:r>
                </w:p>
              </w:tc>
            </w:tr>
            <w:tr w14:paraId="6009B1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1" w:hRule="exact"/>
              </w:trPr>
              <w:tc>
                <w:tcPr>
                  <w:tcW w:w="1332" w:type="pct"/>
                  <w:vMerge w:val="continue"/>
                  <w:noWrap w:val="0"/>
                  <w:vAlign w:val="center"/>
                </w:tcPr>
                <w:p w14:paraId="5F038FD6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kern w:val="0"/>
                      <w:sz w:val="20"/>
                      <w:lang w:val="en-US" w:eastAsia="zh-Hans"/>
                    </w:rPr>
                  </w:pPr>
                </w:p>
              </w:tc>
              <w:tc>
                <w:tcPr>
                  <w:tcW w:w="3667" w:type="pct"/>
                  <w:noWrap w:val="0"/>
                  <w:vAlign w:val="center"/>
                </w:tcPr>
                <w:p w14:paraId="375EBA02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kern w:val="0"/>
                      <w:sz w:val="20"/>
                      <w:lang w:val="en-US" w:eastAsia="zh-Hans"/>
                    </w:rPr>
                    <w:t>Html5</w:t>
                  </w:r>
                </w:p>
              </w:tc>
            </w:tr>
          </w:tbl>
          <w:p w14:paraId="07BAD6C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3A7752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软件基本情况表：</w:t>
            </w:r>
          </w:p>
          <w:tbl>
            <w:tblPr>
              <w:tblStyle w:val="4"/>
              <w:tblW w:w="66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5"/>
              <w:gridCol w:w="5125"/>
            </w:tblGrid>
            <w:tr w14:paraId="483ED6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545" w:type="dxa"/>
                  <w:noWrap w:val="0"/>
                  <w:vAlign w:val="center"/>
                </w:tcPr>
                <w:p w14:paraId="6D84019D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  <w:t>软件名称</w:t>
                  </w:r>
                </w:p>
              </w:tc>
              <w:tc>
                <w:tcPr>
                  <w:tcW w:w="5125" w:type="dxa"/>
                  <w:noWrap w:val="0"/>
                  <w:vAlign w:val="center"/>
                </w:tcPr>
                <w:p w14:paraId="61C8E4F8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  <w:t>陕西省国家教育考试综合管理平台</w:t>
                  </w:r>
                </w:p>
              </w:tc>
            </w:tr>
            <w:tr w14:paraId="771B5A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exact"/>
              </w:trPr>
              <w:tc>
                <w:tcPr>
                  <w:tcW w:w="1545" w:type="dxa"/>
                  <w:noWrap w:val="0"/>
                  <w:vAlign w:val="center"/>
                </w:tcPr>
                <w:p w14:paraId="2BD69E58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 w:hanging="1000" w:hangingChars="50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  <w:t>软件运行环境</w:t>
                  </w:r>
                </w:p>
                <w:p w14:paraId="66A4C33E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360" w:lineRule="auto"/>
                    <w:ind w:left="0" w:hanging="1000" w:hangingChars="50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  <w:t>采用技术情况</w:t>
                  </w:r>
                </w:p>
              </w:tc>
              <w:tc>
                <w:tcPr>
                  <w:tcW w:w="5125" w:type="dxa"/>
                  <w:noWrap w:val="0"/>
                  <w:vAlign w:val="top"/>
                </w:tcPr>
                <w:p w14:paraId="5837A5F7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ind w:left="0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  <w:t>服务器端操作系统为Linux，</w:t>
                  </w:r>
                </w:p>
                <w:p w14:paraId="29D21F8F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ind w:left="0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  <w:t>发布服务器采国产服务器作为Web发布平台，</w:t>
                  </w:r>
                </w:p>
                <w:p w14:paraId="49E25244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ind w:left="0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  <w:t>数据库采用Mysql 5.7.35</w:t>
                  </w:r>
                </w:p>
                <w:p w14:paraId="546ABC09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ind w:left="0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  <w:t>客户端采用谷歌、火狐、360极速浏览器等主流浏览器</w:t>
                  </w:r>
                </w:p>
                <w:p w14:paraId="3621AD2E">
                  <w:pPr>
                    <w:pStyle w:val="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="0" w:afterAutospacing="0" w:line="240" w:lineRule="auto"/>
                    <w:ind w:left="0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kern w:val="0"/>
                      <w:sz w:val="20"/>
                      <w:lang w:val="en-US" w:eastAsia="zh-Hans"/>
                    </w:rPr>
                    <w:t>设置为1920*1080分辨率最佳。</w:t>
                  </w:r>
                </w:p>
              </w:tc>
            </w:tr>
          </w:tbl>
          <w:p w14:paraId="785AD60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本期对标准化考场管理、设备绑定（包含IPC、身份核验、作弊防控）、考务人员管理、实时流获取展示的关键场景的性能进行了优化和调整，通过使用redis 、RAMCache、RocketMQ 等技术手段，对重要场景的功能代码进行了重构，在结构上实现大数据高并发情况下的高可用。并对调整后的场景进行了相应的压力测试，部分压测结果如下：</w:t>
            </w:r>
          </w:p>
          <w:p w14:paraId="40A6329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(1)标准化考场管理压测结果</w:t>
            </w:r>
          </w:p>
          <w:p w14:paraId="10726C2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drawing>
                <wp:inline distT="0" distB="0" distL="114300" distR="114300">
                  <wp:extent cx="5267960" cy="524510"/>
                  <wp:effectExtent l="0" t="0" r="8890" b="8890"/>
                  <wp:docPr id="12" name="图片 11" descr="lQLPJxDjlf6u1X1yzQR5sFcT6lIe3gwrBwoBfciFbAA_1145_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lQLPJxDjlf6u1X1yzQR5sFcT6lIe3gwrBwoBfciFbAA_1145_11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B116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标准化考场管理,TPS（总和）为 1967.3（=651.3+660.5+655.5）</w:t>
            </w:r>
          </w:p>
          <w:p w14:paraId="5EC2AA3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平均响应时间（总和平均）为55ms（=(65+45+56)÷3）</w:t>
            </w:r>
          </w:p>
          <w:p w14:paraId="77FF9DA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(2)设备绑定压测结果</w:t>
            </w:r>
          </w:p>
          <w:p w14:paraId="2DF5EA3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drawing>
                <wp:inline distT="0" distB="0" distL="114300" distR="114300">
                  <wp:extent cx="5271135" cy="595630"/>
                  <wp:effectExtent l="0" t="0" r="5715" b="13970"/>
                  <wp:docPr id="9" name="图片 12" descr="lQLPKclwBrmtlh3Mgc0EdbB5D3ew8Aee6wcKAj2fizUA_1141_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2" descr="lQLPKclwBrmtlh3Mgc0EdbB5D3ew8Aee6wcKAj2fizUA_1141_12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BAD5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设备绑定,TPS（总和）为 1921（=491.5+588.3+373.9+467.3）</w:t>
            </w:r>
          </w:p>
          <w:p w14:paraId="31EC9FE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平均响应时间（总和平均）为58ms（=(58+62+55)÷3）</w:t>
            </w:r>
          </w:p>
          <w:p w14:paraId="462287D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(3)考务人员管理压测结果</w:t>
            </w:r>
          </w:p>
          <w:p w14:paraId="32BD882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drawing>
                <wp:inline distT="0" distB="0" distL="114300" distR="114300">
                  <wp:extent cx="5274310" cy="514985"/>
                  <wp:effectExtent l="0" t="0" r="2540" b="18415"/>
                  <wp:docPr id="8" name="图片 13" descr="lQLPJwpkHrYYrR1vzQRxsHId39eBS7h7BwoC00kJIQA_1137_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3" descr="lQLPJwpkHrYYrR1vzQRxsHId39eBS7h7BwoC00kJIQA_1137_11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71D6E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考务人员管理,TPS（总和）为 1790.8（=677.4+528.0+585.4）</w:t>
            </w:r>
          </w:p>
          <w:p w14:paraId="6768885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平均响应时间（总和平均）为61ms（=(66+57+61)÷3）</w:t>
            </w:r>
          </w:p>
          <w:p w14:paraId="6A73555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(4)实时流获取压测结果</w:t>
            </w:r>
          </w:p>
          <w:p w14:paraId="1B76884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drawing>
                <wp:inline distT="0" distB="0" distL="114300" distR="114300">
                  <wp:extent cx="5267960" cy="462915"/>
                  <wp:effectExtent l="0" t="0" r="8890" b="13335"/>
                  <wp:docPr id="13" name="图片 14" descr="lQLPJxdt9xz8Bl1kzQRysIYfSV6wxOh4BwoDWOw5iAA_1138_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4" descr="lQLPJxdt9xz8Bl1kzQRysIYfSV6wxOh4BwoDWOw5iAA_1138_10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DF3D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实时流获取,TPS（总和）为 1590.8（=511.5+549.5+529.8）</w:t>
            </w:r>
          </w:p>
          <w:p w14:paraId="39300B2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平均响应时间（总和平均）为103ms（=(113+93+103)÷3）</w:t>
            </w:r>
          </w:p>
          <w:p w14:paraId="7290003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综合管理平台迭代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CN"/>
              </w:rPr>
              <w:t>、功能增强、新功能添加</w:t>
            </w:r>
          </w:p>
          <w:p w14:paraId="0F24E22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系统安全性改进：</w:t>
            </w:r>
          </w:p>
          <w:p w14:paraId="3DA17FB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1）系统、中间件、微服务相关安全漏洞修复；</w:t>
            </w:r>
          </w:p>
          <w:p w14:paraId="32924FF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2）服务器定期维护，软件更新；</w:t>
            </w:r>
          </w:p>
          <w:p w14:paraId="2544DBF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系统迭代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优化功能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CN"/>
              </w:rPr>
              <w:t>、新功能添加：</w:t>
            </w:r>
          </w:p>
          <w:p w14:paraId="31D8BE5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1）考点专网启用统计业务（指标包含：市县校考试类型、计数、总计数）；专网启用统计功能；专网启用统计移除功能；专网启用列表、详情展示功能；结果高级查询功能；配套页面开发。</w:t>
            </w:r>
          </w:p>
          <w:p w14:paraId="2650BA0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2）（专网项目）增加管理员角色，可对现有功能页面按钮权限管理；增加管理员附件发布功能；增加管理员附件查询、删除、开放功能；增加附件下载记录查询功能；增加附件下载信息记录功能；增加附件上传信息记录、回显功能；增加管理员查询附件上传列表功能；增加历史记录删除功能；配套页面开发。</w:t>
            </w:r>
          </w:p>
          <w:p w14:paraId="2FEED12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3）key值业务完善；key值业务创建流程优化可分类生成市、县、考点范围内的Key值；增加key值删除功能；增加Key值列表展示功能；分类查询功能；配套页面开发。</w:t>
            </w:r>
          </w:p>
          <w:p w14:paraId="6566438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4）业务表数据上报业务完善；业务表查询列表优化；增加填报进度查询功能、填报进度报表导出功能；增加市用户督查所属市填报进度，报表导出；配套页面开发。</w:t>
            </w:r>
          </w:p>
          <w:p w14:paraId="6426AAD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5）逻辑考场关联业务完善；增加备用考场重命名功能；增加备用考场导出功能；配套页面开发。</w:t>
            </w:r>
          </w:p>
          <w:p w14:paraId="1A2454E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6）标准化考场管理业务完善；增加标准化考场批量添加功能；标准化考场查询列表优化；增加考场摄像头管理功能；其他场所查询列表优化；增加其他场所摄像头管理功能；配套页面开发。</w:t>
            </w:r>
          </w:p>
          <w:p w14:paraId="580E379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7）考务工作人员导入业务优化；优化考务工作人员导入功能；增加考务工作人员高级查询功能；增加考务人员条件查询导出功能（包含市县校、电话、岗位等）；配套页面开发。</w:t>
            </w:r>
          </w:p>
          <w:p w14:paraId="0D70B82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8）设备管理功能完善；增加视频监控、身份认证、作弊防控设备高级检索功能；增加省用户跨级删除设备功能；增加sipuri、sn格式校验去重功能；配套页面开发。</w:t>
            </w:r>
          </w:p>
          <w:p w14:paraId="5F82136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lang w:val="en-US" w:eastAsia="zh-Hans"/>
              </w:rPr>
              <w:t>9）考生入场相关业务迭代；入场显示增加区域入场进度列表显示功能；增加入场数据重置功能；优化网上巡查入场显示功能；优化辅助决策入场显示功能；配套页面开发。</w:t>
            </w:r>
          </w:p>
        </w:tc>
      </w:tr>
    </w:tbl>
    <w:p w14:paraId="1FE636C1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13633"/>
    <w:rsid w:val="0E11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2025-10-14T09:55:00Z</dcterms:created>
  <dc:creator>白日梦</dc:creator>
  <cp:lastModifiedBy>白日梦</cp:lastModifiedBy>
  <dcterms:modified xsi:type="dcterms:W3CDTF">2025-10-14T09:55:45Z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15B8970F0DED4BAD9EBC13D44809C2FF_11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