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92186">
      <w:pPr>
        <w:pStyle w:val="3"/>
        <w:spacing w:before="327" w:beforeLines="100" w:after="327" w:afterLines="10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highlight w:val="none"/>
          <w:lang w:val="en-US" w:eastAsia="zh-CN" w:bidi="ar-SA"/>
        </w:rPr>
        <w:t>采购内容及</w:t>
      </w:r>
      <w:r>
        <w:rPr>
          <w:rFonts w:hint="eastAsia" w:ascii="宋体" w:eastAsia="宋体" w:cs="宋体"/>
          <w:b/>
          <w:color w:val="000000"/>
          <w:kern w:val="2"/>
          <w:sz w:val="36"/>
          <w:szCs w:val="36"/>
          <w:highlight w:val="none"/>
          <w:lang w:val="en-US" w:eastAsia="zh-CN" w:bidi="ar-SA"/>
        </w:rPr>
        <w:t>服务</w:t>
      </w: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highlight w:val="none"/>
          <w:lang w:val="en-US" w:eastAsia="zh-CN" w:bidi="ar-SA"/>
        </w:rPr>
        <w:t>要求</w:t>
      </w:r>
      <w:bookmarkStart w:id="0" w:name="_Toc317530110"/>
    </w:p>
    <w:p w14:paraId="511C0D2A">
      <w:pPr>
        <w:pStyle w:val="3"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一、项目概况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：储备土地“非粮化”、“非农化”、耕地保护督察图斑整治</w:t>
      </w:r>
    </w:p>
    <w:p w14:paraId="0651EFE3">
      <w:pPr>
        <w:pStyle w:val="3"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二、主要工作内容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：挖机深翻整平（深翻不低于 0.5m）、地面其他附着物清理、复耕复种等。</w:t>
      </w:r>
    </w:p>
    <w:p w14:paraId="68CB3581">
      <w:pPr>
        <w:pStyle w:val="3"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三、质量验收标准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：符合国家现行有关质量验收规范“合格”要求。</w:t>
      </w:r>
    </w:p>
    <w:p w14:paraId="2611E047">
      <w:pPr>
        <w:pStyle w:val="3"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四、商务要求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</w:t>
      </w:r>
    </w:p>
    <w:p w14:paraId="213CD6B2">
      <w:pPr>
        <w:pStyle w:val="3"/>
        <w:spacing w:line="360" w:lineRule="auto"/>
        <w:ind w:firstLine="240" w:firstLineChars="1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（一）服务期：10个自然日</w:t>
      </w:r>
    </w:p>
    <w:p w14:paraId="44A38E28">
      <w:pPr>
        <w:pStyle w:val="3"/>
        <w:spacing w:line="360" w:lineRule="auto"/>
        <w:ind w:firstLine="241" w:firstLineChars="1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（二）单价最高限价：挖机：3000元/台班；装载机2000元/台班；播种机：1000元/台班。</w:t>
      </w:r>
    </w:p>
    <w:p w14:paraId="58A63EC7">
      <w:pPr>
        <w:pStyle w:val="3"/>
        <w:spacing w:line="360" w:lineRule="auto"/>
        <w:ind w:firstLine="241" w:firstLineChars="1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（三）合同价款：案机械台班单价招标，最终结算金额=实际工作量*</w:t>
      </w:r>
      <w:r>
        <w:rPr>
          <w:rFonts w:hint="eastAsia" w:asci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中标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单价据实结算。</w:t>
      </w:r>
    </w:p>
    <w:p w14:paraId="76519B31"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（四）服务区域：</w:t>
      </w:r>
      <w:r>
        <w:rPr>
          <w:rFonts w:hint="eastAsia" w:hAnsi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周陵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片区</w:t>
      </w:r>
      <w:r>
        <w:rPr>
          <w:rFonts w:hint="eastAsia" w:hAnsi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、正阳片区、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渭城片区（部分），最终服务区域及工作内容由甲方指定；</w:t>
      </w:r>
    </w:p>
    <w:p w14:paraId="634AFA9B"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hAnsi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（五）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款项结算</w:t>
      </w:r>
    </w:p>
    <w:p w14:paraId="5D077EDF"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（1）支付方式：项目经甲方验收合格后据实结算，最终结算金额不得超过项目采购预算金额。</w:t>
      </w:r>
    </w:p>
    <w:p w14:paraId="44C5A4FC"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（2）结算方式：银行转账。</w:t>
      </w:r>
    </w:p>
    <w:p w14:paraId="487EAF3D">
      <w:pPr>
        <w:pStyle w:val="3"/>
        <w:spacing w:line="360" w:lineRule="auto"/>
        <w:ind w:firstLine="240" w:firstLineChars="100"/>
        <w:jc w:val="left"/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（3）结算单位：由甲方负责结算，每次付款前，乙方开具相应价款的增值税发票交甲方。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A0530"/>
    <w:rsid w:val="3430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/>
      <w:b/>
      <w:kern w:val="2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2025-10-15T11:18:54Z</dcterms:created>
  <dc:creator>哈哈</dc:creator>
  <cp:lastModifiedBy>quanquan</cp:lastModifiedBy>
  <dcterms:modified xsi:type="dcterms:W3CDTF">2025-10-15T11:20:37Z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eyJoZGlkIjoiYzliNzYxZTJmOTAyYzU5MjJhNjk3NjU5NGI5NTA3M2MiLCJ1c2VySWQiOiI2NjA2NTQ0MTkifQ==</vt:lpwstr>
  </property>
  <property fmtid="{D5CDD505-2E9C-101B-9397-08002B2CF9AE}" pid="4" name="ICV">
    <vt:lpwstr>D906A413AD864ADEAAE770318A0B10CD_12</vt:lpwstr>
  </property>
</Properties>
</file>