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DE586">
      <w:pPr>
        <w:rPr>
          <w:rFonts w:hint="eastAsia" w:ascii="宋体" w:hAnsi="宋体" w:cs="宋体"/>
          <w:b/>
          <w:bCs/>
          <w:color w:val="000000" w:themeColor="text1"/>
          <w:sz w:val="32"/>
          <w:szCs w:val="32"/>
          <w:lang w:eastAsia="zh-CN"/>
          <w14:textFill>
            <w14:solidFill>
              <w14:schemeClr w14:val="tx1"/>
            </w14:solidFill>
          </w14:textFill>
        </w:rPr>
      </w:pPr>
      <w:bookmarkStart w:id="0" w:name="_Toc15591"/>
      <w:bookmarkStart w:id="1032" w:name="_GoBack"/>
      <w:bookmarkEnd w:id="1032"/>
      <w:r>
        <w:rPr>
          <w:rFonts w:hint="eastAsia" w:ascii="宋体" w:hAnsi="宋体" w:cs="宋体"/>
          <w:b/>
          <w:bCs/>
          <w:color w:val="000000" w:themeColor="text1"/>
          <w:sz w:val="32"/>
          <w:szCs w:val="32"/>
          <w14:textFill>
            <w14:solidFill>
              <w14:schemeClr w14:val="tx1"/>
            </w14:solidFill>
          </w14:textFill>
        </w:rPr>
        <w:t>项目编号：</w:t>
      </w:r>
      <w:r>
        <w:rPr>
          <w:rFonts w:hint="eastAsia" w:ascii="宋体" w:hAnsi="宋体" w:cs="宋体"/>
          <w:b/>
          <w:bCs/>
          <w:color w:val="000000" w:themeColor="text1"/>
          <w:sz w:val="32"/>
          <w:szCs w:val="32"/>
          <w:lang w:eastAsia="zh-CN"/>
          <w14:textFill>
            <w14:solidFill>
              <w14:schemeClr w14:val="tx1"/>
            </w14:solidFill>
          </w14:textFill>
        </w:rPr>
        <w:t>SXCY2025-55</w:t>
      </w:r>
    </w:p>
    <w:p w14:paraId="224CEAD1">
      <w:pPr>
        <w:jc w:val="both"/>
        <w:rPr>
          <w:rFonts w:hint="eastAsia" w:ascii="宋体" w:hAnsi="宋体" w:cs="宋体"/>
          <w:b/>
          <w:bCs/>
          <w:color w:val="000000" w:themeColor="text1"/>
          <w:sz w:val="48"/>
          <w:szCs w:val="48"/>
          <w14:textFill>
            <w14:solidFill>
              <w14:schemeClr w14:val="tx1"/>
            </w14:solidFill>
          </w14:textFill>
        </w:rPr>
      </w:pPr>
    </w:p>
    <w:p w14:paraId="252BB882">
      <w:pPr>
        <w:jc w:val="center"/>
        <w:rPr>
          <w:rFonts w:hint="eastAsia" w:ascii="宋体" w:hAnsi="宋体" w:cs="宋体"/>
          <w:b/>
          <w:bCs/>
          <w:color w:val="000000" w:themeColor="text1"/>
          <w:sz w:val="48"/>
          <w:szCs w:val="48"/>
          <w14:textFill>
            <w14:solidFill>
              <w14:schemeClr w14:val="tx1"/>
            </w14:solidFill>
          </w14:textFill>
        </w:rPr>
      </w:pPr>
    </w:p>
    <w:p w14:paraId="42A61BEB">
      <w:pPr>
        <w:pStyle w:val="11"/>
        <w:rPr>
          <w:rFonts w:hint="eastAsia"/>
          <w:color w:val="000000" w:themeColor="text1"/>
          <w14:textFill>
            <w14:solidFill>
              <w14:schemeClr w14:val="tx1"/>
            </w14:solidFill>
          </w14:textFill>
        </w:rPr>
      </w:pPr>
    </w:p>
    <w:p w14:paraId="203CEBD0">
      <w:pPr>
        <w:pStyle w:val="11"/>
        <w:rPr>
          <w:rFonts w:hint="eastAsia"/>
          <w:color w:val="000000" w:themeColor="text1"/>
          <w14:textFill>
            <w14:solidFill>
              <w14:schemeClr w14:val="tx1"/>
            </w14:solidFill>
          </w14:textFill>
        </w:rPr>
      </w:pPr>
    </w:p>
    <w:p w14:paraId="1ED1FBD6">
      <w:pPr>
        <w:jc w:val="center"/>
        <w:rPr>
          <w:rFonts w:hint="eastAsia"/>
          <w:b/>
          <w:bCs/>
          <w:color w:val="000000" w:themeColor="text1"/>
          <w:sz w:val="56"/>
          <w:szCs w:val="52"/>
          <w:lang w:eastAsia="zh-CN"/>
          <w14:textFill>
            <w14:solidFill>
              <w14:schemeClr w14:val="tx1"/>
            </w14:solidFill>
          </w14:textFill>
        </w:rPr>
      </w:pPr>
      <w:bookmarkStart w:id="1" w:name="_Toc26697"/>
      <w:bookmarkStart w:id="2" w:name="_Toc27774"/>
      <w:bookmarkStart w:id="3" w:name="_Toc15395"/>
      <w:r>
        <w:rPr>
          <w:rFonts w:hint="eastAsia"/>
          <w:b/>
          <w:bCs/>
          <w:color w:val="000000" w:themeColor="text1"/>
          <w:sz w:val="56"/>
          <w:szCs w:val="52"/>
          <w:lang w:eastAsia="zh-CN"/>
          <w14:textFill>
            <w14:solidFill>
              <w14:schemeClr w14:val="tx1"/>
            </w14:solidFill>
          </w14:textFill>
        </w:rPr>
        <w:t>延安市生态环境局延安市水生态监测</w:t>
      </w:r>
    </w:p>
    <w:p w14:paraId="310B174E">
      <w:pPr>
        <w:jc w:val="center"/>
        <w:rPr>
          <w:rFonts w:hint="eastAsia"/>
          <w:b/>
          <w:bCs/>
          <w:color w:val="000000" w:themeColor="text1"/>
          <w:sz w:val="56"/>
          <w:szCs w:val="52"/>
          <w:lang w:eastAsia="zh-CN"/>
          <w14:textFill>
            <w14:solidFill>
              <w14:schemeClr w14:val="tx1"/>
            </w14:solidFill>
          </w14:textFill>
        </w:rPr>
      </w:pPr>
    </w:p>
    <w:p w14:paraId="2926AD27">
      <w:pPr>
        <w:jc w:val="center"/>
        <w:rPr>
          <w:rFonts w:hint="eastAsia"/>
          <w:b/>
          <w:bCs/>
          <w:color w:val="000000" w:themeColor="text1"/>
          <w:sz w:val="56"/>
          <w:szCs w:val="52"/>
          <w:lang w:eastAsia="zh-CN"/>
          <w14:textFill>
            <w14:solidFill>
              <w14:schemeClr w14:val="tx1"/>
            </w14:solidFill>
          </w14:textFill>
        </w:rPr>
      </w:pPr>
      <w:r>
        <w:rPr>
          <w:rFonts w:hint="eastAsia"/>
          <w:b/>
          <w:bCs/>
          <w:color w:val="000000" w:themeColor="text1"/>
          <w:sz w:val="56"/>
          <w:szCs w:val="52"/>
          <w:lang w:eastAsia="zh-CN"/>
          <w14:textFill>
            <w14:solidFill>
              <w14:schemeClr w14:val="tx1"/>
            </w14:solidFill>
          </w14:textFill>
        </w:rPr>
        <w:t>能力提升项目</w:t>
      </w:r>
    </w:p>
    <w:p w14:paraId="1EF77F8F">
      <w:pPr>
        <w:rPr>
          <w:rFonts w:hint="eastAsia"/>
          <w:color w:val="000000" w:themeColor="text1"/>
          <w:lang w:eastAsia="zh-CN"/>
          <w14:textFill>
            <w14:solidFill>
              <w14:schemeClr w14:val="tx1"/>
            </w14:solidFill>
          </w14:textFill>
        </w:rPr>
      </w:pPr>
    </w:p>
    <w:p w14:paraId="37917588">
      <w:pPr>
        <w:rPr>
          <w:rFonts w:hint="eastAsia"/>
          <w:color w:val="000000" w:themeColor="text1"/>
          <w:lang w:eastAsia="zh-CN"/>
          <w14:textFill>
            <w14:solidFill>
              <w14:schemeClr w14:val="tx1"/>
            </w14:solidFill>
          </w14:textFill>
        </w:rPr>
      </w:pPr>
    </w:p>
    <w:p w14:paraId="556E0A33">
      <w:pPr>
        <w:pStyle w:val="8"/>
        <w:rPr>
          <w:rFonts w:hint="eastAsia"/>
          <w:color w:val="000000" w:themeColor="text1"/>
          <w:lang w:eastAsia="zh-CN"/>
          <w14:textFill>
            <w14:solidFill>
              <w14:schemeClr w14:val="tx1"/>
            </w14:solidFill>
          </w14:textFill>
        </w:rPr>
      </w:pPr>
    </w:p>
    <w:p w14:paraId="07805F6A">
      <w:pPr>
        <w:rPr>
          <w:rFonts w:hint="eastAsia"/>
          <w:color w:val="000000" w:themeColor="text1"/>
          <w14:textFill>
            <w14:solidFill>
              <w14:schemeClr w14:val="tx1"/>
            </w14:solidFill>
          </w14:textFill>
        </w:rPr>
      </w:pPr>
    </w:p>
    <w:p w14:paraId="4D8C4F07">
      <w:pPr>
        <w:rPr>
          <w:rFonts w:hint="eastAsia"/>
          <w:color w:val="000000" w:themeColor="text1"/>
          <w14:textFill>
            <w14:solidFill>
              <w14:schemeClr w14:val="tx1"/>
            </w14:solidFill>
          </w14:textFill>
        </w:rPr>
      </w:pPr>
    </w:p>
    <w:p w14:paraId="1E067AC5">
      <w:pPr>
        <w:pStyle w:val="11"/>
        <w:rPr>
          <w:rFonts w:hint="eastAsia"/>
          <w:color w:val="000000" w:themeColor="text1"/>
          <w14:textFill>
            <w14:solidFill>
              <w14:schemeClr w14:val="tx1"/>
            </w14:solidFill>
          </w14:textFill>
        </w:rPr>
      </w:pPr>
    </w:p>
    <w:p w14:paraId="41C8543A">
      <w:pPr>
        <w:rPr>
          <w:rFonts w:hint="eastAsia"/>
          <w:color w:val="000000" w:themeColor="text1"/>
          <w14:textFill>
            <w14:solidFill>
              <w14:schemeClr w14:val="tx1"/>
            </w14:solidFill>
          </w14:textFill>
        </w:rPr>
      </w:pPr>
    </w:p>
    <w:p w14:paraId="4CEB4799">
      <w:pPr>
        <w:spacing w:before="360" w:beforeLines="150"/>
        <w:jc w:val="center"/>
        <w:rPr>
          <w:rFonts w:hint="eastAsia" w:ascii="宋体" w:hAnsi="宋体" w:cs="宋体"/>
          <w:b/>
          <w:color w:val="000000" w:themeColor="text1"/>
          <w:spacing w:val="4"/>
          <w:sz w:val="72"/>
          <w:szCs w:val="72"/>
          <w14:textFill>
            <w14:solidFill>
              <w14:schemeClr w14:val="tx1"/>
            </w14:solidFill>
          </w14:textFill>
        </w:rPr>
      </w:pPr>
      <w:r>
        <w:rPr>
          <w:rFonts w:hint="eastAsia" w:ascii="宋体" w:hAnsi="宋体" w:cs="宋体"/>
          <w:b/>
          <w:color w:val="000000" w:themeColor="text1"/>
          <w:spacing w:val="4"/>
          <w:sz w:val="72"/>
          <w:szCs w:val="72"/>
          <w14:textFill>
            <w14:solidFill>
              <w14:schemeClr w14:val="tx1"/>
            </w14:solidFill>
          </w14:textFill>
        </w:rPr>
        <w:t>招 标 文 件</w:t>
      </w:r>
      <w:bookmarkEnd w:id="0"/>
      <w:bookmarkEnd w:id="1"/>
      <w:bookmarkEnd w:id="2"/>
      <w:bookmarkEnd w:id="3"/>
    </w:p>
    <w:p w14:paraId="580D4260">
      <w:pPr>
        <w:jc w:val="center"/>
        <w:rPr>
          <w:rFonts w:hint="eastAsia" w:ascii="宋体" w:hAnsi="宋体" w:cs="宋体"/>
          <w:b/>
          <w:color w:val="000000" w:themeColor="text1"/>
          <w:spacing w:val="4"/>
          <w:sz w:val="24"/>
          <w14:textFill>
            <w14:solidFill>
              <w14:schemeClr w14:val="tx1"/>
            </w14:solidFill>
          </w14:textFill>
        </w:rPr>
      </w:pPr>
    </w:p>
    <w:p w14:paraId="6CC25EF2">
      <w:pPr>
        <w:spacing w:before="100" w:after="100" w:line="480" w:lineRule="auto"/>
        <w:rPr>
          <w:rFonts w:hint="eastAsia" w:ascii="宋体" w:hAnsi="宋体" w:cs="宋体"/>
          <w:b/>
          <w:color w:val="000000" w:themeColor="text1"/>
          <w:sz w:val="32"/>
          <w:szCs w:val="36"/>
          <w14:textFill>
            <w14:solidFill>
              <w14:schemeClr w14:val="tx1"/>
            </w14:solidFill>
          </w14:textFill>
        </w:rPr>
      </w:pPr>
    </w:p>
    <w:p w14:paraId="727F548F">
      <w:pPr>
        <w:pStyle w:val="11"/>
        <w:rPr>
          <w:rFonts w:hint="eastAsia"/>
          <w:color w:val="000000" w:themeColor="text1"/>
          <w14:textFill>
            <w14:solidFill>
              <w14:schemeClr w14:val="tx1"/>
            </w14:solidFill>
          </w14:textFill>
        </w:rPr>
      </w:pPr>
    </w:p>
    <w:p w14:paraId="7170EA78">
      <w:pPr>
        <w:pStyle w:val="11"/>
        <w:rPr>
          <w:rFonts w:hint="eastAsia"/>
          <w:color w:val="000000" w:themeColor="text1"/>
          <w14:textFill>
            <w14:solidFill>
              <w14:schemeClr w14:val="tx1"/>
            </w14:solidFill>
          </w14:textFill>
        </w:rPr>
      </w:pPr>
    </w:p>
    <w:p w14:paraId="07BE5781">
      <w:pPr>
        <w:pStyle w:val="11"/>
        <w:rPr>
          <w:rFonts w:hint="eastAsia"/>
          <w:color w:val="000000" w:themeColor="text1"/>
          <w14:textFill>
            <w14:solidFill>
              <w14:schemeClr w14:val="tx1"/>
            </w14:solidFill>
          </w14:textFill>
        </w:rPr>
      </w:pPr>
    </w:p>
    <w:p w14:paraId="68DB540D">
      <w:pPr>
        <w:rPr>
          <w:rFonts w:hint="eastAsia"/>
          <w:color w:val="000000" w:themeColor="text1"/>
          <w14:textFill>
            <w14:solidFill>
              <w14:schemeClr w14:val="tx1"/>
            </w14:solidFill>
          </w14:textFill>
        </w:rPr>
      </w:pPr>
    </w:p>
    <w:p w14:paraId="7F15B853">
      <w:pPr>
        <w:keepNext w:val="0"/>
        <w:keepLines w:val="0"/>
        <w:pageBreakBefore w:val="0"/>
        <w:widowControl w:val="0"/>
        <w:kinsoku/>
        <w:wordWrap/>
        <w:overflowPunct/>
        <w:topLinePunct w:val="0"/>
        <w:autoSpaceDE/>
        <w:autoSpaceDN/>
        <w:bidi w:val="0"/>
        <w:adjustRightInd/>
        <w:snapToGrid/>
        <w:spacing w:line="800" w:lineRule="exact"/>
        <w:ind w:firstLine="964" w:firstLineChars="300"/>
        <w:textAlignment w:val="auto"/>
        <w:rPr>
          <w:rFonts w:hint="eastAsia" w:ascii="宋体" w:hAnsi="宋体" w:eastAsia="宋体" w:cs="宋体"/>
          <w:b/>
          <w:color w:val="000000" w:themeColor="text1"/>
          <w:sz w:val="32"/>
          <w:szCs w:val="36"/>
          <w:lang w:eastAsia="zh-CN"/>
          <w14:textFill>
            <w14:solidFill>
              <w14:schemeClr w14:val="tx1"/>
            </w14:solidFill>
          </w14:textFill>
        </w:rPr>
      </w:pPr>
      <w:r>
        <w:rPr>
          <w:rFonts w:hint="eastAsia" w:ascii="宋体" w:hAnsi="宋体" w:cs="宋体"/>
          <w:b/>
          <w:color w:val="000000" w:themeColor="text1"/>
          <w:sz w:val="32"/>
          <w:szCs w:val="36"/>
          <w14:textFill>
            <w14:solidFill>
              <w14:schemeClr w14:val="tx1"/>
            </w14:solidFill>
          </w14:textFill>
        </w:rPr>
        <w:t>采</w:t>
      </w:r>
      <w:r>
        <w:rPr>
          <w:rFonts w:hint="eastAsia" w:ascii="宋体" w:hAnsi="宋体" w:cs="宋体"/>
          <w:b/>
          <w:color w:val="000000" w:themeColor="text1"/>
          <w:sz w:val="32"/>
          <w:szCs w:val="36"/>
          <w:lang w:val="en-US" w:eastAsia="zh-CN"/>
          <w14:textFill>
            <w14:solidFill>
              <w14:schemeClr w14:val="tx1"/>
            </w14:solidFill>
          </w14:textFill>
        </w:rPr>
        <w:t xml:space="preserve">   </w:t>
      </w:r>
      <w:r>
        <w:rPr>
          <w:rFonts w:hint="eastAsia" w:ascii="宋体" w:hAnsi="宋体" w:cs="宋体"/>
          <w:b/>
          <w:color w:val="000000" w:themeColor="text1"/>
          <w:sz w:val="32"/>
          <w:szCs w:val="36"/>
          <w14:textFill>
            <w14:solidFill>
              <w14:schemeClr w14:val="tx1"/>
            </w14:solidFill>
          </w14:textFill>
        </w:rPr>
        <w:t>购</w:t>
      </w:r>
      <w:r>
        <w:rPr>
          <w:rFonts w:hint="eastAsia" w:ascii="宋体" w:hAnsi="宋体" w:cs="宋体"/>
          <w:b/>
          <w:color w:val="000000" w:themeColor="text1"/>
          <w:sz w:val="32"/>
          <w:szCs w:val="36"/>
          <w:lang w:val="en-US" w:eastAsia="zh-CN"/>
          <w14:textFill>
            <w14:solidFill>
              <w14:schemeClr w14:val="tx1"/>
            </w14:solidFill>
          </w14:textFill>
        </w:rPr>
        <w:t xml:space="preserve">   </w:t>
      </w:r>
      <w:r>
        <w:rPr>
          <w:rFonts w:hint="eastAsia" w:ascii="宋体" w:hAnsi="宋体" w:cs="宋体"/>
          <w:b/>
          <w:color w:val="000000" w:themeColor="text1"/>
          <w:sz w:val="32"/>
          <w:szCs w:val="36"/>
          <w14:textFill>
            <w14:solidFill>
              <w14:schemeClr w14:val="tx1"/>
            </w14:solidFill>
          </w14:textFill>
        </w:rPr>
        <w:t>人：</w:t>
      </w:r>
      <w:r>
        <w:rPr>
          <w:rFonts w:hint="eastAsia" w:ascii="宋体" w:hAnsi="宋体" w:cs="宋体"/>
          <w:b/>
          <w:color w:val="000000" w:themeColor="text1"/>
          <w:sz w:val="32"/>
          <w:szCs w:val="36"/>
          <w:lang w:eastAsia="zh-CN"/>
          <w14:textFill>
            <w14:solidFill>
              <w14:schemeClr w14:val="tx1"/>
            </w14:solidFill>
          </w14:textFill>
        </w:rPr>
        <w:t>延安市生态环境局</w:t>
      </w:r>
    </w:p>
    <w:p w14:paraId="05FE7BA1">
      <w:pPr>
        <w:pStyle w:val="11"/>
        <w:keepNext w:val="0"/>
        <w:keepLines w:val="0"/>
        <w:pageBreakBefore w:val="0"/>
        <w:widowControl w:val="0"/>
        <w:kinsoku/>
        <w:wordWrap/>
        <w:overflowPunct/>
        <w:topLinePunct w:val="0"/>
        <w:autoSpaceDE/>
        <w:autoSpaceDN/>
        <w:bidi w:val="0"/>
        <w:adjustRightInd/>
        <w:snapToGrid/>
        <w:spacing w:line="800" w:lineRule="exact"/>
        <w:ind w:firstLine="964" w:firstLineChars="300"/>
        <w:textAlignment w:val="auto"/>
        <w:rPr>
          <w:rFonts w:hint="eastAsia"/>
          <w:color w:val="000000" w:themeColor="text1"/>
          <w14:textFill>
            <w14:solidFill>
              <w14:schemeClr w14:val="tx1"/>
            </w14:solidFill>
          </w14:textFill>
        </w:rPr>
      </w:pPr>
      <w:r>
        <w:rPr>
          <w:rFonts w:hint="eastAsia" w:cs="宋体"/>
          <w:b/>
          <w:color w:val="000000" w:themeColor="text1"/>
          <w:sz w:val="32"/>
          <w:szCs w:val="36"/>
          <w14:textFill>
            <w14:solidFill>
              <w14:schemeClr w14:val="tx1"/>
            </w14:solidFill>
          </w14:textFill>
        </w:rPr>
        <w:t>采购代理机构：陕西宸永项目管理有限公司</w:t>
      </w:r>
    </w:p>
    <w:p w14:paraId="1DD87828">
      <w:pPr>
        <w:keepNext w:val="0"/>
        <w:keepLines w:val="0"/>
        <w:pageBreakBefore w:val="0"/>
        <w:widowControl w:val="0"/>
        <w:kinsoku/>
        <w:wordWrap/>
        <w:overflowPunct/>
        <w:topLinePunct w:val="0"/>
        <w:autoSpaceDE/>
        <w:autoSpaceDN/>
        <w:bidi w:val="0"/>
        <w:adjustRightInd/>
        <w:snapToGrid/>
        <w:spacing w:line="800" w:lineRule="exact"/>
        <w:ind w:firstLine="964" w:firstLineChars="300"/>
        <w:jc w:val="both"/>
        <w:textAlignment w:val="auto"/>
        <w:rPr>
          <w:rFonts w:hint="eastAsia" w:ascii="宋体" w:hAnsi="宋体" w:cs="宋体"/>
          <w:b/>
          <w:color w:val="000000" w:themeColor="text1"/>
          <w:sz w:val="52"/>
          <w:szCs w:val="52"/>
          <w14:textFill>
            <w14:solidFill>
              <w14:schemeClr w14:val="tx1"/>
            </w14:solidFill>
          </w14:textFill>
        </w:rPr>
      </w:pPr>
      <w:r>
        <w:rPr>
          <w:rFonts w:hint="eastAsia" w:ascii="宋体" w:hAnsi="宋体" w:cs="宋体"/>
          <w:b/>
          <w:color w:val="000000" w:themeColor="text1"/>
          <w:sz w:val="32"/>
          <w:szCs w:val="36"/>
          <w:lang w:val="en-US" w:eastAsia="zh-CN"/>
          <w14:textFill>
            <w14:solidFill>
              <w14:schemeClr w14:val="tx1"/>
            </w14:solidFill>
          </w14:textFill>
        </w:rPr>
        <w:t>日        期：</w:t>
      </w:r>
      <w:r>
        <w:rPr>
          <w:rFonts w:hint="eastAsia" w:ascii="宋体" w:hAnsi="宋体" w:cs="宋体"/>
          <w:b/>
          <w:color w:val="000000" w:themeColor="text1"/>
          <w:sz w:val="32"/>
          <w:szCs w:val="36"/>
          <w14:textFill>
            <w14:solidFill>
              <w14:schemeClr w14:val="tx1"/>
            </w14:solidFill>
          </w14:textFill>
        </w:rPr>
        <w:t>二○二</w:t>
      </w:r>
      <w:r>
        <w:rPr>
          <w:rFonts w:hint="eastAsia" w:ascii="宋体" w:hAnsi="宋体" w:cs="宋体"/>
          <w:b/>
          <w:color w:val="000000" w:themeColor="text1"/>
          <w:sz w:val="32"/>
          <w:szCs w:val="36"/>
          <w:lang w:val="en-US" w:eastAsia="zh-CN"/>
          <w14:textFill>
            <w14:solidFill>
              <w14:schemeClr w14:val="tx1"/>
            </w14:solidFill>
          </w14:textFill>
        </w:rPr>
        <w:t>五</w:t>
      </w:r>
      <w:r>
        <w:rPr>
          <w:rFonts w:hint="eastAsia" w:ascii="宋体" w:hAnsi="宋体" w:cs="宋体"/>
          <w:b/>
          <w:color w:val="000000" w:themeColor="text1"/>
          <w:sz w:val="32"/>
          <w:szCs w:val="36"/>
          <w14:textFill>
            <w14:solidFill>
              <w14:schemeClr w14:val="tx1"/>
            </w14:solidFill>
          </w14:textFill>
        </w:rPr>
        <w:t>年</w:t>
      </w:r>
      <w:r>
        <w:rPr>
          <w:rFonts w:hint="eastAsia" w:ascii="宋体" w:hAnsi="宋体" w:cs="宋体"/>
          <w:b/>
          <w:color w:val="000000" w:themeColor="text1"/>
          <w:sz w:val="32"/>
          <w:szCs w:val="36"/>
          <w:lang w:val="en-US" w:eastAsia="zh-CN"/>
          <w14:textFill>
            <w14:solidFill>
              <w14:schemeClr w14:val="tx1"/>
            </w14:solidFill>
          </w14:textFill>
        </w:rPr>
        <w:t>九</w:t>
      </w:r>
      <w:r>
        <w:rPr>
          <w:rFonts w:hint="eastAsia" w:ascii="宋体" w:hAnsi="宋体" w:cs="宋体"/>
          <w:b/>
          <w:color w:val="000000" w:themeColor="text1"/>
          <w:sz w:val="32"/>
          <w:szCs w:val="36"/>
          <w14:textFill>
            <w14:solidFill>
              <w14:schemeClr w14:val="tx1"/>
            </w14:solidFill>
          </w14:textFill>
        </w:rPr>
        <w:t>月</w:t>
      </w:r>
    </w:p>
    <w:p w14:paraId="4053A7AB">
      <w:pPr>
        <w:spacing w:before="340" w:after="340" w:line="480" w:lineRule="auto"/>
        <w:jc w:val="center"/>
        <w:rPr>
          <w:color w:val="000000" w:themeColor="text1"/>
          <w:sz w:val="16"/>
          <w:szCs w:val="15"/>
          <w14:textFill>
            <w14:solidFill>
              <w14:schemeClr w14:val="tx1"/>
            </w14:solidFill>
          </w14:textFill>
        </w:rPr>
      </w:pPr>
      <w:r>
        <w:rPr>
          <w:rFonts w:hint="eastAsia" w:ascii="宋体" w:hAnsi="宋体" w:cs="宋体"/>
          <w:b/>
          <w:color w:val="000000" w:themeColor="text1"/>
          <w:sz w:val="40"/>
          <w:szCs w:val="40"/>
          <w14:textFill>
            <w14:solidFill>
              <w14:schemeClr w14:val="tx1"/>
            </w14:solidFill>
          </w14:textFill>
        </w:rPr>
        <w:t>目  录</w:t>
      </w:r>
    </w:p>
    <w:p w14:paraId="4AC925F5">
      <w:pPr>
        <w:pStyle w:val="23"/>
        <w:keepNext w:val="0"/>
        <w:keepLines w:val="0"/>
        <w:pageBreakBefore w:val="0"/>
        <w:widowControl w:val="0"/>
        <w:tabs>
          <w:tab w:val="right" w:leader="dot" w:pos="9355"/>
        </w:tabs>
        <w:kinsoku/>
        <w:wordWrap/>
        <w:overflowPunct/>
        <w:topLinePunct w:val="0"/>
        <w:autoSpaceDE/>
        <w:autoSpaceDN/>
        <w:bidi w:val="0"/>
        <w:adjustRightInd/>
        <w:snapToGrid/>
        <w:spacing w:line="800" w:lineRule="exact"/>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fldChar w:fldCharType="begin"/>
      </w:r>
      <w:r>
        <w:rPr>
          <w:rFonts w:hint="eastAsia" w:ascii="宋体" w:hAnsi="宋体" w:cs="宋体"/>
          <w:color w:val="000000" w:themeColor="text1"/>
          <w:sz w:val="30"/>
          <w:szCs w:val="30"/>
          <w14:textFill>
            <w14:solidFill>
              <w14:schemeClr w14:val="tx1"/>
            </w14:solidFill>
          </w14:textFill>
        </w:rPr>
        <w:instrText xml:space="preserve">TOC \o "1-1" \h \u </w:instrText>
      </w:r>
      <w:r>
        <w:rPr>
          <w:rFonts w:hint="eastAsia" w:ascii="宋体" w:hAnsi="宋体" w:cs="宋体"/>
          <w:color w:val="000000" w:themeColor="text1"/>
          <w:sz w:val="30"/>
          <w:szCs w:val="30"/>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HYPERLINK \l _Toc11630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第一章 招标公告</w:t>
      </w:r>
      <w:r>
        <w:rPr>
          <w:rFonts w:hint="eastAsia" w:ascii="宋体" w:hAnsi="宋体" w:eastAsia="宋体" w:cs="宋体"/>
          <w:b/>
          <w:bCs/>
          <w:color w:val="000000" w:themeColor="text1"/>
          <w:sz w:val="28"/>
          <w:szCs w:val="28"/>
          <w14:textFill>
            <w14:solidFill>
              <w14:schemeClr w14:val="tx1"/>
            </w14:solidFill>
          </w14:textFill>
        </w:rPr>
        <w:tab/>
      </w: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PAGEREF _Toc11630 \h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1</w:t>
      </w:r>
      <w:r>
        <w:rPr>
          <w:rFonts w:hint="eastAsia" w:ascii="宋体" w:hAnsi="宋体" w:eastAsia="宋体" w:cs="宋体"/>
          <w:b/>
          <w:bCs/>
          <w:color w:val="000000" w:themeColor="text1"/>
          <w:sz w:val="28"/>
          <w:szCs w:val="28"/>
          <w14:textFill>
            <w14:solidFill>
              <w14:schemeClr w14:val="tx1"/>
            </w14:solidFill>
          </w14:textFill>
        </w:rPr>
        <w:fldChar w:fldCharType="end"/>
      </w:r>
      <w:r>
        <w:rPr>
          <w:rFonts w:hint="eastAsia" w:ascii="宋体" w:hAnsi="宋体" w:eastAsia="宋体" w:cs="宋体"/>
          <w:b/>
          <w:bCs/>
          <w:color w:val="000000" w:themeColor="text1"/>
          <w:sz w:val="28"/>
          <w:szCs w:val="28"/>
          <w14:textFill>
            <w14:solidFill>
              <w14:schemeClr w14:val="tx1"/>
            </w14:solidFill>
          </w14:textFill>
        </w:rPr>
        <w:fldChar w:fldCharType="end"/>
      </w:r>
    </w:p>
    <w:p w14:paraId="79BBBEF6">
      <w:pPr>
        <w:pStyle w:val="23"/>
        <w:keepNext w:val="0"/>
        <w:keepLines w:val="0"/>
        <w:pageBreakBefore w:val="0"/>
        <w:widowControl w:val="0"/>
        <w:tabs>
          <w:tab w:val="right" w:leader="dot" w:pos="9355"/>
        </w:tabs>
        <w:kinsoku/>
        <w:wordWrap/>
        <w:overflowPunct/>
        <w:topLinePunct w:val="0"/>
        <w:autoSpaceDE/>
        <w:autoSpaceDN/>
        <w:bidi w:val="0"/>
        <w:adjustRightInd/>
        <w:snapToGrid/>
        <w:spacing w:line="800" w:lineRule="exact"/>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HYPERLINK \l _Toc2596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第二章 投标人须知</w:t>
      </w:r>
      <w:r>
        <w:rPr>
          <w:rFonts w:hint="eastAsia" w:ascii="宋体" w:hAnsi="宋体" w:eastAsia="宋体" w:cs="宋体"/>
          <w:b/>
          <w:bCs/>
          <w:color w:val="000000" w:themeColor="text1"/>
          <w:sz w:val="28"/>
          <w:szCs w:val="28"/>
          <w14:textFill>
            <w14:solidFill>
              <w14:schemeClr w14:val="tx1"/>
            </w14:solidFill>
          </w14:textFill>
        </w:rPr>
        <w:tab/>
      </w: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PAGEREF _Toc2596 \h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6</w:t>
      </w:r>
      <w:r>
        <w:rPr>
          <w:rFonts w:hint="eastAsia" w:ascii="宋体" w:hAnsi="宋体" w:eastAsia="宋体" w:cs="宋体"/>
          <w:b/>
          <w:bCs/>
          <w:color w:val="000000" w:themeColor="text1"/>
          <w:sz w:val="28"/>
          <w:szCs w:val="28"/>
          <w14:textFill>
            <w14:solidFill>
              <w14:schemeClr w14:val="tx1"/>
            </w14:solidFill>
          </w14:textFill>
        </w:rPr>
        <w:fldChar w:fldCharType="end"/>
      </w:r>
      <w:r>
        <w:rPr>
          <w:rFonts w:hint="eastAsia" w:ascii="宋体" w:hAnsi="宋体" w:eastAsia="宋体" w:cs="宋体"/>
          <w:b/>
          <w:bCs/>
          <w:color w:val="000000" w:themeColor="text1"/>
          <w:sz w:val="28"/>
          <w:szCs w:val="28"/>
          <w14:textFill>
            <w14:solidFill>
              <w14:schemeClr w14:val="tx1"/>
            </w14:solidFill>
          </w14:textFill>
        </w:rPr>
        <w:fldChar w:fldCharType="end"/>
      </w:r>
    </w:p>
    <w:p w14:paraId="37C31515">
      <w:pPr>
        <w:pStyle w:val="23"/>
        <w:keepNext w:val="0"/>
        <w:keepLines w:val="0"/>
        <w:pageBreakBefore w:val="0"/>
        <w:widowControl w:val="0"/>
        <w:tabs>
          <w:tab w:val="right" w:leader="dot" w:pos="9355"/>
        </w:tabs>
        <w:kinsoku/>
        <w:wordWrap/>
        <w:overflowPunct/>
        <w:topLinePunct w:val="0"/>
        <w:autoSpaceDE/>
        <w:autoSpaceDN/>
        <w:bidi w:val="0"/>
        <w:adjustRightInd/>
        <w:snapToGrid/>
        <w:spacing w:line="800" w:lineRule="exact"/>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HYPERLINK \l _Toc3162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第三章 投标人资格证明文件及审核</w:t>
      </w:r>
      <w:r>
        <w:rPr>
          <w:rFonts w:hint="eastAsia" w:ascii="宋体" w:hAnsi="宋体" w:eastAsia="宋体" w:cs="宋体"/>
          <w:b/>
          <w:bCs/>
          <w:color w:val="000000" w:themeColor="text1"/>
          <w:sz w:val="28"/>
          <w:szCs w:val="28"/>
          <w14:textFill>
            <w14:solidFill>
              <w14:schemeClr w14:val="tx1"/>
            </w14:solidFill>
          </w14:textFill>
        </w:rPr>
        <w:tab/>
      </w: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PAGEREF _Toc3162 \h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3</w:t>
      </w:r>
      <w:r>
        <w:rPr>
          <w:rFonts w:hint="eastAsia" w:ascii="宋体" w:hAnsi="宋体" w:cs="宋体"/>
          <w:b/>
          <w:bCs/>
          <w:color w:val="000000" w:themeColor="text1"/>
          <w:sz w:val="28"/>
          <w:szCs w:val="28"/>
          <w:lang w:val="en-US" w:eastAsia="zh-CN"/>
          <w14:textFill>
            <w14:solidFill>
              <w14:schemeClr w14:val="tx1"/>
            </w14:solidFill>
          </w14:textFill>
        </w:rPr>
        <w:t>9</w:t>
      </w:r>
      <w:r>
        <w:rPr>
          <w:rFonts w:hint="eastAsia" w:ascii="宋体" w:hAnsi="宋体" w:eastAsia="宋体" w:cs="宋体"/>
          <w:b/>
          <w:bCs/>
          <w:color w:val="000000" w:themeColor="text1"/>
          <w:sz w:val="28"/>
          <w:szCs w:val="28"/>
          <w14:textFill>
            <w14:solidFill>
              <w14:schemeClr w14:val="tx1"/>
            </w14:solidFill>
          </w14:textFill>
        </w:rPr>
        <w:fldChar w:fldCharType="end"/>
      </w:r>
      <w:r>
        <w:rPr>
          <w:rFonts w:hint="eastAsia" w:ascii="宋体" w:hAnsi="宋体" w:eastAsia="宋体" w:cs="宋体"/>
          <w:b/>
          <w:bCs/>
          <w:color w:val="000000" w:themeColor="text1"/>
          <w:sz w:val="28"/>
          <w:szCs w:val="28"/>
          <w14:textFill>
            <w14:solidFill>
              <w14:schemeClr w14:val="tx1"/>
            </w14:solidFill>
          </w14:textFill>
        </w:rPr>
        <w:fldChar w:fldCharType="end"/>
      </w:r>
    </w:p>
    <w:p w14:paraId="2244C34D">
      <w:pPr>
        <w:pStyle w:val="23"/>
        <w:keepNext w:val="0"/>
        <w:keepLines w:val="0"/>
        <w:pageBreakBefore w:val="0"/>
        <w:widowControl w:val="0"/>
        <w:tabs>
          <w:tab w:val="right" w:leader="dot" w:pos="9355"/>
        </w:tabs>
        <w:kinsoku/>
        <w:wordWrap/>
        <w:overflowPunct/>
        <w:topLinePunct w:val="0"/>
        <w:autoSpaceDE/>
        <w:autoSpaceDN/>
        <w:bidi w:val="0"/>
        <w:adjustRightInd/>
        <w:snapToGrid/>
        <w:spacing w:line="800" w:lineRule="exact"/>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HYPERLINK \l _Toc11405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第四章 评标办法前附表及评标办法</w:t>
      </w:r>
      <w:r>
        <w:rPr>
          <w:rFonts w:hint="eastAsia" w:ascii="宋体" w:hAnsi="宋体" w:eastAsia="宋体" w:cs="宋体"/>
          <w:b/>
          <w:bCs/>
          <w:color w:val="000000" w:themeColor="text1"/>
          <w:sz w:val="28"/>
          <w:szCs w:val="28"/>
          <w14:textFill>
            <w14:solidFill>
              <w14:schemeClr w14:val="tx1"/>
            </w14:solidFill>
          </w14:textFill>
        </w:rPr>
        <w:tab/>
      </w: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PAGEREF _Toc11405 \h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4</w:t>
      </w:r>
      <w:r>
        <w:rPr>
          <w:rFonts w:hint="eastAsia" w:ascii="宋体" w:hAnsi="宋体" w:cs="宋体"/>
          <w:b/>
          <w:bCs/>
          <w:color w:val="000000" w:themeColor="text1"/>
          <w:sz w:val="28"/>
          <w:szCs w:val="28"/>
          <w:lang w:val="en-US" w:eastAsia="zh-CN"/>
          <w14:textFill>
            <w14:solidFill>
              <w14:schemeClr w14:val="tx1"/>
            </w14:solidFill>
          </w14:textFill>
        </w:rPr>
        <w:t>3</w:t>
      </w:r>
      <w:r>
        <w:rPr>
          <w:rFonts w:hint="eastAsia" w:ascii="宋体" w:hAnsi="宋体" w:eastAsia="宋体" w:cs="宋体"/>
          <w:b/>
          <w:bCs/>
          <w:color w:val="000000" w:themeColor="text1"/>
          <w:sz w:val="28"/>
          <w:szCs w:val="28"/>
          <w14:textFill>
            <w14:solidFill>
              <w14:schemeClr w14:val="tx1"/>
            </w14:solidFill>
          </w14:textFill>
        </w:rPr>
        <w:fldChar w:fldCharType="end"/>
      </w:r>
      <w:r>
        <w:rPr>
          <w:rFonts w:hint="eastAsia" w:ascii="宋体" w:hAnsi="宋体" w:eastAsia="宋体" w:cs="宋体"/>
          <w:b/>
          <w:bCs/>
          <w:color w:val="000000" w:themeColor="text1"/>
          <w:sz w:val="28"/>
          <w:szCs w:val="28"/>
          <w14:textFill>
            <w14:solidFill>
              <w14:schemeClr w14:val="tx1"/>
            </w14:solidFill>
          </w14:textFill>
        </w:rPr>
        <w:fldChar w:fldCharType="end"/>
      </w:r>
    </w:p>
    <w:p w14:paraId="4DF78D2C">
      <w:pPr>
        <w:pStyle w:val="23"/>
        <w:keepNext w:val="0"/>
        <w:keepLines w:val="0"/>
        <w:pageBreakBefore w:val="0"/>
        <w:widowControl w:val="0"/>
        <w:tabs>
          <w:tab w:val="right" w:leader="dot" w:pos="9355"/>
        </w:tabs>
        <w:kinsoku/>
        <w:wordWrap/>
        <w:overflowPunct/>
        <w:topLinePunct w:val="0"/>
        <w:autoSpaceDE/>
        <w:autoSpaceDN/>
        <w:bidi w:val="0"/>
        <w:adjustRightInd/>
        <w:snapToGrid/>
        <w:spacing w:line="800" w:lineRule="exact"/>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HYPERLINK \l _Toc3834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第五章 合同（拟签订</w:t>
      </w:r>
      <w:r>
        <w:rPr>
          <w:rFonts w:hint="eastAsia" w:ascii="宋体" w:hAnsi="宋体" w:cs="宋体"/>
          <w:b/>
          <w:bCs/>
          <w:color w:val="000000" w:themeColor="text1"/>
          <w:sz w:val="28"/>
          <w:szCs w:val="28"/>
          <w:lang w:val="en-US" w:eastAsia="zh-CN"/>
          <w14:textFill>
            <w14:solidFill>
              <w14:schemeClr w14:val="tx1"/>
            </w14:solidFill>
          </w14:textFill>
        </w:rPr>
        <w:t>合同</w:t>
      </w:r>
      <w:r>
        <w:rPr>
          <w:rFonts w:hint="eastAsia" w:ascii="宋体" w:hAnsi="宋体" w:eastAsia="宋体" w:cs="宋体"/>
          <w:b/>
          <w:bCs/>
          <w:color w:val="000000" w:themeColor="text1"/>
          <w:sz w:val="28"/>
          <w:szCs w:val="28"/>
          <w14:textFill>
            <w14:solidFill>
              <w14:schemeClr w14:val="tx1"/>
            </w14:solidFill>
          </w14:textFill>
        </w:rPr>
        <w:t>文本）</w:t>
      </w:r>
      <w:r>
        <w:rPr>
          <w:rFonts w:hint="eastAsia" w:ascii="宋体" w:hAnsi="宋体" w:eastAsia="宋体" w:cs="宋体"/>
          <w:b/>
          <w:bCs/>
          <w:color w:val="000000" w:themeColor="text1"/>
          <w:sz w:val="28"/>
          <w:szCs w:val="28"/>
          <w14:textFill>
            <w14:solidFill>
              <w14:schemeClr w14:val="tx1"/>
            </w14:solidFill>
          </w14:textFill>
        </w:rPr>
        <w:tab/>
      </w: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PAGEREF _Toc3834 \h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cs="宋体"/>
          <w:b/>
          <w:bCs/>
          <w:color w:val="000000" w:themeColor="text1"/>
          <w:sz w:val="28"/>
          <w:szCs w:val="28"/>
          <w:lang w:val="en-US" w:eastAsia="zh-CN"/>
          <w14:textFill>
            <w14:solidFill>
              <w14:schemeClr w14:val="tx1"/>
            </w14:solidFill>
          </w14:textFill>
        </w:rPr>
        <w:t>59</w:t>
      </w:r>
      <w:r>
        <w:rPr>
          <w:rFonts w:hint="eastAsia" w:ascii="宋体" w:hAnsi="宋体" w:eastAsia="宋体" w:cs="宋体"/>
          <w:b/>
          <w:bCs/>
          <w:color w:val="000000" w:themeColor="text1"/>
          <w:sz w:val="28"/>
          <w:szCs w:val="28"/>
          <w14:textFill>
            <w14:solidFill>
              <w14:schemeClr w14:val="tx1"/>
            </w14:solidFill>
          </w14:textFill>
        </w:rPr>
        <w:fldChar w:fldCharType="end"/>
      </w:r>
      <w:r>
        <w:rPr>
          <w:rFonts w:hint="eastAsia" w:ascii="宋体" w:hAnsi="宋体" w:eastAsia="宋体" w:cs="宋体"/>
          <w:b/>
          <w:bCs/>
          <w:color w:val="000000" w:themeColor="text1"/>
          <w:sz w:val="28"/>
          <w:szCs w:val="28"/>
          <w14:textFill>
            <w14:solidFill>
              <w14:schemeClr w14:val="tx1"/>
            </w14:solidFill>
          </w14:textFill>
        </w:rPr>
        <w:fldChar w:fldCharType="end"/>
      </w:r>
    </w:p>
    <w:p w14:paraId="33FB18D5">
      <w:pPr>
        <w:pStyle w:val="23"/>
        <w:keepNext w:val="0"/>
        <w:keepLines w:val="0"/>
        <w:pageBreakBefore w:val="0"/>
        <w:widowControl w:val="0"/>
        <w:tabs>
          <w:tab w:val="right" w:leader="dot" w:pos="9355"/>
        </w:tabs>
        <w:kinsoku/>
        <w:wordWrap/>
        <w:overflowPunct/>
        <w:topLinePunct w:val="0"/>
        <w:autoSpaceDE/>
        <w:autoSpaceDN/>
        <w:bidi w:val="0"/>
        <w:adjustRightInd/>
        <w:snapToGrid/>
        <w:spacing w:line="800" w:lineRule="exact"/>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HYPERLINK \l _Toc7956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lang w:val="en-US" w:eastAsia="zh-CN"/>
          <w14:textFill>
            <w14:solidFill>
              <w14:schemeClr w14:val="tx1"/>
            </w14:solidFill>
          </w14:textFill>
        </w:rPr>
        <w:t xml:space="preserve">第六章 </w:t>
      </w:r>
      <w:r>
        <w:rPr>
          <w:rFonts w:hint="eastAsia" w:ascii="宋体" w:hAnsi="宋体" w:eastAsia="宋体" w:cs="宋体"/>
          <w:b/>
          <w:bCs/>
          <w:color w:val="000000" w:themeColor="text1"/>
          <w:sz w:val="28"/>
          <w:szCs w:val="28"/>
          <w14:textFill>
            <w14:solidFill>
              <w14:schemeClr w14:val="tx1"/>
            </w14:solidFill>
          </w14:textFill>
        </w:rPr>
        <w:t>技术要求</w:t>
      </w:r>
      <w:r>
        <w:rPr>
          <w:rFonts w:hint="eastAsia" w:ascii="宋体" w:hAnsi="宋体" w:eastAsia="宋体" w:cs="宋体"/>
          <w:b/>
          <w:bCs/>
          <w:color w:val="000000" w:themeColor="text1"/>
          <w:sz w:val="28"/>
          <w:szCs w:val="28"/>
          <w14:textFill>
            <w14:solidFill>
              <w14:schemeClr w14:val="tx1"/>
            </w14:solidFill>
          </w14:textFill>
        </w:rPr>
        <w:tab/>
      </w: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PAGEREF _Toc7956 \h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8</w:t>
      </w:r>
      <w:r>
        <w:rPr>
          <w:rFonts w:hint="eastAsia" w:ascii="宋体" w:hAnsi="宋体" w:cs="宋体"/>
          <w:b/>
          <w:bCs/>
          <w:color w:val="000000" w:themeColor="text1"/>
          <w:sz w:val="28"/>
          <w:szCs w:val="28"/>
          <w:lang w:val="en-US" w:eastAsia="zh-CN"/>
          <w14:textFill>
            <w14:solidFill>
              <w14:schemeClr w14:val="tx1"/>
            </w14:solidFill>
          </w14:textFill>
        </w:rPr>
        <w:t>2</w:t>
      </w:r>
      <w:r>
        <w:rPr>
          <w:rFonts w:hint="eastAsia" w:ascii="宋体" w:hAnsi="宋体" w:eastAsia="宋体" w:cs="宋体"/>
          <w:b/>
          <w:bCs/>
          <w:color w:val="000000" w:themeColor="text1"/>
          <w:sz w:val="28"/>
          <w:szCs w:val="28"/>
          <w14:textFill>
            <w14:solidFill>
              <w14:schemeClr w14:val="tx1"/>
            </w14:solidFill>
          </w14:textFill>
        </w:rPr>
        <w:fldChar w:fldCharType="end"/>
      </w:r>
      <w:r>
        <w:rPr>
          <w:rFonts w:hint="eastAsia" w:ascii="宋体" w:hAnsi="宋体" w:eastAsia="宋体" w:cs="宋体"/>
          <w:b/>
          <w:bCs/>
          <w:color w:val="000000" w:themeColor="text1"/>
          <w:sz w:val="28"/>
          <w:szCs w:val="28"/>
          <w14:textFill>
            <w14:solidFill>
              <w14:schemeClr w14:val="tx1"/>
            </w14:solidFill>
          </w14:textFill>
        </w:rPr>
        <w:fldChar w:fldCharType="end"/>
      </w:r>
    </w:p>
    <w:p w14:paraId="21E68E0E">
      <w:pPr>
        <w:pStyle w:val="23"/>
        <w:keepNext w:val="0"/>
        <w:keepLines w:val="0"/>
        <w:pageBreakBefore w:val="0"/>
        <w:widowControl w:val="0"/>
        <w:tabs>
          <w:tab w:val="right" w:leader="dot" w:pos="9355"/>
        </w:tabs>
        <w:kinsoku/>
        <w:wordWrap/>
        <w:overflowPunct/>
        <w:topLinePunct w:val="0"/>
        <w:autoSpaceDE/>
        <w:autoSpaceDN/>
        <w:bidi w:val="0"/>
        <w:adjustRightInd/>
        <w:snapToGrid/>
        <w:spacing w:line="80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HYPERLINK \l _Toc2255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eastAsia="宋体" w:cs="宋体"/>
          <w:b/>
          <w:bCs/>
          <w:color w:val="000000" w:themeColor="text1"/>
          <w:sz w:val="28"/>
          <w:szCs w:val="28"/>
          <w14:textFill>
            <w14:solidFill>
              <w14:schemeClr w14:val="tx1"/>
            </w14:solidFill>
          </w14:textFill>
        </w:rPr>
        <w:t>第七章 投标文件格式</w:t>
      </w:r>
      <w:r>
        <w:rPr>
          <w:rFonts w:hint="eastAsia" w:ascii="宋体" w:hAnsi="宋体" w:eastAsia="宋体" w:cs="宋体"/>
          <w:b/>
          <w:bCs/>
          <w:color w:val="000000" w:themeColor="text1"/>
          <w:sz w:val="28"/>
          <w:szCs w:val="28"/>
          <w14:textFill>
            <w14:solidFill>
              <w14:schemeClr w14:val="tx1"/>
            </w14:solidFill>
          </w14:textFill>
        </w:rPr>
        <w:tab/>
      </w:r>
      <w:r>
        <w:rPr>
          <w:rFonts w:hint="eastAsia" w:ascii="宋体" w:hAnsi="宋体" w:eastAsia="宋体" w:cs="宋体"/>
          <w:b/>
          <w:bCs/>
          <w:color w:val="000000" w:themeColor="text1"/>
          <w:sz w:val="28"/>
          <w:szCs w:val="28"/>
          <w14:textFill>
            <w14:solidFill>
              <w14:schemeClr w14:val="tx1"/>
            </w14:solidFill>
          </w14:textFill>
        </w:rPr>
        <w:fldChar w:fldCharType="begin"/>
      </w:r>
      <w:r>
        <w:rPr>
          <w:rFonts w:hint="eastAsia" w:ascii="宋体" w:hAnsi="宋体" w:eastAsia="宋体" w:cs="宋体"/>
          <w:b/>
          <w:bCs/>
          <w:color w:val="000000" w:themeColor="text1"/>
          <w:sz w:val="28"/>
          <w:szCs w:val="28"/>
          <w14:textFill>
            <w14:solidFill>
              <w14:schemeClr w14:val="tx1"/>
            </w14:solidFill>
          </w14:textFill>
        </w:rPr>
        <w:instrText xml:space="preserve"> PAGEREF _Toc2255 \h </w:instrText>
      </w:r>
      <w:r>
        <w:rPr>
          <w:rFonts w:hint="eastAsia" w:ascii="宋体" w:hAnsi="宋体" w:eastAsia="宋体" w:cs="宋体"/>
          <w:b/>
          <w:bCs/>
          <w:color w:val="000000" w:themeColor="text1"/>
          <w:sz w:val="28"/>
          <w:szCs w:val="28"/>
          <w14:textFill>
            <w14:solidFill>
              <w14:schemeClr w14:val="tx1"/>
            </w14:solidFill>
          </w14:textFill>
        </w:rPr>
        <w:fldChar w:fldCharType="separate"/>
      </w:r>
      <w:r>
        <w:rPr>
          <w:rFonts w:hint="eastAsia" w:ascii="宋体" w:hAnsi="宋体" w:cs="宋体"/>
          <w:b/>
          <w:bCs/>
          <w:color w:val="000000" w:themeColor="text1"/>
          <w:sz w:val="28"/>
          <w:szCs w:val="28"/>
          <w:lang w:val="en-US" w:eastAsia="zh-CN"/>
          <w14:textFill>
            <w14:solidFill>
              <w14:schemeClr w14:val="tx1"/>
            </w14:solidFill>
          </w14:textFill>
        </w:rPr>
        <w:t>120</w:t>
      </w:r>
      <w:r>
        <w:rPr>
          <w:rFonts w:hint="eastAsia" w:ascii="宋体" w:hAnsi="宋体" w:eastAsia="宋体" w:cs="宋体"/>
          <w:b/>
          <w:bCs/>
          <w:color w:val="000000" w:themeColor="text1"/>
          <w:sz w:val="28"/>
          <w:szCs w:val="28"/>
          <w14:textFill>
            <w14:solidFill>
              <w14:schemeClr w14:val="tx1"/>
            </w14:solidFill>
          </w14:textFill>
        </w:rPr>
        <w:fldChar w:fldCharType="end"/>
      </w:r>
      <w:r>
        <w:rPr>
          <w:rFonts w:hint="eastAsia" w:ascii="宋体" w:hAnsi="宋体" w:eastAsia="宋体" w:cs="宋体"/>
          <w:b/>
          <w:bCs/>
          <w:color w:val="000000" w:themeColor="text1"/>
          <w:sz w:val="28"/>
          <w:szCs w:val="28"/>
          <w14:textFill>
            <w14:solidFill>
              <w14:schemeClr w14:val="tx1"/>
            </w14:solidFill>
          </w14:textFill>
        </w:rPr>
        <w:fldChar w:fldCharType="end"/>
      </w:r>
    </w:p>
    <w:p w14:paraId="5893E845">
      <w:pPr>
        <w:pStyle w:val="23"/>
        <w:tabs>
          <w:tab w:val="right" w:leader="dot" w:pos="9355"/>
        </w:tabs>
        <w:rPr>
          <w:color w:val="000000" w:themeColor="text1"/>
          <w14:textFill>
            <w14:solidFill>
              <w14:schemeClr w14:val="tx1"/>
            </w14:solidFill>
          </w14:textFill>
        </w:rPr>
      </w:pPr>
    </w:p>
    <w:p w14:paraId="4650657D">
      <w:pPr>
        <w:pStyle w:val="81"/>
        <w:spacing w:line="480" w:lineRule="auto"/>
        <w:rPr>
          <w:color w:val="000000" w:themeColor="text1"/>
          <w14:textFill>
            <w14:solidFill>
              <w14:schemeClr w14:val="tx1"/>
            </w14:solidFill>
          </w14:textFill>
        </w:rPr>
        <w:sectPr>
          <w:headerReference r:id="rId4" w:type="first"/>
          <w:headerReference r:id="rId3" w:type="default"/>
          <w:pgSz w:w="11906" w:h="16838"/>
          <w:pgMar w:top="1803" w:right="1134" w:bottom="1803" w:left="1417" w:header="851" w:footer="992" w:gutter="0"/>
          <w:pgBorders>
            <w:top w:val="none" w:sz="0" w:space="0"/>
            <w:left w:val="none" w:sz="0" w:space="0"/>
            <w:bottom w:val="none" w:sz="0" w:space="0"/>
            <w:right w:val="none" w:sz="0" w:space="0"/>
          </w:pgBorders>
          <w:pgNumType w:start="1"/>
          <w:cols w:space="720" w:num="1"/>
          <w:titlePg/>
          <w:docGrid w:linePitch="312" w:charSpace="0"/>
        </w:sectPr>
      </w:pPr>
      <w:r>
        <w:rPr>
          <w:rFonts w:hint="eastAsia" w:ascii="宋体" w:hAnsi="宋体" w:cs="宋体"/>
          <w:color w:val="000000" w:themeColor="text1"/>
          <w:szCs w:val="30"/>
          <w14:textFill>
            <w14:solidFill>
              <w14:schemeClr w14:val="tx1"/>
            </w14:solidFill>
          </w14:textFill>
        </w:rPr>
        <w:fldChar w:fldCharType="end"/>
      </w:r>
      <w:bookmarkStart w:id="4" w:name="_Toc14920"/>
      <w:bookmarkStart w:id="5" w:name="_Toc23366"/>
      <w:bookmarkStart w:id="6" w:name="_Toc18591"/>
      <w:bookmarkStart w:id="7" w:name="_Toc18626"/>
      <w:bookmarkStart w:id="8" w:name="_Toc15401"/>
      <w:bookmarkStart w:id="9" w:name="_Toc12582"/>
    </w:p>
    <w:p w14:paraId="431E820C">
      <w:pPr>
        <w:pStyle w:val="2"/>
        <w:keepNext/>
        <w:keepLines/>
        <w:pageBreakBefore w:val="0"/>
        <w:widowControl w:val="0"/>
        <w:numPr>
          <w:ilvl w:val="0"/>
          <w:numId w:val="2"/>
        </w:numPr>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 xml:space="preserve"> </w:t>
      </w:r>
      <w:bookmarkStart w:id="10" w:name="_Toc11630"/>
      <w:r>
        <w:rPr>
          <w:rFonts w:hint="eastAsia"/>
          <w:b/>
          <w:bCs/>
          <w:color w:val="000000" w:themeColor="text1"/>
          <w:sz w:val="30"/>
          <w:szCs w:val="30"/>
          <w14:textFill>
            <w14:solidFill>
              <w14:schemeClr w14:val="tx1"/>
            </w14:solidFill>
          </w14:textFill>
        </w:rPr>
        <w:t>招标公告</w:t>
      </w:r>
      <w:bookmarkEnd w:id="4"/>
      <w:bookmarkEnd w:id="5"/>
      <w:bookmarkEnd w:id="6"/>
      <w:bookmarkEnd w:id="7"/>
      <w:bookmarkEnd w:id="8"/>
      <w:bookmarkEnd w:id="9"/>
      <w:bookmarkEnd w:id="10"/>
      <w:bookmarkStart w:id="11" w:name="_Toc1675"/>
      <w:bookmarkStart w:id="12" w:name="_Toc5839"/>
    </w:p>
    <w:p w14:paraId="5D25C4D2">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2" w:firstLineChars="200"/>
        <w:jc w:val="both"/>
        <w:textAlignment w:val="baseline"/>
        <w:rPr>
          <w:rFonts w:hint="eastAsia" w:ascii="宋体" w:hAnsi="宋体" w:eastAsia="宋体" w:cs="宋体"/>
          <w:b/>
          <w:bCs/>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4"/>
          <w:szCs w:val="24"/>
          <w:shd w:val="clear" w:color="auto" w:fill="FFFFFF"/>
          <w:vertAlign w:val="baseline"/>
          <w:lang w:val="en-US" w:eastAsia="zh-CN"/>
          <w14:textFill>
            <w14:solidFill>
              <w14:schemeClr w14:val="tx1"/>
            </w14:solidFill>
          </w14:textFill>
        </w:rPr>
        <w:t>项目概况</w:t>
      </w:r>
    </w:p>
    <w:p w14:paraId="6909E569">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both"/>
        <w:textAlignment w:val="baseline"/>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延安市生态环境局延安市水生态监测能力提升项目</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的潜在供应商应在全国公共资源交易平台（陕西省·延安市）平台获取采购文件，并于202</w:t>
      </w:r>
      <w:r>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5</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年</w:t>
      </w:r>
      <w:r>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10</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月</w:t>
      </w:r>
      <w:r>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16</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日</w:t>
      </w:r>
      <w:r>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09</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时</w:t>
      </w:r>
      <w:r>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0</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0 分（北京时间）前提交投标文件。</w:t>
      </w:r>
    </w:p>
    <w:p w14:paraId="0E4EF4DF">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2" w:firstLineChars="200"/>
        <w:jc w:val="both"/>
        <w:textAlignment w:val="baseline"/>
        <w:rPr>
          <w:rFonts w:hint="eastAsia" w:ascii="宋体" w:hAnsi="宋体" w:eastAsia="宋体" w:cs="宋体"/>
          <w:b/>
          <w:bCs/>
          <w:i w:val="0"/>
          <w:iCs w:val="0"/>
          <w:caps w:val="0"/>
          <w:color w:val="000000" w:themeColor="text1"/>
          <w:spacing w:val="0"/>
          <w:sz w:val="24"/>
          <w:szCs w:val="24"/>
          <w:shd w:val="clear" w:color="auto" w:fill="FFFFFF"/>
          <w:vertAlign w:val="baseline"/>
          <w14:textFill>
            <w14:solidFill>
              <w14:schemeClr w14:val="tx1"/>
            </w14:solidFill>
          </w14:textFill>
        </w:rPr>
      </w:pPr>
      <w:r>
        <w:rPr>
          <w:rStyle w:val="38"/>
          <w:rFonts w:hint="eastAsia" w:ascii="宋体" w:hAnsi="宋体" w:eastAsia="宋体" w:cs="宋体"/>
          <w:b/>
          <w:bCs/>
          <w:i w:val="0"/>
          <w:iCs w:val="0"/>
          <w:caps w:val="0"/>
          <w:color w:val="000000" w:themeColor="text1"/>
          <w:spacing w:val="0"/>
          <w:sz w:val="24"/>
          <w:szCs w:val="24"/>
          <w:shd w:val="clear" w:color="auto" w:fill="FFFFFF"/>
          <w:vertAlign w:val="baseline"/>
          <w14:textFill>
            <w14:solidFill>
              <w14:schemeClr w14:val="tx1"/>
            </w14:solidFill>
          </w14:textFill>
        </w:rPr>
        <w:t>一</w:t>
      </w:r>
      <w:r>
        <w:rPr>
          <w:rFonts w:hint="eastAsia" w:ascii="宋体" w:hAnsi="宋体" w:eastAsia="宋体" w:cs="宋体"/>
          <w:b/>
          <w:bCs/>
          <w:i w:val="0"/>
          <w:iCs w:val="0"/>
          <w:caps w:val="0"/>
          <w:color w:val="000000" w:themeColor="text1"/>
          <w:spacing w:val="0"/>
          <w:sz w:val="24"/>
          <w:szCs w:val="24"/>
          <w:shd w:val="clear" w:color="auto" w:fill="FFFFFF"/>
          <w:vertAlign w:val="baseline"/>
          <w14:textFill>
            <w14:solidFill>
              <w14:schemeClr w14:val="tx1"/>
            </w14:solidFill>
          </w14:textFill>
        </w:rPr>
        <w:t>、项目基本情况</w:t>
      </w:r>
    </w:p>
    <w:p w14:paraId="69848FF2">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both"/>
        <w:textAlignment w:val="baseline"/>
        <w:rPr>
          <w:rFonts w:hint="eastAsia" w:ascii="宋体" w:hAnsi="宋体" w:eastAsia="宋体" w:cs="宋体"/>
          <w:i w:val="0"/>
          <w:iCs w:val="0"/>
          <w:caps w:val="0"/>
          <w:color w:val="000000" w:themeColor="text1"/>
          <w:spacing w:val="0"/>
          <w:sz w:val="24"/>
          <w:szCs w:val="24"/>
          <w:shd w:val="clear" w:color="auto" w:fill="FFFFFF"/>
          <w:vertAlign w:val="baseline"/>
          <w:lang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项目编号：</w:t>
      </w:r>
      <w:r>
        <w:rPr>
          <w:rFonts w:hint="eastAsia" w:cs="宋体"/>
          <w:i w:val="0"/>
          <w:iCs w:val="0"/>
          <w:caps w:val="0"/>
          <w:color w:val="000000" w:themeColor="text1"/>
          <w:spacing w:val="0"/>
          <w:sz w:val="24"/>
          <w:szCs w:val="24"/>
          <w:shd w:val="clear" w:color="auto" w:fill="FFFFFF"/>
          <w:vertAlign w:val="baseline"/>
          <w:lang w:eastAsia="zh-CN"/>
          <w14:textFill>
            <w14:solidFill>
              <w14:schemeClr w14:val="tx1"/>
            </w14:solidFill>
          </w14:textFill>
        </w:rPr>
        <w:t>SXCY2025-55</w:t>
      </w:r>
    </w:p>
    <w:p w14:paraId="6C6A1572">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both"/>
        <w:textAlignment w:val="baseline"/>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项目名称：</w:t>
      </w:r>
      <w:r>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延安市生态环境局延安市水生态监测能力提升项目</w:t>
      </w:r>
    </w:p>
    <w:p w14:paraId="37B6AA77">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both"/>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采购方式：公开招标</w:t>
      </w:r>
    </w:p>
    <w:p w14:paraId="1B863600">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left"/>
        <w:textAlignment w:val="baseline"/>
        <w:rPr>
          <w:rFonts w:hint="default"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预算金额：</w:t>
      </w:r>
      <w:r>
        <w:rPr>
          <w:rFonts w:hint="eastAsia"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5967700.00元</w:t>
      </w:r>
    </w:p>
    <w:p w14:paraId="01C0B745">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both"/>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采购需求：</w:t>
      </w:r>
    </w:p>
    <w:p w14:paraId="17860E5F">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both"/>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合同包1(</w:t>
      </w:r>
      <w:r>
        <w:rPr>
          <w:rFonts w:hint="eastAsia" w:cs="宋体"/>
          <w:i w:val="0"/>
          <w:iCs w:val="0"/>
          <w:caps w:val="0"/>
          <w:color w:val="000000" w:themeColor="text1"/>
          <w:spacing w:val="0"/>
          <w:sz w:val="24"/>
          <w:szCs w:val="24"/>
          <w:shd w:val="clear" w:color="auto" w:fill="FFFFFF"/>
          <w:vertAlign w:val="baseline"/>
          <w:lang w:eastAsia="zh-CN"/>
          <w14:textFill>
            <w14:solidFill>
              <w14:schemeClr w14:val="tx1"/>
            </w14:solidFill>
          </w14:textFill>
        </w:rPr>
        <w:t>延安市生态环境局延安市水生态监测能力提升项目</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p>
    <w:p w14:paraId="23BA1730">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both"/>
        <w:textAlignment w:val="baseline"/>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合同包预算金额：</w:t>
      </w:r>
      <w:r>
        <w:rPr>
          <w:rFonts w:hint="eastAsia" w:cs="宋体"/>
          <w:i w:val="0"/>
          <w:iCs w:val="0"/>
          <w:caps w:val="0"/>
          <w:color w:val="000000" w:themeColor="text1"/>
          <w:spacing w:val="0"/>
          <w:sz w:val="24"/>
          <w:szCs w:val="24"/>
          <w:shd w:val="clear" w:color="auto" w:fill="FFFFFF"/>
          <w:vertAlign w:val="baseline"/>
          <w:lang w:eastAsia="zh-CN"/>
          <w14:textFill>
            <w14:solidFill>
              <w14:schemeClr w14:val="tx1"/>
            </w14:solidFill>
          </w14:textFill>
        </w:rPr>
        <w:t>5967700.00</w:t>
      </w:r>
    </w:p>
    <w:tbl>
      <w:tblPr>
        <w:tblStyle w:val="35"/>
        <w:tblW w:w="100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78"/>
        <w:gridCol w:w="1247"/>
        <w:gridCol w:w="2690"/>
        <w:gridCol w:w="1064"/>
        <w:gridCol w:w="1337"/>
        <w:gridCol w:w="1377"/>
        <w:gridCol w:w="1382"/>
      </w:tblGrid>
      <w:tr w14:paraId="3D81E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tblHeader/>
          <w:jc w:val="center"/>
        </w:trPr>
        <w:tc>
          <w:tcPr>
            <w:tcW w:w="978"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5157FD9">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both"/>
              <w:textAlignment w:val="center"/>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品目号</w:t>
            </w:r>
          </w:p>
        </w:tc>
        <w:tc>
          <w:tcPr>
            <w:tcW w:w="124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64C1C86">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firstLine="221" w:firstLineChars="100"/>
              <w:jc w:val="both"/>
              <w:textAlignment w:val="center"/>
              <w:rPr>
                <w:rFonts w:hint="eastAsia" w:ascii="宋体" w:hAnsi="宋体" w:eastAsia="宋体" w:cs="宋体"/>
                <w:b/>
                <w:bCs/>
                <w:color w:val="000000" w:themeColor="text1"/>
                <w:kern w:val="0"/>
                <w:sz w:val="22"/>
                <w:szCs w:val="22"/>
                <w:lang w:val="en-US" w:eastAsia="zh-CN" w:bidi="ar"/>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品目</w:t>
            </w:r>
          </w:p>
          <w:p w14:paraId="0559D26F">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firstLine="221" w:firstLineChars="100"/>
              <w:jc w:val="both"/>
              <w:textAlignment w:val="center"/>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名称</w:t>
            </w:r>
          </w:p>
        </w:tc>
        <w:tc>
          <w:tcPr>
            <w:tcW w:w="2690"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D9CEDA9">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left="0" w:leftChars="0" w:right="0" w:rightChars="0" w:firstLine="883" w:firstLineChars="400"/>
              <w:jc w:val="both"/>
              <w:textAlignment w:val="center"/>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采购标的</w:t>
            </w:r>
          </w:p>
        </w:tc>
        <w:tc>
          <w:tcPr>
            <w:tcW w:w="1064"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1E1FA1E">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firstLine="221" w:firstLineChars="100"/>
              <w:jc w:val="both"/>
              <w:textAlignment w:val="center"/>
              <w:rPr>
                <w:rFonts w:hint="eastAsia" w:ascii="宋体" w:hAnsi="宋体" w:eastAsia="宋体" w:cs="宋体"/>
                <w:b/>
                <w:bCs/>
                <w:color w:val="000000" w:themeColor="text1"/>
                <w:kern w:val="0"/>
                <w:sz w:val="22"/>
                <w:szCs w:val="22"/>
                <w:lang w:val="en-US" w:eastAsia="zh-CN" w:bidi="ar"/>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数量</w:t>
            </w:r>
          </w:p>
          <w:p w14:paraId="0F48E52B">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both"/>
              <w:textAlignment w:val="center"/>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（单位）</w:t>
            </w:r>
          </w:p>
        </w:tc>
        <w:tc>
          <w:tcPr>
            <w:tcW w:w="133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58FFC58">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center"/>
              <w:textAlignment w:val="center"/>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技术规格参数及要求</w:t>
            </w:r>
          </w:p>
        </w:tc>
        <w:tc>
          <w:tcPr>
            <w:tcW w:w="137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C4D1121">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center"/>
              <w:textAlignment w:val="center"/>
              <w:rPr>
                <w:rFonts w:hint="eastAsia" w:ascii="宋体" w:hAnsi="宋体" w:eastAsia="宋体" w:cs="宋体"/>
                <w:b/>
                <w:bCs/>
                <w:color w:val="000000" w:themeColor="text1"/>
                <w:kern w:val="0"/>
                <w:sz w:val="22"/>
                <w:szCs w:val="22"/>
                <w:lang w:val="en-US" w:eastAsia="zh-CN" w:bidi="ar"/>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品目预算</w:t>
            </w:r>
          </w:p>
          <w:p w14:paraId="7DB0C80A">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center"/>
              <w:textAlignment w:val="center"/>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(元)</w:t>
            </w:r>
          </w:p>
        </w:tc>
        <w:tc>
          <w:tcPr>
            <w:tcW w:w="1382"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744BB67">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center"/>
              <w:textAlignment w:val="center"/>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kern w:val="0"/>
                <w:sz w:val="22"/>
                <w:szCs w:val="22"/>
                <w:lang w:val="en-US" w:eastAsia="zh-CN" w:bidi="ar"/>
                <w14:textFill>
                  <w14:solidFill>
                    <w14:schemeClr w14:val="tx1"/>
                  </w14:solidFill>
                </w14:textFill>
              </w:rPr>
              <w:t>最高限价(元)</w:t>
            </w:r>
          </w:p>
        </w:tc>
      </w:tr>
      <w:tr w14:paraId="0918E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978"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B193C72">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bidi="ar"/>
                <w14:textFill>
                  <w14:solidFill>
                    <w14:schemeClr w14:val="tx1"/>
                  </w14:solidFill>
                </w14:textFill>
              </w:rPr>
              <w:t>1-1</w:t>
            </w:r>
          </w:p>
        </w:tc>
        <w:tc>
          <w:tcPr>
            <w:tcW w:w="124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8306C92">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center"/>
              <w:textAlignment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default" w:ascii="宋体" w:hAnsi="宋体" w:eastAsia="宋体" w:cs="宋体"/>
                <w:color w:val="000000" w:themeColor="text1"/>
                <w:sz w:val="22"/>
                <w:szCs w:val="22"/>
                <w:lang w:val="en-US" w:eastAsia="zh-CN"/>
                <w14:textFill>
                  <w14:solidFill>
                    <w14:schemeClr w14:val="tx1"/>
                  </w14:solidFill>
                </w14:textFill>
              </w:rPr>
              <w:t>环保监测设备</w:t>
            </w:r>
          </w:p>
        </w:tc>
        <w:tc>
          <w:tcPr>
            <w:tcW w:w="2690"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945CC8A">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360" w:lineRule="auto"/>
              <w:ind w:right="0" w:rightChars="0"/>
              <w:jc w:val="center"/>
              <w:textAlignment w:val="center"/>
              <w:rPr>
                <w:rFonts w:hint="default" w:ascii="宋体" w:hAnsi="宋体" w:eastAsia="宋体" w:cs="宋体"/>
                <w:color w:val="000000" w:themeColor="text1"/>
                <w:sz w:val="22"/>
                <w:szCs w:val="22"/>
                <w:lang w:val="en-US"/>
                <w14:textFill>
                  <w14:solidFill>
                    <w14:schemeClr w14:val="tx1"/>
                  </w14:solidFill>
                </w14:textFill>
              </w:rPr>
            </w:pPr>
            <w:r>
              <w:rPr>
                <w:rFonts w:hint="default" w:ascii="宋体" w:hAnsi="宋体" w:eastAsia="宋体" w:cs="宋体"/>
                <w:color w:val="000000" w:themeColor="text1"/>
                <w:sz w:val="22"/>
                <w:szCs w:val="22"/>
                <w:lang w:val="en-US"/>
                <w14:textFill>
                  <w14:solidFill>
                    <w14:schemeClr w14:val="tx1"/>
                  </w14:solidFill>
                </w14:textFill>
              </w:rPr>
              <w:t>水生态监测设备</w:t>
            </w:r>
          </w:p>
        </w:tc>
        <w:tc>
          <w:tcPr>
            <w:tcW w:w="1064"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A9C6EA1">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firstLine="220" w:firstLineChars="100"/>
              <w:jc w:val="both"/>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bidi="ar"/>
                <w14:textFill>
                  <w14:solidFill>
                    <w14:schemeClr w14:val="tx1"/>
                  </w14:solidFill>
                </w14:textFill>
              </w:rPr>
              <w:t>1(项)</w:t>
            </w:r>
          </w:p>
        </w:tc>
        <w:tc>
          <w:tcPr>
            <w:tcW w:w="133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2B3FE9D">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center"/>
              <w:textAlignment w:val="center"/>
              <w:rPr>
                <w:rFonts w:hint="eastAsia" w:ascii="宋体" w:hAnsi="宋体" w:eastAsia="宋体" w:cs="宋体"/>
                <w:color w:val="000000" w:themeColor="text1"/>
                <w:kern w:val="0"/>
                <w:sz w:val="22"/>
                <w:szCs w:val="22"/>
                <w:lang w:val="en-US" w:eastAsia="zh-CN" w:bidi="ar"/>
                <w14:textFill>
                  <w14:solidFill>
                    <w14:schemeClr w14:val="tx1"/>
                  </w14:solidFill>
                </w14:textFill>
              </w:rPr>
            </w:pPr>
            <w:r>
              <w:rPr>
                <w:rFonts w:hint="eastAsia" w:ascii="宋体" w:hAnsi="宋体" w:eastAsia="宋体" w:cs="宋体"/>
                <w:color w:val="000000" w:themeColor="text1"/>
                <w:kern w:val="0"/>
                <w:sz w:val="22"/>
                <w:szCs w:val="22"/>
                <w:lang w:val="en-US" w:eastAsia="zh-CN" w:bidi="ar"/>
                <w14:textFill>
                  <w14:solidFill>
                    <w14:schemeClr w14:val="tx1"/>
                  </w14:solidFill>
                </w14:textFill>
              </w:rPr>
              <w:t>详见采购</w:t>
            </w:r>
          </w:p>
          <w:p w14:paraId="38E39C1A">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val="0"/>
              <w:overflowPunct/>
              <w:topLinePunct w:val="0"/>
              <w:autoSpaceDE/>
              <w:autoSpaceDN/>
              <w:bidi w:val="0"/>
              <w:adjustRightInd/>
              <w:snapToGrid/>
              <w:spacing w:beforeAutospacing="0" w:afterAutospacing="0" w:line="240" w:lineRule="auto"/>
              <w:ind w:right="0" w:rightChars="0"/>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bidi="ar"/>
                <w14:textFill>
                  <w14:solidFill>
                    <w14:schemeClr w14:val="tx1"/>
                  </w14:solidFill>
                </w14:textFill>
              </w:rPr>
              <w:t>文件</w:t>
            </w:r>
          </w:p>
        </w:tc>
        <w:tc>
          <w:tcPr>
            <w:tcW w:w="137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4947617">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Autospacing="0" w:afterAutospacing="0" w:line="240" w:lineRule="auto"/>
              <w:ind w:right="0" w:rightChars="0"/>
              <w:jc w:val="both"/>
              <w:textAlignment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5967700.00</w:t>
            </w:r>
          </w:p>
        </w:tc>
        <w:tc>
          <w:tcPr>
            <w:tcW w:w="1382"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EDA53E6">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Autospacing="0" w:afterAutospacing="0" w:line="240" w:lineRule="auto"/>
              <w:ind w:right="0" w:rightChars="0"/>
              <w:jc w:val="center"/>
              <w:textAlignment w:val="center"/>
              <w:rPr>
                <w:rFonts w:hint="default" w:ascii="宋体" w:hAnsi="宋体" w:eastAsia="宋体" w:cs="宋体"/>
                <w:color w:val="000000" w:themeColor="text1"/>
                <w:sz w:val="22"/>
                <w:szCs w:val="22"/>
                <w:lang w:val="en-US"/>
                <w14:textFill>
                  <w14:solidFill>
                    <w14:schemeClr w14:val="tx1"/>
                  </w14:solidFill>
                </w14:textFill>
              </w:rPr>
            </w:pPr>
            <w:r>
              <w:rPr>
                <w:rFonts w:hint="eastAsia" w:ascii="宋体" w:hAnsi="宋体" w:eastAsia="宋体" w:cs="宋体"/>
                <w:color w:val="000000" w:themeColor="text1"/>
                <w:kern w:val="0"/>
                <w:sz w:val="22"/>
                <w:szCs w:val="22"/>
                <w:vertAlign w:val="baseline"/>
                <w:lang w:val="en-US" w:eastAsia="zh-CN" w:bidi="ar"/>
                <w14:textFill>
                  <w14:solidFill>
                    <w14:schemeClr w14:val="tx1"/>
                  </w14:solidFill>
                </w14:textFill>
              </w:rPr>
              <w:t>/</w:t>
            </w:r>
          </w:p>
        </w:tc>
      </w:tr>
    </w:tbl>
    <w:p w14:paraId="0CC5C1A8">
      <w:pPr>
        <w:pStyle w:val="3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480" w:firstLineChars="200"/>
        <w:jc w:val="both"/>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本合同包不接受联合体投标</w:t>
      </w:r>
    </w:p>
    <w:p w14:paraId="0EC77DD4">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合同履行期限：</w:t>
      </w:r>
      <w:r>
        <w:rPr>
          <w:rFonts w:hint="eastAsia" w:cs="宋体"/>
          <w:color w:val="000000" w:themeColor="text1"/>
          <w:spacing w:val="0"/>
          <w:sz w:val="24"/>
          <w:szCs w:val="24"/>
          <w:lang w:val="en-US" w:eastAsia="zh-CN"/>
          <w14:textFill>
            <w14:solidFill>
              <w14:schemeClr w14:val="tx1"/>
            </w14:solidFill>
          </w14:textFill>
        </w:rPr>
        <w:t>自合同签订之日起1个月。</w:t>
      </w:r>
    </w:p>
    <w:p w14:paraId="1B74F765">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2" w:firstLineChars="200"/>
        <w:jc w:val="both"/>
        <w:textAlignment w:val="auto"/>
        <w:outlineLvl w:val="9"/>
        <w:rPr>
          <w:rFonts w:hint="eastAsia" w:ascii="宋体" w:hAnsi="宋体" w:eastAsia="宋体" w:cs="宋体"/>
          <w:b/>
          <w:bCs/>
          <w:color w:val="000000" w:themeColor="text1"/>
          <w:spacing w:val="0"/>
          <w:sz w:val="24"/>
          <w:szCs w:val="24"/>
          <w:lang w:val="en-US" w:eastAsia="zh-CN"/>
          <w14:textFill>
            <w14:solidFill>
              <w14:schemeClr w14:val="tx1"/>
            </w14:solidFill>
          </w14:textFill>
        </w:rPr>
      </w:pPr>
      <w:r>
        <w:rPr>
          <w:rFonts w:hint="eastAsia" w:ascii="宋体" w:hAnsi="宋体" w:eastAsia="宋体" w:cs="宋体"/>
          <w:b/>
          <w:bCs/>
          <w:color w:val="000000" w:themeColor="text1"/>
          <w:spacing w:val="0"/>
          <w:sz w:val="24"/>
          <w:szCs w:val="24"/>
          <w:lang w:val="en-US" w:eastAsia="zh-CN"/>
          <w14:textFill>
            <w14:solidFill>
              <w14:schemeClr w14:val="tx1"/>
            </w14:solidFill>
          </w14:textFill>
        </w:rPr>
        <w:t>二、申请人的资格要求：</w:t>
      </w:r>
    </w:p>
    <w:p w14:paraId="0137686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1.满足《中华人民共和国政府采购法》第二十二条规定；</w:t>
      </w:r>
    </w:p>
    <w:p w14:paraId="408378B0">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2.落实政府采购政策需满足的资格要求：</w:t>
      </w:r>
    </w:p>
    <w:p w14:paraId="706CC41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合同包1(</w:t>
      </w:r>
      <w:r>
        <w:rPr>
          <w:rFonts w:hint="eastAsia" w:cs="宋体"/>
          <w:color w:val="000000" w:themeColor="text1"/>
          <w:spacing w:val="0"/>
          <w:sz w:val="24"/>
          <w:szCs w:val="24"/>
          <w:lang w:val="en-US" w:eastAsia="zh-CN"/>
          <w14:textFill>
            <w14:solidFill>
              <w14:schemeClr w14:val="tx1"/>
            </w14:solidFill>
          </w14:textFill>
        </w:rPr>
        <w:t>延安市生态环境局延安市水生态监测能力提升项目</w:t>
      </w:r>
      <w:r>
        <w:rPr>
          <w:rFonts w:hint="eastAsia" w:ascii="宋体" w:hAnsi="宋体" w:eastAsia="宋体" w:cs="宋体"/>
          <w:color w:val="000000" w:themeColor="text1"/>
          <w:spacing w:val="0"/>
          <w:sz w:val="24"/>
          <w:szCs w:val="24"/>
          <w:lang w:val="en-US" w:eastAsia="zh-CN"/>
          <w14:textFill>
            <w14:solidFill>
              <w14:schemeClr w14:val="tx1"/>
            </w14:solidFill>
          </w14:textFill>
        </w:rPr>
        <w:t>)落实政府采购政策需满足的资格要求如下:</w:t>
      </w:r>
    </w:p>
    <w:p w14:paraId="70F3EDD8">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依据《中华人民共和国政府采购法》和《中华人民共和国政府采购法实施条例》的有关规定，落实政府采购政策</w:t>
      </w:r>
      <w:r>
        <w:rPr>
          <w:rFonts w:hint="eastAsia" w:ascii="宋体" w:hAnsi="宋体" w:eastAsia="宋体" w:cs="宋体"/>
          <w:color w:val="000000" w:themeColor="text1"/>
          <w:sz w:val="24"/>
          <w:szCs w:val="24"/>
          <w14:textFill>
            <w14:solidFill>
              <w14:schemeClr w14:val="tx1"/>
            </w14:solidFill>
          </w14:textFill>
        </w:rPr>
        <w:t>(详见招标文件)</w:t>
      </w:r>
      <w:r>
        <w:rPr>
          <w:rFonts w:hint="eastAsia"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pacing w:val="0"/>
          <w:sz w:val="24"/>
          <w:szCs w:val="24"/>
          <w:lang w:val="en-US" w:eastAsia="zh-CN"/>
          <w14:textFill>
            <w14:solidFill>
              <w14:schemeClr w14:val="tx1"/>
            </w14:solidFill>
          </w14:textFill>
        </w:rPr>
        <w:t> </w:t>
      </w:r>
    </w:p>
    <w:p w14:paraId="5DA6828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 xml:space="preserve">2.1《政府采购促进中小企业发展管理办法》的通知（财库〔2020〕46号）； </w:t>
      </w:r>
    </w:p>
    <w:p w14:paraId="356C555C">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 xml:space="preserve">2.2财政部司法部关于政府采购支持监狱企业发展有关问题的通知--财库〔2014〕68号； </w:t>
      </w:r>
    </w:p>
    <w:p w14:paraId="00ED13F7">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 xml:space="preserve">2.3《国务院办公厅关于建立政府强制采购节能产品制度的通知》--国办发〔2007〕51号。 </w:t>
      </w:r>
    </w:p>
    <w:p w14:paraId="145F8EAA">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2.4《关于印发环境标志产品政府采购品目清单的通知》（财库〔2019〕18号）； </w:t>
      </w:r>
    </w:p>
    <w:p w14:paraId="640E72C5">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 xml:space="preserve">2.5《关于印发节能产品政府采购品目清单的通知》（财库〔2019〕19号）； </w:t>
      </w:r>
    </w:p>
    <w:p w14:paraId="65AE2D3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 xml:space="preserve">2.6《关于促进残疾人就业政府采购政策的通知》财库〔2017〕141号；  </w:t>
      </w:r>
    </w:p>
    <w:p w14:paraId="754EDE61">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2.7陕西省财政厅关于印发《陕西省中小企业政府采购信用融资办法》（陕财办采〔2018〕23号）。</w:t>
      </w:r>
    </w:p>
    <w:p w14:paraId="6CA4A566">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3.本项目的特定资格要求：</w:t>
      </w:r>
    </w:p>
    <w:p w14:paraId="1AAEA783">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合同包1(</w:t>
      </w:r>
      <w:r>
        <w:rPr>
          <w:rFonts w:hint="eastAsia" w:cs="宋体"/>
          <w:color w:val="000000" w:themeColor="text1"/>
          <w:spacing w:val="0"/>
          <w:sz w:val="24"/>
          <w:szCs w:val="24"/>
          <w:lang w:val="en-US" w:eastAsia="zh-CN"/>
          <w14:textFill>
            <w14:solidFill>
              <w14:schemeClr w14:val="tx1"/>
            </w14:solidFill>
          </w14:textFill>
        </w:rPr>
        <w:t>延安市生态环境局延安市水生态监测能力提升项目</w:t>
      </w:r>
      <w:r>
        <w:rPr>
          <w:rFonts w:hint="eastAsia" w:ascii="宋体" w:hAnsi="宋体" w:eastAsia="宋体" w:cs="宋体"/>
          <w:color w:val="000000" w:themeColor="text1"/>
          <w:spacing w:val="0"/>
          <w:sz w:val="24"/>
          <w:szCs w:val="24"/>
          <w:lang w:val="en-US" w:eastAsia="zh-CN"/>
          <w14:textFill>
            <w14:solidFill>
              <w14:schemeClr w14:val="tx1"/>
            </w14:solidFill>
          </w14:textFill>
        </w:rPr>
        <w:t>)特定资格要求如下:</w:t>
      </w:r>
    </w:p>
    <w:p w14:paraId="42AD9AB1">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3.1具有独立承担民事责任能力的法人、其他组织或自然人，并出具合法有效的营业执照或事业单位法人证书等国家规定的相关证明，自然人参与的提供其身份证明； </w:t>
      </w:r>
    </w:p>
    <w:p w14:paraId="7020A781">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3.2银行开户许可证或开户行基本信息； </w:t>
      </w:r>
    </w:p>
    <w:p w14:paraId="6B9DFD24">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3.3法定代表人授权委托书及被授权人身份证（法定代表人直接参加时，只须出示法定代表人身份证)； </w:t>
      </w:r>
    </w:p>
    <w:p w14:paraId="576C11B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3.4提供参加政府采购活动前3年内经营活动中没有重大违法记录声明； </w:t>
      </w:r>
    </w:p>
    <w:p w14:paraId="78EF31E5">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3.5税收缴纳证明：自202</w:t>
      </w:r>
      <w:r>
        <w:rPr>
          <w:rFonts w:hint="eastAsia" w:cs="宋体"/>
          <w:b w:val="0"/>
          <w:bCs w:val="0"/>
          <w:color w:val="000000" w:themeColor="text1"/>
          <w:spacing w:val="0"/>
          <w:sz w:val="24"/>
          <w:szCs w:val="24"/>
          <w:lang w:val="en-US" w:eastAsia="zh-CN"/>
          <w14:textFill>
            <w14:solidFill>
              <w14:schemeClr w14:val="tx1"/>
            </w14:solidFill>
          </w14:textFill>
        </w:rPr>
        <w:t>5</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年</w:t>
      </w:r>
      <w:r>
        <w:rPr>
          <w:rFonts w:hint="eastAsia" w:cs="宋体"/>
          <w:b w:val="0"/>
          <w:bCs w:val="0"/>
          <w:color w:val="000000" w:themeColor="text1"/>
          <w:spacing w:val="0"/>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月1日以来已缴纳的至少一个月的纳税证明或完税证明，纳税证明或完税证明上应有代收机构或税务机关的公章。依法免税的供应商应提供相关文件证明； </w:t>
      </w:r>
    </w:p>
    <w:p w14:paraId="0AE69347">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3.6社会保障资金缴纳证明：自202</w:t>
      </w:r>
      <w:r>
        <w:rPr>
          <w:rFonts w:hint="eastAsia" w:cs="宋体"/>
          <w:b w:val="0"/>
          <w:bCs w:val="0"/>
          <w:color w:val="000000" w:themeColor="text1"/>
          <w:spacing w:val="0"/>
          <w:sz w:val="24"/>
          <w:szCs w:val="24"/>
          <w:lang w:val="en-US" w:eastAsia="zh-CN"/>
          <w14:textFill>
            <w14:solidFill>
              <w14:schemeClr w14:val="tx1"/>
            </w14:solidFill>
          </w14:textFill>
        </w:rPr>
        <w:t>5</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年</w:t>
      </w:r>
      <w:r>
        <w:rPr>
          <w:rFonts w:hint="eastAsia" w:cs="宋体"/>
          <w:b w:val="0"/>
          <w:bCs w:val="0"/>
          <w:color w:val="000000" w:themeColor="text1"/>
          <w:spacing w:val="0"/>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月1日以来已缴存的至少一个月的社会保障资金缴存单据或社保机构开具的社会保险参保缴费情况证明，依法不需要缴纳社会保障资金的供应商应提供相关文件证明； </w:t>
      </w:r>
    </w:p>
    <w:p w14:paraId="752AA1EA">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3.7财务状况报告：提供202</w:t>
      </w:r>
      <w:r>
        <w:rPr>
          <w:rFonts w:hint="eastAsia" w:cs="宋体"/>
          <w:b w:val="0"/>
          <w:bCs w:val="0"/>
          <w:color w:val="000000" w:themeColor="text1"/>
          <w:spacing w:val="0"/>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或202</w:t>
      </w:r>
      <w:r>
        <w:rPr>
          <w:rFonts w:hint="eastAsia" w:cs="宋体"/>
          <w:b w:val="0"/>
          <w:bCs w:val="0"/>
          <w:color w:val="000000" w:themeColor="text1"/>
          <w:spacing w:val="0"/>
          <w:sz w:val="24"/>
          <w:szCs w:val="24"/>
          <w:lang w:val="en-US" w:eastAsia="zh-CN"/>
          <w14:textFill>
            <w14:solidFill>
              <w14:schemeClr w14:val="tx1"/>
            </w14:solidFill>
          </w14:textFill>
        </w:rPr>
        <w:t>4</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年度经审计的财务报告（至少包括审计报告、资产负债表和利润表，成立时间至提交投标文件截止时间不足一年的可提供成立后任意时段的资产负债表）或其开标前三个月内基本存款账户开户银行出具的资信证明；</w:t>
      </w:r>
    </w:p>
    <w:p w14:paraId="1EFE3AE9">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3.8根据财政部《关于在政府采购活动中查询及使用信用记录有关问题的通知》（财库〔2016〕125号）要求，供应商不得被列入【信用中国（https://www.creditchina.gov.cn/xinxigongshi/）】“重大税收违法失信主体名单”，【中国执行信息公开网（https://zxgk.court.gov.cn/）】“失信被执行人”，【中国政府采购网（www.ccgp.gov.cn）】“政府采购严重违法失信行为记录名单”；</w:t>
      </w:r>
    </w:p>
    <w:p w14:paraId="2F514CFD">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w:t>
      </w:r>
      <w:r>
        <w:rPr>
          <w:rFonts w:hint="eastAsia" w:cs="宋体"/>
          <w:b w:val="0"/>
          <w:bCs w:val="0"/>
          <w:color w:val="000000" w:themeColor="text1"/>
          <w:spacing w:val="0"/>
          <w:sz w:val="24"/>
          <w:szCs w:val="24"/>
          <w:lang w:val="en-US" w:eastAsia="zh-CN"/>
          <w14:textFill>
            <w14:solidFill>
              <w14:schemeClr w14:val="tx1"/>
            </w14:solidFill>
          </w14:textFill>
        </w:rPr>
        <w:t>9</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提供投标保证金的银行转账或电汇凭证并确保投标文件递交截止时间前到达采购文件指定账户； </w:t>
      </w:r>
    </w:p>
    <w:p w14:paraId="57E35756">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3.1</w:t>
      </w:r>
      <w:r>
        <w:rPr>
          <w:rFonts w:hint="eastAsia" w:cs="宋体"/>
          <w:b w:val="0"/>
          <w:bCs w:val="0"/>
          <w:color w:val="000000" w:themeColor="text1"/>
          <w:spacing w:val="0"/>
          <w:sz w:val="24"/>
          <w:szCs w:val="24"/>
          <w:lang w:val="en-US" w:eastAsia="zh-CN"/>
          <w14:textFill>
            <w14:solidFill>
              <w14:schemeClr w14:val="tx1"/>
            </w14:solidFill>
          </w14:textFill>
        </w:rPr>
        <w:t>0</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本项目不接受联合体投标。</w:t>
      </w:r>
    </w:p>
    <w:p w14:paraId="277A5E2F">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2" w:firstLineChars="200"/>
        <w:jc w:val="both"/>
        <w:textAlignment w:val="auto"/>
        <w:outlineLvl w:val="9"/>
        <w:rPr>
          <w:rFonts w:hint="eastAsia" w:ascii="宋体" w:hAnsi="宋体" w:eastAsia="宋体" w:cs="宋体"/>
          <w:b/>
          <w:bCs/>
          <w:color w:val="000000" w:themeColor="text1"/>
          <w:spacing w:val="0"/>
          <w:sz w:val="24"/>
          <w:szCs w:val="24"/>
          <w:lang w:val="en-US" w:eastAsia="zh-CN"/>
          <w14:textFill>
            <w14:solidFill>
              <w14:schemeClr w14:val="tx1"/>
            </w14:solidFill>
          </w14:textFill>
        </w:rPr>
      </w:pPr>
      <w:r>
        <w:rPr>
          <w:rFonts w:hint="eastAsia" w:ascii="宋体" w:hAnsi="宋体" w:eastAsia="宋体" w:cs="宋体"/>
          <w:b/>
          <w:bCs/>
          <w:color w:val="000000" w:themeColor="text1"/>
          <w:spacing w:val="0"/>
          <w:sz w:val="24"/>
          <w:szCs w:val="24"/>
          <w:lang w:val="en-US" w:eastAsia="zh-CN"/>
          <w14:textFill>
            <w14:solidFill>
              <w14:schemeClr w14:val="tx1"/>
            </w14:solidFill>
          </w14:textFill>
        </w:rPr>
        <w:t>三、获取招标文件</w:t>
      </w:r>
    </w:p>
    <w:p w14:paraId="636B5C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时间： 202</w:t>
      </w:r>
      <w:r>
        <w:rPr>
          <w:rFonts w:hint="eastAsia" w:ascii="宋体" w:hAnsi="宋体" w:cs="宋体"/>
          <w:b w:val="0"/>
          <w:bCs w:val="0"/>
          <w:color w:val="000000" w:themeColor="text1"/>
          <w:spacing w:val="0"/>
          <w:sz w:val="24"/>
          <w:szCs w:val="24"/>
          <w:lang w:val="en-US" w:eastAsia="zh-CN"/>
          <w14:textFill>
            <w14:solidFill>
              <w14:schemeClr w14:val="tx1"/>
            </w14:solidFill>
          </w14:textFill>
        </w:rPr>
        <w:t>5</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年</w:t>
      </w:r>
      <w:r>
        <w:rPr>
          <w:rFonts w:hint="eastAsia" w:ascii="宋体" w:hAnsi="宋体" w:cs="宋体"/>
          <w:b w:val="0"/>
          <w:bCs w:val="0"/>
          <w:color w:val="000000" w:themeColor="text1"/>
          <w:spacing w:val="0"/>
          <w:sz w:val="24"/>
          <w:szCs w:val="24"/>
          <w:lang w:val="en-US" w:eastAsia="zh-CN"/>
          <w14:textFill>
            <w14:solidFill>
              <w14:schemeClr w14:val="tx1"/>
            </w14:solidFill>
          </w14:textFill>
        </w:rPr>
        <w:t>9</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月</w:t>
      </w:r>
      <w:r>
        <w:rPr>
          <w:rFonts w:hint="eastAsia" w:ascii="宋体" w:hAnsi="宋体" w:cs="宋体"/>
          <w:b w:val="0"/>
          <w:bCs w:val="0"/>
          <w:color w:val="000000" w:themeColor="text1"/>
          <w:spacing w:val="0"/>
          <w:sz w:val="24"/>
          <w:szCs w:val="24"/>
          <w:lang w:val="en-US" w:eastAsia="zh-CN"/>
          <w14:textFill>
            <w14:solidFill>
              <w14:schemeClr w14:val="tx1"/>
            </w14:solidFill>
          </w14:textFill>
        </w:rPr>
        <w:t>25</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日8时00分至202</w:t>
      </w:r>
      <w:r>
        <w:rPr>
          <w:rFonts w:hint="eastAsia" w:ascii="宋体" w:hAnsi="宋体" w:cs="宋体"/>
          <w:b w:val="0"/>
          <w:bCs w:val="0"/>
          <w:color w:val="000000" w:themeColor="text1"/>
          <w:spacing w:val="0"/>
          <w:sz w:val="24"/>
          <w:szCs w:val="24"/>
          <w:lang w:val="en-US" w:eastAsia="zh-CN"/>
          <w14:textFill>
            <w14:solidFill>
              <w14:schemeClr w14:val="tx1"/>
            </w14:solidFill>
          </w14:textFill>
        </w:rPr>
        <w:t>5</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年</w:t>
      </w:r>
      <w:r>
        <w:rPr>
          <w:rFonts w:hint="eastAsia" w:ascii="宋体" w:hAnsi="宋体" w:cs="宋体"/>
          <w:b w:val="0"/>
          <w:bCs w:val="0"/>
          <w:color w:val="000000" w:themeColor="text1"/>
          <w:spacing w:val="0"/>
          <w:sz w:val="24"/>
          <w:szCs w:val="24"/>
          <w:lang w:val="en-US" w:eastAsia="zh-CN"/>
          <w14:textFill>
            <w14:solidFill>
              <w14:schemeClr w14:val="tx1"/>
            </w14:solidFill>
          </w14:textFill>
        </w:rPr>
        <w:t>9</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月</w:t>
      </w:r>
      <w:r>
        <w:rPr>
          <w:rFonts w:hint="eastAsia" w:ascii="宋体" w:hAnsi="宋体" w:cs="宋体"/>
          <w:b w:val="0"/>
          <w:bCs w:val="0"/>
          <w:color w:val="000000" w:themeColor="text1"/>
          <w:spacing w:val="0"/>
          <w:sz w:val="24"/>
          <w:szCs w:val="24"/>
          <w:lang w:val="en-US" w:eastAsia="zh-CN"/>
          <w14:textFill>
            <w14:solidFill>
              <w14:schemeClr w14:val="tx1"/>
            </w14:solidFill>
          </w14:textFill>
        </w:rPr>
        <w:t>30</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日18时00分（北京时间）。</w:t>
      </w:r>
    </w:p>
    <w:p w14:paraId="5365F52D">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cs="宋体"/>
          <w:b w:val="0"/>
          <w:bCs w:val="0"/>
          <w:color w:val="000000" w:themeColor="text1"/>
          <w:spacing w:val="0"/>
          <w:sz w:val="24"/>
          <w:szCs w:val="24"/>
          <w:lang w:val="en-US" w:eastAsia="zh-CN"/>
          <w14:textFill>
            <w14:solidFill>
              <w14:schemeClr w14:val="tx1"/>
            </w14:solidFill>
          </w14:textFill>
        </w:rPr>
        <w:t>途径</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：全国公共资源交易平台（陕西省·延安市）</w:t>
      </w:r>
    </w:p>
    <w:p w14:paraId="3FF06FF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方式：在线获取</w:t>
      </w:r>
    </w:p>
    <w:p w14:paraId="5F79F759">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售价：</w:t>
      </w:r>
      <w:r>
        <w:rPr>
          <w:rFonts w:hint="eastAsia" w:cs="宋体"/>
          <w:b w:val="0"/>
          <w:bCs w:val="0"/>
          <w:color w:val="000000" w:themeColor="text1"/>
          <w:spacing w:val="0"/>
          <w:sz w:val="24"/>
          <w:szCs w:val="24"/>
          <w:lang w:val="en-US" w:eastAsia="zh-CN"/>
          <w14:textFill>
            <w14:solidFill>
              <w14:schemeClr w14:val="tx1"/>
            </w14:solidFill>
          </w14:textFill>
        </w:rPr>
        <w:t>0元</w:t>
      </w:r>
    </w:p>
    <w:p w14:paraId="78CE6DB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2" w:firstLineChars="200"/>
        <w:jc w:val="both"/>
        <w:textAlignment w:val="auto"/>
        <w:outlineLvl w:val="9"/>
        <w:rPr>
          <w:rFonts w:hint="eastAsia" w:ascii="宋体" w:hAnsi="宋体" w:eastAsia="宋体" w:cs="宋体"/>
          <w:b/>
          <w:bCs/>
          <w:color w:val="000000" w:themeColor="text1"/>
          <w:spacing w:val="0"/>
          <w:sz w:val="24"/>
          <w:szCs w:val="24"/>
          <w:lang w:val="en-US" w:eastAsia="zh-CN"/>
          <w14:textFill>
            <w14:solidFill>
              <w14:schemeClr w14:val="tx1"/>
            </w14:solidFill>
          </w14:textFill>
        </w:rPr>
      </w:pPr>
      <w:r>
        <w:rPr>
          <w:rFonts w:hint="eastAsia" w:ascii="宋体" w:hAnsi="宋体" w:eastAsia="宋体" w:cs="宋体"/>
          <w:b/>
          <w:bCs/>
          <w:color w:val="000000" w:themeColor="text1"/>
          <w:spacing w:val="0"/>
          <w:sz w:val="24"/>
          <w:szCs w:val="24"/>
          <w:lang w:val="en-US" w:eastAsia="zh-CN"/>
          <w14:textFill>
            <w14:solidFill>
              <w14:schemeClr w14:val="tx1"/>
            </w14:solidFill>
          </w14:textFill>
        </w:rPr>
        <w:t>四、提交投标文件截止时间、开标时间和地点</w:t>
      </w:r>
    </w:p>
    <w:p w14:paraId="22C768F1">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时间：202</w:t>
      </w:r>
      <w:r>
        <w:rPr>
          <w:rFonts w:hint="eastAsia" w:cs="宋体"/>
          <w:b w:val="0"/>
          <w:bCs w:val="0"/>
          <w:color w:val="000000" w:themeColor="text1"/>
          <w:spacing w:val="0"/>
          <w:sz w:val="24"/>
          <w:szCs w:val="24"/>
          <w:lang w:val="en-US" w:eastAsia="zh-CN"/>
          <w14:textFill>
            <w14:solidFill>
              <w14:schemeClr w14:val="tx1"/>
            </w14:solidFill>
          </w14:textFill>
        </w:rPr>
        <w:t>5</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年</w:t>
      </w:r>
      <w:r>
        <w:rPr>
          <w:rFonts w:hint="eastAsia" w:cs="宋体"/>
          <w:b w:val="0"/>
          <w:bCs w:val="0"/>
          <w:color w:val="000000" w:themeColor="text1"/>
          <w:spacing w:val="0"/>
          <w:sz w:val="24"/>
          <w:szCs w:val="24"/>
          <w:lang w:val="en-US" w:eastAsia="zh-CN"/>
          <w14:textFill>
            <w14:solidFill>
              <w14:schemeClr w14:val="tx1"/>
            </w14:solidFill>
          </w14:textFill>
        </w:rPr>
        <w:t>10</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月</w:t>
      </w:r>
      <w:r>
        <w:rPr>
          <w:rFonts w:hint="eastAsia" w:cs="宋体"/>
          <w:b w:val="0"/>
          <w:bCs w:val="0"/>
          <w:color w:val="000000" w:themeColor="text1"/>
          <w:spacing w:val="0"/>
          <w:sz w:val="24"/>
          <w:szCs w:val="24"/>
          <w:lang w:val="en-US" w:eastAsia="zh-CN"/>
          <w14:textFill>
            <w14:solidFill>
              <w14:schemeClr w14:val="tx1"/>
            </w14:solidFill>
          </w14:textFill>
        </w:rPr>
        <w:t>16</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日</w:t>
      </w:r>
      <w:r>
        <w:rPr>
          <w:rFonts w:hint="eastAsia" w:cs="宋体"/>
          <w:b w:val="0"/>
          <w:bCs w:val="0"/>
          <w:color w:val="000000" w:themeColor="text1"/>
          <w:spacing w:val="0"/>
          <w:sz w:val="24"/>
          <w:szCs w:val="24"/>
          <w:lang w:val="en-US" w:eastAsia="zh-CN"/>
          <w14:textFill>
            <w14:solidFill>
              <w14:schemeClr w14:val="tx1"/>
            </w14:solidFill>
          </w14:textFill>
        </w:rPr>
        <w:t>09</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时00分00秒（北京时间）</w:t>
      </w:r>
    </w:p>
    <w:p w14:paraId="528A58B7">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提交投标文件地点：延安市公共资源交易中心交易</w:t>
      </w:r>
      <w:r>
        <w:rPr>
          <w:rFonts w:hint="eastAsia" w:cs="宋体"/>
          <w:b w:val="0"/>
          <w:bCs w:val="0"/>
          <w:color w:val="000000" w:themeColor="text1"/>
          <w:spacing w:val="0"/>
          <w:sz w:val="24"/>
          <w:szCs w:val="24"/>
          <w:lang w:val="en-US" w:eastAsia="zh-CN"/>
          <w14:textFill>
            <w14:solidFill>
              <w14:schemeClr w14:val="tx1"/>
            </w14:solidFill>
          </w14:textFill>
        </w:rPr>
        <w:t>一</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厅</w:t>
      </w:r>
    </w:p>
    <w:p w14:paraId="7CB89671">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开标地点：延安市公共资源交易中心交易</w:t>
      </w:r>
      <w:r>
        <w:rPr>
          <w:rFonts w:hint="eastAsia" w:cs="宋体"/>
          <w:b w:val="0"/>
          <w:bCs w:val="0"/>
          <w:color w:val="000000" w:themeColor="text1"/>
          <w:spacing w:val="0"/>
          <w:sz w:val="24"/>
          <w:szCs w:val="24"/>
          <w:lang w:val="en-US" w:eastAsia="zh-CN"/>
          <w14:textFill>
            <w14:solidFill>
              <w14:schemeClr w14:val="tx1"/>
            </w14:solidFill>
          </w14:textFill>
        </w:rPr>
        <w:t>一</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厅</w:t>
      </w:r>
    </w:p>
    <w:p w14:paraId="3B3BA787">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2" w:firstLineChars="200"/>
        <w:jc w:val="both"/>
        <w:textAlignment w:val="auto"/>
        <w:outlineLvl w:val="9"/>
        <w:rPr>
          <w:rFonts w:hint="eastAsia" w:ascii="宋体" w:hAnsi="宋体" w:eastAsia="宋体" w:cs="宋体"/>
          <w:b/>
          <w:bCs/>
          <w:color w:val="000000" w:themeColor="text1"/>
          <w:spacing w:val="0"/>
          <w:sz w:val="24"/>
          <w:szCs w:val="24"/>
          <w:lang w:val="en-US" w:eastAsia="zh-CN"/>
          <w14:textFill>
            <w14:solidFill>
              <w14:schemeClr w14:val="tx1"/>
            </w14:solidFill>
          </w14:textFill>
        </w:rPr>
      </w:pPr>
      <w:r>
        <w:rPr>
          <w:rFonts w:hint="eastAsia" w:ascii="宋体" w:hAnsi="宋体" w:eastAsia="宋体" w:cs="宋体"/>
          <w:b/>
          <w:bCs/>
          <w:color w:val="000000" w:themeColor="text1"/>
          <w:spacing w:val="0"/>
          <w:sz w:val="24"/>
          <w:szCs w:val="24"/>
          <w:lang w:val="en-US" w:eastAsia="zh-CN"/>
          <w14:textFill>
            <w14:solidFill>
              <w14:schemeClr w14:val="tx1"/>
            </w14:solidFill>
          </w14:textFill>
        </w:rPr>
        <w:t>五、公告期限</w:t>
      </w:r>
    </w:p>
    <w:p w14:paraId="1C7F0210">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自本公告发布之日起5个工作日。</w:t>
      </w:r>
    </w:p>
    <w:p w14:paraId="3DC32205">
      <w:pPr>
        <w:pStyle w:val="32"/>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600" w:lineRule="exact"/>
        <w:ind w:firstLine="482" w:firstLineChars="200"/>
        <w:jc w:val="both"/>
        <w:textAlignment w:val="auto"/>
        <w:outlineLvl w:val="9"/>
        <w:rPr>
          <w:rFonts w:hint="eastAsia" w:ascii="宋体" w:hAnsi="宋体" w:eastAsia="宋体" w:cs="宋体"/>
          <w:b/>
          <w:bCs/>
          <w:color w:val="000000" w:themeColor="text1"/>
          <w:spacing w:val="0"/>
          <w:sz w:val="24"/>
          <w:szCs w:val="24"/>
          <w:lang w:val="en-US" w:eastAsia="zh-CN"/>
          <w14:textFill>
            <w14:solidFill>
              <w14:schemeClr w14:val="tx1"/>
            </w14:solidFill>
          </w14:textFill>
        </w:rPr>
      </w:pPr>
      <w:r>
        <w:rPr>
          <w:rFonts w:hint="eastAsia" w:ascii="宋体" w:hAnsi="宋体" w:eastAsia="宋体" w:cs="宋体"/>
          <w:b/>
          <w:bCs/>
          <w:color w:val="000000" w:themeColor="text1"/>
          <w:spacing w:val="0"/>
          <w:sz w:val="24"/>
          <w:szCs w:val="24"/>
          <w:lang w:val="en-US" w:eastAsia="zh-CN"/>
          <w14:textFill>
            <w14:solidFill>
              <w14:schemeClr w14:val="tx1"/>
            </w14:solidFill>
          </w14:textFill>
        </w:rPr>
        <w:t>六、其他补充事宜</w:t>
      </w:r>
    </w:p>
    <w:p w14:paraId="7EE958A0">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（1）请投标人按照陕西省财政厅关于政府采购供应商注册登记有关事项的通知中的要求，通过陕西省政府采购网（http://www.ccgp-shaanxi.gov.cn/）注册登记加入陕西省政府采购供应商库。</w:t>
      </w:r>
    </w:p>
    <w:p w14:paraId="6FA6B8AC">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2）获取方式：投标人可登录全国公共资源交易平台（陕西省•延安市）（http：//ya.sxggzyjy.cn/）,选择“电子交易平台•〉政府采购交易系统•〉企业端”通过CA锁进行登录，登录后选择“交易乙方”身份进入投标人界面后，选择有意向的项目点击“我要投标”，参与投标活动。然后在 〖我的项目〗中点击“项目流程・〉招标文件领取”免费下载电子招标文件。</w:t>
      </w:r>
    </w:p>
    <w:p w14:paraId="7008B4F8">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（3）投标人初次使用交易平台，须先完成诚信入库登记、 数字认证证书（CA锁）认证及企业信息绑定。相关操作流程详见全国公共资源交易平台（陕西省・延安市）网站〖首页・〉服务指南・〉下载专区〗中的《延安市公共资源交易中心政府采购电子招投标全流程操作手册》。</w:t>
      </w:r>
    </w:p>
    <w:p w14:paraId="7FBF39E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（4）供应商初次使用交易平台，需前往陕西省数字证书认证中心股份有限公司办理CA锁，办理流程可参照https://www.snca.com.cn/notice/show/533.html，现场办理地址：延安市新区为民服务中心南区东楼（7号楼）A2 楼，咨询电话：0911-2162266。</w:t>
      </w:r>
    </w:p>
    <w:p w14:paraId="7AC62D4C">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（5）本项目</w:t>
      </w:r>
      <w:r>
        <w:rPr>
          <w:rFonts w:hint="eastAsia" w:cs="宋体"/>
          <w:b w:val="0"/>
          <w:bCs w:val="0"/>
          <w:color w:val="000000" w:themeColor="text1"/>
          <w:spacing w:val="0"/>
          <w:sz w:val="24"/>
          <w:szCs w:val="24"/>
          <w:lang w:val="en-US" w:eastAsia="zh-CN"/>
          <w14:textFill>
            <w14:solidFill>
              <w14:schemeClr w14:val="tx1"/>
            </w14:solidFill>
          </w14:textFill>
        </w:rPr>
        <w:t>不</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专门面向</w:t>
      </w:r>
      <w:r>
        <w:rPr>
          <w:rFonts w:hint="eastAsia" w:cs="宋体"/>
          <w:b w:val="0"/>
          <w:bCs w:val="0"/>
          <w:color w:val="000000" w:themeColor="text1"/>
          <w:spacing w:val="0"/>
          <w:sz w:val="24"/>
          <w:szCs w:val="24"/>
          <w:lang w:val="en-US" w:eastAsia="zh-CN"/>
          <w14:textFill>
            <w14:solidFill>
              <w14:schemeClr w14:val="tx1"/>
            </w14:solidFill>
          </w14:textFill>
        </w:rPr>
        <w:t>中小</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企业采购。</w:t>
      </w:r>
    </w:p>
    <w:p w14:paraId="566C53FE">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（6）本项目采用线上不见面形式。</w:t>
      </w:r>
    </w:p>
    <w:p w14:paraId="49AF6DE5">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（7）发布公告的媒介：本次招标公告在《陕西省政府采购网》、《全国公共资源交易平台（陕西省·延安市）》上同时发布。</w:t>
      </w:r>
    </w:p>
    <w:p w14:paraId="63A90011">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2" w:firstLineChars="200"/>
        <w:jc w:val="both"/>
        <w:textAlignment w:val="auto"/>
        <w:outlineLvl w:val="9"/>
        <w:rPr>
          <w:rFonts w:hint="eastAsia" w:ascii="宋体" w:hAnsi="宋体" w:eastAsia="宋体" w:cs="宋体"/>
          <w:b/>
          <w:bCs/>
          <w:color w:val="000000" w:themeColor="text1"/>
          <w:spacing w:val="0"/>
          <w:sz w:val="24"/>
          <w:szCs w:val="24"/>
          <w:lang w:val="en-US" w:eastAsia="zh-CN"/>
          <w14:textFill>
            <w14:solidFill>
              <w14:schemeClr w14:val="tx1"/>
            </w14:solidFill>
          </w14:textFill>
        </w:rPr>
      </w:pPr>
      <w:r>
        <w:rPr>
          <w:rFonts w:hint="eastAsia" w:ascii="宋体" w:hAnsi="宋体" w:eastAsia="宋体" w:cs="宋体"/>
          <w:b/>
          <w:bCs/>
          <w:color w:val="000000" w:themeColor="text1"/>
          <w:spacing w:val="0"/>
          <w:sz w:val="24"/>
          <w:szCs w:val="24"/>
          <w:lang w:val="en-US" w:eastAsia="zh-CN"/>
          <w14:textFill>
            <w14:solidFill>
              <w14:schemeClr w14:val="tx1"/>
            </w14:solidFill>
          </w14:textFill>
        </w:rPr>
        <w:t>七、凡对本次采购提出询问，请按以下方式联系。</w:t>
      </w:r>
    </w:p>
    <w:p w14:paraId="66E2FFC7">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1.采购人信息</w:t>
      </w:r>
    </w:p>
    <w:p w14:paraId="02B6F8C0">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名称：</w:t>
      </w:r>
      <w:r>
        <w:rPr>
          <w:rFonts w:hint="eastAsia" w:cs="宋体"/>
          <w:b w:val="0"/>
          <w:bCs w:val="0"/>
          <w:color w:val="000000" w:themeColor="text1"/>
          <w:spacing w:val="0"/>
          <w:sz w:val="24"/>
          <w:szCs w:val="24"/>
          <w:lang w:val="en-US" w:eastAsia="zh-CN"/>
          <w14:textFill>
            <w14:solidFill>
              <w14:schemeClr w14:val="tx1"/>
            </w14:solidFill>
          </w14:textFill>
        </w:rPr>
        <w:t>延安市生态环境局</w:t>
      </w:r>
    </w:p>
    <w:p w14:paraId="66099F99">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地址：</w:t>
      </w:r>
      <w:r>
        <w:rPr>
          <w:rFonts w:hint="eastAsia" w:cs="宋体"/>
          <w:b w:val="0"/>
          <w:bCs w:val="0"/>
          <w:color w:val="000000" w:themeColor="text1"/>
          <w:spacing w:val="0"/>
          <w:sz w:val="24"/>
          <w:szCs w:val="24"/>
          <w:lang w:val="en-US" w:eastAsia="zh-CN"/>
          <w14:textFill>
            <w14:solidFill>
              <w14:schemeClr w14:val="tx1"/>
            </w14:solidFill>
          </w14:textFill>
        </w:rPr>
        <w:t>延安市新区为人民服务中心1号综合楼</w:t>
      </w:r>
    </w:p>
    <w:p w14:paraId="32C9C020">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联系方式：</w:t>
      </w:r>
      <w:r>
        <w:rPr>
          <w:rFonts w:hint="eastAsia" w:cs="宋体"/>
          <w:b w:val="0"/>
          <w:bCs w:val="0"/>
          <w:color w:val="000000" w:themeColor="text1"/>
          <w:spacing w:val="0"/>
          <w:sz w:val="24"/>
          <w:szCs w:val="24"/>
          <w:lang w:val="en-US" w:eastAsia="zh-CN"/>
          <w14:textFill>
            <w14:solidFill>
              <w14:schemeClr w14:val="tx1"/>
            </w14:solidFill>
          </w14:textFill>
        </w:rPr>
        <w:t>0911-7090186</w:t>
      </w:r>
    </w:p>
    <w:p w14:paraId="47EA3DE3">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2.采购代理机构信息</w:t>
      </w:r>
    </w:p>
    <w:p w14:paraId="35C9920B">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名称：陕西宸永项目管理有限公司</w:t>
      </w:r>
    </w:p>
    <w:p w14:paraId="30CF8D0A">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地址：延安市新区盛世花园北区12号楼一单元802室</w:t>
      </w:r>
    </w:p>
    <w:p w14:paraId="2B369A33">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联系方式：0911-8688810</w:t>
      </w:r>
    </w:p>
    <w:p w14:paraId="0EC73D3D">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3.项目联系方式</w:t>
      </w:r>
    </w:p>
    <w:p w14:paraId="11C2C078">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项目联系人：杨工</w:t>
      </w:r>
    </w:p>
    <w:p w14:paraId="68D0C502">
      <w:pPr>
        <w:pStyle w:val="32"/>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480" w:firstLineChars="200"/>
        <w:jc w:val="both"/>
        <w:textAlignment w:val="auto"/>
        <w:outlineLvl w:val="9"/>
        <w:rPr>
          <w:rFonts w:hint="eastAsia" w:ascii="宋体" w:hAnsi="宋体" w:eastAsia="宋体" w:cs="宋体"/>
          <w:b w:val="0"/>
          <w:bCs w:val="0"/>
          <w:color w:val="000000" w:themeColor="text1"/>
          <w:spacing w:val="0"/>
          <w:sz w:val="28"/>
          <w:szCs w:val="28"/>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电话：0911-8688810</w:t>
      </w:r>
    </w:p>
    <w:p w14:paraId="6982DD1B">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pacing w:beforeAutospacing="0" w:afterAutospacing="0" w:line="560" w:lineRule="exact"/>
        <w:ind w:leftChars="0" w:right="0" w:rightChars="0" w:firstLine="420" w:firstLineChars="200"/>
        <w:jc w:val="center"/>
        <w:rPr>
          <w:rFonts w:hint="eastAsia" w:ascii="宋体" w:hAnsi="宋体" w:cs="宋体"/>
          <w:color w:val="000000" w:themeColor="text1"/>
          <w14:textFill>
            <w14:solidFill>
              <w14:schemeClr w14:val="tx1"/>
            </w14:solidFill>
          </w14:textFill>
        </w:rPr>
        <w:sectPr>
          <w:footerReference r:id="rId7" w:type="first"/>
          <w:headerReference r:id="rId5" w:type="default"/>
          <w:footerReference r:id="rId6" w:type="default"/>
          <w:pgSz w:w="11906" w:h="16838"/>
          <w:pgMar w:top="1417" w:right="1134" w:bottom="1417" w:left="1417" w:header="851" w:footer="992" w:gutter="0"/>
          <w:pgBorders>
            <w:top w:val="none" w:sz="0" w:space="0"/>
            <w:left w:val="none" w:sz="0" w:space="0"/>
            <w:bottom w:val="none" w:sz="0" w:space="0"/>
            <w:right w:val="none" w:sz="0" w:space="0"/>
          </w:pgBorders>
          <w:pgNumType w:fmt="decimal" w:start="1"/>
          <w:cols w:space="720" w:num="1"/>
          <w:docGrid w:linePitch="312" w:charSpace="0"/>
        </w:sectPr>
      </w:pPr>
    </w:p>
    <w:p w14:paraId="2EB0EF2E">
      <w:pPr>
        <w:pStyle w:val="2"/>
        <w:spacing w:line="240" w:lineRule="auto"/>
        <w:jc w:val="center"/>
        <w:rPr>
          <w:rFonts w:hint="eastAsia" w:ascii="宋体" w:hAnsi="宋体" w:cs="宋体"/>
          <w:color w:val="000000" w:themeColor="text1"/>
          <w:sz w:val="30"/>
          <w:szCs w:val="30"/>
          <w14:textFill>
            <w14:solidFill>
              <w14:schemeClr w14:val="tx1"/>
            </w14:solidFill>
          </w14:textFill>
        </w:rPr>
      </w:pPr>
      <w:bookmarkStart w:id="13" w:name="_Toc16762"/>
      <w:bookmarkStart w:id="14" w:name="_Toc2596"/>
      <w:bookmarkStart w:id="15" w:name="_Toc10411"/>
      <w:bookmarkStart w:id="16" w:name="_Toc23672"/>
      <w:r>
        <w:rPr>
          <w:rFonts w:hint="eastAsia" w:ascii="宋体" w:hAnsi="宋体" w:cs="宋体"/>
          <w:color w:val="000000" w:themeColor="text1"/>
          <w:sz w:val="30"/>
          <w:szCs w:val="30"/>
          <w14:textFill>
            <w14:solidFill>
              <w14:schemeClr w14:val="tx1"/>
            </w14:solidFill>
          </w14:textFill>
        </w:rPr>
        <w:t>第二章  投标人须知</w:t>
      </w:r>
      <w:bookmarkEnd w:id="11"/>
      <w:bookmarkEnd w:id="12"/>
      <w:bookmarkEnd w:id="13"/>
      <w:bookmarkEnd w:id="14"/>
      <w:bookmarkEnd w:id="15"/>
      <w:bookmarkEnd w:id="16"/>
    </w:p>
    <w:p w14:paraId="39DA9270">
      <w:pPr>
        <w:pStyle w:val="2"/>
        <w:spacing w:after="0" w:line="240" w:lineRule="auto"/>
        <w:rPr>
          <w:rFonts w:hint="eastAsia" w:ascii="宋体" w:hAnsi="宋体" w:cs="宋体"/>
          <w:color w:val="000000" w:themeColor="text1"/>
          <w:sz w:val="24"/>
          <w:szCs w:val="40"/>
          <w14:textFill>
            <w14:solidFill>
              <w14:schemeClr w14:val="tx1"/>
            </w14:solidFill>
          </w14:textFill>
        </w:rPr>
      </w:pPr>
      <w:bookmarkStart w:id="17" w:name="_Toc13763"/>
      <w:bookmarkStart w:id="18" w:name="_Toc22961"/>
      <w:bookmarkStart w:id="19" w:name="_Toc25587"/>
      <w:bookmarkStart w:id="20" w:name="_Toc26053"/>
      <w:bookmarkStart w:id="21" w:name="_Toc16081"/>
      <w:bookmarkStart w:id="22" w:name="_Toc25163"/>
      <w:bookmarkStart w:id="23" w:name="_Toc32301"/>
      <w:bookmarkStart w:id="24" w:name="_Toc12247"/>
      <w:bookmarkStart w:id="25" w:name="_Toc11843"/>
      <w:bookmarkStart w:id="26" w:name="_Toc15597"/>
      <w:bookmarkStart w:id="27" w:name="_Toc3573"/>
      <w:bookmarkStart w:id="28" w:name="_Toc24259"/>
      <w:r>
        <w:rPr>
          <w:rFonts w:hint="eastAsia" w:ascii="宋体" w:hAnsi="宋体" w:cs="宋体"/>
          <w:color w:val="000000" w:themeColor="text1"/>
          <w:sz w:val="24"/>
          <w:szCs w:val="40"/>
          <w14:textFill>
            <w14:solidFill>
              <w14:schemeClr w14:val="tx1"/>
            </w14:solidFill>
          </w14:textFill>
        </w:rPr>
        <w:t>投标人须知前附表</w:t>
      </w:r>
      <w:bookmarkEnd w:id="17"/>
      <w:bookmarkEnd w:id="18"/>
      <w:bookmarkEnd w:id="19"/>
      <w:bookmarkEnd w:id="20"/>
      <w:bookmarkEnd w:id="21"/>
      <w:bookmarkEnd w:id="22"/>
      <w:bookmarkEnd w:id="23"/>
      <w:bookmarkEnd w:id="24"/>
      <w:bookmarkEnd w:id="25"/>
      <w:bookmarkEnd w:id="26"/>
      <w:bookmarkEnd w:id="27"/>
      <w:bookmarkEnd w:id="28"/>
    </w:p>
    <w:tbl>
      <w:tblPr>
        <w:tblStyle w:val="35"/>
        <w:tblpPr w:leftFromText="180" w:rightFromText="180" w:vertAnchor="text" w:horzAnchor="page" w:tblpXSpec="center" w:tblpY="570"/>
        <w:tblOverlap w:val="never"/>
        <w:tblW w:w="9287" w:type="dxa"/>
        <w:jc w:val="center"/>
        <w:tblLayout w:type="fixed"/>
        <w:tblCellMar>
          <w:top w:w="0" w:type="dxa"/>
          <w:left w:w="108" w:type="dxa"/>
          <w:bottom w:w="0" w:type="dxa"/>
          <w:right w:w="108" w:type="dxa"/>
        </w:tblCellMar>
      </w:tblPr>
      <w:tblGrid>
        <w:gridCol w:w="968"/>
        <w:gridCol w:w="1616"/>
        <w:gridCol w:w="6703"/>
      </w:tblGrid>
      <w:tr w14:paraId="356691BF">
        <w:tblPrEx>
          <w:tblCellMar>
            <w:top w:w="0" w:type="dxa"/>
            <w:left w:w="108" w:type="dxa"/>
            <w:bottom w:w="0" w:type="dxa"/>
            <w:right w:w="108" w:type="dxa"/>
          </w:tblCellMar>
        </w:tblPrEx>
        <w:trPr>
          <w:trHeight w:val="9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2AA3BCDC">
            <w:pPr>
              <w:spacing w:line="360" w:lineRule="auto"/>
              <w:jc w:val="center"/>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条款号</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6978784">
            <w:pPr>
              <w:spacing w:line="360" w:lineRule="auto"/>
              <w:jc w:val="center"/>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条  款  名  称</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5B914DBF">
            <w:pPr>
              <w:spacing w:line="360" w:lineRule="auto"/>
              <w:jc w:val="center"/>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编  列  内  容</w:t>
            </w:r>
          </w:p>
        </w:tc>
      </w:tr>
      <w:tr w14:paraId="22D156BC">
        <w:tblPrEx>
          <w:tblCellMar>
            <w:top w:w="0" w:type="dxa"/>
            <w:left w:w="108" w:type="dxa"/>
            <w:bottom w:w="0" w:type="dxa"/>
            <w:right w:w="108" w:type="dxa"/>
          </w:tblCellMar>
        </w:tblPrEx>
        <w:trPr>
          <w:trHeight w:val="1808"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3E6EE6B0">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1.1.2</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5E6A96FD">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采购人</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1AE3CEBE">
            <w:pPr>
              <w:spacing w:line="360" w:lineRule="auto"/>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名 称：</w:t>
            </w:r>
            <w:r>
              <w:rPr>
                <w:rFonts w:hint="eastAsia" w:ascii="宋体" w:hAnsi="宋体" w:cs="宋体"/>
                <w:color w:val="000000" w:themeColor="text1"/>
                <w:sz w:val="22"/>
                <w:szCs w:val="22"/>
                <w:lang w:eastAsia="zh-CN"/>
                <w14:textFill>
                  <w14:solidFill>
                    <w14:schemeClr w14:val="tx1"/>
                  </w14:solidFill>
                </w14:textFill>
              </w:rPr>
              <w:t>延安市生态环境局</w:t>
            </w:r>
          </w:p>
          <w:p w14:paraId="1B5B041B">
            <w:pPr>
              <w:spacing w:line="360" w:lineRule="auto"/>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地 址：</w:t>
            </w:r>
            <w:r>
              <w:rPr>
                <w:rFonts w:hint="eastAsia" w:ascii="宋体" w:hAnsi="宋体" w:cs="宋体"/>
                <w:color w:val="000000" w:themeColor="text1"/>
                <w:sz w:val="22"/>
                <w:szCs w:val="22"/>
                <w:lang w:val="en-US" w:eastAsia="zh-CN"/>
                <w14:textFill>
                  <w14:solidFill>
                    <w14:schemeClr w14:val="tx1"/>
                  </w14:solidFill>
                </w14:textFill>
              </w:rPr>
              <w:t>延安市新区为人民服务中心1号综合楼</w:t>
            </w:r>
          </w:p>
          <w:p w14:paraId="70A19285">
            <w:pPr>
              <w:spacing w:line="360" w:lineRule="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联系人：</w:t>
            </w:r>
            <w:r>
              <w:rPr>
                <w:rFonts w:hint="eastAsia" w:ascii="宋体" w:hAnsi="宋体" w:cs="宋体"/>
                <w:color w:val="000000" w:themeColor="text1"/>
                <w:sz w:val="22"/>
                <w:szCs w:val="22"/>
                <w:lang w:val="en-US" w:eastAsia="zh-CN"/>
                <w14:textFill>
                  <w14:solidFill>
                    <w14:schemeClr w14:val="tx1"/>
                  </w14:solidFill>
                </w14:textFill>
              </w:rPr>
              <w:t>加行行</w:t>
            </w:r>
          </w:p>
          <w:p w14:paraId="3CE9E61F">
            <w:pPr>
              <w:spacing w:line="360" w:lineRule="auto"/>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电 话：</w:t>
            </w:r>
            <w:r>
              <w:rPr>
                <w:rFonts w:hint="eastAsia" w:ascii="宋体" w:hAnsi="宋体" w:cs="宋体"/>
                <w:color w:val="000000" w:themeColor="text1"/>
                <w:sz w:val="22"/>
                <w:szCs w:val="22"/>
                <w:lang w:val="en-US" w:eastAsia="zh-CN"/>
                <w14:textFill>
                  <w14:solidFill>
                    <w14:schemeClr w14:val="tx1"/>
                  </w14:solidFill>
                </w14:textFill>
              </w:rPr>
              <w:t>0911-7090186</w:t>
            </w:r>
          </w:p>
        </w:tc>
      </w:tr>
      <w:tr w14:paraId="382D480D">
        <w:tblPrEx>
          <w:tblCellMar>
            <w:top w:w="0" w:type="dxa"/>
            <w:left w:w="108" w:type="dxa"/>
            <w:bottom w:w="0" w:type="dxa"/>
            <w:right w:w="108" w:type="dxa"/>
          </w:tblCellMar>
        </w:tblPrEx>
        <w:trPr>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330730E8">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1.1.3</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4EA6E572">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采购代理机构</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2931D24B">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名 称：陕西宸永项目管理有限公司</w:t>
            </w:r>
          </w:p>
          <w:p w14:paraId="311ED5DF">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地 址：延安市新区盛世花园北区12号楼1单元802室</w:t>
            </w:r>
          </w:p>
          <w:p w14:paraId="28476E0A">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联系人：杨工       </w:t>
            </w:r>
          </w:p>
          <w:p w14:paraId="56847DF0">
            <w:pPr>
              <w:widowControl/>
              <w:spacing w:line="360" w:lineRule="auto"/>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电话：0911-8688810</w:t>
            </w:r>
            <w:r>
              <w:rPr>
                <w:rFonts w:hint="eastAsia" w:ascii="宋体" w:hAnsi="宋体" w:eastAsia="宋体" w:cs="宋体"/>
                <w:color w:val="000000" w:themeColor="text1"/>
                <w:kern w:val="0"/>
                <w:sz w:val="22"/>
                <w:szCs w:val="22"/>
                <w14:textFill>
                  <w14:solidFill>
                    <w14:schemeClr w14:val="tx1"/>
                  </w14:solidFill>
                </w14:textFill>
              </w:rPr>
              <w:t xml:space="preserve"> </w:t>
            </w:r>
          </w:p>
        </w:tc>
      </w:tr>
      <w:tr w14:paraId="5AE9E7F8">
        <w:tblPrEx>
          <w:tblCellMar>
            <w:top w:w="0" w:type="dxa"/>
            <w:left w:w="108" w:type="dxa"/>
            <w:bottom w:w="0" w:type="dxa"/>
            <w:right w:w="108" w:type="dxa"/>
          </w:tblCellMar>
        </w:tblPrEx>
        <w:trPr>
          <w:trHeight w:val="9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2D88E4CD">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1.1.4</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4B6C456F">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项目名称</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08B961E1">
            <w:pPr>
              <w:spacing w:line="360" w:lineRule="auto"/>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cs="宋体"/>
                <w:color w:val="000000" w:themeColor="text1"/>
                <w:sz w:val="22"/>
                <w:szCs w:val="22"/>
                <w:lang w:eastAsia="zh-CN"/>
                <w14:textFill>
                  <w14:solidFill>
                    <w14:schemeClr w14:val="tx1"/>
                  </w14:solidFill>
                </w14:textFill>
              </w:rPr>
              <w:t>延安市生态环境局延安市水生态监测能力提升项目</w:t>
            </w:r>
          </w:p>
        </w:tc>
      </w:tr>
      <w:tr w14:paraId="06946E55">
        <w:tblPrEx>
          <w:tblCellMar>
            <w:top w:w="0" w:type="dxa"/>
            <w:left w:w="108" w:type="dxa"/>
            <w:bottom w:w="0" w:type="dxa"/>
            <w:right w:w="108" w:type="dxa"/>
          </w:tblCellMar>
        </w:tblPrEx>
        <w:trPr>
          <w:trHeight w:val="9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20BFA0C1">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1.1.5</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59B574B1">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项目地点</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72781363">
            <w:pPr>
              <w:spacing w:line="360" w:lineRule="auto"/>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cs="宋体"/>
                <w:color w:val="000000" w:themeColor="text1"/>
                <w:sz w:val="22"/>
                <w:szCs w:val="22"/>
                <w:lang w:eastAsia="zh-CN"/>
                <w14:textFill>
                  <w14:solidFill>
                    <w14:schemeClr w14:val="tx1"/>
                  </w14:solidFill>
                </w14:textFill>
              </w:rPr>
              <w:t>延安市生态环境局</w:t>
            </w:r>
            <w:r>
              <w:rPr>
                <w:rFonts w:hint="eastAsia" w:ascii="宋体" w:hAnsi="宋体" w:eastAsia="宋体" w:cs="宋体"/>
                <w:color w:val="000000" w:themeColor="text1"/>
                <w:sz w:val="22"/>
                <w:szCs w:val="22"/>
                <w:lang w:eastAsia="zh-CN"/>
                <w14:textFill>
                  <w14:solidFill>
                    <w14:schemeClr w14:val="tx1"/>
                  </w14:solidFill>
                </w14:textFill>
              </w:rPr>
              <w:t>指定地点</w:t>
            </w:r>
          </w:p>
        </w:tc>
      </w:tr>
      <w:tr w14:paraId="0DEC0542">
        <w:tblPrEx>
          <w:tblCellMar>
            <w:top w:w="0" w:type="dxa"/>
            <w:left w:w="108" w:type="dxa"/>
            <w:bottom w:w="0" w:type="dxa"/>
            <w:right w:w="108" w:type="dxa"/>
          </w:tblCellMar>
        </w:tblPrEx>
        <w:trPr>
          <w:trHeight w:val="381"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0E3F7CE8">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031F8C8">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资金来源</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199B907C">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财政资金  　　　</w:t>
            </w:r>
          </w:p>
        </w:tc>
      </w:tr>
      <w:tr w14:paraId="6A512914">
        <w:tblPrEx>
          <w:tblCellMar>
            <w:top w:w="0" w:type="dxa"/>
            <w:left w:w="108" w:type="dxa"/>
            <w:bottom w:w="0" w:type="dxa"/>
            <w:right w:w="108" w:type="dxa"/>
          </w:tblCellMar>
        </w:tblPrEx>
        <w:trPr>
          <w:trHeight w:val="417"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3BE6BA92">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1.2.3</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16400578">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项目预算</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308E0C1D">
            <w:pPr>
              <w:spacing w:line="360" w:lineRule="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5967700.00</w:t>
            </w:r>
            <w:r>
              <w:rPr>
                <w:rFonts w:hint="eastAsia" w:ascii="宋体" w:hAnsi="宋体" w:eastAsia="宋体" w:cs="宋体"/>
                <w:color w:val="000000" w:themeColor="text1"/>
                <w:sz w:val="22"/>
                <w:szCs w:val="22"/>
                <w:lang w:val="en-US" w:eastAsia="zh-CN"/>
                <w14:textFill>
                  <w14:solidFill>
                    <w14:schemeClr w14:val="tx1"/>
                  </w14:solidFill>
                </w14:textFill>
              </w:rPr>
              <w:t>元</w:t>
            </w:r>
          </w:p>
        </w:tc>
      </w:tr>
      <w:tr w14:paraId="6BA996CC">
        <w:tblPrEx>
          <w:tblCellMar>
            <w:top w:w="0" w:type="dxa"/>
            <w:left w:w="108" w:type="dxa"/>
            <w:bottom w:w="0" w:type="dxa"/>
            <w:right w:w="108" w:type="dxa"/>
          </w:tblCellMar>
        </w:tblPrEx>
        <w:trPr>
          <w:trHeight w:val="493"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4B248509">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59E501C">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招标内容</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053B1060">
            <w:pPr>
              <w:spacing w:line="360" w:lineRule="auto"/>
              <w:rPr>
                <w:rFonts w:hint="eastAsia" w:ascii="宋体" w:hAnsi="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延安市水生态监测能力提升项目</w:t>
            </w:r>
          </w:p>
          <w:p w14:paraId="0CFC3BD6">
            <w:pPr>
              <w:spacing w:line="360" w:lineRule="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b/>
                <w:bCs/>
                <w:color w:val="000000" w:themeColor="text1"/>
                <w:sz w:val="22"/>
                <w:szCs w:val="22"/>
                <w:lang w:val="en-US" w:eastAsia="zh-CN"/>
                <w14:textFill>
                  <w14:solidFill>
                    <w14:schemeClr w14:val="tx1"/>
                  </w14:solidFill>
                </w14:textFill>
              </w:rPr>
              <w:t>核心产品：两虫快速法淘洗设备、藻类人工智能分析仪。</w:t>
            </w:r>
          </w:p>
        </w:tc>
      </w:tr>
      <w:tr w14:paraId="73CDC48D">
        <w:tblPrEx>
          <w:tblCellMar>
            <w:top w:w="0" w:type="dxa"/>
            <w:left w:w="108" w:type="dxa"/>
            <w:bottom w:w="0" w:type="dxa"/>
            <w:right w:w="108" w:type="dxa"/>
          </w:tblCellMar>
        </w:tblPrEx>
        <w:trPr>
          <w:trHeight w:val="9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6B2189EC">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1.3.2</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460B2F98">
            <w:pPr>
              <w:spacing w:line="360" w:lineRule="auto"/>
              <w:jc w:val="center"/>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供货期</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6774A999">
            <w:pPr>
              <w:spacing w:line="360" w:lineRule="auto"/>
              <w:jc w:val="left"/>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1个月</w:t>
            </w:r>
          </w:p>
        </w:tc>
      </w:tr>
      <w:tr w14:paraId="5849E1FA">
        <w:tblPrEx>
          <w:tblCellMar>
            <w:top w:w="0" w:type="dxa"/>
            <w:left w:w="108" w:type="dxa"/>
            <w:bottom w:w="0" w:type="dxa"/>
            <w:right w:w="108" w:type="dxa"/>
          </w:tblCellMar>
        </w:tblPrEx>
        <w:trPr>
          <w:trHeight w:val="434"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447EC38E">
            <w:pPr>
              <w:spacing w:line="360" w:lineRule="auto"/>
              <w:jc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1.3.3</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BFF142E">
            <w:pPr>
              <w:spacing w:line="360" w:lineRule="auto"/>
              <w:jc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质保期</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0FF9D13B">
            <w:pPr>
              <w:spacing w:line="360" w:lineRule="auto"/>
              <w:jc w:val="left"/>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一年</w:t>
            </w:r>
          </w:p>
        </w:tc>
      </w:tr>
      <w:tr w14:paraId="0BE5C0CB">
        <w:tblPrEx>
          <w:tblCellMar>
            <w:top w:w="0" w:type="dxa"/>
            <w:left w:w="108" w:type="dxa"/>
            <w:bottom w:w="0" w:type="dxa"/>
            <w:right w:w="108" w:type="dxa"/>
          </w:tblCellMar>
        </w:tblPrEx>
        <w:trPr>
          <w:trHeight w:val="567"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1BE980E9">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457D396B">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投标人应具备承担本项目的资质条件、能力和信誉</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687569B4">
            <w:pPr>
              <w:numPr>
                <w:ilvl w:val="0"/>
                <w:numId w:val="0"/>
              </w:num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（1）</w:t>
            </w:r>
            <w:r>
              <w:rPr>
                <w:rFonts w:hint="eastAsia" w:ascii="宋体" w:hAnsi="宋体" w:eastAsia="宋体" w:cs="宋体"/>
                <w:color w:val="000000" w:themeColor="text1"/>
                <w:sz w:val="22"/>
                <w:szCs w:val="22"/>
                <w14:textFill>
                  <w14:solidFill>
                    <w14:schemeClr w14:val="tx1"/>
                  </w14:solidFill>
                </w14:textFill>
              </w:rPr>
              <w:t>基本资格条件：</w:t>
            </w:r>
          </w:p>
          <w:p w14:paraId="05D85200">
            <w:pPr>
              <w:numPr>
                <w:ilvl w:val="0"/>
                <w:numId w:val="0"/>
              </w:num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符合《中华人民共和国政府采购法》第二十二条的规定；</w:t>
            </w:r>
          </w:p>
          <w:p w14:paraId="11C82CD5">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（2）特定资格条件：</w:t>
            </w:r>
          </w:p>
          <w:p w14:paraId="14D6AA37">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w:t>
            </w:r>
            <w:r>
              <w:rPr>
                <w:rFonts w:hint="eastAsia" w:ascii="宋体" w:hAnsi="宋体" w:eastAsia="宋体" w:cs="宋体"/>
                <w:color w:val="000000" w:themeColor="text1"/>
                <w:sz w:val="22"/>
                <w:szCs w:val="22"/>
                <w:lang w:val="en-US" w:eastAsia="zh-CN"/>
                <w14:textFill>
                  <w14:solidFill>
                    <w14:schemeClr w14:val="tx1"/>
                  </w14:solidFill>
                </w14:textFill>
              </w:rPr>
              <w:t>具有独立承担民事责任能力的法人、其他组织或自然人，并出具合法有效的营业执照或事业单位法人证书等国家规定的相关证明，自然人参与的提供其身份证明；</w:t>
            </w:r>
          </w:p>
          <w:p w14:paraId="0246FAEB">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2.银行开户许可证或开户行基本信息； </w:t>
            </w:r>
          </w:p>
          <w:p w14:paraId="421AD20E">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3.法定代表人授权委托书及被授权人身份证（法定代表人直接参加时，只须出示法定代表人身份证)；</w:t>
            </w:r>
          </w:p>
          <w:p w14:paraId="3C06E0D2">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w:t>
            </w:r>
            <w:r>
              <w:rPr>
                <w:rFonts w:hint="eastAsia" w:ascii="宋体" w:hAnsi="宋体" w:eastAsia="宋体" w:cs="宋体"/>
                <w:color w:val="000000" w:themeColor="text1"/>
                <w:sz w:val="22"/>
                <w:szCs w:val="22"/>
                <w:lang w:eastAsia="zh-CN"/>
                <w14:textFill>
                  <w14:solidFill>
                    <w14:schemeClr w14:val="tx1"/>
                  </w14:solidFill>
                </w14:textFill>
              </w:rPr>
              <w:t>提供参加政府采购活动前3年内经营活动中没有重大违法记录声明</w:t>
            </w:r>
            <w:r>
              <w:rPr>
                <w:rFonts w:hint="eastAsia" w:ascii="宋体" w:hAnsi="宋体" w:eastAsia="宋体" w:cs="宋体"/>
                <w:color w:val="000000" w:themeColor="text1"/>
                <w:sz w:val="22"/>
                <w:szCs w:val="22"/>
                <w14:textFill>
                  <w14:solidFill>
                    <w14:schemeClr w14:val="tx1"/>
                  </w14:solidFill>
                </w14:textFill>
              </w:rPr>
              <w:t>；</w:t>
            </w:r>
          </w:p>
          <w:p w14:paraId="618692A9">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5.税收缴纳证明：自202</w:t>
            </w:r>
            <w:r>
              <w:rPr>
                <w:rFonts w:hint="eastAsia" w:ascii="宋体" w:hAnsi="宋体" w:cs="宋体"/>
                <w:color w:val="000000" w:themeColor="text1"/>
                <w:sz w:val="22"/>
                <w:szCs w:val="22"/>
                <w:lang w:val="en-US" w:eastAsia="zh-CN"/>
                <w14:textFill>
                  <w14:solidFill>
                    <w14:schemeClr w14:val="tx1"/>
                  </w14:solidFill>
                </w14:textFill>
              </w:rPr>
              <w:t>5</w:t>
            </w:r>
            <w:r>
              <w:rPr>
                <w:rFonts w:hint="eastAsia" w:ascii="宋体" w:hAnsi="宋体" w:eastAsia="宋体" w:cs="宋体"/>
                <w:color w:val="000000" w:themeColor="text1"/>
                <w:sz w:val="22"/>
                <w:szCs w:val="22"/>
                <w14:textFill>
                  <w14:solidFill>
                    <w14:schemeClr w14:val="tx1"/>
                  </w14:solidFill>
                </w14:textFill>
              </w:rPr>
              <w:t>年</w:t>
            </w:r>
            <w:r>
              <w:rPr>
                <w:rFonts w:hint="eastAsia" w:ascii="宋体" w:hAnsi="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月1日以来已缴纳的至少一个月的纳税证明或完税证明，纳税证明或完税证明上应有代收机构或税务机关的公章。依法免税的供应商应提供相关文件证明；</w:t>
            </w:r>
          </w:p>
          <w:p w14:paraId="6963C0A7">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6.社会保障资金缴纳证明：自202</w:t>
            </w:r>
            <w:r>
              <w:rPr>
                <w:rFonts w:hint="eastAsia" w:ascii="宋体" w:hAnsi="宋体" w:cs="宋体"/>
                <w:color w:val="000000" w:themeColor="text1"/>
                <w:sz w:val="22"/>
                <w:szCs w:val="22"/>
                <w:lang w:val="en-US" w:eastAsia="zh-CN"/>
                <w14:textFill>
                  <w14:solidFill>
                    <w14:schemeClr w14:val="tx1"/>
                  </w14:solidFill>
                </w14:textFill>
              </w:rPr>
              <w:t>5</w:t>
            </w:r>
            <w:r>
              <w:rPr>
                <w:rFonts w:hint="eastAsia" w:ascii="宋体" w:hAnsi="宋体" w:eastAsia="宋体" w:cs="宋体"/>
                <w:color w:val="000000" w:themeColor="text1"/>
                <w:sz w:val="22"/>
                <w:szCs w:val="22"/>
                <w14:textFill>
                  <w14:solidFill>
                    <w14:schemeClr w14:val="tx1"/>
                  </w14:solidFill>
                </w14:textFill>
              </w:rPr>
              <w:t>年</w:t>
            </w:r>
            <w:r>
              <w:rPr>
                <w:rFonts w:hint="eastAsia" w:ascii="宋体" w:hAnsi="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月1日以来已缴存的至少一个月的社会保障资金缴存单据或社保机构开具的社会保险参保缴费情况证明，依法不需要缴纳社会保障资金的供应商应提供相关文件证明；</w:t>
            </w:r>
          </w:p>
          <w:p w14:paraId="6997262E">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7.财务状况报告：提供</w:t>
            </w:r>
            <w:r>
              <w:rPr>
                <w:rFonts w:hint="eastAsia" w:ascii="宋体" w:hAnsi="宋体" w:eastAsia="宋体" w:cs="宋体"/>
                <w:color w:val="000000" w:themeColor="text1"/>
                <w:sz w:val="22"/>
                <w:szCs w:val="22"/>
                <w:lang w:val="en-US" w:eastAsia="zh-CN"/>
                <w14:textFill>
                  <w14:solidFill>
                    <w14:schemeClr w14:val="tx1"/>
                  </w14:solidFill>
                </w14:textFill>
              </w:rPr>
              <w:t>202</w:t>
            </w:r>
            <w:r>
              <w:rPr>
                <w:rFonts w:hint="eastAsia" w:ascii="宋体" w:hAnsi="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或20</w:t>
            </w:r>
            <w:r>
              <w:rPr>
                <w:rFonts w:hint="eastAsia" w:ascii="宋体" w:hAnsi="宋体" w:eastAsia="宋体" w:cs="宋体"/>
                <w:color w:val="000000" w:themeColor="text1"/>
                <w:sz w:val="22"/>
                <w:szCs w:val="22"/>
                <w:lang w:val="en-US" w:eastAsia="zh-CN"/>
                <w14:textFill>
                  <w14:solidFill>
                    <w14:schemeClr w14:val="tx1"/>
                  </w14:solidFill>
                </w14:textFill>
              </w:rPr>
              <w:t>2</w:t>
            </w:r>
            <w:r>
              <w:rPr>
                <w:rFonts w:hint="eastAsia" w:ascii="宋体" w:hAnsi="宋体" w:cs="宋体"/>
                <w:color w:val="000000" w:themeColor="text1"/>
                <w:sz w:val="22"/>
                <w:szCs w:val="22"/>
                <w:lang w:val="en-US" w:eastAsia="zh-CN"/>
                <w14:textFill>
                  <w14:solidFill>
                    <w14:schemeClr w14:val="tx1"/>
                  </w14:solidFill>
                </w14:textFill>
              </w:rPr>
              <w:t>4</w:t>
            </w:r>
            <w:r>
              <w:rPr>
                <w:rFonts w:hint="eastAsia" w:ascii="宋体" w:hAnsi="宋体" w:eastAsia="宋体" w:cs="宋体"/>
                <w:color w:val="000000" w:themeColor="text1"/>
                <w:sz w:val="22"/>
                <w:szCs w:val="22"/>
                <w14:textFill>
                  <w14:solidFill>
                    <w14:schemeClr w14:val="tx1"/>
                  </w14:solidFill>
                </w14:textFill>
              </w:rPr>
              <w:t>年度经审计的财务报告（至少包括审计报告、资产负债表和利润表，成立时间至提交投标文件截止时间不足一年的可提供成立后任意时段的资产负债表）或其开标前三个月内基本存款账户开户银行出具的资信证明；</w:t>
            </w:r>
          </w:p>
          <w:p w14:paraId="08B750BB">
            <w:pPr>
              <w:spacing w:line="360" w:lineRule="auto"/>
              <w:ind w:firstLine="440" w:firstLineChars="200"/>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8</w:t>
            </w: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根据财政部《关于在政府采购活动中查询及使用信用记录有关问题的通知》（财库〔2016〕125号）要求，供应商不得被列入【信用中国（https://www.creditchina.gov.cn/xinxigongshi/）】“重大税收违法失信主体名单”，【中国执行信息公开网（https://zxgk.court.gov.cn/）】“失信被执行人”，【中国政府采购网（www.ccgp.gov.cn）】“政府采购严重违法失信行为记录名单”；</w:t>
            </w:r>
          </w:p>
          <w:p w14:paraId="7D137BF9">
            <w:pPr>
              <w:spacing w:line="360" w:lineRule="auto"/>
              <w:ind w:firstLine="440" w:firstLineChars="200"/>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9.提供投标保证金的银行转账或电汇凭证并确保投标文件递交截止时间前到达采购文件指定账户；</w:t>
            </w:r>
          </w:p>
          <w:p w14:paraId="634C6230">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10</w:t>
            </w:r>
            <w:r>
              <w:rPr>
                <w:rFonts w:hint="eastAsia" w:ascii="宋体" w:hAnsi="宋体" w:eastAsia="宋体" w:cs="宋体"/>
                <w:color w:val="000000" w:themeColor="text1"/>
                <w:sz w:val="22"/>
                <w:szCs w:val="22"/>
                <w14:textFill>
                  <w14:solidFill>
                    <w14:schemeClr w14:val="tx1"/>
                  </w14:solidFill>
                </w14:textFill>
              </w:rPr>
              <w:t>.本项目不接受联合体投标。</w:t>
            </w:r>
          </w:p>
        </w:tc>
      </w:tr>
      <w:tr w14:paraId="4C04020E">
        <w:tblPrEx>
          <w:tblCellMar>
            <w:top w:w="0" w:type="dxa"/>
            <w:left w:w="108" w:type="dxa"/>
            <w:bottom w:w="0" w:type="dxa"/>
            <w:right w:w="108" w:type="dxa"/>
          </w:tblCellMar>
        </w:tblPrEx>
        <w:trPr>
          <w:trHeight w:val="717"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3A894126">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1.4.2</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55F8C705">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是否接受联合体投标</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6D48801B">
            <w:pPr>
              <w:spacing w:line="360" w:lineRule="auto"/>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不接受</w:t>
            </w:r>
          </w:p>
        </w:tc>
      </w:tr>
      <w:tr w14:paraId="63E0B27D">
        <w:tblPrEx>
          <w:tblCellMar>
            <w:top w:w="0" w:type="dxa"/>
            <w:left w:w="108" w:type="dxa"/>
            <w:bottom w:w="0" w:type="dxa"/>
            <w:right w:w="108" w:type="dxa"/>
          </w:tblCellMar>
        </w:tblPrEx>
        <w:trPr>
          <w:trHeight w:val="514"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2DCF46B1">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1.9.1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D402114">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踏勘现场</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61F57036">
            <w:pPr>
              <w:pStyle w:val="10"/>
              <w:topLinePunct/>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不组织</w:t>
            </w:r>
          </w:p>
        </w:tc>
      </w:tr>
      <w:tr w14:paraId="70CA8797">
        <w:tblPrEx>
          <w:tblCellMar>
            <w:top w:w="0" w:type="dxa"/>
            <w:left w:w="108" w:type="dxa"/>
            <w:bottom w:w="0" w:type="dxa"/>
            <w:right w:w="108" w:type="dxa"/>
          </w:tblCellMar>
        </w:tblPrEx>
        <w:trPr>
          <w:trHeight w:val="423"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19C62B0E">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1.10.1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2530BCD">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投标预备会</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1775E4A5">
            <w:pPr>
              <w:pStyle w:val="10"/>
              <w:topLinePunct/>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不召开</w:t>
            </w:r>
          </w:p>
        </w:tc>
      </w:tr>
      <w:tr w14:paraId="282EC1C4">
        <w:tblPrEx>
          <w:tblCellMar>
            <w:top w:w="0" w:type="dxa"/>
            <w:left w:w="108" w:type="dxa"/>
            <w:bottom w:w="0" w:type="dxa"/>
            <w:right w:w="108" w:type="dxa"/>
          </w:tblCellMar>
        </w:tblPrEx>
        <w:trPr>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280BB407">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1.10.2</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17717468">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投标人提出问题的截止时间</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1683BCFF">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投标截止时间至少</w:t>
            </w:r>
            <w:r>
              <w:rPr>
                <w:rFonts w:hint="eastAsia" w:ascii="宋体" w:hAnsi="宋体" w:cs="宋体"/>
                <w:color w:val="000000" w:themeColor="text1"/>
                <w:sz w:val="22"/>
                <w:szCs w:val="22"/>
                <w:lang w:val="en-US" w:eastAsia="zh-CN"/>
                <w14:textFill>
                  <w14:solidFill>
                    <w14:schemeClr w14:val="tx1"/>
                  </w14:solidFill>
                </w14:textFill>
              </w:rPr>
              <w:t>15</w:t>
            </w:r>
            <w:r>
              <w:rPr>
                <w:rFonts w:hint="eastAsia" w:ascii="宋体" w:hAnsi="宋体" w:eastAsia="宋体" w:cs="宋体"/>
                <w:color w:val="000000" w:themeColor="text1"/>
                <w:sz w:val="22"/>
                <w:szCs w:val="22"/>
                <w14:textFill>
                  <w14:solidFill>
                    <w14:schemeClr w14:val="tx1"/>
                  </w14:solidFill>
                </w14:textFill>
              </w:rPr>
              <w:t>日前</w:t>
            </w:r>
          </w:p>
        </w:tc>
      </w:tr>
      <w:tr w14:paraId="1B3FCF13">
        <w:tblPrEx>
          <w:tblCellMar>
            <w:top w:w="0" w:type="dxa"/>
            <w:left w:w="108" w:type="dxa"/>
            <w:bottom w:w="0" w:type="dxa"/>
            <w:right w:w="108" w:type="dxa"/>
          </w:tblCellMar>
        </w:tblPrEx>
        <w:trPr>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59942E9D">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1.10.3</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633C98B">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采购人书面澄清的时间</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081E4D96">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投标截止时间至少15日前</w:t>
            </w:r>
          </w:p>
        </w:tc>
      </w:tr>
      <w:tr w14:paraId="510A3AFC">
        <w:tblPrEx>
          <w:tblCellMar>
            <w:top w:w="0" w:type="dxa"/>
            <w:left w:w="108" w:type="dxa"/>
            <w:bottom w:w="0" w:type="dxa"/>
            <w:right w:w="108" w:type="dxa"/>
          </w:tblCellMar>
        </w:tblPrEx>
        <w:trPr>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3134B1A4">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1.10.4</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692EAA4C">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获取</w:t>
            </w:r>
            <w:r>
              <w:rPr>
                <w:rFonts w:hint="eastAsia" w:ascii="宋体" w:hAnsi="宋体" w:eastAsia="宋体" w:cs="宋体"/>
                <w:color w:val="000000" w:themeColor="text1"/>
                <w:sz w:val="22"/>
                <w:szCs w:val="22"/>
                <w14:textFill>
                  <w14:solidFill>
                    <w14:schemeClr w14:val="tx1"/>
                  </w14:solidFill>
                </w14:textFill>
              </w:rPr>
              <w:t>招标文件的时间、地点</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72A86A58">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时间：202</w:t>
            </w:r>
            <w:r>
              <w:rPr>
                <w:rFonts w:hint="eastAsia" w:ascii="宋体" w:hAnsi="宋体" w:cs="宋体"/>
                <w:color w:val="000000" w:themeColor="text1"/>
                <w:sz w:val="22"/>
                <w:szCs w:val="22"/>
                <w:lang w:val="en-US" w:eastAsia="zh-CN"/>
                <w14:textFill>
                  <w14:solidFill>
                    <w14:schemeClr w14:val="tx1"/>
                  </w14:solidFill>
                </w14:textFill>
              </w:rPr>
              <w:t>5</w:t>
            </w:r>
            <w:r>
              <w:rPr>
                <w:rFonts w:hint="eastAsia" w:ascii="宋体" w:hAnsi="宋体" w:eastAsia="宋体" w:cs="宋体"/>
                <w:color w:val="000000" w:themeColor="text1"/>
                <w:sz w:val="22"/>
                <w:szCs w:val="22"/>
                <w:lang w:val="en-US" w:eastAsia="zh-CN"/>
                <w14:textFill>
                  <w14:solidFill>
                    <w14:schemeClr w14:val="tx1"/>
                  </w14:solidFill>
                </w14:textFill>
              </w:rPr>
              <w:t>年</w:t>
            </w:r>
            <w:r>
              <w:rPr>
                <w:rFonts w:hint="eastAsia" w:ascii="宋体" w:hAnsi="宋体" w:cs="宋体"/>
                <w:color w:val="000000" w:themeColor="text1"/>
                <w:sz w:val="22"/>
                <w:szCs w:val="22"/>
                <w:lang w:val="en-US" w:eastAsia="zh-CN"/>
                <w14:textFill>
                  <w14:solidFill>
                    <w14:schemeClr w14:val="tx1"/>
                  </w14:solidFill>
                </w14:textFill>
              </w:rPr>
              <w:t>9</w:t>
            </w:r>
            <w:r>
              <w:rPr>
                <w:rFonts w:hint="eastAsia" w:ascii="宋体" w:hAnsi="宋体" w:eastAsia="宋体" w:cs="宋体"/>
                <w:color w:val="000000" w:themeColor="text1"/>
                <w:sz w:val="22"/>
                <w:szCs w:val="22"/>
                <w:lang w:val="en-US" w:eastAsia="zh-CN"/>
                <w14:textFill>
                  <w14:solidFill>
                    <w14:schemeClr w14:val="tx1"/>
                  </w14:solidFill>
                </w14:textFill>
              </w:rPr>
              <w:t>月</w:t>
            </w:r>
            <w:r>
              <w:rPr>
                <w:rFonts w:hint="eastAsia" w:ascii="宋体" w:hAnsi="宋体" w:cs="宋体"/>
                <w:color w:val="000000" w:themeColor="text1"/>
                <w:sz w:val="22"/>
                <w:szCs w:val="22"/>
                <w:lang w:val="en-US" w:eastAsia="zh-CN"/>
                <w14:textFill>
                  <w14:solidFill>
                    <w14:schemeClr w14:val="tx1"/>
                  </w14:solidFill>
                </w14:textFill>
              </w:rPr>
              <w:t>25</w:t>
            </w:r>
            <w:r>
              <w:rPr>
                <w:rFonts w:hint="eastAsia" w:ascii="宋体" w:hAnsi="宋体" w:eastAsia="宋体" w:cs="宋体"/>
                <w:color w:val="000000" w:themeColor="text1"/>
                <w:sz w:val="22"/>
                <w:szCs w:val="22"/>
                <w:lang w:val="en-US" w:eastAsia="zh-CN"/>
                <w14:textFill>
                  <w14:solidFill>
                    <w14:schemeClr w14:val="tx1"/>
                  </w14:solidFill>
                </w14:textFill>
              </w:rPr>
              <w:t>日8时00分至 202</w:t>
            </w:r>
            <w:r>
              <w:rPr>
                <w:rFonts w:hint="eastAsia" w:ascii="宋体" w:hAnsi="宋体" w:cs="宋体"/>
                <w:color w:val="000000" w:themeColor="text1"/>
                <w:sz w:val="22"/>
                <w:szCs w:val="22"/>
                <w:lang w:val="en-US" w:eastAsia="zh-CN"/>
                <w14:textFill>
                  <w14:solidFill>
                    <w14:schemeClr w14:val="tx1"/>
                  </w14:solidFill>
                </w14:textFill>
              </w:rPr>
              <w:t>5</w:t>
            </w:r>
            <w:r>
              <w:rPr>
                <w:rFonts w:hint="eastAsia" w:ascii="宋体" w:hAnsi="宋体" w:eastAsia="宋体" w:cs="宋体"/>
                <w:color w:val="000000" w:themeColor="text1"/>
                <w:sz w:val="22"/>
                <w:szCs w:val="22"/>
                <w:lang w:val="en-US" w:eastAsia="zh-CN"/>
                <w14:textFill>
                  <w14:solidFill>
                    <w14:schemeClr w14:val="tx1"/>
                  </w14:solidFill>
                </w14:textFill>
              </w:rPr>
              <w:t>年</w:t>
            </w:r>
            <w:r>
              <w:rPr>
                <w:rFonts w:hint="eastAsia" w:ascii="宋体" w:hAnsi="宋体" w:cs="宋体"/>
                <w:color w:val="000000" w:themeColor="text1"/>
                <w:sz w:val="22"/>
                <w:szCs w:val="22"/>
                <w:lang w:val="en-US" w:eastAsia="zh-CN"/>
                <w14:textFill>
                  <w14:solidFill>
                    <w14:schemeClr w14:val="tx1"/>
                  </w14:solidFill>
                </w14:textFill>
              </w:rPr>
              <w:t>9</w:t>
            </w:r>
            <w:r>
              <w:rPr>
                <w:rFonts w:hint="eastAsia" w:ascii="宋体" w:hAnsi="宋体" w:eastAsia="宋体" w:cs="宋体"/>
                <w:color w:val="000000" w:themeColor="text1"/>
                <w:sz w:val="22"/>
                <w:szCs w:val="22"/>
                <w:lang w:val="en-US" w:eastAsia="zh-CN"/>
                <w14:textFill>
                  <w14:solidFill>
                    <w14:schemeClr w14:val="tx1"/>
                  </w14:solidFill>
                </w14:textFill>
              </w:rPr>
              <w:t>月</w:t>
            </w:r>
            <w:r>
              <w:rPr>
                <w:rFonts w:hint="eastAsia" w:ascii="宋体" w:hAnsi="宋体" w:cs="宋体"/>
                <w:color w:val="000000" w:themeColor="text1"/>
                <w:sz w:val="22"/>
                <w:szCs w:val="22"/>
                <w:lang w:val="en-US" w:eastAsia="zh-CN"/>
                <w14:textFill>
                  <w14:solidFill>
                    <w14:schemeClr w14:val="tx1"/>
                  </w14:solidFill>
                </w14:textFill>
              </w:rPr>
              <w:t>30</w:t>
            </w:r>
            <w:r>
              <w:rPr>
                <w:rFonts w:hint="eastAsia" w:ascii="宋体" w:hAnsi="宋体" w:eastAsia="宋体" w:cs="宋体"/>
                <w:color w:val="000000" w:themeColor="text1"/>
                <w:sz w:val="22"/>
                <w:szCs w:val="22"/>
                <w:lang w:val="en-US" w:eastAsia="zh-CN"/>
                <w14:textFill>
                  <w14:solidFill>
                    <w14:schemeClr w14:val="tx1"/>
                  </w14:solidFill>
                </w14:textFill>
              </w:rPr>
              <w:t>日18时00分（北京时间）持CA锁在《全国公共资源交易平台（陕西省·延安市）》电子招投标系统报名，报名成功后在《全国公共资源交易平台（陕西省·延安市）》下载招标文件。</w:t>
            </w:r>
          </w:p>
        </w:tc>
      </w:tr>
      <w:tr w14:paraId="55623BE9">
        <w:tblPrEx>
          <w:tblCellMar>
            <w:top w:w="0" w:type="dxa"/>
            <w:left w:w="108" w:type="dxa"/>
            <w:bottom w:w="0" w:type="dxa"/>
            <w:right w:w="108" w:type="dxa"/>
          </w:tblCellMar>
        </w:tblPrEx>
        <w:trPr>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24CED8A1">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2.1.1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BA8F5A7">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招标文件的组成</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34CB3747">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（1）招标公告；</w:t>
            </w:r>
          </w:p>
          <w:p w14:paraId="1EE18D72">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（2）投标人须知；</w:t>
            </w:r>
          </w:p>
          <w:p w14:paraId="5CAB21AD">
            <w:pPr>
              <w:spacing w:line="360" w:lineRule="auto"/>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投标人资格证明文件及审核</w:t>
            </w:r>
            <w:r>
              <w:rPr>
                <w:rFonts w:hint="eastAsia" w:ascii="宋体" w:hAnsi="宋体" w:eastAsia="宋体" w:cs="宋体"/>
                <w:color w:val="000000" w:themeColor="text1"/>
                <w:sz w:val="22"/>
                <w:szCs w:val="22"/>
                <w:lang w:eastAsia="zh-CN"/>
                <w14:textFill>
                  <w14:solidFill>
                    <w14:schemeClr w14:val="tx1"/>
                  </w14:solidFill>
                </w14:textFill>
              </w:rPr>
              <w:t>；</w:t>
            </w:r>
          </w:p>
          <w:p w14:paraId="04343026">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4</w:t>
            </w:r>
            <w:r>
              <w:rPr>
                <w:rFonts w:hint="eastAsia" w:ascii="宋体" w:hAnsi="宋体" w:eastAsia="宋体" w:cs="宋体"/>
                <w:color w:val="000000" w:themeColor="text1"/>
                <w:sz w:val="22"/>
                <w:szCs w:val="22"/>
                <w14:textFill>
                  <w14:solidFill>
                    <w14:schemeClr w14:val="tx1"/>
                  </w14:solidFill>
                </w14:textFill>
              </w:rPr>
              <w:t>）评标办法前附表及评标办法；</w:t>
            </w:r>
          </w:p>
          <w:p w14:paraId="24BAB22C">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5</w:t>
            </w:r>
            <w:r>
              <w:rPr>
                <w:rFonts w:hint="eastAsia" w:ascii="宋体" w:hAnsi="宋体" w:eastAsia="宋体" w:cs="宋体"/>
                <w:color w:val="000000" w:themeColor="text1"/>
                <w:sz w:val="22"/>
                <w:szCs w:val="22"/>
                <w14:textFill>
                  <w14:solidFill>
                    <w14:schemeClr w14:val="tx1"/>
                  </w14:solidFill>
                </w14:textFill>
              </w:rPr>
              <w:t>）合同（拟签订</w:t>
            </w:r>
            <w:r>
              <w:rPr>
                <w:rFonts w:hint="eastAsia" w:ascii="宋体" w:hAnsi="宋体" w:cs="宋体"/>
                <w:color w:val="000000" w:themeColor="text1"/>
                <w:sz w:val="22"/>
                <w:szCs w:val="22"/>
                <w:lang w:val="en-US" w:eastAsia="zh-CN"/>
                <w14:textFill>
                  <w14:solidFill>
                    <w14:schemeClr w14:val="tx1"/>
                  </w14:solidFill>
                </w14:textFill>
              </w:rPr>
              <w:t>合同</w:t>
            </w:r>
            <w:r>
              <w:rPr>
                <w:rFonts w:hint="eastAsia" w:ascii="宋体" w:hAnsi="宋体" w:eastAsia="宋体" w:cs="宋体"/>
                <w:color w:val="000000" w:themeColor="text1"/>
                <w:sz w:val="22"/>
                <w:szCs w:val="22"/>
                <w14:textFill>
                  <w14:solidFill>
                    <w14:schemeClr w14:val="tx1"/>
                  </w14:solidFill>
                </w14:textFill>
              </w:rPr>
              <w:t>文本）；</w:t>
            </w:r>
          </w:p>
          <w:p w14:paraId="6DFB8B61">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6</w:t>
            </w:r>
            <w:r>
              <w:rPr>
                <w:rFonts w:hint="eastAsia" w:ascii="宋体" w:hAnsi="宋体" w:eastAsia="宋体" w:cs="宋体"/>
                <w:color w:val="000000" w:themeColor="text1"/>
                <w:sz w:val="22"/>
                <w:szCs w:val="22"/>
                <w14:textFill>
                  <w14:solidFill>
                    <w14:schemeClr w14:val="tx1"/>
                  </w14:solidFill>
                </w14:textFill>
              </w:rPr>
              <w:t>）技术要求；</w:t>
            </w:r>
          </w:p>
          <w:p w14:paraId="62D02ED5">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7</w:t>
            </w:r>
            <w:r>
              <w:rPr>
                <w:rFonts w:hint="eastAsia" w:ascii="宋体" w:hAnsi="宋体" w:eastAsia="宋体" w:cs="宋体"/>
                <w:color w:val="000000" w:themeColor="text1"/>
                <w:sz w:val="22"/>
                <w:szCs w:val="22"/>
                <w14:textFill>
                  <w14:solidFill>
                    <w14:schemeClr w14:val="tx1"/>
                  </w14:solidFill>
                </w14:textFill>
              </w:rPr>
              <w:t>）投标文件格式。</w:t>
            </w:r>
          </w:p>
        </w:tc>
      </w:tr>
      <w:tr w14:paraId="5FAB2F8F">
        <w:tblPrEx>
          <w:tblCellMar>
            <w:top w:w="0" w:type="dxa"/>
            <w:left w:w="108" w:type="dxa"/>
            <w:bottom w:w="0" w:type="dxa"/>
            <w:right w:w="108" w:type="dxa"/>
          </w:tblCellMar>
        </w:tblPrEx>
        <w:trPr>
          <w:trHeight w:val="9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4067F159">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2.2.1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2ECCFB1">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投标人要求澄清招标文件的截止时间</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29E6F062">
            <w:pPr>
              <w:spacing w:line="360" w:lineRule="auto"/>
              <w:rPr>
                <w:rFonts w:hint="eastAsia" w:ascii="宋体" w:hAnsi="宋体" w:eastAsia="宋体" w:cs="宋体"/>
                <w:color w:val="000000" w:themeColor="text1"/>
                <w:spacing w:val="-8"/>
                <w:sz w:val="22"/>
                <w:szCs w:val="22"/>
                <w14:textFill>
                  <w14:solidFill>
                    <w14:schemeClr w14:val="tx1"/>
                  </w14:solidFill>
                </w14:textFill>
              </w:rPr>
            </w:pPr>
            <w:r>
              <w:rPr>
                <w:rFonts w:hint="eastAsia" w:ascii="宋体" w:hAnsi="宋体" w:eastAsia="宋体" w:cs="宋体"/>
                <w:color w:val="000000" w:themeColor="text1"/>
                <w:spacing w:val="-8"/>
                <w:sz w:val="22"/>
                <w:szCs w:val="22"/>
                <w14:textFill>
                  <w14:solidFill>
                    <w14:schemeClr w14:val="tx1"/>
                  </w14:solidFill>
                </w14:textFill>
              </w:rPr>
              <w:t>投标截止</w:t>
            </w:r>
            <w:r>
              <w:rPr>
                <w:rFonts w:hint="eastAsia" w:ascii="宋体" w:hAnsi="宋体" w:cs="宋体"/>
                <w:color w:val="000000" w:themeColor="text1"/>
                <w:spacing w:val="-8"/>
                <w:sz w:val="22"/>
                <w:szCs w:val="22"/>
                <w:lang w:val="en-US" w:eastAsia="zh-CN"/>
                <w14:textFill>
                  <w14:solidFill>
                    <w14:schemeClr w14:val="tx1"/>
                  </w14:solidFill>
                </w14:textFill>
              </w:rPr>
              <w:t>时间 前15日</w:t>
            </w:r>
            <w:r>
              <w:rPr>
                <w:rFonts w:hint="eastAsia" w:ascii="宋体" w:hAnsi="宋体" w:eastAsia="宋体" w:cs="宋体"/>
                <w:color w:val="000000" w:themeColor="text1"/>
                <w:spacing w:val="-8"/>
                <w:sz w:val="22"/>
                <w:szCs w:val="22"/>
                <w14:textFill>
                  <w14:solidFill>
                    <w14:schemeClr w14:val="tx1"/>
                  </w14:solidFill>
                </w14:textFill>
              </w:rPr>
              <w:t>以书面形式通知采购代理机构（471993164@qq.com），并电话确认代理公司相关联系人收到答疑书面文件。</w:t>
            </w:r>
          </w:p>
        </w:tc>
      </w:tr>
      <w:tr w14:paraId="2DBFFABF">
        <w:tblPrEx>
          <w:tblCellMar>
            <w:top w:w="0" w:type="dxa"/>
            <w:left w:w="108" w:type="dxa"/>
            <w:bottom w:w="0" w:type="dxa"/>
            <w:right w:w="108" w:type="dxa"/>
          </w:tblCellMar>
        </w:tblPrEx>
        <w:trPr>
          <w:trHeight w:val="553"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6DD347FF">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2.2.2</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D8281E8">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投标截止时间</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5FCA9E47">
            <w:pPr>
              <w:spacing w:line="360" w:lineRule="auto"/>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2025年10月16日09时00分00秒（北京时间）</w:t>
            </w:r>
          </w:p>
        </w:tc>
      </w:tr>
      <w:tr w14:paraId="062FFF4A">
        <w:tblPrEx>
          <w:tblCellMar>
            <w:top w:w="0" w:type="dxa"/>
            <w:left w:w="108" w:type="dxa"/>
            <w:bottom w:w="0" w:type="dxa"/>
            <w:right w:w="108" w:type="dxa"/>
          </w:tblCellMar>
        </w:tblPrEx>
        <w:trPr>
          <w:trHeight w:val="1584"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5DE3C35E">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 2.2.4</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1E82EA0">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投标人确认收到招标文件澄清的时间</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525FB316">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收到澄清文件当日内完成</w:t>
            </w:r>
          </w:p>
        </w:tc>
      </w:tr>
      <w:tr w14:paraId="5103DE42">
        <w:tblPrEx>
          <w:tblCellMar>
            <w:top w:w="0" w:type="dxa"/>
            <w:left w:w="108" w:type="dxa"/>
            <w:bottom w:w="0" w:type="dxa"/>
            <w:right w:w="108" w:type="dxa"/>
          </w:tblCellMar>
        </w:tblPrEx>
        <w:trPr>
          <w:trHeight w:val="758"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63030109">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2.3.2</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209D76EC">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投标人确认收到招标文件修改的时间</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5D5295F3">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收到修改文件当日内完成</w:t>
            </w:r>
          </w:p>
        </w:tc>
      </w:tr>
      <w:tr w14:paraId="34BF5124">
        <w:tblPrEx>
          <w:tblCellMar>
            <w:top w:w="0" w:type="dxa"/>
            <w:left w:w="108" w:type="dxa"/>
            <w:bottom w:w="0" w:type="dxa"/>
            <w:right w:w="108" w:type="dxa"/>
          </w:tblCellMar>
        </w:tblPrEx>
        <w:trPr>
          <w:trHeight w:val="428"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7BDCFECF">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3.3.1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791D011">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投标有效期</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2377227E">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自开标大会之日起不得少于90天</w:t>
            </w:r>
          </w:p>
        </w:tc>
      </w:tr>
      <w:tr w14:paraId="37E658A4">
        <w:tblPrEx>
          <w:tblCellMar>
            <w:top w:w="0" w:type="dxa"/>
            <w:left w:w="108" w:type="dxa"/>
            <w:bottom w:w="0" w:type="dxa"/>
            <w:right w:w="108" w:type="dxa"/>
          </w:tblCellMar>
        </w:tblPrEx>
        <w:trPr>
          <w:trHeight w:val="568"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1712E6C9">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3.4.1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5964BA98">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投标保证金</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3E10F6B2">
            <w:pPr>
              <w:pageBreakBefore w:val="0"/>
              <w:widowControl w:val="0"/>
              <w:wordWrap/>
              <w:topLinePunct w:val="0"/>
              <w:bidi w:val="0"/>
              <w:spacing w:line="360" w:lineRule="auto"/>
              <w:jc w:val="both"/>
              <w:rPr>
                <w:rFonts w:hint="eastAsia" w:ascii="宋体" w:hAnsi="宋体" w:eastAsia="宋体" w:cs="宋体"/>
                <w:b/>
                <w:bCs/>
                <w:color w:val="000000" w:themeColor="text1"/>
                <w:kern w:val="2"/>
                <w:sz w:val="22"/>
                <w:szCs w:val="22"/>
                <w:u w:val="none"/>
                <w:lang w:eastAsia="zh-CN"/>
                <w14:textFill>
                  <w14:solidFill>
                    <w14:schemeClr w14:val="tx1"/>
                  </w14:solidFill>
                </w14:textFill>
              </w:rPr>
            </w:pPr>
            <w:r>
              <w:rPr>
                <w:rFonts w:hint="eastAsia" w:ascii="宋体" w:hAnsi="宋体" w:eastAsia="宋体" w:cs="宋体"/>
                <w:b/>
                <w:bCs/>
                <w:color w:val="000000" w:themeColor="text1"/>
                <w:kern w:val="2"/>
                <w:sz w:val="22"/>
                <w:szCs w:val="22"/>
                <w:lang w:val="en-US" w:eastAsia="zh-CN"/>
                <w14:textFill>
                  <w14:solidFill>
                    <w14:schemeClr w14:val="tx1"/>
                  </w14:solidFill>
                </w14:textFill>
              </w:rPr>
              <w:t>投标</w:t>
            </w:r>
            <w:r>
              <w:rPr>
                <w:rFonts w:hint="eastAsia" w:ascii="宋体" w:hAnsi="宋体" w:eastAsia="宋体" w:cs="宋体"/>
                <w:b/>
                <w:bCs/>
                <w:color w:val="000000" w:themeColor="text1"/>
                <w:kern w:val="2"/>
                <w:sz w:val="22"/>
                <w:szCs w:val="22"/>
                <w14:textFill>
                  <w14:solidFill>
                    <w14:schemeClr w14:val="tx1"/>
                  </w14:solidFill>
                </w14:textFill>
              </w:rPr>
              <w:t>保证金：</w:t>
            </w:r>
            <w:r>
              <w:rPr>
                <w:rFonts w:hint="eastAsia" w:ascii="宋体" w:hAnsi="宋体" w:cs="宋体"/>
                <w:b/>
                <w:bCs/>
                <w:color w:val="000000" w:themeColor="text1"/>
                <w:kern w:val="2"/>
                <w:sz w:val="22"/>
                <w:szCs w:val="22"/>
                <w:lang w:val="en-US" w:eastAsia="zh-CN"/>
                <w14:textFill>
                  <w14:solidFill>
                    <w14:schemeClr w14:val="tx1"/>
                  </w14:solidFill>
                </w14:textFill>
              </w:rPr>
              <w:t>10</w:t>
            </w:r>
            <w:r>
              <w:rPr>
                <w:rFonts w:hint="eastAsia" w:ascii="宋体" w:hAnsi="宋体" w:eastAsia="宋体" w:cs="宋体"/>
                <w:b/>
                <w:bCs/>
                <w:color w:val="000000" w:themeColor="text1"/>
                <w:kern w:val="2"/>
                <w:sz w:val="22"/>
                <w:szCs w:val="22"/>
                <w:lang w:val="en-US" w:eastAsia="zh-CN"/>
                <w14:textFill>
                  <w14:solidFill>
                    <w14:schemeClr w14:val="tx1"/>
                  </w14:solidFill>
                </w14:textFill>
              </w:rPr>
              <w:t>0000.00</w:t>
            </w:r>
            <w:r>
              <w:rPr>
                <w:rFonts w:hint="eastAsia" w:ascii="宋体" w:hAnsi="宋体" w:eastAsia="宋体" w:cs="宋体"/>
                <w:b/>
                <w:bCs/>
                <w:color w:val="000000" w:themeColor="text1"/>
                <w:kern w:val="2"/>
                <w:sz w:val="22"/>
                <w:szCs w:val="22"/>
                <w:u w:val="none"/>
                <w14:textFill>
                  <w14:solidFill>
                    <w14:schemeClr w14:val="tx1"/>
                  </w14:solidFill>
                </w14:textFill>
              </w:rPr>
              <w:t>元整</w:t>
            </w:r>
            <w:r>
              <w:rPr>
                <w:rFonts w:hint="eastAsia" w:ascii="宋体" w:hAnsi="宋体" w:eastAsia="宋体" w:cs="宋体"/>
                <w:b/>
                <w:bCs/>
                <w:color w:val="000000" w:themeColor="text1"/>
                <w:kern w:val="2"/>
                <w:sz w:val="22"/>
                <w:szCs w:val="22"/>
                <w:u w:val="none"/>
                <w:lang w:eastAsia="zh-CN"/>
                <w14:textFill>
                  <w14:solidFill>
                    <w14:schemeClr w14:val="tx1"/>
                  </w14:solidFill>
                </w14:textFill>
              </w:rPr>
              <w:t>（</w:t>
            </w:r>
            <w:r>
              <w:rPr>
                <w:rFonts w:hint="eastAsia" w:ascii="宋体" w:hAnsi="宋体" w:cs="宋体"/>
                <w:b/>
                <w:bCs/>
                <w:color w:val="000000" w:themeColor="text1"/>
                <w:kern w:val="2"/>
                <w:sz w:val="22"/>
                <w:szCs w:val="22"/>
                <w:u w:val="none"/>
                <w:lang w:val="en-US" w:eastAsia="zh-CN"/>
                <w14:textFill>
                  <w14:solidFill>
                    <w14:schemeClr w14:val="tx1"/>
                  </w14:solidFill>
                </w14:textFill>
              </w:rPr>
              <w:t>壹拾万元整</w:t>
            </w:r>
            <w:r>
              <w:rPr>
                <w:rFonts w:hint="eastAsia" w:ascii="宋体" w:hAnsi="宋体" w:eastAsia="宋体" w:cs="宋体"/>
                <w:b/>
                <w:bCs/>
                <w:color w:val="000000" w:themeColor="text1"/>
                <w:kern w:val="2"/>
                <w:sz w:val="22"/>
                <w:szCs w:val="22"/>
                <w:u w:val="none"/>
                <w:lang w:eastAsia="zh-CN"/>
                <w14:textFill>
                  <w14:solidFill>
                    <w14:schemeClr w14:val="tx1"/>
                  </w14:solidFill>
                </w14:textFill>
              </w:rPr>
              <w:t>）</w:t>
            </w:r>
          </w:p>
          <w:p w14:paraId="2A814112">
            <w:pPr>
              <w:pStyle w:val="13"/>
              <w:pageBreakBefore w:val="0"/>
              <w:wordWrap/>
              <w:topLinePunct w:val="0"/>
              <w:bidi w:val="0"/>
              <w:spacing w:line="360" w:lineRule="auto"/>
              <w:ind w:left="0" w:leftChars="0" w:firstLine="0" w:firstLineChars="0"/>
              <w:jc w:val="both"/>
              <w:rPr>
                <w:rFonts w:hint="eastAsia" w:ascii="宋体" w:hAnsi="宋体" w:eastAsia="宋体" w:cs="宋体"/>
                <w:b/>
                <w:bCs/>
                <w:color w:val="000000" w:themeColor="text1"/>
                <w:kern w:val="2"/>
                <w:sz w:val="22"/>
                <w:szCs w:val="22"/>
                <w14:textFill>
                  <w14:solidFill>
                    <w14:schemeClr w14:val="tx1"/>
                  </w14:solidFill>
                </w14:textFill>
              </w:rPr>
            </w:pPr>
            <w:r>
              <w:rPr>
                <w:rFonts w:hint="eastAsia" w:ascii="宋体" w:hAnsi="宋体" w:eastAsia="宋体" w:cs="宋体"/>
                <w:b/>
                <w:bCs/>
                <w:color w:val="000000" w:themeColor="text1"/>
                <w:kern w:val="2"/>
                <w:sz w:val="22"/>
                <w:szCs w:val="22"/>
                <w:lang w:val="en-US" w:eastAsia="zh-CN" w:bidi="ar-SA"/>
                <w14:textFill>
                  <w14:solidFill>
                    <w14:schemeClr w14:val="tx1"/>
                  </w14:solidFill>
                </w14:textFill>
              </w:rPr>
              <w:t>备注：</w:t>
            </w:r>
            <w:r>
              <w:rPr>
                <w:rFonts w:hint="eastAsia" w:ascii="宋体" w:hAnsi="宋体" w:cs="宋体"/>
                <w:b/>
                <w:bCs/>
                <w:color w:val="000000" w:themeColor="text1"/>
                <w:kern w:val="2"/>
                <w:sz w:val="22"/>
                <w:szCs w:val="22"/>
                <w:lang w:val="en-US" w:eastAsia="zh-CN" w:bidi="ar-SA"/>
                <w14:textFill>
                  <w14:solidFill>
                    <w14:schemeClr w14:val="tx1"/>
                  </w14:solidFill>
                </w14:textFill>
              </w:rPr>
              <w:t>SXCY2025-55</w:t>
            </w:r>
            <w:r>
              <w:rPr>
                <w:rFonts w:hint="eastAsia" w:ascii="宋体" w:hAnsi="宋体" w:eastAsia="宋体" w:cs="宋体"/>
                <w:b/>
                <w:bCs/>
                <w:color w:val="000000" w:themeColor="text1"/>
                <w:kern w:val="2"/>
                <w:sz w:val="22"/>
                <w:szCs w:val="22"/>
                <w:lang w:val="en-US" w:eastAsia="zh-CN" w:bidi="ar-SA"/>
                <w14:textFill>
                  <w14:solidFill>
                    <w14:schemeClr w14:val="tx1"/>
                  </w14:solidFill>
                </w14:textFill>
              </w:rPr>
              <w:t>投标保证金</w:t>
            </w:r>
          </w:p>
          <w:p w14:paraId="7EF64462">
            <w:pPr>
              <w:pageBreakBefore w:val="0"/>
              <w:widowControl w:val="0"/>
              <w:wordWrap/>
              <w:topLinePunct w:val="0"/>
              <w:bidi w:val="0"/>
              <w:spacing w:line="360" w:lineRule="auto"/>
              <w:ind w:firstLine="440" w:firstLineChars="20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2"/>
                <w:sz w:val="22"/>
                <w:szCs w:val="22"/>
                <w:lang w:val="en-US" w:eastAsia="zh-CN"/>
                <w14:textFill>
                  <w14:solidFill>
                    <w14:schemeClr w14:val="tx1"/>
                  </w14:solidFill>
                </w14:textFill>
              </w:rPr>
              <w:t>投标</w:t>
            </w:r>
            <w:r>
              <w:rPr>
                <w:rFonts w:hint="eastAsia" w:ascii="宋体" w:hAnsi="宋体" w:eastAsia="宋体" w:cs="宋体"/>
                <w:color w:val="000000" w:themeColor="text1"/>
                <w:kern w:val="2"/>
                <w:sz w:val="22"/>
                <w:szCs w:val="22"/>
                <w14:textFill>
                  <w14:solidFill>
                    <w14:schemeClr w14:val="tx1"/>
                  </w14:solidFill>
                </w14:textFill>
              </w:rPr>
              <w:t>保证金有效期限：</w:t>
            </w:r>
            <w:r>
              <w:rPr>
                <w:rFonts w:hint="eastAsia" w:ascii="宋体" w:hAnsi="宋体" w:eastAsia="宋体" w:cs="宋体"/>
                <w:color w:val="000000" w:themeColor="text1"/>
                <w:kern w:val="2"/>
                <w:sz w:val="22"/>
                <w:szCs w:val="22"/>
                <w:lang w:val="en-US" w:eastAsia="zh-CN"/>
                <w14:textFill>
                  <w14:solidFill>
                    <w14:schemeClr w14:val="tx1"/>
                  </w14:solidFill>
                </w14:textFill>
              </w:rPr>
              <w:t>投标</w:t>
            </w:r>
            <w:r>
              <w:rPr>
                <w:rFonts w:hint="eastAsia" w:ascii="宋体" w:hAnsi="宋体" w:eastAsia="宋体" w:cs="宋体"/>
                <w:color w:val="000000" w:themeColor="text1"/>
                <w:kern w:val="2"/>
                <w:sz w:val="22"/>
                <w:szCs w:val="22"/>
                <w14:textFill>
                  <w14:solidFill>
                    <w14:schemeClr w14:val="tx1"/>
                  </w14:solidFill>
                </w14:textFill>
              </w:rPr>
              <w:t>保证金的有效期与</w:t>
            </w:r>
            <w:r>
              <w:rPr>
                <w:rFonts w:hint="eastAsia" w:ascii="宋体" w:hAnsi="宋体" w:eastAsia="宋体" w:cs="宋体"/>
                <w:color w:val="000000" w:themeColor="text1"/>
                <w:kern w:val="2"/>
                <w:sz w:val="22"/>
                <w:szCs w:val="22"/>
                <w:lang w:val="en-US" w:eastAsia="zh-CN"/>
                <w14:textFill>
                  <w14:solidFill>
                    <w14:schemeClr w14:val="tx1"/>
                  </w14:solidFill>
                </w14:textFill>
              </w:rPr>
              <w:t>投标</w:t>
            </w:r>
            <w:r>
              <w:rPr>
                <w:rFonts w:hint="eastAsia" w:ascii="宋体" w:hAnsi="宋体" w:eastAsia="宋体" w:cs="宋体"/>
                <w:color w:val="000000" w:themeColor="text1"/>
                <w:kern w:val="2"/>
                <w:sz w:val="22"/>
                <w:szCs w:val="22"/>
                <w14:textFill>
                  <w14:solidFill>
                    <w14:schemeClr w14:val="tx1"/>
                  </w14:solidFill>
                </w14:textFill>
              </w:rPr>
              <w:t>有效期一致。</w:t>
            </w:r>
          </w:p>
          <w:p w14:paraId="7DC2A27C">
            <w:pPr>
              <w:pageBreakBefore w:val="0"/>
              <w:tabs>
                <w:tab w:val="left" w:pos="0"/>
              </w:tabs>
              <w:kinsoku w:val="0"/>
              <w:wordWrap/>
              <w:topLinePunct w:val="0"/>
              <w:bidi w:val="0"/>
              <w:spacing w:line="360" w:lineRule="auto"/>
              <w:ind w:firstLine="440" w:firstLineChars="200"/>
              <w:jc w:val="both"/>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交款方式：</w:t>
            </w:r>
            <w:r>
              <w:rPr>
                <w:rFonts w:hint="eastAsia" w:ascii="宋体" w:hAnsi="宋体" w:eastAsia="宋体" w:cs="宋体"/>
                <w:color w:val="000000" w:themeColor="text1"/>
                <w:sz w:val="22"/>
                <w:szCs w:val="22"/>
                <w:lang w:val="en-US" w:eastAsia="zh-CN"/>
                <w14:textFill>
                  <w14:solidFill>
                    <w14:schemeClr w14:val="tx1"/>
                  </w14:solidFill>
                </w14:textFill>
              </w:rPr>
              <w:t>投标</w:t>
            </w:r>
            <w:r>
              <w:rPr>
                <w:rFonts w:hint="eastAsia" w:ascii="宋体" w:hAnsi="宋体" w:eastAsia="宋体" w:cs="宋体"/>
                <w:color w:val="000000" w:themeColor="text1"/>
                <w:sz w:val="22"/>
                <w:szCs w:val="22"/>
                <w14:textFill>
                  <w14:solidFill>
                    <w14:schemeClr w14:val="tx1"/>
                  </w14:solidFill>
                </w14:textFill>
              </w:rPr>
              <w:t>保证金应当以银行网银转账、支票、汇票、本票</w:t>
            </w:r>
            <w:r>
              <w:rPr>
                <w:rFonts w:hint="eastAsia" w:ascii="宋体" w:hAnsi="宋体" w:eastAsia="宋体" w:cs="宋体"/>
                <w:color w:val="000000" w:themeColor="text1"/>
                <w:sz w:val="22"/>
                <w:szCs w:val="22"/>
                <w:lang w:eastAsia="zh-CN"/>
                <w14:textFill>
                  <w14:solidFill>
                    <w14:schemeClr w14:val="tx1"/>
                  </w14:solidFill>
                </w14:textFill>
              </w:rPr>
              <w:t>、保函</w:t>
            </w:r>
            <w:r>
              <w:rPr>
                <w:rFonts w:hint="eastAsia" w:ascii="宋体" w:hAnsi="宋体" w:eastAsia="宋体" w:cs="宋体"/>
                <w:color w:val="000000" w:themeColor="text1"/>
                <w:sz w:val="22"/>
                <w:szCs w:val="22"/>
                <w14:textFill>
                  <w14:solidFill>
                    <w14:schemeClr w14:val="tx1"/>
                  </w14:solidFill>
                </w14:textFill>
              </w:rPr>
              <w:t>等非现金形式提交。供应商未按照采购文件要求提交</w:t>
            </w:r>
            <w:r>
              <w:rPr>
                <w:rFonts w:hint="eastAsia" w:ascii="宋体" w:hAnsi="宋体" w:eastAsia="宋体" w:cs="宋体"/>
                <w:color w:val="000000" w:themeColor="text1"/>
                <w:sz w:val="22"/>
                <w:szCs w:val="22"/>
                <w:lang w:val="en-US" w:eastAsia="zh-CN"/>
                <w14:textFill>
                  <w14:solidFill>
                    <w14:schemeClr w14:val="tx1"/>
                  </w14:solidFill>
                </w14:textFill>
              </w:rPr>
              <w:t>投标</w:t>
            </w:r>
            <w:r>
              <w:rPr>
                <w:rFonts w:hint="eastAsia" w:ascii="宋体" w:hAnsi="宋体" w:eastAsia="宋体" w:cs="宋体"/>
                <w:color w:val="000000" w:themeColor="text1"/>
                <w:sz w:val="22"/>
                <w:szCs w:val="22"/>
                <w14:textFill>
                  <w14:solidFill>
                    <w14:schemeClr w14:val="tx1"/>
                  </w14:solidFill>
                </w14:textFill>
              </w:rPr>
              <w:t>保证金的，</w:t>
            </w:r>
            <w:r>
              <w:rPr>
                <w:rFonts w:hint="eastAsia" w:ascii="宋体" w:hAnsi="宋体" w:eastAsia="宋体" w:cs="宋体"/>
                <w:color w:val="000000" w:themeColor="text1"/>
                <w:sz w:val="22"/>
                <w:szCs w:val="22"/>
                <w:lang w:val="en-US" w:eastAsia="zh-CN"/>
                <w14:textFill>
                  <w14:solidFill>
                    <w14:schemeClr w14:val="tx1"/>
                  </w14:solidFill>
                </w14:textFill>
              </w:rPr>
              <w:t>投标</w:t>
            </w:r>
            <w:r>
              <w:rPr>
                <w:rFonts w:hint="eastAsia" w:ascii="宋体" w:hAnsi="宋体" w:eastAsia="宋体" w:cs="宋体"/>
                <w:color w:val="000000" w:themeColor="text1"/>
                <w:sz w:val="22"/>
                <w:szCs w:val="22"/>
                <w14:textFill>
                  <w14:solidFill>
                    <w14:schemeClr w14:val="tx1"/>
                  </w14:solidFill>
                </w14:textFill>
              </w:rPr>
              <w:t>文件无效。请</w:t>
            </w:r>
            <w:r>
              <w:rPr>
                <w:rFonts w:hint="eastAsia" w:ascii="宋体" w:hAnsi="宋体" w:eastAsia="宋体" w:cs="宋体"/>
                <w:color w:val="000000" w:themeColor="text1"/>
                <w:sz w:val="22"/>
                <w:szCs w:val="22"/>
                <w:lang w:eastAsia="zh-CN"/>
                <w14:textFill>
                  <w14:solidFill>
                    <w14:schemeClr w14:val="tx1"/>
                  </w14:solidFill>
                </w14:textFill>
              </w:rPr>
              <w:t>供应商在</w:t>
            </w:r>
            <w:r>
              <w:rPr>
                <w:rFonts w:hint="eastAsia" w:ascii="宋体" w:hAnsi="宋体" w:eastAsia="宋体" w:cs="宋体"/>
                <w:color w:val="000000" w:themeColor="text1"/>
                <w:sz w:val="22"/>
                <w:szCs w:val="22"/>
                <w:lang w:val="en-US" w:eastAsia="zh-CN"/>
                <w14:textFill>
                  <w14:solidFill>
                    <w14:schemeClr w14:val="tx1"/>
                  </w14:solidFill>
                </w14:textFill>
              </w:rPr>
              <w:t>投标</w:t>
            </w:r>
            <w:r>
              <w:rPr>
                <w:rFonts w:hint="eastAsia" w:ascii="宋体" w:hAnsi="宋体" w:eastAsia="宋体" w:cs="宋体"/>
                <w:color w:val="000000" w:themeColor="text1"/>
                <w:sz w:val="22"/>
                <w:szCs w:val="22"/>
                <w:lang w:eastAsia="zh-CN"/>
                <w14:textFill>
                  <w14:solidFill>
                    <w14:schemeClr w14:val="tx1"/>
                  </w14:solidFill>
                </w14:textFill>
              </w:rPr>
              <w:t>文件递交截止时间</w:t>
            </w:r>
            <w:r>
              <w:rPr>
                <w:rFonts w:hint="eastAsia" w:ascii="宋体" w:hAnsi="宋体" w:eastAsia="宋体" w:cs="宋体"/>
                <w:color w:val="000000" w:themeColor="text1"/>
                <w:sz w:val="22"/>
                <w:szCs w:val="22"/>
                <w:lang w:val="en-US" w:eastAsia="zh-CN"/>
                <w14:textFill>
                  <w14:solidFill>
                    <w14:schemeClr w14:val="tx1"/>
                  </w14:solidFill>
                </w14:textFill>
              </w:rPr>
              <w:t>前将投标保证金由公司账户（投标保证金的交付单位和投标供应商的名称必须一致）缴纳到下列账户：</w:t>
            </w:r>
          </w:p>
          <w:p w14:paraId="3B2B5190">
            <w:pPr>
              <w:pageBreakBefore w:val="0"/>
              <w:tabs>
                <w:tab w:val="left" w:pos="0"/>
              </w:tabs>
              <w:kinsoku w:val="0"/>
              <w:wordWrap/>
              <w:topLinePunct w:val="0"/>
              <w:bidi w:val="0"/>
              <w:spacing w:line="360" w:lineRule="auto"/>
              <w:jc w:val="both"/>
              <w:rPr>
                <w:rFonts w:hint="eastAsia" w:ascii="宋体" w:hAnsi="宋体" w:eastAsia="宋体" w:cs="宋体"/>
                <w:b/>
                <w:bCs/>
                <w:color w:val="000000" w:themeColor="text1"/>
                <w:sz w:val="22"/>
                <w:szCs w:val="22"/>
                <w:lang w:eastAsia="zh-CN"/>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开户单位：</w:t>
            </w:r>
            <w:r>
              <w:rPr>
                <w:rFonts w:hint="eastAsia" w:ascii="宋体" w:hAnsi="宋体" w:eastAsia="宋体" w:cs="宋体"/>
                <w:b/>
                <w:bCs/>
                <w:color w:val="000000" w:themeColor="text1"/>
                <w:sz w:val="22"/>
                <w:szCs w:val="22"/>
                <w:lang w:eastAsia="zh-CN"/>
                <w14:textFill>
                  <w14:solidFill>
                    <w14:schemeClr w14:val="tx1"/>
                  </w14:solidFill>
                </w14:textFill>
              </w:rPr>
              <w:t>陕西宸永项目管理有限公司</w:t>
            </w:r>
          </w:p>
          <w:p w14:paraId="49E13785">
            <w:pPr>
              <w:pageBreakBefore w:val="0"/>
              <w:tabs>
                <w:tab w:val="left" w:pos="0"/>
              </w:tabs>
              <w:kinsoku w:val="0"/>
              <w:wordWrap/>
              <w:topLinePunct w:val="0"/>
              <w:bidi w:val="0"/>
              <w:spacing w:line="360" w:lineRule="auto"/>
              <w:jc w:val="both"/>
              <w:rPr>
                <w:rFonts w:hint="eastAsia" w:ascii="宋体" w:hAnsi="宋体" w:eastAsia="宋体" w:cs="宋体"/>
                <w:b/>
                <w:bCs/>
                <w:color w:val="000000" w:themeColor="text1"/>
                <w:sz w:val="22"/>
                <w:szCs w:val="22"/>
                <w:lang w:eastAsia="zh-CN"/>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开户行名称：</w:t>
            </w:r>
            <w:r>
              <w:rPr>
                <w:rFonts w:hint="eastAsia" w:ascii="宋体" w:hAnsi="宋体" w:eastAsia="宋体" w:cs="宋体"/>
                <w:b/>
                <w:bCs/>
                <w:color w:val="000000" w:themeColor="text1"/>
                <w:sz w:val="22"/>
                <w:szCs w:val="22"/>
                <w:lang w:val="en-US" w:eastAsia="zh-CN"/>
                <w14:textFill>
                  <w14:solidFill>
                    <w14:schemeClr w14:val="tx1"/>
                  </w14:solidFill>
                </w14:textFill>
              </w:rPr>
              <w:t>中国建设银行股份有限公司延安马家湾支行</w:t>
            </w:r>
          </w:p>
          <w:p w14:paraId="628AB32C">
            <w:pPr>
              <w:spacing w:line="360" w:lineRule="auto"/>
              <w:jc w:val="left"/>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账      号：</w:t>
            </w:r>
            <w:r>
              <w:rPr>
                <w:rFonts w:hint="eastAsia" w:ascii="宋体" w:hAnsi="宋体" w:eastAsia="宋体" w:cs="宋体"/>
                <w:b/>
                <w:bCs/>
                <w:color w:val="000000" w:themeColor="text1"/>
                <w:sz w:val="22"/>
                <w:szCs w:val="22"/>
                <w:lang w:val="en-US" w:eastAsia="zh-CN"/>
                <w14:textFill>
                  <w14:solidFill>
                    <w14:schemeClr w14:val="tx1"/>
                  </w14:solidFill>
                </w14:textFill>
              </w:rPr>
              <w:t>61050168980000000758</w:t>
            </w:r>
          </w:p>
        </w:tc>
      </w:tr>
      <w:tr w14:paraId="5C56A4EE">
        <w:tblPrEx>
          <w:tblCellMar>
            <w:top w:w="0" w:type="dxa"/>
            <w:left w:w="108" w:type="dxa"/>
            <w:bottom w:w="0" w:type="dxa"/>
            <w:right w:w="108" w:type="dxa"/>
          </w:tblCellMar>
        </w:tblPrEx>
        <w:trPr>
          <w:trHeight w:val="140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4515CD0B">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3.5.3</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1B79D26">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签字或盖章要求</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5C74D713">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投标文件须逐页加盖公章</w:t>
            </w:r>
            <w:r>
              <w:rPr>
                <w:rFonts w:hint="eastAsia" w:ascii="宋体" w:hAnsi="宋体" w:cs="宋体"/>
                <w:color w:val="000000" w:themeColor="text1"/>
                <w:sz w:val="22"/>
                <w:szCs w:val="22"/>
                <w:lang w:eastAsia="zh-CN"/>
                <w14:textFill>
                  <w14:solidFill>
                    <w14:schemeClr w14:val="tx1"/>
                  </w14:solidFill>
                </w14:textFill>
              </w:rPr>
              <w:t>（</w:t>
            </w:r>
            <w:r>
              <w:rPr>
                <w:rFonts w:hint="eastAsia" w:ascii="宋体" w:hAnsi="宋体" w:cs="宋体"/>
                <w:color w:val="000000" w:themeColor="text1"/>
                <w:sz w:val="22"/>
                <w:szCs w:val="22"/>
                <w:lang w:val="en-US" w:eastAsia="zh-CN"/>
                <w14:textFill>
                  <w14:solidFill>
                    <w14:schemeClr w14:val="tx1"/>
                  </w14:solidFill>
                </w14:textFill>
              </w:rPr>
              <w:t>鲜章</w:t>
            </w:r>
            <w:r>
              <w:rPr>
                <w:rFonts w:hint="eastAsia" w:ascii="宋体" w:hAnsi="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并经法定代表人或其委托代理人</w:t>
            </w:r>
            <w:r>
              <w:rPr>
                <w:rFonts w:hint="eastAsia" w:ascii="宋体" w:hAnsi="宋体" w:eastAsia="宋体" w:cs="宋体"/>
                <w:color w:val="000000" w:themeColor="text1"/>
                <w:sz w:val="22"/>
                <w:szCs w:val="22"/>
                <w:lang w:eastAsia="zh-CN"/>
                <w14:textFill>
                  <w14:solidFill>
                    <w14:schemeClr w14:val="tx1"/>
                  </w14:solidFill>
                </w14:textFill>
              </w:rPr>
              <w:t>于指定位置</w:t>
            </w:r>
            <w:r>
              <w:rPr>
                <w:rFonts w:hint="eastAsia" w:ascii="宋体" w:hAnsi="宋体" w:eastAsia="宋体" w:cs="宋体"/>
                <w:color w:val="000000" w:themeColor="text1"/>
                <w:sz w:val="22"/>
                <w:szCs w:val="22"/>
                <w14:textFill>
                  <w14:solidFill>
                    <w14:schemeClr w14:val="tx1"/>
                  </w14:solidFill>
                </w14:textFill>
              </w:rPr>
              <w:t>签字或盖章</w:t>
            </w:r>
            <w:r>
              <w:rPr>
                <w:rFonts w:hint="eastAsia" w:ascii="宋体" w:hAnsi="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由委托代理人签字或盖章的在投标文件中须同时提交投标文件签署授权委托书。</w:t>
            </w:r>
          </w:p>
        </w:tc>
      </w:tr>
      <w:tr w14:paraId="45031FD0">
        <w:tblPrEx>
          <w:tblCellMar>
            <w:top w:w="0" w:type="dxa"/>
            <w:left w:w="108" w:type="dxa"/>
            <w:bottom w:w="0" w:type="dxa"/>
            <w:right w:w="108" w:type="dxa"/>
          </w:tblCellMar>
        </w:tblPrEx>
        <w:trPr>
          <w:trHeight w:val="1139" w:hRule="atLeast"/>
          <w:jc w:val="center"/>
        </w:trPr>
        <w:tc>
          <w:tcPr>
            <w:tcW w:w="968" w:type="dxa"/>
            <w:vMerge w:val="restart"/>
            <w:tcBorders>
              <w:top w:val="single" w:color="auto" w:sz="4" w:space="0"/>
              <w:left w:val="single" w:color="auto" w:sz="4" w:space="0"/>
              <w:right w:val="single" w:color="auto" w:sz="4" w:space="0"/>
            </w:tcBorders>
            <w:noWrap w:val="0"/>
            <w:vAlign w:val="center"/>
          </w:tcPr>
          <w:p w14:paraId="71B1C5AA">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3.5.4</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18D8425E">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投标文件编制及递交要求</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2C626ABD">
            <w:pPr>
              <w:spacing w:line="360" w:lineRule="auto"/>
              <w:ind w:firstLine="440" w:firstLineChars="200"/>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w:t>
            </w:r>
            <w:r>
              <w:rPr>
                <w:rFonts w:hint="eastAsia" w:ascii="宋体" w:hAnsi="宋体" w:eastAsia="宋体" w:cs="宋体"/>
                <w:color w:val="000000" w:themeColor="text1"/>
                <w:sz w:val="22"/>
                <w:szCs w:val="22"/>
                <w:lang w:eastAsia="zh-CN"/>
                <w14:textFill>
                  <w14:solidFill>
                    <w14:schemeClr w14:val="tx1"/>
                  </w14:solidFill>
                </w14:textFill>
              </w:rPr>
              <w:t>本招标项目采用电子化招投标，项目投标文件应在“延安市公共资源交易中心网”下载投标文件制作软件进行编制并在投标截止时间前上传递交。若未按照招标文件要求编制、递交投标文件，将可能导致投标无效，其后果由投标人自负。</w:t>
            </w:r>
          </w:p>
          <w:p w14:paraId="5EC36A6B">
            <w:pPr>
              <w:spacing w:line="360" w:lineRule="auto"/>
              <w:ind w:firstLine="440" w:firstLineChars="200"/>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w:t>
            </w:r>
            <w:r>
              <w:rPr>
                <w:rFonts w:hint="eastAsia" w:ascii="宋体" w:hAnsi="宋体" w:eastAsia="宋体" w:cs="宋体"/>
                <w:color w:val="000000" w:themeColor="text1"/>
                <w:sz w:val="22"/>
                <w:szCs w:val="22"/>
                <w:lang w:eastAsia="zh-CN"/>
                <w14:textFill>
                  <w14:solidFill>
                    <w14:schemeClr w14:val="tx1"/>
                  </w14:solidFill>
                </w14:textFill>
              </w:rPr>
              <w:t>电子投标文件上传递交至延安市公共资源交易中心网电子招标投标系统；</w:t>
            </w:r>
          </w:p>
          <w:p w14:paraId="41A6EB7E">
            <w:pPr>
              <w:spacing w:line="360" w:lineRule="auto"/>
              <w:ind w:firstLine="440" w:firstLineChars="200"/>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lang w:eastAsia="zh-CN"/>
                <w14:textFill>
                  <w14:solidFill>
                    <w14:schemeClr w14:val="tx1"/>
                  </w14:solidFill>
                </w14:textFill>
              </w:rPr>
              <w:t>纸质投标文件递交要求：正本壹份，副本</w:t>
            </w:r>
            <w:r>
              <w:rPr>
                <w:rFonts w:hint="eastAsia" w:ascii="宋体" w:hAnsi="宋体" w:cs="宋体"/>
                <w:color w:val="000000" w:themeColor="text1"/>
                <w:sz w:val="22"/>
                <w:szCs w:val="22"/>
                <w:lang w:val="en-US" w:eastAsia="zh-CN"/>
                <w14:textFill>
                  <w14:solidFill>
                    <w14:schemeClr w14:val="tx1"/>
                  </w14:solidFill>
                </w14:textFill>
              </w:rPr>
              <w:t>贰</w:t>
            </w:r>
            <w:r>
              <w:rPr>
                <w:rFonts w:hint="eastAsia" w:ascii="宋体" w:hAnsi="宋体" w:eastAsia="宋体" w:cs="宋体"/>
                <w:color w:val="000000" w:themeColor="text1"/>
                <w:sz w:val="22"/>
                <w:szCs w:val="22"/>
                <w:lang w:eastAsia="zh-CN"/>
                <w14:textFill>
                  <w14:solidFill>
                    <w14:schemeClr w14:val="tx1"/>
                  </w14:solidFill>
                </w14:textFill>
              </w:rPr>
              <w:t>份</w:t>
            </w:r>
            <w:r>
              <w:rPr>
                <w:rFonts w:hint="eastAsia" w:ascii="宋体" w:hAnsi="宋体" w:cs="宋体"/>
                <w:color w:val="000000" w:themeColor="text1"/>
                <w:sz w:val="22"/>
                <w:szCs w:val="22"/>
                <w:lang w:eastAsia="zh-CN"/>
                <w14:textFill>
                  <w14:solidFill>
                    <w14:schemeClr w14:val="tx1"/>
                  </w14:solidFill>
                </w14:textFill>
              </w:rPr>
              <w:t>（</w:t>
            </w:r>
            <w:r>
              <w:rPr>
                <w:rFonts w:hint="eastAsia" w:ascii="宋体" w:hAnsi="宋体" w:cs="宋体"/>
                <w:color w:val="000000" w:themeColor="text1"/>
                <w:sz w:val="22"/>
                <w:szCs w:val="22"/>
                <w:lang w:val="en-US" w:eastAsia="zh-CN"/>
                <w14:textFill>
                  <w14:solidFill>
                    <w14:schemeClr w14:val="tx1"/>
                  </w14:solidFill>
                </w14:textFill>
              </w:rPr>
              <w:t>副本可采用正本复印件</w:t>
            </w:r>
            <w:r>
              <w:rPr>
                <w:rFonts w:hint="eastAsia" w:ascii="宋体" w:hAnsi="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lang w:eastAsia="zh-CN"/>
                <w14:textFill>
                  <w14:solidFill>
                    <w14:schemeClr w14:val="tx1"/>
                  </w14:solidFill>
                </w14:textFill>
              </w:rPr>
              <w:t>。</w:t>
            </w:r>
          </w:p>
          <w:p w14:paraId="2B2261D4">
            <w:pPr>
              <w:spacing w:line="360" w:lineRule="auto"/>
              <w:ind w:firstLine="442" w:firstLineChars="200"/>
              <w:rPr>
                <w:rFonts w:hint="default" w:eastAsia="宋体" w:cs="Times New Roman"/>
                <w:color w:val="000000" w:themeColor="text1"/>
                <w:lang w:val="en-US" w:eastAsia="zh-CN"/>
                <w14:textFill>
                  <w14:solidFill>
                    <w14:schemeClr w14:val="tx1"/>
                  </w14:solidFill>
                </w14:textFill>
              </w:rPr>
            </w:pPr>
            <w:r>
              <w:rPr>
                <w:rFonts w:hint="eastAsia" w:ascii="宋体" w:hAnsi="宋体" w:eastAsia="宋体" w:cs="宋体"/>
                <w:b/>
                <w:bCs/>
                <w:color w:val="000000" w:themeColor="text1"/>
                <w:sz w:val="22"/>
                <w:szCs w:val="22"/>
                <w:lang w:val="en-US" w:eastAsia="zh-CN"/>
                <w14:textFill>
                  <w14:solidFill>
                    <w14:schemeClr w14:val="tx1"/>
                  </w14:solidFill>
                </w14:textFill>
              </w:rPr>
              <w:t>注：本项目纸质投标文件须留档保存，接受邮寄（纸质投标文件须与电子投标文件保持一致），开标结束后三日内邮寄到：延安市新区盛世花园北区12号楼一单元802室，电话：0911-8688810。</w:t>
            </w:r>
          </w:p>
        </w:tc>
      </w:tr>
      <w:tr w14:paraId="43281B9D">
        <w:tblPrEx>
          <w:tblCellMar>
            <w:top w:w="0" w:type="dxa"/>
            <w:left w:w="108" w:type="dxa"/>
            <w:bottom w:w="0" w:type="dxa"/>
            <w:right w:w="108" w:type="dxa"/>
          </w:tblCellMar>
        </w:tblPrEx>
        <w:trPr>
          <w:trHeight w:val="1139" w:hRule="atLeast"/>
          <w:jc w:val="center"/>
        </w:trPr>
        <w:tc>
          <w:tcPr>
            <w:tcW w:w="968" w:type="dxa"/>
            <w:vMerge w:val="continue"/>
            <w:tcBorders>
              <w:left w:val="single" w:color="auto" w:sz="4" w:space="0"/>
              <w:right w:val="single" w:color="auto" w:sz="4" w:space="0"/>
            </w:tcBorders>
            <w:noWrap w:val="0"/>
            <w:vAlign w:val="center"/>
          </w:tcPr>
          <w:p w14:paraId="5BEF1360">
            <w:pPr>
              <w:spacing w:line="360" w:lineRule="auto"/>
              <w:jc w:val="center"/>
              <w:rPr>
                <w:rFonts w:hint="eastAsia" w:ascii="宋体" w:hAnsi="宋体" w:eastAsia="宋体" w:cs="宋体"/>
                <w:color w:val="000000" w:themeColor="text1"/>
                <w:sz w:val="22"/>
                <w:szCs w:val="22"/>
                <w14:textFill>
                  <w14:solidFill>
                    <w14:schemeClr w14:val="tx1"/>
                  </w14:solidFill>
                </w14:textFill>
              </w:rPr>
            </w:pPr>
          </w:p>
        </w:tc>
        <w:tc>
          <w:tcPr>
            <w:tcW w:w="1616" w:type="dxa"/>
            <w:tcBorders>
              <w:top w:val="single" w:color="auto" w:sz="4" w:space="0"/>
              <w:left w:val="single" w:color="auto" w:sz="4" w:space="0"/>
              <w:bottom w:val="single" w:color="auto" w:sz="4" w:space="0"/>
              <w:right w:val="single" w:color="auto" w:sz="4" w:space="0"/>
            </w:tcBorders>
            <w:noWrap w:val="0"/>
            <w:vAlign w:val="center"/>
          </w:tcPr>
          <w:p w14:paraId="26E582B1">
            <w:pPr>
              <w:spacing w:line="360" w:lineRule="auto"/>
              <w:jc w:val="center"/>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投标文件电子版要求</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677A9B67">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递交</w:t>
            </w:r>
            <w:r>
              <w:rPr>
                <w:rFonts w:hint="eastAsia" w:ascii="宋体" w:hAnsi="宋体" w:eastAsia="宋体" w:cs="宋体"/>
                <w:color w:val="000000" w:themeColor="text1"/>
                <w:sz w:val="22"/>
                <w:szCs w:val="22"/>
                <w:lang w:eastAsia="zh-CN"/>
                <w14:textFill>
                  <w14:solidFill>
                    <w14:schemeClr w14:val="tx1"/>
                  </w14:solidFill>
                </w14:textFill>
              </w:rPr>
              <w:t>纸质</w:t>
            </w:r>
            <w:r>
              <w:rPr>
                <w:rFonts w:hint="eastAsia" w:ascii="宋体" w:hAnsi="宋体" w:eastAsia="宋体" w:cs="宋体"/>
                <w:color w:val="000000" w:themeColor="text1"/>
                <w:sz w:val="22"/>
                <w:szCs w:val="22"/>
                <w14:textFill>
                  <w14:solidFill>
                    <w14:schemeClr w14:val="tx1"/>
                  </w14:solidFill>
                </w14:textFill>
              </w:rPr>
              <w:t>投标文件时</w:t>
            </w:r>
            <w:r>
              <w:rPr>
                <w:rFonts w:hint="eastAsia" w:ascii="宋体" w:hAnsi="宋体" w:eastAsia="宋体" w:cs="宋体"/>
                <w:color w:val="000000" w:themeColor="text1"/>
                <w:sz w:val="22"/>
                <w:szCs w:val="22"/>
                <w:lang w:eastAsia="zh-CN"/>
                <w14:textFill>
                  <w14:solidFill>
                    <w14:schemeClr w14:val="tx1"/>
                  </w14:solidFill>
                </w14:textFill>
              </w:rPr>
              <w:t>须</w:t>
            </w:r>
            <w:r>
              <w:rPr>
                <w:rFonts w:hint="eastAsia" w:ascii="宋体" w:hAnsi="宋体" w:eastAsia="宋体" w:cs="宋体"/>
                <w:color w:val="000000" w:themeColor="text1"/>
                <w:sz w:val="22"/>
                <w:szCs w:val="22"/>
                <w14:textFill>
                  <w14:solidFill>
                    <w14:schemeClr w14:val="tx1"/>
                  </w14:solidFill>
                </w14:textFill>
              </w:rPr>
              <w:t>同时提交内容与纸质投标文件内容一致的电子版U盘1份；</w:t>
            </w:r>
          </w:p>
          <w:p w14:paraId="23BDE58F">
            <w:pPr>
              <w:spacing w:line="360" w:lineRule="auto"/>
              <w:ind w:firstLine="440" w:firstLineChars="200"/>
              <w:rPr>
                <w:rFonts w:hint="eastAsia" w:ascii="宋体" w:hAnsi="宋体" w:eastAsia="宋体" w:cs="宋体"/>
                <w:color w:val="000000" w:themeColor="text1"/>
                <w:kern w:val="2"/>
                <w:sz w:val="22"/>
                <w:szCs w:val="22"/>
                <w:lang w:val="en-US" w:eastAsia="zh-CN" w:bidi="ar-SA"/>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文件命名要求：项目编号+投标人名称；</w:t>
            </w:r>
          </w:p>
        </w:tc>
      </w:tr>
      <w:tr w14:paraId="43325E5F">
        <w:tblPrEx>
          <w:tblCellMar>
            <w:top w:w="0" w:type="dxa"/>
            <w:left w:w="108" w:type="dxa"/>
            <w:bottom w:w="0" w:type="dxa"/>
            <w:right w:w="108" w:type="dxa"/>
          </w:tblCellMar>
        </w:tblPrEx>
        <w:trPr>
          <w:trHeight w:val="715"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4C716DA7">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4.2.2</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076682D3">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开标时间和地点</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7C3F990D">
            <w:pPr>
              <w:spacing w:line="360" w:lineRule="auto"/>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时间：</w:t>
            </w:r>
            <w:r>
              <w:rPr>
                <w:rFonts w:hint="eastAsia" w:ascii="宋体" w:hAnsi="宋体" w:eastAsia="宋体" w:cs="宋体"/>
                <w:color w:val="000000" w:themeColor="text1"/>
                <w:sz w:val="22"/>
                <w:szCs w:val="22"/>
                <w:lang w:val="en-US" w:eastAsia="zh-CN"/>
                <w14:textFill>
                  <w14:solidFill>
                    <w14:schemeClr w14:val="tx1"/>
                  </w14:solidFill>
                </w14:textFill>
              </w:rPr>
              <w:t>2025年10月16日09时00分00秒（北京时间）</w:t>
            </w:r>
          </w:p>
          <w:p w14:paraId="573BA6CD">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地点：</w:t>
            </w:r>
            <w:r>
              <w:rPr>
                <w:rFonts w:hint="eastAsia" w:ascii="宋体" w:hAnsi="宋体" w:eastAsia="宋体" w:cs="宋体"/>
                <w:color w:val="000000" w:themeColor="text1"/>
                <w:sz w:val="22"/>
                <w:szCs w:val="22"/>
                <w:lang w:val="en-US" w:eastAsia="zh-CN"/>
                <w14:textFill>
                  <w14:solidFill>
                    <w14:schemeClr w14:val="tx1"/>
                  </w14:solidFill>
                </w14:textFill>
              </w:rPr>
              <w:t>延安市公共资源交易中心交易</w:t>
            </w:r>
            <w:r>
              <w:rPr>
                <w:rFonts w:hint="eastAsia" w:ascii="宋体" w:hAnsi="宋体" w:cs="宋体"/>
                <w:color w:val="000000" w:themeColor="text1"/>
                <w:sz w:val="22"/>
                <w:szCs w:val="22"/>
                <w:lang w:val="en-US" w:eastAsia="zh-CN"/>
                <w14:textFill>
                  <w14:solidFill>
                    <w14:schemeClr w14:val="tx1"/>
                  </w14:solidFill>
                </w14:textFill>
              </w:rPr>
              <w:t>一</w:t>
            </w:r>
            <w:r>
              <w:rPr>
                <w:rFonts w:hint="eastAsia" w:ascii="宋体" w:hAnsi="宋体" w:eastAsia="宋体" w:cs="宋体"/>
                <w:color w:val="000000" w:themeColor="text1"/>
                <w:sz w:val="22"/>
                <w:szCs w:val="22"/>
                <w:lang w:val="en-US" w:eastAsia="zh-CN"/>
                <w14:textFill>
                  <w14:solidFill>
                    <w14:schemeClr w14:val="tx1"/>
                  </w14:solidFill>
                </w14:textFill>
              </w:rPr>
              <w:t>厅</w:t>
            </w:r>
          </w:p>
        </w:tc>
      </w:tr>
      <w:tr w14:paraId="333C524F">
        <w:tblPrEx>
          <w:tblCellMar>
            <w:top w:w="0" w:type="dxa"/>
            <w:left w:w="108" w:type="dxa"/>
            <w:bottom w:w="0" w:type="dxa"/>
            <w:right w:w="108" w:type="dxa"/>
          </w:tblCellMar>
        </w:tblPrEx>
        <w:trPr>
          <w:trHeight w:val="73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08BEA661">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4.2.3</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6C0F8667">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是否退还投标文件</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55E6A247">
            <w:pPr>
              <w:spacing w:line="360" w:lineRule="auto"/>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否</w:t>
            </w:r>
          </w:p>
        </w:tc>
      </w:tr>
      <w:tr w14:paraId="2705873E">
        <w:tblPrEx>
          <w:tblCellMar>
            <w:top w:w="0" w:type="dxa"/>
            <w:left w:w="108" w:type="dxa"/>
            <w:bottom w:w="0" w:type="dxa"/>
            <w:right w:w="108" w:type="dxa"/>
          </w:tblCellMar>
        </w:tblPrEx>
        <w:trPr>
          <w:trHeight w:val="9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68F4250D">
            <w:pPr>
              <w:spacing w:line="360" w:lineRule="auto"/>
              <w:jc w:val="center"/>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5.</w:t>
            </w:r>
            <w:r>
              <w:rPr>
                <w:rFonts w:hint="eastAsia" w:ascii="宋体" w:hAnsi="宋体" w:eastAsia="宋体" w:cs="宋体"/>
                <w:color w:val="000000" w:themeColor="text1"/>
                <w:sz w:val="22"/>
                <w:szCs w:val="22"/>
                <w:lang w:val="en-US" w:eastAsia="zh-CN"/>
                <w14:textFill>
                  <w14:solidFill>
                    <w14:schemeClr w14:val="tx1"/>
                  </w14:solidFill>
                </w14:textFill>
              </w:rPr>
              <w:t>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501770CA">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开标程序</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4A4ADD78">
            <w:pPr>
              <w:spacing w:line="360" w:lineRule="auto"/>
              <w:ind w:firstLine="440" w:firstLineChars="200"/>
              <w:jc w:val="left"/>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w:t>
            </w:r>
            <w:r>
              <w:rPr>
                <w:rFonts w:hint="eastAsia" w:ascii="宋体" w:hAnsi="宋体" w:eastAsia="宋体" w:cs="宋体"/>
                <w:color w:val="000000" w:themeColor="text1"/>
                <w:kern w:val="0"/>
                <w:sz w:val="22"/>
                <w:szCs w:val="22"/>
                <w14:textFill>
                  <w14:solidFill>
                    <w14:schemeClr w14:val="tx1"/>
                  </w14:solidFill>
                </w14:textFill>
              </w:rPr>
              <w:t>采购人和采购代理机构将按投标人须知前附表中规定的开标时间和地点组织开标。投标人不足3家的，不予开标。</w:t>
            </w:r>
          </w:p>
          <w:p w14:paraId="096F33CD">
            <w:pPr>
              <w:spacing w:line="360" w:lineRule="auto"/>
              <w:ind w:firstLine="440" w:firstLineChars="200"/>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2.</w:t>
            </w:r>
            <w:r>
              <w:rPr>
                <w:rFonts w:hint="eastAsia" w:ascii="宋体" w:hAnsi="宋体" w:eastAsia="宋体" w:cs="宋体"/>
                <w:color w:val="000000" w:themeColor="text1"/>
                <w:kern w:val="0"/>
                <w:sz w:val="22"/>
                <w:szCs w:val="22"/>
                <w14:textFill>
                  <w14:solidFill>
                    <w14:schemeClr w14:val="tx1"/>
                  </w14:solidFill>
                </w14:textFill>
              </w:rPr>
              <w:t>开标时，由采购人和代理机构组织各投标人线上解密，并在线上公示开标记录。若投标人在系统规定时间内未完成解密，或因投标人原因造成其投标文件无法解密（或无法打开的），按无效投标处理。</w:t>
            </w:r>
          </w:p>
        </w:tc>
      </w:tr>
      <w:tr w14:paraId="31854715">
        <w:tblPrEx>
          <w:tblCellMar>
            <w:top w:w="0" w:type="dxa"/>
            <w:left w:w="108" w:type="dxa"/>
            <w:bottom w:w="0" w:type="dxa"/>
            <w:right w:w="108" w:type="dxa"/>
          </w:tblCellMar>
        </w:tblPrEx>
        <w:trPr>
          <w:trHeight w:val="1195"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4381ADB7">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6.1.1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0428C93C">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评标委员会的组建</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288EF0C9">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评标委员会构成：</w:t>
            </w:r>
            <w:r>
              <w:rPr>
                <w:rFonts w:hint="eastAsia" w:ascii="宋体" w:hAnsi="宋体" w:cs="宋体"/>
                <w:color w:val="000000" w:themeColor="text1"/>
                <w:kern w:val="0"/>
                <w:sz w:val="22"/>
                <w:szCs w:val="22"/>
                <w:lang w:val="en-US" w:eastAsia="zh-CN"/>
                <w14:textFill>
                  <w14:solidFill>
                    <w14:schemeClr w14:val="tx1"/>
                  </w14:solidFill>
                </w14:textFill>
              </w:rPr>
              <w:t>7</w:t>
            </w:r>
            <w:r>
              <w:rPr>
                <w:rFonts w:hint="eastAsia" w:ascii="宋体" w:hAnsi="宋体" w:eastAsia="宋体" w:cs="宋体"/>
                <w:color w:val="000000" w:themeColor="text1"/>
                <w:kern w:val="0"/>
                <w:sz w:val="22"/>
                <w:szCs w:val="22"/>
                <w14:textFill>
                  <w14:solidFill>
                    <w14:schemeClr w14:val="tx1"/>
                  </w14:solidFill>
                </w14:textFill>
              </w:rPr>
              <w:t>人；其中采购人代表</w:t>
            </w:r>
            <w:r>
              <w:rPr>
                <w:rFonts w:hint="eastAsia" w:ascii="宋体" w:hAnsi="宋体" w:cs="宋体"/>
                <w:color w:val="000000" w:themeColor="text1"/>
                <w:kern w:val="0"/>
                <w:sz w:val="22"/>
                <w:szCs w:val="22"/>
                <w:lang w:val="en-US" w:eastAsia="zh-CN"/>
                <w14:textFill>
                  <w14:solidFill>
                    <w14:schemeClr w14:val="tx1"/>
                  </w14:solidFill>
                </w14:textFill>
              </w:rPr>
              <w:t>2</w:t>
            </w:r>
            <w:r>
              <w:rPr>
                <w:rFonts w:hint="eastAsia" w:ascii="宋体" w:hAnsi="宋体" w:eastAsia="宋体" w:cs="宋体"/>
                <w:color w:val="000000" w:themeColor="text1"/>
                <w:kern w:val="0"/>
                <w:sz w:val="22"/>
                <w:szCs w:val="22"/>
                <w14:textFill>
                  <w14:solidFill>
                    <w14:schemeClr w14:val="tx1"/>
                  </w14:solidFill>
                </w14:textFill>
              </w:rPr>
              <w:t>人；专家</w:t>
            </w:r>
            <w:r>
              <w:rPr>
                <w:rFonts w:hint="eastAsia" w:ascii="宋体" w:hAnsi="宋体" w:cs="宋体"/>
                <w:color w:val="000000" w:themeColor="text1"/>
                <w:kern w:val="0"/>
                <w:sz w:val="22"/>
                <w:szCs w:val="22"/>
                <w:lang w:val="en-US" w:eastAsia="zh-CN"/>
                <w14:textFill>
                  <w14:solidFill>
                    <w14:schemeClr w14:val="tx1"/>
                  </w14:solidFill>
                </w14:textFill>
              </w:rPr>
              <w:t>5</w:t>
            </w:r>
            <w:r>
              <w:rPr>
                <w:rFonts w:hint="eastAsia" w:ascii="宋体" w:hAnsi="宋体" w:eastAsia="宋体" w:cs="宋体"/>
                <w:color w:val="000000" w:themeColor="text1"/>
                <w:kern w:val="0"/>
                <w:sz w:val="22"/>
                <w:szCs w:val="22"/>
                <w14:textFill>
                  <w14:solidFill>
                    <w14:schemeClr w14:val="tx1"/>
                  </w14:solidFill>
                </w14:textFill>
              </w:rPr>
              <w:t>人</w:t>
            </w:r>
          </w:p>
          <w:p w14:paraId="165C1BB1">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评标专家确定方式：陕西</w:t>
            </w:r>
            <w:r>
              <w:rPr>
                <w:rFonts w:hint="eastAsia" w:ascii="宋体" w:hAnsi="宋体" w:eastAsia="宋体" w:cs="宋体"/>
                <w:color w:val="000000" w:themeColor="text1"/>
                <w:sz w:val="22"/>
                <w:szCs w:val="22"/>
                <w:lang w:val="en-US" w:eastAsia="zh-CN"/>
                <w14:textFill>
                  <w14:solidFill>
                    <w14:schemeClr w14:val="tx1"/>
                  </w14:solidFill>
                </w14:textFill>
              </w:rPr>
              <w:t>省</w:t>
            </w:r>
            <w:r>
              <w:rPr>
                <w:rFonts w:hint="eastAsia" w:ascii="宋体" w:hAnsi="宋体" w:eastAsia="宋体" w:cs="宋体"/>
                <w:color w:val="000000" w:themeColor="text1"/>
                <w:sz w:val="22"/>
                <w:szCs w:val="22"/>
                <w14:textFill>
                  <w14:solidFill>
                    <w14:schemeClr w14:val="tx1"/>
                  </w14:solidFill>
                </w14:textFill>
              </w:rPr>
              <w:t>政府采购综合管理平台专家库中随机抽取。</w:t>
            </w:r>
          </w:p>
        </w:tc>
      </w:tr>
      <w:tr w14:paraId="532817FA">
        <w:tblPrEx>
          <w:tblCellMar>
            <w:top w:w="0" w:type="dxa"/>
            <w:left w:w="108" w:type="dxa"/>
            <w:bottom w:w="0" w:type="dxa"/>
            <w:right w:w="108" w:type="dxa"/>
          </w:tblCellMar>
        </w:tblPrEx>
        <w:trPr>
          <w:trHeight w:val="139"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580C4DD5">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1B64116D">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是否授权评标委员会确定中标人</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458EC62E">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否，推荐3名中标候选供应商</w:t>
            </w:r>
          </w:p>
        </w:tc>
      </w:tr>
      <w:tr w14:paraId="0B4FD0E6">
        <w:tblPrEx>
          <w:tblCellMar>
            <w:top w:w="0" w:type="dxa"/>
            <w:left w:w="108" w:type="dxa"/>
            <w:bottom w:w="0" w:type="dxa"/>
            <w:right w:w="108" w:type="dxa"/>
          </w:tblCellMar>
        </w:tblPrEx>
        <w:trPr>
          <w:trHeight w:val="497"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56E23FBA">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7.3</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65B02922">
            <w:pPr>
              <w:spacing w:line="36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履约担保</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6CD03956">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无</w:t>
            </w:r>
          </w:p>
        </w:tc>
      </w:tr>
      <w:tr w14:paraId="4783D796">
        <w:tblPrEx>
          <w:tblCellMar>
            <w:top w:w="0" w:type="dxa"/>
            <w:left w:w="108" w:type="dxa"/>
            <w:bottom w:w="0" w:type="dxa"/>
            <w:right w:w="108" w:type="dxa"/>
          </w:tblCellMar>
        </w:tblPrEx>
        <w:trPr>
          <w:trHeight w:val="717"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6222F15E">
            <w:pPr>
              <w:spacing w:line="360" w:lineRule="auto"/>
              <w:jc w:val="center"/>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8</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50F48F0">
            <w:pPr>
              <w:spacing w:line="360" w:lineRule="auto"/>
              <w:jc w:val="center"/>
              <w:rPr>
                <w:rFonts w:hint="eastAsia" w:ascii="宋体" w:hAnsi="宋体" w:eastAsia="宋体" w:cs="宋体"/>
                <w:color w:val="000000" w:themeColor="text1"/>
                <w:kern w:val="2"/>
                <w:sz w:val="22"/>
                <w:szCs w:val="22"/>
                <w:lang w:val="en-US" w:eastAsia="zh-CN" w:bidi="ar-SA"/>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是否专门面向中小企业采购</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1B878428">
            <w:pPr>
              <w:spacing w:line="360" w:lineRule="auto"/>
              <w:rPr>
                <w:rFonts w:hint="eastAsia" w:ascii="宋体" w:hAnsi="宋体" w:eastAsia="宋体" w:cs="宋体"/>
                <w:color w:val="000000" w:themeColor="text1"/>
                <w:kern w:val="2"/>
                <w:sz w:val="22"/>
                <w:szCs w:val="22"/>
                <w:lang w:val="en-US" w:eastAsia="zh-CN" w:bidi="ar-SA"/>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是□</w:t>
            </w:r>
            <w:r>
              <w:rPr>
                <w:rFonts w:hint="eastAsia" w:ascii="宋体" w:hAnsi="宋体" w:eastAsia="宋体"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lang w:eastAsia="zh-CN"/>
                <w14:textFill>
                  <w14:solidFill>
                    <w14:schemeClr w14:val="tx1"/>
                  </w14:solidFill>
                </w14:textFill>
              </w:rPr>
              <w:t>否</w:t>
            </w:r>
            <w:r>
              <w:rPr>
                <w:rFonts w:hint="eastAsia" w:ascii="宋体" w:hAnsi="宋体" w:eastAsia="宋体" w:cs="宋体"/>
                <w:color w:val="000000" w:themeColor="text1"/>
                <w:sz w:val="22"/>
                <w:szCs w:val="22"/>
                <w:lang w:val="en-US" w:eastAsia="zh-CN"/>
                <w14:textFill>
                  <w14:solidFill>
                    <w14:schemeClr w14:val="tx1"/>
                  </w14:solidFill>
                </w14:textFill>
              </w:rPr>
              <w:t xml:space="preserve"> </w:t>
            </w:r>
            <w:r>
              <w:rPr>
                <w:rFonts w:hint="eastAsia" w:ascii="宋体" w:hAnsi="宋体" w:eastAsia="宋体" w:cs="宋体"/>
                <w:color w:val="000000" w:themeColor="text1"/>
                <w:sz w:val="22"/>
                <w:szCs w:val="22"/>
                <w:lang w:eastAsia="zh-CN"/>
                <w14:textFill>
                  <w14:solidFill>
                    <w14:schemeClr w14:val="tx1"/>
                  </w14:solidFill>
                </w14:textFill>
              </w:rPr>
              <w:t>☑</w:t>
            </w:r>
          </w:p>
        </w:tc>
      </w:tr>
      <w:tr w14:paraId="2BEC6BCF">
        <w:tblPrEx>
          <w:tblCellMar>
            <w:top w:w="0" w:type="dxa"/>
            <w:left w:w="108" w:type="dxa"/>
            <w:bottom w:w="0" w:type="dxa"/>
            <w:right w:w="108" w:type="dxa"/>
          </w:tblCellMar>
        </w:tblPrEx>
        <w:trPr>
          <w:trHeight w:val="717"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7E6B75DD">
            <w:pPr>
              <w:spacing w:line="360" w:lineRule="auto"/>
              <w:jc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9</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3998307">
            <w:pPr>
              <w:spacing w:line="360" w:lineRule="auto"/>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进口设备</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52C2618E">
            <w:pPr>
              <w:spacing w:line="360" w:lineRule="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不接受进口设备</w:t>
            </w:r>
          </w:p>
        </w:tc>
      </w:tr>
      <w:tr w14:paraId="1C44F2F8">
        <w:tblPrEx>
          <w:tblCellMar>
            <w:top w:w="0" w:type="dxa"/>
            <w:left w:w="108" w:type="dxa"/>
            <w:bottom w:w="0" w:type="dxa"/>
            <w:right w:w="108" w:type="dxa"/>
          </w:tblCellMar>
        </w:tblPrEx>
        <w:trPr>
          <w:trHeight w:val="743"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1557BFEE">
            <w:pPr>
              <w:spacing w:line="360" w:lineRule="auto"/>
              <w:jc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10</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0AD920C2">
            <w:pPr>
              <w:spacing w:line="360" w:lineRule="auto"/>
              <w:jc w:val="center"/>
              <w:rPr>
                <w:rFonts w:hint="eastAsia" w:ascii="宋体" w:hAnsi="宋体" w:eastAsia="宋体" w:cs="宋体"/>
                <w:color w:val="000000" w:themeColor="text1"/>
                <w:kern w:val="2"/>
                <w:sz w:val="22"/>
                <w:szCs w:val="22"/>
                <w:lang w:val="en-US" w:eastAsia="zh-CN" w:bidi="ar-SA"/>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采购标的所属行业</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677FBE6E">
            <w:pPr>
              <w:spacing w:line="360" w:lineRule="auto"/>
              <w:rPr>
                <w:rFonts w:hint="eastAsia" w:ascii="宋体" w:hAnsi="宋体" w:eastAsia="宋体" w:cs="宋体"/>
                <w:color w:val="000000" w:themeColor="text1"/>
                <w:kern w:val="2"/>
                <w:sz w:val="22"/>
                <w:szCs w:val="22"/>
                <w:lang w:val="en-US" w:eastAsia="zh-CN" w:bidi="ar-SA"/>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工业</w:t>
            </w:r>
          </w:p>
        </w:tc>
      </w:tr>
      <w:tr w14:paraId="297740DB">
        <w:tblPrEx>
          <w:tblCellMar>
            <w:top w:w="0" w:type="dxa"/>
            <w:left w:w="108" w:type="dxa"/>
            <w:bottom w:w="0" w:type="dxa"/>
            <w:right w:w="108" w:type="dxa"/>
          </w:tblCellMar>
        </w:tblPrEx>
        <w:trPr>
          <w:trHeight w:val="476"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6050918B">
            <w:pPr>
              <w:spacing w:line="360" w:lineRule="auto"/>
              <w:jc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11</w:t>
            </w:r>
          </w:p>
        </w:tc>
        <w:tc>
          <w:tcPr>
            <w:tcW w:w="8319" w:type="dxa"/>
            <w:gridSpan w:val="2"/>
            <w:tcBorders>
              <w:top w:val="single" w:color="auto" w:sz="4" w:space="0"/>
              <w:left w:val="single" w:color="auto" w:sz="4" w:space="0"/>
              <w:bottom w:val="single" w:color="auto" w:sz="4" w:space="0"/>
              <w:right w:val="single" w:color="auto" w:sz="4" w:space="0"/>
            </w:tcBorders>
            <w:noWrap w:val="0"/>
            <w:vAlign w:val="center"/>
          </w:tcPr>
          <w:p w14:paraId="67EF3737">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b/>
                <w:color w:val="000000" w:themeColor="text1"/>
                <w:sz w:val="22"/>
                <w:szCs w:val="22"/>
                <w14:textFill>
                  <w14:solidFill>
                    <w14:schemeClr w14:val="tx1"/>
                  </w14:solidFill>
                </w14:textFill>
              </w:rPr>
              <w:t>需要补充的其他内容</w:t>
            </w:r>
          </w:p>
        </w:tc>
      </w:tr>
      <w:tr w14:paraId="7D391C57">
        <w:tblPrEx>
          <w:tblCellMar>
            <w:top w:w="0" w:type="dxa"/>
            <w:left w:w="108" w:type="dxa"/>
            <w:bottom w:w="0" w:type="dxa"/>
            <w:right w:w="108" w:type="dxa"/>
          </w:tblCellMar>
        </w:tblPrEx>
        <w:trPr>
          <w:trHeight w:val="9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6AD04ADF">
            <w:pPr>
              <w:spacing w:line="360" w:lineRule="auto"/>
              <w:jc w:val="center"/>
              <w:rPr>
                <w:rFonts w:hint="eastAsia" w:ascii="宋体" w:hAnsi="宋体" w:eastAsia="宋体" w:cs="宋体"/>
                <w:color w:val="000000" w:themeColor="text1"/>
                <w:sz w:val="22"/>
                <w:szCs w:val="22"/>
                <w:highlight w:val="yellow"/>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11</w:t>
            </w:r>
            <w:r>
              <w:rPr>
                <w:rFonts w:hint="eastAsia" w:ascii="宋体" w:hAnsi="宋体" w:eastAsia="宋体" w:cs="宋体"/>
                <w:color w:val="000000" w:themeColor="text1"/>
                <w:sz w:val="22"/>
                <w:szCs w:val="22"/>
                <w14:textFill>
                  <w14:solidFill>
                    <w14:schemeClr w14:val="tx1"/>
                  </w14:solidFill>
                </w14:textFill>
              </w:rPr>
              <w:t>.1</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472FFFAF">
            <w:pPr>
              <w:spacing w:line="360" w:lineRule="auto"/>
              <w:rPr>
                <w:rFonts w:hint="eastAsia" w:ascii="宋体" w:hAnsi="宋体" w:eastAsia="宋体" w:cs="宋体"/>
                <w:color w:val="000000" w:themeColor="text1"/>
                <w:sz w:val="22"/>
                <w:szCs w:val="22"/>
                <w:highlight w:val="yellow"/>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招标代理服务费</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3CB09730">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代理服务费收费标准：采购代理机构参照国家计委关于印发《招标代理服务收费管理暂行办法》计价格[2002]1980号文和《国家发展改革委关于降低部分建设项目收费标准规范收费行为等有关问题的通知》发改价格[2011]534号规定标准</w:t>
            </w:r>
            <w:r>
              <w:rPr>
                <w:rFonts w:hint="eastAsia" w:ascii="宋体" w:hAnsi="宋体" w:cs="宋体"/>
                <w:color w:val="000000" w:themeColor="text1"/>
                <w:sz w:val="22"/>
                <w:szCs w:val="22"/>
                <w:lang w:val="en-US" w:eastAsia="zh-CN"/>
                <w14:textFill>
                  <w14:solidFill>
                    <w14:schemeClr w14:val="tx1"/>
                  </w14:solidFill>
                </w14:textFill>
              </w:rPr>
              <w:t>向中标供应商</w:t>
            </w:r>
            <w:r>
              <w:rPr>
                <w:rFonts w:hint="eastAsia" w:ascii="宋体" w:hAnsi="宋体" w:eastAsia="宋体" w:cs="宋体"/>
                <w:color w:val="000000" w:themeColor="text1"/>
                <w:sz w:val="22"/>
                <w:szCs w:val="22"/>
                <w14:textFill>
                  <w14:solidFill>
                    <w14:schemeClr w14:val="tx1"/>
                  </w14:solidFill>
                </w14:textFill>
              </w:rPr>
              <w:t>收取代理服务费。</w:t>
            </w:r>
          </w:p>
        </w:tc>
      </w:tr>
      <w:tr w14:paraId="7C58BDA3">
        <w:tblPrEx>
          <w:tblCellMar>
            <w:top w:w="0" w:type="dxa"/>
            <w:left w:w="108" w:type="dxa"/>
            <w:bottom w:w="0" w:type="dxa"/>
            <w:right w:w="108" w:type="dxa"/>
          </w:tblCellMar>
        </w:tblPrEx>
        <w:trPr>
          <w:trHeight w:val="90" w:hRule="atLeast"/>
          <w:jc w:val="center"/>
        </w:trPr>
        <w:tc>
          <w:tcPr>
            <w:tcW w:w="968" w:type="dxa"/>
            <w:tcBorders>
              <w:top w:val="single" w:color="auto" w:sz="4" w:space="0"/>
              <w:left w:val="single" w:color="auto" w:sz="4" w:space="0"/>
              <w:bottom w:val="single" w:color="auto" w:sz="4" w:space="0"/>
              <w:right w:val="single" w:color="auto" w:sz="4" w:space="0"/>
            </w:tcBorders>
            <w:noWrap w:val="0"/>
            <w:vAlign w:val="center"/>
          </w:tcPr>
          <w:p w14:paraId="4BB1FCF9">
            <w:pPr>
              <w:spacing w:line="360" w:lineRule="auto"/>
              <w:jc w:val="center"/>
              <w:rPr>
                <w:rFonts w:hint="eastAsia" w:ascii="宋体" w:hAnsi="宋体" w:eastAsia="宋体" w:cs="宋体"/>
                <w:color w:val="000000" w:themeColor="text1"/>
                <w:sz w:val="22"/>
                <w:szCs w:val="22"/>
                <w:lang w:val="en-US" w:eastAsia="zh-CN"/>
                <w14:textFill>
                  <w14:solidFill>
                    <w14:schemeClr w14:val="tx1"/>
                  </w14:solidFill>
                </w14:textFill>
              </w:rPr>
            </w:pPr>
            <w:bookmarkStart w:id="29" w:name="_Toc144974497"/>
            <w:bookmarkStart w:id="30" w:name="_Toc246996175"/>
            <w:bookmarkStart w:id="31" w:name="_Toc152045529"/>
            <w:bookmarkStart w:id="32" w:name="_Toc12768"/>
            <w:bookmarkStart w:id="33" w:name="_Toc152042305"/>
            <w:bookmarkStart w:id="34" w:name="_Toc246996918"/>
            <w:bookmarkStart w:id="35" w:name="_Toc20614"/>
            <w:bookmarkStart w:id="36" w:name="_Toc247085689"/>
            <w:bookmarkStart w:id="37" w:name="_Toc179632546"/>
            <w:bookmarkStart w:id="38" w:name="_Toc23962"/>
            <w:bookmarkStart w:id="39" w:name="_Toc30835"/>
            <w:bookmarkStart w:id="40" w:name="_Toc9105"/>
            <w:bookmarkStart w:id="41" w:name="_Toc23617"/>
            <w:bookmarkStart w:id="42" w:name="_Toc16773"/>
            <w:r>
              <w:rPr>
                <w:rFonts w:hint="eastAsia" w:ascii="宋体" w:hAnsi="宋体" w:eastAsia="宋体" w:cs="宋体"/>
                <w:color w:val="000000" w:themeColor="text1"/>
                <w:sz w:val="22"/>
                <w:szCs w:val="22"/>
                <w:lang w:val="en-US" w:eastAsia="zh-CN"/>
                <w14:textFill>
                  <w14:solidFill>
                    <w14:schemeClr w14:val="tx1"/>
                  </w14:solidFill>
                </w14:textFill>
              </w:rPr>
              <w:t>11.2</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80D7FF9">
            <w:pPr>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电子投标注意事项</w:t>
            </w:r>
          </w:p>
        </w:tc>
        <w:tc>
          <w:tcPr>
            <w:tcW w:w="6703" w:type="dxa"/>
            <w:tcBorders>
              <w:top w:val="single" w:color="auto" w:sz="4" w:space="0"/>
              <w:left w:val="single" w:color="auto" w:sz="4" w:space="0"/>
              <w:bottom w:val="single" w:color="auto" w:sz="4" w:space="0"/>
              <w:right w:val="single" w:color="auto" w:sz="4" w:space="0"/>
            </w:tcBorders>
            <w:noWrap w:val="0"/>
            <w:vAlign w:val="center"/>
          </w:tcPr>
          <w:p w14:paraId="38042C1A">
            <w:pPr>
              <w:spacing w:line="360" w:lineRule="auto"/>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电子投标注意事项：投标人应及时下载招标文件和答疑纪要等相关文件，在投标截止时间前必须上传投标文件；本项目采用线上不见面形式，开标时各投标企业在各自公司进行解密，因投标人原因造成上传文件无法解密的，按无效处理。</w:t>
            </w:r>
          </w:p>
        </w:tc>
      </w:tr>
    </w:tbl>
    <w:p w14:paraId="12C14820">
      <w:pPr>
        <w:bidi w:val="0"/>
        <w:jc w:val="both"/>
        <w:rPr>
          <w:rFonts w:hint="eastAsia" w:ascii="宋体" w:hAnsi="宋体" w:eastAsia="宋体" w:cs="宋体"/>
          <w:b/>
          <w:bCs/>
          <w:i w:val="0"/>
          <w:iCs w:val="0"/>
          <w:color w:val="000000" w:themeColor="text1"/>
          <w:sz w:val="24"/>
          <w:szCs w:val="24"/>
          <w14:textFill>
            <w14:solidFill>
              <w14:schemeClr w14:val="tx1"/>
            </w14:solidFill>
          </w14:textFill>
        </w:rPr>
      </w:pPr>
    </w:p>
    <w:p w14:paraId="328CE313">
      <w:pPr>
        <w:bidi w:val="0"/>
        <w:jc w:val="both"/>
        <w:rPr>
          <w:rFonts w:hint="eastAsia" w:ascii="宋体" w:hAnsi="宋体" w:eastAsia="宋体" w:cs="宋体"/>
          <w:b/>
          <w:bCs/>
          <w:i w:val="0"/>
          <w:iCs w:val="0"/>
          <w:color w:val="000000" w:themeColor="text1"/>
          <w:sz w:val="24"/>
          <w:szCs w:val="24"/>
          <w14:textFill>
            <w14:solidFill>
              <w14:schemeClr w14:val="tx1"/>
            </w14:solidFill>
          </w14:textFill>
        </w:rPr>
      </w:pPr>
    </w:p>
    <w:p w14:paraId="04896176">
      <w:pPr>
        <w:bidi w:val="0"/>
        <w:jc w:val="center"/>
        <w:rPr>
          <w:rFonts w:hint="eastAsia" w:ascii="宋体" w:hAnsi="宋体" w:eastAsia="宋体" w:cs="宋体"/>
          <w:b/>
          <w:bCs/>
          <w:i w:val="0"/>
          <w:iCs w:val="0"/>
          <w:color w:val="000000" w:themeColor="text1"/>
          <w:sz w:val="24"/>
          <w:szCs w:val="24"/>
          <w14:textFill>
            <w14:solidFill>
              <w14:schemeClr w14:val="tx1"/>
            </w14:solidFill>
          </w14:textFill>
        </w:rPr>
      </w:pPr>
    </w:p>
    <w:p w14:paraId="61F13D8E">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72C3EA5C">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3555D6A8">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2F2B6F60">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17B7E7E3">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692F67A8">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7ED02211">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724A0DD5">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46576BCD">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4C2A8CAC">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5C3F7A51">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31F7CCE3">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2EBF4D66">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46A1F278">
      <w:pPr>
        <w:pStyle w:val="16"/>
        <w:rPr>
          <w:rFonts w:hint="eastAsia" w:ascii="宋体" w:hAnsi="宋体" w:eastAsia="宋体" w:cs="宋体"/>
          <w:b/>
          <w:bCs/>
          <w:i w:val="0"/>
          <w:iCs w:val="0"/>
          <w:color w:val="000000" w:themeColor="text1"/>
          <w:sz w:val="24"/>
          <w:szCs w:val="24"/>
          <w14:textFill>
            <w14:solidFill>
              <w14:schemeClr w14:val="tx1"/>
            </w14:solidFill>
          </w14:textFill>
        </w:rPr>
      </w:pPr>
    </w:p>
    <w:p w14:paraId="393713A7">
      <w:pPr>
        <w:bidi w:val="0"/>
        <w:jc w:val="center"/>
        <w:rPr>
          <w:rFonts w:hint="eastAsia" w:ascii="宋体" w:hAnsi="宋体" w:eastAsia="宋体" w:cs="宋体"/>
          <w:b/>
          <w:bCs/>
          <w:i w:val="0"/>
          <w:iCs w:val="0"/>
          <w:color w:val="000000" w:themeColor="text1"/>
          <w:sz w:val="24"/>
          <w:szCs w:val="24"/>
          <w14:textFill>
            <w14:solidFill>
              <w14:schemeClr w14:val="tx1"/>
            </w14:solidFill>
          </w14:textFill>
        </w:rPr>
      </w:pPr>
      <w:r>
        <w:rPr>
          <w:rFonts w:hint="eastAsia" w:ascii="宋体" w:hAnsi="宋体" w:eastAsia="宋体" w:cs="宋体"/>
          <w:b/>
          <w:bCs/>
          <w:i w:val="0"/>
          <w:iCs w:val="0"/>
          <w:color w:val="000000" w:themeColor="text1"/>
          <w:sz w:val="24"/>
          <w:szCs w:val="24"/>
          <w14:textFill>
            <w14:solidFill>
              <w14:schemeClr w14:val="tx1"/>
            </w14:solidFill>
          </w14:textFill>
        </w:rPr>
        <w:t>1.总则</w:t>
      </w:r>
      <w:bookmarkEnd w:id="29"/>
      <w:bookmarkEnd w:id="30"/>
      <w:bookmarkEnd w:id="31"/>
      <w:bookmarkEnd w:id="32"/>
      <w:bookmarkEnd w:id="33"/>
      <w:bookmarkEnd w:id="34"/>
      <w:bookmarkEnd w:id="35"/>
      <w:bookmarkEnd w:id="36"/>
      <w:bookmarkEnd w:id="37"/>
      <w:bookmarkEnd w:id="38"/>
    </w:p>
    <w:p w14:paraId="7B8F0DDE">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43" w:name="_Toc11216"/>
      <w:bookmarkStart w:id="44" w:name="_Toc246996919"/>
      <w:bookmarkStart w:id="45" w:name="_Toc152042306"/>
      <w:bookmarkStart w:id="46" w:name="_Toc246996176"/>
      <w:bookmarkStart w:id="47" w:name="_Toc144974498"/>
      <w:bookmarkStart w:id="48" w:name="_Toc179632547"/>
      <w:bookmarkStart w:id="49" w:name="_Toc31044"/>
      <w:bookmarkStart w:id="50" w:name="_Toc247085690"/>
      <w:bookmarkStart w:id="51" w:name="_Toc7660"/>
      <w:bookmarkStart w:id="52" w:name="_Toc152045530"/>
      <w:r>
        <w:rPr>
          <w:rFonts w:hint="eastAsia" w:ascii="宋体" w:hAnsi="宋体" w:eastAsia="宋体" w:cs="宋体"/>
          <w:color w:val="000000" w:themeColor="text1"/>
          <w:sz w:val="24"/>
          <w:szCs w:val="24"/>
          <w14:textFill>
            <w14:solidFill>
              <w14:schemeClr w14:val="tx1"/>
            </w14:solidFill>
          </w14:textFill>
        </w:rPr>
        <w:t>1.1 项目概况</w:t>
      </w:r>
      <w:bookmarkEnd w:id="43"/>
      <w:bookmarkEnd w:id="44"/>
      <w:bookmarkEnd w:id="45"/>
      <w:bookmarkEnd w:id="46"/>
      <w:bookmarkEnd w:id="47"/>
      <w:bookmarkEnd w:id="48"/>
      <w:bookmarkEnd w:id="49"/>
      <w:bookmarkEnd w:id="50"/>
      <w:bookmarkEnd w:id="51"/>
      <w:bookmarkEnd w:id="52"/>
    </w:p>
    <w:p w14:paraId="71E1792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1.1.1根据《中华人民共和国</w:t>
      </w:r>
      <w:r>
        <w:rPr>
          <w:rFonts w:hint="eastAsia" w:ascii="宋体" w:hAnsi="宋体" w:cs="宋体"/>
          <w:color w:val="000000" w:themeColor="text1"/>
          <w:sz w:val="24"/>
          <w:szCs w:val="24"/>
          <w:lang w:val="en-US" w:eastAsia="zh-CN"/>
          <w14:textFill>
            <w14:solidFill>
              <w14:schemeClr w14:val="tx1"/>
            </w14:solidFill>
          </w14:textFill>
        </w:rPr>
        <w:t>政府采购法</w:t>
      </w:r>
      <w:r>
        <w:rPr>
          <w:rFonts w:hint="eastAsia" w:ascii="宋体" w:hAnsi="宋体" w:eastAsia="宋体" w:cs="宋体"/>
          <w:color w:val="000000" w:themeColor="text1"/>
          <w:sz w:val="24"/>
          <w:szCs w:val="24"/>
          <w14:textFill>
            <w14:solidFill>
              <w14:schemeClr w14:val="tx1"/>
            </w14:solidFill>
          </w14:textFill>
        </w:rPr>
        <w:t>》等有关法律、法规和规章的规定，本招标项目已具备招标条件，现对本项目进行招标。</w:t>
      </w:r>
    </w:p>
    <w:p w14:paraId="4F562D8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1.1.2 本采购项目采购人：见投标人须知前附表。</w:t>
      </w:r>
    </w:p>
    <w:p w14:paraId="5A0EBD1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1.1.3 本采购项目采购代理机构：见投标人须知前附表。</w:t>
      </w:r>
    </w:p>
    <w:p w14:paraId="0658222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1.1.4 本采购项目名称：见投标人须知前附表。</w:t>
      </w:r>
    </w:p>
    <w:p w14:paraId="4718078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1.1.5 本采购项目地点：见投标人须知前附表。</w:t>
      </w:r>
    </w:p>
    <w:p w14:paraId="4CE8067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1.1.6 招标文件各章内容对投标事宜提出明确要求，投标人须仔细阅读和正确理解。因投标人在阅读、理解招标文件方面产生疏漏和误解，而导致投标不利后果的或者被废标的，其责任由投标人自负。</w:t>
      </w:r>
    </w:p>
    <w:p w14:paraId="37BADD7B">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53" w:name="_Toc14545"/>
      <w:bookmarkStart w:id="54" w:name="_Toc152045531"/>
      <w:bookmarkStart w:id="55" w:name="_Toc144974499"/>
      <w:bookmarkStart w:id="56" w:name="_Toc246996920"/>
      <w:bookmarkStart w:id="57" w:name="_Toc8384"/>
      <w:bookmarkStart w:id="58" w:name="_Toc30959"/>
      <w:bookmarkStart w:id="59" w:name="_Toc179632548"/>
      <w:bookmarkStart w:id="60" w:name="_Toc247085691"/>
      <w:bookmarkStart w:id="61" w:name="_Toc246996177"/>
      <w:bookmarkStart w:id="62" w:name="_Toc152042307"/>
      <w:r>
        <w:rPr>
          <w:rFonts w:hint="eastAsia" w:ascii="宋体" w:hAnsi="宋体" w:eastAsia="宋体" w:cs="宋体"/>
          <w:color w:val="000000" w:themeColor="text1"/>
          <w:sz w:val="24"/>
          <w:szCs w:val="24"/>
          <w14:textFill>
            <w14:solidFill>
              <w14:schemeClr w14:val="tx1"/>
            </w14:solidFill>
          </w14:textFill>
        </w:rPr>
        <w:t>1.2 资金来源和落实情况</w:t>
      </w:r>
      <w:bookmarkEnd w:id="53"/>
      <w:bookmarkEnd w:id="54"/>
      <w:bookmarkEnd w:id="55"/>
      <w:bookmarkEnd w:id="56"/>
      <w:bookmarkEnd w:id="57"/>
      <w:bookmarkEnd w:id="58"/>
      <w:bookmarkEnd w:id="59"/>
      <w:bookmarkEnd w:id="60"/>
      <w:bookmarkEnd w:id="61"/>
      <w:bookmarkEnd w:id="62"/>
    </w:p>
    <w:p w14:paraId="0781658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1.2.1本招标项目的资金来源及出资比例：见投标人须知前附表。</w:t>
      </w:r>
    </w:p>
    <w:p w14:paraId="10CA138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1.2.2本招标项目的项目预算：见投标人须知前附表。</w:t>
      </w:r>
    </w:p>
    <w:p w14:paraId="4F55058F">
      <w:pPr>
        <w:pStyle w:val="4"/>
        <w:pageBreakBefore w:val="0"/>
        <w:wordWrap/>
        <w:topLinePunct w:val="0"/>
        <w:autoSpaceDE/>
        <w:autoSpaceDN/>
        <w:bidi w:val="0"/>
        <w:adjustRightInd/>
        <w:spacing w:before="0" w:beforeLines="0" w:after="0" w:afterLines="0" w:line="600" w:lineRule="exact"/>
        <w:textAlignment w:val="auto"/>
        <w:rPr>
          <w:rFonts w:hint="default" w:ascii="宋体" w:hAnsi="宋体" w:eastAsia="宋体" w:cs="宋体"/>
          <w:color w:val="000000" w:themeColor="text1"/>
          <w:sz w:val="24"/>
          <w:szCs w:val="24"/>
          <w:lang w:val="en-US"/>
          <w14:textFill>
            <w14:solidFill>
              <w14:schemeClr w14:val="tx1"/>
            </w14:solidFill>
          </w14:textFill>
        </w:rPr>
      </w:pPr>
      <w:bookmarkStart w:id="63" w:name="_Toc144974500"/>
      <w:bookmarkStart w:id="64" w:name="_Toc179632549"/>
      <w:bookmarkStart w:id="65" w:name="_Toc246996178"/>
      <w:bookmarkStart w:id="66" w:name="_Toc18917"/>
      <w:bookmarkStart w:id="67" w:name="_Toc152045532"/>
      <w:bookmarkStart w:id="68" w:name="_Toc247085692"/>
      <w:bookmarkStart w:id="69" w:name="_Toc21770"/>
      <w:bookmarkStart w:id="70" w:name="_Toc246996921"/>
      <w:bookmarkStart w:id="71" w:name="_Toc20745"/>
      <w:bookmarkStart w:id="72" w:name="_Toc152042308"/>
      <w:r>
        <w:rPr>
          <w:rFonts w:hint="eastAsia" w:ascii="宋体" w:hAnsi="宋体" w:eastAsia="宋体" w:cs="宋体"/>
          <w:color w:val="000000" w:themeColor="text1"/>
          <w:sz w:val="24"/>
          <w:szCs w:val="24"/>
          <w14:textFill>
            <w14:solidFill>
              <w14:schemeClr w14:val="tx1"/>
            </w14:solidFill>
          </w14:textFill>
        </w:rPr>
        <w:t>1.3 招标内容、</w:t>
      </w:r>
      <w:bookmarkEnd w:id="63"/>
      <w:bookmarkEnd w:id="64"/>
      <w:bookmarkEnd w:id="65"/>
      <w:bookmarkEnd w:id="66"/>
      <w:bookmarkEnd w:id="67"/>
      <w:bookmarkEnd w:id="68"/>
      <w:bookmarkEnd w:id="69"/>
      <w:bookmarkEnd w:id="70"/>
      <w:bookmarkEnd w:id="71"/>
      <w:bookmarkEnd w:id="72"/>
      <w:r>
        <w:rPr>
          <w:rFonts w:hint="eastAsia" w:ascii="宋体" w:hAnsi="宋体" w:cs="宋体"/>
          <w:color w:val="000000" w:themeColor="text1"/>
          <w:sz w:val="24"/>
          <w:szCs w:val="24"/>
          <w:lang w:val="en-US" w:eastAsia="zh-CN"/>
          <w14:textFill>
            <w14:solidFill>
              <w14:schemeClr w14:val="tx1"/>
            </w14:solidFill>
          </w14:textFill>
        </w:rPr>
        <w:t>供货期、质保期</w:t>
      </w:r>
    </w:p>
    <w:p w14:paraId="0B8BF2D2">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bookmarkStart w:id="73" w:name="_Toc152045534"/>
      <w:bookmarkStart w:id="74" w:name="_Toc28754"/>
      <w:bookmarkStart w:id="75" w:name="_Toc144974502"/>
      <w:bookmarkStart w:id="76" w:name="_Toc246996922"/>
      <w:bookmarkStart w:id="77" w:name="_Toc246996179"/>
      <w:bookmarkStart w:id="78" w:name="_Toc152042310"/>
      <w:bookmarkStart w:id="79" w:name="_Toc3275"/>
      <w:bookmarkStart w:id="80" w:name="_Toc247085693"/>
      <w:bookmarkStart w:id="81" w:name="_Toc179632551"/>
      <w:bookmarkStart w:id="82" w:name="_Toc413"/>
      <w:r>
        <w:rPr>
          <w:rFonts w:hint="eastAsia" w:ascii="宋体" w:hAnsi="宋体" w:eastAsia="宋体" w:cs="宋体"/>
          <w:color w:val="000000" w:themeColor="text1"/>
          <w:sz w:val="24"/>
          <w:szCs w:val="24"/>
          <w14:textFill>
            <w14:solidFill>
              <w14:schemeClr w14:val="tx1"/>
            </w14:solidFill>
          </w14:textFill>
        </w:rPr>
        <w:t>1.3.1本次招标内容：见投标人须知前附表。</w:t>
      </w:r>
    </w:p>
    <w:p w14:paraId="24A4D8B1">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1.3.2本招标项目的</w:t>
      </w:r>
      <w:r>
        <w:rPr>
          <w:rFonts w:hint="eastAsia" w:ascii="宋体" w:hAnsi="宋体" w:eastAsia="宋体" w:cs="宋体"/>
          <w:color w:val="000000" w:themeColor="text1"/>
          <w:sz w:val="24"/>
          <w:szCs w:val="24"/>
          <w:lang w:eastAsia="zh-CN"/>
          <w14:textFill>
            <w14:solidFill>
              <w14:schemeClr w14:val="tx1"/>
            </w14:solidFill>
          </w14:textFill>
        </w:rPr>
        <w:t>供货期</w:t>
      </w:r>
      <w:r>
        <w:rPr>
          <w:rFonts w:hint="eastAsia" w:ascii="宋体" w:hAnsi="宋体" w:eastAsia="宋体" w:cs="宋体"/>
          <w:color w:val="000000" w:themeColor="text1"/>
          <w:sz w:val="24"/>
          <w:szCs w:val="24"/>
          <w14:textFill>
            <w14:solidFill>
              <w14:schemeClr w14:val="tx1"/>
            </w14:solidFill>
          </w14:textFill>
        </w:rPr>
        <w:t>：见投标人须知前附表。</w:t>
      </w:r>
    </w:p>
    <w:p w14:paraId="63B98F77">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本招标项目的</w:t>
      </w:r>
      <w:r>
        <w:rPr>
          <w:rFonts w:hint="eastAsia" w:ascii="宋体" w:hAnsi="宋体" w:eastAsia="宋体" w:cs="宋体"/>
          <w:color w:val="000000" w:themeColor="text1"/>
          <w:sz w:val="24"/>
          <w:szCs w:val="24"/>
          <w:lang w:eastAsia="zh-CN"/>
          <w14:textFill>
            <w14:solidFill>
              <w14:schemeClr w14:val="tx1"/>
            </w14:solidFill>
          </w14:textFill>
        </w:rPr>
        <w:t>质保期</w:t>
      </w:r>
      <w:r>
        <w:rPr>
          <w:rFonts w:hint="eastAsia" w:ascii="宋体" w:hAnsi="宋体" w:eastAsia="宋体" w:cs="宋体"/>
          <w:color w:val="000000" w:themeColor="text1"/>
          <w:sz w:val="24"/>
          <w:szCs w:val="24"/>
          <w14:textFill>
            <w14:solidFill>
              <w14:schemeClr w14:val="tx1"/>
            </w14:solidFill>
          </w14:textFill>
        </w:rPr>
        <w:t>：见投标人须知前附表</w:t>
      </w:r>
      <w:r>
        <w:rPr>
          <w:rFonts w:hint="eastAsia" w:ascii="宋体" w:hAnsi="宋体" w:eastAsia="宋体" w:cs="宋体"/>
          <w:color w:val="000000" w:themeColor="text1"/>
          <w:sz w:val="24"/>
          <w:szCs w:val="24"/>
          <w:lang w:eastAsia="zh-CN"/>
          <w14:textFill>
            <w14:solidFill>
              <w14:schemeClr w14:val="tx1"/>
            </w14:solidFill>
          </w14:textFill>
        </w:rPr>
        <w:t>。</w:t>
      </w:r>
    </w:p>
    <w:p w14:paraId="09B2D65A">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 投标人资格要求</w:t>
      </w:r>
      <w:bookmarkEnd w:id="73"/>
      <w:bookmarkEnd w:id="74"/>
      <w:bookmarkEnd w:id="75"/>
      <w:bookmarkEnd w:id="76"/>
      <w:bookmarkEnd w:id="77"/>
      <w:bookmarkEnd w:id="78"/>
      <w:bookmarkEnd w:id="79"/>
      <w:bookmarkEnd w:id="80"/>
      <w:bookmarkEnd w:id="81"/>
      <w:bookmarkEnd w:id="82"/>
    </w:p>
    <w:p w14:paraId="77C5259A">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1.4.1 投标人应具备承担本项目的资质条件、能力和信誉：见投标人须知前附表。</w:t>
      </w:r>
    </w:p>
    <w:p w14:paraId="36447217">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1.4.2 投标人须知前附表规定接受联合体投标的，除应符合本章第1.4.1项的要求外，还应遵守以下规定： </w:t>
      </w:r>
    </w:p>
    <w:p w14:paraId="62851556">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（1）联合体各方应按招标文件提供的格式签订联合体协议书，明确联合体牵头人和各方权利义务；</w:t>
      </w:r>
    </w:p>
    <w:p w14:paraId="41065647">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（2）由同一专业的单位组成的联合体，按照资质等级较低的单位确定资质等级； </w:t>
      </w:r>
    </w:p>
    <w:p w14:paraId="306407E4">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（3）联合体各方不得再以自己名义单独或参加其他联合体在同一标段中投标。</w:t>
      </w:r>
    </w:p>
    <w:p w14:paraId="30B5B075">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1.4.3投标人不得存在下列情形之一：</w:t>
      </w:r>
    </w:p>
    <w:p w14:paraId="2779FA3A">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（1）与采购人存在利害关系可能影响招标公正性的法人或其他组织；</w:t>
      </w:r>
    </w:p>
    <w:p w14:paraId="78E5F012">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（2）接受委托参与项目前期咨询和招标文件编制的法人或其他组织； </w:t>
      </w:r>
    </w:p>
    <w:p w14:paraId="5ACD81B2">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（3）为该项目的投标人编制投标文件或者提供咨询的机构；</w:t>
      </w:r>
    </w:p>
    <w:p w14:paraId="58E42085">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（4）为本招标项目提供招标代理服务的； </w:t>
      </w:r>
    </w:p>
    <w:p w14:paraId="473662EC">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（5）被责令停业的； </w:t>
      </w:r>
    </w:p>
    <w:p w14:paraId="0A278C1E">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（6）被暂停或取消投标资格的； </w:t>
      </w:r>
    </w:p>
    <w:p w14:paraId="30728A57">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（7）财产被接管或冻结的；</w:t>
      </w:r>
    </w:p>
    <w:p w14:paraId="19C5522B">
      <w:pPr>
        <w:pageBreakBefore w:val="0"/>
        <w:wordWrap/>
        <w:topLinePunct w:val="0"/>
        <w:autoSpaceDE/>
        <w:autoSpaceDN/>
        <w:bidi w:val="0"/>
        <w:adjustRightInd/>
        <w:spacing w:line="600" w:lineRule="exact"/>
        <w:ind w:firstLine="410" w:firstLineChars="171"/>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（8）在最近三年内有骗取中标或严重违约或重大质量问题的</w:t>
      </w:r>
      <w:r>
        <w:rPr>
          <w:rFonts w:hint="eastAsia" w:ascii="宋体" w:hAnsi="宋体" w:cs="宋体"/>
          <w:color w:val="000000" w:themeColor="text1"/>
          <w:sz w:val="24"/>
          <w:szCs w:val="24"/>
          <w:lang w:eastAsia="zh-CN"/>
          <w14:textFill>
            <w14:solidFill>
              <w14:schemeClr w14:val="tx1"/>
            </w14:solidFill>
          </w14:textFill>
        </w:rPr>
        <w:t>；</w:t>
      </w:r>
    </w:p>
    <w:p w14:paraId="751C7715">
      <w:pPr>
        <w:pageBreakBefore w:val="0"/>
        <w:wordWrap/>
        <w:topLinePunct w:val="0"/>
        <w:autoSpaceDE/>
        <w:autoSpaceDN/>
        <w:bidi w:val="0"/>
        <w:adjustRightInd/>
        <w:spacing w:line="600" w:lineRule="exact"/>
        <w:ind w:firstLine="410" w:firstLineChars="171"/>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9</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为本项目提供整体设计、规范编制或者项目管理、监理、检测等服务的供应商，不得再参与本项目投标。</w:t>
      </w:r>
    </w:p>
    <w:p w14:paraId="6CC4EC9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1.4.4 单位负责人为同一人或者存在控股、管理关系的不同单位，不得同时参加本招标项目投标。</w:t>
      </w:r>
    </w:p>
    <w:p w14:paraId="5AD1F161">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83" w:name="_Toc144974503"/>
      <w:bookmarkStart w:id="84" w:name="_Toc246996180"/>
      <w:bookmarkStart w:id="85" w:name="_Toc246996923"/>
      <w:bookmarkStart w:id="86" w:name="_Toc179632552"/>
      <w:bookmarkStart w:id="87" w:name="_Toc152042311"/>
      <w:bookmarkStart w:id="88" w:name="_Toc19113"/>
      <w:bookmarkStart w:id="89" w:name="_Toc247085694"/>
      <w:bookmarkStart w:id="90" w:name="_Toc1757"/>
      <w:bookmarkStart w:id="91" w:name="_Toc152045535"/>
      <w:bookmarkStart w:id="92" w:name="_Toc10816"/>
      <w:r>
        <w:rPr>
          <w:rFonts w:hint="eastAsia" w:ascii="宋体" w:hAnsi="宋体" w:eastAsia="宋体" w:cs="宋体"/>
          <w:color w:val="000000" w:themeColor="text1"/>
          <w:sz w:val="24"/>
          <w:szCs w:val="24"/>
          <w14:textFill>
            <w14:solidFill>
              <w14:schemeClr w14:val="tx1"/>
            </w14:solidFill>
          </w14:textFill>
        </w:rPr>
        <w:t>1.5 费用承担</w:t>
      </w:r>
      <w:bookmarkEnd w:id="83"/>
      <w:bookmarkEnd w:id="84"/>
      <w:bookmarkEnd w:id="85"/>
      <w:bookmarkEnd w:id="86"/>
      <w:bookmarkEnd w:id="87"/>
      <w:bookmarkEnd w:id="88"/>
      <w:bookmarkEnd w:id="89"/>
      <w:bookmarkEnd w:id="90"/>
      <w:bookmarkEnd w:id="91"/>
      <w:bookmarkEnd w:id="92"/>
    </w:p>
    <w:p w14:paraId="155CEAC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投标人准备和参加投标活动发生的费用自理。</w:t>
      </w:r>
    </w:p>
    <w:p w14:paraId="4AC9C96A">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93" w:name="_Toc144974504"/>
      <w:bookmarkStart w:id="94" w:name="_Toc246996181"/>
      <w:bookmarkStart w:id="95" w:name="_Toc179632553"/>
      <w:bookmarkStart w:id="96" w:name="_Toc5909"/>
      <w:bookmarkStart w:id="97" w:name="_Toc152045536"/>
      <w:bookmarkStart w:id="98" w:name="_Toc247085695"/>
      <w:bookmarkStart w:id="99" w:name="_Toc246996924"/>
      <w:bookmarkStart w:id="100" w:name="_Toc152042312"/>
      <w:bookmarkStart w:id="101" w:name="_Toc1605"/>
      <w:bookmarkStart w:id="102" w:name="_Toc3803"/>
      <w:r>
        <w:rPr>
          <w:rFonts w:hint="eastAsia" w:ascii="宋体" w:hAnsi="宋体" w:eastAsia="宋体" w:cs="宋体"/>
          <w:color w:val="000000" w:themeColor="text1"/>
          <w:sz w:val="24"/>
          <w:szCs w:val="24"/>
          <w14:textFill>
            <w14:solidFill>
              <w14:schemeClr w14:val="tx1"/>
            </w14:solidFill>
          </w14:textFill>
        </w:rPr>
        <w:t>1.6 保密</w:t>
      </w:r>
      <w:bookmarkEnd w:id="93"/>
      <w:bookmarkEnd w:id="94"/>
      <w:bookmarkEnd w:id="95"/>
      <w:bookmarkEnd w:id="96"/>
      <w:bookmarkEnd w:id="97"/>
      <w:bookmarkEnd w:id="98"/>
      <w:bookmarkEnd w:id="99"/>
      <w:bookmarkEnd w:id="100"/>
      <w:bookmarkEnd w:id="101"/>
      <w:bookmarkEnd w:id="102"/>
    </w:p>
    <w:p w14:paraId="10A1FF6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参与招标投标活动的各方应对招标文件和投标文件中的商业和技术等秘密保密，违者应对由此造成的后果承担法律责任。 </w:t>
      </w:r>
    </w:p>
    <w:p w14:paraId="71428856">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103" w:name="_Toc144974505"/>
      <w:bookmarkStart w:id="104" w:name="_Toc247085696"/>
      <w:bookmarkStart w:id="105" w:name="_Toc152042313"/>
      <w:bookmarkStart w:id="106" w:name="_Toc977"/>
      <w:bookmarkStart w:id="107" w:name="_Toc246996182"/>
      <w:bookmarkStart w:id="108" w:name="_Toc152045537"/>
      <w:bookmarkStart w:id="109" w:name="_Toc246996925"/>
      <w:bookmarkStart w:id="110" w:name="_Toc24696"/>
      <w:bookmarkStart w:id="111" w:name="_Toc179632554"/>
      <w:bookmarkStart w:id="112" w:name="_Toc5424"/>
      <w:r>
        <w:rPr>
          <w:rFonts w:hint="eastAsia" w:ascii="宋体" w:hAnsi="宋体" w:eastAsia="宋体" w:cs="宋体"/>
          <w:color w:val="000000" w:themeColor="text1"/>
          <w:sz w:val="24"/>
          <w:szCs w:val="24"/>
          <w14:textFill>
            <w14:solidFill>
              <w14:schemeClr w14:val="tx1"/>
            </w14:solidFill>
          </w14:textFill>
        </w:rPr>
        <w:t>1.7 语言</w:t>
      </w:r>
      <w:bookmarkEnd w:id="103"/>
      <w:r>
        <w:rPr>
          <w:rFonts w:hint="eastAsia" w:ascii="宋体" w:hAnsi="宋体" w:eastAsia="宋体" w:cs="宋体"/>
          <w:color w:val="000000" w:themeColor="text1"/>
          <w:sz w:val="24"/>
          <w:szCs w:val="24"/>
          <w14:textFill>
            <w14:solidFill>
              <w14:schemeClr w14:val="tx1"/>
            </w14:solidFill>
          </w14:textFill>
        </w:rPr>
        <w:t>文字</w:t>
      </w:r>
      <w:bookmarkEnd w:id="104"/>
      <w:bookmarkEnd w:id="105"/>
      <w:bookmarkEnd w:id="106"/>
      <w:bookmarkEnd w:id="107"/>
      <w:bookmarkEnd w:id="108"/>
      <w:bookmarkEnd w:id="109"/>
      <w:bookmarkEnd w:id="110"/>
      <w:bookmarkEnd w:id="111"/>
      <w:bookmarkEnd w:id="112"/>
    </w:p>
    <w:p w14:paraId="3A21A8E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113" w:name="_Toc144974506"/>
      <w:bookmarkStart w:id="114" w:name="_Toc247085697"/>
      <w:bookmarkStart w:id="115" w:name="_Toc152045538"/>
      <w:bookmarkStart w:id="116" w:name="_Toc246996183"/>
      <w:bookmarkStart w:id="117" w:name="_Toc179632555"/>
      <w:bookmarkStart w:id="118" w:name="_Toc246996926"/>
      <w:bookmarkStart w:id="119" w:name="_Toc152042314"/>
      <w:r>
        <w:rPr>
          <w:rFonts w:hint="eastAsia" w:ascii="宋体" w:hAnsi="宋体" w:eastAsia="宋体" w:cs="宋体"/>
          <w:color w:val="000000" w:themeColor="text1"/>
          <w:sz w:val="24"/>
          <w:szCs w:val="24"/>
          <w14:textFill>
            <w14:solidFill>
              <w14:schemeClr w14:val="tx1"/>
            </w14:solidFill>
          </w14:textFill>
        </w:rPr>
        <w:t>招标投标文件使用的语言文字为中文。专用术语使用外文的，应附有中文注释。</w:t>
      </w:r>
    </w:p>
    <w:p w14:paraId="4CF456ED">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120" w:name="_Toc13990"/>
      <w:bookmarkStart w:id="121" w:name="_Toc23391"/>
      <w:bookmarkStart w:id="122" w:name="_Toc9225"/>
      <w:r>
        <w:rPr>
          <w:rFonts w:hint="eastAsia" w:ascii="宋体" w:hAnsi="宋体" w:eastAsia="宋体" w:cs="宋体"/>
          <w:color w:val="000000" w:themeColor="text1"/>
          <w:sz w:val="24"/>
          <w:szCs w:val="24"/>
          <w14:textFill>
            <w14:solidFill>
              <w14:schemeClr w14:val="tx1"/>
            </w14:solidFill>
          </w14:textFill>
        </w:rPr>
        <w:t>1.8 计量单位</w:t>
      </w:r>
      <w:bookmarkEnd w:id="113"/>
      <w:bookmarkEnd w:id="114"/>
      <w:bookmarkEnd w:id="115"/>
      <w:bookmarkEnd w:id="116"/>
      <w:bookmarkEnd w:id="117"/>
      <w:bookmarkEnd w:id="118"/>
      <w:bookmarkEnd w:id="119"/>
      <w:bookmarkEnd w:id="120"/>
      <w:bookmarkEnd w:id="121"/>
      <w:bookmarkEnd w:id="122"/>
    </w:p>
    <w:p w14:paraId="78D8E1A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所有计量均采用中华人民共和国法定计量单位。</w:t>
      </w:r>
    </w:p>
    <w:p w14:paraId="51BEEEB6">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123" w:name="_Toc22945"/>
      <w:bookmarkStart w:id="124" w:name="_Toc247592876"/>
      <w:bookmarkStart w:id="125" w:name="_Toc247513962"/>
      <w:bookmarkStart w:id="126" w:name="_Toc152042315"/>
      <w:bookmarkStart w:id="127" w:name="_Toc27993"/>
      <w:bookmarkStart w:id="128" w:name="_Toc152045539"/>
      <w:bookmarkStart w:id="129" w:name="_Toc19468"/>
      <w:bookmarkStart w:id="130" w:name="_Toc144974507"/>
      <w:bookmarkStart w:id="131" w:name="_Toc247527563"/>
      <w:r>
        <w:rPr>
          <w:rFonts w:hint="eastAsia" w:ascii="宋体" w:hAnsi="宋体" w:eastAsia="宋体" w:cs="宋体"/>
          <w:color w:val="000000" w:themeColor="text1"/>
          <w:sz w:val="24"/>
          <w:szCs w:val="24"/>
          <w14:textFill>
            <w14:solidFill>
              <w14:schemeClr w14:val="tx1"/>
            </w14:solidFill>
          </w14:textFill>
        </w:rPr>
        <w:t>1.9 踏勘现场</w:t>
      </w:r>
      <w:bookmarkEnd w:id="123"/>
      <w:bookmarkEnd w:id="124"/>
      <w:bookmarkEnd w:id="125"/>
      <w:bookmarkEnd w:id="126"/>
      <w:bookmarkEnd w:id="127"/>
      <w:bookmarkEnd w:id="128"/>
      <w:bookmarkEnd w:id="129"/>
      <w:bookmarkEnd w:id="130"/>
      <w:bookmarkEnd w:id="131"/>
    </w:p>
    <w:p w14:paraId="0EA1D73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1.9.1 投标人须知前附表规定组织踏勘现场的，采购人按投标人须知前附表规定的时间、地点组织投标人踏勘项目现场。 </w:t>
      </w:r>
    </w:p>
    <w:p w14:paraId="2AEBE2F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1.9.2 投标人踏勘现场发生的费用自理。</w:t>
      </w:r>
    </w:p>
    <w:p w14:paraId="3D57AD9A">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132" w:name="_Toc247513963"/>
      <w:bookmarkStart w:id="133" w:name="_Toc247527564"/>
      <w:bookmarkStart w:id="134" w:name="_Toc144974508"/>
      <w:bookmarkStart w:id="135" w:name="_Toc247592877"/>
      <w:bookmarkStart w:id="136" w:name="_Toc152045540"/>
      <w:bookmarkStart w:id="137" w:name="_Toc3757"/>
      <w:bookmarkStart w:id="138" w:name="_Toc152042316"/>
      <w:bookmarkStart w:id="139" w:name="_Toc80"/>
      <w:bookmarkStart w:id="140" w:name="_Toc30092"/>
      <w:r>
        <w:rPr>
          <w:rFonts w:hint="eastAsia" w:ascii="宋体" w:hAnsi="宋体" w:eastAsia="宋体" w:cs="宋体"/>
          <w:color w:val="000000" w:themeColor="text1"/>
          <w:sz w:val="24"/>
          <w:szCs w:val="24"/>
          <w14:textFill>
            <w14:solidFill>
              <w14:schemeClr w14:val="tx1"/>
            </w14:solidFill>
          </w14:textFill>
        </w:rPr>
        <w:t>1.10 投标预备会</w:t>
      </w:r>
      <w:bookmarkEnd w:id="132"/>
      <w:bookmarkEnd w:id="133"/>
      <w:bookmarkEnd w:id="134"/>
      <w:bookmarkEnd w:id="135"/>
      <w:bookmarkEnd w:id="136"/>
      <w:bookmarkEnd w:id="137"/>
      <w:bookmarkEnd w:id="138"/>
      <w:bookmarkEnd w:id="139"/>
      <w:bookmarkEnd w:id="140"/>
    </w:p>
    <w:p w14:paraId="6FAF11C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141" w:name="_Toc11626"/>
      <w:bookmarkStart w:id="142" w:name="_Toc4429"/>
      <w:r>
        <w:rPr>
          <w:rFonts w:hint="eastAsia" w:ascii="宋体" w:hAnsi="宋体" w:eastAsia="宋体" w:cs="宋体"/>
          <w:color w:val="000000" w:themeColor="text1"/>
          <w:sz w:val="24"/>
          <w:szCs w:val="24"/>
          <w14:textFill>
            <w14:solidFill>
              <w14:schemeClr w14:val="tx1"/>
            </w14:solidFill>
          </w14:textFill>
        </w:rPr>
        <w:t>1.10.1 投标人须知前附表规定召开投标预备会的，采购人按投标人须知前附表规定的时间和地点召开投标预备会，澄清投标人提出的问题。</w:t>
      </w:r>
    </w:p>
    <w:p w14:paraId="609FEC9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1.10.2 投标人应在投标人须知前附表规定的时间前，以书面形式将提出的问题送达采购人，以便采购人在会议期间澄清。</w:t>
      </w:r>
    </w:p>
    <w:p w14:paraId="1D48321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1.10.3采购人书面澄清的时间：见投标人须知前附表。</w:t>
      </w:r>
    </w:p>
    <w:p w14:paraId="773C6E6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1.10.4购买招标文件的时间、地点：见投标人须知前附表。</w:t>
      </w:r>
    </w:p>
    <w:bookmarkEnd w:id="141"/>
    <w:bookmarkEnd w:id="142"/>
    <w:p w14:paraId="286CCFA1">
      <w:pPr>
        <w:pageBreakBefore w:val="0"/>
        <w:wordWrap/>
        <w:topLinePunct w:val="0"/>
        <w:autoSpaceDE/>
        <w:autoSpaceDN/>
        <w:bidi w:val="0"/>
        <w:adjustRightInd/>
        <w:spacing w:line="600" w:lineRule="exact"/>
        <w:ind w:firstLine="482" w:firstLineChars="20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bookmarkStart w:id="143" w:name="_Toc179632560"/>
      <w:bookmarkStart w:id="144" w:name="_Toc152045542"/>
      <w:bookmarkStart w:id="145" w:name="_Toc31978"/>
      <w:bookmarkStart w:id="146" w:name="_Toc18581"/>
      <w:bookmarkStart w:id="147" w:name="_Toc246996187"/>
      <w:bookmarkStart w:id="148" w:name="_Toc13281"/>
      <w:bookmarkStart w:id="149" w:name="_Toc246996930"/>
      <w:bookmarkStart w:id="150" w:name="_Toc144974510"/>
      <w:bookmarkStart w:id="151" w:name="_Toc152042318"/>
      <w:bookmarkStart w:id="152" w:name="_Toc247085701"/>
      <w:r>
        <w:rPr>
          <w:rFonts w:hint="eastAsia" w:ascii="宋体" w:hAnsi="宋体" w:eastAsia="宋体" w:cs="宋体"/>
          <w:b/>
          <w:bCs/>
          <w:color w:val="000000" w:themeColor="text1"/>
          <w:sz w:val="24"/>
          <w:szCs w:val="24"/>
          <w:lang w:val="en-US" w:eastAsia="zh-CN"/>
          <w14:textFill>
            <w14:solidFill>
              <w14:schemeClr w14:val="tx1"/>
            </w14:solidFill>
          </w14:textFill>
        </w:rPr>
        <w:t>1.11 关于同一品牌产品的处理</w:t>
      </w:r>
    </w:p>
    <w:p w14:paraId="6C73132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1.11.1.单一产品采购项目中，提供相同品牌的产品的不同供应商参加同一合同项下投标的，提供相同品牌产品且通过资格审查、符合性审查的不同供应商，按一家供应商计算，评审后得分最高的同品牌供应商获得中标（成交）供应商推荐资格；评审得分相同的，由评标委员会按照最后报价最低的方式确定一个获得中标（成交）供应商推荐资格，其他同品牌供应商不作为中标（成交）候选人。</w:t>
      </w:r>
    </w:p>
    <w:p w14:paraId="1356797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1.11.2.非单一产品采购项目，采购人将根据采购项目技术构成、产品价格比重等因素确定核心产品（可能不止一种），并在招标文件中载明。提供相同品牌的核心产品且通过资格审查、符合性审查的不同供应商参加同一合同项下投标的，按一家供应商计算，评审后得分最高的同品牌供应商获得中标（成交）供应商推荐资格；评审得分相同的，由评标委员会按照投标报价最低的方式确定一个获得中标（成交）供应商推荐资格，其他同品牌供应商不作为中标（成交）候选人。</w:t>
      </w:r>
    </w:p>
    <w:p w14:paraId="696FC5B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1.11.3.核心产品为两个以上时，多家供应商提供的核心产品有部分采用或全部采用相同品牌的，按一家供应商计算。</w:t>
      </w:r>
    </w:p>
    <w:p w14:paraId="2F4DAC58">
      <w:pPr>
        <w:bidi w:val="0"/>
        <w:jc w:val="center"/>
        <w:rPr>
          <w:rFonts w:hint="eastAsia" w:ascii="宋体" w:hAnsi="宋体" w:eastAsia="宋体" w:cs="宋体"/>
          <w:b/>
          <w:bCs/>
          <w:i w:val="0"/>
          <w:iCs w:val="0"/>
          <w:color w:val="000000" w:themeColor="text1"/>
          <w:sz w:val="24"/>
          <w:szCs w:val="24"/>
          <w14:textFill>
            <w14:solidFill>
              <w14:schemeClr w14:val="tx1"/>
            </w14:solidFill>
          </w14:textFill>
        </w:rPr>
      </w:pPr>
      <w:r>
        <w:rPr>
          <w:rFonts w:hint="eastAsia" w:ascii="宋体" w:hAnsi="宋体" w:eastAsia="宋体" w:cs="宋体"/>
          <w:b/>
          <w:bCs/>
          <w:i w:val="0"/>
          <w:iCs w:val="0"/>
          <w:color w:val="000000" w:themeColor="text1"/>
          <w:sz w:val="24"/>
          <w:szCs w:val="24"/>
          <w14:textFill>
            <w14:solidFill>
              <w14:schemeClr w14:val="tx1"/>
            </w14:solidFill>
          </w14:textFill>
        </w:rPr>
        <w:t>2. 招标文件</w:t>
      </w:r>
      <w:bookmarkEnd w:id="143"/>
      <w:bookmarkEnd w:id="144"/>
      <w:bookmarkEnd w:id="145"/>
      <w:bookmarkEnd w:id="146"/>
      <w:bookmarkEnd w:id="147"/>
      <w:bookmarkEnd w:id="148"/>
      <w:bookmarkEnd w:id="149"/>
      <w:bookmarkEnd w:id="150"/>
      <w:bookmarkEnd w:id="151"/>
      <w:bookmarkEnd w:id="152"/>
    </w:p>
    <w:p w14:paraId="1DACEDE6">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153" w:name="_Toc144974511"/>
      <w:bookmarkStart w:id="154" w:name="_Toc179632561"/>
      <w:bookmarkStart w:id="155" w:name="_Toc246996931"/>
      <w:bookmarkStart w:id="156" w:name="_Toc152042319"/>
      <w:bookmarkStart w:id="157" w:name="_Toc29070"/>
      <w:bookmarkStart w:id="158" w:name="_Toc25465"/>
      <w:bookmarkStart w:id="159" w:name="_Toc9862"/>
      <w:bookmarkStart w:id="160" w:name="_Toc246996188"/>
      <w:bookmarkStart w:id="161" w:name="_Toc152045543"/>
      <w:bookmarkStart w:id="162" w:name="_Toc247085702"/>
      <w:r>
        <w:rPr>
          <w:rFonts w:hint="eastAsia" w:ascii="宋体" w:hAnsi="宋体" w:eastAsia="宋体" w:cs="宋体"/>
          <w:color w:val="000000" w:themeColor="text1"/>
          <w:sz w:val="24"/>
          <w:szCs w:val="24"/>
          <w14:textFill>
            <w14:solidFill>
              <w14:schemeClr w14:val="tx1"/>
            </w14:solidFill>
          </w14:textFill>
        </w:rPr>
        <w:t>2.1 招标文件的组成</w:t>
      </w:r>
      <w:bookmarkEnd w:id="153"/>
      <w:bookmarkEnd w:id="154"/>
      <w:bookmarkEnd w:id="155"/>
      <w:bookmarkEnd w:id="156"/>
      <w:bookmarkEnd w:id="157"/>
      <w:bookmarkEnd w:id="158"/>
      <w:bookmarkEnd w:id="159"/>
      <w:bookmarkEnd w:id="160"/>
      <w:bookmarkEnd w:id="161"/>
      <w:bookmarkEnd w:id="162"/>
    </w:p>
    <w:p w14:paraId="6A8A08DC">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2.1.1 本招标文件包括：</w:t>
      </w:r>
    </w:p>
    <w:p w14:paraId="129A905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第一章 招标公告；</w:t>
      </w:r>
    </w:p>
    <w:p w14:paraId="0AE826B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第二章 投标人须知；</w:t>
      </w:r>
    </w:p>
    <w:p w14:paraId="1531C5E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第三章 投标人资格证明文件及审核</w:t>
      </w:r>
      <w:r>
        <w:rPr>
          <w:rFonts w:hint="eastAsia" w:ascii="宋体" w:hAnsi="宋体" w:eastAsia="宋体" w:cs="宋体"/>
          <w:color w:val="000000" w:themeColor="text1"/>
          <w:sz w:val="24"/>
          <w:szCs w:val="24"/>
          <w:lang w:eastAsia="zh-CN"/>
          <w14:textFill>
            <w14:solidFill>
              <w14:schemeClr w14:val="tx1"/>
            </w14:solidFill>
          </w14:textFill>
        </w:rPr>
        <w:t>；</w:t>
      </w:r>
    </w:p>
    <w:p w14:paraId="2C03F4D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第四章 评标办法前附表及评标办法；</w:t>
      </w:r>
    </w:p>
    <w:p w14:paraId="2402EFD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第五章 合同（拟签订</w:t>
      </w:r>
      <w:r>
        <w:rPr>
          <w:rFonts w:hint="eastAsia" w:ascii="宋体" w:hAnsi="宋体" w:cs="宋体"/>
          <w:color w:val="000000" w:themeColor="text1"/>
          <w:sz w:val="24"/>
          <w:szCs w:val="24"/>
          <w:lang w:val="en-US" w:eastAsia="zh-CN"/>
          <w14:textFill>
            <w14:solidFill>
              <w14:schemeClr w14:val="tx1"/>
            </w14:solidFill>
          </w14:textFill>
        </w:rPr>
        <w:t>合同</w:t>
      </w:r>
      <w:r>
        <w:rPr>
          <w:rFonts w:hint="eastAsia" w:ascii="宋体" w:hAnsi="宋体" w:eastAsia="宋体" w:cs="宋体"/>
          <w:color w:val="000000" w:themeColor="text1"/>
          <w:sz w:val="24"/>
          <w:szCs w:val="24"/>
          <w14:textFill>
            <w14:solidFill>
              <w14:schemeClr w14:val="tx1"/>
            </w14:solidFill>
          </w14:textFill>
        </w:rPr>
        <w:t>文本）；</w:t>
      </w:r>
    </w:p>
    <w:p w14:paraId="02C5578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第六章 技术要求；</w:t>
      </w:r>
    </w:p>
    <w:p w14:paraId="23378E8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第七章 投标文件格式。</w:t>
      </w:r>
    </w:p>
    <w:p w14:paraId="69EF106F">
      <w:pPr>
        <w:pageBreakBefore w:val="0"/>
        <w:kinsoku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2.1.2 根据本章第1.10款、第2.2款和第2.3款对招标文件所作的澄清、修改，构成招标文件的组成部分。</w:t>
      </w:r>
    </w:p>
    <w:p w14:paraId="3B220C17">
      <w:pPr>
        <w:pageBreakBefore w:val="0"/>
        <w:kinsoku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2.1.3 投标人应同时认真审阅招标文件中所有的事项、格式、条款和规范要求等，若投标人的投标文件没有按照招标文件要求提交全部资料，或投标文件没有对招标文件做出实质性响应，其风险由投标人自行承担，并根据有关条款规定，该投标将被拒绝。</w:t>
      </w:r>
    </w:p>
    <w:p w14:paraId="7615C562">
      <w:pPr>
        <w:pageBreakBefore w:val="0"/>
        <w:kinsoku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2.1.4招标文件由</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登记发售，一经售出，恕不能退。</w:t>
      </w:r>
    </w:p>
    <w:p w14:paraId="1B3A4D20">
      <w:pPr>
        <w:pageBreakBefore w:val="0"/>
        <w:kinsoku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2.1.5投标人不得擅自转让、变卖或复制招标文件进行投标。</w:t>
      </w:r>
    </w:p>
    <w:p w14:paraId="1B8F5F9E">
      <w:pPr>
        <w:pageBreakBefore w:val="0"/>
        <w:kinsoku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2.1.6招标文件的解释权归</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w:t>
      </w:r>
    </w:p>
    <w:p w14:paraId="75BC85A4">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163" w:name="_Toc9540"/>
      <w:bookmarkStart w:id="164" w:name="_Toc152042320"/>
      <w:bookmarkStart w:id="165" w:name="_Toc25646"/>
      <w:bookmarkStart w:id="166" w:name="_Toc246996189"/>
      <w:bookmarkStart w:id="167" w:name="_Toc246996932"/>
      <w:bookmarkStart w:id="168" w:name="_Toc247085703"/>
      <w:bookmarkStart w:id="169" w:name="_Toc179632562"/>
      <w:bookmarkStart w:id="170" w:name="_Toc144974512"/>
      <w:bookmarkStart w:id="171" w:name="_Toc152045544"/>
      <w:bookmarkStart w:id="172" w:name="_Toc19400"/>
      <w:r>
        <w:rPr>
          <w:rFonts w:hint="eastAsia" w:ascii="宋体" w:hAnsi="宋体" w:eastAsia="宋体" w:cs="宋体"/>
          <w:color w:val="000000" w:themeColor="text1"/>
          <w:sz w:val="24"/>
          <w:szCs w:val="24"/>
          <w14:textFill>
            <w14:solidFill>
              <w14:schemeClr w14:val="tx1"/>
            </w14:solidFill>
          </w14:textFill>
        </w:rPr>
        <w:t>2.2 招标文件的澄清</w:t>
      </w:r>
      <w:bookmarkEnd w:id="163"/>
      <w:bookmarkEnd w:id="164"/>
      <w:bookmarkEnd w:id="165"/>
      <w:bookmarkEnd w:id="166"/>
      <w:bookmarkEnd w:id="167"/>
      <w:bookmarkEnd w:id="168"/>
      <w:bookmarkEnd w:id="169"/>
      <w:bookmarkEnd w:id="170"/>
      <w:bookmarkEnd w:id="171"/>
      <w:bookmarkEnd w:id="172"/>
      <w:r>
        <w:rPr>
          <w:rFonts w:hint="eastAsia" w:ascii="宋体" w:hAnsi="宋体" w:eastAsia="宋体" w:cs="宋体"/>
          <w:color w:val="000000" w:themeColor="text1"/>
          <w:sz w:val="24"/>
          <w:szCs w:val="24"/>
          <w14:textFill>
            <w14:solidFill>
              <w14:schemeClr w14:val="tx1"/>
            </w14:solidFill>
          </w14:textFill>
        </w:rPr>
        <w:t xml:space="preserve"> </w:t>
      </w:r>
    </w:p>
    <w:p w14:paraId="22E0B92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2.2.1 投标人应仔细阅读和检查招标文件的全部内容。如发现缺页或附件不全，应及时向采购人提出，以便补齐。如有疑问，应在投标人须知前附表规定的时间前以书面形式（包括信函、电报、传真等可以有形地表现所载内容的形式，下同），要求采购人对招标文件予以澄清，逾期将失去提出异议的权利；</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在投标截止时间</w:t>
      </w:r>
      <w:r>
        <w:rPr>
          <w:rFonts w:hint="eastAsia" w:ascii="宋体" w:hAnsi="宋体" w:cs="宋体"/>
          <w:color w:val="000000" w:themeColor="text1"/>
          <w:sz w:val="24"/>
          <w:szCs w:val="24"/>
          <w:lang w:val="en-US" w:eastAsia="zh-CN"/>
          <w14:textFill>
            <w14:solidFill>
              <w14:schemeClr w14:val="tx1"/>
            </w14:solidFill>
          </w14:textFill>
        </w:rPr>
        <w:t>十五</w:t>
      </w:r>
      <w:r>
        <w:rPr>
          <w:rFonts w:hint="eastAsia" w:ascii="宋体" w:hAnsi="宋体" w:eastAsia="宋体" w:cs="宋体"/>
          <w:color w:val="000000" w:themeColor="text1"/>
          <w:sz w:val="24"/>
          <w:szCs w:val="24"/>
          <w14:textFill>
            <w14:solidFill>
              <w14:schemeClr w14:val="tx1"/>
            </w14:solidFill>
          </w14:textFill>
        </w:rPr>
        <w:t>日前以书面形式予以答复；必要时将书面答复传送给所有招标文件收受人。投标人在收到该澄清文件后应于一日内，以书面形式予以确认，该澄清、修改或补正的内容作为招标文件的组成部分，具有约束作用。</w:t>
      </w:r>
    </w:p>
    <w:p w14:paraId="09C767B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2.2.2 投标截止时间：</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可对已发出的招标文件进行必要的修改、澄清或补正，修改、澄清或补正的内容在投标截止时间十五日前，在财政部门指定的政府采购信息发布媒体上发布更正公告，并以书面形式通知所有招标文件收受人，该澄清或修改的内容为招标文件的组成部分。</w:t>
      </w:r>
    </w:p>
    <w:p w14:paraId="07617D0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2.2.3招标文件的澄清将以书面形式发给所有购买招标文件的投标人，但不指明澄清问题的来源。如果澄清发出的时间距投标人须知前附表规定的投标截止时间不足15天，并且澄清内容影响投标文件编制的，将相应延长投标截止时间。 </w:t>
      </w:r>
    </w:p>
    <w:p w14:paraId="0BDC0AE4">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173" w:name="_Toc152045545"/>
      <w:bookmarkStart w:id="174" w:name="_Toc27203"/>
      <w:bookmarkStart w:id="175" w:name="_Toc144974513"/>
      <w:bookmarkStart w:id="176" w:name="_Toc179632563"/>
      <w:bookmarkStart w:id="177" w:name="_Toc32623"/>
      <w:bookmarkStart w:id="178" w:name="_Toc13614"/>
      <w:bookmarkStart w:id="179" w:name="_Toc246996933"/>
      <w:bookmarkStart w:id="180" w:name="_Toc246996190"/>
      <w:bookmarkStart w:id="181" w:name="_Toc152042321"/>
      <w:bookmarkStart w:id="182" w:name="_Toc247085704"/>
      <w:r>
        <w:rPr>
          <w:rFonts w:hint="eastAsia" w:ascii="宋体" w:hAnsi="宋体" w:eastAsia="宋体" w:cs="宋体"/>
          <w:color w:val="000000" w:themeColor="text1"/>
          <w:sz w:val="24"/>
          <w:szCs w:val="24"/>
          <w14:textFill>
            <w14:solidFill>
              <w14:schemeClr w14:val="tx1"/>
            </w14:solidFill>
          </w14:textFill>
        </w:rPr>
        <w:t>2.3 招标文件的修改</w:t>
      </w:r>
      <w:bookmarkEnd w:id="173"/>
      <w:bookmarkEnd w:id="174"/>
      <w:bookmarkEnd w:id="175"/>
      <w:bookmarkEnd w:id="176"/>
      <w:bookmarkEnd w:id="177"/>
      <w:bookmarkEnd w:id="178"/>
      <w:bookmarkEnd w:id="179"/>
      <w:bookmarkEnd w:id="180"/>
      <w:bookmarkEnd w:id="181"/>
      <w:bookmarkEnd w:id="182"/>
    </w:p>
    <w:p w14:paraId="3711E81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2.3.1招标文件的澄清、修改、补充等内容均以书面形式明确的内容为准。当招标文件、招标文件的澄清、修改、补充等在同一内容的表述不一致时，以最后发出的书面文件为准。</w:t>
      </w:r>
    </w:p>
    <w:p w14:paraId="0FB625F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2.3.2投标人确认收到招标文件修改的时间：见投标人须知前附表。</w:t>
      </w:r>
      <w:bookmarkStart w:id="183" w:name="_Toc152042322"/>
      <w:bookmarkStart w:id="184" w:name="_Toc152045546"/>
      <w:bookmarkStart w:id="185" w:name="_Toc179632564"/>
      <w:bookmarkStart w:id="186" w:name="_Toc144974514"/>
      <w:bookmarkStart w:id="187" w:name="_Toc7461"/>
      <w:bookmarkStart w:id="188" w:name="_Toc247085705"/>
      <w:bookmarkStart w:id="189" w:name="_Toc246996934"/>
      <w:bookmarkStart w:id="190" w:name="_Toc246996191"/>
      <w:bookmarkStart w:id="191" w:name="_Toc23378"/>
      <w:bookmarkStart w:id="192" w:name="_Toc8058"/>
    </w:p>
    <w:p w14:paraId="3F3F53A7">
      <w:pPr>
        <w:pStyle w:val="3"/>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 投标文件</w:t>
      </w:r>
      <w:bookmarkEnd w:id="183"/>
      <w:bookmarkEnd w:id="184"/>
      <w:bookmarkEnd w:id="185"/>
      <w:bookmarkEnd w:id="186"/>
      <w:bookmarkEnd w:id="187"/>
      <w:bookmarkEnd w:id="188"/>
      <w:bookmarkEnd w:id="189"/>
      <w:bookmarkEnd w:id="190"/>
      <w:bookmarkEnd w:id="191"/>
      <w:bookmarkEnd w:id="192"/>
    </w:p>
    <w:p w14:paraId="1D5D72CA">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193" w:name="_Toc247085706"/>
      <w:bookmarkStart w:id="194" w:name="_Toc152042323"/>
      <w:bookmarkStart w:id="195" w:name="_Toc237"/>
      <w:bookmarkStart w:id="196" w:name="_Toc144974515"/>
      <w:bookmarkStart w:id="197" w:name="_Toc179632565"/>
      <w:bookmarkStart w:id="198" w:name="_Toc246996192"/>
      <w:bookmarkStart w:id="199" w:name="_Toc246996935"/>
      <w:bookmarkStart w:id="200" w:name="_Toc27247"/>
      <w:bookmarkStart w:id="201" w:name="_Toc28974"/>
      <w:bookmarkStart w:id="202" w:name="_Toc152045547"/>
      <w:r>
        <w:rPr>
          <w:rFonts w:hint="eastAsia" w:ascii="宋体" w:hAnsi="宋体" w:eastAsia="宋体" w:cs="宋体"/>
          <w:color w:val="000000" w:themeColor="text1"/>
          <w:sz w:val="24"/>
          <w:szCs w:val="24"/>
          <w14:textFill>
            <w14:solidFill>
              <w14:schemeClr w14:val="tx1"/>
            </w14:solidFill>
          </w14:textFill>
        </w:rPr>
        <w:t>3.1 投标文件的组成</w:t>
      </w:r>
      <w:bookmarkEnd w:id="193"/>
      <w:bookmarkEnd w:id="194"/>
      <w:bookmarkEnd w:id="195"/>
      <w:bookmarkEnd w:id="196"/>
      <w:bookmarkEnd w:id="197"/>
      <w:bookmarkEnd w:id="198"/>
      <w:bookmarkEnd w:id="199"/>
      <w:bookmarkEnd w:id="200"/>
      <w:bookmarkEnd w:id="201"/>
      <w:bookmarkEnd w:id="202"/>
    </w:p>
    <w:p w14:paraId="2D94523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203" w:name="_Toc246996936"/>
      <w:bookmarkStart w:id="204" w:name="_Toc246996193"/>
      <w:bookmarkStart w:id="205" w:name="_Toc179632566"/>
      <w:bookmarkStart w:id="206" w:name="_Toc152042324"/>
      <w:bookmarkStart w:id="207" w:name="_Toc28739"/>
      <w:bookmarkStart w:id="208" w:name="_Toc247085707"/>
      <w:bookmarkStart w:id="209" w:name="_Toc144974516"/>
      <w:bookmarkStart w:id="210" w:name="_Toc10240"/>
      <w:bookmarkStart w:id="211" w:name="_Toc4527"/>
      <w:bookmarkStart w:id="212" w:name="_Toc152045548"/>
      <w:r>
        <w:rPr>
          <w:rFonts w:hint="eastAsia" w:ascii="宋体" w:hAnsi="宋体" w:eastAsia="宋体" w:cs="宋体"/>
          <w:color w:val="000000" w:themeColor="text1"/>
          <w:sz w:val="24"/>
          <w:szCs w:val="24"/>
          <w14:textFill>
            <w14:solidFill>
              <w14:schemeClr w14:val="tx1"/>
            </w14:solidFill>
          </w14:textFill>
        </w:rPr>
        <w:t>3.1.</w:t>
      </w:r>
      <w:r>
        <w:rPr>
          <w:rFonts w:hint="eastAsia" w:ascii="宋体" w:hAnsi="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投标文件主要包括以下内容：</w:t>
      </w:r>
    </w:p>
    <w:p w14:paraId="36F1A9A4">
      <w:pPr>
        <w:pageBreakBefore w:val="0"/>
        <w:numPr>
          <w:ilvl w:val="0"/>
          <w:numId w:val="3"/>
        </w:numPr>
        <w:wordWrap/>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资格证明文件</w:t>
      </w:r>
    </w:p>
    <w:p w14:paraId="0600947D">
      <w:pPr>
        <w:pageBreakBefore w:val="0"/>
        <w:numPr>
          <w:ilvl w:val="0"/>
          <w:numId w:val="3"/>
        </w:numPr>
        <w:wordWrap/>
        <w:topLinePunct w:val="0"/>
        <w:autoSpaceDE/>
        <w:autoSpaceDN/>
        <w:bidi w:val="0"/>
        <w:adjustRightInd/>
        <w:spacing w:line="600" w:lineRule="exact"/>
        <w:ind w:left="0" w:leftChars="0"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投标函</w:t>
      </w:r>
    </w:p>
    <w:p w14:paraId="2487717A">
      <w:pPr>
        <w:pageBreakBefore w:val="0"/>
        <w:numPr>
          <w:ilvl w:val="0"/>
          <w:numId w:val="3"/>
        </w:numPr>
        <w:wordWrap/>
        <w:topLinePunct w:val="0"/>
        <w:autoSpaceDE/>
        <w:autoSpaceDN/>
        <w:bidi w:val="0"/>
        <w:adjustRightInd/>
        <w:spacing w:line="600" w:lineRule="exact"/>
        <w:ind w:left="0" w:leftChars="0" w:firstLine="480" w:firstLineChars="200"/>
        <w:textAlignment w:val="auto"/>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投标报价一览表</w:t>
      </w:r>
    </w:p>
    <w:p w14:paraId="13CFFBF1">
      <w:pPr>
        <w:pageBreakBefore w:val="0"/>
        <w:numPr>
          <w:ilvl w:val="0"/>
          <w:numId w:val="0"/>
        </w:numPr>
        <w:wordWrap/>
        <w:topLinePunct w:val="0"/>
        <w:autoSpaceDE/>
        <w:autoSpaceDN/>
        <w:bidi w:val="0"/>
        <w:adjustRightInd/>
        <w:spacing w:line="600" w:lineRule="exact"/>
        <w:ind w:leftChars="200"/>
        <w:textAlignment w:val="auto"/>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四、</w:t>
      </w:r>
      <w:r>
        <w:rPr>
          <w:rFonts w:hint="eastAsia" w:ascii="宋体" w:hAnsi="宋体" w:eastAsia="宋体" w:cs="宋体"/>
          <w:b w:val="0"/>
          <w:bCs w:val="0"/>
          <w:color w:val="000000" w:themeColor="text1"/>
          <w:sz w:val="24"/>
          <w:szCs w:val="24"/>
          <w:lang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lang w:val="en-US" w:eastAsia="zh-CN"/>
          <w14:textFill>
            <w14:solidFill>
              <w14:schemeClr w14:val="tx1"/>
            </w14:solidFill>
          </w14:textFill>
        </w:rPr>
        <w:t>投标</w:t>
      </w:r>
      <w:r>
        <w:rPr>
          <w:rFonts w:hint="eastAsia" w:ascii="宋体" w:hAnsi="宋体" w:eastAsia="宋体" w:cs="宋体"/>
          <w:b w:val="0"/>
          <w:bCs w:val="0"/>
          <w:color w:val="000000" w:themeColor="text1"/>
          <w:sz w:val="24"/>
          <w:szCs w:val="24"/>
          <w:lang w:eastAsia="zh-CN"/>
          <w14:textFill>
            <w14:solidFill>
              <w14:schemeClr w14:val="tx1"/>
            </w14:solidFill>
          </w14:textFill>
        </w:rPr>
        <w:t>分项报价表</w:t>
      </w:r>
    </w:p>
    <w:p w14:paraId="450E589E">
      <w:pPr>
        <w:pStyle w:val="4"/>
        <w:pageBreakBefore w:val="0"/>
        <w:wordWrap/>
        <w:topLinePunct w:val="0"/>
        <w:autoSpaceDE/>
        <w:autoSpaceDN/>
        <w:bidi w:val="0"/>
        <w:adjustRightInd/>
        <w:spacing w:before="0" w:beforeLines="0" w:after="0" w:afterLines="0" w:line="600" w:lineRule="exact"/>
        <w:ind w:firstLine="480" w:firstLineChars="200"/>
        <w:textAlignment w:val="auto"/>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五、</w:t>
      </w:r>
      <w:r>
        <w:rPr>
          <w:rFonts w:hint="eastAsia" w:ascii="宋体" w:hAnsi="宋体" w:eastAsia="宋体" w:cs="宋体"/>
          <w:b w:val="0"/>
          <w:bCs w:val="0"/>
          <w:color w:val="000000" w:themeColor="text1"/>
          <w:sz w:val="24"/>
          <w:szCs w:val="24"/>
          <w:lang w:eastAsia="zh-CN"/>
          <w14:textFill>
            <w14:solidFill>
              <w14:schemeClr w14:val="tx1"/>
            </w14:solidFill>
          </w14:textFill>
        </w:rPr>
        <w:t>偏离表</w:t>
      </w:r>
    </w:p>
    <w:p w14:paraId="5BF054AF">
      <w:pPr>
        <w:pStyle w:val="4"/>
        <w:pageBreakBefore w:val="0"/>
        <w:wordWrap/>
        <w:topLinePunct w:val="0"/>
        <w:autoSpaceDE/>
        <w:autoSpaceDN/>
        <w:bidi w:val="0"/>
        <w:adjustRightInd/>
        <w:spacing w:before="0" w:beforeLines="0" w:after="0" w:afterLines="0"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六</w:t>
      </w:r>
      <w:r>
        <w:rPr>
          <w:rFonts w:hint="eastAsia" w:ascii="宋体" w:hAnsi="宋体" w:eastAsia="宋体" w:cs="宋体"/>
          <w:b w:val="0"/>
          <w:bCs w:val="0"/>
          <w:color w:val="000000" w:themeColor="text1"/>
          <w:sz w:val="24"/>
          <w:szCs w:val="24"/>
          <w14:textFill>
            <w14:solidFill>
              <w14:schemeClr w14:val="tx1"/>
            </w14:solidFill>
          </w14:textFill>
        </w:rPr>
        <w:t>、陕西省政府采购供应商拒绝政府采购领域商业贿赂承诺书</w:t>
      </w:r>
    </w:p>
    <w:p w14:paraId="7F49E727">
      <w:pPr>
        <w:pStyle w:val="4"/>
        <w:pageBreakBefore w:val="0"/>
        <w:wordWrap/>
        <w:topLinePunct w:val="0"/>
        <w:autoSpaceDE/>
        <w:autoSpaceDN/>
        <w:bidi w:val="0"/>
        <w:adjustRightInd/>
        <w:spacing w:before="0" w:beforeLines="0" w:after="0" w:afterLines="0"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七</w:t>
      </w:r>
      <w:r>
        <w:rPr>
          <w:rFonts w:hint="eastAsia" w:ascii="宋体" w:hAnsi="宋体" w:eastAsia="宋体" w:cs="宋体"/>
          <w:b w:val="0"/>
          <w:bCs w:val="0"/>
          <w:color w:val="000000" w:themeColor="text1"/>
          <w:sz w:val="24"/>
          <w:szCs w:val="24"/>
          <w14:textFill>
            <w14:solidFill>
              <w14:schemeClr w14:val="tx1"/>
            </w14:solidFill>
          </w14:textFill>
        </w:rPr>
        <w:t>、技术部分响应内容</w:t>
      </w:r>
    </w:p>
    <w:p w14:paraId="15E99606">
      <w:pPr>
        <w:pStyle w:val="4"/>
        <w:pageBreakBefore w:val="0"/>
        <w:wordWrap/>
        <w:topLinePunct w:val="0"/>
        <w:autoSpaceDE/>
        <w:autoSpaceDN/>
        <w:bidi w:val="0"/>
        <w:adjustRightInd/>
        <w:spacing w:before="0" w:beforeLines="0" w:after="0" w:afterLines="0"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八</w:t>
      </w:r>
      <w:r>
        <w:rPr>
          <w:rFonts w:hint="eastAsia" w:ascii="宋体" w:hAnsi="宋体" w:eastAsia="宋体" w:cs="宋体"/>
          <w:b w:val="0"/>
          <w:bCs w:val="0"/>
          <w:color w:val="000000" w:themeColor="text1"/>
          <w:sz w:val="24"/>
          <w:szCs w:val="24"/>
          <w14:textFill>
            <w14:solidFill>
              <w14:schemeClr w14:val="tx1"/>
            </w14:solidFill>
          </w14:textFill>
        </w:rPr>
        <w:t>、商务部分响应内容</w:t>
      </w:r>
    </w:p>
    <w:p w14:paraId="4B3971A3">
      <w:pPr>
        <w:pStyle w:val="4"/>
        <w:pageBreakBefore w:val="0"/>
        <w:wordWrap/>
        <w:topLinePunct w:val="0"/>
        <w:autoSpaceDE/>
        <w:autoSpaceDN/>
        <w:bidi w:val="0"/>
        <w:adjustRightInd/>
        <w:spacing w:before="0" w:beforeLines="0" w:after="0" w:afterLines="0"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九</w:t>
      </w:r>
      <w:r>
        <w:rPr>
          <w:rFonts w:hint="eastAsia" w:ascii="宋体" w:hAnsi="宋体" w:eastAsia="宋体" w:cs="宋体"/>
          <w:b w:val="0"/>
          <w:bCs w:val="0"/>
          <w:color w:val="000000" w:themeColor="text1"/>
          <w:sz w:val="24"/>
          <w:szCs w:val="24"/>
          <w14:textFill>
            <w14:solidFill>
              <w14:schemeClr w14:val="tx1"/>
            </w14:solidFill>
          </w14:textFill>
        </w:rPr>
        <w:t>、其他资料</w:t>
      </w:r>
    </w:p>
    <w:p w14:paraId="7DF0474E">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 投标报价</w:t>
      </w:r>
      <w:bookmarkEnd w:id="203"/>
      <w:bookmarkEnd w:id="204"/>
      <w:bookmarkEnd w:id="205"/>
      <w:bookmarkEnd w:id="206"/>
      <w:bookmarkEnd w:id="207"/>
      <w:bookmarkEnd w:id="208"/>
      <w:bookmarkEnd w:id="209"/>
      <w:bookmarkEnd w:id="210"/>
      <w:bookmarkEnd w:id="211"/>
      <w:bookmarkEnd w:id="212"/>
    </w:p>
    <w:p w14:paraId="27B592A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213" w:name="_Toc144974517"/>
      <w:bookmarkStart w:id="214" w:name="_Toc27607"/>
      <w:bookmarkStart w:id="215" w:name="_Toc246996937"/>
      <w:bookmarkStart w:id="216" w:name="_Toc152045549"/>
      <w:bookmarkStart w:id="217" w:name="_Toc31607"/>
      <w:bookmarkStart w:id="218" w:name="_Toc179632567"/>
      <w:bookmarkStart w:id="219" w:name="_Toc152042325"/>
      <w:bookmarkStart w:id="220" w:name="_Toc18722"/>
      <w:bookmarkStart w:id="221" w:name="_Toc247085708"/>
      <w:bookmarkStart w:id="222" w:name="_Toc246996194"/>
      <w:r>
        <w:rPr>
          <w:rFonts w:hint="eastAsia" w:ascii="宋体" w:hAnsi="宋体" w:eastAsia="宋体" w:cs="宋体"/>
          <w:color w:val="000000" w:themeColor="text1"/>
          <w:sz w:val="24"/>
          <w:szCs w:val="24"/>
          <w14:textFill>
            <w14:solidFill>
              <w14:schemeClr w14:val="tx1"/>
            </w14:solidFill>
          </w14:textFill>
        </w:rPr>
        <w:t>3.2.1</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应对此项目进行全面响应，不得将其中所列的所有内容拆开报价。凡本招标文件要求（或允许）及</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认为需要进行投标的各项费用项目（不论是否要求进入报价），若投标时未报或未在投标文件中予以说明，</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lang w:eastAsia="zh-CN"/>
          <w14:textFill>
            <w14:solidFill>
              <w14:schemeClr w14:val="tx1"/>
            </w14:solidFill>
          </w14:textFill>
        </w:rPr>
        <w:t>人</w:t>
      </w:r>
      <w:r>
        <w:rPr>
          <w:rFonts w:hint="eastAsia" w:ascii="宋体" w:hAnsi="宋体" w:eastAsia="宋体" w:cs="宋体"/>
          <w:color w:val="000000" w:themeColor="text1"/>
          <w:sz w:val="24"/>
          <w:szCs w:val="24"/>
          <w14:textFill>
            <w14:solidFill>
              <w14:schemeClr w14:val="tx1"/>
            </w14:solidFill>
          </w14:textFill>
        </w:rPr>
        <w:t>将认为这些费用</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已计取，并包含在总报价中（项目内容、项目量调整除外）</w:t>
      </w:r>
    </w:p>
    <w:p w14:paraId="33D57C4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3.2.2“</w:t>
      </w:r>
      <w:r>
        <w:rPr>
          <w:rFonts w:hint="eastAsia" w:ascii="宋体" w:hAnsi="宋体" w:eastAsia="宋体" w:cs="宋体"/>
          <w:color w:val="000000" w:themeColor="text1"/>
          <w:sz w:val="24"/>
          <w:szCs w:val="24"/>
          <w:lang w:eastAsia="zh-CN"/>
          <w14:textFill>
            <w14:solidFill>
              <w14:schemeClr w14:val="tx1"/>
            </w14:solidFill>
          </w14:textFill>
        </w:rPr>
        <w:t>投标</w:t>
      </w:r>
      <w:r>
        <w:rPr>
          <w:rFonts w:hint="eastAsia" w:ascii="宋体" w:hAnsi="宋体" w:eastAsia="宋体" w:cs="宋体"/>
          <w:color w:val="000000" w:themeColor="text1"/>
          <w:sz w:val="24"/>
          <w:szCs w:val="24"/>
          <w14:textFill>
            <w14:solidFill>
              <w14:schemeClr w14:val="tx1"/>
            </w14:solidFill>
          </w14:textFill>
        </w:rPr>
        <w:t>分项报价表”填写时应注意下列要求：</w:t>
      </w:r>
    </w:p>
    <w:p w14:paraId="1A1FD98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所提供的报价货物交货价是货到项目现场价格，包括货物的价格、所有使用的辅材价格等所有费用。（所有税费不必分别填写，计入货价内即可）。</w:t>
      </w:r>
    </w:p>
    <w:p w14:paraId="3CE06F7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3.2.3</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不得以低于成本的报价参加投标，当评标委员会认为</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的投标报价或者某些分项报价明显不合理或低于成本价，有可能影响商品质量和不能诚信履约的，可要求</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在规定的期限内提供书面说明，并提交相关证明材料，否则，可拒绝</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的投标。</w:t>
      </w:r>
    </w:p>
    <w:p w14:paraId="638FCE3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3.2.4投标报价只能提交唯一、不可选择的报价。投标货币：人民币。</w:t>
      </w:r>
    </w:p>
    <w:p w14:paraId="77A312C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3.2.5</w:t>
      </w:r>
      <w:r>
        <w:rPr>
          <w:rFonts w:hint="eastAsia" w:ascii="宋体" w:hAnsi="宋体" w:eastAsia="宋体" w:cs="宋体"/>
          <w:color w:val="000000" w:themeColor="text1"/>
          <w:sz w:val="24"/>
          <w:szCs w:val="24"/>
          <w:lang w:eastAsia="zh-CN"/>
          <w14:textFill>
            <w14:solidFill>
              <w14:schemeClr w14:val="tx1"/>
            </w14:solidFill>
          </w14:textFill>
        </w:rPr>
        <w:t>投标期间一切费用自理。</w:t>
      </w:r>
    </w:p>
    <w:p w14:paraId="09FB3B8F">
      <w:pPr>
        <w:pageBreakBefore w:val="0"/>
        <w:wordWrap/>
        <w:topLinePunct w:val="0"/>
        <w:autoSpaceDE/>
        <w:autoSpaceDN/>
        <w:bidi w:val="0"/>
        <w:adjustRightInd/>
        <w:spacing w:line="600" w:lineRule="exact"/>
        <w:ind w:firstLine="482"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3.2.</w:t>
      </w:r>
      <w:r>
        <w:rPr>
          <w:rFonts w:hint="eastAsia" w:ascii="宋体" w:hAnsi="宋体" w:eastAsia="宋体" w:cs="宋体"/>
          <w:b/>
          <w:bCs/>
          <w:color w:val="000000" w:themeColor="text1"/>
          <w:sz w:val="24"/>
          <w:szCs w:val="24"/>
          <w:lang w:val="en-US" w:eastAsia="zh-CN"/>
          <w14:textFill>
            <w14:solidFill>
              <w14:schemeClr w14:val="tx1"/>
            </w14:solidFill>
          </w14:textFill>
        </w:rPr>
        <w:t>6</w:t>
      </w:r>
      <w:r>
        <w:rPr>
          <w:rFonts w:hint="eastAsia" w:ascii="宋体" w:hAnsi="宋体" w:eastAsia="宋体" w:cs="宋体"/>
          <w:b/>
          <w:bCs/>
          <w:color w:val="000000" w:themeColor="text1"/>
          <w:sz w:val="24"/>
          <w:szCs w:val="24"/>
          <w14:textFill>
            <w14:solidFill>
              <w14:schemeClr w14:val="tx1"/>
            </w14:solidFill>
          </w14:textFill>
        </w:rPr>
        <w:t>最低投标报价不作为中标的唯一条件，中标须经投标报价、</w:t>
      </w:r>
      <w:bookmarkStart w:id="223" w:name="_Hlk519149183"/>
      <w:r>
        <w:rPr>
          <w:rFonts w:hint="eastAsia" w:ascii="宋体" w:hAnsi="宋体" w:eastAsia="宋体" w:cs="宋体"/>
          <w:b/>
          <w:bCs/>
          <w:color w:val="000000" w:themeColor="text1"/>
          <w:sz w:val="24"/>
          <w:szCs w:val="24"/>
          <w14:textFill>
            <w14:solidFill>
              <w14:schemeClr w14:val="tx1"/>
            </w14:solidFill>
          </w14:textFill>
        </w:rPr>
        <w:t>技术部分评审、商务部分评审</w:t>
      </w:r>
      <w:bookmarkEnd w:id="223"/>
      <w:r>
        <w:rPr>
          <w:rFonts w:hint="eastAsia" w:ascii="宋体" w:hAnsi="宋体" w:eastAsia="宋体" w:cs="宋体"/>
          <w:b/>
          <w:bCs/>
          <w:color w:val="000000" w:themeColor="text1"/>
          <w:sz w:val="24"/>
          <w:szCs w:val="24"/>
          <w14:textFill>
            <w14:solidFill>
              <w14:schemeClr w14:val="tx1"/>
            </w14:solidFill>
          </w14:textFill>
        </w:rPr>
        <w:t>等内容综合评定。</w:t>
      </w:r>
    </w:p>
    <w:p w14:paraId="73CDA723">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 投标有效期</w:t>
      </w:r>
      <w:bookmarkEnd w:id="213"/>
      <w:bookmarkEnd w:id="214"/>
      <w:bookmarkEnd w:id="215"/>
      <w:bookmarkEnd w:id="216"/>
      <w:bookmarkEnd w:id="217"/>
      <w:bookmarkEnd w:id="218"/>
      <w:bookmarkEnd w:id="219"/>
      <w:bookmarkEnd w:id="220"/>
      <w:bookmarkEnd w:id="221"/>
      <w:bookmarkEnd w:id="222"/>
    </w:p>
    <w:p w14:paraId="7460153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224" w:name="_Hlk522170577"/>
      <w:bookmarkStart w:id="225" w:name="_Toc10049"/>
      <w:bookmarkStart w:id="226" w:name="_Toc246996195"/>
      <w:bookmarkStart w:id="227" w:name="_Toc179632568"/>
      <w:bookmarkStart w:id="228" w:name="_Toc144974518"/>
      <w:bookmarkStart w:id="229" w:name="_Toc247085709"/>
      <w:bookmarkStart w:id="230" w:name="_Toc152045550"/>
      <w:bookmarkStart w:id="231" w:name="_Toc152042326"/>
      <w:bookmarkStart w:id="232" w:name="_Toc246996938"/>
      <w:bookmarkStart w:id="233" w:name="_Toc17558"/>
      <w:r>
        <w:rPr>
          <w:rFonts w:hint="eastAsia" w:ascii="宋体" w:hAnsi="宋体" w:eastAsia="宋体" w:cs="宋体"/>
          <w:color w:val="000000" w:themeColor="text1"/>
          <w:sz w:val="24"/>
          <w:szCs w:val="24"/>
          <w14:textFill>
            <w14:solidFill>
              <w14:schemeClr w14:val="tx1"/>
            </w14:solidFill>
          </w14:textFill>
        </w:rPr>
        <w:t>3.3.1 在投标人须知前附表规定的投标有效期内，投标人不得要求撤销或修改其投标文件。</w:t>
      </w:r>
    </w:p>
    <w:p w14:paraId="22F834E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3.3.2出现特殊情况需要延长投标有效期的，采购人以书面形式通知所有投标人延长投标有效期。投标人同意延长的，应相应延长其投标保证金的有效期，但不得要求或被允许修改或撤销其投标文件；投标人拒绝延长的，其投标失效，但投标人有权收回其投标保证金。</w:t>
      </w:r>
      <w:bookmarkEnd w:id="224"/>
    </w:p>
    <w:p w14:paraId="48BAAF45">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234" w:name="_Toc25617"/>
      <w:r>
        <w:rPr>
          <w:rFonts w:hint="eastAsia" w:ascii="宋体" w:hAnsi="宋体" w:eastAsia="宋体" w:cs="宋体"/>
          <w:color w:val="000000" w:themeColor="text1"/>
          <w:sz w:val="24"/>
          <w:szCs w:val="24"/>
          <w14:textFill>
            <w14:solidFill>
              <w14:schemeClr w14:val="tx1"/>
            </w14:solidFill>
          </w14:textFill>
        </w:rPr>
        <w:t>3.4 投标保证金</w:t>
      </w:r>
      <w:bookmarkEnd w:id="225"/>
      <w:bookmarkEnd w:id="226"/>
      <w:bookmarkEnd w:id="227"/>
      <w:bookmarkEnd w:id="228"/>
      <w:bookmarkEnd w:id="229"/>
      <w:bookmarkEnd w:id="230"/>
      <w:bookmarkEnd w:id="231"/>
      <w:bookmarkEnd w:id="232"/>
      <w:bookmarkEnd w:id="233"/>
      <w:bookmarkEnd w:id="234"/>
    </w:p>
    <w:p w14:paraId="0DCFF26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235" w:name="_Toc343511515"/>
      <w:bookmarkStart w:id="236" w:name="_Hlk522170699"/>
      <w:r>
        <w:rPr>
          <w:rFonts w:hint="eastAsia" w:ascii="宋体" w:hAnsi="宋体" w:eastAsia="宋体" w:cs="宋体"/>
          <w:color w:val="000000" w:themeColor="text1"/>
          <w:sz w:val="24"/>
          <w:szCs w:val="24"/>
          <w14:textFill>
            <w14:solidFill>
              <w14:schemeClr w14:val="tx1"/>
            </w14:solidFill>
          </w14:textFill>
        </w:rPr>
        <w:t>3.4.1 供应商在递交投标文件的同时，应按供应商须知前附表规定的金额、担保形式缴纳投标保证金。</w:t>
      </w:r>
    </w:p>
    <w:p w14:paraId="190DC1F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3.4.2 投标人不按本章第3.4.1项要求提交投标保证金的，其投标文件作废标处理。</w:t>
      </w:r>
    </w:p>
    <w:bookmarkEnd w:id="235"/>
    <w:bookmarkEnd w:id="236"/>
    <w:p w14:paraId="5882272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237" w:name="_Toc343511517"/>
      <w:r>
        <w:rPr>
          <w:rFonts w:hint="eastAsia" w:ascii="宋体" w:hAnsi="宋体" w:eastAsia="宋体" w:cs="宋体"/>
          <w:color w:val="000000" w:themeColor="text1"/>
          <w:sz w:val="24"/>
          <w:szCs w:val="24"/>
          <w14:textFill>
            <w14:solidFill>
              <w14:schemeClr w14:val="tx1"/>
            </w14:solidFill>
          </w14:textFill>
        </w:rPr>
        <w:t>3.4.3</w:t>
      </w:r>
      <w:bookmarkEnd w:id="237"/>
      <w:r>
        <w:rPr>
          <w:rFonts w:hint="eastAsia" w:ascii="宋体" w:hAnsi="宋体" w:eastAsia="宋体" w:cs="宋体"/>
          <w:color w:val="000000" w:themeColor="text1"/>
          <w:sz w:val="24"/>
          <w:szCs w:val="24"/>
          <w14:textFill>
            <w14:solidFill>
              <w14:schemeClr w14:val="tx1"/>
            </w14:solidFill>
          </w14:textFill>
        </w:rPr>
        <w:t>招标文件要求投标人提交投标保证金的，投标保证金不得超过采购项目预算金额的2%。投标保证金应当以支票、汇票、本票或者金融机构、担保机构出具的保函等非现金形式提交。投标人未按照招标文件要求提交投标保证金的，投标无效。</w:t>
      </w:r>
    </w:p>
    <w:p w14:paraId="2A65F3E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代理机构应当自中标通知书发出之日起5个工作日内退还未中标投标人的投标保证金，向未中标的投标人扣除银行交易手续费后退还投标保证金及银行同期存款利息。自合同签订之日起5个工作日内退还中标投标人的投标保证金向中标投标人扣除银行交易手续费后退还投标保证金及银行同期存款利息。</w:t>
      </w:r>
    </w:p>
    <w:p w14:paraId="56895E2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依法必须进行招标的项目的境内投标单位，以现金或者支票形式提交的投标保证金应当从其基本账户转出。</w:t>
      </w:r>
    </w:p>
    <w:p w14:paraId="4F12486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采购人不得挪用投标保证金。</w:t>
      </w:r>
    </w:p>
    <w:p w14:paraId="2208506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3.4.</w:t>
      </w:r>
      <w:r>
        <w:rPr>
          <w:rFonts w:hint="eastAsia" w:ascii="宋体" w:hAnsi="宋体" w:cs="宋体"/>
          <w:color w:val="000000" w:themeColor="text1"/>
          <w:sz w:val="24"/>
          <w:szCs w:val="24"/>
          <w:lang w:val="en-US" w:eastAsia="zh-CN"/>
          <w14:textFill>
            <w14:solidFill>
              <w14:schemeClr w14:val="tx1"/>
            </w14:solidFill>
          </w14:textFill>
        </w:rPr>
        <w:t>4终止招标的，采购人或者采购代理机构应当及时在原公告发布媒体上发布终止公告，以书面形式通知已经获取招标文件、资格预审文件或者被邀请的潜在投标人，并将项目实施情况和采购任务取消原因报告本级财政部门。已经收取招标文件费用或者投标保证金的，采购人或者采购代理机构应当在终止采购活动后5个工作日内，退还所收取的招标文件费用和所收取的投标保证金及其在银行产生的孳息。</w:t>
      </w:r>
    </w:p>
    <w:p w14:paraId="5139461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3.4.</w:t>
      </w: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投标人撤回已提交的投标文件，应当在投标截止时间前书面通知采购人。采购人已收取投标保证金的，应当自收到投标人书面撤回通知之日起5</w:t>
      </w:r>
      <w:r>
        <w:rPr>
          <w:rFonts w:hint="eastAsia" w:ascii="宋体" w:hAnsi="宋体" w:cs="宋体"/>
          <w:color w:val="000000" w:themeColor="text1"/>
          <w:sz w:val="24"/>
          <w:szCs w:val="24"/>
          <w:lang w:val="en-US" w:eastAsia="zh-CN"/>
          <w14:textFill>
            <w14:solidFill>
              <w14:schemeClr w14:val="tx1"/>
            </w14:solidFill>
          </w14:textFill>
        </w:rPr>
        <w:t>个工作日</w:t>
      </w:r>
      <w:r>
        <w:rPr>
          <w:rFonts w:hint="eastAsia" w:ascii="宋体" w:hAnsi="宋体" w:eastAsia="宋体" w:cs="宋体"/>
          <w:color w:val="000000" w:themeColor="text1"/>
          <w:sz w:val="24"/>
          <w:szCs w:val="24"/>
          <w14:textFill>
            <w14:solidFill>
              <w14:schemeClr w14:val="tx1"/>
            </w14:solidFill>
          </w14:textFill>
        </w:rPr>
        <w:t>内退还。</w:t>
      </w:r>
    </w:p>
    <w:p w14:paraId="52A2CA3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投标截止后投标人撤销投标文件的，采购人可以不退还投标保证金。</w:t>
      </w:r>
    </w:p>
    <w:p w14:paraId="16790DC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3.4.</w:t>
      </w: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采购人和中标人应当依照</w:t>
      </w:r>
      <w:r>
        <w:rPr>
          <w:rFonts w:hint="eastAsia" w:ascii="宋体" w:hAnsi="宋体" w:cs="宋体"/>
          <w:color w:val="000000" w:themeColor="text1"/>
          <w:sz w:val="24"/>
          <w:szCs w:val="24"/>
          <w:lang w:val="en-US" w:eastAsia="zh-CN"/>
          <w14:textFill>
            <w14:solidFill>
              <w14:schemeClr w14:val="tx1"/>
            </w14:solidFill>
          </w14:textFill>
        </w:rPr>
        <w:t>政府采购法</w:t>
      </w:r>
      <w:r>
        <w:rPr>
          <w:rFonts w:hint="eastAsia" w:ascii="宋体" w:hAnsi="宋体" w:eastAsia="宋体" w:cs="宋体"/>
          <w:color w:val="000000" w:themeColor="text1"/>
          <w:sz w:val="24"/>
          <w:szCs w:val="24"/>
          <w14:textFill>
            <w14:solidFill>
              <w14:schemeClr w14:val="tx1"/>
            </w14:solidFill>
          </w14:textFill>
        </w:rPr>
        <w:t>和本条例的规定签订书面合同，合同的标的、价款、质量、履行期限等主要条款应当与招标文件和中标人的投标文件的内容一致。采购人和中标人不得再行订立背离合同实质性内容的其他协议。</w:t>
      </w:r>
    </w:p>
    <w:p w14:paraId="56E6E5C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3.4.</w:t>
      </w:r>
      <w:r>
        <w:rPr>
          <w:rFonts w:hint="eastAsia" w:ascii="宋体" w:hAnsi="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中标人无正当理由不与采购人订立合同，在签订合同时向采购人提出附加条件，或者不按照招标文件要求提交履约保证金的，取消其中标资格，投标保证金不予退还。对依法必须进行招标的项目的中标人，由有关行政监督部门责令改正，可以处中标项目金额10‰以下的罚款。</w:t>
      </w:r>
    </w:p>
    <w:p w14:paraId="5B36609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238" w:name="_Toc343511518"/>
      <w:bookmarkStart w:id="239" w:name="_Hlk522172384"/>
      <w:r>
        <w:rPr>
          <w:rFonts w:hint="eastAsia" w:ascii="宋体" w:hAnsi="宋体" w:eastAsia="宋体" w:cs="宋体"/>
          <w:color w:val="000000" w:themeColor="text1"/>
          <w:sz w:val="24"/>
          <w:szCs w:val="24"/>
          <w14:textFill>
            <w14:solidFill>
              <w14:schemeClr w14:val="tx1"/>
            </w14:solidFill>
          </w14:textFill>
        </w:rPr>
        <w:t>3.4.</w:t>
      </w:r>
      <w:r>
        <w:rPr>
          <w:rFonts w:hint="eastAsia" w:ascii="宋体" w:hAnsi="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有下列情形之一的，投标保证金将不予退还</w:t>
      </w:r>
      <w:bookmarkEnd w:id="238"/>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有权扣留其投标保证金，以弥补采购人损失。</w:t>
      </w:r>
    </w:p>
    <w:p w14:paraId="1EBEF7B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240" w:name="_Hlk522172370"/>
      <w:r>
        <w:rPr>
          <w:rFonts w:hint="eastAsia" w:ascii="宋体" w:hAnsi="宋体" w:eastAsia="宋体" w:cs="宋体"/>
          <w:color w:val="000000" w:themeColor="text1"/>
          <w:sz w:val="24"/>
          <w:szCs w:val="24"/>
          <w14:textFill>
            <w14:solidFill>
              <w14:schemeClr w14:val="tx1"/>
            </w14:solidFill>
          </w14:textFill>
        </w:rPr>
        <w:t>（1）投标人在规定的投标有效期内撤销或修改其投标文件。</w:t>
      </w:r>
    </w:p>
    <w:p w14:paraId="1BCC229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（2）中标人在收到中标通知书后，无正当理由拒签合同协议书或未按招标文件规定提交履约担保。</w:t>
      </w:r>
    </w:p>
    <w:bookmarkEnd w:id="239"/>
    <w:bookmarkEnd w:id="240"/>
    <w:p w14:paraId="5978B2C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（3）投标人与采购人、其他投标人或者采购代理机构恶意串通的。</w:t>
      </w:r>
    </w:p>
    <w:p w14:paraId="4103E1C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（4）投标人中标后无正当理由放弃中标的</w:t>
      </w:r>
      <w:r>
        <w:rPr>
          <w:rFonts w:hint="eastAsia" w:ascii="宋体" w:hAnsi="宋体" w:cs="宋体"/>
          <w:color w:val="000000" w:themeColor="text1"/>
          <w:sz w:val="24"/>
          <w:szCs w:val="24"/>
          <w:lang w:eastAsia="zh-CN"/>
          <w14:textFill>
            <w14:solidFill>
              <w14:schemeClr w14:val="tx1"/>
            </w14:solidFill>
          </w14:textFill>
        </w:rPr>
        <w:t>。</w:t>
      </w:r>
    </w:p>
    <w:p w14:paraId="53D10C6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）投标人中标后将中标项目转让给他人，未经采购人同意，将中标项目分包给他人的。</w:t>
      </w:r>
    </w:p>
    <w:p w14:paraId="72CB783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）投标人在投标文件中提供伪造、套改、虚假资料参加投标的。</w:t>
      </w:r>
    </w:p>
    <w:p w14:paraId="25C7585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）投标人不按法定程序进行质疑和投诉,捏造事实，查无实据，造成恶劣影响，导致采购活动无法正常进行的。</w:t>
      </w:r>
    </w:p>
    <w:p w14:paraId="6C91C28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）招标文件规定的其他情形。</w:t>
      </w:r>
    </w:p>
    <w:p w14:paraId="3CD71DE6">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241" w:name="_Toc246996196"/>
      <w:bookmarkStart w:id="242" w:name="_Toc247085710"/>
      <w:bookmarkStart w:id="243" w:name="_Toc246996939"/>
      <w:bookmarkStart w:id="244" w:name="_Toc179632570"/>
      <w:bookmarkStart w:id="245" w:name="_Toc152042328"/>
      <w:bookmarkStart w:id="246" w:name="_Toc152045552"/>
      <w:bookmarkStart w:id="247" w:name="_Toc296602441"/>
      <w:bookmarkStart w:id="248" w:name="_Toc144974520"/>
      <w:bookmarkStart w:id="249" w:name="_Toc5131"/>
      <w:bookmarkStart w:id="250" w:name="_Toc16361"/>
      <w:bookmarkStart w:id="251" w:name="_Toc18308"/>
      <w:r>
        <w:rPr>
          <w:rFonts w:hint="eastAsia" w:ascii="宋体" w:hAnsi="宋体" w:eastAsia="宋体" w:cs="宋体"/>
          <w:color w:val="000000" w:themeColor="text1"/>
          <w:sz w:val="24"/>
          <w:szCs w:val="24"/>
          <w14:textFill>
            <w14:solidFill>
              <w14:schemeClr w14:val="tx1"/>
            </w14:solidFill>
          </w14:textFill>
        </w:rPr>
        <w:t>3.5</w:t>
      </w:r>
      <w:bookmarkEnd w:id="241"/>
      <w:bookmarkEnd w:id="242"/>
      <w:bookmarkEnd w:id="243"/>
      <w:bookmarkEnd w:id="244"/>
      <w:bookmarkEnd w:id="245"/>
      <w:bookmarkEnd w:id="246"/>
      <w:bookmarkEnd w:id="247"/>
      <w:bookmarkEnd w:id="248"/>
      <w:bookmarkStart w:id="252" w:name="_Toc152042329"/>
      <w:bookmarkStart w:id="253" w:name="_Toc247085711"/>
      <w:bookmarkStart w:id="254" w:name="_Toc152045553"/>
      <w:bookmarkStart w:id="255" w:name="_Toc179632571"/>
      <w:bookmarkStart w:id="256" w:name="_Toc246996940"/>
      <w:bookmarkStart w:id="257" w:name="_Toc144974521"/>
      <w:bookmarkStart w:id="258" w:name="_Toc246996197"/>
      <w:r>
        <w:rPr>
          <w:rFonts w:hint="eastAsia" w:ascii="宋体" w:hAnsi="宋体" w:eastAsia="宋体" w:cs="宋体"/>
          <w:color w:val="000000" w:themeColor="text1"/>
          <w:sz w:val="24"/>
          <w:szCs w:val="24"/>
          <w14:textFill>
            <w14:solidFill>
              <w14:schemeClr w14:val="tx1"/>
            </w14:solidFill>
          </w14:textFill>
        </w:rPr>
        <w:t xml:space="preserve"> 投标文件的编制</w:t>
      </w:r>
      <w:bookmarkEnd w:id="249"/>
      <w:bookmarkEnd w:id="250"/>
      <w:bookmarkEnd w:id="251"/>
    </w:p>
    <w:bookmarkEnd w:id="252"/>
    <w:bookmarkEnd w:id="253"/>
    <w:bookmarkEnd w:id="254"/>
    <w:bookmarkEnd w:id="255"/>
    <w:bookmarkEnd w:id="256"/>
    <w:bookmarkEnd w:id="257"/>
    <w:bookmarkEnd w:id="258"/>
    <w:p w14:paraId="636FA67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259" w:name="_Toc144974523"/>
      <w:bookmarkStart w:id="260" w:name="_Toc19372"/>
      <w:bookmarkStart w:id="261" w:name="_Toc31049"/>
      <w:bookmarkStart w:id="262" w:name="_Toc152045555"/>
      <w:bookmarkStart w:id="263" w:name="_Toc152042331"/>
      <w:bookmarkStart w:id="264" w:name="_Toc246996199"/>
      <w:bookmarkStart w:id="265" w:name="_Toc246996942"/>
      <w:bookmarkStart w:id="266" w:name="_Toc28026"/>
      <w:bookmarkStart w:id="267" w:name="_Toc179632573"/>
      <w:bookmarkStart w:id="268" w:name="_Toc247085713"/>
      <w:r>
        <w:rPr>
          <w:rFonts w:hint="eastAsia" w:ascii="宋体" w:hAnsi="宋体" w:eastAsia="宋体" w:cs="宋体"/>
          <w:color w:val="000000" w:themeColor="text1"/>
          <w:sz w:val="24"/>
          <w:szCs w:val="24"/>
          <w14:textFill>
            <w14:solidFill>
              <w14:schemeClr w14:val="tx1"/>
            </w14:solidFill>
          </w14:textFill>
        </w:rPr>
        <w:t>3.5.1投标文件必须按“投标文件格式”进行编写，如有必要，可以增加附页，作为投标文件的组成部分。</w:t>
      </w:r>
    </w:p>
    <w:p w14:paraId="7B14D14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3.5.2 投标文件应当对招标文件有关</w:t>
      </w:r>
      <w:r>
        <w:rPr>
          <w:rFonts w:hint="eastAsia" w:ascii="宋体" w:hAnsi="宋体" w:eastAsia="宋体" w:cs="宋体"/>
          <w:color w:val="000000" w:themeColor="text1"/>
          <w:sz w:val="24"/>
          <w:szCs w:val="24"/>
          <w:lang w:val="en-US" w:eastAsia="zh-CN"/>
          <w14:textFill>
            <w14:solidFill>
              <w14:schemeClr w14:val="tx1"/>
            </w14:solidFill>
          </w14:textFill>
        </w:rPr>
        <w:t>供货期</w:t>
      </w:r>
      <w:r>
        <w:rPr>
          <w:rFonts w:hint="eastAsia" w:ascii="宋体" w:hAnsi="宋体" w:eastAsia="宋体" w:cs="宋体"/>
          <w:color w:val="000000" w:themeColor="text1"/>
          <w:sz w:val="24"/>
          <w:szCs w:val="24"/>
          <w14:textFill>
            <w14:solidFill>
              <w14:schemeClr w14:val="tx1"/>
            </w14:solidFill>
          </w14:textFill>
        </w:rPr>
        <w:t>、投标有效期、技术要求、招标范围等实质性内容作出响应。</w:t>
      </w:r>
    </w:p>
    <w:p w14:paraId="61E63ED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3.5.3投标文件应尽量避免涂改、行间插字或删除。如果出现上述情况，改动之处应必须加盖投标人单位公章；由委托代理人签字或盖章的，需随投标文件一起提交有效的“授权委托书”原件的（正副本各一份）；</w:t>
      </w:r>
    </w:p>
    <w:p w14:paraId="71BF7E5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3.5.4 投标文件正本一份，副本份数见投标人须知前附表。正本和副本的封面上必须清楚地标记 “正本”或“副本”的字样。当副本和正本不一致时，以正本为准。</w:t>
      </w:r>
    </w:p>
    <w:p w14:paraId="291C604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3.5.5投标文件的正本和所有的副本必须全部打印并分别装订成册，并编制目录，统一装订、编码，必须在每一页的下方清楚标明。</w:t>
      </w:r>
    </w:p>
    <w:p w14:paraId="03AB618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3.5.6 投标文件签字或盖章要求，见投标人须知前附表。</w:t>
      </w:r>
    </w:p>
    <w:p w14:paraId="614109E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3.5.7 投标文件因字迹潦草或表达不清所引起的后果由投标单位负责。</w:t>
      </w:r>
    </w:p>
    <w:p w14:paraId="2BB19FA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3.5.8 未按本章第3.5.1 项至第3.5.7项规定，出现任何一项未按要求编制的投标文件，采购人（或采购代理机构）不予受理，投标文件按无效文件处理。</w:t>
      </w:r>
    </w:p>
    <w:p w14:paraId="2E31B4A1">
      <w:pPr>
        <w:pageBreakBefore w:val="0"/>
        <w:wordWrap/>
        <w:topLinePunct w:val="0"/>
        <w:autoSpaceDE/>
        <w:autoSpaceDN/>
        <w:bidi w:val="0"/>
        <w:adjustRightInd/>
        <w:spacing w:line="600" w:lineRule="exac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3.6</w:t>
      </w:r>
      <w:r>
        <w:rPr>
          <w:rFonts w:hint="eastAsia" w:ascii="宋体" w:hAnsi="宋体" w:eastAsia="宋体" w:cs="宋体"/>
          <w:b/>
          <w:bCs/>
          <w:color w:val="000000" w:themeColor="text1"/>
          <w:sz w:val="24"/>
          <w:szCs w:val="24"/>
          <w14:textFill>
            <w14:solidFill>
              <w14:schemeClr w14:val="tx1"/>
            </w14:solidFill>
          </w14:textFill>
        </w:rPr>
        <w:t>关于投标文件的雷同性分析</w:t>
      </w:r>
    </w:p>
    <w:p w14:paraId="43634A2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根据陕西省公共资源交易中心2021年7月22日印发的《关于在政府采购交易系统中开通标书雷同性分析功能的通知》，在符合性审查环节，将由评标委员会在评标系统中对</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的电子投标文件进行雷同性分析。</w:t>
      </w:r>
    </w:p>
    <w:p w14:paraId="4AF00E6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雷同性分析由两项指标组成，分别是“文件制作机器码”和“文件创建标识码”。其中，前者通过验证电子投标文件制作设备的特征信息（如MAC地址、硬盘序列号、CPU编号、主板号等），判断电子投标文件是否出自同一台设备。</w:t>
      </w:r>
    </w:p>
    <w:p w14:paraId="6F28884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若“文件制作机器码”一致，则表明不同投标</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的电子投标文件出自同一台制作设备，根据《陕西省财政厅关于政府采购有关政策的复函》（陕财办采函〔2019〕18号），该情形可以视为投标</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串通投标，其投标无效。</w:t>
      </w:r>
    </w:p>
    <w:p w14:paraId="2AD5033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若“文件创建标识码”一致，则表示不同投标</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使用投标文件制作软件时，使用同一源工程文件，该情形建议由评标委员会结合项目情况综合判定。</w:t>
      </w:r>
    </w:p>
    <w:p w14:paraId="0D86153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在投标截止时间之后，</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不得对其投标文件做任何修改。</w:t>
      </w:r>
    </w:p>
    <w:p w14:paraId="0FF75E4C">
      <w:pPr>
        <w:pStyle w:val="3"/>
        <w:pageBreakBefore w:val="0"/>
        <w:wordWrap/>
        <w:topLinePunct w:val="0"/>
        <w:autoSpaceDE/>
        <w:autoSpaceDN/>
        <w:bidi w:val="0"/>
        <w:adjustRightInd/>
        <w:spacing w:before="0" w:beforeLines="0" w:after="0" w:afterLines="0" w:line="6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 投标</w:t>
      </w:r>
      <w:bookmarkEnd w:id="259"/>
      <w:bookmarkEnd w:id="260"/>
      <w:bookmarkEnd w:id="261"/>
      <w:bookmarkEnd w:id="262"/>
      <w:bookmarkEnd w:id="263"/>
      <w:bookmarkEnd w:id="264"/>
      <w:bookmarkEnd w:id="265"/>
      <w:bookmarkEnd w:id="266"/>
      <w:bookmarkEnd w:id="267"/>
      <w:bookmarkEnd w:id="268"/>
    </w:p>
    <w:p w14:paraId="2AB56348">
      <w:pPr>
        <w:pageBreakBefore w:val="0"/>
        <w:wordWrap/>
        <w:topLinePunct w:val="0"/>
        <w:autoSpaceDE/>
        <w:autoSpaceDN/>
        <w:bidi w:val="0"/>
        <w:adjustRightInd/>
        <w:spacing w:line="600" w:lineRule="exact"/>
        <w:textAlignment w:val="auto"/>
        <w:rPr>
          <w:rFonts w:hint="eastAsia" w:ascii="宋体" w:hAnsi="宋体" w:eastAsia="宋体" w:cs="宋体"/>
          <w:b/>
          <w:bCs/>
          <w:color w:val="000000" w:themeColor="text1"/>
          <w:sz w:val="24"/>
          <w:szCs w:val="24"/>
          <w14:textFill>
            <w14:solidFill>
              <w14:schemeClr w14:val="tx1"/>
            </w14:solidFill>
          </w14:textFill>
        </w:rPr>
      </w:pPr>
      <w:bookmarkStart w:id="269" w:name="_Toc144974525"/>
      <w:bookmarkStart w:id="270" w:name="_Toc152045557"/>
      <w:bookmarkStart w:id="271" w:name="_Toc2783"/>
      <w:bookmarkStart w:id="272" w:name="_Toc179632575"/>
      <w:bookmarkStart w:id="273" w:name="_Toc152042333"/>
      <w:bookmarkStart w:id="274" w:name="_Toc2773"/>
      <w:bookmarkStart w:id="275" w:name="_Toc15547"/>
      <w:bookmarkStart w:id="276" w:name="_Toc246996945"/>
      <w:bookmarkStart w:id="277" w:name="_Toc152045558"/>
      <w:bookmarkStart w:id="278" w:name="_Toc152042334"/>
      <w:bookmarkStart w:id="279" w:name="_Toc246996202"/>
      <w:bookmarkStart w:id="280" w:name="_Toc179632576"/>
      <w:bookmarkStart w:id="281" w:name="_Toc247085716"/>
      <w:bookmarkStart w:id="282" w:name="_Toc144974526"/>
      <w:r>
        <w:rPr>
          <w:rFonts w:hint="eastAsia" w:ascii="宋体" w:hAnsi="宋体" w:eastAsia="宋体" w:cs="宋体"/>
          <w:b/>
          <w:bCs/>
          <w:color w:val="000000" w:themeColor="text1"/>
          <w:sz w:val="24"/>
          <w:szCs w:val="24"/>
          <w14:textFill>
            <w14:solidFill>
              <w14:schemeClr w14:val="tx1"/>
            </w14:solidFill>
          </w14:textFill>
        </w:rPr>
        <w:t>4.</w:t>
      </w: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b/>
          <w:bCs/>
          <w:color w:val="000000" w:themeColor="text1"/>
          <w:sz w:val="24"/>
          <w:szCs w:val="24"/>
          <w14:textFill>
            <w14:solidFill>
              <w14:schemeClr w14:val="tx1"/>
            </w14:solidFill>
          </w14:textFill>
        </w:rPr>
        <w:t>投标文件的递交</w:t>
      </w:r>
      <w:bookmarkEnd w:id="269"/>
      <w:bookmarkEnd w:id="270"/>
      <w:bookmarkEnd w:id="271"/>
      <w:bookmarkEnd w:id="272"/>
      <w:bookmarkEnd w:id="273"/>
      <w:bookmarkEnd w:id="274"/>
      <w:bookmarkEnd w:id="275"/>
      <w:r>
        <w:rPr>
          <w:rFonts w:hint="eastAsia" w:ascii="宋体" w:hAnsi="宋体" w:eastAsia="宋体" w:cs="宋体"/>
          <w:b/>
          <w:bCs/>
          <w:color w:val="000000" w:themeColor="text1"/>
          <w:sz w:val="24"/>
          <w:szCs w:val="24"/>
          <w14:textFill>
            <w14:solidFill>
              <w14:schemeClr w14:val="tx1"/>
            </w14:solidFill>
          </w14:textFill>
        </w:rPr>
        <w:t xml:space="preserve"> </w:t>
      </w:r>
    </w:p>
    <w:p w14:paraId="3935FD31">
      <w:pPr>
        <w:pageBreakBefore w:val="0"/>
        <w:numPr>
          <w:ilvl w:val="0"/>
          <w:numId w:val="0"/>
        </w:numPr>
        <w:wordWrap/>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b w:val="0"/>
          <w:bCs w:val="0"/>
          <w:color w:val="000000" w:themeColor="text1"/>
          <w:sz w:val="24"/>
          <w:szCs w:val="24"/>
          <w14:textFill>
            <w14:solidFill>
              <w14:schemeClr w14:val="tx1"/>
            </w14:solidFill>
          </w14:textFill>
        </w:rPr>
        <w:t>电子投标文件可于递交投标文件截止时间前任意时段，登录“全国公共资源交易中心平台（陕西省·延安市）”（延安市公共资源交易平台）〖首页→电子交易平台→陕西政府采购交易系统→企业端〗，登录后上传加密后的电子投标文件。上传成功后，延安市公共资源交易平台政府采购系统将予以记录。</w:t>
      </w:r>
    </w:p>
    <w:p w14:paraId="45093005">
      <w:pPr>
        <w:pageBreakBefore w:val="0"/>
        <w:numPr>
          <w:ilvl w:val="0"/>
          <w:numId w:val="0"/>
        </w:numPr>
        <w:wordWrap/>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（2）纸质投标文件递交要求：正本壹份，副本</w:t>
      </w:r>
      <w:r>
        <w:rPr>
          <w:rFonts w:hint="eastAsia" w:ascii="宋体" w:hAnsi="宋体" w:cs="宋体"/>
          <w:b w:val="0"/>
          <w:bCs w:val="0"/>
          <w:color w:val="000000" w:themeColor="text1"/>
          <w:kern w:val="2"/>
          <w:sz w:val="24"/>
          <w:szCs w:val="24"/>
          <w:lang w:val="en-US" w:eastAsia="zh-CN" w:bidi="ar-SA"/>
          <w14:textFill>
            <w14:solidFill>
              <w14:schemeClr w14:val="tx1"/>
            </w14:solidFill>
          </w14:textFill>
        </w:rPr>
        <w:t>贰</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份（副本可采用正本复印件）。</w:t>
      </w:r>
    </w:p>
    <w:p w14:paraId="489DF424">
      <w:pPr>
        <w:pageBreakBefore w:val="0"/>
        <w:numPr>
          <w:ilvl w:val="0"/>
          <w:numId w:val="0"/>
        </w:numPr>
        <w:wordWrap/>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注：纸质投标文件须留档保存，接受邮寄（纸质投标文件须与电子投标文件保持一致），开标结束后三日内邮寄到：延安市新区盛世花园北区12号楼一单元802室，电话：0911-8688810。</w:t>
      </w:r>
    </w:p>
    <w:p w14:paraId="72BBC2CA">
      <w:pPr>
        <w:pageBreakBefore w:val="0"/>
        <w:wordWrap/>
        <w:topLinePunct w:val="0"/>
        <w:autoSpaceDE/>
        <w:autoSpaceDN/>
        <w:bidi w:val="0"/>
        <w:adjustRightInd/>
        <w:spacing w:line="600" w:lineRule="exac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w:t>
      </w: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b/>
          <w:bCs/>
          <w:color w:val="000000" w:themeColor="text1"/>
          <w:sz w:val="24"/>
          <w:szCs w:val="24"/>
          <w14:textFill>
            <w14:solidFill>
              <w14:schemeClr w14:val="tx1"/>
            </w14:solidFill>
          </w14:textFill>
        </w:rPr>
        <w:t>投标文件的修改与撤回</w:t>
      </w:r>
      <w:bookmarkEnd w:id="276"/>
      <w:bookmarkEnd w:id="277"/>
      <w:bookmarkEnd w:id="278"/>
      <w:bookmarkEnd w:id="279"/>
      <w:bookmarkEnd w:id="280"/>
      <w:bookmarkEnd w:id="281"/>
      <w:bookmarkEnd w:id="282"/>
      <w:bookmarkStart w:id="283" w:name="_Toc144974527"/>
      <w:bookmarkStart w:id="284" w:name="_Toc246996203"/>
      <w:bookmarkStart w:id="285" w:name="_Toc27697"/>
      <w:bookmarkStart w:id="286" w:name="_Toc246996946"/>
      <w:bookmarkStart w:id="287" w:name="_Toc179632577"/>
      <w:bookmarkStart w:id="288" w:name="_Toc23736"/>
      <w:bookmarkStart w:id="289" w:name="_Toc152042335"/>
      <w:bookmarkStart w:id="290" w:name="_Toc8495"/>
      <w:bookmarkStart w:id="291" w:name="_Toc152045559"/>
      <w:bookmarkStart w:id="292" w:name="_Toc247085717"/>
    </w:p>
    <w:p w14:paraId="2543A3E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上传</w:t>
      </w:r>
      <w:r>
        <w:rPr>
          <w:rFonts w:hint="eastAsia" w:ascii="宋体" w:hAnsi="宋体" w:eastAsia="宋体" w:cs="宋体"/>
          <w:b w:val="0"/>
          <w:bCs w:val="0"/>
          <w:color w:val="000000" w:themeColor="text1"/>
          <w:sz w:val="24"/>
          <w:szCs w:val="24"/>
          <w:lang w:val="en-US" w:eastAsia="zh-CN"/>
          <w14:textFill>
            <w14:solidFill>
              <w14:schemeClr w14:val="tx1"/>
            </w14:solidFill>
          </w14:textFill>
        </w:rPr>
        <w:t>的电子投标</w:t>
      </w:r>
      <w:r>
        <w:rPr>
          <w:rFonts w:hint="eastAsia" w:ascii="宋体" w:hAnsi="宋体" w:eastAsia="宋体" w:cs="宋体"/>
          <w:b w:val="0"/>
          <w:bCs w:val="0"/>
          <w:color w:val="000000" w:themeColor="text1"/>
          <w:sz w:val="24"/>
          <w:szCs w:val="24"/>
          <w14:textFill>
            <w14:solidFill>
              <w14:schemeClr w14:val="tx1"/>
            </w14:solidFill>
          </w14:textFill>
        </w:rPr>
        <w:t>文件有误或需要重新提交的，可先撤销已经上传的文件，然后重新上传新文件。</w:t>
      </w:r>
    </w:p>
    <w:p w14:paraId="3C15F91A">
      <w:pPr>
        <w:pageBreakBefore w:val="0"/>
        <w:wordWrap/>
        <w:topLinePunct w:val="0"/>
        <w:autoSpaceDE/>
        <w:autoSpaceDN/>
        <w:bidi w:val="0"/>
        <w:adjustRightInd/>
        <w:spacing w:line="600" w:lineRule="exact"/>
        <w:ind w:firstLine="482" w:firstLineChars="20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5.开标</w:t>
      </w:r>
      <w:bookmarkEnd w:id="283"/>
      <w:bookmarkEnd w:id="284"/>
      <w:bookmarkEnd w:id="285"/>
      <w:bookmarkEnd w:id="286"/>
      <w:bookmarkEnd w:id="287"/>
      <w:bookmarkEnd w:id="288"/>
      <w:bookmarkEnd w:id="289"/>
      <w:bookmarkEnd w:id="290"/>
      <w:bookmarkEnd w:id="291"/>
      <w:bookmarkEnd w:id="292"/>
    </w:p>
    <w:p w14:paraId="6A90218B">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293" w:name="_Toc152045560"/>
      <w:bookmarkStart w:id="294" w:name="_Toc246996204"/>
      <w:bookmarkStart w:id="295" w:name="_Toc152042336"/>
      <w:bookmarkStart w:id="296" w:name="_Toc32417"/>
      <w:bookmarkStart w:id="297" w:name="_Toc11197"/>
      <w:bookmarkStart w:id="298" w:name="_Toc247085718"/>
      <w:bookmarkStart w:id="299" w:name="_Toc246996947"/>
      <w:bookmarkStart w:id="300" w:name="_Toc179632578"/>
      <w:bookmarkStart w:id="301" w:name="_Toc144974528"/>
      <w:bookmarkStart w:id="302" w:name="_Toc19034"/>
      <w:r>
        <w:rPr>
          <w:rFonts w:hint="eastAsia" w:ascii="宋体" w:hAnsi="宋体" w:eastAsia="宋体" w:cs="宋体"/>
          <w:color w:val="000000" w:themeColor="text1"/>
          <w:sz w:val="24"/>
          <w:szCs w:val="24"/>
          <w14:textFill>
            <w14:solidFill>
              <w14:schemeClr w14:val="tx1"/>
            </w14:solidFill>
          </w14:textFill>
        </w:rPr>
        <w:t>5.1 开标时间和地点</w:t>
      </w:r>
      <w:bookmarkEnd w:id="293"/>
      <w:bookmarkEnd w:id="294"/>
      <w:bookmarkEnd w:id="295"/>
      <w:bookmarkEnd w:id="296"/>
      <w:bookmarkEnd w:id="297"/>
      <w:bookmarkEnd w:id="298"/>
      <w:bookmarkEnd w:id="299"/>
      <w:bookmarkEnd w:id="300"/>
      <w:bookmarkEnd w:id="301"/>
      <w:bookmarkEnd w:id="302"/>
    </w:p>
    <w:p w14:paraId="69D23BC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投标人须知前附表规定的地点和时间公开开标，并邀请所有投标人的法定代表人或其委托代理人准时参加。</w:t>
      </w:r>
    </w:p>
    <w:p w14:paraId="0A0F743E">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303" w:name="_Toc20464"/>
      <w:bookmarkStart w:id="304" w:name="_Toc152045561"/>
      <w:bookmarkStart w:id="305" w:name="_Toc247085719"/>
      <w:bookmarkStart w:id="306" w:name="_Toc144974529"/>
      <w:bookmarkStart w:id="307" w:name="_Toc27426"/>
      <w:bookmarkStart w:id="308" w:name="_Toc3352"/>
      <w:bookmarkStart w:id="309" w:name="_Toc152042337"/>
      <w:bookmarkStart w:id="310" w:name="_Toc246996948"/>
      <w:bookmarkStart w:id="311" w:name="_Toc246996205"/>
      <w:bookmarkStart w:id="312" w:name="_Toc179632579"/>
      <w:r>
        <w:rPr>
          <w:rFonts w:hint="eastAsia" w:ascii="宋体" w:hAnsi="宋体" w:eastAsia="宋体" w:cs="宋体"/>
          <w:color w:val="000000" w:themeColor="text1"/>
          <w:sz w:val="24"/>
          <w:szCs w:val="24"/>
          <w14:textFill>
            <w14:solidFill>
              <w14:schemeClr w14:val="tx1"/>
            </w14:solidFill>
          </w14:textFill>
        </w:rPr>
        <w:t>5.2 开标程序</w:t>
      </w:r>
      <w:bookmarkEnd w:id="303"/>
      <w:bookmarkEnd w:id="304"/>
      <w:bookmarkEnd w:id="305"/>
      <w:bookmarkEnd w:id="306"/>
      <w:bookmarkEnd w:id="307"/>
      <w:bookmarkEnd w:id="308"/>
      <w:bookmarkEnd w:id="309"/>
      <w:bookmarkEnd w:id="310"/>
      <w:bookmarkEnd w:id="311"/>
      <w:bookmarkEnd w:id="312"/>
    </w:p>
    <w:p w14:paraId="4AB896F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14:textFill>
            <w14:solidFill>
              <w14:schemeClr w14:val="tx1"/>
            </w14:solidFill>
          </w14:textFill>
        </w:rPr>
      </w:pPr>
      <w:bookmarkStart w:id="313" w:name="_Toc5502"/>
      <w:bookmarkStart w:id="314" w:name="_Toc30701"/>
      <w:r>
        <w:rPr>
          <w:rFonts w:hint="eastAsia" w:ascii="宋体" w:hAnsi="宋体" w:eastAsia="宋体" w:cs="宋体"/>
          <w:color w:val="000000" w:themeColor="text1"/>
          <w:kern w:val="0"/>
          <w:sz w:val="24"/>
          <w:szCs w:val="24"/>
          <w:lang w:val="en-US"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采购人和采购代理机构将按投标人须知前附表中规定的开标时间和地点组织开标。投标人不足3家的，不予开标。</w:t>
      </w:r>
    </w:p>
    <w:p w14:paraId="2ACAC4E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开标时，由采购人和代理机构组织各投标人线上解密，并在线上公示开标记录。若投标人在系统规定时间内未完成解密，或因投标人原因造成其投标文件无法解密（或无法打开的），按无效投标处理。</w:t>
      </w:r>
    </w:p>
    <w:p w14:paraId="44CBE7B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本项目采用“不见面开标”具体流程如下：</w:t>
      </w:r>
    </w:p>
    <w:p w14:paraId="0D89FCD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3.1</w:t>
      </w:r>
      <w:r>
        <w:rPr>
          <w:rFonts w:hint="eastAsia" w:ascii="宋体" w:hAnsi="宋体" w:eastAsia="宋体" w:cs="宋体"/>
          <w:color w:val="000000" w:themeColor="text1"/>
          <w:kern w:val="0"/>
          <w:sz w:val="24"/>
          <w:szCs w:val="24"/>
          <w14:textFill>
            <w14:solidFill>
              <w14:schemeClr w14:val="tx1"/>
            </w14:solidFill>
          </w14:textFill>
        </w:rPr>
        <w:t>、项目开标时，投标人使用CA锁登录交易中心网站不见面开标大厅，通过不见面开标大厅参加开标，使用不见面开标系统与招标人、招标代理机构现场工作人员进行互动交流、澄清答疑活动。提交投标文件截止时间前，招标代理机构、交易中心工作人员提前一小时进入不见面开标系统，投标人提前一小时进入该系统，进行在线查看互动区消息等。</w:t>
      </w:r>
    </w:p>
    <w:p w14:paraId="3247591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3.2</w:t>
      </w:r>
      <w:r>
        <w:rPr>
          <w:rFonts w:hint="eastAsia" w:ascii="宋体" w:hAnsi="宋体" w:eastAsia="宋体" w:cs="宋体"/>
          <w:color w:val="000000" w:themeColor="text1"/>
          <w:kern w:val="0"/>
          <w:sz w:val="24"/>
          <w:szCs w:val="24"/>
          <w14:textFill>
            <w14:solidFill>
              <w14:schemeClr w14:val="tx1"/>
            </w14:solidFill>
          </w14:textFill>
        </w:rPr>
        <w:t>、提交投标文件截止时间后，由主持人通过系统发出投标文件解密指令，投标人按规定时间自行实施远程解密，解密限定在规定时间内完成</w:t>
      </w:r>
      <w:r>
        <w:rPr>
          <w:rFonts w:hint="eastAsia" w:ascii="宋体" w:hAnsi="宋体" w:eastAsia="宋体" w:cs="宋体"/>
          <w:color w:val="000000" w:themeColor="text1"/>
          <w:kern w:val="0"/>
          <w:sz w:val="24"/>
          <w:szCs w:val="24"/>
          <w:lang w:eastAsia="zh-CN"/>
          <w14:textFill>
            <w14:solidFill>
              <w14:schemeClr w14:val="tx1"/>
            </w14:solidFill>
          </w14:textFill>
        </w:rPr>
        <w:t>。</w:t>
      </w:r>
    </w:p>
    <w:p w14:paraId="1B3E6FC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3.3、</w:t>
      </w:r>
      <w:r>
        <w:rPr>
          <w:rFonts w:hint="eastAsia" w:ascii="宋体" w:hAnsi="宋体" w:eastAsia="宋体" w:cs="宋体"/>
          <w:color w:val="000000" w:themeColor="text1"/>
          <w:kern w:val="0"/>
          <w:sz w:val="24"/>
          <w:szCs w:val="24"/>
          <w14:textFill>
            <w14:solidFill>
              <w14:schemeClr w14:val="tx1"/>
            </w14:solidFill>
          </w14:textFill>
        </w:rPr>
        <w:t>开标过程中，投标人应当重点关注不见面开标系统相关流程和互动区消息，并根据提醒及时进行投标文件在线解密等操作。</w:t>
      </w:r>
    </w:p>
    <w:p w14:paraId="4A922F4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3.4</w:t>
      </w:r>
      <w:r>
        <w:rPr>
          <w:rFonts w:hint="eastAsia" w:ascii="宋体" w:hAnsi="宋体" w:eastAsia="宋体" w:cs="宋体"/>
          <w:color w:val="000000" w:themeColor="text1"/>
          <w:kern w:val="0"/>
          <w:sz w:val="24"/>
          <w:szCs w:val="24"/>
          <w14:textFill>
            <w14:solidFill>
              <w14:schemeClr w14:val="tx1"/>
            </w14:solidFill>
          </w14:textFill>
        </w:rPr>
        <w:t>、项目进入投标文件在线解密阶段后，投标人须在规定的时限内对电子投标文件进行解密，逾期系统将拒绝操作。解密时所用CA锁应与加密投标文件时所用CA锁为同一锁，且在正常使用期内，否则将无法解密。</w:t>
      </w:r>
    </w:p>
    <w:p w14:paraId="1E77637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3.5</w:t>
      </w:r>
      <w:r>
        <w:rPr>
          <w:rFonts w:hint="eastAsia" w:ascii="宋体" w:hAnsi="宋体" w:eastAsia="宋体" w:cs="宋体"/>
          <w:color w:val="000000" w:themeColor="text1"/>
          <w:kern w:val="0"/>
          <w:sz w:val="24"/>
          <w:szCs w:val="24"/>
          <w14:textFill>
            <w14:solidFill>
              <w14:schemeClr w14:val="tx1"/>
            </w14:solidFill>
          </w14:textFill>
        </w:rPr>
        <w:t>、因投标人自身原因未能按时完成投标文件解密，视为投标人放弃该项目投标，其投标文件将被退回；因交易中心不见面开标系统原因，导致投标人无法按时完成投标文件解密的，交易中心可根据实际情况相应延迟解密时间或调整开标时间。</w:t>
      </w:r>
    </w:p>
    <w:p w14:paraId="5A0E0F1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3.6</w:t>
      </w:r>
      <w:r>
        <w:rPr>
          <w:rFonts w:hint="eastAsia" w:ascii="宋体" w:hAnsi="宋体" w:eastAsia="宋体" w:cs="宋体"/>
          <w:color w:val="000000" w:themeColor="text1"/>
          <w:kern w:val="0"/>
          <w:sz w:val="24"/>
          <w:szCs w:val="24"/>
          <w14:textFill>
            <w14:solidFill>
              <w14:schemeClr w14:val="tx1"/>
            </w14:solidFill>
          </w14:textFill>
        </w:rPr>
        <w:t>、开标过程中，参加在线开标的投标人代表视为投标人全权委托委托人，行使投标人权利与义务。投标人不得以不承认解密及互动发言人员的资格或身份等为借口否认投标行为。操作流程详见延安市公共资源交易中心不见面开标系统操作手册（投标人）。投标申请人应及时获取招标文件、澄清或修改文件以及答疑等相关文件，在提交投标文件截止时间前必须递交投标文件，否则按无效处理。</w:t>
      </w:r>
    </w:p>
    <w:p w14:paraId="1D2F7E4B">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5.3投标文件的有效性</w:t>
      </w:r>
      <w:bookmarkEnd w:id="313"/>
      <w:bookmarkEnd w:id="314"/>
    </w:p>
    <w:p w14:paraId="78A9E17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5.3.1开标时，投标文件出现下列情况之一的，应当作为无效投标文件，不得进入评标：</w:t>
      </w:r>
    </w:p>
    <w:p w14:paraId="4C45292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5.3.1.</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本须知第3.1条规定的投标文件有关内容未按本须知第3.5.3条规定加盖投标人印章或未经法定代表人或其委托代理人签字或盖章的，由委托代理人签字或盖章的，但未随投标文件一起提交有效的“授权委托书”原件的；</w:t>
      </w:r>
    </w:p>
    <w:p w14:paraId="6DF114F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5.3.1.</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投标文件的关键内容字迹模糊，无法辨认的；</w:t>
      </w:r>
    </w:p>
    <w:p w14:paraId="09FC09B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5.3.1.</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 xml:space="preserve">投标人未按照招标文件的要求提供投标保证金的；                   </w:t>
      </w:r>
    </w:p>
    <w:p w14:paraId="348E27A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5.3.1.</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投标文件不符合本须知第3.1条规定，其组成缺项者；</w:t>
      </w:r>
    </w:p>
    <w:p w14:paraId="13EA3B4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5.3.1.</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 xml:space="preserve"> 开标大会在递交投标文件截止时间的同一时间举行，出席和参加大会的人员和代表，应在会议开始之前进行会议签到。</w:t>
      </w:r>
    </w:p>
    <w:p w14:paraId="0619AD2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5.3.1.</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 xml:space="preserve"> 开标时，投标文件中出现下列情况，修正原则为。</w:t>
      </w:r>
    </w:p>
    <w:p w14:paraId="0C1D3F9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a.投标报价的大写金额和小写不一致的，以大写金额为准；</w:t>
      </w:r>
    </w:p>
    <w:p w14:paraId="436213A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b.单价金额小数点有明显错位的，以修改单价为准；</w:t>
      </w:r>
    </w:p>
    <w:p w14:paraId="06A18AD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c.多处内容交叉不符时，以评标委员会评审结果为准；</w:t>
      </w:r>
    </w:p>
    <w:p w14:paraId="066DB36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d.文字与图表不符时以文字为准。</w:t>
      </w:r>
    </w:p>
    <w:p w14:paraId="2944478D">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315" w:name="_Toc24451"/>
      <w:bookmarkStart w:id="316" w:name="_Toc7178"/>
      <w:bookmarkStart w:id="317" w:name="_Toc21836"/>
      <w:r>
        <w:rPr>
          <w:rFonts w:hint="eastAsia" w:ascii="宋体" w:hAnsi="宋体" w:eastAsia="宋体" w:cs="宋体"/>
          <w:color w:val="000000" w:themeColor="text1"/>
          <w:sz w:val="24"/>
          <w:szCs w:val="24"/>
          <w14:textFill>
            <w14:solidFill>
              <w14:schemeClr w14:val="tx1"/>
            </w14:solidFill>
          </w14:textFill>
        </w:rPr>
        <w:t>5.4开标异议</w:t>
      </w:r>
      <w:bookmarkEnd w:id="315"/>
      <w:bookmarkEnd w:id="316"/>
      <w:bookmarkEnd w:id="317"/>
    </w:p>
    <w:p w14:paraId="763604D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kern w:val="0"/>
          <w:sz w:val="24"/>
          <w:szCs w:val="24"/>
          <w:lang w:val="en-US" w:eastAsia="zh-CN"/>
          <w14:textFill>
            <w14:solidFill>
              <w14:schemeClr w14:val="tx1"/>
            </w14:solidFill>
          </w14:textFill>
        </w:rPr>
      </w:pPr>
      <w:bookmarkStart w:id="318" w:name="_Toc144974530"/>
      <w:bookmarkStart w:id="319" w:name="_Toc152045562"/>
      <w:bookmarkStart w:id="320" w:name="_Toc246996949"/>
      <w:bookmarkStart w:id="321" w:name="_Toc152042338"/>
      <w:bookmarkStart w:id="322" w:name="_Toc179632580"/>
      <w:bookmarkStart w:id="323" w:name="_Toc19772"/>
      <w:bookmarkStart w:id="324" w:name="_Toc8409"/>
      <w:bookmarkStart w:id="325" w:name="_Toc247085720"/>
      <w:bookmarkStart w:id="326" w:name="_Toc16510"/>
      <w:bookmarkStart w:id="327" w:name="_Toc246996206"/>
      <w:r>
        <w:rPr>
          <w:rFonts w:hint="eastAsia" w:ascii="宋体" w:hAnsi="宋体" w:eastAsia="宋体" w:cs="宋体"/>
          <w:color w:val="000000" w:themeColor="text1"/>
          <w:kern w:val="0"/>
          <w:sz w:val="24"/>
          <w:szCs w:val="24"/>
          <w:lang w:val="en-US" w:eastAsia="zh-CN"/>
          <w14:textFill>
            <w14:solidFill>
              <w14:schemeClr w14:val="tx1"/>
            </w14:solidFill>
          </w14:textFill>
        </w:rPr>
        <w:t>标人代表对开标过程和开标记录有疑义，以及认为开标现场采购人、采购代理机构相关工作人员有需要回避的情形，应在开标大厅当场提出询问或回避申请，若投标人在开标会议结束前，未提出疑义，视其对开标过程和开标记录无疑义。</w:t>
      </w:r>
    </w:p>
    <w:p w14:paraId="3967EF71">
      <w:pPr>
        <w:pStyle w:val="3"/>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 评标</w:t>
      </w:r>
      <w:bookmarkEnd w:id="318"/>
      <w:bookmarkEnd w:id="319"/>
      <w:bookmarkEnd w:id="320"/>
      <w:bookmarkEnd w:id="321"/>
      <w:bookmarkEnd w:id="322"/>
      <w:bookmarkEnd w:id="323"/>
      <w:bookmarkEnd w:id="324"/>
      <w:bookmarkEnd w:id="325"/>
      <w:bookmarkEnd w:id="326"/>
      <w:bookmarkEnd w:id="327"/>
    </w:p>
    <w:p w14:paraId="6CE0893A">
      <w:pPr>
        <w:pStyle w:val="4"/>
        <w:pageBreakBefore w:val="0"/>
        <w:wordWrap/>
        <w:topLinePunct w:val="0"/>
        <w:autoSpaceDE/>
        <w:autoSpaceDN/>
        <w:bidi w:val="0"/>
        <w:adjustRightInd/>
        <w:spacing w:before="0" w:beforeLines="0" w:after="0" w:afterLines="0" w:line="600" w:lineRule="exact"/>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bookmarkStart w:id="328" w:name="_Toc152042339"/>
      <w:bookmarkStart w:id="329" w:name="_Toc152045563"/>
      <w:bookmarkStart w:id="330" w:name="_Toc247085721"/>
      <w:bookmarkStart w:id="331" w:name="_Toc179632581"/>
      <w:bookmarkStart w:id="332" w:name="_Toc24650"/>
      <w:bookmarkStart w:id="333" w:name="_Toc246996207"/>
      <w:bookmarkStart w:id="334" w:name="_Toc144974531"/>
      <w:bookmarkStart w:id="335" w:name="_Toc246996950"/>
      <w:bookmarkStart w:id="336" w:name="_Toc17653"/>
      <w:bookmarkStart w:id="337" w:name="_Toc32310"/>
      <w:r>
        <w:rPr>
          <w:rFonts w:hint="eastAsia" w:ascii="宋体" w:hAnsi="宋体" w:eastAsia="宋体" w:cs="宋体"/>
          <w:b w:val="0"/>
          <w:bCs w:val="0"/>
          <w:color w:val="000000" w:themeColor="text1"/>
          <w:sz w:val="24"/>
          <w:szCs w:val="24"/>
          <w14:textFill>
            <w14:solidFill>
              <w14:schemeClr w14:val="tx1"/>
            </w14:solidFill>
          </w14:textFill>
        </w:rPr>
        <w:t>6.1 评标委员会</w:t>
      </w:r>
      <w:bookmarkEnd w:id="328"/>
      <w:bookmarkEnd w:id="329"/>
      <w:bookmarkEnd w:id="330"/>
      <w:bookmarkEnd w:id="331"/>
      <w:bookmarkEnd w:id="332"/>
      <w:bookmarkEnd w:id="333"/>
      <w:bookmarkEnd w:id="334"/>
      <w:bookmarkEnd w:id="335"/>
      <w:bookmarkEnd w:id="336"/>
      <w:bookmarkEnd w:id="337"/>
    </w:p>
    <w:p w14:paraId="11268BE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6.1.1 </w:t>
      </w:r>
      <w:r>
        <w:rPr>
          <w:rFonts w:hint="eastAsia" w:ascii="宋体" w:hAnsi="宋体" w:eastAsia="宋体" w:cs="宋体"/>
          <w:color w:val="000000" w:themeColor="text1"/>
          <w:sz w:val="24"/>
          <w:szCs w:val="24"/>
          <w:lang w:val="en-US" w:eastAsia="zh-CN"/>
          <w14:textFill>
            <w14:solidFill>
              <w14:schemeClr w14:val="tx1"/>
            </w14:solidFill>
          </w14:textFill>
        </w:rPr>
        <w:t>评标委员会由采购人代表和评审专家组成，成员人数应当为5人以上单数，其中评审专家不得少于成员总数的三分之二。</w:t>
      </w:r>
    </w:p>
    <w:p w14:paraId="3C5C6C6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6.1.2 评标委员会成员有下列情形之一的，应当回避：</w:t>
      </w:r>
    </w:p>
    <w:p w14:paraId="60183B27">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（1）投标人或投标人主要负责人的近亲属；</w:t>
      </w:r>
    </w:p>
    <w:p w14:paraId="7A5E418D">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（2）项目主管部门或者行政监督部门的人员；</w:t>
      </w:r>
    </w:p>
    <w:p w14:paraId="5FD26AFA">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（3）与投标人有经济利益关系；</w:t>
      </w:r>
    </w:p>
    <w:p w14:paraId="4EB3CAC4">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（4）曾因在招标、评标以及其他与招标投标有关活动中从事违法行为而受过行政处罚或刑事处罚的；</w:t>
      </w:r>
    </w:p>
    <w:p w14:paraId="1550AF98">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（5）与投标人有其他利害关系。</w:t>
      </w:r>
    </w:p>
    <w:p w14:paraId="1D54EC7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338" w:name="_Toc144974532"/>
      <w:bookmarkStart w:id="339" w:name="_Toc152042340"/>
      <w:bookmarkStart w:id="340" w:name="_Toc346"/>
      <w:bookmarkStart w:id="341" w:name="_Toc246996951"/>
      <w:bookmarkStart w:id="342" w:name="_Toc16516"/>
      <w:bookmarkStart w:id="343" w:name="_Toc390"/>
      <w:bookmarkStart w:id="344" w:name="_Toc246996208"/>
      <w:bookmarkStart w:id="345" w:name="_Toc247085722"/>
      <w:bookmarkStart w:id="346" w:name="_Toc179632582"/>
      <w:bookmarkStart w:id="347" w:name="_Toc152045564"/>
      <w:r>
        <w:rPr>
          <w:rFonts w:hint="eastAsia" w:ascii="宋体" w:hAnsi="宋体" w:eastAsia="宋体" w:cs="宋体"/>
          <w:color w:val="000000" w:themeColor="text1"/>
          <w:sz w:val="24"/>
          <w:szCs w:val="24"/>
          <w14:textFill>
            <w14:solidFill>
              <w14:schemeClr w14:val="tx1"/>
            </w14:solidFill>
          </w14:textFill>
        </w:rPr>
        <w:t xml:space="preserve">6.2 </w:t>
      </w:r>
      <w:bookmarkEnd w:id="338"/>
      <w:bookmarkEnd w:id="339"/>
      <w:bookmarkEnd w:id="340"/>
      <w:bookmarkEnd w:id="341"/>
      <w:bookmarkEnd w:id="342"/>
      <w:bookmarkEnd w:id="343"/>
      <w:bookmarkEnd w:id="344"/>
      <w:bookmarkEnd w:id="345"/>
      <w:bookmarkEnd w:id="346"/>
      <w:bookmarkEnd w:id="347"/>
      <w:r>
        <w:rPr>
          <w:rFonts w:hint="eastAsia" w:ascii="宋体" w:hAnsi="宋体" w:eastAsia="宋体" w:cs="宋体"/>
          <w:color w:val="000000" w:themeColor="text1"/>
          <w:sz w:val="24"/>
          <w:szCs w:val="24"/>
          <w14:textFill>
            <w14:solidFill>
              <w14:schemeClr w14:val="tx1"/>
            </w14:solidFill>
          </w14:textFill>
        </w:rPr>
        <w:t>评标委员会应当遵守并履行下列职责义务：</w:t>
      </w:r>
    </w:p>
    <w:p w14:paraId="7023D54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a.遵纪守法，客观、公正、认真负责的履行职责，审查投标文件是否符合招标文件的要求，并作出评价；</w:t>
      </w:r>
    </w:p>
    <w:p w14:paraId="24A88AA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b.要求投标人对投标文件有关事项作出解释或者澄清；</w:t>
      </w:r>
    </w:p>
    <w:p w14:paraId="7917A6D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c.按照招标文件的要求和评标办法进行评标，推荐中标候选人名单；</w:t>
      </w:r>
    </w:p>
    <w:p w14:paraId="67359CD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d.配合</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答复投标人提出的质疑；</w:t>
      </w:r>
    </w:p>
    <w:p w14:paraId="5FD26AB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e.评标委员会有权就投标文件中有疑义之处或前后表述不一致的问题，向投标人提出询问或澄清。投标人必须在评标委员会规定的时间内派技术和商务人员进行澄清，有关澄清的内容应以书面形式提交，并由投标人法定代表人或委托代理人签字确认。澄清时投标人只作说明和解释，不得借此对投标报价、优惠条件、售后服务等实质性内容做任何修改。</w:t>
      </w:r>
    </w:p>
    <w:p w14:paraId="1BF42E2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f.评标委员会有权对开标、评标过程中出现的一切问题，根据相关法律法规，本着公平、公正的原则，提出处理意见，经采购人、</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同意后做出处理决定。</w:t>
      </w:r>
    </w:p>
    <w:p w14:paraId="321CCFD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g.向</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或有关部门报告非法干预评标工作的行为。</w:t>
      </w:r>
    </w:p>
    <w:p w14:paraId="2B02090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6.3 评标保密工作</w:t>
      </w:r>
    </w:p>
    <w:p w14:paraId="05B5440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6.3.1 </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必须采取必要措施，保证评标工作在严格保密的情况下进行。任何单位和个人不得非法干预、影响评标方法的确定，以及评标过程和结果。</w:t>
      </w:r>
    </w:p>
    <w:p w14:paraId="723B3C4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6.3.2 开标后，直至授予中标合同为止，评标委员会成员及全体与会工作人员不得将投标文件的审查、答疑、评价和比较的有关资料以及中标候选人的推荐情况，与评标有关的其他任何情况均严格保密。违者依法追究其责任。</w:t>
      </w:r>
    </w:p>
    <w:p w14:paraId="01718F7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6.4 定标程序</w:t>
      </w:r>
    </w:p>
    <w:p w14:paraId="5B44CEC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6.4.1 </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在评标工作结束后2个工作日内，将评标报告送采购人。</w:t>
      </w:r>
    </w:p>
    <w:p w14:paraId="508B0CA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6.4.2 采购人在收到评标报告后5个工作日内，按照评标报告中推荐的中标候选人顺序确定中标供应商，并函复</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w:t>
      </w:r>
    </w:p>
    <w:p w14:paraId="091B788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6.4.3 中标供应商确定之日发出中标通知书，并在省级以上人民政府财政部门指定的媒体上公告中标结果。</w:t>
      </w:r>
    </w:p>
    <w:p w14:paraId="00EEC72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6.4.4 中标供应商因不可抗力或者自身原因不能履行政府采购合同的，采购人可以与排序在中标供应商之后第一位的中标候选人签订政府采购合同，以此类推至第二位。</w:t>
      </w:r>
    </w:p>
    <w:p w14:paraId="13959714">
      <w:pPr>
        <w:pStyle w:val="3"/>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348" w:name="_Toc246996953"/>
      <w:bookmarkStart w:id="349" w:name="_Toc144974534"/>
      <w:bookmarkStart w:id="350" w:name="_Toc179632584"/>
      <w:bookmarkStart w:id="351" w:name="_Toc24420"/>
      <w:bookmarkStart w:id="352" w:name="_Toc152042342"/>
      <w:bookmarkStart w:id="353" w:name="_Toc152045566"/>
      <w:bookmarkStart w:id="354" w:name="_Toc247085724"/>
      <w:bookmarkStart w:id="355" w:name="_Toc21695"/>
      <w:bookmarkStart w:id="356" w:name="_Toc19723"/>
      <w:bookmarkStart w:id="357" w:name="_Toc246996210"/>
      <w:r>
        <w:rPr>
          <w:rFonts w:hint="eastAsia" w:ascii="宋体" w:hAnsi="宋体" w:eastAsia="宋体" w:cs="宋体"/>
          <w:color w:val="000000" w:themeColor="text1"/>
          <w:sz w:val="24"/>
          <w:szCs w:val="24"/>
          <w14:textFill>
            <w14:solidFill>
              <w14:schemeClr w14:val="tx1"/>
            </w14:solidFill>
          </w14:textFill>
        </w:rPr>
        <w:t>7. 合同授予</w:t>
      </w:r>
      <w:bookmarkEnd w:id="348"/>
      <w:bookmarkEnd w:id="349"/>
      <w:bookmarkEnd w:id="350"/>
      <w:bookmarkEnd w:id="351"/>
      <w:bookmarkEnd w:id="352"/>
      <w:bookmarkEnd w:id="353"/>
      <w:bookmarkEnd w:id="354"/>
      <w:bookmarkEnd w:id="355"/>
      <w:bookmarkEnd w:id="356"/>
      <w:bookmarkEnd w:id="357"/>
    </w:p>
    <w:p w14:paraId="66550173">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358" w:name="_Toc247085725"/>
      <w:bookmarkStart w:id="359" w:name="_Toc152042343"/>
      <w:bookmarkStart w:id="360" w:name="_Toc23291"/>
      <w:bookmarkStart w:id="361" w:name="_Toc144974535"/>
      <w:bookmarkStart w:id="362" w:name="_Toc179632585"/>
      <w:bookmarkStart w:id="363" w:name="_Toc461"/>
      <w:bookmarkStart w:id="364" w:name="_Toc246996211"/>
      <w:bookmarkStart w:id="365" w:name="_Toc26031"/>
      <w:bookmarkStart w:id="366" w:name="_Toc246996954"/>
      <w:bookmarkStart w:id="367" w:name="_Toc152045567"/>
      <w:r>
        <w:rPr>
          <w:rFonts w:hint="eastAsia" w:ascii="宋体" w:hAnsi="宋体" w:eastAsia="宋体" w:cs="宋体"/>
          <w:color w:val="000000" w:themeColor="text1"/>
          <w:sz w:val="24"/>
          <w:szCs w:val="24"/>
          <w14:textFill>
            <w14:solidFill>
              <w14:schemeClr w14:val="tx1"/>
            </w14:solidFill>
          </w14:textFill>
        </w:rPr>
        <w:t xml:space="preserve">7.1 </w:t>
      </w:r>
      <w:bookmarkEnd w:id="358"/>
      <w:bookmarkEnd w:id="359"/>
      <w:bookmarkEnd w:id="360"/>
      <w:bookmarkEnd w:id="361"/>
      <w:bookmarkEnd w:id="362"/>
      <w:bookmarkEnd w:id="363"/>
      <w:bookmarkEnd w:id="364"/>
      <w:bookmarkEnd w:id="365"/>
      <w:bookmarkEnd w:id="366"/>
      <w:bookmarkEnd w:id="367"/>
      <w:r>
        <w:rPr>
          <w:rFonts w:hint="eastAsia" w:ascii="宋体" w:hAnsi="宋体" w:eastAsia="宋体" w:cs="宋体"/>
          <w:color w:val="000000" w:themeColor="text1"/>
          <w:sz w:val="24"/>
          <w:szCs w:val="24"/>
          <w14:textFill>
            <w14:solidFill>
              <w14:schemeClr w14:val="tx1"/>
            </w14:solidFill>
          </w14:textFill>
        </w:rPr>
        <w:t>签订合同</w:t>
      </w:r>
    </w:p>
    <w:p w14:paraId="09E152F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368" w:name="_Toc2601"/>
      <w:bookmarkStart w:id="369" w:name="_Toc23618"/>
      <w:bookmarkStart w:id="370" w:name="_Toc19535"/>
      <w:r>
        <w:rPr>
          <w:rFonts w:hint="eastAsia" w:ascii="宋体" w:hAnsi="宋体" w:eastAsia="宋体" w:cs="宋体"/>
          <w:color w:val="000000" w:themeColor="text1"/>
          <w:sz w:val="24"/>
          <w:szCs w:val="24"/>
          <w14:textFill>
            <w14:solidFill>
              <w14:schemeClr w14:val="tx1"/>
            </w14:solidFill>
          </w14:textFill>
        </w:rPr>
        <w:t>7.1</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合同将授予有采购人出具的定标复函确认的供应商。排名第一的中标候选人放弃中标、 因不可抗力提出不能履行合同，或者招标文件规定应当提交履约保证金而在规定的期限内未能提交，或者被查实存在影响中标结果的违法行为等情形，不符合中标条件的，采购人可以按照评标委员会提出的中标候选人名单排序依次确定其他中标候选人为供应商。依次确定其他中标候选人与采购人预期差距较大，或者对采购人明显不利的，采购人可以重新招标。</w:t>
      </w:r>
    </w:p>
    <w:p w14:paraId="084CCAD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 xml:space="preserve">2 </w:t>
      </w:r>
      <w:r>
        <w:rPr>
          <w:rFonts w:hint="eastAsia" w:ascii="宋体" w:hAnsi="宋体" w:eastAsia="宋体" w:cs="宋体"/>
          <w:color w:val="000000" w:themeColor="text1"/>
          <w:sz w:val="24"/>
          <w:szCs w:val="24"/>
          <w:lang w:val="en-US" w:eastAsia="zh-CN"/>
          <w14:textFill>
            <w14:solidFill>
              <w14:schemeClr w14:val="tx1"/>
            </w14:solidFill>
          </w14:textFill>
        </w:rPr>
        <w:t>采购人应尽量缩短采购合同签订时间，不晚于中标(成交)通知书发出之日起25日，鼓励在15日内按照采购文件确定的事项与中标(成交)供应商签订政府采购合同。</w:t>
      </w:r>
      <w:r>
        <w:rPr>
          <w:rFonts w:hint="eastAsia" w:ascii="宋体" w:hAnsi="宋体" w:eastAsia="宋体" w:cs="宋体"/>
          <w:color w:val="000000" w:themeColor="text1"/>
          <w:sz w:val="24"/>
          <w:szCs w:val="24"/>
          <w14:textFill>
            <w14:solidFill>
              <w14:schemeClr w14:val="tx1"/>
            </w14:solidFill>
          </w14:textFill>
        </w:rPr>
        <w:t>中标人不能按投标文件，包括补充文件（如澄清、 承诺等） 中承诺的条件履行签约行为，采购人</w:t>
      </w:r>
      <w:r>
        <w:rPr>
          <w:rFonts w:hint="eastAsia" w:ascii="宋体" w:hAnsi="宋体" w:cs="宋体"/>
          <w:color w:val="000000" w:themeColor="text1"/>
          <w:sz w:val="24"/>
          <w:szCs w:val="24"/>
          <w:lang w:val="en-US" w:eastAsia="zh-CN"/>
          <w14:textFill>
            <w14:solidFill>
              <w14:schemeClr w14:val="tx1"/>
            </w14:solidFill>
          </w14:textFill>
        </w:rPr>
        <w:t>有权</w:t>
      </w:r>
      <w:r>
        <w:rPr>
          <w:rFonts w:hint="eastAsia" w:ascii="宋体" w:hAnsi="宋体" w:eastAsia="宋体" w:cs="宋体"/>
          <w:color w:val="000000" w:themeColor="text1"/>
          <w:sz w:val="24"/>
          <w:szCs w:val="24"/>
          <w14:textFill>
            <w14:solidFill>
              <w14:schemeClr w14:val="tx1"/>
            </w14:solidFill>
          </w14:textFill>
        </w:rPr>
        <w:t>取消其</w:t>
      </w:r>
      <w:r>
        <w:rPr>
          <w:rFonts w:hint="eastAsia" w:ascii="宋体" w:hAnsi="宋体" w:cs="宋体"/>
          <w:color w:val="000000" w:themeColor="text1"/>
          <w:sz w:val="24"/>
          <w:szCs w:val="24"/>
          <w:lang w:val="en-US" w:eastAsia="zh-CN"/>
          <w14:textFill>
            <w14:solidFill>
              <w14:schemeClr w14:val="tx1"/>
            </w14:solidFill>
          </w14:textFill>
        </w:rPr>
        <w:t>中标</w:t>
      </w:r>
      <w:r>
        <w:rPr>
          <w:rFonts w:hint="eastAsia" w:ascii="宋体" w:hAnsi="宋体" w:eastAsia="宋体" w:cs="宋体"/>
          <w:color w:val="000000" w:themeColor="text1"/>
          <w:sz w:val="24"/>
          <w:szCs w:val="24"/>
          <w14:textFill>
            <w14:solidFill>
              <w14:schemeClr w14:val="tx1"/>
            </w14:solidFill>
          </w14:textFill>
        </w:rPr>
        <w:t>资格，并扣除其投标保证金。</w:t>
      </w:r>
    </w:p>
    <w:p w14:paraId="7F51F7A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应当督促采购人、中标供应商在规定的期限内完成合同签订工作，并对采购合同内容进行审核确认。</w:t>
      </w:r>
    </w:p>
    <w:p w14:paraId="3F0B29F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1.4</w:t>
      </w:r>
      <w:r>
        <w:rPr>
          <w:rFonts w:hint="eastAsia" w:ascii="宋体" w:hAnsi="宋体" w:eastAsia="宋体" w:cs="宋体"/>
          <w:color w:val="000000" w:themeColor="text1"/>
          <w:sz w:val="24"/>
          <w:szCs w:val="24"/>
          <w14:textFill>
            <w14:solidFill>
              <w14:schemeClr w14:val="tx1"/>
            </w14:solidFill>
          </w14:textFill>
        </w:rPr>
        <w:t>合同在执行过程中，确需修改、变更时，应当按照相应的审核批准程序办理。</w:t>
      </w:r>
    </w:p>
    <w:p w14:paraId="32ED321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t>招标文件、投标文件、补充协议等为合同的组成部分，具有同等法律效力。</w:t>
      </w:r>
    </w:p>
    <w:p w14:paraId="6DB16678">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7.2 </w:t>
      </w:r>
      <w:bookmarkStart w:id="371" w:name="_Toc152042344"/>
      <w:bookmarkStart w:id="372" w:name="_Toc247085726"/>
      <w:bookmarkStart w:id="373" w:name="_Toc246996212"/>
      <w:bookmarkStart w:id="374" w:name="_Toc152045568"/>
      <w:bookmarkStart w:id="375" w:name="_Toc179632586"/>
      <w:bookmarkStart w:id="376" w:name="_Toc246996955"/>
      <w:bookmarkStart w:id="377" w:name="_Toc144974536"/>
      <w:r>
        <w:rPr>
          <w:rFonts w:hint="eastAsia" w:ascii="宋体" w:hAnsi="宋体" w:eastAsia="宋体" w:cs="宋体"/>
          <w:color w:val="000000" w:themeColor="text1"/>
          <w:sz w:val="24"/>
          <w:szCs w:val="24"/>
          <w14:textFill>
            <w14:solidFill>
              <w14:schemeClr w14:val="tx1"/>
            </w14:solidFill>
          </w14:textFill>
        </w:rPr>
        <w:t>中标通知</w:t>
      </w:r>
      <w:bookmarkEnd w:id="368"/>
      <w:bookmarkEnd w:id="369"/>
      <w:bookmarkEnd w:id="370"/>
      <w:bookmarkEnd w:id="371"/>
      <w:bookmarkEnd w:id="372"/>
      <w:bookmarkEnd w:id="373"/>
      <w:bookmarkEnd w:id="374"/>
      <w:bookmarkEnd w:id="375"/>
      <w:bookmarkEnd w:id="376"/>
      <w:bookmarkEnd w:id="377"/>
    </w:p>
    <w:p w14:paraId="606544B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在公告中标结果的同时，采购人或采购代理机构应当向中标人发出中标通知书</w:t>
      </w:r>
      <w:r>
        <w:rPr>
          <w:rFonts w:hint="eastAsia" w:ascii="宋体" w:hAnsi="宋体" w:eastAsia="宋体" w:cs="宋体"/>
          <w:color w:val="000000" w:themeColor="text1"/>
          <w:sz w:val="24"/>
          <w:szCs w:val="24"/>
          <w14:textFill>
            <w14:solidFill>
              <w14:schemeClr w14:val="tx1"/>
            </w14:solidFill>
          </w14:textFill>
        </w:rPr>
        <w:t>，同时将中标结果通知未中标的投标人。</w:t>
      </w:r>
    </w:p>
    <w:p w14:paraId="30128C37">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7.3 履约</w:t>
      </w:r>
      <w:r>
        <w:rPr>
          <w:rFonts w:hint="eastAsia" w:ascii="宋体" w:hAnsi="宋体" w:eastAsia="宋体" w:cs="宋体"/>
          <w:color w:val="000000" w:themeColor="text1"/>
          <w:sz w:val="24"/>
          <w:szCs w:val="24"/>
          <w:lang w:val="en-US" w:eastAsia="zh-CN"/>
          <w14:textFill>
            <w14:solidFill>
              <w14:schemeClr w14:val="tx1"/>
            </w14:solidFill>
          </w14:textFill>
        </w:rPr>
        <w:t>保证金</w:t>
      </w:r>
    </w:p>
    <w:p w14:paraId="629E0FA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为保证采购合同的履行，确需收取履约保证金的，履约保证金收取比例应不超过合同金额的5%。中标或成交供应商合同主要义务履行完毕后，采购人或采购代理机构应按照合同约定及时退还。</w:t>
      </w:r>
    </w:p>
    <w:p w14:paraId="2AB69C5E">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378" w:name="_Toc247085727"/>
      <w:bookmarkStart w:id="379" w:name="_Toc32758"/>
      <w:bookmarkStart w:id="380" w:name="_Toc24057"/>
      <w:bookmarkStart w:id="381" w:name="_Toc144974537"/>
      <w:bookmarkStart w:id="382" w:name="_Toc27185"/>
      <w:bookmarkStart w:id="383" w:name="_Toc152045569"/>
      <w:bookmarkStart w:id="384" w:name="_Toc246996213"/>
      <w:bookmarkStart w:id="385" w:name="_Toc179632587"/>
      <w:bookmarkStart w:id="386" w:name="_Toc246996956"/>
      <w:bookmarkStart w:id="387" w:name="_Toc152042345"/>
      <w:r>
        <w:rPr>
          <w:rFonts w:hint="eastAsia" w:ascii="宋体" w:hAnsi="宋体" w:eastAsia="宋体" w:cs="宋体"/>
          <w:color w:val="000000" w:themeColor="text1"/>
          <w:sz w:val="24"/>
          <w:szCs w:val="24"/>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履约担保</w:t>
      </w:r>
      <w:bookmarkEnd w:id="378"/>
      <w:bookmarkEnd w:id="379"/>
      <w:bookmarkEnd w:id="380"/>
      <w:bookmarkEnd w:id="381"/>
      <w:bookmarkEnd w:id="382"/>
      <w:bookmarkEnd w:id="383"/>
      <w:bookmarkEnd w:id="384"/>
      <w:bookmarkEnd w:id="385"/>
      <w:bookmarkEnd w:id="386"/>
      <w:bookmarkEnd w:id="387"/>
    </w:p>
    <w:p w14:paraId="73B7191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.1在签订合同前，中标人应按投标人须知前附表规定的担保形式或者事先经过采购人书面认可的履约担保格式向采购人提交履约担保。除投标人须知前附表另有规定外，履约担保金额为中标合同金额的</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w:t>
      </w:r>
    </w:p>
    <w:p w14:paraId="02B0531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.2 中标人不能按本章第7.</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项要求提交履约担保的，视为放弃中标，其投标保证金不予退还，给采购人造成的损失超过投标保证金数额的，中标人还应当对超过部分予以赔偿。</w:t>
      </w:r>
    </w:p>
    <w:p w14:paraId="6923A718">
      <w:pPr>
        <w:pStyle w:val="3"/>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388" w:name="_Toc15263"/>
      <w:bookmarkStart w:id="389" w:name="_Toc16299"/>
      <w:bookmarkStart w:id="390" w:name="_Toc18338"/>
      <w:r>
        <w:rPr>
          <w:rFonts w:hint="eastAsia" w:ascii="宋体" w:hAnsi="宋体" w:eastAsia="宋体" w:cs="宋体"/>
          <w:color w:val="000000" w:themeColor="text1"/>
          <w:sz w:val="24"/>
          <w:szCs w:val="24"/>
          <w14:textFill>
            <w14:solidFill>
              <w14:schemeClr w14:val="tx1"/>
            </w14:solidFill>
          </w14:textFill>
        </w:rPr>
        <w:t>8. 纪律和监督</w:t>
      </w:r>
      <w:bookmarkEnd w:id="388"/>
      <w:bookmarkEnd w:id="389"/>
      <w:bookmarkEnd w:id="390"/>
    </w:p>
    <w:p w14:paraId="4806EE53">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391" w:name="_Toc144974543"/>
      <w:bookmarkStart w:id="392" w:name="_Toc152042351"/>
      <w:bookmarkStart w:id="393" w:name="_Toc152045575"/>
      <w:bookmarkStart w:id="394" w:name="_Toc15654"/>
      <w:bookmarkStart w:id="395" w:name="_Toc247085733"/>
      <w:bookmarkStart w:id="396" w:name="_Toc246996962"/>
      <w:bookmarkStart w:id="397" w:name="_Toc246996219"/>
      <w:bookmarkStart w:id="398" w:name="_Toc11012"/>
      <w:bookmarkStart w:id="399" w:name="_Toc9257"/>
      <w:bookmarkStart w:id="400" w:name="_Toc296590983"/>
      <w:bookmarkStart w:id="401" w:name="_Toc179632593"/>
      <w:r>
        <w:rPr>
          <w:rFonts w:hint="eastAsia" w:ascii="宋体" w:hAnsi="宋体" w:eastAsia="宋体" w:cs="宋体"/>
          <w:color w:val="000000" w:themeColor="text1"/>
          <w:sz w:val="24"/>
          <w:szCs w:val="24"/>
          <w14:textFill>
            <w14:solidFill>
              <w14:schemeClr w14:val="tx1"/>
            </w14:solidFill>
          </w14:textFill>
        </w:rPr>
        <w:t>8.1 对采购人的纪律要求</w:t>
      </w:r>
      <w:bookmarkEnd w:id="391"/>
      <w:bookmarkEnd w:id="392"/>
      <w:bookmarkEnd w:id="393"/>
      <w:bookmarkEnd w:id="394"/>
      <w:bookmarkEnd w:id="395"/>
      <w:bookmarkEnd w:id="396"/>
      <w:bookmarkEnd w:id="397"/>
      <w:bookmarkEnd w:id="398"/>
      <w:bookmarkEnd w:id="399"/>
      <w:bookmarkEnd w:id="400"/>
      <w:bookmarkEnd w:id="401"/>
    </w:p>
    <w:p w14:paraId="3529F4F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采购人不得泄漏招标投标活动中应当保密的情况和资料，不得与投标人串通损害国家利益、社会公共利益或者他人合法权益。</w:t>
      </w:r>
    </w:p>
    <w:p w14:paraId="5A9B900F">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402" w:name="_Toc152045576"/>
      <w:bookmarkStart w:id="403" w:name="_Toc27112"/>
      <w:bookmarkStart w:id="404" w:name="_Toc152042352"/>
      <w:bookmarkStart w:id="405" w:name="_Toc246996220"/>
      <w:bookmarkStart w:id="406" w:name="_Toc246996963"/>
      <w:bookmarkStart w:id="407" w:name="_Toc179632594"/>
      <w:bookmarkStart w:id="408" w:name="_Toc13979"/>
      <w:bookmarkStart w:id="409" w:name="_Toc9119"/>
      <w:bookmarkStart w:id="410" w:name="_Toc144974544"/>
      <w:bookmarkStart w:id="411" w:name="_Toc247085734"/>
      <w:r>
        <w:rPr>
          <w:rFonts w:hint="eastAsia" w:ascii="宋体" w:hAnsi="宋体" w:eastAsia="宋体" w:cs="宋体"/>
          <w:color w:val="000000" w:themeColor="text1"/>
          <w:sz w:val="24"/>
          <w:szCs w:val="24"/>
          <w14:textFill>
            <w14:solidFill>
              <w14:schemeClr w14:val="tx1"/>
            </w14:solidFill>
          </w14:textFill>
        </w:rPr>
        <w:t>8.2 对投标人的纪律要求</w:t>
      </w:r>
      <w:bookmarkEnd w:id="402"/>
      <w:bookmarkEnd w:id="403"/>
      <w:bookmarkEnd w:id="404"/>
      <w:bookmarkEnd w:id="405"/>
      <w:bookmarkEnd w:id="406"/>
      <w:bookmarkEnd w:id="407"/>
      <w:bookmarkEnd w:id="408"/>
      <w:bookmarkEnd w:id="409"/>
      <w:bookmarkEnd w:id="410"/>
      <w:bookmarkEnd w:id="411"/>
    </w:p>
    <w:p w14:paraId="33CD555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投标人不得相互串通投标或者与采购人串通投标，不得向采购人或者评标委员会成员行贿谋取中标，不得以他人名义投标或者以其他方式弄虚作假骗取中标；投标人不得以任何方式干扰、影响评标工作。</w:t>
      </w:r>
    </w:p>
    <w:p w14:paraId="50C21E3D">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412" w:name="_Toc247085735"/>
      <w:bookmarkStart w:id="413" w:name="_Toc144974545"/>
      <w:bookmarkStart w:id="414" w:name="_Toc152042353"/>
      <w:bookmarkStart w:id="415" w:name="_Toc6639"/>
      <w:bookmarkStart w:id="416" w:name="_Toc179632595"/>
      <w:bookmarkStart w:id="417" w:name="_Toc152045577"/>
      <w:bookmarkStart w:id="418" w:name="_Toc14763"/>
      <w:bookmarkStart w:id="419" w:name="_Toc246996964"/>
      <w:bookmarkStart w:id="420" w:name="_Toc246996221"/>
      <w:bookmarkStart w:id="421" w:name="_Toc24158"/>
      <w:r>
        <w:rPr>
          <w:rFonts w:hint="eastAsia" w:ascii="宋体" w:hAnsi="宋体" w:eastAsia="宋体" w:cs="宋体"/>
          <w:color w:val="000000" w:themeColor="text1"/>
          <w:sz w:val="24"/>
          <w:szCs w:val="24"/>
          <w14:textFill>
            <w14:solidFill>
              <w14:schemeClr w14:val="tx1"/>
            </w14:solidFill>
          </w14:textFill>
        </w:rPr>
        <w:t>8.3 对评标委员会成员的纪律要求</w:t>
      </w:r>
      <w:bookmarkEnd w:id="412"/>
      <w:bookmarkEnd w:id="413"/>
      <w:bookmarkEnd w:id="414"/>
      <w:bookmarkEnd w:id="415"/>
      <w:bookmarkEnd w:id="416"/>
      <w:bookmarkEnd w:id="417"/>
      <w:bookmarkEnd w:id="418"/>
      <w:bookmarkEnd w:id="419"/>
      <w:bookmarkEnd w:id="420"/>
      <w:bookmarkEnd w:id="421"/>
    </w:p>
    <w:p w14:paraId="44FC43A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标委员会成员不得收受他人的财物或者其他好处，不得向他人透漏对投标文件的评审和比较、中标候选人的推荐情况以及与评标有关的其他情况。在评标活动中，评标委员会成员应当客观、公正地履行职责，遵守职业道德，不得擅离职守，影响评标程序正常进行，不得使用第三章“评标办法”没有规定的评审因素和标准进行评标。</w:t>
      </w:r>
    </w:p>
    <w:p w14:paraId="5FCAF701">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422" w:name="_Toc179632596"/>
      <w:bookmarkStart w:id="423" w:name="_Toc10721"/>
      <w:bookmarkStart w:id="424" w:name="_Toc152045578"/>
      <w:bookmarkStart w:id="425" w:name="_Toc246996222"/>
      <w:bookmarkStart w:id="426" w:name="_Toc246996965"/>
      <w:bookmarkStart w:id="427" w:name="_Toc18417"/>
      <w:bookmarkStart w:id="428" w:name="_Toc746"/>
      <w:bookmarkStart w:id="429" w:name="_Toc247085736"/>
      <w:bookmarkStart w:id="430" w:name="_Toc152042354"/>
      <w:bookmarkStart w:id="431" w:name="_Toc144974546"/>
      <w:r>
        <w:rPr>
          <w:rFonts w:hint="eastAsia" w:ascii="宋体" w:hAnsi="宋体" w:eastAsia="宋体" w:cs="宋体"/>
          <w:color w:val="000000" w:themeColor="text1"/>
          <w:sz w:val="24"/>
          <w:szCs w:val="24"/>
          <w14:textFill>
            <w14:solidFill>
              <w14:schemeClr w14:val="tx1"/>
            </w14:solidFill>
          </w14:textFill>
        </w:rPr>
        <w:t>8.4 对与评标活动有关的工作人员的纪律要求</w:t>
      </w:r>
      <w:bookmarkEnd w:id="422"/>
      <w:bookmarkEnd w:id="423"/>
      <w:bookmarkEnd w:id="424"/>
      <w:bookmarkEnd w:id="425"/>
      <w:bookmarkEnd w:id="426"/>
      <w:bookmarkEnd w:id="427"/>
      <w:bookmarkEnd w:id="428"/>
      <w:bookmarkEnd w:id="429"/>
      <w:bookmarkEnd w:id="430"/>
    </w:p>
    <w:p w14:paraId="1EF8401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432" w:name="_Toc152042355"/>
      <w:r>
        <w:rPr>
          <w:rFonts w:hint="eastAsia" w:ascii="宋体" w:hAnsi="宋体" w:eastAsia="宋体" w:cs="宋体"/>
          <w:color w:val="000000" w:themeColor="text1"/>
          <w:sz w:val="24"/>
          <w:szCs w:val="24"/>
          <w14:textFill>
            <w14:solidFill>
              <w14:schemeClr w14:val="tx1"/>
            </w14:solidFill>
          </w14:textFill>
        </w:rPr>
        <w:t>与评标活动有关的工作人员不得收受他人的财物或者其他好处，不得向他人透漏对投标文件的评审和比较、中标候选人的推荐情况以及与评标有关的其他情况。在评标活动中，与评标活动有关的工作人员不得擅离职守，影响评标程序正常进行。</w:t>
      </w:r>
      <w:bookmarkEnd w:id="432"/>
    </w:p>
    <w:p w14:paraId="3848217C">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bookmarkStart w:id="433" w:name="_Toc14107"/>
      <w:bookmarkStart w:id="434" w:name="_Toc179632597"/>
      <w:bookmarkStart w:id="435" w:name="_Toc22014"/>
      <w:bookmarkStart w:id="436" w:name="_Toc152045579"/>
      <w:bookmarkStart w:id="437" w:name="_Toc247085737"/>
      <w:bookmarkStart w:id="438" w:name="_Toc246996223"/>
      <w:bookmarkStart w:id="439" w:name="_Toc22107"/>
      <w:bookmarkStart w:id="440" w:name="_Toc152042356"/>
      <w:bookmarkStart w:id="441" w:name="_Toc246996966"/>
      <w:r>
        <w:rPr>
          <w:rFonts w:hint="eastAsia" w:ascii="宋体" w:hAnsi="宋体" w:eastAsia="宋体" w:cs="宋体"/>
          <w:color w:val="000000" w:themeColor="text1"/>
          <w:sz w:val="24"/>
          <w:szCs w:val="24"/>
          <w14:textFill>
            <w14:solidFill>
              <w14:schemeClr w14:val="tx1"/>
            </w14:solidFill>
          </w14:textFill>
        </w:rPr>
        <w:t>8.5 投诉</w:t>
      </w:r>
      <w:bookmarkEnd w:id="431"/>
      <w:bookmarkEnd w:id="433"/>
      <w:bookmarkEnd w:id="434"/>
      <w:bookmarkEnd w:id="435"/>
      <w:bookmarkEnd w:id="436"/>
      <w:bookmarkEnd w:id="437"/>
      <w:bookmarkEnd w:id="438"/>
      <w:bookmarkEnd w:id="439"/>
      <w:bookmarkEnd w:id="440"/>
      <w:bookmarkEnd w:id="441"/>
    </w:p>
    <w:p w14:paraId="072C232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442" w:name="_Toc144974547"/>
      <w:bookmarkStart w:id="443" w:name="_Toc152045580"/>
      <w:bookmarkStart w:id="444" w:name="_Toc6779"/>
      <w:bookmarkStart w:id="445" w:name="_Toc246996967"/>
      <w:bookmarkStart w:id="446" w:name="_Toc246996224"/>
      <w:bookmarkStart w:id="447" w:name="_Toc247085738"/>
      <w:bookmarkStart w:id="448" w:name="_Toc152042357"/>
      <w:bookmarkStart w:id="449" w:name="_Toc179632598"/>
      <w:bookmarkStart w:id="450" w:name="_Toc24729"/>
      <w:bookmarkStart w:id="451" w:name="_Toc9155"/>
      <w:r>
        <w:rPr>
          <w:rFonts w:hint="eastAsia" w:ascii="宋体" w:hAnsi="宋体" w:eastAsia="宋体" w:cs="宋体"/>
          <w:color w:val="000000" w:themeColor="text1"/>
          <w:sz w:val="24"/>
          <w:szCs w:val="24"/>
          <w14:textFill>
            <w14:solidFill>
              <w14:schemeClr w14:val="tx1"/>
            </w14:solidFill>
          </w14:textFill>
        </w:rPr>
        <w:t>8.5.1供应商和其他利害关系人认为本次招标活动违反法律、法规和规章规定的，有权向有关行政监督部门投诉。</w:t>
      </w:r>
    </w:p>
    <w:p w14:paraId="6899354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8.5.2供应商的质疑和投诉，详见《中华人民共和国财政部令第94号--政府采购质疑和投诉办法》有关规定。</w:t>
      </w:r>
    </w:p>
    <w:p w14:paraId="7612F76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8.5.3投诉人不得以投诉为名排挤竞争对手，不得进行虚假、恶意投诉，阻碍招标投标活动的正常进行。</w:t>
      </w:r>
    </w:p>
    <w:p w14:paraId="7F3F8AB2">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8.6评标过程的监控</w:t>
      </w:r>
    </w:p>
    <w:p w14:paraId="76C9D72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本项目评标过程实行全程录音、录像监控，供应商在评标过程中所进行的试图影响评标结果的不公正活动，可能导致其投标被拒绝。</w:t>
      </w:r>
    </w:p>
    <w:p w14:paraId="70F8A843">
      <w:pPr>
        <w:pStyle w:val="4"/>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8.7质疑</w:t>
      </w:r>
    </w:p>
    <w:p w14:paraId="1263FE8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8.7.1供应商对采购事项有疑问的，应当按照《政府采购质疑和投诉办法》规定，以书面形式向采购人或代理机构提出，经法定代表人签字并加盖公章。</w:t>
      </w:r>
    </w:p>
    <w:p w14:paraId="73541FC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8.7.2供应商认为招标文件、采购过程、中标或者成交结果使自己的权益受到损害的，可以在知道或者应知其权益受到损害之日起7个工作日内，以书面形式向采购人、采购代理机构提出质疑。</w:t>
      </w:r>
    </w:p>
    <w:p w14:paraId="12CE7D5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8.7.3供应商对招标文件条款或技术参数有异议的，应当在开标前通过澄清或修改程序提出。供应商已经参与开标，并于开标后对招标文件提出质疑的，其质疑应当被视为无效质疑。在法定质疑期内对招标文件只能是一次性提出针对同一采购程序环节的质疑。</w:t>
      </w:r>
    </w:p>
    <w:p w14:paraId="5D029C2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8.7.4提出质疑的供应商（以下简称质疑供应商）应当是参与所质疑项目采购活动的供应商。潜在供应商已依法获取其可质疑的招标文件的，可以对该文件提出质疑。</w:t>
      </w:r>
    </w:p>
    <w:p w14:paraId="24C3E15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8.7.5对招标文件提出质疑的，应当在获取招标文件或者招标文件公告期限届满之日起7个工作日内提出。</w:t>
      </w:r>
    </w:p>
    <w:p w14:paraId="4FF3C9F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8.7.6供应商提出质疑应当提交质疑函（质疑函范本见附件①）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按照“谁主张、谁举证”的原则，质疑书应当附上相关证明材料，否则质疑将视为无有效证据支持，将被予以驳回。</w:t>
      </w:r>
    </w:p>
    <w:p w14:paraId="35FD62C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8.7.7有下列情形之一的，属于无效质疑，代理机构可不予受理：</w:t>
      </w:r>
    </w:p>
    <w:p w14:paraId="408B4EB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（1）未在有效期限内提出质疑的；</w:t>
      </w:r>
    </w:p>
    <w:p w14:paraId="5B3DB39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（2）质疑未以书面形式提出的；</w:t>
      </w:r>
    </w:p>
    <w:p w14:paraId="2831B4D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（3）所提交材料未明示属于质疑材料的；</w:t>
      </w:r>
    </w:p>
    <w:p w14:paraId="0678462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（4）质疑书没有法定代表人签署本人姓名或印盖本人姓名章并加盖供应商公章；质疑书由参加采购项目的授权代表签署本人姓名或印盖本人姓名章的，没有法定代表人的特别授权；质疑书加盖合同专用章的；</w:t>
      </w:r>
    </w:p>
    <w:p w14:paraId="33F9664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（5）质疑书未提供有效联系人或联系方式的；</w:t>
      </w:r>
    </w:p>
    <w:p w14:paraId="42F82DA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（6）质疑事项已经进入投诉或者诉讼程序的；</w:t>
      </w:r>
    </w:p>
    <w:p w14:paraId="3E21141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（7）其它不符合受理条件的情形。</w:t>
      </w:r>
    </w:p>
    <w:p w14:paraId="51BD3C0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8.7.8采购人或代理机构将在收到书面质疑后7个工作日内审查质疑事项，作出答复或相关处理决定，并以书面形式通知质疑供应商和其他有关供应商，但答复的内容不涉及商业秘密。若质疑涉及政府采购制度或程序，将被转交政府采购的管理部门审查。</w:t>
      </w:r>
    </w:p>
    <w:p w14:paraId="16194F0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8.7.9供应商对评审过程、中标或者成交结果提出质疑的，采购人、采购代理机构可以组织原评标委员会、竞争性谈判小组、询价小组或者竞争性磋商小组协助答复质疑。</w:t>
      </w:r>
    </w:p>
    <w:p w14:paraId="40D269D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8.7.10质疑人有下列情形之一的，代理机构应驳回质疑：</w:t>
      </w:r>
    </w:p>
    <w:p w14:paraId="568B980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（1）质疑缺乏事实和法律依据的；</w:t>
      </w:r>
    </w:p>
    <w:p w14:paraId="259BDF9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（2）质疑人捏造事实、提供虚假材料，或在一定期限内多次质疑而无实据的；</w:t>
      </w:r>
    </w:p>
    <w:p w14:paraId="474FFCC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（3）质疑已经处理并答复后，质疑人就同一事项又提起质疑且未提供新的有效证据的；</w:t>
      </w:r>
    </w:p>
    <w:p w14:paraId="53C0C5A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（4）其他根据相关法律、法规应当予以驳回的情形。</w:t>
      </w:r>
    </w:p>
    <w:p w14:paraId="78D7159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8.7.11供应商进行虚假和恶意质疑的，代理机构可以提请有关部门将其列入不良记录名单，在一至三年内禁止参加政府采购活动，并将处理决定在相关政府采购媒体上公布。</w:t>
      </w:r>
    </w:p>
    <w:p w14:paraId="72C664F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8.7.12采购人、采购代理机构认为供应商质疑不成立，或者成立但未对中标、成交结果构成影响的，继续开展采购活动；认为供应商质疑成立且影响或者可能影响中标、成交结果的，按照下列情况处理：</w:t>
      </w:r>
    </w:p>
    <w:p w14:paraId="215F1E1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（一）对招标文件提出的质疑，依法通过澄清或者修改可以继续开展采购活动的，澄清或者修改招标文件后继续开展采购活动；否则应当修改招标文件后重新开展采购活动。</w:t>
      </w:r>
    </w:p>
    <w:p w14:paraId="77FA13D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对采购过程、中标或者成交结果提出的质疑，合格供应商符合法定数量时，可以从合格的中标或者成交候选人中另行确定中标、成交供应商的，应当依法另行确定中标、成交供应商；否则应当重新开展采购活动。</w:t>
      </w:r>
    </w:p>
    <w:p w14:paraId="0879C55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质疑答复导致中标、成交结果改变的，采购人或者采购代理机构应当将有关情况书面报告本级财政部门。</w:t>
      </w:r>
    </w:p>
    <w:p w14:paraId="28A17C5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8.7.13质疑供应商对采购人、采购代理机构的答复不满意，或者采购人、采购代理机构未在规定时间内作出答复的，可以在答复期满后15个工作日内向本办法第六条规定的财政部门提起投诉（投诉书范本见附件②）。</w:t>
      </w:r>
    </w:p>
    <w:p w14:paraId="570299D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sectPr>
          <w:footerReference r:id="rId9" w:type="first"/>
          <w:footerReference r:id="rId8" w:type="default"/>
          <w:pgSz w:w="11906" w:h="16838"/>
          <w:pgMar w:top="1440" w:right="1440" w:bottom="1440" w:left="1440" w:header="851" w:footer="992" w:gutter="0"/>
          <w:pgBorders>
            <w:top w:val="none" w:sz="0" w:space="0"/>
            <w:left w:val="none" w:sz="0" w:space="0"/>
            <w:bottom w:val="none" w:sz="0" w:space="0"/>
            <w:right w:val="none" w:sz="0" w:space="0"/>
          </w:pgBorders>
          <w:lnNumType w:countBy="0" w:distance="360"/>
          <w:pgNumType w:fmt="decimal"/>
          <w:cols w:space="720" w:num="1"/>
          <w:titlePg/>
          <w:docGrid w:linePitch="312" w:charSpace="0"/>
        </w:sectPr>
      </w:pPr>
    </w:p>
    <w:p w14:paraId="3FAEF2CC">
      <w:pPr>
        <w:pageBreakBefore w:val="0"/>
        <w:wordWrap/>
        <w:topLinePunct w:val="0"/>
        <w:autoSpaceDE/>
        <w:autoSpaceDN/>
        <w:bidi w:val="0"/>
        <w:adjustRightInd/>
        <w:spacing w:line="600" w:lineRule="exac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附件①</w:t>
      </w:r>
    </w:p>
    <w:p w14:paraId="37EDBF58">
      <w:pPr>
        <w:pageBreakBefore w:val="0"/>
        <w:wordWrap/>
        <w:topLinePunct w:val="0"/>
        <w:autoSpaceDE/>
        <w:autoSpaceDN/>
        <w:bidi w:val="0"/>
        <w:adjustRightInd/>
        <w:spacing w:line="600" w:lineRule="exact"/>
        <w:textAlignment w:val="auto"/>
        <w:rPr>
          <w:rFonts w:hint="eastAsia" w:ascii="宋体" w:hAnsi="宋体" w:eastAsia="宋体" w:cs="宋体"/>
          <w:b/>
          <w:bCs/>
          <w:color w:val="000000" w:themeColor="text1"/>
          <w:sz w:val="24"/>
          <w:szCs w:val="24"/>
          <w14:textFill>
            <w14:solidFill>
              <w14:schemeClr w14:val="tx1"/>
            </w14:solidFill>
          </w14:textFill>
        </w:rPr>
      </w:pPr>
    </w:p>
    <w:p w14:paraId="5E06AA5F">
      <w:pPr>
        <w:pageBreakBefore w:val="0"/>
        <w:wordWrap/>
        <w:topLinePunct w:val="0"/>
        <w:autoSpaceDE/>
        <w:autoSpaceDN/>
        <w:bidi w:val="0"/>
        <w:adjustRightInd/>
        <w:spacing w:line="600" w:lineRule="exact"/>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质疑函范本</w:t>
      </w:r>
    </w:p>
    <w:p w14:paraId="016AD127">
      <w:pPr>
        <w:pageBreakBefore w:val="0"/>
        <w:wordWrap/>
        <w:topLinePunct w:val="0"/>
        <w:autoSpaceDE/>
        <w:autoSpaceDN/>
        <w:bidi w:val="0"/>
        <w:adjustRightInd/>
        <w:spacing w:line="600" w:lineRule="exact"/>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771E3DC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一、质疑供应商基本信息</w:t>
      </w:r>
    </w:p>
    <w:p w14:paraId="23C1D06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质疑供应商：                                        </w:t>
      </w:r>
    </w:p>
    <w:p w14:paraId="1BB782F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地址：                         </w:t>
      </w:r>
    </w:p>
    <w:p w14:paraId="57681129">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邮编：                               </w:t>
      </w:r>
    </w:p>
    <w:p w14:paraId="6D08423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联系人：                      </w:t>
      </w:r>
    </w:p>
    <w:p w14:paraId="10B568A6">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联系电话：                             </w:t>
      </w:r>
    </w:p>
    <w:p w14:paraId="0DA0150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授权代表：                                          </w:t>
      </w:r>
    </w:p>
    <w:p w14:paraId="1C28ABDA">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联系电话：                                          </w:t>
      </w:r>
    </w:p>
    <w:p w14:paraId="284D598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地址：                         </w:t>
      </w:r>
    </w:p>
    <w:p w14:paraId="71945445">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邮编：                                </w:t>
      </w:r>
    </w:p>
    <w:p w14:paraId="5B16D0C9">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二、质疑项目基本情况</w:t>
      </w:r>
    </w:p>
    <w:p w14:paraId="54975CC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质疑项目的名称：                                      </w:t>
      </w:r>
    </w:p>
    <w:p w14:paraId="415B1BAF">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质疑项目的编号：                                      </w:t>
      </w:r>
    </w:p>
    <w:p w14:paraId="3F9095F8">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采购人名称：                                          </w:t>
      </w:r>
    </w:p>
    <w:p w14:paraId="55AB3723">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招标文件获取日期：                                    </w:t>
      </w:r>
    </w:p>
    <w:p w14:paraId="6DFA73B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三、质疑事项具体内容</w:t>
      </w:r>
    </w:p>
    <w:p w14:paraId="5284E37E">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质疑事项1：                                         </w:t>
      </w:r>
    </w:p>
    <w:p w14:paraId="5D9B3FA5">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事实依据：                                           </w:t>
      </w:r>
    </w:p>
    <w:p w14:paraId="171022D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法律依据：                                           </w:t>
      </w:r>
    </w:p>
    <w:p w14:paraId="373C153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质疑事项2</w:t>
      </w:r>
    </w:p>
    <w:p w14:paraId="3C76EC6F">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p w14:paraId="675BB4BF">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四、与质疑事项相关的质疑请求</w:t>
      </w:r>
    </w:p>
    <w:p w14:paraId="5D46FAD7">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请求：                                               </w:t>
      </w:r>
    </w:p>
    <w:p w14:paraId="0F6ADA5F">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092FF24B">
      <w:pPr>
        <w:keepNext w:val="0"/>
        <w:keepLines w:val="0"/>
        <w:pageBreakBefore w:val="0"/>
        <w:widowControl w:val="0"/>
        <w:kinsoku/>
        <w:wordWrap/>
        <w:overflowPunct/>
        <w:topLinePunct w:val="0"/>
        <w:autoSpaceDE/>
        <w:autoSpaceDN/>
        <w:bidi w:val="0"/>
        <w:adjustRightInd/>
        <w:snapToGrid/>
        <w:spacing w:line="600" w:lineRule="exact"/>
        <w:ind w:firstLine="3360" w:firstLineChars="14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p>
    <w:p w14:paraId="63C3CF24">
      <w:pPr>
        <w:keepNext w:val="0"/>
        <w:keepLines w:val="0"/>
        <w:pageBreakBefore w:val="0"/>
        <w:widowControl w:val="0"/>
        <w:kinsoku/>
        <w:wordWrap/>
        <w:overflowPunct/>
        <w:topLinePunct w:val="0"/>
        <w:autoSpaceDE/>
        <w:autoSpaceDN/>
        <w:bidi w:val="0"/>
        <w:adjustRightInd/>
        <w:snapToGrid/>
        <w:spacing w:line="600" w:lineRule="exact"/>
        <w:ind w:firstLine="3360" w:firstLineChars="1400"/>
        <w:textAlignment w:val="auto"/>
        <w:rPr>
          <w:rFonts w:hint="eastAsia" w:ascii="宋体" w:hAnsi="宋体" w:eastAsia="宋体" w:cs="宋体"/>
          <w:color w:val="000000" w:themeColor="text1"/>
          <w:sz w:val="24"/>
          <w:szCs w:val="24"/>
          <w14:textFill>
            <w14:solidFill>
              <w14:schemeClr w14:val="tx1"/>
            </w14:solidFill>
          </w14:textFill>
        </w:rPr>
      </w:pPr>
    </w:p>
    <w:p w14:paraId="6C578285">
      <w:pPr>
        <w:keepNext w:val="0"/>
        <w:keepLines w:val="0"/>
        <w:pageBreakBefore w:val="0"/>
        <w:widowControl w:val="0"/>
        <w:kinsoku/>
        <w:wordWrap/>
        <w:overflowPunct/>
        <w:topLinePunct w:val="0"/>
        <w:autoSpaceDE/>
        <w:autoSpaceDN/>
        <w:bidi w:val="0"/>
        <w:adjustRightInd/>
        <w:snapToGrid/>
        <w:spacing w:line="600" w:lineRule="exact"/>
        <w:ind w:firstLine="5280" w:firstLineChars="2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公</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章：   </w:t>
      </w:r>
    </w:p>
    <w:p w14:paraId="0D3B6655">
      <w:pPr>
        <w:keepNext w:val="0"/>
        <w:keepLines w:val="0"/>
        <w:pageBreakBefore w:val="0"/>
        <w:widowControl w:val="0"/>
        <w:kinsoku/>
        <w:wordWrap/>
        <w:overflowPunct/>
        <w:topLinePunct w:val="0"/>
        <w:autoSpaceDE/>
        <w:autoSpaceDN/>
        <w:bidi w:val="0"/>
        <w:adjustRightInd/>
        <w:snapToGrid/>
        <w:spacing w:line="600" w:lineRule="exact"/>
        <w:ind w:firstLine="5280" w:firstLineChars="2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签字(签字或盖章)：                    </w:t>
      </w:r>
    </w:p>
    <w:p w14:paraId="5AEDA377">
      <w:pPr>
        <w:keepNext w:val="0"/>
        <w:keepLines w:val="0"/>
        <w:pageBreakBefore w:val="0"/>
        <w:widowControl w:val="0"/>
        <w:kinsoku/>
        <w:wordWrap/>
        <w:overflowPunct/>
        <w:topLinePunct w:val="0"/>
        <w:autoSpaceDE/>
        <w:autoSpaceDN/>
        <w:bidi w:val="0"/>
        <w:adjustRightInd/>
        <w:snapToGrid/>
        <w:spacing w:line="600" w:lineRule="exact"/>
        <w:ind w:firstLine="5280" w:firstLineChars="2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期：    </w:t>
      </w:r>
    </w:p>
    <w:p w14:paraId="1BAE82F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6AB20D1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0AEAC05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5AD92F5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65D965F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0947229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70A1E5C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0EB435B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609D517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6C7811A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4E8E52B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185BAB1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7B5ED67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5575267C">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质疑函制作说明：</w:t>
      </w:r>
    </w:p>
    <w:p w14:paraId="73E2764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1.供应商提出质疑时，应提交质疑函和必要的证明材料。</w:t>
      </w:r>
    </w:p>
    <w:p w14:paraId="675E7A9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B30F2D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3.质疑供应商若对项目的某一分包进行质疑，质疑函中应列明具体分包号。</w:t>
      </w:r>
    </w:p>
    <w:p w14:paraId="4F87DD9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4.质疑函的质疑事项应具体、明确，并有必要的事实依据和法律依据。</w:t>
      </w:r>
    </w:p>
    <w:p w14:paraId="1EE9A36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5.质疑函的质疑请求应与质疑事项相关。</w:t>
      </w:r>
    </w:p>
    <w:p w14:paraId="6B4CA30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17A42D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r>
        <w:rPr>
          <w:rFonts w:hint="eastAsia" w:ascii="宋体" w:hAnsi="宋体" w:eastAsia="宋体" w:cs="宋体"/>
          <w:b/>
          <w:bCs/>
          <w:color w:val="000000" w:themeColor="text1"/>
          <w:sz w:val="24"/>
          <w:szCs w:val="24"/>
          <w14:textFill>
            <w14:solidFill>
              <w14:schemeClr w14:val="tx1"/>
            </w14:solidFill>
          </w14:textFill>
        </w:rPr>
        <w:t>附件②</w:t>
      </w:r>
    </w:p>
    <w:p w14:paraId="67CC2638">
      <w:pPr>
        <w:pageBreakBefore w:val="0"/>
        <w:wordWrap/>
        <w:topLinePunct w:val="0"/>
        <w:autoSpaceDE/>
        <w:autoSpaceDN/>
        <w:bidi w:val="0"/>
        <w:adjustRightInd/>
        <w:spacing w:line="600" w:lineRule="exact"/>
        <w:ind w:firstLine="482" w:firstLineChars="200"/>
        <w:textAlignment w:val="auto"/>
        <w:rPr>
          <w:rFonts w:hint="eastAsia" w:ascii="宋体" w:hAnsi="宋体" w:eastAsia="宋体" w:cs="宋体"/>
          <w:b/>
          <w:bCs/>
          <w:color w:val="000000" w:themeColor="text1"/>
          <w:sz w:val="24"/>
          <w:szCs w:val="24"/>
          <w14:textFill>
            <w14:solidFill>
              <w14:schemeClr w14:val="tx1"/>
            </w14:solidFill>
          </w14:textFill>
        </w:rPr>
      </w:pPr>
    </w:p>
    <w:p w14:paraId="688AC761">
      <w:pPr>
        <w:pageBreakBefore w:val="0"/>
        <w:wordWrap/>
        <w:topLinePunct w:val="0"/>
        <w:autoSpaceDE/>
        <w:autoSpaceDN/>
        <w:bidi w:val="0"/>
        <w:adjustRightInd/>
        <w:spacing w:line="600" w:lineRule="exact"/>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投诉书范本</w:t>
      </w:r>
    </w:p>
    <w:p w14:paraId="31E0C796">
      <w:pPr>
        <w:pageBreakBefore w:val="0"/>
        <w:wordWrap/>
        <w:topLinePunct w:val="0"/>
        <w:autoSpaceDE/>
        <w:autoSpaceDN/>
        <w:bidi w:val="0"/>
        <w:adjustRightInd/>
        <w:spacing w:line="600" w:lineRule="exact"/>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56E122C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一、投诉相关主体基本情况</w:t>
      </w:r>
    </w:p>
    <w:p w14:paraId="280B895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投诉人：                                               </w:t>
      </w:r>
    </w:p>
    <w:p w14:paraId="15D34BD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地     址：                          </w:t>
      </w:r>
    </w:p>
    <w:p w14:paraId="4486814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邮编：            </w:t>
      </w:r>
    </w:p>
    <w:p w14:paraId="6462613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法定代表人/主要负责人：                                </w:t>
      </w:r>
    </w:p>
    <w:p w14:paraId="5E0537A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联系电话：                                             </w:t>
      </w:r>
    </w:p>
    <w:p w14:paraId="5864DA4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授权代表：               </w:t>
      </w:r>
    </w:p>
    <w:p w14:paraId="1DEA031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联系电话：                    </w:t>
      </w:r>
    </w:p>
    <w:p w14:paraId="138C202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地     址：                            </w:t>
      </w:r>
    </w:p>
    <w:p w14:paraId="62230D3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邮编：         </w:t>
      </w:r>
    </w:p>
    <w:p w14:paraId="7FEC78A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被投诉人1：                                            </w:t>
      </w:r>
    </w:p>
    <w:p w14:paraId="350825B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地     址：                             </w:t>
      </w:r>
    </w:p>
    <w:p w14:paraId="682257C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邮编：         </w:t>
      </w:r>
    </w:p>
    <w:p w14:paraId="49D3DFB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联系人：               </w:t>
      </w:r>
    </w:p>
    <w:p w14:paraId="2991B20C">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联系电话：                      </w:t>
      </w:r>
    </w:p>
    <w:p w14:paraId="5069A21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被投诉人2</w:t>
      </w:r>
    </w:p>
    <w:p w14:paraId="7B9576E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p w14:paraId="296E59C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相关供应商：                                           </w:t>
      </w:r>
    </w:p>
    <w:p w14:paraId="5E0AE77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地     址：                             </w:t>
      </w:r>
    </w:p>
    <w:p w14:paraId="2BCB5E0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邮编：         </w:t>
      </w:r>
    </w:p>
    <w:p w14:paraId="6AE747B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联系人：               </w:t>
      </w:r>
    </w:p>
    <w:p w14:paraId="788AD70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联系电话：                      </w:t>
      </w:r>
    </w:p>
    <w:p w14:paraId="703544B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二、投诉项目基本情况</w:t>
      </w:r>
    </w:p>
    <w:p w14:paraId="2CC9F6C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采购项目名称：                                         </w:t>
      </w:r>
    </w:p>
    <w:p w14:paraId="20206E0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采购项目编号：                                        </w:t>
      </w:r>
    </w:p>
    <w:p w14:paraId="604FD38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采购人名称：                                           </w:t>
      </w:r>
    </w:p>
    <w:p w14:paraId="1C90B5D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代理机构名称：                                         </w:t>
      </w:r>
    </w:p>
    <w:p w14:paraId="011E24E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招标文件公告:是/否     </w:t>
      </w:r>
    </w:p>
    <w:p w14:paraId="49A6A73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公告期限：                      </w:t>
      </w:r>
    </w:p>
    <w:p w14:paraId="6412DE91">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采购结果公告:是/否     </w:t>
      </w:r>
    </w:p>
    <w:p w14:paraId="52FCDB6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公告期限：                      </w:t>
      </w:r>
    </w:p>
    <w:p w14:paraId="7842353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三、质疑基本情况</w:t>
      </w:r>
    </w:p>
    <w:p w14:paraId="5FDB965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投诉人于</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日,向</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提出质疑，质疑事项为：</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w:t>
      </w:r>
    </w:p>
    <w:p w14:paraId="52B7FA0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采购人/代理机构于</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日,就质疑事项作出了答复/没有在法定期限内作出答复。</w:t>
      </w:r>
    </w:p>
    <w:p w14:paraId="15C70F4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四、投诉事项具体内容</w:t>
      </w:r>
    </w:p>
    <w:p w14:paraId="0DD5E6FD">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投诉事项 1：                                       </w:t>
      </w:r>
    </w:p>
    <w:p w14:paraId="08A7428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事实依据：                                         </w:t>
      </w:r>
    </w:p>
    <w:p w14:paraId="0F115DB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法律依据：                                         </w:t>
      </w:r>
    </w:p>
    <w:p w14:paraId="187ABE5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投诉事项2</w:t>
      </w:r>
    </w:p>
    <w:p w14:paraId="190EAB2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p w14:paraId="3FA6F5A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05337122">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五、与投诉事项相关的投诉请求</w:t>
      </w:r>
    </w:p>
    <w:p w14:paraId="4B87D0E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请求：     </w:t>
      </w:r>
    </w:p>
    <w:p w14:paraId="54FE5426">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37517A3B">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1F2F867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p>
    <w:p w14:paraId="46BB9BB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公</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章：   </w:t>
      </w:r>
    </w:p>
    <w:p w14:paraId="4622B5B6">
      <w:pPr>
        <w:pageBreakBefore w:val="0"/>
        <w:wordWrap/>
        <w:topLinePunct w:val="0"/>
        <w:autoSpaceDE/>
        <w:autoSpaceDN/>
        <w:bidi w:val="0"/>
        <w:adjustRightInd/>
        <w:spacing w:line="600" w:lineRule="exact"/>
        <w:ind w:firstLine="5760" w:firstLineChars="24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签字(签字或盖章)：                     </w:t>
      </w:r>
    </w:p>
    <w:p w14:paraId="1F6BEE6C">
      <w:pPr>
        <w:pageBreakBefore w:val="0"/>
        <w:wordWrap/>
        <w:topLinePunct w:val="0"/>
        <w:autoSpaceDE/>
        <w:autoSpaceDN/>
        <w:bidi w:val="0"/>
        <w:adjustRightInd/>
        <w:spacing w:line="600" w:lineRule="exact"/>
        <w:ind w:firstLine="5760" w:firstLineChars="24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期：                </w:t>
      </w:r>
    </w:p>
    <w:p w14:paraId="4146C08C">
      <w:pPr>
        <w:pageBreakBefore w:val="0"/>
        <w:wordWrap/>
        <w:topLinePunct w:val="0"/>
        <w:autoSpaceDE/>
        <w:autoSpaceDN/>
        <w:bidi w:val="0"/>
        <w:adjustRightInd/>
        <w:spacing w:before="0" w:beforeLines="0" w:after="0" w:afterLines="0"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7A4A6F3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73E964C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3985E534">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0B8C3DF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0792178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266EDE8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267EAE0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4A32AAA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299486D9">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3C0A243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1954F988">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4EFE559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6AA0A4A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45015C36">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p>
    <w:p w14:paraId="0275A22C">
      <w:pPr>
        <w:pageBreakBefore w:val="0"/>
        <w:wordWrap/>
        <w:topLinePunct w:val="0"/>
        <w:autoSpaceDE/>
        <w:autoSpaceDN/>
        <w:bidi w:val="0"/>
        <w:adjustRightInd/>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投诉书制作说明：</w:t>
      </w:r>
    </w:p>
    <w:p w14:paraId="2E19079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1.投诉人提起投诉时，应当提交投诉书和必要的证明材料，并按照被投诉人和与投诉事项有关的供应商数量提供投诉书副本。</w:t>
      </w:r>
    </w:p>
    <w:p w14:paraId="33511C25">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2ED726E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3.投诉人若对项目的某一分包进行投诉，投诉书应列明具体分包号。</w:t>
      </w:r>
    </w:p>
    <w:p w14:paraId="61CEE38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4.投诉书应简要列明质疑事项，质疑函、质疑答复等作为附件材料提供。</w:t>
      </w:r>
    </w:p>
    <w:p w14:paraId="794E9D4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5.投诉书的投诉事项应具体、明确，并有必要的事实依据和法律依据。</w:t>
      </w:r>
    </w:p>
    <w:p w14:paraId="18264AF7">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6.投诉书的投诉请求应与投诉事项相关。</w:t>
      </w:r>
    </w:p>
    <w:p w14:paraId="27FF0A0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129E4F0C">
      <w:pPr>
        <w:pageBreakBefore w:val="0"/>
        <w:wordWrap/>
        <w:topLinePunct w:val="0"/>
        <w:autoSpaceDE/>
        <w:autoSpaceDN/>
        <w:bidi w:val="0"/>
        <w:adjustRightInd/>
        <w:spacing w:before="0" w:beforeLines="0" w:after="0" w:afterLines="0"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1E9E3A99">
      <w:pPr>
        <w:pageBreakBefore w:val="0"/>
        <w:wordWrap/>
        <w:topLinePunct w:val="0"/>
        <w:autoSpaceDE/>
        <w:autoSpaceDN/>
        <w:bidi w:val="0"/>
        <w:adjustRightInd/>
        <w:spacing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0B0DD387">
      <w:pPr>
        <w:pageBreakBefore w:val="0"/>
        <w:wordWrap/>
        <w:topLinePunct w:val="0"/>
        <w:autoSpaceDE/>
        <w:autoSpaceDN/>
        <w:bidi w:val="0"/>
        <w:adjustRightInd/>
        <w:spacing w:before="0" w:beforeLines="0" w:after="0" w:afterLines="0"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60DA5153">
      <w:pPr>
        <w:pageBreakBefore w:val="0"/>
        <w:wordWrap/>
        <w:topLinePunct w:val="0"/>
        <w:autoSpaceDE/>
        <w:autoSpaceDN/>
        <w:bidi w:val="0"/>
        <w:adjustRightInd/>
        <w:spacing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3C086B2C">
      <w:pPr>
        <w:pageBreakBefore w:val="0"/>
        <w:wordWrap/>
        <w:topLinePunct w:val="0"/>
        <w:autoSpaceDE/>
        <w:autoSpaceDN/>
        <w:bidi w:val="0"/>
        <w:adjustRightInd/>
        <w:spacing w:before="0" w:beforeLines="0" w:after="0" w:afterLines="0"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55D9F63B">
      <w:pPr>
        <w:pageBreakBefore w:val="0"/>
        <w:wordWrap/>
        <w:topLinePunct w:val="0"/>
        <w:autoSpaceDE/>
        <w:autoSpaceDN/>
        <w:bidi w:val="0"/>
        <w:adjustRightInd/>
        <w:spacing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7F43095A">
      <w:pPr>
        <w:pageBreakBefore w:val="0"/>
        <w:wordWrap/>
        <w:topLinePunct w:val="0"/>
        <w:autoSpaceDE/>
        <w:autoSpaceDN/>
        <w:bidi w:val="0"/>
        <w:adjustRightInd/>
        <w:spacing w:before="0" w:beforeLines="0" w:after="0" w:afterLines="0" w:line="600" w:lineRule="exact"/>
        <w:jc w:val="both"/>
        <w:textAlignment w:val="auto"/>
        <w:outlineLvl w:val="9"/>
        <w:rPr>
          <w:rFonts w:hint="eastAsia" w:ascii="宋体" w:hAnsi="宋体" w:eastAsia="宋体" w:cs="宋体"/>
          <w:color w:val="000000" w:themeColor="text1"/>
          <w:sz w:val="24"/>
          <w:szCs w:val="24"/>
          <w14:textFill>
            <w14:solidFill>
              <w14:schemeClr w14:val="tx1"/>
            </w14:solidFill>
          </w14:textFill>
        </w:rPr>
      </w:pPr>
    </w:p>
    <w:p w14:paraId="2BE5688F">
      <w:pPr>
        <w:pageBreakBefore w:val="0"/>
        <w:wordWrap/>
        <w:topLinePunct w:val="0"/>
        <w:autoSpaceDE/>
        <w:autoSpaceDN/>
        <w:bidi w:val="0"/>
        <w:adjustRightInd/>
        <w:spacing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5DC49F39">
      <w:pPr>
        <w:pageBreakBefore w:val="0"/>
        <w:wordWrap/>
        <w:topLinePunct w:val="0"/>
        <w:autoSpaceDE/>
        <w:autoSpaceDN/>
        <w:bidi w:val="0"/>
        <w:adjustRightInd/>
        <w:spacing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3C188A7D">
      <w:pPr>
        <w:pageBreakBefore w:val="0"/>
        <w:wordWrap/>
        <w:topLinePunct w:val="0"/>
        <w:autoSpaceDE/>
        <w:autoSpaceDN/>
        <w:bidi w:val="0"/>
        <w:adjustRightInd/>
        <w:spacing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6C0E57A9">
      <w:pPr>
        <w:pageBreakBefore w:val="0"/>
        <w:wordWrap/>
        <w:topLinePunct w:val="0"/>
        <w:autoSpaceDE/>
        <w:autoSpaceDN/>
        <w:bidi w:val="0"/>
        <w:adjustRightInd/>
        <w:spacing w:line="600" w:lineRule="exact"/>
        <w:textAlignment w:val="auto"/>
        <w:outlineLvl w:val="9"/>
        <w:rPr>
          <w:rFonts w:hint="eastAsia" w:ascii="宋体" w:hAnsi="宋体" w:eastAsia="宋体" w:cs="宋体"/>
          <w:color w:val="000000" w:themeColor="text1"/>
          <w:sz w:val="24"/>
          <w:szCs w:val="24"/>
          <w14:textFill>
            <w14:solidFill>
              <w14:schemeClr w14:val="tx1"/>
            </w14:solidFill>
          </w14:textFill>
        </w:rPr>
      </w:pPr>
    </w:p>
    <w:p w14:paraId="3A89130B">
      <w:pPr>
        <w:pStyle w:val="3"/>
        <w:pageBreakBefore w:val="0"/>
        <w:numPr>
          <w:ilvl w:val="0"/>
          <w:numId w:val="4"/>
        </w:numPr>
        <w:wordWrap/>
        <w:topLinePunct w:val="0"/>
        <w:autoSpaceDE/>
        <w:autoSpaceDN/>
        <w:bidi w:val="0"/>
        <w:adjustRightInd/>
        <w:spacing w:before="0" w:beforeLines="0" w:after="0" w:afterLines="0" w:line="60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需要补充的其他内容</w:t>
      </w:r>
      <w:bookmarkEnd w:id="442"/>
      <w:bookmarkEnd w:id="443"/>
      <w:bookmarkEnd w:id="444"/>
      <w:bookmarkEnd w:id="445"/>
      <w:bookmarkEnd w:id="446"/>
      <w:bookmarkEnd w:id="447"/>
      <w:bookmarkEnd w:id="448"/>
      <w:bookmarkEnd w:id="449"/>
      <w:bookmarkEnd w:id="450"/>
      <w:bookmarkEnd w:id="451"/>
      <w:bookmarkStart w:id="452" w:name="_Toc19207"/>
      <w:bookmarkStart w:id="453" w:name="_Toc31455"/>
      <w:bookmarkStart w:id="454" w:name="_Toc22515"/>
    </w:p>
    <w:p w14:paraId="46291E4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9.1投标截止时，实际参加投标人不足三家的或在评标阶段有效投标人不足三家，除采购任务取消外，招标单位上报政府采购管理部门批准，按照以下原则处理：</w:t>
      </w:r>
    </w:p>
    <w:p w14:paraId="688526DF">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a.招标文件没有不合理条款的，招标公告时间及程序符合规定的，同意采用竞争性谈判方式；</w:t>
      </w:r>
    </w:p>
    <w:p w14:paraId="0BC35CA3">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b.招标文件存在不合理条款的，招标公告时间及程序不符合规定的，责成招标单位依法重新招标;</w:t>
      </w:r>
    </w:p>
    <w:p w14:paraId="13C25A70">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9.2转为竞争性谈判方式，评标委员会将自行转为竞争性谈判小组，谈判文件以招标文件为基础，若有重大变动，以书面形式通知参加谈判的全体谈判响应单位；</w:t>
      </w:r>
    </w:p>
    <w:p w14:paraId="672B59DA">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9.3转为竞争性谈判方式的，在谈判过程中将采取二次报价的形式，各投标单位的开标报价为第一次报价，谈判后参与竞争性谈判的各单位进行第二次报价。</w:t>
      </w:r>
    </w:p>
    <w:p w14:paraId="7184EF8E">
      <w:pPr>
        <w:pageBreakBefore w:val="0"/>
        <w:wordWrap/>
        <w:topLinePunct w:val="0"/>
        <w:autoSpaceDE/>
        <w:autoSpaceDN/>
        <w:bidi w:val="0"/>
        <w:adjustRightIn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p>
    <w:p w14:paraId="6A996F05">
      <w:pPr>
        <w:pStyle w:val="2"/>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24"/>
          <w:szCs w:val="24"/>
          <w14:textFill>
            <w14:solidFill>
              <w14:schemeClr w14:val="tx1"/>
            </w14:solidFill>
          </w14:textFill>
        </w:rPr>
        <w:sectPr>
          <w:pgSz w:w="11906" w:h="16838"/>
          <w:pgMar w:top="1417" w:right="1134" w:bottom="1417" w:left="1417"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1E26CD92">
      <w:pPr>
        <w:pStyle w:val="2"/>
        <w:pageBreakBefore w:val="0"/>
        <w:wordWrap/>
        <w:topLinePunct w:val="0"/>
        <w:autoSpaceDE/>
        <w:autoSpaceDN/>
        <w:bidi w:val="0"/>
        <w:adjustRightInd/>
        <w:spacing w:before="0" w:beforeLines="0" w:after="0" w:afterLines="0" w:line="600" w:lineRule="exact"/>
        <w:textAlignment w:val="auto"/>
        <w:rPr>
          <w:rFonts w:hint="eastAsia" w:ascii="宋体" w:hAnsi="宋体" w:eastAsia="宋体" w:cs="宋体"/>
          <w:color w:val="000000" w:themeColor="text1"/>
          <w:sz w:val="30"/>
          <w:szCs w:val="30"/>
          <w14:textFill>
            <w14:solidFill>
              <w14:schemeClr w14:val="tx1"/>
            </w14:solidFill>
          </w14:textFill>
        </w:rPr>
      </w:pPr>
      <w:bookmarkStart w:id="455" w:name="_Toc3162"/>
      <w:bookmarkStart w:id="456" w:name="_Toc4838"/>
      <w:bookmarkStart w:id="457" w:name="_Toc22717"/>
      <w:r>
        <w:rPr>
          <w:rFonts w:hint="eastAsia" w:ascii="宋体" w:hAnsi="宋体" w:eastAsia="宋体" w:cs="宋体"/>
          <w:color w:val="000000" w:themeColor="text1"/>
          <w:sz w:val="30"/>
          <w:szCs w:val="30"/>
          <w14:textFill>
            <w14:solidFill>
              <w14:schemeClr w14:val="tx1"/>
            </w14:solidFill>
          </w14:textFill>
        </w:rPr>
        <w:t>第三章  投标人资格证明文件及审核</w:t>
      </w:r>
      <w:bookmarkEnd w:id="455"/>
      <w:bookmarkEnd w:id="456"/>
      <w:bookmarkEnd w:id="457"/>
    </w:p>
    <w:p w14:paraId="02B36419">
      <w:pPr>
        <w:pStyle w:val="80"/>
        <w:pageBreakBefore w:val="0"/>
        <w:widowControl/>
        <w:wordWrap/>
        <w:overflowPunct w:val="0"/>
        <w:topLinePunct w:val="0"/>
        <w:autoSpaceDE/>
        <w:autoSpaceDN/>
        <w:bidi w:val="0"/>
        <w:adjustRightInd/>
        <w:snapToGrid w:val="0"/>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一、供应商须</w:t>
      </w:r>
      <w:r>
        <w:rPr>
          <w:rFonts w:hint="eastAsia" w:ascii="宋体" w:hAnsi="宋体" w:eastAsia="宋体" w:cs="宋体"/>
          <w:b/>
          <w:color w:val="000000" w:themeColor="text1"/>
          <w:sz w:val="24"/>
          <w:szCs w:val="24"/>
          <w:lang w:val="en-US" w:eastAsia="zh-CN"/>
          <w14:textFill>
            <w14:solidFill>
              <w14:schemeClr w14:val="tx1"/>
            </w14:solidFill>
          </w14:textFill>
        </w:rPr>
        <w:t>提供</w:t>
      </w:r>
      <w:r>
        <w:rPr>
          <w:rFonts w:hint="eastAsia" w:ascii="宋体" w:hAnsi="宋体" w:eastAsia="宋体" w:cs="宋体"/>
          <w:b/>
          <w:color w:val="000000" w:themeColor="text1"/>
          <w:sz w:val="24"/>
          <w:szCs w:val="24"/>
          <w14:textFill>
            <w14:solidFill>
              <w14:schemeClr w14:val="tx1"/>
            </w14:solidFill>
          </w14:textFill>
        </w:rPr>
        <w:t>下列资格证明文件。</w:t>
      </w:r>
    </w:p>
    <w:p w14:paraId="2BD51E27">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（1）基本资格条件：</w:t>
      </w:r>
    </w:p>
    <w:p w14:paraId="403EB196">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符合《中华人民共和国政府采购法》第二十二条的规定；</w:t>
      </w:r>
    </w:p>
    <w:p w14:paraId="1D41BD47">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（2）特定资格条件：</w:t>
      </w:r>
    </w:p>
    <w:p w14:paraId="01A4C0BF">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1.具有独立承担民事责任能力的法人、其他组织或自然人，并出具合法有效的营业执照或事业单位法人证书等国家规定的相关证明，自然人参与的提供其身份证明；</w:t>
      </w:r>
    </w:p>
    <w:p w14:paraId="63A560AC">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2.银行开户许可证或开户行基本信息； </w:t>
      </w:r>
    </w:p>
    <w:p w14:paraId="25AFB594">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3.法定代表人授权委托书及被授权人身份证（法定代表人直接参加时，只须出示法定代表人身份证)；</w:t>
      </w:r>
    </w:p>
    <w:p w14:paraId="08CD9F12">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4.提供参加政府采购活动前3年内经营活动中没有重大违法记录声明；</w:t>
      </w:r>
    </w:p>
    <w:p w14:paraId="6B9EF831">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5.税收缴纳证明：自2025年3月1日以来已缴纳的至少一个月的纳税证明或完税证明，纳税证明或完税证明上应有代收机构或税务机关的公章。依法免税的供应商应提供相关文件证明；</w:t>
      </w:r>
    </w:p>
    <w:p w14:paraId="46C4F865">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6.社会保障资金缴纳证明：自2025年3月1日以来已缴存的至少一个月的社会保障资金缴存单据或社保机构开具的社会保险参保缴费情况证明，依法不需要缴纳社会保障资金的供应商应提供相关文件证明；</w:t>
      </w:r>
    </w:p>
    <w:p w14:paraId="6D6E6118">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7.财务状况报告：提供2023或2024年度经审计的财务报告（至少包括审计报告、资产负债表和利润表，成立时间至提交投标文件截止时间不足一年的可提供成立后任意时段的资产负债表）或其开标前三个月内基本存款账户开户银行出具的资信证明；</w:t>
      </w:r>
    </w:p>
    <w:p w14:paraId="63908843">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8.根据财政部《关于在政府采购活动中查询及使用信用记录有关问题的通知》（财库〔2016〕125号）要求，供应商不得被列入【信用中国（https://www.creditchina.gov.cn/xinxigongshi/）】“重大税收违法失信主体名单”，【中国执行信息公开网（https://zxgk.court.gov.cn/）】“失信被执行人”，【中国政府采购网（www.ccgp.gov.cn）】“政府采购严重违法失信行为记录名单”；</w:t>
      </w:r>
    </w:p>
    <w:p w14:paraId="3C936813">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9.提供投标保证金的银行转账或电汇凭证并确保投标文件递交截止时间前到达采购文件指定账户；</w:t>
      </w:r>
    </w:p>
    <w:p w14:paraId="1165B8EA">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 xml:space="preserve">10.本项目不接受联合体投标。 </w:t>
      </w:r>
    </w:p>
    <w:p w14:paraId="1A821A7B">
      <w:pPr>
        <w:pageBreakBefore w:val="0"/>
        <w:wordWrap/>
        <w:overflowPunct w:val="0"/>
        <w:topLinePunct w:val="0"/>
        <w:autoSpaceDE/>
        <w:autoSpaceDN/>
        <w:bidi w:val="0"/>
        <w:adjustRightInd/>
        <w:spacing w:line="600" w:lineRule="exact"/>
        <w:ind w:firstLine="480" w:firstLineChars="2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bCs/>
          <w:color w:val="000000" w:themeColor="text1"/>
          <w:sz w:val="24"/>
          <w:szCs w:val="24"/>
          <w14:textFill>
            <w14:solidFill>
              <w14:schemeClr w14:val="tx1"/>
            </w14:solidFill>
          </w14:textFill>
        </w:rPr>
        <w:t>3）有关资格证明文件的特别提示</w:t>
      </w:r>
    </w:p>
    <w:p w14:paraId="30E09E70">
      <w:pPr>
        <w:pageBreakBefore w:val="0"/>
        <w:wordWrap/>
        <w:overflowPunct w:val="0"/>
        <w:topLinePunct w:val="0"/>
        <w:autoSpaceDE/>
        <w:autoSpaceDN/>
        <w:bidi w:val="0"/>
        <w:adjustRightIn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a.上列资格证明文件为必备资格条件，缺项或者符合性、有效性、合法性审核不合格的，自动丧失投标资格。</w:t>
      </w:r>
    </w:p>
    <w:p w14:paraId="0EE78652">
      <w:pPr>
        <w:pStyle w:val="80"/>
        <w:pageBreakBefore w:val="0"/>
        <w:widowControl/>
        <w:wordWrap/>
        <w:overflowPunct w:val="0"/>
        <w:topLinePunct w:val="0"/>
        <w:autoSpaceDE/>
        <w:autoSpaceDN/>
        <w:bidi w:val="0"/>
        <w:adjustRightInd/>
        <w:snapToGrid w:val="0"/>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二、投标文件审核方法</w:t>
      </w:r>
    </w:p>
    <w:p w14:paraId="52B9660A">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1.投标文件的初审</w:t>
      </w:r>
    </w:p>
    <w:p w14:paraId="77AA4ED9">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1.1资格性检查：依据法律法规和招标文件的规定，对投标文件中的资格证明、投标保证金等进行审查，以确定投标单位是否具备投标资格。</w:t>
      </w:r>
    </w:p>
    <w:p w14:paraId="7FDCE532">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1.2 符合性检查：依据招标文件的规定，对投标文件的有效性、完整性、</w:t>
      </w:r>
      <w:r>
        <w:rPr>
          <w:rFonts w:hint="eastAsia" w:ascii="宋体" w:hAnsi="宋体" w:eastAsia="宋体" w:cs="宋体"/>
          <w:color w:val="000000" w:themeColor="text1"/>
          <w:sz w:val="24"/>
          <w:szCs w:val="24"/>
          <w14:textFill>
            <w14:solidFill>
              <w14:schemeClr w14:val="tx1"/>
            </w14:solidFill>
          </w14:textFill>
        </w:rPr>
        <w:t>投标方案进行审查，以确定其是否对招标文件的实质性要求作出响应。</w:t>
      </w:r>
    </w:p>
    <w:p w14:paraId="060221FF">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1.2.1.投标文件的完整性。投标文件构成是否有重大缺项，是否按照招标文件要求的格式编写投标文件。</w:t>
      </w:r>
    </w:p>
    <w:p w14:paraId="751E21E1">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1.2.2.投标文件的有效性。投标文件的签署、加盖印章是否合格、有效；提供的各种证明文件、数据、资料是否真实、有效。</w:t>
      </w:r>
    </w:p>
    <w:p w14:paraId="6331E2EE">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1.2.3.投标文件的响应性。投标有效期是否符合招标文件要求；是否满足本次投标的特殊要求；投标方案是否有重大缺漏项；投标产品的技术规格是否有重大偏离；商务响应条款是否有重大偏离；对合同中规定的双方的权利和义务是否做出了实质性修改。</w:t>
      </w:r>
    </w:p>
    <w:p w14:paraId="2D270766">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1.3.报价是否超过采购预算。</w:t>
      </w:r>
    </w:p>
    <w:p w14:paraId="7EC48A1C">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2.供应商或其投标文件有下列情形之一的，否决其投标：</w:t>
      </w:r>
    </w:p>
    <w:p w14:paraId="2272F3A9">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（1）投标报价明显低于成本形成不正当竞争的；</w:t>
      </w:r>
    </w:p>
    <w:p w14:paraId="18E27BF3">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）投标文件的语言、计量单位、报价货币、知识产权、投标有效期等不符合招标文件规定；</w:t>
      </w:r>
    </w:p>
    <w:p w14:paraId="6A9B690D">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）未按招标文件规定要求签署、盖章的；无投标有效期或有效期达不到招标文件要求的，不符合招标文件规定且影响整个投标文件有效性和采购活动公平竞争的；</w:t>
      </w:r>
    </w:p>
    <w:p w14:paraId="0AF16118">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）响应技术标准明显不符合采购项目的要求；</w:t>
      </w:r>
    </w:p>
    <w:p w14:paraId="10A701C1">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）附有采购人不能接受的条件或者不符合招标文件规定的其他实质性要求，商务条款偏离的；</w:t>
      </w:r>
    </w:p>
    <w:p w14:paraId="2E8FA357">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）未按照招标文件要求编制，内容严重缺失的。</w:t>
      </w:r>
    </w:p>
    <w:p w14:paraId="25BDF473">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）投标人单位未经过正常渠道领取招标文件，或投标人名称与领取招标文件时登记的投标单位名称不符的；</w:t>
      </w:r>
    </w:p>
    <w:p w14:paraId="6C4392B9">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）未按规定交纳投标保证金的；</w:t>
      </w:r>
    </w:p>
    <w:p w14:paraId="00648342">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）投标文件未按照投标文件格式及内容要求填写的；</w:t>
      </w:r>
    </w:p>
    <w:p w14:paraId="5FADCC33">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）投标人针对同一项目递交两份或多份内容不同的投标文件，未书面声明哪一份是有效的或出现选择性报价的；</w:t>
      </w:r>
    </w:p>
    <w:p w14:paraId="7A11AA4E">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11</w:t>
      </w:r>
      <w:r>
        <w:rPr>
          <w:rFonts w:hint="eastAsia" w:ascii="宋体" w:hAnsi="宋体" w:eastAsia="宋体" w:cs="宋体"/>
          <w:color w:val="000000" w:themeColor="text1"/>
          <w:sz w:val="24"/>
          <w:szCs w:val="24"/>
          <w14:textFill>
            <w14:solidFill>
              <w14:schemeClr w14:val="tx1"/>
            </w14:solidFill>
          </w14:textFill>
        </w:rPr>
        <w:t>）附有采购人、</w:t>
      </w:r>
      <w:r>
        <w:rPr>
          <w:rFonts w:hint="eastAsia" w:ascii="宋体" w:hAnsi="宋体" w:cs="宋体"/>
          <w:color w:val="000000" w:themeColor="text1"/>
          <w:sz w:val="24"/>
          <w:szCs w:val="24"/>
          <w:lang w:eastAsia="zh-CN"/>
          <w14:textFill>
            <w14:solidFill>
              <w14:schemeClr w14:val="tx1"/>
            </w14:solidFill>
          </w14:textFill>
        </w:rPr>
        <w:t>招标代理机构</w:t>
      </w:r>
      <w:r>
        <w:rPr>
          <w:rFonts w:hint="eastAsia" w:ascii="宋体" w:hAnsi="宋体" w:eastAsia="宋体" w:cs="宋体"/>
          <w:color w:val="000000" w:themeColor="text1"/>
          <w:sz w:val="24"/>
          <w:szCs w:val="24"/>
          <w14:textFill>
            <w14:solidFill>
              <w14:schemeClr w14:val="tx1"/>
            </w14:solidFill>
          </w14:textFill>
        </w:rPr>
        <w:t>不能接受的条款和商务响应方面（</w:t>
      </w:r>
      <w:r>
        <w:rPr>
          <w:rFonts w:hint="eastAsia" w:ascii="宋体" w:hAnsi="宋体" w:eastAsia="宋体" w:cs="宋体"/>
          <w:color w:val="000000" w:themeColor="text1"/>
          <w:sz w:val="24"/>
          <w:szCs w:val="24"/>
          <w:lang w:eastAsia="zh-CN"/>
          <w14:textFill>
            <w14:solidFill>
              <w14:schemeClr w14:val="tx1"/>
            </w14:solidFill>
          </w14:textFill>
        </w:rPr>
        <w:t>服务期限</w:t>
      </w:r>
      <w:r>
        <w:rPr>
          <w:rFonts w:hint="eastAsia" w:ascii="宋体" w:hAnsi="宋体" w:eastAsia="宋体" w:cs="宋体"/>
          <w:color w:val="000000" w:themeColor="text1"/>
          <w:sz w:val="24"/>
          <w:szCs w:val="24"/>
          <w14:textFill>
            <w14:solidFill>
              <w14:schemeClr w14:val="tx1"/>
            </w14:solidFill>
          </w14:textFill>
        </w:rPr>
        <w:t>、履约验收）与投标文件要求不一致的；</w:t>
      </w:r>
    </w:p>
    <w:p w14:paraId="526C15BA">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）在政府采购或其它重大项目履约过程中有不良记录，不能按期履约的；</w:t>
      </w:r>
    </w:p>
    <w:p w14:paraId="3F62D889">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）投标报价与市场价偏离较大，低于成本，形成不正当竞争的；</w:t>
      </w:r>
    </w:p>
    <w:p w14:paraId="70BA6F2C">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）有重大缺漏项的；</w:t>
      </w:r>
    </w:p>
    <w:p w14:paraId="012872D0">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）以他人名义进行投标的；</w:t>
      </w:r>
    </w:p>
    <w:p w14:paraId="6F0ACE4A">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）投标人无法定代表人授权书或其授权书的有效性不符合招标文件规定的；</w:t>
      </w:r>
    </w:p>
    <w:p w14:paraId="6E2ACA67">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）投标人有串通投标、弄虚作假、行贿等违法行为的；</w:t>
      </w:r>
    </w:p>
    <w:p w14:paraId="719A8A7C">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）照抄或复印招标文件技术及商务要求的、手写的、未按规定签署的投标文件的；</w:t>
      </w:r>
    </w:p>
    <w:p w14:paraId="581694F8">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19</w:t>
      </w:r>
      <w:r>
        <w:rPr>
          <w:rFonts w:hint="eastAsia" w:ascii="宋体" w:hAnsi="宋体" w:eastAsia="宋体" w:cs="宋体"/>
          <w:color w:val="000000" w:themeColor="text1"/>
          <w:sz w:val="24"/>
          <w:szCs w:val="24"/>
          <w14:textFill>
            <w14:solidFill>
              <w14:schemeClr w14:val="tx1"/>
            </w14:solidFill>
          </w14:textFill>
        </w:rPr>
        <w:t>）投标文件的实质性内容未使用中文表述，意思表述不明确，前后矛盾或者使用计量单位不符合招标文件要求；</w:t>
      </w:r>
    </w:p>
    <w:p w14:paraId="4EBB77DF">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hint="eastAsia" w:ascii="宋体" w:hAnsi="宋体" w:eastAsia="宋体" w:cs="宋体"/>
          <w:color w:val="000000" w:themeColor="text1"/>
          <w:sz w:val="24"/>
          <w:szCs w:val="24"/>
          <w14:textFill>
            <w14:solidFill>
              <w14:schemeClr w14:val="tx1"/>
            </w14:solidFill>
          </w14:textFill>
        </w:rPr>
        <w:t>）投标文件的关键内容字迹模糊、无法辨认的，或者投标文件中经修正的内容字迹模糊难以辨认或者修改处未按规定签名盖章的；</w:t>
      </w:r>
    </w:p>
    <w:p w14:paraId="45EFEDA7">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）未实质性响应或者擅自改变招标文件要求的；</w:t>
      </w:r>
    </w:p>
    <w:p w14:paraId="72E521C5">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）投标报价超出最高限价或者超出采购预算，采购人不能支付的；</w:t>
      </w:r>
    </w:p>
    <w:p w14:paraId="054D61EA">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）法律法规规定其他投标无效情形的。</w:t>
      </w:r>
    </w:p>
    <w:p w14:paraId="0241C730">
      <w:pPr>
        <w:keepNext w:val="0"/>
        <w:keepLines w:val="0"/>
        <w:pageBreakBefore w:val="0"/>
        <w:widowControl w:val="0"/>
        <w:kinsoku/>
        <w:wordWrap/>
        <w:topLinePunct w:val="0"/>
        <w:autoSpaceDE/>
        <w:autoSpaceDN/>
        <w:bidi w:val="0"/>
        <w:adjustRightInd/>
        <w:snapToGrid/>
        <w:spacing w:line="600" w:lineRule="exact"/>
        <w:ind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澄清有关问题。对投标文件中含义不明确、同类问题表述不一致或者有明显文字和计算错误的内容，评审小组可以要求供应商作出必要的澄清、说明或者纠正。供应商的澄清、说明或者补正应当采用书面形式，由其授权代理人签字，但不得改变投标文件的实质性内容，如澄清、补正、说明的内容与投标文件内容有重大相悖或矛盾，将被认定为无效标。</w:t>
      </w:r>
    </w:p>
    <w:p w14:paraId="322799B9">
      <w:pPr>
        <w:spacing w:line="360" w:lineRule="auto"/>
        <w:rPr>
          <w:rFonts w:hint="eastAsia" w:ascii="宋体" w:hAnsi="宋体" w:eastAsia="宋体" w:cs="宋体"/>
          <w:color w:val="000000" w:themeColor="text1"/>
          <w:sz w:val="28"/>
          <w:szCs w:val="28"/>
          <w14:textFill>
            <w14:solidFill>
              <w14:schemeClr w14:val="tx1"/>
            </w14:solidFill>
          </w14:textFill>
        </w:rPr>
      </w:pPr>
    </w:p>
    <w:p w14:paraId="46A6159B">
      <w:pPr>
        <w:pStyle w:val="11"/>
        <w:jc w:val="center"/>
        <w:rPr>
          <w:rFonts w:hint="eastAsia"/>
          <w:color w:val="000000" w:themeColor="text1"/>
          <w14:textFill>
            <w14:solidFill>
              <w14:schemeClr w14:val="tx1"/>
            </w14:solidFill>
          </w14:textFill>
        </w:rPr>
        <w:sectPr>
          <w:pgSz w:w="11906" w:h="16838"/>
          <w:pgMar w:top="1417" w:right="1134" w:bottom="1417" w:left="1417"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10D346A6">
      <w:pPr>
        <w:pStyle w:val="2"/>
        <w:spacing w:line="240" w:lineRule="auto"/>
        <w:jc w:val="center"/>
        <w:rPr>
          <w:rFonts w:hint="eastAsia" w:ascii="宋体" w:hAnsi="宋体" w:eastAsia="宋体" w:cs="宋体"/>
          <w:color w:val="000000" w:themeColor="text1"/>
          <w:sz w:val="30"/>
          <w:szCs w:val="30"/>
          <w14:textFill>
            <w14:solidFill>
              <w14:schemeClr w14:val="tx1"/>
            </w14:solidFill>
          </w14:textFill>
        </w:rPr>
      </w:pPr>
      <w:bookmarkStart w:id="458" w:name="_Toc11405"/>
      <w:bookmarkStart w:id="459" w:name="_Toc23160"/>
      <w:bookmarkStart w:id="460" w:name="_Toc26899"/>
      <w:bookmarkStart w:id="461" w:name="_Toc1706"/>
      <w:bookmarkStart w:id="462" w:name="_Toc5895"/>
      <w:bookmarkStart w:id="463" w:name="_Toc28077"/>
      <w:bookmarkStart w:id="464" w:name="_Toc28084"/>
      <w:r>
        <w:rPr>
          <w:rFonts w:hint="eastAsia" w:ascii="宋体" w:hAnsi="宋体" w:eastAsia="宋体" w:cs="宋体"/>
          <w:color w:val="000000" w:themeColor="text1"/>
          <w:sz w:val="30"/>
          <w:szCs w:val="30"/>
          <w14:textFill>
            <w14:solidFill>
              <w14:schemeClr w14:val="tx1"/>
            </w14:solidFill>
          </w14:textFill>
        </w:rPr>
        <w:t>第四章</w:t>
      </w:r>
      <w:bookmarkEnd w:id="39"/>
      <w:bookmarkEnd w:id="40"/>
      <w:bookmarkEnd w:id="41"/>
      <w:bookmarkEnd w:id="452"/>
      <w:bookmarkStart w:id="465" w:name="_Toc31157"/>
      <w:bookmarkStart w:id="466" w:name="_Toc10057"/>
      <w:bookmarkStart w:id="467" w:name="_Toc6477"/>
      <w:bookmarkStart w:id="468" w:name="_Toc12522"/>
      <w:bookmarkStart w:id="469" w:name="_Toc25838"/>
      <w:bookmarkStart w:id="470" w:name="_Toc28261"/>
      <w:bookmarkStart w:id="471" w:name="_Toc13365"/>
      <w:r>
        <w:rPr>
          <w:rFonts w:hint="eastAsia" w:ascii="宋体" w:hAnsi="宋体" w:eastAsia="宋体" w:cs="宋体"/>
          <w:color w:val="000000" w:themeColor="text1"/>
          <w:sz w:val="30"/>
          <w:szCs w:val="30"/>
          <w14:textFill>
            <w14:solidFill>
              <w14:schemeClr w14:val="tx1"/>
            </w14:solidFill>
          </w14:textFill>
        </w:rPr>
        <w:t xml:space="preserve">  评标办法前附表及评标办法</w:t>
      </w:r>
      <w:bookmarkEnd w:id="453"/>
      <w:bookmarkEnd w:id="454"/>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481D92DF">
      <w:pPr>
        <w:rPr>
          <w:rFonts w:hint="eastAsia" w:ascii="宋体" w:hAnsi="宋体" w:eastAsia="宋体" w:cs="宋体"/>
          <w:color w:val="000000" w:themeColor="text1"/>
          <w:sz w:val="28"/>
          <w:szCs w:val="28"/>
          <w14:textFill>
            <w14:solidFill>
              <w14:schemeClr w14:val="tx1"/>
            </w14:solidFill>
          </w14:textFill>
        </w:rPr>
      </w:pPr>
    </w:p>
    <w:p w14:paraId="37F9E652">
      <w:pPr>
        <w:jc w:val="center"/>
        <w:rPr>
          <w:rFonts w:hint="eastAsia" w:ascii="宋体" w:hAnsi="宋体" w:eastAsia="宋体" w:cs="宋体"/>
          <w:b/>
          <w:bCs/>
          <w:color w:val="000000" w:themeColor="text1"/>
          <w:sz w:val="28"/>
          <w:szCs w:val="28"/>
          <w14:textFill>
            <w14:solidFill>
              <w14:schemeClr w14:val="tx1"/>
            </w14:solidFill>
          </w14:textFill>
        </w:rPr>
      </w:pPr>
      <w:bookmarkStart w:id="472" w:name="_Toc29124"/>
      <w:bookmarkStart w:id="473" w:name="_Toc22441"/>
      <w:bookmarkStart w:id="474" w:name="_Toc7528"/>
      <w:bookmarkStart w:id="475" w:name="_Toc16362"/>
      <w:bookmarkStart w:id="476" w:name="_Toc29466"/>
      <w:bookmarkStart w:id="477" w:name="_Toc13909"/>
      <w:bookmarkStart w:id="478" w:name="_Toc31853"/>
      <w:bookmarkStart w:id="479" w:name="_Toc30830"/>
      <w:bookmarkStart w:id="480" w:name="_Toc24633"/>
      <w:bookmarkStart w:id="481" w:name="_Toc6699"/>
      <w:bookmarkStart w:id="482" w:name="_Toc17672"/>
      <w:bookmarkStart w:id="483" w:name="_Toc20147"/>
      <w:bookmarkStart w:id="484" w:name="_Toc14581"/>
      <w:bookmarkStart w:id="485" w:name="_Toc14732"/>
      <w:r>
        <w:rPr>
          <w:rFonts w:hint="eastAsia" w:ascii="宋体" w:hAnsi="宋体" w:eastAsia="宋体" w:cs="宋体"/>
          <w:b/>
          <w:bCs/>
          <w:color w:val="000000" w:themeColor="text1"/>
          <w:sz w:val="28"/>
          <w:szCs w:val="28"/>
          <w14:textFill>
            <w14:solidFill>
              <w14:schemeClr w14:val="tx1"/>
            </w14:solidFill>
          </w14:textFill>
        </w:rPr>
        <w:t>评标办法前附表</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bookmarkEnd w:id="42"/>
    <w:tbl>
      <w:tblPr>
        <w:tblStyle w:val="35"/>
        <w:tblW w:w="9640" w:type="dxa"/>
        <w:tblInd w:w="-17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10"/>
        <w:gridCol w:w="850"/>
        <w:gridCol w:w="3224"/>
        <w:gridCol w:w="4856"/>
      </w:tblGrid>
      <w:tr w14:paraId="167050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46" w:hRule="atLeast"/>
        </w:trPr>
        <w:tc>
          <w:tcPr>
            <w:tcW w:w="1560" w:type="dxa"/>
            <w:gridSpan w:val="2"/>
            <w:tcBorders>
              <w:tl2br w:val="nil"/>
              <w:tr2bl w:val="nil"/>
            </w:tcBorders>
            <w:noWrap w:val="0"/>
            <w:vAlign w:val="center"/>
          </w:tcPr>
          <w:p w14:paraId="2B475E1A">
            <w:pPr>
              <w:spacing w:line="360" w:lineRule="auto"/>
              <w:jc w:val="center"/>
              <w:rPr>
                <w:rFonts w:hint="eastAsia" w:ascii="宋体" w:hAnsi="宋体" w:eastAsia="宋体" w:cs="宋体"/>
                <w:b/>
                <w:color w:val="000000" w:themeColor="text1"/>
                <w:sz w:val="24"/>
                <w:szCs w:val="24"/>
                <w14:textFill>
                  <w14:solidFill>
                    <w14:schemeClr w14:val="tx1"/>
                  </w14:solidFill>
                </w14:textFill>
              </w:rPr>
            </w:pPr>
            <w:bookmarkStart w:id="486" w:name="_Toc221523517"/>
            <w:bookmarkStart w:id="487" w:name="_Toc112236889"/>
            <w:bookmarkStart w:id="488" w:name="_Toc132684599"/>
            <w:bookmarkStart w:id="489" w:name="_Toc123211617"/>
            <w:bookmarkStart w:id="490" w:name="_Toc145989485"/>
            <w:bookmarkStart w:id="491" w:name="_Toc225592722"/>
            <w:bookmarkStart w:id="492" w:name="_Toc169940988"/>
            <w:bookmarkStart w:id="493" w:name="_Toc905"/>
            <w:bookmarkStart w:id="494" w:name="_Toc19476"/>
            <w:bookmarkStart w:id="495" w:name="_Toc5306"/>
            <w:r>
              <w:rPr>
                <w:rFonts w:hint="eastAsia" w:ascii="宋体" w:hAnsi="宋体" w:eastAsia="宋体" w:cs="宋体"/>
                <w:b/>
                <w:color w:val="000000" w:themeColor="text1"/>
                <w:sz w:val="24"/>
                <w:szCs w:val="24"/>
                <w14:textFill>
                  <w14:solidFill>
                    <w14:schemeClr w14:val="tx1"/>
                  </w14:solidFill>
                </w14:textFill>
              </w:rPr>
              <w:t>条款号</w:t>
            </w:r>
          </w:p>
        </w:tc>
        <w:tc>
          <w:tcPr>
            <w:tcW w:w="3224" w:type="dxa"/>
            <w:tcBorders>
              <w:tl2br w:val="nil"/>
              <w:tr2bl w:val="nil"/>
            </w:tcBorders>
            <w:noWrap w:val="0"/>
            <w:vAlign w:val="center"/>
          </w:tcPr>
          <w:p w14:paraId="3A9923CF">
            <w:pPr>
              <w:spacing w:line="360" w:lineRule="auto"/>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条款名称</w:t>
            </w:r>
          </w:p>
        </w:tc>
        <w:tc>
          <w:tcPr>
            <w:tcW w:w="4856" w:type="dxa"/>
            <w:tcBorders>
              <w:tl2br w:val="nil"/>
              <w:tr2bl w:val="nil"/>
            </w:tcBorders>
            <w:noWrap w:val="0"/>
            <w:vAlign w:val="center"/>
          </w:tcPr>
          <w:p w14:paraId="2C011752">
            <w:pPr>
              <w:spacing w:line="360" w:lineRule="auto"/>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编列内容</w:t>
            </w:r>
          </w:p>
        </w:tc>
      </w:tr>
      <w:tr w14:paraId="36D77B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14" w:hRule="atLeast"/>
        </w:trPr>
        <w:tc>
          <w:tcPr>
            <w:tcW w:w="1560" w:type="dxa"/>
            <w:gridSpan w:val="2"/>
            <w:tcBorders>
              <w:tl2br w:val="nil"/>
              <w:tr2bl w:val="nil"/>
            </w:tcBorders>
            <w:noWrap w:val="0"/>
            <w:vAlign w:val="center"/>
          </w:tcPr>
          <w:p w14:paraId="5B4B4F03">
            <w:pPr>
              <w:spacing w:line="360" w:lineRule="auto"/>
              <w:jc w:val="center"/>
              <w:rPr>
                <w:rFonts w:hint="eastAsia" w:ascii="宋体" w:hAnsi="宋体" w:eastAsia="宋体" w:cs="宋体"/>
                <w:b/>
                <w:color w:val="000000" w:themeColor="text1"/>
                <w:sz w:val="24"/>
                <w:szCs w:val="24"/>
                <w14:textFill>
                  <w14:solidFill>
                    <w14:schemeClr w14:val="tx1"/>
                  </w14:solidFill>
                </w14:textFill>
              </w:rPr>
            </w:pPr>
            <w:bookmarkStart w:id="496" w:name="_Toc343511683"/>
            <w:r>
              <w:rPr>
                <w:rFonts w:hint="eastAsia" w:ascii="宋体" w:hAnsi="宋体" w:eastAsia="宋体" w:cs="宋体"/>
                <w:b/>
                <w:color w:val="000000" w:themeColor="text1"/>
                <w:sz w:val="24"/>
                <w:szCs w:val="24"/>
                <w14:textFill>
                  <w14:solidFill>
                    <w14:schemeClr w14:val="tx1"/>
                  </w14:solidFill>
                </w14:textFill>
              </w:rPr>
              <w:t>条款号</w:t>
            </w:r>
            <w:bookmarkEnd w:id="496"/>
          </w:p>
        </w:tc>
        <w:tc>
          <w:tcPr>
            <w:tcW w:w="3224" w:type="dxa"/>
            <w:tcBorders>
              <w:tl2br w:val="nil"/>
              <w:tr2bl w:val="nil"/>
            </w:tcBorders>
            <w:noWrap w:val="0"/>
            <w:vAlign w:val="center"/>
          </w:tcPr>
          <w:p w14:paraId="445B2C8D">
            <w:pPr>
              <w:spacing w:line="360" w:lineRule="auto"/>
              <w:jc w:val="center"/>
              <w:rPr>
                <w:rFonts w:hint="eastAsia" w:ascii="宋体" w:hAnsi="宋体" w:eastAsia="宋体" w:cs="宋体"/>
                <w:b/>
                <w:color w:val="000000" w:themeColor="text1"/>
                <w:sz w:val="24"/>
                <w:szCs w:val="24"/>
                <w14:textFill>
                  <w14:solidFill>
                    <w14:schemeClr w14:val="tx1"/>
                  </w14:solidFill>
                </w14:textFill>
              </w:rPr>
            </w:pPr>
            <w:bookmarkStart w:id="497" w:name="_Toc343511684"/>
            <w:r>
              <w:rPr>
                <w:rFonts w:hint="eastAsia" w:ascii="宋体" w:hAnsi="宋体" w:eastAsia="宋体" w:cs="宋体"/>
                <w:b/>
                <w:color w:val="000000" w:themeColor="text1"/>
                <w:sz w:val="24"/>
                <w:szCs w:val="24"/>
                <w14:textFill>
                  <w14:solidFill>
                    <w14:schemeClr w14:val="tx1"/>
                  </w14:solidFill>
                </w14:textFill>
              </w:rPr>
              <w:t>评审因素</w:t>
            </w:r>
            <w:bookmarkEnd w:id="497"/>
          </w:p>
        </w:tc>
        <w:tc>
          <w:tcPr>
            <w:tcW w:w="4856" w:type="dxa"/>
            <w:tcBorders>
              <w:tl2br w:val="nil"/>
              <w:tr2bl w:val="nil"/>
            </w:tcBorders>
            <w:noWrap w:val="0"/>
            <w:vAlign w:val="center"/>
          </w:tcPr>
          <w:p w14:paraId="11C90FA5">
            <w:pPr>
              <w:spacing w:line="360" w:lineRule="auto"/>
              <w:jc w:val="center"/>
              <w:rPr>
                <w:rFonts w:hint="eastAsia" w:ascii="宋体" w:hAnsi="宋体" w:eastAsia="宋体" w:cs="宋体"/>
                <w:b/>
                <w:color w:val="000000" w:themeColor="text1"/>
                <w:sz w:val="24"/>
                <w:szCs w:val="24"/>
                <w14:textFill>
                  <w14:solidFill>
                    <w14:schemeClr w14:val="tx1"/>
                  </w14:solidFill>
                </w14:textFill>
              </w:rPr>
            </w:pPr>
            <w:bookmarkStart w:id="498" w:name="_Toc343511685"/>
            <w:r>
              <w:rPr>
                <w:rFonts w:hint="eastAsia" w:ascii="宋体" w:hAnsi="宋体" w:eastAsia="宋体" w:cs="宋体"/>
                <w:b/>
                <w:color w:val="000000" w:themeColor="text1"/>
                <w:sz w:val="24"/>
                <w:szCs w:val="24"/>
                <w14:textFill>
                  <w14:solidFill>
                    <w14:schemeClr w14:val="tx1"/>
                  </w14:solidFill>
                </w14:textFill>
              </w:rPr>
              <w:t>评审标准</w:t>
            </w:r>
            <w:bookmarkEnd w:id="498"/>
          </w:p>
        </w:tc>
      </w:tr>
      <w:tr w14:paraId="04FCE5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7" w:hRule="atLeast"/>
        </w:trPr>
        <w:tc>
          <w:tcPr>
            <w:tcW w:w="710" w:type="dxa"/>
            <w:vMerge w:val="restart"/>
            <w:tcBorders>
              <w:tl2br w:val="nil"/>
              <w:tr2bl w:val="nil"/>
            </w:tcBorders>
            <w:noWrap w:val="0"/>
            <w:vAlign w:val="center"/>
          </w:tcPr>
          <w:p w14:paraId="3862D191">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499" w:name="_Toc343511686"/>
            <w:r>
              <w:rPr>
                <w:rFonts w:hint="eastAsia" w:ascii="宋体" w:hAnsi="宋体" w:eastAsia="宋体" w:cs="宋体"/>
                <w:color w:val="000000" w:themeColor="text1"/>
                <w:sz w:val="24"/>
                <w:szCs w:val="24"/>
                <w14:textFill>
                  <w14:solidFill>
                    <w14:schemeClr w14:val="tx1"/>
                  </w14:solidFill>
                </w14:textFill>
              </w:rPr>
              <w:t>2.1.1</w:t>
            </w:r>
            <w:bookmarkEnd w:id="499"/>
          </w:p>
        </w:tc>
        <w:tc>
          <w:tcPr>
            <w:tcW w:w="850" w:type="dxa"/>
            <w:vMerge w:val="restart"/>
            <w:tcBorders>
              <w:tl2br w:val="nil"/>
              <w:tr2bl w:val="nil"/>
            </w:tcBorders>
            <w:noWrap w:val="0"/>
            <w:vAlign w:val="center"/>
          </w:tcPr>
          <w:p w14:paraId="6C6F0C66">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00" w:name="_Toc343511687"/>
            <w:r>
              <w:rPr>
                <w:rFonts w:hint="eastAsia" w:ascii="宋体" w:hAnsi="宋体" w:eastAsia="宋体" w:cs="宋体"/>
                <w:color w:val="000000" w:themeColor="text1"/>
                <w:sz w:val="24"/>
                <w:szCs w:val="24"/>
                <w14:textFill>
                  <w14:solidFill>
                    <w14:schemeClr w14:val="tx1"/>
                  </w14:solidFill>
                </w14:textFill>
              </w:rPr>
              <w:t>形式</w:t>
            </w:r>
          </w:p>
          <w:p w14:paraId="3BF791C6">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评审</w:t>
            </w:r>
          </w:p>
          <w:p w14:paraId="4B71AF07">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标准</w:t>
            </w:r>
            <w:bookmarkEnd w:id="500"/>
          </w:p>
        </w:tc>
        <w:tc>
          <w:tcPr>
            <w:tcW w:w="3224" w:type="dxa"/>
            <w:tcBorders>
              <w:tl2br w:val="nil"/>
              <w:tr2bl w:val="nil"/>
            </w:tcBorders>
            <w:noWrap w:val="0"/>
            <w:vAlign w:val="center"/>
          </w:tcPr>
          <w:p w14:paraId="051BFCF0">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01" w:name="_Toc343511688"/>
            <w:r>
              <w:rPr>
                <w:rFonts w:hint="eastAsia" w:ascii="宋体" w:hAnsi="宋体" w:eastAsia="宋体" w:cs="宋体"/>
                <w:color w:val="000000" w:themeColor="text1"/>
                <w:sz w:val="24"/>
                <w:szCs w:val="24"/>
                <w14:textFill>
                  <w14:solidFill>
                    <w14:schemeClr w14:val="tx1"/>
                  </w14:solidFill>
                </w14:textFill>
              </w:rPr>
              <w:t>投标人名称</w:t>
            </w:r>
            <w:bookmarkEnd w:id="501"/>
          </w:p>
        </w:tc>
        <w:tc>
          <w:tcPr>
            <w:tcW w:w="4856" w:type="dxa"/>
            <w:tcBorders>
              <w:tl2br w:val="nil"/>
              <w:tr2bl w:val="nil"/>
            </w:tcBorders>
            <w:noWrap w:val="0"/>
            <w:vAlign w:val="center"/>
          </w:tcPr>
          <w:p w14:paraId="19A2FCFC">
            <w:pPr>
              <w:spacing w:line="360" w:lineRule="auto"/>
              <w:rPr>
                <w:rFonts w:hint="eastAsia" w:ascii="宋体" w:hAnsi="宋体" w:eastAsia="宋体" w:cs="宋体"/>
                <w:color w:val="000000" w:themeColor="text1"/>
                <w:sz w:val="24"/>
                <w:szCs w:val="24"/>
                <w14:textFill>
                  <w14:solidFill>
                    <w14:schemeClr w14:val="tx1"/>
                  </w14:solidFill>
                </w14:textFill>
              </w:rPr>
            </w:pPr>
            <w:bookmarkStart w:id="502" w:name="_Toc343511689"/>
            <w:r>
              <w:rPr>
                <w:rFonts w:hint="eastAsia" w:ascii="宋体" w:hAnsi="宋体" w:eastAsia="宋体" w:cs="宋体"/>
                <w:color w:val="000000" w:themeColor="text1"/>
                <w:sz w:val="24"/>
                <w:szCs w:val="24"/>
                <w14:textFill>
                  <w14:solidFill>
                    <w14:schemeClr w14:val="tx1"/>
                  </w14:solidFill>
                </w14:textFill>
              </w:rPr>
              <w:t>与营业执照一致</w:t>
            </w:r>
            <w:bookmarkEnd w:id="502"/>
          </w:p>
        </w:tc>
      </w:tr>
      <w:tr w14:paraId="08AF34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trPr>
        <w:tc>
          <w:tcPr>
            <w:tcW w:w="710" w:type="dxa"/>
            <w:vMerge w:val="continue"/>
            <w:tcBorders>
              <w:tl2br w:val="nil"/>
              <w:tr2bl w:val="nil"/>
            </w:tcBorders>
            <w:noWrap w:val="0"/>
            <w:vAlign w:val="center"/>
          </w:tcPr>
          <w:p w14:paraId="4FA4C0F5">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850" w:type="dxa"/>
            <w:vMerge w:val="continue"/>
            <w:tcBorders>
              <w:tl2br w:val="nil"/>
              <w:tr2bl w:val="nil"/>
            </w:tcBorders>
            <w:noWrap w:val="0"/>
            <w:vAlign w:val="center"/>
          </w:tcPr>
          <w:p w14:paraId="0B126BA1">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3224" w:type="dxa"/>
            <w:tcBorders>
              <w:tl2br w:val="nil"/>
              <w:tr2bl w:val="nil"/>
            </w:tcBorders>
            <w:noWrap w:val="0"/>
            <w:vAlign w:val="center"/>
          </w:tcPr>
          <w:p w14:paraId="5617F4EB">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03" w:name="_Toc343511690"/>
            <w:r>
              <w:rPr>
                <w:rFonts w:hint="eastAsia" w:ascii="宋体" w:hAnsi="宋体" w:eastAsia="宋体" w:cs="宋体"/>
                <w:color w:val="000000" w:themeColor="text1"/>
                <w:sz w:val="24"/>
                <w:szCs w:val="24"/>
                <w14:textFill>
                  <w14:solidFill>
                    <w14:schemeClr w14:val="tx1"/>
                  </w14:solidFill>
                </w14:textFill>
              </w:rPr>
              <w:t>投标函签字盖章</w:t>
            </w:r>
            <w:bookmarkEnd w:id="503"/>
          </w:p>
        </w:tc>
        <w:tc>
          <w:tcPr>
            <w:tcW w:w="4856" w:type="dxa"/>
            <w:tcBorders>
              <w:tl2br w:val="nil"/>
              <w:tr2bl w:val="nil"/>
            </w:tcBorders>
            <w:noWrap w:val="0"/>
            <w:vAlign w:val="center"/>
          </w:tcPr>
          <w:p w14:paraId="38CB305E">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符合第二章“投标人须知”第3.5款规定</w:t>
            </w:r>
          </w:p>
        </w:tc>
      </w:tr>
      <w:tr w14:paraId="626EE6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5" w:hRule="atLeast"/>
        </w:trPr>
        <w:tc>
          <w:tcPr>
            <w:tcW w:w="710" w:type="dxa"/>
            <w:vMerge w:val="continue"/>
            <w:tcBorders>
              <w:tl2br w:val="nil"/>
              <w:tr2bl w:val="nil"/>
            </w:tcBorders>
            <w:noWrap w:val="0"/>
            <w:vAlign w:val="center"/>
          </w:tcPr>
          <w:p w14:paraId="00DF24C6">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850" w:type="dxa"/>
            <w:vMerge w:val="continue"/>
            <w:tcBorders>
              <w:tl2br w:val="nil"/>
              <w:tr2bl w:val="nil"/>
            </w:tcBorders>
            <w:noWrap w:val="0"/>
            <w:vAlign w:val="center"/>
          </w:tcPr>
          <w:p w14:paraId="23967C00">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3224" w:type="dxa"/>
            <w:tcBorders>
              <w:tl2br w:val="nil"/>
              <w:tr2bl w:val="nil"/>
            </w:tcBorders>
            <w:noWrap w:val="0"/>
            <w:vAlign w:val="center"/>
          </w:tcPr>
          <w:p w14:paraId="0649DBB3">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04" w:name="_Toc343511692"/>
            <w:r>
              <w:rPr>
                <w:rFonts w:hint="eastAsia" w:ascii="宋体" w:hAnsi="宋体" w:eastAsia="宋体" w:cs="宋体"/>
                <w:color w:val="000000" w:themeColor="text1"/>
                <w:sz w:val="24"/>
                <w:szCs w:val="24"/>
                <w14:textFill>
                  <w14:solidFill>
                    <w14:schemeClr w14:val="tx1"/>
                  </w14:solidFill>
                </w14:textFill>
              </w:rPr>
              <w:t>投标文件格式</w:t>
            </w:r>
            <w:bookmarkEnd w:id="504"/>
          </w:p>
        </w:tc>
        <w:tc>
          <w:tcPr>
            <w:tcW w:w="4856" w:type="dxa"/>
            <w:tcBorders>
              <w:tl2br w:val="nil"/>
              <w:tr2bl w:val="nil"/>
            </w:tcBorders>
            <w:noWrap w:val="0"/>
            <w:vAlign w:val="center"/>
          </w:tcPr>
          <w:p w14:paraId="4AAC880E">
            <w:pPr>
              <w:spacing w:line="360" w:lineRule="auto"/>
              <w:rPr>
                <w:rFonts w:hint="eastAsia" w:ascii="宋体" w:hAnsi="宋体" w:eastAsia="宋体" w:cs="宋体"/>
                <w:color w:val="000000" w:themeColor="text1"/>
                <w:sz w:val="24"/>
                <w:szCs w:val="24"/>
                <w14:textFill>
                  <w14:solidFill>
                    <w14:schemeClr w14:val="tx1"/>
                  </w14:solidFill>
                </w14:textFill>
              </w:rPr>
            </w:pPr>
            <w:bookmarkStart w:id="505" w:name="_Toc343511693"/>
            <w:r>
              <w:rPr>
                <w:rFonts w:hint="eastAsia" w:ascii="宋体" w:hAnsi="宋体" w:eastAsia="宋体" w:cs="宋体"/>
                <w:color w:val="000000" w:themeColor="text1"/>
                <w:sz w:val="24"/>
                <w:szCs w:val="24"/>
                <w14:textFill>
                  <w14:solidFill>
                    <w14:schemeClr w14:val="tx1"/>
                  </w14:solidFill>
                </w14:textFill>
              </w:rPr>
              <w:t>符合第六章“投标文件格式”的要求</w:t>
            </w:r>
            <w:bookmarkEnd w:id="505"/>
          </w:p>
        </w:tc>
      </w:tr>
      <w:tr w14:paraId="7F819B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0" w:hRule="atLeast"/>
        </w:trPr>
        <w:tc>
          <w:tcPr>
            <w:tcW w:w="710" w:type="dxa"/>
            <w:vMerge w:val="continue"/>
            <w:tcBorders>
              <w:tl2br w:val="nil"/>
              <w:tr2bl w:val="nil"/>
            </w:tcBorders>
            <w:noWrap w:val="0"/>
            <w:vAlign w:val="center"/>
          </w:tcPr>
          <w:p w14:paraId="739F651D">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850" w:type="dxa"/>
            <w:vMerge w:val="continue"/>
            <w:tcBorders>
              <w:tl2br w:val="nil"/>
              <w:tr2bl w:val="nil"/>
            </w:tcBorders>
            <w:noWrap w:val="0"/>
            <w:vAlign w:val="center"/>
          </w:tcPr>
          <w:p w14:paraId="5D1C3D46">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3224" w:type="dxa"/>
            <w:tcBorders>
              <w:tl2br w:val="nil"/>
              <w:tr2bl w:val="nil"/>
            </w:tcBorders>
            <w:noWrap w:val="0"/>
            <w:vAlign w:val="center"/>
          </w:tcPr>
          <w:p w14:paraId="0D1559AE">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06" w:name="_Toc343511694"/>
            <w:r>
              <w:rPr>
                <w:rFonts w:hint="eastAsia" w:ascii="宋体" w:hAnsi="宋体" w:eastAsia="宋体" w:cs="宋体"/>
                <w:color w:val="000000" w:themeColor="text1"/>
                <w:sz w:val="24"/>
                <w:szCs w:val="24"/>
                <w14:textFill>
                  <w14:solidFill>
                    <w14:schemeClr w14:val="tx1"/>
                  </w14:solidFill>
                </w14:textFill>
              </w:rPr>
              <w:t>报价唯一</w:t>
            </w:r>
            <w:bookmarkEnd w:id="506"/>
          </w:p>
        </w:tc>
        <w:tc>
          <w:tcPr>
            <w:tcW w:w="4856" w:type="dxa"/>
            <w:tcBorders>
              <w:tl2br w:val="nil"/>
              <w:tr2bl w:val="nil"/>
            </w:tcBorders>
            <w:noWrap w:val="0"/>
            <w:vAlign w:val="center"/>
          </w:tcPr>
          <w:p w14:paraId="59FFD236">
            <w:pPr>
              <w:spacing w:line="360" w:lineRule="auto"/>
              <w:rPr>
                <w:rFonts w:hint="eastAsia" w:ascii="宋体" w:hAnsi="宋体" w:eastAsia="宋体" w:cs="宋体"/>
                <w:color w:val="000000" w:themeColor="text1"/>
                <w:sz w:val="24"/>
                <w:szCs w:val="24"/>
                <w14:textFill>
                  <w14:solidFill>
                    <w14:schemeClr w14:val="tx1"/>
                  </w14:solidFill>
                </w14:textFill>
              </w:rPr>
            </w:pPr>
            <w:bookmarkStart w:id="507" w:name="_Toc343511695"/>
            <w:r>
              <w:rPr>
                <w:rFonts w:hint="eastAsia" w:ascii="宋体" w:hAnsi="宋体" w:eastAsia="宋体" w:cs="宋体"/>
                <w:color w:val="000000" w:themeColor="text1"/>
                <w:sz w:val="24"/>
                <w:szCs w:val="24"/>
                <w14:textFill>
                  <w14:solidFill>
                    <w14:schemeClr w14:val="tx1"/>
                  </w14:solidFill>
                </w14:textFill>
              </w:rPr>
              <w:t>只能有一个有效报价</w:t>
            </w:r>
            <w:bookmarkEnd w:id="507"/>
          </w:p>
        </w:tc>
      </w:tr>
      <w:tr w14:paraId="022E45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3" w:hRule="atLeast"/>
        </w:trPr>
        <w:tc>
          <w:tcPr>
            <w:tcW w:w="710" w:type="dxa"/>
            <w:vMerge w:val="restart"/>
            <w:tcBorders>
              <w:tl2br w:val="nil"/>
              <w:tr2bl w:val="nil"/>
            </w:tcBorders>
            <w:noWrap w:val="0"/>
            <w:vAlign w:val="center"/>
          </w:tcPr>
          <w:p w14:paraId="6FDD20E1">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08" w:name="_Toc343511710"/>
            <w:r>
              <w:rPr>
                <w:rFonts w:hint="eastAsia" w:ascii="宋体" w:hAnsi="宋体" w:eastAsia="宋体" w:cs="宋体"/>
                <w:color w:val="000000" w:themeColor="text1"/>
                <w:sz w:val="24"/>
                <w:szCs w:val="24"/>
                <w14:textFill>
                  <w14:solidFill>
                    <w14:schemeClr w14:val="tx1"/>
                  </w14:solidFill>
                </w14:textFill>
              </w:rPr>
              <w:t>2.1.</w:t>
            </w:r>
            <w:bookmarkEnd w:id="508"/>
            <w:r>
              <w:rPr>
                <w:rFonts w:hint="eastAsia" w:ascii="宋体" w:hAnsi="宋体" w:eastAsia="宋体" w:cs="宋体"/>
                <w:color w:val="000000" w:themeColor="text1"/>
                <w:sz w:val="24"/>
                <w:szCs w:val="24"/>
                <w14:textFill>
                  <w14:solidFill>
                    <w14:schemeClr w14:val="tx1"/>
                  </w14:solidFill>
                </w14:textFill>
              </w:rPr>
              <w:t>2</w:t>
            </w:r>
          </w:p>
        </w:tc>
        <w:tc>
          <w:tcPr>
            <w:tcW w:w="850" w:type="dxa"/>
            <w:vMerge w:val="restart"/>
            <w:tcBorders>
              <w:tl2br w:val="nil"/>
              <w:tr2bl w:val="nil"/>
            </w:tcBorders>
            <w:noWrap w:val="0"/>
            <w:vAlign w:val="center"/>
          </w:tcPr>
          <w:p w14:paraId="191076EB">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09" w:name="_Toc343511711"/>
            <w:r>
              <w:rPr>
                <w:rFonts w:hint="eastAsia" w:ascii="宋体" w:hAnsi="宋体" w:eastAsia="宋体" w:cs="宋体"/>
                <w:color w:val="000000" w:themeColor="text1"/>
                <w:sz w:val="24"/>
                <w:szCs w:val="24"/>
                <w14:textFill>
                  <w14:solidFill>
                    <w14:schemeClr w14:val="tx1"/>
                  </w14:solidFill>
                </w14:textFill>
              </w:rPr>
              <w:t>响应性</w:t>
            </w:r>
            <w:bookmarkEnd w:id="509"/>
          </w:p>
          <w:p w14:paraId="0D67F702">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10" w:name="_Toc343511712"/>
            <w:r>
              <w:rPr>
                <w:rFonts w:hint="eastAsia" w:ascii="宋体" w:hAnsi="宋体" w:eastAsia="宋体" w:cs="宋体"/>
                <w:color w:val="000000" w:themeColor="text1"/>
                <w:sz w:val="24"/>
                <w:szCs w:val="24"/>
                <w14:textFill>
                  <w14:solidFill>
                    <w14:schemeClr w14:val="tx1"/>
                  </w14:solidFill>
                </w14:textFill>
              </w:rPr>
              <w:t>评审</w:t>
            </w:r>
            <w:bookmarkEnd w:id="510"/>
            <w:bookmarkStart w:id="511" w:name="_Toc343511713"/>
          </w:p>
          <w:p w14:paraId="4CA1B26C">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标准</w:t>
            </w:r>
            <w:bookmarkEnd w:id="511"/>
          </w:p>
        </w:tc>
        <w:tc>
          <w:tcPr>
            <w:tcW w:w="3224" w:type="dxa"/>
            <w:tcBorders>
              <w:tl2br w:val="nil"/>
              <w:tr2bl w:val="nil"/>
            </w:tcBorders>
            <w:noWrap w:val="0"/>
            <w:vAlign w:val="center"/>
          </w:tcPr>
          <w:p w14:paraId="440532C5">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12" w:name="_Toc343511714"/>
            <w:r>
              <w:rPr>
                <w:rFonts w:hint="eastAsia" w:ascii="宋体" w:hAnsi="宋体" w:eastAsia="宋体" w:cs="宋体"/>
                <w:color w:val="000000" w:themeColor="text1"/>
                <w:sz w:val="24"/>
                <w:szCs w:val="24"/>
                <w14:textFill>
                  <w14:solidFill>
                    <w14:schemeClr w14:val="tx1"/>
                  </w14:solidFill>
                </w14:textFill>
              </w:rPr>
              <w:t>投标报价</w:t>
            </w:r>
            <w:bookmarkEnd w:id="512"/>
          </w:p>
        </w:tc>
        <w:tc>
          <w:tcPr>
            <w:tcW w:w="4856" w:type="dxa"/>
            <w:tcBorders>
              <w:tl2br w:val="nil"/>
              <w:tr2bl w:val="nil"/>
            </w:tcBorders>
            <w:noWrap w:val="0"/>
            <w:vAlign w:val="center"/>
          </w:tcPr>
          <w:p w14:paraId="45CA23C1">
            <w:pPr>
              <w:spacing w:line="360" w:lineRule="auto"/>
              <w:rPr>
                <w:rFonts w:hint="eastAsia" w:ascii="宋体" w:hAnsi="宋体" w:eastAsia="宋体" w:cs="宋体"/>
                <w:color w:val="000000" w:themeColor="text1"/>
                <w:sz w:val="24"/>
                <w:szCs w:val="24"/>
                <w14:textFill>
                  <w14:solidFill>
                    <w14:schemeClr w14:val="tx1"/>
                  </w14:solidFill>
                </w14:textFill>
              </w:rPr>
            </w:pPr>
            <w:bookmarkStart w:id="513" w:name="_Toc343511715"/>
            <w:r>
              <w:rPr>
                <w:rFonts w:hint="eastAsia" w:ascii="宋体" w:hAnsi="宋体" w:eastAsia="宋体" w:cs="宋体"/>
                <w:color w:val="000000" w:themeColor="text1"/>
                <w:sz w:val="24"/>
                <w:szCs w:val="24"/>
                <w14:textFill>
                  <w14:solidFill>
                    <w14:schemeClr w14:val="tx1"/>
                  </w14:solidFill>
                </w14:textFill>
              </w:rPr>
              <w:t>符合第二章“投标人须知”第3.2项规定</w:t>
            </w:r>
            <w:bookmarkEnd w:id="513"/>
          </w:p>
        </w:tc>
      </w:tr>
      <w:tr w14:paraId="133B43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3" w:hRule="atLeast"/>
        </w:trPr>
        <w:tc>
          <w:tcPr>
            <w:tcW w:w="710" w:type="dxa"/>
            <w:vMerge w:val="continue"/>
            <w:tcBorders>
              <w:tl2br w:val="nil"/>
              <w:tr2bl w:val="nil"/>
            </w:tcBorders>
            <w:noWrap w:val="0"/>
            <w:vAlign w:val="center"/>
          </w:tcPr>
          <w:p w14:paraId="2C5B66D3">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850" w:type="dxa"/>
            <w:vMerge w:val="continue"/>
            <w:tcBorders>
              <w:tl2br w:val="nil"/>
              <w:tr2bl w:val="nil"/>
            </w:tcBorders>
            <w:noWrap w:val="0"/>
            <w:vAlign w:val="center"/>
          </w:tcPr>
          <w:p w14:paraId="0A49F26F">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3224" w:type="dxa"/>
            <w:tcBorders>
              <w:tl2br w:val="nil"/>
              <w:tr2bl w:val="nil"/>
            </w:tcBorders>
            <w:noWrap w:val="0"/>
            <w:vAlign w:val="center"/>
          </w:tcPr>
          <w:p w14:paraId="7EBCA2A9">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14" w:name="_Toc343511716"/>
            <w:r>
              <w:rPr>
                <w:rFonts w:hint="eastAsia" w:ascii="宋体" w:hAnsi="宋体" w:eastAsia="宋体" w:cs="宋体"/>
                <w:color w:val="000000" w:themeColor="text1"/>
                <w:sz w:val="24"/>
                <w:szCs w:val="24"/>
                <w14:textFill>
                  <w14:solidFill>
                    <w14:schemeClr w14:val="tx1"/>
                  </w14:solidFill>
                </w14:textFill>
              </w:rPr>
              <w:t>投标内容</w:t>
            </w:r>
            <w:bookmarkEnd w:id="514"/>
          </w:p>
        </w:tc>
        <w:tc>
          <w:tcPr>
            <w:tcW w:w="4856" w:type="dxa"/>
            <w:tcBorders>
              <w:tl2br w:val="nil"/>
              <w:tr2bl w:val="nil"/>
            </w:tcBorders>
            <w:noWrap w:val="0"/>
            <w:vAlign w:val="center"/>
          </w:tcPr>
          <w:p w14:paraId="20A2BD7E">
            <w:pPr>
              <w:spacing w:line="360" w:lineRule="auto"/>
              <w:rPr>
                <w:rFonts w:hint="eastAsia" w:ascii="宋体" w:hAnsi="宋体" w:eastAsia="宋体" w:cs="宋体"/>
                <w:color w:val="000000" w:themeColor="text1"/>
                <w:sz w:val="24"/>
                <w:szCs w:val="24"/>
                <w14:textFill>
                  <w14:solidFill>
                    <w14:schemeClr w14:val="tx1"/>
                  </w14:solidFill>
                </w14:textFill>
              </w:rPr>
            </w:pPr>
            <w:bookmarkStart w:id="515" w:name="_Toc343511717"/>
            <w:r>
              <w:rPr>
                <w:rFonts w:hint="eastAsia" w:ascii="宋体" w:hAnsi="宋体" w:eastAsia="宋体" w:cs="宋体"/>
                <w:color w:val="000000" w:themeColor="text1"/>
                <w:sz w:val="24"/>
                <w:szCs w:val="24"/>
                <w14:textFill>
                  <w14:solidFill>
                    <w14:schemeClr w14:val="tx1"/>
                  </w14:solidFill>
                </w14:textFill>
              </w:rPr>
              <w:t>符合第二章“投标人须知”第</w:t>
            </w:r>
            <w:r>
              <w:rPr>
                <w:rFonts w:hint="eastAsia" w:ascii="宋体" w:hAnsi="宋体" w:cs="宋体"/>
                <w:color w:val="000000" w:themeColor="text1"/>
                <w:sz w:val="24"/>
                <w:szCs w:val="24"/>
                <w:lang w:val="en-US" w:eastAsia="zh-CN"/>
                <w14:textFill>
                  <w14:solidFill>
                    <w14:schemeClr w14:val="tx1"/>
                  </w14:solidFill>
                </w14:textFill>
              </w:rPr>
              <w:t>3.1.1</w:t>
            </w:r>
            <w:r>
              <w:rPr>
                <w:rFonts w:hint="eastAsia" w:ascii="宋体" w:hAnsi="宋体" w:eastAsia="宋体" w:cs="宋体"/>
                <w:color w:val="000000" w:themeColor="text1"/>
                <w:sz w:val="24"/>
                <w:szCs w:val="24"/>
                <w14:textFill>
                  <w14:solidFill>
                    <w14:schemeClr w14:val="tx1"/>
                  </w14:solidFill>
                </w14:textFill>
              </w:rPr>
              <w:t>项规定</w:t>
            </w:r>
            <w:bookmarkEnd w:id="515"/>
          </w:p>
        </w:tc>
      </w:tr>
      <w:tr w14:paraId="2E79C6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0" w:hRule="atLeast"/>
        </w:trPr>
        <w:tc>
          <w:tcPr>
            <w:tcW w:w="710" w:type="dxa"/>
            <w:vMerge w:val="continue"/>
            <w:tcBorders>
              <w:tl2br w:val="nil"/>
              <w:tr2bl w:val="nil"/>
            </w:tcBorders>
            <w:noWrap w:val="0"/>
            <w:vAlign w:val="center"/>
          </w:tcPr>
          <w:p w14:paraId="00B6A5F8">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850" w:type="dxa"/>
            <w:vMerge w:val="continue"/>
            <w:tcBorders>
              <w:tl2br w:val="nil"/>
              <w:tr2bl w:val="nil"/>
            </w:tcBorders>
            <w:noWrap w:val="0"/>
            <w:vAlign w:val="center"/>
          </w:tcPr>
          <w:p w14:paraId="455968AA">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3224" w:type="dxa"/>
            <w:tcBorders>
              <w:tl2br w:val="nil"/>
              <w:tr2bl w:val="nil"/>
            </w:tcBorders>
            <w:noWrap w:val="0"/>
            <w:vAlign w:val="center"/>
          </w:tcPr>
          <w:p w14:paraId="34CADFFB">
            <w:pPr>
              <w:spacing w:line="360" w:lineRule="auto"/>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供货期</w:t>
            </w:r>
          </w:p>
        </w:tc>
        <w:tc>
          <w:tcPr>
            <w:tcW w:w="4856" w:type="dxa"/>
            <w:tcBorders>
              <w:tl2br w:val="nil"/>
              <w:tr2bl w:val="nil"/>
            </w:tcBorders>
            <w:noWrap w:val="0"/>
            <w:vAlign w:val="center"/>
          </w:tcPr>
          <w:p w14:paraId="7727390B">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符合第二章“投标人须知”第1.3.2项规定</w:t>
            </w:r>
          </w:p>
        </w:tc>
      </w:tr>
      <w:tr w14:paraId="6C13F1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0" w:hRule="atLeast"/>
        </w:trPr>
        <w:tc>
          <w:tcPr>
            <w:tcW w:w="710" w:type="dxa"/>
            <w:vMerge w:val="continue"/>
            <w:tcBorders>
              <w:tl2br w:val="nil"/>
              <w:tr2bl w:val="nil"/>
            </w:tcBorders>
            <w:noWrap w:val="0"/>
            <w:vAlign w:val="center"/>
          </w:tcPr>
          <w:p w14:paraId="303C722D">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850" w:type="dxa"/>
            <w:vMerge w:val="continue"/>
            <w:tcBorders>
              <w:tl2br w:val="nil"/>
              <w:tr2bl w:val="nil"/>
            </w:tcBorders>
            <w:noWrap w:val="0"/>
            <w:vAlign w:val="center"/>
          </w:tcPr>
          <w:p w14:paraId="15F8E8E0">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3224" w:type="dxa"/>
            <w:tcBorders>
              <w:tl2br w:val="nil"/>
              <w:tr2bl w:val="nil"/>
            </w:tcBorders>
            <w:noWrap w:val="0"/>
            <w:vAlign w:val="center"/>
          </w:tcPr>
          <w:p w14:paraId="0D79E23A">
            <w:pPr>
              <w:spacing w:line="360" w:lineRule="auto"/>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质保期</w:t>
            </w:r>
          </w:p>
        </w:tc>
        <w:tc>
          <w:tcPr>
            <w:tcW w:w="4856" w:type="dxa"/>
            <w:tcBorders>
              <w:tl2br w:val="nil"/>
              <w:tr2bl w:val="nil"/>
            </w:tcBorders>
            <w:noWrap w:val="0"/>
            <w:vAlign w:val="center"/>
          </w:tcPr>
          <w:p w14:paraId="76E646D5">
            <w:pPr>
              <w:spacing w:line="360" w:lineRule="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符合第二章“投标人须知”第1.3.</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项规定</w:t>
            </w:r>
          </w:p>
        </w:tc>
      </w:tr>
      <w:tr w14:paraId="3A8585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4" w:hRule="atLeast"/>
        </w:trPr>
        <w:tc>
          <w:tcPr>
            <w:tcW w:w="710" w:type="dxa"/>
            <w:vMerge w:val="continue"/>
            <w:tcBorders>
              <w:tl2br w:val="nil"/>
              <w:tr2bl w:val="nil"/>
            </w:tcBorders>
            <w:noWrap w:val="0"/>
            <w:vAlign w:val="center"/>
          </w:tcPr>
          <w:p w14:paraId="54B0A17D">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850" w:type="dxa"/>
            <w:vMerge w:val="continue"/>
            <w:tcBorders>
              <w:tl2br w:val="nil"/>
              <w:tr2bl w:val="nil"/>
            </w:tcBorders>
            <w:noWrap w:val="0"/>
            <w:vAlign w:val="center"/>
          </w:tcPr>
          <w:p w14:paraId="4EC47E9A">
            <w:pPr>
              <w:spacing w:line="360" w:lineRule="auto"/>
              <w:jc w:val="center"/>
              <w:rPr>
                <w:rFonts w:hint="eastAsia" w:ascii="宋体" w:hAnsi="宋体" w:eastAsia="宋体" w:cs="宋体"/>
                <w:color w:val="000000" w:themeColor="text1"/>
                <w:sz w:val="24"/>
                <w:szCs w:val="24"/>
                <w14:textFill>
                  <w14:solidFill>
                    <w14:schemeClr w14:val="tx1"/>
                  </w14:solidFill>
                </w14:textFill>
              </w:rPr>
            </w:pPr>
          </w:p>
        </w:tc>
        <w:tc>
          <w:tcPr>
            <w:tcW w:w="3224" w:type="dxa"/>
            <w:tcBorders>
              <w:tl2br w:val="nil"/>
              <w:tr2bl w:val="nil"/>
            </w:tcBorders>
            <w:noWrap w:val="0"/>
            <w:vAlign w:val="center"/>
          </w:tcPr>
          <w:p w14:paraId="0DADB8E5">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投标有效期</w:t>
            </w:r>
          </w:p>
        </w:tc>
        <w:tc>
          <w:tcPr>
            <w:tcW w:w="4856" w:type="dxa"/>
            <w:tcBorders>
              <w:tl2br w:val="nil"/>
              <w:tr2bl w:val="nil"/>
            </w:tcBorders>
            <w:noWrap w:val="0"/>
            <w:vAlign w:val="center"/>
          </w:tcPr>
          <w:p w14:paraId="594029FB">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符合第二章“投标人须知”第3.3.1项规定</w:t>
            </w:r>
          </w:p>
        </w:tc>
      </w:tr>
      <w:tr w14:paraId="2FD22A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23" w:hRule="atLeast"/>
        </w:trPr>
        <w:tc>
          <w:tcPr>
            <w:tcW w:w="1560" w:type="dxa"/>
            <w:gridSpan w:val="2"/>
            <w:tcBorders>
              <w:tl2br w:val="nil"/>
              <w:tr2bl w:val="nil"/>
            </w:tcBorders>
            <w:noWrap w:val="0"/>
            <w:vAlign w:val="center"/>
          </w:tcPr>
          <w:p w14:paraId="1E7B0297">
            <w:pPr>
              <w:spacing w:line="360" w:lineRule="auto"/>
              <w:jc w:val="center"/>
              <w:rPr>
                <w:rFonts w:hint="eastAsia" w:ascii="宋体" w:hAnsi="宋体" w:eastAsia="宋体" w:cs="宋体"/>
                <w:b/>
                <w:color w:val="000000" w:themeColor="text1"/>
                <w:sz w:val="24"/>
                <w:szCs w:val="24"/>
                <w14:textFill>
                  <w14:solidFill>
                    <w14:schemeClr w14:val="tx1"/>
                  </w14:solidFill>
                </w14:textFill>
              </w:rPr>
            </w:pPr>
            <w:bookmarkStart w:id="516" w:name="_Toc343511732"/>
            <w:r>
              <w:rPr>
                <w:rFonts w:hint="eastAsia" w:ascii="宋体" w:hAnsi="宋体" w:eastAsia="宋体" w:cs="宋体"/>
                <w:b/>
                <w:color w:val="000000" w:themeColor="text1"/>
                <w:sz w:val="24"/>
                <w:szCs w:val="24"/>
                <w14:textFill>
                  <w14:solidFill>
                    <w14:schemeClr w14:val="tx1"/>
                  </w14:solidFill>
                </w14:textFill>
              </w:rPr>
              <w:t>条款号</w:t>
            </w:r>
            <w:bookmarkEnd w:id="516"/>
          </w:p>
        </w:tc>
        <w:tc>
          <w:tcPr>
            <w:tcW w:w="3224" w:type="dxa"/>
            <w:tcBorders>
              <w:tl2br w:val="nil"/>
              <w:tr2bl w:val="nil"/>
            </w:tcBorders>
            <w:noWrap w:val="0"/>
            <w:vAlign w:val="center"/>
          </w:tcPr>
          <w:p w14:paraId="32882FFF">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17" w:name="_Toc343511733"/>
            <w:r>
              <w:rPr>
                <w:rFonts w:hint="eastAsia" w:ascii="宋体" w:hAnsi="宋体" w:eastAsia="宋体" w:cs="宋体"/>
                <w:color w:val="000000" w:themeColor="text1"/>
                <w:sz w:val="24"/>
                <w:szCs w:val="24"/>
                <w14:textFill>
                  <w14:solidFill>
                    <w14:schemeClr w14:val="tx1"/>
                  </w14:solidFill>
                </w14:textFill>
              </w:rPr>
              <w:t>条款内容</w:t>
            </w:r>
            <w:bookmarkEnd w:id="517"/>
          </w:p>
        </w:tc>
        <w:tc>
          <w:tcPr>
            <w:tcW w:w="4856" w:type="dxa"/>
            <w:tcBorders>
              <w:tl2br w:val="nil"/>
              <w:tr2bl w:val="nil"/>
            </w:tcBorders>
            <w:noWrap w:val="0"/>
            <w:vAlign w:val="center"/>
          </w:tcPr>
          <w:p w14:paraId="28124895">
            <w:pPr>
              <w:spacing w:line="360" w:lineRule="auto"/>
              <w:rPr>
                <w:rFonts w:hint="eastAsia" w:ascii="宋体" w:hAnsi="宋体" w:eastAsia="宋体" w:cs="宋体"/>
                <w:b/>
                <w:color w:val="000000" w:themeColor="text1"/>
                <w:sz w:val="24"/>
                <w:szCs w:val="24"/>
                <w14:textFill>
                  <w14:solidFill>
                    <w14:schemeClr w14:val="tx1"/>
                  </w14:solidFill>
                </w14:textFill>
              </w:rPr>
            </w:pPr>
            <w:bookmarkStart w:id="518" w:name="_Toc343511734"/>
            <w:r>
              <w:rPr>
                <w:rFonts w:hint="eastAsia" w:ascii="宋体" w:hAnsi="宋体" w:eastAsia="宋体" w:cs="宋体"/>
                <w:b/>
                <w:color w:val="000000" w:themeColor="text1"/>
                <w:sz w:val="24"/>
                <w:szCs w:val="24"/>
                <w14:textFill>
                  <w14:solidFill>
                    <w14:schemeClr w14:val="tx1"/>
                  </w14:solidFill>
                </w14:textFill>
              </w:rPr>
              <w:t>编列内容</w:t>
            </w:r>
            <w:bookmarkEnd w:id="518"/>
          </w:p>
        </w:tc>
      </w:tr>
      <w:tr w14:paraId="3F4CB0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83" w:hRule="atLeast"/>
        </w:trPr>
        <w:tc>
          <w:tcPr>
            <w:tcW w:w="1560" w:type="dxa"/>
            <w:gridSpan w:val="2"/>
            <w:tcBorders>
              <w:tl2br w:val="nil"/>
              <w:tr2bl w:val="nil"/>
            </w:tcBorders>
            <w:noWrap w:val="0"/>
            <w:vAlign w:val="center"/>
          </w:tcPr>
          <w:p w14:paraId="78EFCE73">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19" w:name="_Toc343511735"/>
            <w:r>
              <w:rPr>
                <w:rFonts w:hint="eastAsia" w:ascii="宋体" w:hAnsi="宋体" w:eastAsia="宋体" w:cs="宋体"/>
                <w:color w:val="000000" w:themeColor="text1"/>
                <w:sz w:val="24"/>
                <w:szCs w:val="24"/>
                <w14:textFill>
                  <w14:solidFill>
                    <w14:schemeClr w14:val="tx1"/>
                  </w14:solidFill>
                </w14:textFill>
              </w:rPr>
              <w:t>2.2.1</w:t>
            </w:r>
            <w:bookmarkEnd w:id="519"/>
          </w:p>
        </w:tc>
        <w:tc>
          <w:tcPr>
            <w:tcW w:w="3224" w:type="dxa"/>
            <w:tcBorders>
              <w:tl2br w:val="nil"/>
              <w:tr2bl w:val="nil"/>
            </w:tcBorders>
            <w:noWrap w:val="0"/>
            <w:vAlign w:val="center"/>
          </w:tcPr>
          <w:p w14:paraId="6FEDE9B5">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20" w:name="_Toc343511736"/>
            <w:r>
              <w:rPr>
                <w:rFonts w:hint="eastAsia" w:ascii="宋体" w:hAnsi="宋体" w:eastAsia="宋体" w:cs="宋体"/>
                <w:color w:val="000000" w:themeColor="text1"/>
                <w:sz w:val="24"/>
                <w:szCs w:val="24"/>
                <w14:textFill>
                  <w14:solidFill>
                    <w14:schemeClr w14:val="tx1"/>
                  </w14:solidFill>
                </w14:textFill>
              </w:rPr>
              <w:t>分值构成</w:t>
            </w:r>
            <w:bookmarkEnd w:id="520"/>
          </w:p>
          <w:p w14:paraId="7D02E2DB">
            <w:pPr>
              <w:spacing w:line="360" w:lineRule="auto"/>
              <w:jc w:val="center"/>
              <w:rPr>
                <w:rFonts w:hint="eastAsia" w:ascii="宋体" w:hAnsi="宋体" w:eastAsia="宋体" w:cs="宋体"/>
                <w:color w:val="000000" w:themeColor="text1"/>
                <w:sz w:val="24"/>
                <w:szCs w:val="24"/>
                <w14:textFill>
                  <w14:solidFill>
                    <w14:schemeClr w14:val="tx1"/>
                  </w14:solidFill>
                </w14:textFill>
              </w:rPr>
            </w:pPr>
            <w:bookmarkStart w:id="521" w:name="_Toc343511737"/>
            <w:r>
              <w:rPr>
                <w:rFonts w:hint="eastAsia" w:ascii="宋体" w:hAnsi="宋体" w:eastAsia="宋体" w:cs="宋体"/>
                <w:color w:val="000000" w:themeColor="text1"/>
                <w:sz w:val="24"/>
                <w:szCs w:val="24"/>
                <w14:textFill>
                  <w14:solidFill>
                    <w14:schemeClr w14:val="tx1"/>
                  </w14:solidFill>
                </w14:textFill>
              </w:rPr>
              <w:t>(总分100分)</w:t>
            </w:r>
            <w:bookmarkEnd w:id="521"/>
          </w:p>
        </w:tc>
        <w:tc>
          <w:tcPr>
            <w:tcW w:w="4856" w:type="dxa"/>
            <w:tcBorders>
              <w:tl2br w:val="nil"/>
              <w:tr2bl w:val="nil"/>
            </w:tcBorders>
            <w:noWrap w:val="0"/>
            <w:vAlign w:val="center"/>
          </w:tcPr>
          <w:p w14:paraId="218B230B">
            <w:pPr>
              <w:spacing w:line="360" w:lineRule="auto"/>
              <w:rPr>
                <w:rFonts w:hint="eastAsia" w:ascii="宋体" w:hAnsi="宋体" w:eastAsia="宋体" w:cs="宋体"/>
                <w:color w:val="000000" w:themeColor="text1"/>
                <w:sz w:val="24"/>
                <w:szCs w:val="24"/>
                <w14:textFill>
                  <w14:solidFill>
                    <w14:schemeClr w14:val="tx1"/>
                  </w14:solidFill>
                </w14:textFill>
              </w:rPr>
            </w:pPr>
            <w:bookmarkStart w:id="522" w:name="_Toc343511739"/>
            <w:bookmarkStart w:id="523" w:name="_Toc343511738"/>
            <w:r>
              <w:rPr>
                <w:rFonts w:hint="eastAsia" w:ascii="宋体" w:hAnsi="宋体" w:eastAsia="宋体" w:cs="宋体"/>
                <w:color w:val="000000" w:themeColor="text1"/>
                <w:sz w:val="24"/>
                <w:szCs w:val="24"/>
                <w14:textFill>
                  <w14:solidFill>
                    <w14:schemeClr w14:val="tx1"/>
                  </w14:solidFill>
                </w14:textFill>
              </w:rPr>
              <w:t>1.投标报价评审：</w:t>
            </w:r>
            <w:r>
              <w:rPr>
                <w:rFonts w:hint="eastAsia" w:ascii="宋体" w:hAnsi="宋体" w:eastAsia="宋体" w:cs="宋体"/>
                <w:color w:val="000000" w:themeColor="text1"/>
                <w:sz w:val="24"/>
                <w:szCs w:val="24"/>
                <w:lang w:val="en-US" w:eastAsia="zh-CN"/>
                <w14:textFill>
                  <w14:solidFill>
                    <w14:schemeClr w14:val="tx1"/>
                  </w14:solidFill>
                </w14:textFill>
              </w:rPr>
              <w:t>30</w:t>
            </w:r>
            <w:r>
              <w:rPr>
                <w:rFonts w:hint="eastAsia" w:ascii="宋体" w:hAnsi="宋体" w:eastAsia="宋体" w:cs="宋体"/>
                <w:color w:val="000000" w:themeColor="text1"/>
                <w:sz w:val="24"/>
                <w:szCs w:val="24"/>
                <w14:textFill>
                  <w14:solidFill>
                    <w14:schemeClr w14:val="tx1"/>
                  </w14:solidFill>
                </w14:textFill>
              </w:rPr>
              <w:t>分</w:t>
            </w:r>
          </w:p>
          <w:p w14:paraId="299338BB">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2.技术部分评审：</w:t>
            </w:r>
            <w:r>
              <w:rPr>
                <w:rFonts w:hint="eastAsia" w:ascii="宋体" w:hAnsi="宋体" w:cs="宋体"/>
                <w:color w:val="000000" w:themeColor="text1"/>
                <w:sz w:val="24"/>
                <w:szCs w:val="24"/>
                <w:lang w:val="en-US" w:eastAsia="zh-CN"/>
                <w14:textFill>
                  <w14:solidFill>
                    <w14:schemeClr w14:val="tx1"/>
                  </w14:solidFill>
                </w14:textFill>
              </w:rPr>
              <w:t>53</w:t>
            </w:r>
            <w:r>
              <w:rPr>
                <w:rFonts w:hint="eastAsia" w:ascii="宋体" w:hAnsi="宋体" w:eastAsia="宋体" w:cs="宋体"/>
                <w:color w:val="000000" w:themeColor="text1"/>
                <w:sz w:val="24"/>
                <w:szCs w:val="24"/>
                <w14:textFill>
                  <w14:solidFill>
                    <w14:schemeClr w14:val="tx1"/>
                  </w14:solidFill>
                </w14:textFill>
              </w:rPr>
              <w:t>分</w:t>
            </w:r>
          </w:p>
          <w:p w14:paraId="5EA5C715">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3.商务部分评审：</w:t>
            </w:r>
            <w:r>
              <w:rPr>
                <w:rFonts w:hint="eastAsia" w:ascii="宋体" w:hAnsi="宋体" w:cs="宋体"/>
                <w:color w:val="000000" w:themeColor="text1"/>
                <w:sz w:val="24"/>
                <w:szCs w:val="24"/>
                <w:lang w:val="en-US" w:eastAsia="zh-CN"/>
                <w14:textFill>
                  <w14:solidFill>
                    <w14:schemeClr w14:val="tx1"/>
                  </w14:solidFill>
                </w14:textFill>
              </w:rPr>
              <w:t>17</w:t>
            </w:r>
            <w:r>
              <w:rPr>
                <w:rFonts w:hint="eastAsia" w:ascii="宋体" w:hAnsi="宋体" w:eastAsia="宋体" w:cs="宋体"/>
                <w:color w:val="000000" w:themeColor="text1"/>
                <w:sz w:val="24"/>
                <w:szCs w:val="24"/>
                <w14:textFill>
                  <w14:solidFill>
                    <w14:schemeClr w14:val="tx1"/>
                  </w14:solidFill>
                </w14:textFill>
              </w:rPr>
              <w:t>分</w:t>
            </w:r>
            <w:bookmarkEnd w:id="522"/>
            <w:bookmarkEnd w:id="523"/>
          </w:p>
        </w:tc>
      </w:tr>
    </w:tbl>
    <w:p w14:paraId="1322C5CB">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br w:type="page"/>
      </w:r>
      <w:bookmarkStart w:id="524" w:name="_Toc397410470"/>
      <w:bookmarkStart w:id="525" w:name="_Toc397410657"/>
      <w:bookmarkStart w:id="526" w:name="_Toc397585237"/>
      <w:bookmarkStart w:id="527" w:name="_Toc247085758"/>
      <w:bookmarkStart w:id="528" w:name="_Toc395711818"/>
      <w:bookmarkStart w:id="529" w:name="_Toc456197086"/>
      <w:bookmarkStart w:id="530" w:name="_Toc490171551"/>
      <w:bookmarkStart w:id="531" w:name="_Toc343511762"/>
      <w:bookmarkStart w:id="532" w:name="_Toc144974567"/>
      <w:bookmarkStart w:id="533" w:name="_Toc361406430"/>
      <w:bookmarkStart w:id="534" w:name="_Toc246996243"/>
      <w:bookmarkStart w:id="535" w:name="_Toc397585168"/>
      <w:bookmarkStart w:id="536" w:name="_Toc246996986"/>
      <w:bookmarkStart w:id="537" w:name="_Toc490171392"/>
      <w:bookmarkStart w:id="538" w:name="_Toc394320899"/>
      <w:bookmarkStart w:id="539" w:name="_Toc152045600"/>
      <w:bookmarkStart w:id="540" w:name="_Toc361406351"/>
      <w:bookmarkStart w:id="541" w:name="_Toc152042377"/>
      <w:bookmarkStart w:id="542" w:name="_Toc179632618"/>
      <w:r>
        <w:rPr>
          <w:rFonts w:hint="eastAsia" w:ascii="宋体" w:hAnsi="宋体" w:cs="宋体"/>
          <w:color w:val="000000" w:themeColor="text1"/>
          <w:sz w:val="24"/>
          <w:szCs w:val="24"/>
          <w:lang w:eastAsia="zh-CN"/>
          <w14:textFill>
            <w14:solidFill>
              <w14:schemeClr w14:val="tx1"/>
            </w14:solidFill>
          </w14:textFill>
        </w:rPr>
        <w:t>延安市生态环境局延安市水生态监测能力提升项目</w:t>
      </w:r>
      <w:r>
        <w:rPr>
          <w:rFonts w:hint="eastAsia" w:ascii="宋体" w:hAnsi="宋体" w:eastAsia="宋体" w:cs="宋体"/>
          <w:color w:val="000000" w:themeColor="text1"/>
          <w:sz w:val="24"/>
          <w:szCs w:val="24"/>
          <w:lang w:eastAsia="zh-CN"/>
          <w14:textFill>
            <w14:solidFill>
              <w14:schemeClr w14:val="tx1"/>
            </w14:solidFill>
          </w14:textFill>
        </w:rPr>
        <w:t>项目</w:t>
      </w:r>
      <w:r>
        <w:rPr>
          <w:rFonts w:hint="eastAsia" w:ascii="宋体" w:hAnsi="宋体" w:eastAsia="宋体" w:cs="宋体"/>
          <w:color w:val="000000" w:themeColor="text1"/>
          <w:sz w:val="24"/>
          <w:szCs w:val="24"/>
          <w14:textFill>
            <w14:solidFill>
              <w14:schemeClr w14:val="tx1"/>
            </w14:solidFill>
          </w14:textFill>
        </w:rPr>
        <w:t>招标文件由陕西宸永项目管理有限公司根据采购人提出的采购要求和商务要求编制，经采购人审定后发售。</w:t>
      </w:r>
    </w:p>
    <w:p w14:paraId="7D75A79A">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1. 评标方法</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08668C8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543" w:name="_Toc343511763"/>
      <w:r>
        <w:rPr>
          <w:rFonts w:hint="eastAsia" w:ascii="宋体" w:hAnsi="宋体" w:eastAsia="宋体" w:cs="宋体"/>
          <w:color w:val="000000" w:themeColor="text1"/>
          <w:sz w:val="24"/>
          <w:szCs w:val="24"/>
          <w14:textFill>
            <w14:solidFill>
              <w14:schemeClr w14:val="tx1"/>
            </w14:solidFill>
          </w14:textFill>
        </w:rPr>
        <w:t>1.1评标原则</w:t>
      </w:r>
    </w:p>
    <w:p w14:paraId="62FE89A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（1）公平、公正、科学、择优；</w:t>
      </w:r>
    </w:p>
    <w:p w14:paraId="11214AF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服务期限</w:t>
      </w:r>
      <w:r>
        <w:rPr>
          <w:rFonts w:hint="eastAsia" w:ascii="宋体" w:hAnsi="宋体" w:eastAsia="宋体" w:cs="宋体"/>
          <w:color w:val="000000" w:themeColor="text1"/>
          <w:sz w:val="24"/>
          <w:szCs w:val="24"/>
          <w14:textFill>
            <w14:solidFill>
              <w14:schemeClr w14:val="tx1"/>
            </w14:solidFill>
          </w14:textFill>
        </w:rPr>
        <w:t>合理、方案可行；</w:t>
      </w:r>
    </w:p>
    <w:p w14:paraId="5802DC6E">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（3）价格合理，且不低于成本价；</w:t>
      </w:r>
    </w:p>
    <w:p w14:paraId="03F9FE3F">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（4）禁止不正当竞争。</w:t>
      </w:r>
    </w:p>
    <w:p w14:paraId="630BDE5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 本次评标采用综合评分法。</w:t>
      </w:r>
    </w:p>
    <w:p w14:paraId="37E76AE6">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评标委员会对满足招标文件实质性要求的投标文件，按照本章第2.2款规定的评分标准进行打分。</w:t>
      </w:r>
      <w:bookmarkEnd w:id="543"/>
      <w:r>
        <w:rPr>
          <w:rFonts w:hint="eastAsia" w:ascii="宋体" w:hAnsi="宋体" w:eastAsia="宋体" w:cs="宋体"/>
          <w:color w:val="000000" w:themeColor="text1"/>
          <w:sz w:val="24"/>
          <w:szCs w:val="24"/>
          <w14:textFill>
            <w14:solidFill>
              <w14:schemeClr w14:val="tx1"/>
            </w14:solidFill>
          </w14:textFill>
        </w:rPr>
        <w:t>评标委员会对投标人在投标文件中提出的质量、</w:t>
      </w:r>
      <w:r>
        <w:rPr>
          <w:rFonts w:hint="eastAsia" w:ascii="宋体" w:hAnsi="宋体" w:eastAsia="宋体" w:cs="宋体"/>
          <w:color w:val="000000" w:themeColor="text1"/>
          <w:sz w:val="24"/>
          <w:szCs w:val="24"/>
          <w:lang w:eastAsia="zh-CN"/>
          <w14:textFill>
            <w14:solidFill>
              <w14:schemeClr w14:val="tx1"/>
            </w14:solidFill>
          </w14:textFill>
        </w:rPr>
        <w:t>服务期限</w:t>
      </w:r>
      <w:r>
        <w:rPr>
          <w:rFonts w:hint="eastAsia" w:ascii="宋体" w:hAnsi="宋体" w:eastAsia="宋体" w:cs="宋体"/>
          <w:color w:val="000000" w:themeColor="text1"/>
          <w:sz w:val="24"/>
          <w:szCs w:val="24"/>
          <w14:textFill>
            <w14:solidFill>
              <w14:schemeClr w14:val="tx1"/>
            </w14:solidFill>
          </w14:textFill>
        </w:rPr>
        <w:t>、投标价格、技术部分、商务部分等能否最大限度地满足招标文件的要求进行评审、赋分，向采购人推荐前三名中标候选投标人，标明排列顺序。</w:t>
      </w:r>
    </w:p>
    <w:p w14:paraId="4CE9F77E">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1.3在评标过程中，投标人对采购人和评标委员会施加影响的任何行为，都将导致其投标资格被取消。</w:t>
      </w:r>
    </w:p>
    <w:p w14:paraId="1B9ADDB1">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bookmarkStart w:id="544" w:name="_Toc343511764"/>
      <w:bookmarkStart w:id="545" w:name="_Toc152045601"/>
      <w:bookmarkStart w:id="546" w:name="_Toc490171393"/>
      <w:bookmarkStart w:id="547" w:name="_Toc456197087"/>
      <w:bookmarkStart w:id="548" w:name="_Toc144974568"/>
      <w:bookmarkStart w:id="549" w:name="_Toc490171552"/>
      <w:bookmarkStart w:id="550" w:name="_Toc397410471"/>
      <w:bookmarkStart w:id="551" w:name="_Toc397585169"/>
      <w:bookmarkStart w:id="552" w:name="_Toc246996244"/>
      <w:bookmarkStart w:id="553" w:name="_Toc152042378"/>
      <w:bookmarkStart w:id="554" w:name="_Toc179632619"/>
      <w:bookmarkStart w:id="555" w:name="_Toc247085759"/>
      <w:bookmarkStart w:id="556" w:name="_Toc397410658"/>
      <w:bookmarkStart w:id="557" w:name="_Toc361406431"/>
      <w:bookmarkStart w:id="558" w:name="_Toc246996987"/>
      <w:bookmarkStart w:id="559" w:name="_Toc395711819"/>
      <w:bookmarkStart w:id="560" w:name="_Toc394320900"/>
      <w:bookmarkStart w:id="561" w:name="_Toc361406352"/>
      <w:bookmarkStart w:id="562" w:name="_Toc397585238"/>
      <w:r>
        <w:rPr>
          <w:rFonts w:hint="eastAsia" w:ascii="宋体" w:hAnsi="宋体" w:eastAsia="宋体" w:cs="宋体"/>
          <w:b/>
          <w:color w:val="000000" w:themeColor="text1"/>
          <w:sz w:val="24"/>
          <w:szCs w:val="24"/>
          <w14:textFill>
            <w14:solidFill>
              <w14:schemeClr w14:val="tx1"/>
            </w14:solidFill>
          </w14:textFill>
        </w:rPr>
        <w:t>2. 评审标准</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1B802629">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bookmarkStart w:id="563" w:name="_Toc152042379"/>
      <w:bookmarkStart w:id="564" w:name="_Toc343511765"/>
      <w:bookmarkStart w:id="565" w:name="_Toc397410472"/>
      <w:bookmarkStart w:id="566" w:name="_Toc397410659"/>
      <w:bookmarkStart w:id="567" w:name="_Toc394320901"/>
      <w:bookmarkStart w:id="568" w:name="_Toc246996988"/>
      <w:bookmarkStart w:id="569" w:name="_Toc361406353"/>
      <w:bookmarkStart w:id="570" w:name="_Toc361406432"/>
      <w:bookmarkStart w:id="571" w:name="_Toc490171394"/>
      <w:bookmarkStart w:id="572" w:name="_Toc490171553"/>
      <w:bookmarkStart w:id="573" w:name="_Toc246996245"/>
      <w:bookmarkStart w:id="574" w:name="_Toc397585170"/>
      <w:bookmarkStart w:id="575" w:name="_Toc152045602"/>
      <w:bookmarkStart w:id="576" w:name="_Toc179632620"/>
      <w:bookmarkStart w:id="577" w:name="_Toc456197088"/>
      <w:bookmarkStart w:id="578" w:name="_Toc247085760"/>
      <w:bookmarkStart w:id="579" w:name="_Toc144974569"/>
      <w:bookmarkStart w:id="580" w:name="_Toc397585239"/>
      <w:bookmarkStart w:id="581" w:name="_Toc395711820"/>
      <w:r>
        <w:rPr>
          <w:rFonts w:hint="eastAsia" w:ascii="宋体" w:hAnsi="宋体" w:eastAsia="宋体" w:cs="宋体"/>
          <w:b/>
          <w:color w:val="000000" w:themeColor="text1"/>
          <w:sz w:val="24"/>
          <w:szCs w:val="24"/>
          <w14:textFill>
            <w14:solidFill>
              <w14:schemeClr w14:val="tx1"/>
            </w14:solidFill>
          </w14:textFill>
        </w:rPr>
        <w:t>2.1 初步评审标准</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2CDEBE15">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582" w:name="_Toc343511766"/>
      <w:r>
        <w:rPr>
          <w:rFonts w:hint="eastAsia" w:ascii="宋体" w:hAnsi="宋体" w:eastAsia="宋体" w:cs="宋体"/>
          <w:color w:val="000000" w:themeColor="text1"/>
          <w:sz w:val="24"/>
          <w:szCs w:val="24"/>
          <w14:textFill>
            <w14:solidFill>
              <w14:schemeClr w14:val="tx1"/>
            </w14:solidFill>
          </w14:textFill>
        </w:rPr>
        <w:t>2.1.1 形式评审标准：见评标办法前附表。</w:t>
      </w:r>
      <w:bookmarkEnd w:id="582"/>
    </w:p>
    <w:p w14:paraId="6FCFFBA1">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583" w:name="_Toc343511767"/>
      <w:r>
        <w:rPr>
          <w:rFonts w:hint="eastAsia" w:ascii="宋体" w:hAnsi="宋体" w:eastAsia="宋体" w:cs="宋体"/>
          <w:color w:val="000000" w:themeColor="text1"/>
          <w:sz w:val="24"/>
          <w:szCs w:val="24"/>
          <w14:textFill>
            <w14:solidFill>
              <w14:schemeClr w14:val="tx1"/>
            </w14:solidFill>
          </w14:textFill>
        </w:rPr>
        <w:t>2.1.2</w:t>
      </w:r>
      <w:bookmarkEnd w:id="583"/>
      <w:bookmarkStart w:id="584" w:name="_Toc343511768"/>
      <w:r>
        <w:rPr>
          <w:rFonts w:hint="eastAsia" w:ascii="宋体" w:hAnsi="宋体" w:eastAsia="宋体" w:cs="宋体"/>
          <w:color w:val="000000" w:themeColor="text1"/>
          <w:sz w:val="24"/>
          <w:szCs w:val="24"/>
          <w14:textFill>
            <w14:solidFill>
              <w14:schemeClr w14:val="tx1"/>
            </w14:solidFill>
          </w14:textFill>
        </w:rPr>
        <w:t>响应性评审标准：见评标办法前附表。</w:t>
      </w:r>
      <w:bookmarkEnd w:id="584"/>
    </w:p>
    <w:p w14:paraId="039CE430">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bookmarkStart w:id="585" w:name="_Toc152042380"/>
      <w:bookmarkStart w:id="586" w:name="_Toc490171554"/>
      <w:bookmarkStart w:id="587" w:name="_Toc490171395"/>
      <w:bookmarkStart w:id="588" w:name="_Toc397585240"/>
      <w:bookmarkStart w:id="589" w:name="_Toc246996989"/>
      <w:bookmarkStart w:id="590" w:name="_Toc394320902"/>
      <w:bookmarkStart w:id="591" w:name="_Toc343511769"/>
      <w:bookmarkStart w:id="592" w:name="_Toc397585171"/>
      <w:bookmarkStart w:id="593" w:name="_Toc397410473"/>
      <w:bookmarkStart w:id="594" w:name="_Toc152045603"/>
      <w:bookmarkStart w:id="595" w:name="_Toc397410660"/>
      <w:bookmarkStart w:id="596" w:name="_Toc361406433"/>
      <w:bookmarkStart w:id="597" w:name="_Toc361406354"/>
      <w:bookmarkStart w:id="598" w:name="_Toc179632621"/>
      <w:bookmarkStart w:id="599" w:name="_Toc456197089"/>
      <w:bookmarkStart w:id="600" w:name="_Toc144974570"/>
      <w:bookmarkStart w:id="601" w:name="_Toc247085761"/>
      <w:bookmarkStart w:id="602" w:name="_Toc395711821"/>
      <w:bookmarkStart w:id="603" w:name="_Toc246996246"/>
      <w:r>
        <w:rPr>
          <w:rFonts w:hint="eastAsia" w:ascii="宋体" w:hAnsi="宋体" w:eastAsia="宋体" w:cs="宋体"/>
          <w:b/>
          <w:color w:val="000000" w:themeColor="text1"/>
          <w:sz w:val="24"/>
          <w:szCs w:val="24"/>
          <w14:textFill>
            <w14:solidFill>
              <w14:schemeClr w14:val="tx1"/>
            </w14:solidFill>
          </w14:textFill>
        </w:rPr>
        <w:t>2.2 分值构成与评分标准</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48E5546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604" w:name="_Toc343511770"/>
      <w:r>
        <w:rPr>
          <w:rFonts w:hint="eastAsia" w:ascii="宋体" w:hAnsi="宋体" w:eastAsia="宋体" w:cs="宋体"/>
          <w:color w:val="000000" w:themeColor="text1"/>
          <w:sz w:val="24"/>
          <w:szCs w:val="24"/>
          <w14:textFill>
            <w14:solidFill>
              <w14:schemeClr w14:val="tx1"/>
            </w14:solidFill>
          </w14:textFill>
        </w:rPr>
        <w:t>2.2.1 分值构成</w:t>
      </w:r>
      <w:bookmarkEnd w:id="604"/>
      <w:r>
        <w:rPr>
          <w:rFonts w:hint="eastAsia" w:ascii="宋体" w:hAnsi="宋体" w:eastAsia="宋体" w:cs="宋体"/>
          <w:color w:val="000000" w:themeColor="text1"/>
          <w:sz w:val="24"/>
          <w:szCs w:val="24"/>
          <w14:textFill>
            <w14:solidFill>
              <w14:schemeClr w14:val="tx1"/>
            </w14:solidFill>
          </w14:textFill>
        </w:rPr>
        <w:t>：见评标办法前附表。</w:t>
      </w:r>
    </w:p>
    <w:p w14:paraId="74D667D9">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bookmarkStart w:id="605" w:name="_Toc397410474"/>
      <w:bookmarkStart w:id="606" w:name="_Toc247085762"/>
      <w:bookmarkStart w:id="607" w:name="_Toc343511776"/>
      <w:bookmarkStart w:id="608" w:name="_Toc361406434"/>
      <w:bookmarkStart w:id="609" w:name="_Toc397585172"/>
      <w:bookmarkStart w:id="610" w:name="_Toc246996247"/>
      <w:bookmarkStart w:id="611" w:name="_Toc395711822"/>
      <w:bookmarkStart w:id="612" w:name="_Toc361406355"/>
      <w:bookmarkStart w:id="613" w:name="_Toc152042381"/>
      <w:bookmarkStart w:id="614" w:name="_Toc394320903"/>
      <w:bookmarkStart w:id="615" w:name="_Toc490171555"/>
      <w:bookmarkStart w:id="616" w:name="_Toc246996990"/>
      <w:bookmarkStart w:id="617" w:name="_Toc397585241"/>
      <w:bookmarkStart w:id="618" w:name="_Toc144974571"/>
      <w:bookmarkStart w:id="619" w:name="_Toc179632622"/>
      <w:bookmarkStart w:id="620" w:name="_Toc490171396"/>
      <w:bookmarkStart w:id="621" w:name="_Toc397410661"/>
      <w:bookmarkStart w:id="622" w:name="_Toc152045604"/>
      <w:bookmarkStart w:id="623" w:name="_Toc456197090"/>
      <w:r>
        <w:rPr>
          <w:rFonts w:hint="eastAsia" w:ascii="宋体" w:hAnsi="宋体" w:eastAsia="宋体" w:cs="宋体"/>
          <w:b/>
          <w:color w:val="000000" w:themeColor="text1"/>
          <w:sz w:val="24"/>
          <w:szCs w:val="24"/>
          <w14:textFill>
            <w14:solidFill>
              <w14:schemeClr w14:val="tx1"/>
            </w14:solidFill>
          </w14:textFill>
        </w:rPr>
        <w:t>3. 评标程序</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5A3629E9">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bookmarkStart w:id="624" w:name="_Toc246996248"/>
      <w:bookmarkStart w:id="625" w:name="_Toc246996991"/>
      <w:bookmarkStart w:id="626" w:name="_Toc152042382"/>
      <w:bookmarkStart w:id="627" w:name="_Toc397585173"/>
      <w:bookmarkStart w:id="628" w:name="_Toc397410662"/>
      <w:bookmarkStart w:id="629" w:name="_Toc152045605"/>
      <w:bookmarkStart w:id="630" w:name="_Toc361406356"/>
      <w:bookmarkStart w:id="631" w:name="_Toc456197091"/>
      <w:bookmarkStart w:id="632" w:name="_Toc397585242"/>
      <w:bookmarkStart w:id="633" w:name="_Toc395711823"/>
      <w:bookmarkStart w:id="634" w:name="_Toc361406435"/>
      <w:bookmarkStart w:id="635" w:name="_Toc144974572"/>
      <w:bookmarkStart w:id="636" w:name="_Toc394320904"/>
      <w:bookmarkStart w:id="637" w:name="_Toc247085763"/>
      <w:bookmarkStart w:id="638" w:name="_Toc397410475"/>
      <w:bookmarkStart w:id="639" w:name="_Toc179632623"/>
      <w:bookmarkStart w:id="640" w:name="_Toc490171556"/>
      <w:bookmarkStart w:id="641" w:name="_Toc343511777"/>
      <w:bookmarkStart w:id="642" w:name="_Toc490171397"/>
      <w:r>
        <w:rPr>
          <w:rFonts w:hint="eastAsia" w:ascii="宋体" w:hAnsi="宋体" w:eastAsia="宋体" w:cs="宋体"/>
          <w:b/>
          <w:color w:val="000000" w:themeColor="text1"/>
          <w:sz w:val="24"/>
          <w:szCs w:val="24"/>
          <w14:textFill>
            <w14:solidFill>
              <w14:schemeClr w14:val="tx1"/>
            </w14:solidFill>
          </w14:textFill>
        </w:rPr>
        <w:t>3.1 初步评审</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71F4C539">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643" w:name="_Toc343511778"/>
      <w:r>
        <w:rPr>
          <w:rFonts w:hint="eastAsia" w:ascii="宋体" w:hAnsi="宋体" w:eastAsia="宋体" w:cs="宋体"/>
          <w:color w:val="000000" w:themeColor="text1"/>
          <w:sz w:val="24"/>
          <w:szCs w:val="24"/>
          <w14:textFill>
            <w14:solidFill>
              <w14:schemeClr w14:val="tx1"/>
            </w14:solidFill>
          </w14:textFill>
        </w:rPr>
        <w:t>3.1.1评标委员会依据本章第2.1款规定的标准对投标文件进行初步评审。有一项不符合评审标准的，评标委员会应当否决其投标。</w:t>
      </w:r>
      <w:bookmarkEnd w:id="643"/>
    </w:p>
    <w:p w14:paraId="4C95F27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644" w:name="_Toc343511779"/>
      <w:r>
        <w:rPr>
          <w:rFonts w:hint="eastAsia" w:ascii="宋体" w:hAnsi="宋体" w:eastAsia="宋体" w:cs="宋体"/>
          <w:color w:val="000000" w:themeColor="text1"/>
          <w:sz w:val="24"/>
          <w:szCs w:val="24"/>
          <w14:textFill>
            <w14:solidFill>
              <w14:schemeClr w14:val="tx1"/>
            </w14:solidFill>
          </w14:textFill>
        </w:rPr>
        <w:t>3.1.2 投标人有以下情形之一的，评标委员会应当否决其投标：</w:t>
      </w:r>
      <w:bookmarkEnd w:id="644"/>
    </w:p>
    <w:p w14:paraId="0ECF0D73">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645" w:name="_Toc343511780"/>
      <w:r>
        <w:rPr>
          <w:rFonts w:hint="eastAsia" w:ascii="宋体" w:hAnsi="宋体" w:eastAsia="宋体" w:cs="宋体"/>
          <w:color w:val="000000" w:themeColor="text1"/>
          <w:sz w:val="24"/>
          <w:szCs w:val="24"/>
          <w14:textFill>
            <w14:solidFill>
              <w14:schemeClr w14:val="tx1"/>
            </w14:solidFill>
          </w14:textFill>
        </w:rPr>
        <w:t>（1）第二章“投标人须知”第1.4.2项、第1.4.3项规定的任何一种情形的；</w:t>
      </w:r>
      <w:bookmarkEnd w:id="645"/>
    </w:p>
    <w:p w14:paraId="34CD6B88">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646" w:name="_Toc343511781"/>
      <w:r>
        <w:rPr>
          <w:rFonts w:hint="eastAsia" w:ascii="宋体" w:hAnsi="宋体" w:eastAsia="宋体" w:cs="宋体"/>
          <w:color w:val="000000" w:themeColor="text1"/>
          <w:sz w:val="24"/>
          <w:szCs w:val="24"/>
          <w14:textFill>
            <w14:solidFill>
              <w14:schemeClr w14:val="tx1"/>
            </w14:solidFill>
          </w14:textFill>
        </w:rPr>
        <w:t>（2）串通投标或弄虚作假或有其他违法行为的；</w:t>
      </w:r>
      <w:bookmarkEnd w:id="646"/>
    </w:p>
    <w:p w14:paraId="1675FEA3">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647" w:name="_Toc343511784"/>
      <w:r>
        <w:rPr>
          <w:rFonts w:hint="eastAsia" w:ascii="宋体" w:hAnsi="宋体" w:eastAsia="宋体" w:cs="宋体"/>
          <w:color w:val="000000" w:themeColor="text1"/>
          <w:sz w:val="24"/>
          <w:szCs w:val="24"/>
          <w14:textFill>
            <w14:solidFill>
              <w14:schemeClr w14:val="tx1"/>
            </w14:solidFill>
          </w14:textFill>
        </w:rPr>
        <w:t>（3）不按评标委员会要求澄清、说明或补正的。</w:t>
      </w:r>
      <w:bookmarkEnd w:id="647"/>
    </w:p>
    <w:p w14:paraId="224F5CE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3.1.3评标过程如需询标须有监管人员在场，询标不得改变投标文件的实质性内容，不得扣留和传播任何涉及投标人商业秘密的询标资料，询标结果以投标人确认的文字资料为准。</w:t>
      </w:r>
    </w:p>
    <w:p w14:paraId="2AFF5B40">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bookmarkStart w:id="648" w:name="_Toc144974573"/>
      <w:bookmarkStart w:id="649" w:name="_Toc152042384"/>
      <w:bookmarkStart w:id="650" w:name="_Toc397585243"/>
      <w:bookmarkStart w:id="651" w:name="_Toc395711824"/>
      <w:bookmarkStart w:id="652" w:name="_Toc152045606"/>
      <w:bookmarkStart w:id="653" w:name="_Toc397585174"/>
      <w:bookmarkStart w:id="654" w:name="_Toc179632624"/>
      <w:bookmarkStart w:id="655" w:name="_Toc361406436"/>
      <w:bookmarkStart w:id="656" w:name="_Toc394320905"/>
      <w:bookmarkStart w:id="657" w:name="_Toc456197092"/>
      <w:bookmarkStart w:id="658" w:name="_Toc246996249"/>
      <w:bookmarkStart w:id="659" w:name="_Toc397410476"/>
      <w:bookmarkStart w:id="660" w:name="_Toc361406357"/>
      <w:bookmarkStart w:id="661" w:name="_Toc343511788"/>
      <w:bookmarkStart w:id="662" w:name="_Toc397410663"/>
      <w:bookmarkStart w:id="663" w:name="_Toc246996992"/>
      <w:bookmarkStart w:id="664" w:name="_Toc490171557"/>
      <w:bookmarkStart w:id="665" w:name="_Toc247085764"/>
      <w:bookmarkStart w:id="666" w:name="_Toc490171398"/>
      <w:r>
        <w:rPr>
          <w:rFonts w:hint="eastAsia" w:ascii="宋体" w:hAnsi="宋体" w:eastAsia="宋体" w:cs="宋体"/>
          <w:b/>
          <w:color w:val="000000" w:themeColor="text1"/>
          <w:sz w:val="24"/>
          <w:szCs w:val="24"/>
          <w14:textFill>
            <w14:solidFill>
              <w14:schemeClr w14:val="tx1"/>
            </w14:solidFill>
          </w14:textFill>
        </w:rPr>
        <w:t>3.2 详细评审</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220268A1">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bookmarkStart w:id="667" w:name="_Toc343511789"/>
      <w:r>
        <w:rPr>
          <w:rFonts w:hint="eastAsia" w:ascii="宋体" w:hAnsi="宋体" w:eastAsia="宋体" w:cs="宋体"/>
          <w:b/>
          <w:color w:val="000000" w:themeColor="text1"/>
          <w:sz w:val="24"/>
          <w:szCs w:val="24"/>
          <w14:textFill>
            <w14:solidFill>
              <w14:schemeClr w14:val="tx1"/>
            </w14:solidFill>
          </w14:textFill>
        </w:rPr>
        <w:t>3.2.1评审内容及步骤</w:t>
      </w:r>
      <w:bookmarkEnd w:id="667"/>
    </w:p>
    <w:p w14:paraId="5875ABFC">
      <w:pPr>
        <w:pStyle w:val="12"/>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宋体" w:hAnsi="宋体" w:eastAsia="宋体" w:cs="宋体"/>
          <w:color w:val="000000" w:themeColor="text1"/>
          <w:sz w:val="24"/>
          <w:szCs w:val="24"/>
          <w14:textFill>
            <w14:solidFill>
              <w14:schemeClr w14:val="tx1"/>
            </w14:solidFill>
          </w14:textFill>
        </w:rPr>
      </w:pPr>
      <w:bookmarkStart w:id="668" w:name="_Toc343511790"/>
      <w:r>
        <w:rPr>
          <w:rFonts w:hint="eastAsia" w:ascii="宋体" w:hAnsi="宋体" w:eastAsia="宋体" w:cs="宋体"/>
          <w:color w:val="000000" w:themeColor="text1"/>
          <w:sz w:val="24"/>
          <w:szCs w:val="24"/>
          <w14:textFill>
            <w14:solidFill>
              <w14:schemeClr w14:val="tx1"/>
            </w14:solidFill>
          </w14:textFill>
        </w:rPr>
        <w:t>评标前</w:t>
      </w:r>
      <w:r>
        <w:rPr>
          <w:rFonts w:hint="eastAsia" w:cs="宋体"/>
          <w:color w:val="000000" w:themeColor="text1"/>
          <w:sz w:val="24"/>
          <w:szCs w:val="24"/>
          <w:lang w:val="en-US" w:eastAsia="zh-CN"/>
          <w14:textFill>
            <w14:solidFill>
              <w14:schemeClr w14:val="tx1"/>
            </w14:solidFill>
          </w14:textFill>
        </w:rPr>
        <w:t>采购人</w:t>
      </w:r>
      <w:r>
        <w:rPr>
          <w:rFonts w:hint="eastAsia" w:ascii="宋体" w:hAnsi="宋体" w:eastAsia="宋体" w:cs="宋体"/>
          <w:color w:val="000000" w:themeColor="text1"/>
          <w:sz w:val="24"/>
          <w:szCs w:val="24"/>
          <w14:textFill>
            <w14:solidFill>
              <w14:schemeClr w14:val="tx1"/>
            </w14:solidFill>
          </w14:textFill>
        </w:rPr>
        <w:t>需先对投标人投标文件中的资格证明文件进行资格</w:t>
      </w:r>
      <w:r>
        <w:rPr>
          <w:rFonts w:hint="eastAsia" w:cs="宋体"/>
          <w:color w:val="000000" w:themeColor="text1"/>
          <w:sz w:val="24"/>
          <w:szCs w:val="24"/>
          <w:lang w:val="en-US" w:eastAsia="zh-CN"/>
          <w14:textFill>
            <w14:solidFill>
              <w14:schemeClr w14:val="tx1"/>
            </w14:solidFill>
          </w14:textFill>
        </w:rPr>
        <w:t>性</w:t>
      </w:r>
      <w:r>
        <w:rPr>
          <w:rFonts w:hint="eastAsia" w:ascii="宋体" w:hAnsi="宋体" w:eastAsia="宋体" w:cs="宋体"/>
          <w:color w:val="000000" w:themeColor="text1"/>
          <w:sz w:val="24"/>
          <w:szCs w:val="24"/>
          <w14:textFill>
            <w14:solidFill>
              <w14:schemeClr w14:val="tx1"/>
            </w14:solidFill>
          </w14:textFill>
        </w:rPr>
        <w:t>审查，然后再对通过资格审查复核和符合性评审的投标人进行技术、商务部分的进行量化打分。</w:t>
      </w:r>
      <w:bookmarkEnd w:id="668"/>
    </w:p>
    <w:p w14:paraId="4D9614A7">
      <w:pPr>
        <w:keepNext w:val="0"/>
        <w:keepLines w:val="0"/>
        <w:pageBreakBefore w:val="0"/>
        <w:widowControl w:val="0"/>
        <w:kinsoku/>
        <w:wordWrap/>
        <w:overflowPunct/>
        <w:topLinePunct w:val="0"/>
        <w:autoSpaceDE/>
        <w:autoSpaceDN/>
        <w:bidi w:val="0"/>
        <w:adjustRightInd/>
        <w:snapToGrid/>
        <w:spacing w:line="60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bookmarkStart w:id="669" w:name="_Toc343511791"/>
      <w:r>
        <w:rPr>
          <w:rFonts w:hint="eastAsia" w:ascii="宋体" w:hAnsi="宋体" w:eastAsia="宋体" w:cs="宋体"/>
          <w:b/>
          <w:color w:val="000000" w:themeColor="text1"/>
          <w:sz w:val="24"/>
          <w:szCs w:val="24"/>
          <w14:textFill>
            <w14:solidFill>
              <w14:schemeClr w14:val="tx1"/>
            </w14:solidFill>
          </w14:textFill>
        </w:rPr>
        <w:t>3.2.2技术部分、商务部分的评审：</w:t>
      </w:r>
      <w:bookmarkEnd w:id="669"/>
    </w:p>
    <w:p w14:paraId="67763504">
      <w:pPr>
        <w:keepNext w:val="0"/>
        <w:keepLines w:val="0"/>
        <w:pageBreakBefore w:val="0"/>
        <w:widowControl w:val="0"/>
        <w:kinsoku/>
        <w:wordWrap/>
        <w:overflowPunct/>
        <w:topLinePunct w:val="0"/>
        <w:autoSpaceDE/>
        <w:autoSpaceDN/>
        <w:bidi w:val="0"/>
        <w:adjustRightInd/>
        <w:snapToGrid/>
        <w:spacing w:line="600" w:lineRule="exact"/>
        <w:ind w:firstLine="360" w:firstLineChars="150"/>
        <w:textAlignment w:val="auto"/>
        <w:rPr>
          <w:rFonts w:hint="eastAsia" w:ascii="宋体" w:hAnsi="宋体" w:eastAsia="宋体" w:cs="宋体"/>
          <w:color w:val="000000" w:themeColor="text1"/>
          <w:sz w:val="24"/>
          <w:szCs w:val="24"/>
          <w14:textFill>
            <w14:solidFill>
              <w14:schemeClr w14:val="tx1"/>
            </w14:solidFill>
          </w14:textFill>
        </w:rPr>
      </w:pPr>
      <w:bookmarkStart w:id="670" w:name="_Toc343511792"/>
      <w:r>
        <w:rPr>
          <w:rFonts w:hint="eastAsia" w:ascii="宋体" w:hAnsi="宋体" w:eastAsia="宋体" w:cs="宋体"/>
          <w:color w:val="000000" w:themeColor="text1"/>
          <w:sz w:val="24"/>
          <w:szCs w:val="24"/>
          <w14:textFill>
            <w14:solidFill>
              <w14:schemeClr w14:val="tx1"/>
            </w14:solidFill>
          </w14:textFill>
        </w:rPr>
        <w:t>评标委员会依据投标人提交的投标文件，对投标文件的技术部分和商务部分进行详细评审</w:t>
      </w:r>
      <w:bookmarkEnd w:id="670"/>
      <w:bookmarkStart w:id="671" w:name="_Toc343511793"/>
      <w:r>
        <w:rPr>
          <w:rFonts w:hint="eastAsia" w:ascii="宋体" w:hAnsi="宋体" w:eastAsia="宋体" w:cs="宋体"/>
          <w:color w:val="000000" w:themeColor="text1"/>
          <w:sz w:val="24"/>
          <w:szCs w:val="24"/>
          <w14:textFill>
            <w14:solidFill>
              <w14:schemeClr w14:val="tx1"/>
            </w14:solidFill>
          </w14:textFill>
        </w:rPr>
        <w:t>。与项目相关的一些要求任何一项有严重错误或漏项者，则视为不合格，不再参与评标，其他缺项漏项者得0分。</w:t>
      </w:r>
    </w:p>
    <w:p w14:paraId="6AFB5868">
      <w:pPr>
        <w:keepNext w:val="0"/>
        <w:keepLines w:val="0"/>
        <w:pageBreakBefore w:val="0"/>
        <w:widowControl w:val="0"/>
        <w:kinsoku/>
        <w:wordWrap/>
        <w:overflowPunct/>
        <w:topLinePunct w:val="0"/>
        <w:autoSpaceDE/>
        <w:autoSpaceDN/>
        <w:bidi w:val="0"/>
        <w:adjustRightInd/>
        <w:snapToGrid/>
        <w:spacing w:line="600" w:lineRule="exact"/>
        <w:ind w:firstLine="360" w:firstLineChars="15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评分细则如下：</w:t>
      </w:r>
    </w:p>
    <w:p w14:paraId="6AE5BA21">
      <w:pPr>
        <w:keepNext w:val="0"/>
        <w:keepLines w:val="0"/>
        <w:pageBreakBefore w:val="0"/>
        <w:widowControl w:val="0"/>
        <w:kinsoku/>
        <w:wordWrap/>
        <w:overflowPunct/>
        <w:topLinePunct w:val="0"/>
        <w:autoSpaceDE/>
        <w:autoSpaceDN/>
        <w:bidi w:val="0"/>
        <w:adjustRightInd/>
        <w:snapToGrid/>
        <w:spacing w:line="600" w:lineRule="exact"/>
        <w:ind w:firstLine="360" w:firstLineChars="15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评价和比较以投标文件为依据，从“投标价格”、“技术部分评审”、“商务部分评审”三个方面进行评审并按照百分制进行赋分。</w:t>
      </w:r>
    </w:p>
    <w:p w14:paraId="29D71B31">
      <w:pPr>
        <w:keepNext w:val="0"/>
        <w:keepLines w:val="0"/>
        <w:pageBreakBefore w:val="0"/>
        <w:widowControl w:val="0"/>
        <w:kinsoku/>
        <w:wordWrap/>
        <w:overflowPunct/>
        <w:topLinePunct w:val="0"/>
        <w:autoSpaceDE/>
        <w:autoSpaceDN/>
        <w:bidi w:val="0"/>
        <w:adjustRightInd/>
        <w:snapToGrid/>
        <w:spacing w:line="600" w:lineRule="exact"/>
        <w:ind w:firstLine="360" w:firstLineChars="150"/>
        <w:textAlignment w:val="auto"/>
        <w:rPr>
          <w:rFonts w:hint="eastAsia" w:ascii="宋体" w:hAnsi="宋体" w:eastAsia="宋体" w:cs="宋体"/>
          <w:color w:val="000000" w:themeColor="text1"/>
          <w:sz w:val="24"/>
          <w:szCs w:val="24"/>
          <w14:textFill>
            <w14:solidFill>
              <w14:schemeClr w14:val="tx1"/>
            </w14:solidFill>
          </w14:textFill>
        </w:rPr>
      </w:pPr>
    </w:p>
    <w:p w14:paraId="366CF7C2">
      <w:pPr>
        <w:keepNext w:val="0"/>
        <w:keepLines w:val="0"/>
        <w:pageBreakBefore w:val="0"/>
        <w:widowControl w:val="0"/>
        <w:kinsoku/>
        <w:wordWrap/>
        <w:overflowPunct/>
        <w:topLinePunct w:val="0"/>
        <w:autoSpaceDE/>
        <w:autoSpaceDN/>
        <w:bidi w:val="0"/>
        <w:adjustRightInd/>
        <w:snapToGrid/>
        <w:spacing w:line="600" w:lineRule="exact"/>
        <w:ind w:firstLine="360" w:firstLineChars="150"/>
        <w:textAlignment w:val="auto"/>
        <w:rPr>
          <w:rFonts w:hint="eastAsia" w:ascii="宋体" w:hAnsi="宋体" w:eastAsia="宋体" w:cs="宋体"/>
          <w:color w:val="000000" w:themeColor="text1"/>
          <w:sz w:val="24"/>
          <w:szCs w:val="24"/>
          <w14:textFill>
            <w14:solidFill>
              <w14:schemeClr w14:val="tx1"/>
            </w14:solidFill>
          </w14:textFill>
        </w:rPr>
      </w:pPr>
    </w:p>
    <w:p w14:paraId="75BDB16D">
      <w:pPr>
        <w:outlineLvl w:val="9"/>
        <w:rPr>
          <w:rFonts w:hint="eastAsia" w:ascii="宋体" w:hAnsi="宋体" w:eastAsia="宋体" w:cs="宋体"/>
          <w:color w:val="000000" w:themeColor="text1"/>
          <w:sz w:val="28"/>
          <w:szCs w:val="28"/>
          <w14:textFill>
            <w14:solidFill>
              <w14:schemeClr w14:val="tx1"/>
            </w14:solidFill>
          </w14:textFill>
        </w:rPr>
      </w:pPr>
    </w:p>
    <w:p w14:paraId="4017E982">
      <w:pPr>
        <w:rPr>
          <w:rFonts w:hint="eastAsia"/>
          <w:color w:val="000000" w:themeColor="text1"/>
          <w14:textFill>
            <w14:solidFill>
              <w14:schemeClr w14:val="tx1"/>
            </w14:solidFill>
          </w14:textFill>
        </w:rPr>
      </w:pPr>
    </w:p>
    <w:bookmarkEnd w:id="671"/>
    <w:tbl>
      <w:tblPr>
        <w:tblStyle w:val="35"/>
        <w:tblW w:w="0" w:type="auto"/>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657"/>
        <w:gridCol w:w="1687"/>
        <w:gridCol w:w="5722"/>
      </w:tblGrid>
      <w:tr w14:paraId="42B7873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81" w:hRule="atLeast"/>
          <w:jc w:val="center"/>
        </w:trPr>
        <w:tc>
          <w:tcPr>
            <w:tcW w:w="1657" w:type="dxa"/>
            <w:tcBorders>
              <w:bottom w:val="single" w:color="auto" w:sz="4" w:space="0"/>
              <w:right w:val="single" w:color="auto" w:sz="4" w:space="0"/>
            </w:tcBorders>
            <w:noWrap w:val="0"/>
            <w:vAlign w:val="center"/>
          </w:tcPr>
          <w:p w14:paraId="182EEC3E">
            <w:pPr>
              <w:spacing w:line="480" w:lineRule="auto"/>
              <w:ind w:firstLine="420"/>
              <w:jc w:val="both"/>
              <w:rPr>
                <w:rFonts w:hint="eastAsia" w:ascii="宋体" w:hAnsi="宋体" w:eastAsia="宋体" w:cs="宋体"/>
                <w:color w:val="000000" w:themeColor="text1"/>
                <w:sz w:val="24"/>
                <w:szCs w:val="24"/>
                <w14:textFill>
                  <w14:solidFill>
                    <w14:schemeClr w14:val="tx1"/>
                  </w14:solidFill>
                </w14:textFill>
              </w:rPr>
            </w:pPr>
            <w:bookmarkStart w:id="672" w:name="_Toc343511818"/>
            <w:r>
              <w:rPr>
                <w:rFonts w:hint="eastAsia" w:ascii="宋体" w:hAnsi="宋体" w:eastAsia="宋体" w:cs="宋体"/>
                <w:color w:val="000000" w:themeColor="text1"/>
                <w:sz w:val="24"/>
                <w:szCs w:val="24"/>
                <w14:textFill>
                  <w14:solidFill>
                    <w14:schemeClr w14:val="tx1"/>
                  </w14:solidFill>
                </w14:textFill>
              </w:rPr>
              <w:t>类别</w:t>
            </w:r>
          </w:p>
        </w:tc>
        <w:tc>
          <w:tcPr>
            <w:tcW w:w="1687" w:type="dxa"/>
            <w:tcBorders>
              <w:left w:val="nil"/>
              <w:bottom w:val="single" w:color="auto" w:sz="4" w:space="0"/>
              <w:right w:val="single" w:color="auto" w:sz="4" w:space="0"/>
            </w:tcBorders>
            <w:noWrap w:val="0"/>
            <w:vAlign w:val="center"/>
          </w:tcPr>
          <w:p w14:paraId="6F7DE5FA">
            <w:pPr>
              <w:spacing w:line="48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评审因素及分值</w:t>
            </w:r>
          </w:p>
        </w:tc>
        <w:tc>
          <w:tcPr>
            <w:tcW w:w="5722" w:type="dxa"/>
            <w:tcBorders>
              <w:left w:val="nil"/>
              <w:bottom w:val="single" w:color="auto" w:sz="4" w:space="0"/>
            </w:tcBorders>
            <w:noWrap w:val="0"/>
            <w:vAlign w:val="center"/>
          </w:tcPr>
          <w:p w14:paraId="29F025CC">
            <w:pPr>
              <w:spacing w:line="480" w:lineRule="auto"/>
              <w:ind w:firstLine="42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评分细则</w:t>
            </w:r>
          </w:p>
        </w:tc>
      </w:tr>
      <w:tr w14:paraId="5D28CC2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0" w:hRule="atLeast"/>
          <w:jc w:val="center"/>
        </w:trPr>
        <w:tc>
          <w:tcPr>
            <w:tcW w:w="1657" w:type="dxa"/>
            <w:vMerge w:val="restart"/>
            <w:tcBorders>
              <w:right w:val="single" w:color="auto" w:sz="4" w:space="0"/>
            </w:tcBorders>
            <w:noWrap w:val="0"/>
            <w:vAlign w:val="center"/>
          </w:tcPr>
          <w:p w14:paraId="7C1907AF">
            <w:pPr>
              <w:numPr>
                <w:ilvl w:val="0"/>
                <w:numId w:val="0"/>
              </w:numPr>
              <w:spacing w:line="480" w:lineRule="auto"/>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一、技术投标方案</w:t>
            </w:r>
          </w:p>
          <w:p w14:paraId="2B265DEF">
            <w:pPr>
              <w:numPr>
                <w:ilvl w:val="0"/>
                <w:numId w:val="0"/>
              </w:numPr>
              <w:spacing w:line="480" w:lineRule="auto"/>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（满分</w:t>
            </w:r>
            <w:r>
              <w:rPr>
                <w:rFonts w:hint="eastAsia" w:ascii="宋体" w:hAnsi="宋体" w:cs="宋体"/>
                <w:color w:val="000000" w:themeColor="text1"/>
                <w:sz w:val="24"/>
                <w:szCs w:val="24"/>
                <w:highlight w:val="none"/>
                <w:lang w:val="en-US" w:eastAsia="zh-CN"/>
                <w14:textFill>
                  <w14:solidFill>
                    <w14:schemeClr w14:val="tx1"/>
                  </w14:solidFill>
                </w14:textFill>
              </w:rPr>
              <w:t>53</w:t>
            </w:r>
            <w:r>
              <w:rPr>
                <w:rFonts w:hint="eastAsia" w:ascii="宋体" w:hAnsi="宋体" w:eastAsia="宋体" w:cs="宋体"/>
                <w:color w:val="000000" w:themeColor="text1"/>
                <w:sz w:val="24"/>
                <w:szCs w:val="24"/>
                <w14:textFill>
                  <w14:solidFill>
                    <w14:schemeClr w14:val="tx1"/>
                  </w14:solidFill>
                </w14:textFill>
              </w:rPr>
              <w:t>分）</w:t>
            </w:r>
          </w:p>
        </w:tc>
        <w:tc>
          <w:tcPr>
            <w:tcW w:w="1687" w:type="dxa"/>
            <w:tcBorders>
              <w:top w:val="single" w:color="auto" w:sz="4" w:space="0"/>
              <w:left w:val="nil"/>
              <w:bottom w:val="single" w:color="auto" w:sz="4" w:space="0"/>
              <w:right w:val="single" w:color="auto" w:sz="4" w:space="0"/>
            </w:tcBorders>
            <w:noWrap w:val="0"/>
            <w:vAlign w:val="center"/>
          </w:tcPr>
          <w:p w14:paraId="16A5CFDA">
            <w:pPr>
              <w:spacing w:line="480" w:lineRule="auto"/>
              <w:ind w:firstLine="240" w:firstLineChars="100"/>
              <w:jc w:val="center"/>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实施、供货方案</w:t>
            </w:r>
          </w:p>
          <w:p w14:paraId="43FC4193">
            <w:pPr>
              <w:spacing w:line="480" w:lineRule="auto"/>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（满分</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分）</w:t>
            </w:r>
          </w:p>
        </w:tc>
        <w:tc>
          <w:tcPr>
            <w:tcW w:w="5722" w:type="dxa"/>
            <w:tcBorders>
              <w:top w:val="single" w:color="auto" w:sz="4" w:space="0"/>
              <w:left w:val="nil"/>
              <w:bottom w:val="single" w:color="auto" w:sz="4" w:space="0"/>
            </w:tcBorders>
            <w:noWrap w:val="0"/>
            <w:vAlign w:val="center"/>
          </w:tcPr>
          <w:p w14:paraId="00F2F8A7">
            <w:pPr>
              <w:spacing w:line="480" w:lineRule="auto"/>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一、评审内容</w:t>
            </w:r>
          </w:p>
          <w:p w14:paraId="4011FBC4">
            <w:pPr>
              <w:spacing w:line="480" w:lineRule="auto"/>
              <w:ind w:firstLine="480" w:firstLineChars="200"/>
              <w:jc w:val="left"/>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根据本项目实际需求及特点，制定实施、供货方案，内容包含①产品运输及安全保障方案②实施流程及进度计划③安装、调试、验收方案等内容。</w:t>
            </w:r>
          </w:p>
          <w:p w14:paraId="2C5BD7F3">
            <w:pPr>
              <w:spacing w:line="480" w:lineRule="auto"/>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二、评审标准</w:t>
            </w:r>
          </w:p>
          <w:p w14:paraId="300123B3">
            <w:pPr>
              <w:spacing w:line="48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1.完整性：切合本项目实际情况，方案内容齐全，对招标文件中各项要求有详细描述及其他内容的补充；</w:t>
            </w:r>
          </w:p>
          <w:p w14:paraId="23D1F43C">
            <w:pPr>
              <w:spacing w:line="48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2.合理性：方案内容符合项目实际特点，合理、恰当；</w:t>
            </w:r>
          </w:p>
          <w:p w14:paraId="10EF5755">
            <w:pPr>
              <w:spacing w:line="48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3.针对性：切合本项目实际情况，根据招标文件要求提出针对本项目实际操作性强的措施方案。</w:t>
            </w:r>
          </w:p>
          <w:p w14:paraId="2C396CD6">
            <w:pPr>
              <w:spacing w:line="480" w:lineRule="auto"/>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三、赋分标准（满分</w:t>
            </w:r>
            <w:r>
              <w:rPr>
                <w:rFonts w:hint="eastAsia" w:ascii="宋体" w:hAnsi="宋体" w:cs="宋体"/>
                <w:b/>
                <w:bCs/>
                <w:color w:val="000000" w:themeColor="text1"/>
                <w:sz w:val="24"/>
                <w:szCs w:val="24"/>
                <w:highlight w:val="none"/>
                <w:lang w:val="en-US" w:eastAsia="zh-CN"/>
                <w14:textFill>
                  <w14:solidFill>
                    <w14:schemeClr w14:val="tx1"/>
                  </w14:solidFill>
                </w14:textFill>
              </w:rPr>
              <w:t>9</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分）</w:t>
            </w:r>
          </w:p>
          <w:p w14:paraId="1EA4C640">
            <w:pPr>
              <w:spacing w:line="48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①产品运输及安全保障方案：每完全满足一个评审标准得</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分，满分</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p w14:paraId="32300E34">
            <w:pPr>
              <w:spacing w:line="48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②实施流程及进度计划：每完全满足一个评审标准得</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分，满分</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p w14:paraId="66425FCD">
            <w:pPr>
              <w:spacing w:line="480" w:lineRule="auto"/>
              <w:ind w:firstLine="480" w:firstLineChars="200"/>
              <w:jc w:val="left"/>
              <w:rPr>
                <w:rFonts w:hint="eastAsia"/>
                <w:color w:val="000000" w:themeColor="text1"/>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③安装、调试、验收方案：每完全满足一个评审标准得</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分，满分</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tc>
      </w:tr>
      <w:tr w14:paraId="0C0F1B2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41" w:hRule="atLeast"/>
          <w:jc w:val="center"/>
        </w:trPr>
        <w:tc>
          <w:tcPr>
            <w:tcW w:w="1657" w:type="dxa"/>
            <w:vMerge w:val="continue"/>
            <w:tcBorders>
              <w:right w:val="single" w:color="auto" w:sz="4" w:space="0"/>
            </w:tcBorders>
            <w:noWrap w:val="0"/>
            <w:vAlign w:val="center"/>
          </w:tcPr>
          <w:p w14:paraId="0AD64F3D">
            <w:pPr>
              <w:spacing w:line="480" w:lineRule="auto"/>
              <w:ind w:firstLine="420"/>
              <w:jc w:val="center"/>
              <w:rPr>
                <w:rFonts w:hint="eastAsia" w:ascii="宋体" w:hAnsi="宋体" w:eastAsia="宋体" w:cs="宋体"/>
                <w:color w:val="000000" w:themeColor="text1"/>
                <w:sz w:val="24"/>
                <w:szCs w:val="24"/>
                <w14:textFill>
                  <w14:solidFill>
                    <w14:schemeClr w14:val="tx1"/>
                  </w14:solidFill>
                </w14:textFill>
              </w:rPr>
            </w:pPr>
          </w:p>
        </w:tc>
        <w:tc>
          <w:tcPr>
            <w:tcW w:w="1687" w:type="dxa"/>
            <w:tcBorders>
              <w:top w:val="single" w:color="auto" w:sz="4" w:space="0"/>
              <w:left w:val="nil"/>
              <w:bottom w:val="single" w:color="auto" w:sz="4" w:space="0"/>
              <w:right w:val="single" w:color="auto" w:sz="4" w:space="0"/>
            </w:tcBorders>
            <w:noWrap w:val="0"/>
            <w:vAlign w:val="center"/>
          </w:tcPr>
          <w:p w14:paraId="0B92190F">
            <w:pPr>
              <w:pStyle w:val="34"/>
              <w:keepNext w:val="0"/>
              <w:keepLines w:val="0"/>
              <w:pageBreakBefore w:val="0"/>
              <w:kinsoku/>
              <w:wordWrap/>
              <w:overflowPunct/>
              <w:topLinePunct w:val="0"/>
              <w:bidi w:val="0"/>
              <w:adjustRightInd/>
              <w:snapToGrid/>
              <w:spacing w:line="480" w:lineRule="auto"/>
              <w:ind w:left="0" w:leftChars="0" w:firstLine="0" w:firstLineChars="0"/>
              <w:jc w:val="center"/>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技术要求</w:t>
            </w:r>
          </w:p>
          <w:p w14:paraId="576E4D16">
            <w:pPr>
              <w:pStyle w:val="34"/>
              <w:keepNext w:val="0"/>
              <w:keepLines w:val="0"/>
              <w:pageBreakBefore w:val="0"/>
              <w:kinsoku/>
              <w:wordWrap/>
              <w:overflowPunct/>
              <w:topLinePunct w:val="0"/>
              <w:bidi w:val="0"/>
              <w:adjustRightInd/>
              <w:snapToGrid/>
              <w:spacing w:line="480" w:lineRule="auto"/>
              <w:ind w:left="0" w:leftChars="0"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（满分</w:t>
            </w:r>
            <w:r>
              <w:rPr>
                <w:rFonts w:hint="eastAsia" w:cs="宋体"/>
                <w:color w:val="000000" w:themeColor="text1"/>
                <w:kern w:val="2"/>
                <w:sz w:val="24"/>
                <w:szCs w:val="24"/>
                <w:highlight w:val="none"/>
                <w:lang w:val="en-US" w:eastAsia="zh-CN" w:bidi="ar-SA"/>
                <w14:textFill>
                  <w14:solidFill>
                    <w14:schemeClr w14:val="tx1"/>
                  </w14:solidFill>
                </w14:textFill>
              </w:rPr>
              <w:t>35</w:t>
            </w:r>
            <w:r>
              <w:rPr>
                <w:rFonts w:hint="eastAsia" w:ascii="宋体" w:hAnsi="宋体" w:eastAsia="宋体" w:cs="宋体"/>
                <w:color w:val="000000" w:themeColor="text1"/>
                <w:kern w:val="2"/>
                <w:sz w:val="24"/>
                <w:szCs w:val="24"/>
                <w:lang w:val="en-US" w:eastAsia="zh-CN" w:bidi="ar-SA"/>
                <w14:textFill>
                  <w14:solidFill>
                    <w14:schemeClr w14:val="tx1"/>
                  </w14:solidFill>
                </w14:textFill>
              </w:rPr>
              <w:t>分）</w:t>
            </w:r>
          </w:p>
        </w:tc>
        <w:tc>
          <w:tcPr>
            <w:tcW w:w="5722" w:type="dxa"/>
            <w:tcBorders>
              <w:top w:val="single" w:color="auto" w:sz="4" w:space="0"/>
              <w:left w:val="nil"/>
              <w:bottom w:val="single" w:color="auto" w:sz="4" w:space="0"/>
            </w:tcBorders>
            <w:noWrap w:val="0"/>
            <w:vAlign w:val="center"/>
          </w:tcPr>
          <w:p w14:paraId="4AF9FFBF">
            <w:pPr>
              <w:keepNext w:val="0"/>
              <w:keepLines w:val="0"/>
              <w:pageBreakBefore w:val="0"/>
              <w:numPr>
                <w:ilvl w:val="0"/>
                <w:numId w:val="0"/>
              </w:numPr>
              <w:kinsoku/>
              <w:wordWrap/>
              <w:overflowPunct/>
              <w:topLinePunct w:val="0"/>
              <w:bidi w:val="0"/>
              <w:adjustRightInd/>
              <w:snapToGrid/>
              <w:spacing w:line="480" w:lineRule="auto"/>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技术参数明确配置齐全、功能满足招标文件要求，</w:t>
            </w:r>
            <w:r>
              <w:rPr>
                <w:rFonts w:hint="eastAsia" w:ascii="宋体" w:hAnsi="宋体" w:eastAsia="宋体" w:cs="宋体"/>
                <w:color w:val="000000" w:themeColor="text1"/>
                <w:sz w:val="24"/>
                <w:szCs w:val="24"/>
                <w:lang w:val="en-US" w:eastAsia="zh-CN"/>
                <w14:textFill>
                  <w14:solidFill>
                    <w14:schemeClr w14:val="tx1"/>
                  </w14:solidFill>
                </w14:textFill>
              </w:rPr>
              <w:t>投标</w:t>
            </w:r>
            <w:r>
              <w:rPr>
                <w:rFonts w:hint="eastAsia" w:ascii="宋体" w:hAnsi="宋体" w:eastAsia="宋体" w:cs="宋体"/>
                <w:color w:val="000000" w:themeColor="text1"/>
                <w:sz w:val="24"/>
                <w:szCs w:val="24"/>
                <w14:textFill>
                  <w14:solidFill>
                    <w14:schemeClr w14:val="tx1"/>
                  </w14:solidFill>
                </w14:textFill>
              </w:rPr>
              <w:t>产品</w:t>
            </w:r>
            <w:r>
              <w:rPr>
                <w:rFonts w:hint="eastAsia" w:ascii="宋体" w:hAnsi="宋体" w:eastAsia="宋体" w:cs="宋体"/>
                <w:color w:val="000000" w:themeColor="text1"/>
                <w:sz w:val="24"/>
                <w:szCs w:val="24"/>
                <w:lang w:val="en-US" w:eastAsia="zh-CN"/>
                <w14:textFill>
                  <w14:solidFill>
                    <w14:schemeClr w14:val="tx1"/>
                  </w14:solidFill>
                </w14:textFill>
              </w:rPr>
              <w:t>技术参数清楚、详尽、明确</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产品选型、配置、符合使用要求，数量准确无缺漏项，</w:t>
            </w:r>
            <w:r>
              <w:rPr>
                <w:rFonts w:hint="eastAsia" w:ascii="宋体" w:hAnsi="宋体" w:eastAsia="宋体" w:cs="宋体"/>
                <w:color w:val="000000" w:themeColor="text1"/>
                <w:sz w:val="24"/>
                <w:szCs w:val="24"/>
                <w14:textFill>
                  <w14:solidFill>
                    <w14:schemeClr w14:val="tx1"/>
                  </w14:solidFill>
                </w14:textFill>
              </w:rPr>
              <w:t>★标</w:t>
            </w:r>
            <w:r>
              <w:rPr>
                <w:rFonts w:hint="eastAsia" w:ascii="宋体" w:hAnsi="宋体" w:eastAsia="宋体" w:cs="宋体"/>
                <w:color w:val="000000" w:themeColor="text1"/>
                <w:sz w:val="24"/>
                <w:szCs w:val="24"/>
                <w:lang w:eastAsia="zh-CN"/>
                <w14:textFill>
                  <w14:solidFill>
                    <w14:schemeClr w14:val="tx1"/>
                  </w14:solidFill>
                </w14:textFill>
              </w:rPr>
              <w:t>参数</w:t>
            </w:r>
            <w:r>
              <w:rPr>
                <w:rFonts w:hint="eastAsia" w:ascii="宋体" w:hAnsi="宋体" w:eastAsia="宋体" w:cs="宋体"/>
                <w:color w:val="000000" w:themeColor="text1"/>
                <w:sz w:val="24"/>
                <w:szCs w:val="24"/>
                <w14:textFill>
                  <w14:solidFill>
                    <w14:schemeClr w14:val="tx1"/>
                  </w14:solidFill>
                </w14:textFill>
              </w:rPr>
              <w:t>须提供相关证明材料（包括但不限于第三方检测报告、</w:t>
            </w:r>
            <w:r>
              <w:rPr>
                <w:rFonts w:hint="eastAsia" w:ascii="宋体" w:hAnsi="宋体" w:eastAsia="宋体" w:cs="宋体"/>
                <w:color w:val="000000" w:themeColor="text1"/>
                <w:sz w:val="24"/>
                <w:szCs w:val="24"/>
                <w:lang w:val="en-US" w:eastAsia="zh-CN"/>
                <w14:textFill>
                  <w14:solidFill>
                    <w14:schemeClr w14:val="tx1"/>
                  </w14:solidFill>
                </w14:textFill>
              </w:rPr>
              <w:t>产品</w:t>
            </w:r>
            <w:r>
              <w:rPr>
                <w:rFonts w:hint="eastAsia" w:ascii="宋体" w:hAnsi="宋体" w:eastAsia="宋体" w:cs="宋体"/>
                <w:color w:val="000000" w:themeColor="text1"/>
                <w:sz w:val="24"/>
                <w:szCs w:val="24"/>
                <w14:textFill>
                  <w14:solidFill>
                    <w14:schemeClr w14:val="tx1"/>
                  </w14:solidFill>
                </w14:textFill>
              </w:rPr>
              <w:t>彩页、</w:t>
            </w:r>
            <w:r>
              <w:rPr>
                <w:rFonts w:hint="eastAsia" w:ascii="宋体" w:hAnsi="宋体" w:eastAsia="宋体" w:cs="宋体"/>
                <w:color w:val="000000" w:themeColor="text1"/>
                <w:sz w:val="24"/>
                <w:szCs w:val="24"/>
                <w:lang w:val="en-US" w:eastAsia="zh-CN"/>
                <w14:textFill>
                  <w14:solidFill>
                    <w14:schemeClr w14:val="tx1"/>
                  </w14:solidFill>
                </w14:textFill>
              </w:rPr>
              <w:t>测试报告、</w:t>
            </w:r>
            <w:r>
              <w:rPr>
                <w:rFonts w:hint="eastAsia" w:ascii="宋体" w:hAnsi="宋体" w:eastAsia="宋体" w:cs="宋体"/>
                <w:color w:val="000000" w:themeColor="text1"/>
                <w:sz w:val="24"/>
                <w:szCs w:val="24"/>
                <w14:textFill>
                  <w14:solidFill>
                    <w14:schemeClr w14:val="tx1"/>
                  </w14:solidFill>
                </w14:textFill>
              </w:rPr>
              <w:t>官网功能截图等证明文件，未提供相关证明材料不得分）。其中：技术</w:t>
            </w:r>
            <w:r>
              <w:rPr>
                <w:rFonts w:hint="eastAsia" w:ascii="宋体" w:hAnsi="宋体" w:eastAsia="宋体" w:cs="宋体"/>
                <w:color w:val="000000" w:themeColor="text1"/>
                <w:sz w:val="24"/>
                <w:szCs w:val="24"/>
                <w:lang w:val="en-US" w:eastAsia="zh-CN"/>
                <w14:textFill>
                  <w14:solidFill>
                    <w14:schemeClr w14:val="tx1"/>
                  </w14:solidFill>
                </w14:textFill>
              </w:rPr>
              <w:t>指标</w:t>
            </w:r>
            <w:r>
              <w:rPr>
                <w:rFonts w:hint="eastAsia" w:ascii="宋体" w:hAnsi="宋体" w:eastAsia="宋体" w:cs="宋体"/>
                <w:color w:val="000000" w:themeColor="text1"/>
                <w:sz w:val="24"/>
                <w:szCs w:val="24"/>
                <w14:textFill>
                  <w14:solidFill>
                    <w14:schemeClr w14:val="tx1"/>
                  </w14:solidFill>
                </w14:textFill>
              </w:rPr>
              <w:t>响应全部满足得</w:t>
            </w:r>
            <w:r>
              <w:rPr>
                <w:rFonts w:hint="eastAsia" w:ascii="宋体" w:hAnsi="宋体" w:cs="宋体"/>
                <w:color w:val="000000" w:themeColor="text1"/>
                <w:sz w:val="24"/>
                <w:szCs w:val="24"/>
                <w:lang w:val="en-US" w:eastAsia="zh-CN"/>
                <w14:textFill>
                  <w14:solidFill>
                    <w14:schemeClr w14:val="tx1"/>
                  </w14:solidFill>
                </w14:textFill>
              </w:rPr>
              <w:t>35</w:t>
            </w:r>
            <w:r>
              <w:rPr>
                <w:rFonts w:hint="eastAsia" w:ascii="宋体" w:hAnsi="宋体" w:eastAsia="宋体" w:cs="宋体"/>
                <w:color w:val="000000" w:themeColor="text1"/>
                <w:sz w:val="24"/>
                <w:szCs w:val="24"/>
                <w14:textFill>
                  <w14:solidFill>
                    <w14:schemeClr w14:val="tx1"/>
                  </w14:solidFill>
                </w14:textFill>
              </w:rPr>
              <w:t>分，★标</w:t>
            </w:r>
            <w:r>
              <w:rPr>
                <w:rFonts w:hint="eastAsia" w:ascii="宋体" w:hAnsi="宋体" w:eastAsia="宋体" w:cs="宋体"/>
                <w:color w:val="000000" w:themeColor="text1"/>
                <w:sz w:val="24"/>
                <w:szCs w:val="24"/>
                <w:lang w:eastAsia="zh-CN"/>
                <w14:textFill>
                  <w14:solidFill>
                    <w14:schemeClr w14:val="tx1"/>
                  </w14:solidFill>
                </w14:textFill>
              </w:rPr>
              <w:t>参数满分</w:t>
            </w:r>
            <w:r>
              <w:rPr>
                <w:rFonts w:hint="eastAsia" w:ascii="宋体" w:hAnsi="宋体" w:cs="宋体"/>
                <w:color w:val="000000" w:themeColor="text1"/>
                <w:sz w:val="24"/>
                <w:szCs w:val="24"/>
                <w:lang w:val="en-US" w:eastAsia="zh-CN"/>
                <w14:textFill>
                  <w14:solidFill>
                    <w14:schemeClr w14:val="tx1"/>
                  </w14:solidFill>
                </w14:textFill>
              </w:rPr>
              <w:t>30</w:t>
            </w:r>
            <w:r>
              <w:rPr>
                <w:rFonts w:hint="eastAsia" w:ascii="宋体" w:hAnsi="宋体" w:eastAsia="宋体" w:cs="宋体"/>
                <w:color w:val="000000" w:themeColor="text1"/>
                <w:sz w:val="24"/>
                <w:szCs w:val="24"/>
                <w:lang w:val="en-US" w:eastAsia="zh-CN"/>
                <w14:textFill>
                  <w14:solidFill>
                    <w14:schemeClr w14:val="tx1"/>
                  </w14:solidFill>
                </w14:textFill>
              </w:rPr>
              <w:t>分，</w:t>
            </w:r>
            <w:r>
              <w:rPr>
                <w:rFonts w:hint="eastAsia" w:ascii="宋体" w:hAnsi="宋体" w:eastAsia="宋体" w:cs="宋体"/>
                <w:color w:val="000000" w:themeColor="text1"/>
                <w:sz w:val="24"/>
                <w:szCs w:val="24"/>
                <w14:textFill>
                  <w14:solidFill>
                    <w14:schemeClr w14:val="tx1"/>
                  </w14:solidFill>
                </w14:textFill>
              </w:rPr>
              <w:t>每出现一项负偏离扣</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分，扣完为止；</w:t>
            </w:r>
            <w:r>
              <w:rPr>
                <w:rFonts w:hint="eastAsia" w:ascii="宋体" w:hAnsi="宋体" w:eastAsia="宋体" w:cs="宋体"/>
                <w:color w:val="000000" w:themeColor="text1"/>
                <w:sz w:val="24"/>
                <w:szCs w:val="24"/>
                <w:lang w:eastAsia="zh-CN"/>
                <w14:textFill>
                  <w14:solidFill>
                    <w14:schemeClr w14:val="tx1"/>
                  </w14:solidFill>
                </w14:textFill>
              </w:rPr>
              <w:t>其他未标符号参数满分</w:t>
            </w: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分，</w:t>
            </w:r>
            <w:r>
              <w:rPr>
                <w:rFonts w:hint="eastAsia" w:ascii="宋体" w:hAnsi="宋体" w:eastAsia="宋体" w:cs="宋体"/>
                <w:color w:val="000000" w:themeColor="text1"/>
                <w:sz w:val="24"/>
                <w:szCs w:val="24"/>
                <w14:textFill>
                  <w14:solidFill>
                    <w14:schemeClr w14:val="tx1"/>
                  </w14:solidFill>
                </w14:textFill>
              </w:rPr>
              <w:t>每出现一项负偏离扣</w:t>
            </w:r>
            <w:r>
              <w:rPr>
                <w:rFonts w:hint="eastAsia" w:ascii="宋体" w:hAnsi="宋体" w:cs="宋体"/>
                <w:color w:val="000000" w:themeColor="text1"/>
                <w:sz w:val="24"/>
                <w:szCs w:val="24"/>
                <w:lang w:val="en-US" w:eastAsia="zh-CN"/>
                <w14:textFill>
                  <w14:solidFill>
                    <w14:schemeClr w14:val="tx1"/>
                  </w14:solidFill>
                </w14:textFill>
              </w:rPr>
              <w:t>0.1</w:t>
            </w:r>
            <w:r>
              <w:rPr>
                <w:rFonts w:hint="eastAsia" w:ascii="宋体" w:hAnsi="宋体" w:eastAsia="宋体" w:cs="宋体"/>
                <w:color w:val="000000" w:themeColor="text1"/>
                <w:sz w:val="24"/>
                <w:szCs w:val="24"/>
                <w14:textFill>
                  <w14:solidFill>
                    <w14:schemeClr w14:val="tx1"/>
                  </w14:solidFill>
                </w14:textFill>
              </w:rPr>
              <w:t>分，扣完为止</w:t>
            </w:r>
            <w:r>
              <w:rPr>
                <w:rFonts w:hint="eastAsia" w:ascii="宋体" w:hAnsi="宋体" w:eastAsia="宋体" w:cs="宋体"/>
                <w:color w:val="000000" w:themeColor="text1"/>
                <w:sz w:val="24"/>
                <w:szCs w:val="24"/>
                <w:lang w:eastAsia="zh-CN"/>
                <w14:textFill>
                  <w14:solidFill>
                    <w14:schemeClr w14:val="tx1"/>
                  </w14:solidFill>
                </w14:textFill>
              </w:rPr>
              <w:t>。</w:t>
            </w:r>
          </w:p>
          <w:p w14:paraId="5C1470E4">
            <w:pPr>
              <w:keepNext w:val="0"/>
              <w:keepLines w:val="0"/>
              <w:pageBreakBefore w:val="0"/>
              <w:numPr>
                <w:ilvl w:val="0"/>
                <w:numId w:val="0"/>
              </w:numPr>
              <w:kinsoku/>
              <w:wordWrap/>
              <w:overflowPunct/>
              <w:topLinePunct w:val="0"/>
              <w:bidi w:val="0"/>
              <w:adjustRightInd/>
              <w:snapToGrid/>
              <w:spacing w:line="480" w:lineRule="auto"/>
              <w:ind w:left="0" w:leftChars="0" w:firstLine="482" w:firstLineChars="200"/>
              <w:jc w:val="left"/>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应逐条对应技术参数进行应答，并按招标文件要求提供充足的佐证材料，予以证明参数的技术响应性； </w:t>
            </w:r>
          </w:p>
          <w:p w14:paraId="1AFE22B1">
            <w:pPr>
              <w:keepNext w:val="0"/>
              <w:keepLines w:val="0"/>
              <w:pageBreakBefore w:val="0"/>
              <w:numPr>
                <w:ilvl w:val="0"/>
                <w:numId w:val="0"/>
              </w:numPr>
              <w:kinsoku/>
              <w:wordWrap/>
              <w:overflowPunct/>
              <w:topLinePunct w:val="0"/>
              <w:bidi w:val="0"/>
              <w:adjustRightInd/>
              <w:snapToGrid/>
              <w:spacing w:line="480" w:lineRule="auto"/>
              <w:ind w:left="0" w:leftChars="0" w:firstLine="482" w:firstLineChars="200"/>
              <w:jc w:val="left"/>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标▲条款属于本项目实质性要求条款，应按招标文件要求提供充足的佐证材料，不得出现负偏离，如有不满足视为无效投标。 </w:t>
            </w:r>
          </w:p>
        </w:tc>
      </w:tr>
      <w:tr w14:paraId="2E3A104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41" w:hRule="atLeast"/>
          <w:jc w:val="center"/>
        </w:trPr>
        <w:tc>
          <w:tcPr>
            <w:tcW w:w="1657" w:type="dxa"/>
            <w:vMerge w:val="continue"/>
            <w:tcBorders>
              <w:right w:val="single" w:color="auto" w:sz="4" w:space="0"/>
            </w:tcBorders>
            <w:noWrap w:val="0"/>
            <w:vAlign w:val="center"/>
          </w:tcPr>
          <w:p w14:paraId="3BF29E11">
            <w:pPr>
              <w:spacing w:line="480" w:lineRule="auto"/>
              <w:ind w:firstLine="420"/>
              <w:jc w:val="center"/>
              <w:rPr>
                <w:rFonts w:hint="eastAsia" w:ascii="宋体" w:hAnsi="宋体" w:eastAsia="宋体" w:cs="宋体"/>
                <w:color w:val="000000" w:themeColor="text1"/>
                <w:sz w:val="24"/>
                <w:szCs w:val="24"/>
                <w14:textFill>
                  <w14:solidFill>
                    <w14:schemeClr w14:val="tx1"/>
                  </w14:solidFill>
                </w14:textFill>
              </w:rPr>
            </w:pPr>
          </w:p>
        </w:tc>
        <w:tc>
          <w:tcPr>
            <w:tcW w:w="1687" w:type="dxa"/>
            <w:tcBorders>
              <w:top w:val="single" w:color="auto" w:sz="4" w:space="0"/>
              <w:left w:val="nil"/>
              <w:bottom w:val="single" w:color="auto" w:sz="4" w:space="0"/>
              <w:right w:val="single" w:color="auto" w:sz="4" w:space="0"/>
            </w:tcBorders>
            <w:noWrap w:val="0"/>
            <w:vAlign w:val="center"/>
          </w:tcPr>
          <w:p w14:paraId="397BE9B5">
            <w:pPr>
              <w:keepNext w:val="0"/>
              <w:keepLines w:val="0"/>
              <w:pageBreakBefore w:val="0"/>
              <w:widowControl/>
              <w:kinsoku/>
              <w:wordWrap/>
              <w:overflowPunct/>
              <w:topLinePunct w:val="0"/>
              <w:autoSpaceDE/>
              <w:autoSpaceDN/>
              <w:bidi w:val="0"/>
              <w:adjustRightInd/>
              <w:snapToGrid/>
              <w:spacing w:line="480" w:lineRule="auto"/>
              <w:ind w:firstLine="0" w:firstLineChars="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质量保证方案</w:t>
            </w:r>
          </w:p>
          <w:p w14:paraId="130DC6E6">
            <w:pPr>
              <w:keepNext w:val="0"/>
              <w:keepLines w:val="0"/>
              <w:pageBreakBefore w:val="0"/>
              <w:widowControl/>
              <w:kinsoku/>
              <w:wordWrap/>
              <w:overflowPunct/>
              <w:topLinePunct w:val="0"/>
              <w:autoSpaceDE/>
              <w:autoSpaceDN/>
              <w:bidi w:val="0"/>
              <w:adjustRightInd/>
              <w:snapToGrid/>
              <w:spacing w:line="480" w:lineRule="auto"/>
              <w:ind w:firstLine="0" w:firstLineChars="0"/>
              <w:jc w:val="center"/>
              <w:textAlignment w:val="auto"/>
              <w:rPr>
                <w:rFonts w:hint="eastAsia" w:ascii="仿宋" w:hAnsi="仿宋" w:eastAsia="仿宋" w:cs="仿宋"/>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（满分</w:t>
            </w:r>
            <w:r>
              <w:rPr>
                <w:rFonts w:hint="eastAsia" w:ascii="宋体" w:hAnsi="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val="en-US" w:eastAsia="zh-CN"/>
                <w14:textFill>
                  <w14:solidFill>
                    <w14:schemeClr w14:val="tx1"/>
                  </w14:solidFill>
                </w14:textFill>
              </w:rPr>
              <w:t>分）</w:t>
            </w:r>
          </w:p>
        </w:tc>
        <w:tc>
          <w:tcPr>
            <w:tcW w:w="5722" w:type="dxa"/>
            <w:tcBorders>
              <w:top w:val="single" w:color="auto" w:sz="4" w:space="0"/>
              <w:left w:val="nil"/>
              <w:bottom w:val="single" w:color="auto" w:sz="4" w:space="0"/>
            </w:tcBorders>
            <w:noWrap w:val="0"/>
            <w:vAlign w:val="center"/>
          </w:tcPr>
          <w:p w14:paraId="7B3CDB21">
            <w:pPr>
              <w:keepNext w:val="0"/>
              <w:keepLines w:val="0"/>
              <w:pageBreakBefore w:val="0"/>
              <w:numPr>
                <w:ilvl w:val="0"/>
                <w:numId w:val="0"/>
              </w:numPr>
              <w:kinsoku/>
              <w:wordWrap/>
              <w:overflowPunct/>
              <w:topLinePunct w:val="0"/>
              <w:bidi w:val="0"/>
              <w:adjustRightInd/>
              <w:snapToGrid/>
              <w:spacing w:line="480" w:lineRule="auto"/>
              <w:ind w:firstLine="480" w:firstLineChars="20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color w:val="000000" w:themeColor="text1"/>
                <w:kern w:val="2"/>
                <w:sz w:val="24"/>
                <w:szCs w:val="24"/>
                <w:lang w:val="en-US" w:eastAsia="zh-CN" w:bidi="ar-SA"/>
                <w14:textFill>
                  <w14:solidFill>
                    <w14:schemeClr w14:val="tx1"/>
                  </w14:solidFill>
                </w14:textFill>
              </w:rPr>
              <w:t>投标人提供</w:t>
            </w:r>
            <w:r>
              <w:rPr>
                <w:rFonts w:hint="eastAsia" w:ascii="宋体" w:hAnsi="宋体" w:cs="宋体"/>
                <w:color w:val="000000" w:themeColor="text1"/>
                <w:kern w:val="2"/>
                <w:sz w:val="24"/>
                <w:szCs w:val="24"/>
                <w:lang w:val="en-US" w:eastAsia="zh-CN" w:bidi="ar-SA"/>
                <w14:textFill>
                  <w14:solidFill>
                    <w14:schemeClr w14:val="tx1"/>
                  </w14:solidFill>
                </w14:textFill>
              </w:rPr>
              <w:t>核心</w:t>
            </w: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产品的合法来源渠道证明文件，不提供不得分。以下资料提供任意一种： </w:t>
            </w:r>
          </w:p>
          <w:p w14:paraId="7D0479D7">
            <w:pPr>
              <w:keepNext w:val="0"/>
              <w:keepLines w:val="0"/>
              <w:pageBreakBefore w:val="0"/>
              <w:numPr>
                <w:ilvl w:val="0"/>
                <w:numId w:val="0"/>
              </w:numPr>
              <w:kinsoku/>
              <w:wordWrap/>
              <w:overflowPunct/>
              <w:topLinePunct w:val="0"/>
              <w:bidi w:val="0"/>
              <w:adjustRightInd/>
              <w:snapToGrid/>
              <w:spacing w:line="480" w:lineRule="auto"/>
              <w:ind w:firstLine="480" w:firstLineChars="20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如投标人为所投产品代理商</w:t>
            </w:r>
            <w:r>
              <w:rPr>
                <w:rFonts w:hint="eastAsia" w:ascii="宋体" w:hAnsi="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提供货物的合法来源渠道证明文件（例如：产品制造商授权、销售协议、代理协议等证明文件）及售后服务承诺函，每提供一个产品的合法来源渠道证明文件及售后服务承诺函得 </w:t>
            </w:r>
            <w:r>
              <w:rPr>
                <w:rFonts w:hint="eastAsia" w:ascii="宋体" w:hAnsi="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lang w:val="en-US" w:eastAsia="zh-CN"/>
                <w14:textFill>
                  <w14:solidFill>
                    <w14:schemeClr w14:val="tx1"/>
                  </w14:solidFill>
                </w14:textFill>
              </w:rPr>
              <w:t>分，满分</w:t>
            </w:r>
            <w:r>
              <w:rPr>
                <w:rFonts w:hint="eastAsia" w:ascii="宋体" w:hAnsi="宋体" w:cs="宋体"/>
                <w:b w:val="0"/>
                <w:bCs w:val="0"/>
                <w:color w:val="000000" w:themeColor="text1"/>
                <w:sz w:val="24"/>
                <w:szCs w:val="24"/>
                <w:lang w:val="en-US" w:eastAsia="zh-CN"/>
                <w14:textFill>
                  <w14:solidFill>
                    <w14:schemeClr w14:val="tx1"/>
                  </w14:solidFill>
                </w14:textFill>
              </w:rPr>
              <w:t>4</w:t>
            </w: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分。 </w:t>
            </w:r>
          </w:p>
          <w:p w14:paraId="72780057">
            <w:pPr>
              <w:keepNext w:val="0"/>
              <w:keepLines w:val="0"/>
              <w:pageBreakBefore w:val="0"/>
              <w:numPr>
                <w:ilvl w:val="0"/>
                <w:numId w:val="0"/>
              </w:numPr>
              <w:kinsoku/>
              <w:wordWrap/>
              <w:overflowPunct/>
              <w:topLinePunct w:val="0"/>
              <w:bidi w:val="0"/>
              <w:adjustRightInd/>
              <w:snapToGrid/>
              <w:spacing w:line="480" w:lineRule="auto"/>
              <w:ind w:firstLine="480" w:firstLineChars="20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如投标人为所投产品的制造商</w:t>
            </w:r>
            <w:r>
              <w:rPr>
                <w:rFonts w:hint="eastAsia" w:ascii="宋体" w:hAnsi="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需提供情况说明(说明某一项产品为制造商自己生产)，情况说明每涉及一项产品得</w:t>
            </w:r>
            <w:r>
              <w:rPr>
                <w:rFonts w:hint="eastAsia" w:ascii="宋体" w:hAnsi="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lang w:val="en-US" w:eastAsia="zh-CN"/>
                <w14:textFill>
                  <w14:solidFill>
                    <w14:schemeClr w14:val="tx1"/>
                  </w14:solidFill>
                </w14:textFill>
              </w:rPr>
              <w:t>分，满分</w:t>
            </w:r>
            <w:r>
              <w:rPr>
                <w:rFonts w:hint="eastAsia" w:ascii="宋体" w:hAnsi="宋体" w:cs="宋体"/>
                <w:b w:val="0"/>
                <w:bCs w:val="0"/>
                <w:color w:val="000000" w:themeColor="text1"/>
                <w:sz w:val="24"/>
                <w:szCs w:val="24"/>
                <w:lang w:val="en-US" w:eastAsia="zh-CN"/>
                <w14:textFill>
                  <w14:solidFill>
                    <w14:schemeClr w14:val="tx1"/>
                  </w14:solidFill>
                </w14:textFill>
              </w:rPr>
              <w:t>4</w:t>
            </w: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分。 </w:t>
            </w:r>
          </w:p>
          <w:p w14:paraId="4EF99713">
            <w:pPr>
              <w:keepNext w:val="0"/>
              <w:keepLines w:val="0"/>
              <w:pageBreakBefore w:val="0"/>
              <w:numPr>
                <w:ilvl w:val="0"/>
                <w:numId w:val="0"/>
              </w:numPr>
              <w:kinsoku/>
              <w:wordWrap/>
              <w:overflowPunct/>
              <w:topLinePunct w:val="0"/>
              <w:bidi w:val="0"/>
              <w:adjustRightInd/>
              <w:snapToGrid/>
              <w:spacing w:line="480" w:lineRule="auto"/>
              <w:ind w:firstLine="482" w:firstLineChars="200"/>
              <w:jc w:val="left"/>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备注：以加盖投标人公章的证明材料扫描件或复印件为计分依据</w:t>
            </w:r>
          </w:p>
          <w:p w14:paraId="5DB91F77">
            <w:pPr>
              <w:keepNext w:val="0"/>
              <w:keepLines w:val="0"/>
              <w:pageBreakBefore w:val="0"/>
              <w:numPr>
                <w:ilvl w:val="0"/>
                <w:numId w:val="0"/>
              </w:numPr>
              <w:kinsoku/>
              <w:wordWrap/>
              <w:overflowPunct/>
              <w:topLinePunct w:val="0"/>
              <w:bidi w:val="0"/>
              <w:adjustRightInd/>
              <w:snapToGrid/>
              <w:spacing w:line="480" w:lineRule="auto"/>
              <w:ind w:firstLine="480"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、根据项目实际需要，提供质量保证方案。</w:t>
            </w:r>
          </w:p>
          <w:p w14:paraId="1DB96556">
            <w:pPr>
              <w:keepNext w:val="0"/>
              <w:keepLines w:val="0"/>
              <w:pageBreakBefore w:val="0"/>
              <w:numPr>
                <w:ilvl w:val="0"/>
                <w:numId w:val="0"/>
              </w:numPr>
              <w:kinsoku/>
              <w:wordWrap/>
              <w:overflowPunct/>
              <w:topLinePunct w:val="0"/>
              <w:bidi w:val="0"/>
              <w:adjustRightInd/>
              <w:snapToGrid/>
              <w:spacing w:line="480" w:lineRule="auto"/>
              <w:jc w:val="left"/>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一、评审内容</w:t>
            </w:r>
          </w:p>
          <w:p w14:paraId="294F2564">
            <w:pPr>
              <w:keepNext w:val="0"/>
              <w:keepLines w:val="0"/>
              <w:pageBreakBefore w:val="0"/>
              <w:numPr>
                <w:ilvl w:val="0"/>
                <w:numId w:val="0"/>
              </w:numPr>
              <w:kinsoku/>
              <w:wordWrap/>
              <w:overflowPunct/>
              <w:topLinePunct w:val="0"/>
              <w:bidi w:val="0"/>
              <w:adjustRightInd/>
              <w:snapToGrid/>
              <w:spacing w:line="480" w:lineRule="auto"/>
              <w:ind w:firstLine="480"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方案内容包含①质量</w:t>
            </w:r>
            <w:r>
              <w:rPr>
                <w:rFonts w:hint="eastAsia" w:ascii="宋体" w:hAnsi="宋体" w:cs="宋体"/>
                <w:color w:val="000000" w:themeColor="text1"/>
                <w:sz w:val="24"/>
                <w:szCs w:val="24"/>
                <w:lang w:val="en-US" w:eastAsia="zh-CN"/>
                <w14:textFill>
                  <w14:solidFill>
                    <w14:schemeClr w14:val="tx1"/>
                  </w14:solidFill>
                </w14:textFill>
              </w:rPr>
              <w:t>管理</w:t>
            </w:r>
            <w:r>
              <w:rPr>
                <w:rFonts w:hint="eastAsia" w:ascii="宋体" w:hAnsi="宋体" w:eastAsia="宋体" w:cs="宋体"/>
                <w:color w:val="000000" w:themeColor="text1"/>
                <w:sz w:val="24"/>
                <w:szCs w:val="24"/>
                <w:lang w:val="en-US" w:eastAsia="zh-CN"/>
                <w14:textFill>
                  <w14:solidFill>
                    <w14:schemeClr w14:val="tx1"/>
                  </w14:solidFill>
                </w14:textFill>
              </w:rPr>
              <w:t>措施②质量保证方案（包括但不限于产品性能、使用寿命及效果）</w:t>
            </w:r>
            <w:r>
              <w:rPr>
                <w:rFonts w:hint="eastAsia" w:ascii="宋体" w:hAnsi="宋体" w:cs="宋体"/>
                <w:color w:val="000000" w:themeColor="text1"/>
                <w:sz w:val="24"/>
                <w:szCs w:val="24"/>
                <w:lang w:val="en-US" w:eastAsia="zh-CN"/>
                <w14:textFill>
                  <w14:solidFill>
                    <w14:schemeClr w14:val="tx1"/>
                  </w14:solidFill>
                </w14:textFill>
              </w:rPr>
              <w:t>。</w:t>
            </w:r>
          </w:p>
          <w:p w14:paraId="3A456010">
            <w:pPr>
              <w:keepNext w:val="0"/>
              <w:keepLines w:val="0"/>
              <w:pageBreakBefore w:val="0"/>
              <w:numPr>
                <w:ilvl w:val="0"/>
                <w:numId w:val="0"/>
              </w:numPr>
              <w:kinsoku/>
              <w:wordWrap/>
              <w:overflowPunct/>
              <w:topLinePunct w:val="0"/>
              <w:bidi w:val="0"/>
              <w:adjustRightInd/>
              <w:snapToGrid/>
              <w:spacing w:line="480" w:lineRule="auto"/>
              <w:jc w:val="left"/>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二、评审标准</w:t>
            </w:r>
          </w:p>
          <w:p w14:paraId="26AC816E">
            <w:pPr>
              <w:keepNext w:val="0"/>
              <w:keepLines w:val="0"/>
              <w:pageBreakBefore w:val="0"/>
              <w:numPr>
                <w:ilvl w:val="0"/>
                <w:numId w:val="0"/>
              </w:numPr>
              <w:kinsoku/>
              <w:wordWrap/>
              <w:overflowPunct/>
              <w:topLinePunct w:val="0"/>
              <w:bidi w:val="0"/>
              <w:adjustRightInd/>
              <w:snapToGrid/>
              <w:spacing w:line="480" w:lineRule="auto"/>
              <w:ind w:firstLine="480"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1.完整性：切合本项目实际情况，方案内容齐全，有详细描述及其他内容的补充；</w:t>
            </w:r>
          </w:p>
          <w:p w14:paraId="5CA5D94A">
            <w:pPr>
              <w:keepNext w:val="0"/>
              <w:keepLines w:val="0"/>
              <w:pageBreakBefore w:val="0"/>
              <w:numPr>
                <w:ilvl w:val="0"/>
                <w:numId w:val="0"/>
              </w:numPr>
              <w:kinsoku/>
              <w:wordWrap/>
              <w:overflowPunct/>
              <w:topLinePunct w:val="0"/>
              <w:bidi w:val="0"/>
              <w:adjustRightInd/>
              <w:snapToGrid/>
              <w:spacing w:line="480" w:lineRule="auto"/>
              <w:ind w:firstLine="480"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2.科学性：切合本项目实际情况，叙述清楚，符合客观实际情况；</w:t>
            </w:r>
          </w:p>
          <w:p w14:paraId="7966E8D4">
            <w:pPr>
              <w:spacing w:line="480" w:lineRule="auto"/>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三、赋分标准（满分</w:t>
            </w:r>
            <w:r>
              <w:rPr>
                <w:rFonts w:hint="eastAsia" w:ascii="宋体" w:hAnsi="宋体" w:cs="宋体"/>
                <w:b/>
                <w:bCs/>
                <w:color w:val="000000" w:themeColor="text1"/>
                <w:sz w:val="24"/>
                <w:szCs w:val="24"/>
                <w:lang w:val="en-US" w:eastAsia="zh-CN"/>
                <w14:textFill>
                  <w14:solidFill>
                    <w14:schemeClr w14:val="tx1"/>
                  </w14:solidFill>
                </w14:textFill>
              </w:rPr>
              <w:t>5</w:t>
            </w:r>
            <w:r>
              <w:rPr>
                <w:rFonts w:hint="eastAsia" w:ascii="宋体" w:hAnsi="宋体" w:eastAsia="宋体" w:cs="宋体"/>
                <w:b/>
                <w:bCs/>
                <w:color w:val="000000" w:themeColor="text1"/>
                <w:sz w:val="24"/>
                <w:szCs w:val="24"/>
                <w:lang w:val="en-US" w:eastAsia="zh-CN"/>
                <w14:textFill>
                  <w14:solidFill>
                    <w14:schemeClr w14:val="tx1"/>
                  </w14:solidFill>
                </w14:textFill>
              </w:rPr>
              <w:t>分）</w:t>
            </w:r>
          </w:p>
          <w:p w14:paraId="2993B7CF">
            <w:pPr>
              <w:spacing w:line="48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①质量</w:t>
            </w:r>
            <w:r>
              <w:rPr>
                <w:rFonts w:hint="eastAsia" w:ascii="宋体" w:hAnsi="宋体" w:cs="宋体"/>
                <w:color w:val="000000" w:themeColor="text1"/>
                <w:sz w:val="24"/>
                <w:szCs w:val="24"/>
                <w:lang w:val="en-US" w:eastAsia="zh-CN"/>
                <w14:textFill>
                  <w14:solidFill>
                    <w14:schemeClr w14:val="tx1"/>
                  </w14:solidFill>
                </w14:textFill>
              </w:rPr>
              <w:t>管理</w:t>
            </w:r>
            <w:r>
              <w:rPr>
                <w:rFonts w:hint="eastAsia" w:ascii="宋体" w:hAnsi="宋体" w:eastAsia="宋体" w:cs="宋体"/>
                <w:color w:val="000000" w:themeColor="text1"/>
                <w:sz w:val="24"/>
                <w:szCs w:val="24"/>
                <w:lang w:val="en-US" w:eastAsia="zh-CN"/>
                <w14:textFill>
                  <w14:solidFill>
                    <w14:schemeClr w14:val="tx1"/>
                  </w14:solidFill>
                </w14:textFill>
              </w:rPr>
              <w:t>措施：每完全满足一个评审标准得</w:t>
            </w:r>
            <w:r>
              <w:rPr>
                <w:rFonts w:hint="eastAsia" w:ascii="宋体" w:hAnsi="宋体" w:cs="宋体"/>
                <w:color w:val="000000" w:themeColor="text1"/>
                <w:sz w:val="24"/>
                <w:szCs w:val="24"/>
                <w:lang w:val="en-US" w:eastAsia="zh-CN"/>
                <w14:textFill>
                  <w14:solidFill>
                    <w14:schemeClr w14:val="tx1"/>
                  </w14:solidFill>
                </w14:textFill>
              </w:rPr>
              <w:t>1.25</w:t>
            </w:r>
            <w:r>
              <w:rPr>
                <w:rFonts w:hint="eastAsia" w:ascii="宋体" w:hAnsi="宋体" w:eastAsia="宋体" w:cs="宋体"/>
                <w:color w:val="000000" w:themeColor="text1"/>
                <w:sz w:val="24"/>
                <w:szCs w:val="24"/>
                <w:lang w:val="en-US" w:eastAsia="zh-CN"/>
                <w14:textFill>
                  <w14:solidFill>
                    <w14:schemeClr w14:val="tx1"/>
                  </w14:solidFill>
                </w14:textFill>
              </w:rPr>
              <w:t>分，满分</w:t>
            </w:r>
            <w:r>
              <w:rPr>
                <w:rFonts w:hint="eastAsia" w:ascii="宋体" w:hAnsi="宋体" w:cs="宋体"/>
                <w:color w:val="000000" w:themeColor="text1"/>
                <w:sz w:val="24"/>
                <w:szCs w:val="24"/>
                <w:lang w:val="en-US" w:eastAsia="zh-CN"/>
                <w14:textFill>
                  <w14:solidFill>
                    <w14:schemeClr w14:val="tx1"/>
                  </w14:solidFill>
                </w14:textFill>
              </w:rPr>
              <w:t>2.5</w:t>
            </w:r>
            <w:r>
              <w:rPr>
                <w:rFonts w:hint="eastAsia" w:ascii="宋体" w:hAnsi="宋体" w:eastAsia="宋体" w:cs="宋体"/>
                <w:color w:val="000000" w:themeColor="text1"/>
                <w:sz w:val="24"/>
                <w:szCs w:val="24"/>
                <w:lang w:val="en-US" w:eastAsia="zh-CN"/>
                <w14:textFill>
                  <w14:solidFill>
                    <w14:schemeClr w14:val="tx1"/>
                  </w14:solidFill>
                </w14:textFill>
              </w:rPr>
              <w:t>分；</w:t>
            </w:r>
          </w:p>
          <w:p w14:paraId="74283632">
            <w:pPr>
              <w:spacing w:line="480" w:lineRule="auto"/>
              <w:ind w:firstLine="480" w:firstLineChars="200"/>
              <w:jc w:val="left"/>
              <w:rPr>
                <w:rFonts w:hint="eastAsia" w:eastAsia="宋体" w:cs="Times New Roman"/>
                <w:color w:val="000000" w:themeColor="text1"/>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②质量保证方案：每完全满足一个评审标准得</w:t>
            </w:r>
            <w:r>
              <w:rPr>
                <w:rFonts w:hint="eastAsia" w:ascii="宋体" w:hAnsi="宋体" w:cs="宋体"/>
                <w:color w:val="000000" w:themeColor="text1"/>
                <w:sz w:val="24"/>
                <w:szCs w:val="24"/>
                <w:lang w:val="en-US" w:eastAsia="zh-CN"/>
                <w14:textFill>
                  <w14:solidFill>
                    <w14:schemeClr w14:val="tx1"/>
                  </w14:solidFill>
                </w14:textFill>
              </w:rPr>
              <w:t>1.25</w:t>
            </w:r>
            <w:r>
              <w:rPr>
                <w:rFonts w:hint="eastAsia" w:ascii="宋体" w:hAnsi="宋体" w:eastAsia="宋体" w:cs="宋体"/>
                <w:color w:val="000000" w:themeColor="text1"/>
                <w:sz w:val="24"/>
                <w:szCs w:val="24"/>
                <w:lang w:val="en-US" w:eastAsia="zh-CN"/>
                <w14:textFill>
                  <w14:solidFill>
                    <w14:schemeClr w14:val="tx1"/>
                  </w14:solidFill>
                </w14:textFill>
              </w:rPr>
              <w:t>分，满分</w:t>
            </w:r>
            <w:r>
              <w:rPr>
                <w:rFonts w:hint="eastAsia" w:ascii="宋体" w:hAnsi="宋体" w:cs="宋体"/>
                <w:color w:val="000000" w:themeColor="text1"/>
                <w:sz w:val="24"/>
                <w:szCs w:val="24"/>
                <w:lang w:val="en-US" w:eastAsia="zh-CN"/>
                <w14:textFill>
                  <w14:solidFill>
                    <w14:schemeClr w14:val="tx1"/>
                  </w14:solidFill>
                </w14:textFill>
              </w:rPr>
              <w:t>2.5</w:t>
            </w:r>
            <w:r>
              <w:rPr>
                <w:rFonts w:hint="eastAsia" w:ascii="宋体" w:hAnsi="宋体" w:eastAsia="宋体" w:cs="宋体"/>
                <w:color w:val="000000" w:themeColor="text1"/>
                <w:sz w:val="24"/>
                <w:szCs w:val="24"/>
                <w:lang w:val="en-US" w:eastAsia="zh-CN"/>
                <w14:textFill>
                  <w14:solidFill>
                    <w14:schemeClr w14:val="tx1"/>
                  </w14:solidFill>
                </w14:textFill>
              </w:rPr>
              <w:t>分；</w:t>
            </w:r>
          </w:p>
        </w:tc>
      </w:tr>
      <w:tr w14:paraId="63E7F7C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0" w:hRule="atLeast"/>
          <w:jc w:val="center"/>
        </w:trPr>
        <w:tc>
          <w:tcPr>
            <w:tcW w:w="1657" w:type="dxa"/>
            <w:vMerge w:val="restart"/>
            <w:tcBorders>
              <w:top w:val="single" w:color="auto" w:sz="4" w:space="0"/>
              <w:right w:val="single" w:color="auto" w:sz="4" w:space="0"/>
            </w:tcBorders>
            <w:noWrap w:val="0"/>
            <w:vAlign w:val="center"/>
          </w:tcPr>
          <w:p w14:paraId="4E60D2BA">
            <w:pPr>
              <w:numPr>
                <w:ilvl w:val="0"/>
                <w:numId w:val="5"/>
              </w:numPr>
              <w:spacing w:line="48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商务投标方案</w:t>
            </w:r>
          </w:p>
          <w:p w14:paraId="7063920C">
            <w:pPr>
              <w:numPr>
                <w:ilvl w:val="0"/>
                <w:numId w:val="0"/>
              </w:numPr>
              <w:spacing w:line="480" w:lineRule="auto"/>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（满分</w:t>
            </w:r>
            <w:r>
              <w:rPr>
                <w:rFonts w:hint="eastAsia" w:ascii="宋体" w:hAnsi="宋体" w:cs="宋体"/>
                <w:color w:val="000000" w:themeColor="text1"/>
                <w:sz w:val="24"/>
                <w:szCs w:val="24"/>
                <w:highlight w:val="none"/>
                <w:lang w:val="en-US" w:eastAsia="zh-CN"/>
                <w14:textFill>
                  <w14:solidFill>
                    <w14:schemeClr w14:val="tx1"/>
                  </w14:solidFill>
                </w14:textFill>
              </w:rPr>
              <w:t>17</w:t>
            </w:r>
            <w:r>
              <w:rPr>
                <w:rFonts w:hint="eastAsia" w:ascii="宋体" w:hAnsi="宋体" w:eastAsia="宋体" w:cs="宋体"/>
                <w:color w:val="000000" w:themeColor="text1"/>
                <w:sz w:val="24"/>
                <w:szCs w:val="24"/>
                <w14:textFill>
                  <w14:solidFill>
                    <w14:schemeClr w14:val="tx1"/>
                  </w14:solidFill>
                </w14:textFill>
              </w:rPr>
              <w:t>分）</w:t>
            </w:r>
          </w:p>
        </w:tc>
        <w:tc>
          <w:tcPr>
            <w:tcW w:w="1687" w:type="dxa"/>
            <w:tcBorders>
              <w:top w:val="single" w:color="auto" w:sz="4" w:space="0"/>
              <w:left w:val="nil"/>
              <w:bottom w:val="single" w:color="auto" w:sz="4" w:space="0"/>
              <w:right w:val="single" w:color="auto" w:sz="4" w:space="0"/>
            </w:tcBorders>
            <w:noWrap w:val="0"/>
            <w:vAlign w:val="center"/>
          </w:tcPr>
          <w:p w14:paraId="0996801B">
            <w:pPr>
              <w:spacing w:line="48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业绩证明</w:t>
            </w:r>
          </w:p>
          <w:p w14:paraId="6AB3393E">
            <w:pPr>
              <w:spacing w:line="480" w:lineRule="auto"/>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（满分</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分）</w:t>
            </w:r>
          </w:p>
        </w:tc>
        <w:tc>
          <w:tcPr>
            <w:tcW w:w="5722" w:type="dxa"/>
            <w:tcBorders>
              <w:top w:val="single" w:color="auto" w:sz="4" w:space="0"/>
              <w:left w:val="nil"/>
              <w:bottom w:val="single" w:color="auto" w:sz="4" w:space="0"/>
            </w:tcBorders>
            <w:noWrap w:val="0"/>
            <w:vAlign w:val="center"/>
          </w:tcPr>
          <w:p w14:paraId="5F0ABF2A">
            <w:pPr>
              <w:spacing w:line="480" w:lineRule="auto"/>
              <w:ind w:firstLine="42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投标人提供202</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年</w:t>
            </w:r>
            <w:r>
              <w:rPr>
                <w:rFonts w:hint="eastAsia" w:ascii="宋体" w:hAnsi="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lang w:val="en-US" w:eastAsia="zh-CN"/>
                <w14:textFill>
                  <w14:solidFill>
                    <w14:schemeClr w14:val="tx1"/>
                  </w14:solidFill>
                </w14:textFill>
              </w:rPr>
              <w:t>月1日及以后具有类似项目的业绩，投标文件中附有说明其业绩证明材料（以合同或中标通知书为准），每个业绩计</w:t>
            </w:r>
            <w:r>
              <w:rPr>
                <w:rFonts w:hint="eastAsia" w:ascii="宋体" w:hAnsi="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分，最高</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分。</w:t>
            </w:r>
          </w:p>
          <w:p w14:paraId="629EBB28">
            <w:pPr>
              <w:spacing w:line="480" w:lineRule="auto"/>
              <w:ind w:firstLine="42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上述业绩的合同或中标通知书复印件加盖单位公章附在投标文件中。</w:t>
            </w:r>
          </w:p>
        </w:tc>
      </w:tr>
      <w:tr w14:paraId="43A38D5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0" w:hRule="atLeast"/>
          <w:jc w:val="center"/>
        </w:trPr>
        <w:tc>
          <w:tcPr>
            <w:tcW w:w="1657" w:type="dxa"/>
            <w:vMerge w:val="continue"/>
            <w:tcBorders>
              <w:right w:val="single" w:color="auto" w:sz="4" w:space="0"/>
            </w:tcBorders>
            <w:noWrap w:val="0"/>
            <w:vAlign w:val="center"/>
          </w:tcPr>
          <w:p w14:paraId="3F667C04">
            <w:pPr>
              <w:numPr>
                <w:ilvl w:val="0"/>
                <w:numId w:val="0"/>
              </w:numPr>
              <w:spacing w:line="480" w:lineRule="auto"/>
              <w:jc w:val="both"/>
              <w:rPr>
                <w:rFonts w:hint="eastAsia" w:ascii="宋体" w:hAnsi="宋体" w:eastAsia="宋体" w:cs="宋体"/>
                <w:color w:val="000000" w:themeColor="text1"/>
                <w:sz w:val="24"/>
                <w:szCs w:val="24"/>
                <w14:textFill>
                  <w14:solidFill>
                    <w14:schemeClr w14:val="tx1"/>
                  </w14:solidFill>
                </w14:textFill>
              </w:rPr>
            </w:pPr>
          </w:p>
        </w:tc>
        <w:tc>
          <w:tcPr>
            <w:tcW w:w="1687" w:type="dxa"/>
            <w:tcBorders>
              <w:top w:val="single" w:color="auto" w:sz="4" w:space="0"/>
              <w:left w:val="nil"/>
              <w:bottom w:val="single" w:color="auto" w:sz="4" w:space="0"/>
              <w:right w:val="single" w:color="auto" w:sz="4" w:space="0"/>
            </w:tcBorders>
            <w:shd w:val="clear" w:color="auto" w:fill="auto"/>
            <w:noWrap w:val="0"/>
            <w:vAlign w:val="center"/>
          </w:tcPr>
          <w:p w14:paraId="6F3562A4">
            <w:pPr>
              <w:pStyle w:val="34"/>
              <w:spacing w:line="360" w:lineRule="auto"/>
              <w:ind w:firstLine="0" w:firstLineChars="0"/>
              <w:jc w:val="center"/>
              <w:rPr>
                <w:rFonts w:hint="eastAsia"/>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培训方案</w:t>
            </w:r>
          </w:p>
          <w:p w14:paraId="3D1C65DE">
            <w:pPr>
              <w:pStyle w:val="34"/>
              <w:spacing w:line="480" w:lineRule="auto"/>
              <w:ind w:firstLine="0" w:firstLineChars="0"/>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color w:val="000000" w:themeColor="text1"/>
                <w:spacing w:val="-9"/>
                <w:sz w:val="24"/>
                <w:szCs w:val="24"/>
                <w14:textFill>
                  <w14:solidFill>
                    <w14:schemeClr w14:val="tx1"/>
                  </w14:solidFill>
                </w14:textFill>
              </w:rPr>
              <w:t>（</w:t>
            </w:r>
            <w:r>
              <w:rPr>
                <w:rFonts w:hint="eastAsia" w:cs="宋体"/>
                <w:color w:val="000000" w:themeColor="text1"/>
                <w:sz w:val="24"/>
                <w:szCs w:val="24"/>
                <w14:textFill>
                  <w14:solidFill>
                    <w14:schemeClr w14:val="tx1"/>
                  </w14:solidFill>
                </w14:textFill>
              </w:rPr>
              <w:t>满分</w:t>
            </w:r>
            <w:r>
              <w:rPr>
                <w:rFonts w:hint="eastAsia" w:cs="宋体"/>
                <w:color w:val="000000" w:themeColor="text1"/>
                <w:sz w:val="24"/>
                <w:szCs w:val="24"/>
                <w:lang w:val="en-US" w:eastAsia="zh-CN"/>
                <w14:textFill>
                  <w14:solidFill>
                    <w14:schemeClr w14:val="tx1"/>
                  </w14:solidFill>
                </w14:textFill>
              </w:rPr>
              <w:t>9</w:t>
            </w:r>
            <w:r>
              <w:rPr>
                <w:rFonts w:hint="eastAsia" w:cs="宋体"/>
                <w:color w:val="000000" w:themeColor="text1"/>
                <w:sz w:val="24"/>
                <w:szCs w:val="24"/>
                <w14:textFill>
                  <w14:solidFill>
                    <w14:schemeClr w14:val="tx1"/>
                  </w14:solidFill>
                </w14:textFill>
              </w:rPr>
              <w:t>分</w:t>
            </w:r>
            <w:r>
              <w:rPr>
                <w:color w:val="000000" w:themeColor="text1"/>
                <w:spacing w:val="-9"/>
                <w:sz w:val="24"/>
                <w:szCs w:val="24"/>
                <w14:textFill>
                  <w14:solidFill>
                    <w14:schemeClr w14:val="tx1"/>
                  </w14:solidFill>
                </w14:textFill>
              </w:rPr>
              <w:t>）</w:t>
            </w:r>
          </w:p>
        </w:tc>
        <w:tc>
          <w:tcPr>
            <w:tcW w:w="5722" w:type="dxa"/>
            <w:tcBorders>
              <w:top w:val="single" w:color="auto" w:sz="4" w:space="0"/>
              <w:left w:val="nil"/>
              <w:bottom w:val="single" w:color="auto" w:sz="4" w:space="0"/>
            </w:tcBorders>
            <w:shd w:val="clear" w:color="auto" w:fill="auto"/>
            <w:noWrap w:val="0"/>
            <w:vAlign w:val="center"/>
          </w:tcPr>
          <w:p w14:paraId="37CE0F49">
            <w:pPr>
              <w:spacing w:line="480" w:lineRule="auto"/>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一、</w:t>
            </w:r>
            <w:r>
              <w:rPr>
                <w:rFonts w:hint="eastAsia" w:ascii="宋体" w:hAnsi="宋体" w:eastAsia="宋体" w:cs="宋体"/>
                <w:b/>
                <w:bCs/>
                <w:color w:val="000000" w:themeColor="text1"/>
                <w:sz w:val="24"/>
                <w:szCs w:val="24"/>
                <w:lang w:val="en-US" w:eastAsia="zh-CN"/>
                <w14:textFill>
                  <w14:solidFill>
                    <w14:schemeClr w14:val="tx1"/>
                  </w14:solidFill>
                </w14:textFill>
              </w:rPr>
              <w:t>评审内容：</w:t>
            </w:r>
          </w:p>
          <w:p w14:paraId="213668A8">
            <w:pPr>
              <w:spacing w:line="480" w:lineRule="auto"/>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cs="宋体"/>
                <w:b w:val="0"/>
                <w:bCs w:val="0"/>
                <w:color w:val="000000" w:themeColor="text1"/>
                <w:sz w:val="24"/>
                <w:szCs w:val="24"/>
                <w:lang w:val="en-US" w:eastAsia="zh-CN"/>
                <w14:textFill>
                  <w14:solidFill>
                    <w14:schemeClr w14:val="tx1"/>
                  </w14:solidFill>
                </w14:textFill>
              </w:rPr>
              <w:t>投</w:t>
            </w:r>
            <w:r>
              <w:rPr>
                <w:rFonts w:hint="eastAsia" w:ascii="宋体" w:hAnsi="宋体" w:eastAsia="宋体" w:cs="宋体"/>
                <w:b w:val="0"/>
                <w:bCs w:val="0"/>
                <w:color w:val="000000" w:themeColor="text1"/>
                <w:sz w:val="24"/>
                <w:szCs w:val="24"/>
                <w:lang w:val="en-US" w:eastAsia="zh-CN"/>
                <w14:textFill>
                  <w14:solidFill>
                    <w14:schemeClr w14:val="tx1"/>
                  </w14:solidFill>
                </w14:textFill>
              </w:rPr>
              <w:t>标人针对本项目制定培训方案，包含：①培训内容②培训计划③培训方式及人员。</w:t>
            </w:r>
          </w:p>
          <w:p w14:paraId="6B00FBCB">
            <w:pPr>
              <w:spacing w:line="480" w:lineRule="auto"/>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二、</w:t>
            </w:r>
            <w:r>
              <w:rPr>
                <w:rFonts w:hint="eastAsia" w:ascii="宋体" w:hAnsi="宋体" w:eastAsia="宋体" w:cs="宋体"/>
                <w:b/>
                <w:bCs/>
                <w:color w:val="000000" w:themeColor="text1"/>
                <w:sz w:val="24"/>
                <w:szCs w:val="24"/>
                <w:lang w:val="en-US" w:eastAsia="zh-CN"/>
                <w14:textFill>
                  <w14:solidFill>
                    <w14:schemeClr w14:val="tx1"/>
                  </w14:solidFill>
                </w14:textFill>
              </w:rPr>
              <w:t>评审标准：</w:t>
            </w:r>
          </w:p>
          <w:p w14:paraId="446BC266">
            <w:pPr>
              <w:spacing w:line="480" w:lineRule="auto"/>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1.完整性：方案须全面，思路清晰、分析透彻，内容完整、方案 科学、合理；</w:t>
            </w:r>
          </w:p>
          <w:p w14:paraId="3B8F0F9A">
            <w:pPr>
              <w:spacing w:line="480" w:lineRule="auto"/>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2.可实施性：切合本项目实际情况，步骤明确、可操作性强；</w:t>
            </w:r>
          </w:p>
          <w:p w14:paraId="6F0B41D3">
            <w:pPr>
              <w:spacing w:line="480" w:lineRule="auto"/>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3.针对性：方案能够紧扣项目实际情况，专业性强、内容科学、合理。</w:t>
            </w:r>
          </w:p>
          <w:p w14:paraId="61A5B687">
            <w:pPr>
              <w:spacing w:line="480" w:lineRule="auto"/>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三、</w:t>
            </w:r>
            <w:r>
              <w:rPr>
                <w:rFonts w:hint="eastAsia" w:ascii="宋体" w:hAnsi="宋体" w:eastAsia="宋体" w:cs="宋体"/>
                <w:b/>
                <w:bCs/>
                <w:color w:val="000000" w:themeColor="text1"/>
                <w:sz w:val="24"/>
                <w:szCs w:val="24"/>
                <w:lang w:val="en-US" w:eastAsia="zh-CN"/>
                <w14:textFill>
                  <w14:solidFill>
                    <w14:schemeClr w14:val="tx1"/>
                  </w14:solidFill>
                </w14:textFill>
              </w:rPr>
              <w:t>赋分标准（</w:t>
            </w:r>
            <w:r>
              <w:rPr>
                <w:rFonts w:hint="eastAsia" w:ascii="宋体" w:hAnsi="宋体" w:cs="宋体"/>
                <w:b/>
                <w:bCs/>
                <w:color w:val="000000" w:themeColor="text1"/>
                <w:sz w:val="24"/>
                <w:szCs w:val="24"/>
                <w:lang w:val="en-US" w:eastAsia="zh-CN"/>
                <w14:textFill>
                  <w14:solidFill>
                    <w14:schemeClr w14:val="tx1"/>
                  </w14:solidFill>
                </w14:textFill>
              </w:rPr>
              <w:t>满分9</w:t>
            </w:r>
            <w:r>
              <w:rPr>
                <w:rFonts w:hint="eastAsia" w:ascii="宋体" w:hAnsi="宋体" w:eastAsia="宋体" w:cs="宋体"/>
                <w:b/>
                <w:bCs/>
                <w:color w:val="000000" w:themeColor="text1"/>
                <w:sz w:val="24"/>
                <w:szCs w:val="24"/>
                <w:lang w:val="en-US" w:eastAsia="zh-CN"/>
                <w14:textFill>
                  <w14:solidFill>
                    <w14:schemeClr w14:val="tx1"/>
                  </w14:solidFill>
                </w14:textFill>
              </w:rPr>
              <w:t>分）：</w:t>
            </w:r>
          </w:p>
          <w:p w14:paraId="7435CFD4">
            <w:pPr>
              <w:spacing w:line="480" w:lineRule="auto"/>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①培训内容：每完全满足一个评审标准得</w:t>
            </w:r>
            <w:r>
              <w:rPr>
                <w:rFonts w:hint="eastAsia" w:ascii="宋体" w:hAnsi="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val="en-US" w:eastAsia="zh-CN"/>
                <w14:textFill>
                  <w14:solidFill>
                    <w14:schemeClr w14:val="tx1"/>
                  </w14:solidFill>
                </w14:textFill>
              </w:rPr>
              <w:t>分，满分</w:t>
            </w:r>
            <w:r>
              <w:rPr>
                <w:rFonts w:hint="eastAsia" w:ascii="宋体" w:hAnsi="宋体" w:cs="宋体"/>
                <w:b w:val="0"/>
                <w:bCs w:val="0"/>
                <w:color w:val="000000" w:themeColor="text1"/>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z w:val="24"/>
                <w:szCs w:val="24"/>
                <w:lang w:val="en-US" w:eastAsia="zh-CN"/>
                <w14:textFill>
                  <w14:solidFill>
                    <w14:schemeClr w14:val="tx1"/>
                  </w14:solidFill>
                </w14:textFill>
              </w:rPr>
              <w:t>分；</w:t>
            </w:r>
          </w:p>
          <w:p w14:paraId="7F2B8A1A">
            <w:pPr>
              <w:spacing w:line="480" w:lineRule="auto"/>
              <w:ind w:firstLine="480" w:firstLineChars="200"/>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②培训计划：每完全满足一个评审标准得</w:t>
            </w:r>
            <w:r>
              <w:rPr>
                <w:rFonts w:hint="eastAsia" w:ascii="宋体" w:hAnsi="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val="en-US" w:eastAsia="zh-CN"/>
                <w14:textFill>
                  <w14:solidFill>
                    <w14:schemeClr w14:val="tx1"/>
                  </w14:solidFill>
                </w14:textFill>
              </w:rPr>
              <w:t>分，满分</w:t>
            </w:r>
            <w:r>
              <w:rPr>
                <w:rFonts w:hint="eastAsia" w:ascii="宋体" w:hAnsi="宋体" w:cs="宋体"/>
                <w:b w:val="0"/>
                <w:bCs w:val="0"/>
                <w:color w:val="000000" w:themeColor="text1"/>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z w:val="24"/>
                <w:szCs w:val="24"/>
                <w:lang w:val="en-US" w:eastAsia="zh-CN"/>
                <w14:textFill>
                  <w14:solidFill>
                    <w14:schemeClr w14:val="tx1"/>
                  </w14:solidFill>
                </w14:textFill>
              </w:rPr>
              <w:t>分；</w:t>
            </w:r>
          </w:p>
          <w:p w14:paraId="26BB0C40">
            <w:pPr>
              <w:spacing w:line="480" w:lineRule="auto"/>
              <w:ind w:firstLine="480" w:firstLineChars="200"/>
              <w:jc w:val="left"/>
              <w:rPr>
                <w:rFonts w:hint="eastAsia" w:ascii="宋体" w:hAnsi="宋体" w:eastAsia="宋体" w:cs="宋体"/>
                <w:color w:val="000000" w:themeColor="text1"/>
                <w:kern w:val="2"/>
                <w:sz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③培训方式及人员：每完全满足一个评审标准得</w:t>
            </w:r>
            <w:r>
              <w:rPr>
                <w:rFonts w:hint="eastAsia" w:ascii="宋体" w:hAnsi="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val="en-US" w:eastAsia="zh-CN"/>
                <w14:textFill>
                  <w14:solidFill>
                    <w14:schemeClr w14:val="tx1"/>
                  </w14:solidFill>
                </w14:textFill>
              </w:rPr>
              <w:t>分，满分</w:t>
            </w:r>
            <w:r>
              <w:rPr>
                <w:rFonts w:hint="eastAsia" w:ascii="宋体" w:hAnsi="宋体" w:cs="宋体"/>
                <w:b w:val="0"/>
                <w:bCs w:val="0"/>
                <w:color w:val="000000" w:themeColor="text1"/>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z w:val="24"/>
                <w:szCs w:val="24"/>
                <w:lang w:val="en-US" w:eastAsia="zh-CN"/>
                <w14:textFill>
                  <w14:solidFill>
                    <w14:schemeClr w14:val="tx1"/>
                  </w14:solidFill>
                </w14:textFill>
              </w:rPr>
              <w:t>分。</w:t>
            </w:r>
          </w:p>
        </w:tc>
      </w:tr>
      <w:tr w14:paraId="6D14445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24" w:hRule="atLeast"/>
          <w:jc w:val="center"/>
        </w:trPr>
        <w:tc>
          <w:tcPr>
            <w:tcW w:w="1657" w:type="dxa"/>
            <w:vMerge w:val="continue"/>
            <w:tcBorders>
              <w:right w:val="single" w:color="auto" w:sz="4" w:space="0"/>
            </w:tcBorders>
            <w:noWrap w:val="0"/>
            <w:vAlign w:val="center"/>
          </w:tcPr>
          <w:p w14:paraId="4682F8EA">
            <w:pPr>
              <w:spacing w:line="480" w:lineRule="auto"/>
              <w:ind w:firstLine="420"/>
              <w:jc w:val="center"/>
              <w:rPr>
                <w:rFonts w:hint="eastAsia" w:ascii="宋体" w:hAnsi="宋体" w:eastAsia="宋体" w:cs="宋体"/>
                <w:color w:val="000000" w:themeColor="text1"/>
                <w:sz w:val="24"/>
                <w:szCs w:val="24"/>
                <w14:textFill>
                  <w14:solidFill>
                    <w14:schemeClr w14:val="tx1"/>
                  </w14:solidFill>
                </w14:textFill>
              </w:rPr>
            </w:pPr>
          </w:p>
        </w:tc>
        <w:tc>
          <w:tcPr>
            <w:tcW w:w="1687" w:type="dxa"/>
            <w:tcBorders>
              <w:top w:val="single" w:color="auto" w:sz="4" w:space="0"/>
              <w:left w:val="nil"/>
              <w:bottom w:val="single" w:color="auto" w:sz="4" w:space="0"/>
              <w:right w:val="single" w:color="auto" w:sz="4" w:space="0"/>
            </w:tcBorders>
            <w:noWrap w:val="0"/>
            <w:vAlign w:val="center"/>
          </w:tcPr>
          <w:p w14:paraId="45596549">
            <w:pPr>
              <w:pStyle w:val="34"/>
              <w:spacing w:line="480" w:lineRule="auto"/>
              <w:ind w:left="0" w:leftChars="0" w:firstLine="0" w:firstLine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售后服务</w:t>
            </w:r>
          </w:p>
          <w:p w14:paraId="0370906D">
            <w:pPr>
              <w:pStyle w:val="34"/>
              <w:spacing w:line="480" w:lineRule="auto"/>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（满分</w:t>
            </w:r>
            <w:r>
              <w:rPr>
                <w:rFonts w:hint="eastAsia" w:cs="宋体"/>
                <w:color w:val="000000" w:themeColor="text1"/>
                <w:sz w:val="24"/>
                <w:szCs w:val="24"/>
                <w:lang w:val="en-US" w:eastAsia="zh-CN"/>
                <w14:textFill>
                  <w14:solidFill>
                    <w14:schemeClr w14:val="tx1"/>
                  </w14:solidFill>
                </w14:textFill>
              </w:rPr>
              <w:t>6</w:t>
            </w:r>
            <w:r>
              <w:rPr>
                <w:rFonts w:hint="eastAsia" w:ascii="宋体" w:hAnsi="宋体" w:cs="宋体"/>
                <w:color w:val="000000" w:themeColor="text1"/>
                <w:sz w:val="24"/>
                <w:szCs w:val="24"/>
                <w:lang w:val="en-US" w:eastAsia="zh-CN"/>
                <w14:textFill>
                  <w14:solidFill>
                    <w14:schemeClr w14:val="tx1"/>
                  </w14:solidFill>
                </w14:textFill>
              </w:rPr>
              <w:t>分）</w:t>
            </w:r>
          </w:p>
        </w:tc>
        <w:tc>
          <w:tcPr>
            <w:tcW w:w="5722" w:type="dxa"/>
            <w:tcBorders>
              <w:top w:val="single" w:color="auto" w:sz="4" w:space="0"/>
              <w:left w:val="nil"/>
              <w:bottom w:val="single" w:color="auto" w:sz="4" w:space="0"/>
            </w:tcBorders>
            <w:noWrap w:val="0"/>
            <w:vAlign w:val="center"/>
          </w:tcPr>
          <w:p w14:paraId="3F430EEB">
            <w:pPr>
              <w:pStyle w:val="95"/>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一、评审内容</w:t>
            </w:r>
          </w:p>
          <w:p w14:paraId="33C35439">
            <w:pPr>
              <w:pStyle w:val="95"/>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0" w:firstLineChars="200"/>
              <w:jc w:val="both"/>
              <w:textAlignment w:val="auto"/>
              <w:rPr>
                <w:rFonts w:hint="eastAsia" w:ascii="宋体" w:hAnsi="宋体" w:eastAsia="宋体" w:cs="宋体"/>
                <w:b w:val="0"/>
                <w:bCs w:val="0"/>
                <w:snapToGrid w:val="0"/>
                <w:color w:val="000000" w:themeColor="text1"/>
                <w:kern w:val="0"/>
                <w:sz w:val="24"/>
                <w:szCs w:val="24"/>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24"/>
                <w:szCs w:val="24"/>
                <w14:textFill>
                  <w14:solidFill>
                    <w14:schemeClr w14:val="tx1"/>
                  </w14:solidFill>
                </w14:textFill>
              </w:rPr>
              <w:t>根据项目实际需求</w:t>
            </w:r>
            <w:r>
              <w:rPr>
                <w:rFonts w:hint="eastAsia" w:ascii="宋体" w:hAnsi="宋体" w:eastAsia="宋体" w:cs="宋体"/>
                <w:b w:val="0"/>
                <w:bCs w:val="0"/>
                <w:snapToGrid w:val="0"/>
                <w:color w:val="000000" w:themeColor="text1"/>
                <w:kern w:val="0"/>
                <w:sz w:val="24"/>
                <w:szCs w:val="24"/>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4"/>
                <w:szCs w:val="24"/>
                <w:lang w:val="en-US" w:eastAsia="zh-CN"/>
                <w14:textFill>
                  <w14:solidFill>
                    <w14:schemeClr w14:val="tx1"/>
                  </w14:solidFill>
                </w14:textFill>
              </w:rPr>
              <w:t>提供</w:t>
            </w:r>
            <w:r>
              <w:rPr>
                <w:rFonts w:hint="eastAsia" w:ascii="宋体" w:hAnsi="宋体" w:eastAsia="宋体" w:cs="宋体"/>
                <w:b w:val="0"/>
                <w:bCs w:val="0"/>
                <w:snapToGrid w:val="0"/>
                <w:color w:val="000000" w:themeColor="text1"/>
                <w:kern w:val="0"/>
                <w:sz w:val="24"/>
                <w:szCs w:val="24"/>
                <w14:textFill>
                  <w14:solidFill>
                    <w14:schemeClr w14:val="tx1"/>
                  </w14:solidFill>
                </w14:textFill>
              </w:rPr>
              <w:t>针对本项目</w:t>
            </w:r>
            <w:r>
              <w:rPr>
                <w:rFonts w:hint="eastAsia" w:ascii="宋体" w:hAnsi="宋体" w:eastAsia="宋体" w:cs="宋体"/>
                <w:b w:val="0"/>
                <w:bCs w:val="0"/>
                <w:snapToGrid w:val="0"/>
                <w:color w:val="000000" w:themeColor="text1"/>
                <w:kern w:val="0"/>
                <w:sz w:val="24"/>
                <w:szCs w:val="24"/>
                <w:lang w:val="en-US" w:eastAsia="zh-CN"/>
                <w14:textFill>
                  <w14:solidFill>
                    <w14:schemeClr w14:val="tx1"/>
                  </w14:solidFill>
                </w14:textFill>
              </w:rPr>
              <w:t>的</w:t>
            </w:r>
            <w:r>
              <w:rPr>
                <w:rFonts w:hint="eastAsia" w:ascii="宋体" w:hAnsi="宋体" w:eastAsia="宋体" w:cs="宋体"/>
                <w:b w:val="0"/>
                <w:bCs w:val="0"/>
                <w:snapToGrid w:val="0"/>
                <w:color w:val="000000" w:themeColor="text1"/>
                <w:kern w:val="0"/>
                <w:sz w:val="24"/>
                <w:szCs w:val="24"/>
                <w14:textFill>
                  <w14:solidFill>
                    <w14:schemeClr w14:val="tx1"/>
                  </w14:solidFill>
                </w14:textFill>
              </w:rPr>
              <w:t>售后服务方案，</w:t>
            </w:r>
            <w:r>
              <w:rPr>
                <w:rFonts w:hint="eastAsia" w:ascii="宋体" w:hAnsi="宋体" w:eastAsia="宋体" w:cs="宋体"/>
                <w:b w:val="0"/>
                <w:bCs w:val="0"/>
                <w:snapToGrid w:val="0"/>
                <w:color w:val="000000" w:themeColor="text1"/>
                <w:kern w:val="0"/>
                <w:sz w:val="24"/>
                <w:szCs w:val="24"/>
                <w:lang w:val="en-US" w:eastAsia="zh-CN"/>
                <w14:textFill>
                  <w14:solidFill>
                    <w14:schemeClr w14:val="tx1"/>
                  </w14:solidFill>
                </w14:textFill>
              </w:rPr>
              <w:t>内容包括①售后服务保障方案②紧急响应方案。</w:t>
            </w:r>
          </w:p>
          <w:p w14:paraId="1E20DBAE">
            <w:pPr>
              <w:keepNext w:val="0"/>
              <w:keepLines w:val="0"/>
              <w:pageBreakBefore w:val="0"/>
              <w:widowControl w:val="0"/>
              <w:kinsoku/>
              <w:wordWrap/>
              <w:overflowPunct/>
              <w:topLinePunct w:val="0"/>
              <w:bidi w:val="0"/>
              <w:adjustRightInd/>
              <w:snapToGrid/>
              <w:spacing w:line="480" w:lineRule="auto"/>
              <w:jc w:val="both"/>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二、评审标准</w:t>
            </w:r>
          </w:p>
          <w:p w14:paraId="671543AA">
            <w:pPr>
              <w:pStyle w:val="95"/>
              <w:keepNext w:val="0"/>
              <w:keepLines w:val="0"/>
              <w:pageBreakBefore w:val="0"/>
              <w:widowControl w:val="0"/>
              <w:kinsoku/>
              <w:wordWrap/>
              <w:overflowPunct/>
              <w:topLinePunct w:val="0"/>
              <w:autoSpaceDE/>
              <w:autoSpaceDN/>
              <w:bidi w:val="0"/>
              <w:adjustRightInd/>
              <w:snapToGrid/>
              <w:spacing w:before="72" w:line="480" w:lineRule="auto"/>
              <w:ind w:left="107" w:right="99" w:firstLine="472"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1</w:t>
            </w:r>
            <w:r>
              <w:rPr>
                <w:rFonts w:hint="eastAsia" w:ascii="宋体" w:hAnsi="宋体" w:eastAsia="宋体" w:cs="宋体"/>
                <w:color w:val="000000" w:themeColor="text1"/>
                <w:spacing w:val="-2"/>
                <w:sz w:val="24"/>
                <w:szCs w:val="24"/>
                <w:lang w:val="en-US" w:eastAsia="zh-CN"/>
                <w14:textFill>
                  <w14:solidFill>
                    <w14:schemeClr w14:val="tx1"/>
                  </w14:solidFill>
                </w14:textFill>
              </w:rPr>
              <w:t>.</w:t>
            </w:r>
            <w:r>
              <w:rPr>
                <w:rFonts w:hint="eastAsia" w:ascii="宋体" w:hAnsi="宋体" w:eastAsia="宋体" w:cs="宋体"/>
                <w:color w:val="000000" w:themeColor="text1"/>
                <w:spacing w:val="-2"/>
                <w:sz w:val="24"/>
                <w:szCs w:val="24"/>
                <w14:textFill>
                  <w14:solidFill>
                    <w14:schemeClr w14:val="tx1"/>
                  </w14:solidFill>
                </w14:textFill>
              </w:rPr>
              <w:t>完整</w:t>
            </w:r>
            <w:r>
              <w:rPr>
                <w:rFonts w:hint="eastAsia" w:ascii="宋体" w:hAnsi="宋体" w:eastAsia="宋体" w:cs="宋体"/>
                <w:color w:val="000000" w:themeColor="text1"/>
                <w:spacing w:val="-2"/>
                <w:sz w:val="24"/>
                <w:szCs w:val="24"/>
                <w:lang w:eastAsia="zh-CN"/>
                <w14:textFill>
                  <w14:solidFill>
                    <w14:schemeClr w14:val="tx1"/>
                  </w14:solidFill>
                </w14:textFill>
              </w:rPr>
              <w:t>及针对</w:t>
            </w:r>
            <w:r>
              <w:rPr>
                <w:rFonts w:hint="eastAsia" w:ascii="宋体" w:hAnsi="宋体" w:eastAsia="宋体" w:cs="宋体"/>
                <w:color w:val="000000" w:themeColor="text1"/>
                <w:spacing w:val="-2"/>
                <w:sz w:val="24"/>
                <w:szCs w:val="24"/>
                <w14:textFill>
                  <w14:solidFill>
                    <w14:schemeClr w14:val="tx1"/>
                  </w14:solidFill>
                </w14:textFill>
              </w:rPr>
              <w:t>性：切合本项目实际情况，方案内容齐</w:t>
            </w:r>
            <w:r>
              <w:rPr>
                <w:rFonts w:hint="eastAsia" w:ascii="宋体" w:hAnsi="宋体" w:eastAsia="宋体" w:cs="宋体"/>
                <w:color w:val="000000" w:themeColor="text1"/>
                <w:spacing w:val="-10"/>
                <w:sz w:val="24"/>
                <w:szCs w:val="24"/>
                <w14:textFill>
                  <w14:solidFill>
                    <w14:schemeClr w14:val="tx1"/>
                  </w14:solidFill>
                </w14:textFill>
              </w:rPr>
              <w:t>全，对招标文件中各项要求有详细描述及其他内</w:t>
            </w:r>
            <w:r>
              <w:rPr>
                <w:rFonts w:hint="eastAsia" w:ascii="宋体" w:hAnsi="宋体" w:eastAsia="宋体" w:cs="宋体"/>
                <w:color w:val="000000" w:themeColor="text1"/>
                <w:spacing w:val="-2"/>
                <w:sz w:val="24"/>
                <w:szCs w:val="24"/>
                <w14:textFill>
                  <w14:solidFill>
                    <w14:schemeClr w14:val="tx1"/>
                  </w14:solidFill>
                </w14:textFill>
              </w:rPr>
              <w:t>容的补充；</w:t>
            </w:r>
          </w:p>
          <w:p w14:paraId="7F780A1E">
            <w:pPr>
              <w:pStyle w:val="95"/>
              <w:keepNext w:val="0"/>
              <w:keepLines w:val="0"/>
              <w:pageBreakBefore w:val="0"/>
              <w:widowControl w:val="0"/>
              <w:kinsoku/>
              <w:wordWrap/>
              <w:overflowPunct/>
              <w:topLinePunct w:val="0"/>
              <w:autoSpaceDE/>
              <w:autoSpaceDN/>
              <w:bidi w:val="0"/>
              <w:adjustRightInd/>
              <w:snapToGrid/>
              <w:spacing w:line="480" w:lineRule="auto"/>
              <w:ind w:left="107" w:right="-29" w:firstLine="472"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lang w:val="en-US" w:eastAsia="zh-CN"/>
                <w14:textFill>
                  <w14:solidFill>
                    <w14:schemeClr w14:val="tx1"/>
                  </w14:solidFill>
                </w14:textFill>
              </w:rPr>
              <w:t>2.</w:t>
            </w:r>
            <w:r>
              <w:rPr>
                <w:rFonts w:hint="eastAsia" w:ascii="宋体" w:hAnsi="宋体" w:eastAsia="宋体" w:cs="宋体"/>
                <w:color w:val="000000" w:themeColor="text1"/>
                <w:spacing w:val="-2"/>
                <w:sz w:val="24"/>
                <w:szCs w:val="24"/>
                <w14:textFill>
                  <w14:solidFill>
                    <w14:schemeClr w14:val="tx1"/>
                  </w14:solidFill>
                </w14:textFill>
              </w:rPr>
              <w:t>合理</w:t>
            </w:r>
            <w:r>
              <w:rPr>
                <w:rFonts w:hint="eastAsia" w:ascii="宋体" w:hAnsi="宋体" w:eastAsia="宋体" w:cs="宋体"/>
                <w:color w:val="000000" w:themeColor="text1"/>
                <w:spacing w:val="-2"/>
                <w:sz w:val="24"/>
                <w:szCs w:val="24"/>
                <w:lang w:eastAsia="zh-CN"/>
                <w14:textFill>
                  <w14:solidFill>
                    <w14:schemeClr w14:val="tx1"/>
                  </w14:solidFill>
                </w14:textFill>
              </w:rPr>
              <w:t>及可实施</w:t>
            </w:r>
            <w:r>
              <w:rPr>
                <w:rFonts w:hint="eastAsia" w:ascii="宋体" w:hAnsi="宋体" w:eastAsia="宋体" w:cs="宋体"/>
                <w:color w:val="000000" w:themeColor="text1"/>
                <w:spacing w:val="-2"/>
                <w:sz w:val="24"/>
                <w:szCs w:val="24"/>
                <w14:textFill>
                  <w14:solidFill>
                    <w14:schemeClr w14:val="tx1"/>
                  </w14:solidFill>
                </w14:textFill>
              </w:rPr>
              <w:t>性：方案内容符合项目实际特点，合理、</w:t>
            </w:r>
            <w:r>
              <w:rPr>
                <w:rFonts w:hint="eastAsia" w:ascii="宋体" w:hAnsi="宋体" w:eastAsia="宋体" w:cs="宋体"/>
                <w:color w:val="000000" w:themeColor="text1"/>
                <w:spacing w:val="-4"/>
                <w:sz w:val="24"/>
                <w:szCs w:val="24"/>
                <w14:textFill>
                  <w14:solidFill>
                    <w14:schemeClr w14:val="tx1"/>
                  </w14:solidFill>
                </w14:textFill>
              </w:rPr>
              <w:t>恰当；</w:t>
            </w:r>
          </w:p>
          <w:p w14:paraId="368114BE">
            <w:pPr>
              <w:spacing w:line="480" w:lineRule="auto"/>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三、赋分标准（满分</w:t>
            </w:r>
            <w:r>
              <w:rPr>
                <w:rFonts w:hint="eastAsia" w:ascii="宋体" w:hAnsi="宋体" w:cs="宋体"/>
                <w:b/>
                <w:bCs/>
                <w:color w:val="000000" w:themeColor="text1"/>
                <w:sz w:val="24"/>
                <w:szCs w:val="24"/>
                <w:lang w:val="en-US" w:eastAsia="zh-CN"/>
                <w14:textFill>
                  <w14:solidFill>
                    <w14:schemeClr w14:val="tx1"/>
                  </w14:solidFill>
                </w14:textFill>
              </w:rPr>
              <w:t>6</w:t>
            </w:r>
            <w:r>
              <w:rPr>
                <w:rFonts w:hint="eastAsia" w:ascii="宋体" w:hAnsi="宋体" w:eastAsia="宋体" w:cs="宋体"/>
                <w:b/>
                <w:bCs/>
                <w:color w:val="000000" w:themeColor="text1"/>
                <w:sz w:val="24"/>
                <w:szCs w:val="24"/>
                <w:lang w:val="en-US" w:eastAsia="zh-CN"/>
                <w14:textFill>
                  <w14:solidFill>
                    <w14:schemeClr w14:val="tx1"/>
                  </w14:solidFill>
                </w14:textFill>
              </w:rPr>
              <w:t>分）</w:t>
            </w:r>
          </w:p>
          <w:p w14:paraId="6EE1C78A">
            <w:pPr>
              <w:spacing w:line="480" w:lineRule="auto"/>
              <w:ind w:firstLine="480" w:firstLineChars="200"/>
              <w:jc w:val="left"/>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①售后服务保障方案：每完全满足一个评审标准得</w:t>
            </w:r>
            <w:r>
              <w:rPr>
                <w:rFonts w:hint="eastAsia" w:ascii="宋体" w:hAnsi="宋体" w:cs="宋体"/>
                <w:color w:val="000000" w:themeColor="text1"/>
                <w:sz w:val="24"/>
                <w:szCs w:val="24"/>
                <w:lang w:val="en-US" w:eastAsia="zh-CN"/>
                <w14:textFill>
                  <w14:solidFill>
                    <w14:schemeClr w14:val="tx1"/>
                  </w14:solidFill>
                </w14:textFill>
              </w:rPr>
              <w:t>1.5</w:t>
            </w:r>
            <w:r>
              <w:rPr>
                <w:rFonts w:hint="eastAsia" w:ascii="宋体" w:hAnsi="宋体" w:eastAsia="宋体" w:cs="宋体"/>
                <w:color w:val="000000" w:themeColor="text1"/>
                <w:sz w:val="24"/>
                <w:szCs w:val="24"/>
                <w:lang w:val="en-US" w:eastAsia="zh-CN"/>
                <w14:textFill>
                  <w14:solidFill>
                    <w14:schemeClr w14:val="tx1"/>
                  </w14:solidFill>
                </w14:textFill>
              </w:rPr>
              <w:t>分，满分</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分；</w:t>
            </w:r>
          </w:p>
          <w:p w14:paraId="323B3845">
            <w:pPr>
              <w:spacing w:line="480" w:lineRule="auto"/>
              <w:ind w:firstLine="480" w:firstLineChars="200"/>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②紧急响应方案：每完全满足一个评审标准得1</w:t>
            </w: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分，满分</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分；</w:t>
            </w:r>
          </w:p>
        </w:tc>
      </w:tr>
      <w:tr w14:paraId="67F71F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7" w:hRule="atLeast"/>
          <w:jc w:val="center"/>
        </w:trPr>
        <w:tc>
          <w:tcPr>
            <w:tcW w:w="1657" w:type="dxa"/>
            <w:tcBorders>
              <w:top w:val="single" w:color="auto" w:sz="4" w:space="0"/>
              <w:right w:val="single" w:color="auto" w:sz="4" w:space="0"/>
            </w:tcBorders>
            <w:noWrap w:val="0"/>
            <w:vAlign w:val="center"/>
          </w:tcPr>
          <w:p w14:paraId="44A9F45B">
            <w:pPr>
              <w:numPr>
                <w:ilvl w:val="0"/>
                <w:numId w:val="0"/>
              </w:numPr>
              <w:spacing w:line="48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三、</w:t>
            </w:r>
            <w:r>
              <w:rPr>
                <w:rFonts w:hint="eastAsia" w:ascii="宋体" w:hAnsi="宋体" w:eastAsia="宋体" w:cs="宋体"/>
                <w:color w:val="000000" w:themeColor="text1"/>
                <w:sz w:val="24"/>
                <w:szCs w:val="24"/>
                <w14:textFill>
                  <w14:solidFill>
                    <w14:schemeClr w14:val="tx1"/>
                  </w14:solidFill>
                </w14:textFill>
              </w:rPr>
              <w:t>投标报价</w:t>
            </w:r>
          </w:p>
          <w:p w14:paraId="276BE639">
            <w:pPr>
              <w:numPr>
                <w:ilvl w:val="0"/>
                <w:numId w:val="0"/>
              </w:numPr>
              <w:spacing w:line="48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（满分</w:t>
            </w:r>
            <w:r>
              <w:rPr>
                <w:rFonts w:hint="eastAsia" w:ascii="宋体" w:hAnsi="宋体" w:eastAsia="宋体" w:cs="宋体"/>
                <w:color w:val="000000" w:themeColor="text1"/>
                <w:sz w:val="24"/>
                <w:szCs w:val="24"/>
                <w:lang w:val="en-US" w:eastAsia="zh-CN"/>
                <w14:textFill>
                  <w14:solidFill>
                    <w14:schemeClr w14:val="tx1"/>
                  </w14:solidFill>
                </w14:textFill>
              </w:rPr>
              <w:t>30</w:t>
            </w:r>
            <w:r>
              <w:rPr>
                <w:rFonts w:hint="eastAsia" w:ascii="宋体" w:hAnsi="宋体" w:eastAsia="宋体" w:cs="宋体"/>
                <w:color w:val="000000" w:themeColor="text1"/>
                <w:sz w:val="24"/>
                <w:szCs w:val="24"/>
                <w14:textFill>
                  <w14:solidFill>
                    <w14:schemeClr w14:val="tx1"/>
                  </w14:solidFill>
                </w14:textFill>
              </w:rPr>
              <w:t>分）</w:t>
            </w:r>
          </w:p>
        </w:tc>
        <w:tc>
          <w:tcPr>
            <w:tcW w:w="1687" w:type="dxa"/>
            <w:tcBorders>
              <w:top w:val="single" w:color="auto" w:sz="4" w:space="0"/>
              <w:left w:val="nil"/>
              <w:right w:val="single" w:color="auto" w:sz="4" w:space="0"/>
            </w:tcBorders>
            <w:noWrap w:val="0"/>
            <w:vAlign w:val="center"/>
          </w:tcPr>
          <w:p w14:paraId="12947E91">
            <w:pPr>
              <w:spacing w:line="48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投标报</w:t>
            </w:r>
          </w:p>
          <w:p w14:paraId="362C1C60">
            <w:pPr>
              <w:spacing w:line="480" w:lineRule="auto"/>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（满分30分）</w:t>
            </w:r>
          </w:p>
        </w:tc>
        <w:tc>
          <w:tcPr>
            <w:tcW w:w="5722" w:type="dxa"/>
            <w:tcBorders>
              <w:top w:val="single" w:color="auto" w:sz="4" w:space="0"/>
              <w:left w:val="nil"/>
            </w:tcBorders>
            <w:noWrap w:val="0"/>
            <w:vAlign w:val="center"/>
          </w:tcPr>
          <w:p w14:paraId="48ED8CE2">
            <w:pPr>
              <w:spacing w:line="48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1、满足招标文件要求且投标报价最低的投标报价为评标基准价，其价格分为满分。但最低报价并非唯一的中标评判因素。</w:t>
            </w:r>
          </w:p>
          <w:p w14:paraId="16F985A1">
            <w:pPr>
              <w:spacing w:line="48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2、其他投标人的价格分统一按照下列公式计算：投标报价得分＝（评标基准价/投标报价）×30。</w:t>
            </w:r>
          </w:p>
          <w:p w14:paraId="71BC4A1D">
            <w:pPr>
              <w:spacing w:line="480" w:lineRule="auto"/>
              <w:ind w:firstLine="480" w:firstLineChars="200"/>
              <w:jc w:val="left"/>
              <w:rPr>
                <w:rFonts w:hint="eastAsia" w:ascii="宋体" w:hAnsi="宋体" w:eastAsia="宋体" w:cs="宋体"/>
                <w:color w:val="000000" w:themeColor="text1"/>
                <w:sz w:val="24"/>
                <w:szCs w:val="24"/>
                <w:lang w:val="zh-CN"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zh-CN" w:eastAsia="zh-CN"/>
                <w14:textFill>
                  <w14:solidFill>
                    <w14:schemeClr w14:val="tx1"/>
                  </w14:solidFill>
                </w14:textFill>
              </w:rPr>
              <w:t>根据《政府采购促进中小企业发展管理办法》的通知（财库〔2020〕46号）、《财政部关于进一步加大政府采购支持中小企业力度的通知》（财库〔2022〕19号）</w:t>
            </w:r>
            <w:r>
              <w:rPr>
                <w:rFonts w:hint="eastAsia" w:ascii="宋体" w:hAnsi="宋体" w:eastAsia="宋体" w:cs="宋体"/>
                <w:color w:val="000000" w:themeColor="text1"/>
                <w:sz w:val="24"/>
                <w:szCs w:val="24"/>
                <w:lang w:val="en-US" w:eastAsia="zh-CN"/>
                <w14:textFill>
                  <w14:solidFill>
                    <w14:schemeClr w14:val="tx1"/>
                  </w14:solidFill>
                </w14:textFill>
              </w:rPr>
              <w:t>的相关规定</w:t>
            </w:r>
            <w:r>
              <w:rPr>
                <w:rFonts w:hint="eastAsia" w:ascii="宋体" w:hAnsi="宋体" w:eastAsia="宋体" w:cs="宋体"/>
                <w:color w:val="000000" w:themeColor="text1"/>
                <w:sz w:val="24"/>
                <w:szCs w:val="24"/>
                <w:lang w:val="zh-CN" w:eastAsia="zh-CN"/>
                <w14:textFill>
                  <w14:solidFill>
                    <w14:schemeClr w14:val="tx1"/>
                  </w14:solidFill>
                </w14:textFill>
              </w:rPr>
              <w:t>，对小型和微型企业、福利企业的价格给予</w:t>
            </w:r>
            <w:r>
              <w:rPr>
                <w:rFonts w:hint="eastAsia" w:ascii="宋体" w:hAnsi="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hint="eastAsia" w:ascii="宋体" w:hAnsi="宋体" w:eastAsia="宋体" w:cs="宋体"/>
                <w:color w:val="000000" w:themeColor="text1"/>
                <w:sz w:val="24"/>
                <w:szCs w:val="24"/>
                <w:lang w:val="zh-CN" w:eastAsia="zh-CN"/>
                <w14:textFill>
                  <w14:solidFill>
                    <w14:schemeClr w14:val="tx1"/>
                  </w14:solidFill>
                </w14:textFill>
              </w:rPr>
              <w:t>%的扣除，用扣除后的价格参与评审。</w:t>
            </w:r>
          </w:p>
          <w:p w14:paraId="2523281D">
            <w:pPr>
              <w:spacing w:line="48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zh-CN" w:eastAsia="zh-CN"/>
                <w14:textFill>
                  <w14:solidFill>
                    <w14:schemeClr w14:val="tx1"/>
                  </w14:solidFill>
                </w14:textFill>
              </w:rPr>
              <w:t>《关于政府采购支持监狱企业发展有关问题的通知》（财库〔2014〕68号）的规定，对监狱企业给予</w:t>
            </w:r>
            <w:r>
              <w:rPr>
                <w:rFonts w:hint="eastAsia" w:ascii="宋体" w:hAnsi="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hint="eastAsia" w:ascii="宋体" w:hAnsi="宋体" w:eastAsia="宋体" w:cs="宋体"/>
                <w:color w:val="000000" w:themeColor="text1"/>
                <w:sz w:val="24"/>
                <w:szCs w:val="24"/>
                <w:lang w:val="zh-CN" w:eastAsia="zh-CN"/>
                <w14:textFill>
                  <w14:solidFill>
                    <w14:schemeClr w14:val="tx1"/>
                  </w14:solidFill>
                </w14:textFill>
              </w:rPr>
              <w:t>%的价格扣除，用扣除后的价格参与评审。（提供由省级以上监狱管理局、戒毒管理局（含新疆生产建设兵团）出具的属于监狱企业的证明文件）。</w:t>
            </w:r>
          </w:p>
        </w:tc>
      </w:tr>
    </w:tbl>
    <w:p w14:paraId="2CB92468">
      <w:pPr>
        <w:spacing w:line="360" w:lineRule="auto"/>
        <w:rPr>
          <w:rFonts w:hint="eastAsia" w:ascii="宋体" w:hAnsi="宋体" w:eastAsia="宋体" w:cs="宋体"/>
          <w:b/>
          <w:color w:val="000000" w:themeColor="text1"/>
          <w:sz w:val="24"/>
          <w:szCs w:val="24"/>
          <w14:textFill>
            <w14:solidFill>
              <w14:schemeClr w14:val="tx1"/>
            </w14:solidFill>
          </w14:textFill>
        </w:rPr>
      </w:pPr>
    </w:p>
    <w:p w14:paraId="06F8CA1A">
      <w:pPr>
        <w:keepNext w:val="0"/>
        <w:keepLines w:val="0"/>
        <w:pageBreakBefore w:val="0"/>
        <w:widowControl w:val="0"/>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3.2.3确定投标人的有效报价：</w:t>
      </w:r>
    </w:p>
    <w:p w14:paraId="4336FF81">
      <w:pPr>
        <w:keepNext w:val="0"/>
        <w:keepLines w:val="0"/>
        <w:pageBreakBefore w:val="0"/>
        <w:widowControl w:val="0"/>
        <w:tabs>
          <w:tab w:val="left" w:pos="6060"/>
        </w:tabs>
        <w:kinsoku/>
        <w:wordWrap/>
        <w:topLinePunct w:val="0"/>
        <w:autoSpaceDE/>
        <w:autoSpaceDN/>
        <w:bidi w:val="0"/>
        <w:adjustRightInd/>
        <w:spacing w:line="600" w:lineRule="exact"/>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经初审合格的投标文件，其投标报价为有效投标报价。</w:t>
      </w:r>
    </w:p>
    <w:p w14:paraId="46B1AA78">
      <w:pPr>
        <w:keepNext w:val="0"/>
        <w:keepLines w:val="0"/>
        <w:pageBreakBefore w:val="0"/>
        <w:widowControl w:val="0"/>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3.2.4确定评标基准价：</w:t>
      </w:r>
    </w:p>
    <w:p w14:paraId="1F6421F1">
      <w:pPr>
        <w:keepNext w:val="0"/>
        <w:keepLines w:val="0"/>
        <w:pageBreakBefore w:val="0"/>
        <w:widowControl w:val="0"/>
        <w:tabs>
          <w:tab w:val="left" w:pos="6060"/>
        </w:tabs>
        <w:kinsoku/>
        <w:wordWrap/>
        <w:topLinePunct w:val="0"/>
        <w:autoSpaceDE/>
        <w:autoSpaceDN/>
        <w:bidi w:val="0"/>
        <w:adjustRightInd/>
        <w:spacing w:line="60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满足招标文件要求且报价最低的为评标基准价。</w:t>
      </w:r>
    </w:p>
    <w:p w14:paraId="7C9E9D6F">
      <w:pPr>
        <w:keepNext w:val="0"/>
        <w:keepLines w:val="0"/>
        <w:pageBreakBefore w:val="0"/>
        <w:widowControl w:val="0"/>
        <w:tabs>
          <w:tab w:val="left" w:pos="6060"/>
        </w:tabs>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bookmarkStart w:id="673" w:name="_Toc343511794"/>
      <w:r>
        <w:rPr>
          <w:rFonts w:hint="eastAsia" w:ascii="宋体" w:hAnsi="宋体" w:eastAsia="宋体" w:cs="宋体"/>
          <w:b/>
          <w:color w:val="000000" w:themeColor="text1"/>
          <w:sz w:val="24"/>
          <w:szCs w:val="24"/>
          <w14:textFill>
            <w14:solidFill>
              <w14:schemeClr w14:val="tx1"/>
            </w14:solidFill>
          </w14:textFill>
        </w:rPr>
        <w:t>3.2.5投标报价评审：</w:t>
      </w:r>
      <w:bookmarkEnd w:id="673"/>
      <w:r>
        <w:rPr>
          <w:rFonts w:hint="eastAsia" w:ascii="宋体" w:hAnsi="宋体" w:eastAsia="宋体" w:cs="宋体"/>
          <w:b/>
          <w:color w:val="000000" w:themeColor="text1"/>
          <w:sz w:val="24"/>
          <w:szCs w:val="24"/>
          <w14:textFill>
            <w14:solidFill>
              <w14:schemeClr w14:val="tx1"/>
            </w14:solidFill>
          </w14:textFill>
        </w:rPr>
        <w:t>（总分为</w:t>
      </w:r>
      <w:r>
        <w:rPr>
          <w:rFonts w:hint="eastAsia" w:ascii="宋体" w:hAnsi="宋体" w:eastAsia="宋体" w:cs="宋体"/>
          <w:b/>
          <w:color w:val="000000" w:themeColor="text1"/>
          <w:sz w:val="24"/>
          <w:szCs w:val="24"/>
          <w:lang w:val="en-US" w:eastAsia="zh-CN"/>
          <w14:textFill>
            <w14:solidFill>
              <w14:schemeClr w14:val="tx1"/>
            </w14:solidFill>
          </w14:textFill>
        </w:rPr>
        <w:t>30</w:t>
      </w:r>
      <w:r>
        <w:rPr>
          <w:rFonts w:hint="eastAsia" w:ascii="宋体" w:hAnsi="宋体" w:eastAsia="宋体" w:cs="宋体"/>
          <w:b/>
          <w:color w:val="000000" w:themeColor="text1"/>
          <w:sz w:val="24"/>
          <w:szCs w:val="24"/>
          <w14:textFill>
            <w14:solidFill>
              <w14:schemeClr w14:val="tx1"/>
            </w14:solidFill>
          </w14:textFill>
        </w:rPr>
        <w:t>分）</w:t>
      </w:r>
    </w:p>
    <w:p w14:paraId="21E81982">
      <w:pPr>
        <w:keepNext w:val="0"/>
        <w:keepLines w:val="0"/>
        <w:pageBreakBefore w:val="0"/>
        <w:widowControl w:val="0"/>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bookmarkStart w:id="674" w:name="_Toc343511804"/>
      <w:r>
        <w:rPr>
          <w:rFonts w:hint="eastAsia" w:ascii="宋体" w:hAnsi="宋体" w:eastAsia="宋体" w:cs="宋体"/>
          <w:b/>
          <w:color w:val="000000" w:themeColor="text1"/>
          <w:sz w:val="24"/>
          <w:szCs w:val="24"/>
          <w14:textFill>
            <w14:solidFill>
              <w14:schemeClr w14:val="tx1"/>
            </w14:solidFill>
          </w14:textFill>
        </w:rPr>
        <w:t>3.2.6汇总上述技术部分和商务部分及投标报价得分，按综合得分由高到低的顺序排序。</w:t>
      </w:r>
      <w:bookmarkEnd w:id="674"/>
    </w:p>
    <w:p w14:paraId="63898E7A">
      <w:pPr>
        <w:keepNext w:val="0"/>
        <w:keepLines w:val="0"/>
        <w:pageBreakBefore w:val="0"/>
        <w:widowControl w:val="0"/>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bookmarkStart w:id="675" w:name="_Toc343511805"/>
      <w:r>
        <w:rPr>
          <w:rFonts w:hint="eastAsia" w:ascii="宋体" w:hAnsi="宋体" w:eastAsia="宋体" w:cs="宋体"/>
          <w:b/>
          <w:color w:val="000000" w:themeColor="text1"/>
          <w:sz w:val="24"/>
          <w:szCs w:val="24"/>
          <w14:textFill>
            <w14:solidFill>
              <w14:schemeClr w14:val="tx1"/>
            </w14:solidFill>
          </w14:textFill>
        </w:rPr>
        <w:t>3.2.7确定中标投标人：</w:t>
      </w:r>
      <w:bookmarkEnd w:id="675"/>
    </w:p>
    <w:p w14:paraId="2913D726">
      <w:pPr>
        <w:keepNext w:val="0"/>
        <w:keepLines w:val="0"/>
        <w:pageBreakBefore w:val="0"/>
        <w:widowControl w:val="0"/>
        <w:kinsoku/>
        <w:wordWrap/>
        <w:topLinePunct w:val="0"/>
        <w:autoSpaceDE/>
        <w:autoSpaceDN/>
        <w:bidi w:val="0"/>
        <w:adjustRightInd/>
        <w:spacing w:line="600" w:lineRule="exact"/>
        <w:ind w:firstLine="472" w:firstLineChars="196"/>
        <w:rPr>
          <w:rFonts w:hint="eastAsia" w:ascii="宋体" w:hAnsi="宋体" w:eastAsia="宋体" w:cs="宋体"/>
          <w:color w:val="000000" w:themeColor="text1"/>
          <w:sz w:val="24"/>
          <w:szCs w:val="24"/>
          <w14:textFill>
            <w14:solidFill>
              <w14:schemeClr w14:val="tx1"/>
            </w14:solidFill>
          </w14:textFill>
        </w:rPr>
      </w:pPr>
      <w:bookmarkStart w:id="676" w:name="_Toc343511806"/>
      <w:bookmarkStart w:id="677" w:name="_Toc343511807"/>
      <w:r>
        <w:rPr>
          <w:rFonts w:hint="eastAsia" w:ascii="宋体" w:hAnsi="宋体" w:eastAsia="宋体" w:cs="宋体"/>
          <w:b/>
          <w:bCs/>
          <w:color w:val="000000" w:themeColor="text1"/>
          <w:sz w:val="24"/>
          <w:szCs w:val="24"/>
          <w:u w:val="single"/>
          <w14:textFill>
            <w14:solidFill>
              <w14:schemeClr w14:val="tx1"/>
            </w14:solidFill>
          </w14:textFill>
        </w:rPr>
        <w:t>综合得分</w:t>
      </w:r>
      <w:r>
        <w:rPr>
          <w:rFonts w:hint="eastAsia" w:ascii="宋体" w:hAnsi="宋体" w:eastAsia="宋体" w:cs="宋体"/>
          <w:b/>
          <w:color w:val="000000" w:themeColor="text1"/>
          <w:sz w:val="24"/>
          <w:szCs w:val="24"/>
          <w:u w:val="single"/>
          <w14:textFill>
            <w14:solidFill>
              <w14:schemeClr w14:val="tx1"/>
            </w14:solidFill>
          </w14:textFill>
        </w:rPr>
        <w:t>排序第一的投标人为中标候选投标人即为中标投标人。中标投标人投标报价为中标价即为合同价</w:t>
      </w:r>
      <w:r>
        <w:rPr>
          <w:rFonts w:hint="eastAsia" w:ascii="宋体" w:hAnsi="宋体" w:eastAsia="宋体" w:cs="宋体"/>
          <w:color w:val="000000" w:themeColor="text1"/>
          <w:sz w:val="24"/>
          <w:szCs w:val="24"/>
          <w14:textFill>
            <w14:solidFill>
              <w14:schemeClr w14:val="tx1"/>
            </w14:solidFill>
          </w14:textFill>
        </w:rPr>
        <w:t>。</w:t>
      </w:r>
      <w:bookmarkEnd w:id="676"/>
    </w:p>
    <w:p w14:paraId="0DA258D4">
      <w:pPr>
        <w:keepNext w:val="0"/>
        <w:keepLines w:val="0"/>
        <w:pageBreakBefore w:val="0"/>
        <w:widowControl w:val="0"/>
        <w:tabs>
          <w:tab w:val="left" w:pos="6060"/>
        </w:tabs>
        <w:kinsoku/>
        <w:wordWrap/>
        <w:topLinePunct w:val="0"/>
        <w:autoSpaceDE/>
        <w:autoSpaceDN/>
        <w:bidi w:val="0"/>
        <w:adjustRightInd/>
        <w:spacing w:line="600" w:lineRule="exact"/>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当确定的中标投标人放弃中标或不能够履行投标文件承诺的条款，中标投标人按排名顺序依次递补。</w:t>
      </w:r>
      <w:bookmarkEnd w:id="677"/>
    </w:p>
    <w:p w14:paraId="56C384A0">
      <w:pPr>
        <w:keepNext w:val="0"/>
        <w:keepLines w:val="0"/>
        <w:pageBreakBefore w:val="0"/>
        <w:widowControl w:val="0"/>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bookmarkStart w:id="678" w:name="_Toc343511808"/>
      <w:r>
        <w:rPr>
          <w:rFonts w:hint="eastAsia" w:ascii="宋体" w:hAnsi="宋体" w:eastAsia="宋体" w:cs="宋体"/>
          <w:b/>
          <w:color w:val="000000" w:themeColor="text1"/>
          <w:sz w:val="24"/>
          <w:szCs w:val="24"/>
          <w14:textFill>
            <w14:solidFill>
              <w14:schemeClr w14:val="tx1"/>
            </w14:solidFill>
          </w14:textFill>
        </w:rPr>
        <w:t>3.2.8其他情况：</w:t>
      </w:r>
      <w:bookmarkEnd w:id="678"/>
    </w:p>
    <w:p w14:paraId="022D47C9">
      <w:pPr>
        <w:keepNext w:val="0"/>
        <w:keepLines w:val="0"/>
        <w:pageBreakBefore w:val="0"/>
        <w:widowControl w:val="0"/>
        <w:tabs>
          <w:tab w:val="left" w:pos="6060"/>
        </w:tabs>
        <w:kinsoku/>
        <w:wordWrap/>
        <w:topLinePunct w:val="0"/>
        <w:autoSpaceDE/>
        <w:autoSpaceDN/>
        <w:bidi w:val="0"/>
        <w:adjustRightInd/>
        <w:spacing w:line="600" w:lineRule="exact"/>
        <w:ind w:firstLine="480" w:firstLineChars="200"/>
        <w:rPr>
          <w:rFonts w:hint="eastAsia" w:ascii="宋体" w:hAnsi="宋体" w:eastAsia="宋体" w:cs="宋体"/>
          <w:bCs/>
          <w:color w:val="000000" w:themeColor="text1"/>
          <w:sz w:val="24"/>
          <w:szCs w:val="24"/>
          <w14:textFill>
            <w14:solidFill>
              <w14:schemeClr w14:val="tx1"/>
            </w14:solidFill>
          </w14:textFill>
        </w:rPr>
      </w:pPr>
      <w:bookmarkStart w:id="679" w:name="_Toc343511810"/>
      <w:r>
        <w:rPr>
          <w:rFonts w:hint="eastAsia" w:ascii="宋体" w:hAnsi="宋体" w:eastAsia="宋体" w:cs="宋体"/>
          <w:bCs/>
          <w:color w:val="000000" w:themeColor="text1"/>
          <w:sz w:val="24"/>
          <w:szCs w:val="24"/>
          <w14:textFill>
            <w14:solidFill>
              <w14:schemeClr w14:val="tx1"/>
            </w14:solidFill>
          </w14:textFill>
        </w:rPr>
        <w:t>综合得分并列时，比较投标报价，此分项得分高者排序靠前；若投标报价得分仍相同，比较投标人技术标得分；如仍相同，则由评委无记名投票，以得票高低确定排序先后。</w:t>
      </w:r>
    </w:p>
    <w:p w14:paraId="70780F57">
      <w:pPr>
        <w:keepNext w:val="0"/>
        <w:keepLines w:val="0"/>
        <w:pageBreakBefore w:val="0"/>
        <w:widowControl w:val="0"/>
        <w:tabs>
          <w:tab w:val="left" w:pos="6060"/>
        </w:tabs>
        <w:kinsoku/>
        <w:wordWrap/>
        <w:topLinePunct w:val="0"/>
        <w:autoSpaceDE/>
        <w:autoSpaceDN/>
        <w:bidi w:val="0"/>
        <w:adjustRightInd/>
        <w:spacing w:line="600" w:lineRule="exact"/>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评标中采用插入法计算保留小数点后两位，第三位四舍五入。</w:t>
      </w:r>
      <w:bookmarkEnd w:id="679"/>
    </w:p>
    <w:p w14:paraId="24A02CB5">
      <w:pPr>
        <w:keepNext w:val="0"/>
        <w:keepLines w:val="0"/>
        <w:pageBreakBefore w:val="0"/>
        <w:widowControl w:val="0"/>
        <w:kinsoku/>
        <w:wordWrap/>
        <w:topLinePunct w:val="0"/>
        <w:autoSpaceDE/>
        <w:autoSpaceDN/>
        <w:bidi w:val="0"/>
        <w:adjustRightInd/>
        <w:spacing w:line="600" w:lineRule="exact"/>
        <w:ind w:firstLine="480" w:firstLineChars="200"/>
        <w:rPr>
          <w:rFonts w:hint="eastAsia" w:ascii="宋体" w:hAnsi="宋体" w:eastAsia="宋体" w:cs="宋体"/>
          <w:bCs/>
          <w:color w:val="000000" w:themeColor="text1"/>
          <w:sz w:val="24"/>
          <w:szCs w:val="24"/>
          <w:lang w:eastAsia="zh-CN"/>
          <w14:textFill>
            <w14:solidFill>
              <w14:schemeClr w14:val="tx1"/>
            </w14:solidFill>
          </w14:textFill>
        </w:rPr>
      </w:pPr>
      <w:bookmarkStart w:id="680" w:name="_Toc343511811"/>
      <w:r>
        <w:rPr>
          <w:rFonts w:hint="eastAsia" w:ascii="宋体" w:hAnsi="宋体" w:eastAsia="宋体" w:cs="宋体"/>
          <w:bCs/>
          <w:color w:val="000000" w:themeColor="text1"/>
          <w:sz w:val="24"/>
          <w:szCs w:val="24"/>
          <w14:textFill>
            <w14:solidFill>
              <w14:schemeClr w14:val="tx1"/>
            </w14:solidFill>
          </w14:textFill>
        </w:rPr>
        <w:t>本办法由采购人负责解释，未尽事宜执行有关规定</w:t>
      </w:r>
      <w:bookmarkEnd w:id="680"/>
      <w:r>
        <w:rPr>
          <w:rFonts w:hint="eastAsia" w:ascii="宋体" w:hAnsi="宋体" w:cs="宋体"/>
          <w:bCs/>
          <w:color w:val="000000" w:themeColor="text1"/>
          <w:sz w:val="24"/>
          <w:szCs w:val="24"/>
          <w:lang w:eastAsia="zh-CN"/>
          <w14:textFill>
            <w14:solidFill>
              <w14:schemeClr w14:val="tx1"/>
            </w14:solidFill>
          </w14:textFill>
        </w:rPr>
        <w:t>。</w:t>
      </w:r>
    </w:p>
    <w:p w14:paraId="31A01664">
      <w:pPr>
        <w:keepNext w:val="0"/>
        <w:keepLines w:val="0"/>
        <w:pageBreakBefore w:val="0"/>
        <w:widowControl w:val="0"/>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bookmarkStart w:id="681" w:name="_Toc144974575"/>
      <w:bookmarkStart w:id="682" w:name="_Toc397585244"/>
      <w:bookmarkStart w:id="683" w:name="_Toc361406437"/>
      <w:bookmarkStart w:id="684" w:name="_Toc152045607"/>
      <w:bookmarkStart w:id="685" w:name="_Toc490171399"/>
      <w:bookmarkStart w:id="686" w:name="_Toc361406358"/>
      <w:bookmarkStart w:id="687" w:name="_Toc246996993"/>
      <w:bookmarkStart w:id="688" w:name="_Toc394320906"/>
      <w:bookmarkStart w:id="689" w:name="_Toc456197093"/>
      <w:bookmarkStart w:id="690" w:name="_Toc343511812"/>
      <w:bookmarkStart w:id="691" w:name="_Toc179632625"/>
      <w:bookmarkStart w:id="692" w:name="_Toc152042385"/>
      <w:bookmarkStart w:id="693" w:name="_Toc490171558"/>
      <w:bookmarkStart w:id="694" w:name="_Toc246996250"/>
      <w:bookmarkStart w:id="695" w:name="_Toc397410664"/>
      <w:bookmarkStart w:id="696" w:name="_Toc395711825"/>
      <w:bookmarkStart w:id="697" w:name="_Toc397410477"/>
      <w:bookmarkStart w:id="698" w:name="_Toc247085765"/>
      <w:bookmarkStart w:id="699" w:name="_Toc397585175"/>
      <w:r>
        <w:rPr>
          <w:rFonts w:hint="eastAsia" w:ascii="宋体" w:hAnsi="宋体" w:eastAsia="宋体" w:cs="宋体"/>
          <w:b/>
          <w:color w:val="000000" w:themeColor="text1"/>
          <w:sz w:val="24"/>
          <w:szCs w:val="24"/>
          <w14:textFill>
            <w14:solidFill>
              <w14:schemeClr w14:val="tx1"/>
            </w14:solidFill>
          </w14:textFill>
        </w:rPr>
        <w:t>3.3 投标文件的澄清</w:t>
      </w:r>
      <w:bookmarkEnd w:id="681"/>
      <w:r>
        <w:rPr>
          <w:rFonts w:hint="eastAsia" w:ascii="宋体" w:hAnsi="宋体" w:eastAsia="宋体" w:cs="宋体"/>
          <w:b/>
          <w:color w:val="000000" w:themeColor="text1"/>
          <w:sz w:val="24"/>
          <w:szCs w:val="24"/>
          <w14:textFill>
            <w14:solidFill>
              <w14:schemeClr w14:val="tx1"/>
            </w14:solidFill>
          </w14:textFill>
        </w:rPr>
        <w:t>和补正</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14:paraId="4589DE1D">
      <w:pPr>
        <w:keepNext w:val="0"/>
        <w:keepLines w:val="0"/>
        <w:pageBreakBefore w:val="0"/>
        <w:widowControl w:val="0"/>
        <w:kinsoku/>
        <w:wordWrap/>
        <w:topLinePunct w:val="0"/>
        <w:autoSpaceDE/>
        <w:autoSpaceDN/>
        <w:bidi w:val="0"/>
        <w:adjustRightInd/>
        <w:spacing w:line="600" w:lineRule="exact"/>
        <w:ind w:firstLine="480" w:firstLineChars="200"/>
        <w:rPr>
          <w:rFonts w:hint="eastAsia" w:ascii="宋体" w:hAnsi="宋体" w:eastAsia="宋体" w:cs="宋体"/>
          <w:color w:val="000000" w:themeColor="text1"/>
          <w:sz w:val="24"/>
          <w:szCs w:val="24"/>
          <w14:textFill>
            <w14:solidFill>
              <w14:schemeClr w14:val="tx1"/>
            </w14:solidFill>
          </w14:textFill>
        </w:rPr>
      </w:pPr>
      <w:bookmarkStart w:id="700" w:name="_Toc343511813"/>
      <w:r>
        <w:rPr>
          <w:rFonts w:hint="eastAsia" w:ascii="宋体" w:hAnsi="宋体" w:eastAsia="宋体" w:cs="宋体"/>
          <w:color w:val="000000" w:themeColor="text1"/>
          <w:sz w:val="24"/>
          <w:szCs w:val="24"/>
          <w14:textFill>
            <w14:solidFill>
              <w14:schemeClr w14:val="tx1"/>
            </w14:solidFill>
          </w14:textFill>
        </w:rPr>
        <w:t>3.3.1在评标过程中，评标委员会可以书面形式要求投标人对所提交投标文件中不明确的内容进行书面澄清或说明，或者对细微偏差进行补正。评标委员会不接受投标人主动提出的澄清、说明或补正。</w:t>
      </w:r>
      <w:bookmarkEnd w:id="700"/>
    </w:p>
    <w:p w14:paraId="7FB8CA7A">
      <w:pPr>
        <w:keepNext w:val="0"/>
        <w:keepLines w:val="0"/>
        <w:pageBreakBefore w:val="0"/>
        <w:widowControl w:val="0"/>
        <w:kinsoku/>
        <w:wordWrap/>
        <w:topLinePunct w:val="0"/>
        <w:autoSpaceDE/>
        <w:autoSpaceDN/>
        <w:bidi w:val="0"/>
        <w:adjustRightInd/>
        <w:spacing w:line="600" w:lineRule="exact"/>
        <w:ind w:firstLine="480" w:firstLineChars="200"/>
        <w:rPr>
          <w:rFonts w:hint="eastAsia" w:ascii="宋体" w:hAnsi="宋体" w:eastAsia="宋体" w:cs="宋体"/>
          <w:color w:val="000000" w:themeColor="text1"/>
          <w:sz w:val="24"/>
          <w:szCs w:val="24"/>
          <w14:textFill>
            <w14:solidFill>
              <w14:schemeClr w14:val="tx1"/>
            </w14:solidFill>
          </w14:textFill>
        </w:rPr>
      </w:pPr>
      <w:bookmarkStart w:id="701" w:name="_Toc343511814"/>
      <w:r>
        <w:rPr>
          <w:rFonts w:hint="eastAsia" w:ascii="宋体" w:hAnsi="宋体" w:eastAsia="宋体" w:cs="宋体"/>
          <w:color w:val="000000" w:themeColor="text1"/>
          <w:sz w:val="24"/>
          <w:szCs w:val="24"/>
          <w14:textFill>
            <w14:solidFill>
              <w14:schemeClr w14:val="tx1"/>
            </w14:solidFill>
          </w14:textFill>
        </w:rPr>
        <w:t>3.3.2 澄清、说明和补正不得改变投标文件的实质性内容（算术性错误修正的除外）。投标人的书面澄清、说明和补正属于投标文件的组成部分。</w:t>
      </w:r>
      <w:bookmarkEnd w:id="701"/>
    </w:p>
    <w:p w14:paraId="7C5574BD">
      <w:pPr>
        <w:keepNext w:val="0"/>
        <w:keepLines w:val="0"/>
        <w:pageBreakBefore w:val="0"/>
        <w:widowControl w:val="0"/>
        <w:kinsoku/>
        <w:wordWrap/>
        <w:topLinePunct w:val="0"/>
        <w:autoSpaceDE/>
        <w:autoSpaceDN/>
        <w:bidi w:val="0"/>
        <w:adjustRightInd/>
        <w:spacing w:line="600" w:lineRule="exact"/>
        <w:ind w:firstLine="480" w:firstLineChars="200"/>
        <w:rPr>
          <w:rFonts w:hint="eastAsia" w:ascii="宋体" w:hAnsi="宋体" w:eastAsia="宋体" w:cs="宋体"/>
          <w:color w:val="000000" w:themeColor="text1"/>
          <w:sz w:val="24"/>
          <w:szCs w:val="24"/>
          <w14:textFill>
            <w14:solidFill>
              <w14:schemeClr w14:val="tx1"/>
            </w14:solidFill>
          </w14:textFill>
        </w:rPr>
      </w:pPr>
      <w:bookmarkStart w:id="702" w:name="_Toc343511815"/>
      <w:r>
        <w:rPr>
          <w:rFonts w:hint="eastAsia" w:ascii="宋体" w:hAnsi="宋体" w:eastAsia="宋体" w:cs="宋体"/>
          <w:color w:val="000000" w:themeColor="text1"/>
          <w:sz w:val="24"/>
          <w:szCs w:val="24"/>
          <w14:textFill>
            <w14:solidFill>
              <w14:schemeClr w14:val="tx1"/>
            </w14:solidFill>
          </w14:textFill>
        </w:rPr>
        <w:t>3.3.3 评标委员会对投标人提交的澄清、说明或补正有疑问的，可以要求投标人进一步澄清、说明或补正，直至满足评标委员会的要求。</w:t>
      </w:r>
      <w:bookmarkEnd w:id="702"/>
    </w:p>
    <w:p w14:paraId="38468A08">
      <w:pPr>
        <w:keepNext w:val="0"/>
        <w:keepLines w:val="0"/>
        <w:pageBreakBefore w:val="0"/>
        <w:widowControl w:val="0"/>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bookmarkStart w:id="703" w:name="_Toc397585176"/>
      <w:bookmarkStart w:id="704" w:name="_Toc144974576"/>
      <w:bookmarkStart w:id="705" w:name="_Toc490171559"/>
      <w:bookmarkStart w:id="706" w:name="_Toc397585245"/>
      <w:bookmarkStart w:id="707" w:name="_Toc246996251"/>
      <w:bookmarkStart w:id="708" w:name="_Toc397410478"/>
      <w:bookmarkStart w:id="709" w:name="_Toc490171400"/>
      <w:bookmarkStart w:id="710" w:name="_Toc179632626"/>
      <w:bookmarkStart w:id="711" w:name="_Toc361406359"/>
      <w:bookmarkStart w:id="712" w:name="_Toc246996994"/>
      <w:bookmarkStart w:id="713" w:name="_Toc456197094"/>
      <w:bookmarkStart w:id="714" w:name="_Toc394320907"/>
      <w:bookmarkStart w:id="715" w:name="_Toc247085766"/>
      <w:bookmarkStart w:id="716" w:name="_Toc361406438"/>
      <w:bookmarkStart w:id="717" w:name="_Toc395711826"/>
      <w:bookmarkStart w:id="718" w:name="_Toc152042386"/>
      <w:bookmarkStart w:id="719" w:name="_Toc397410665"/>
      <w:bookmarkStart w:id="720" w:name="_Toc152045608"/>
      <w:bookmarkStart w:id="721" w:name="_Toc343511816"/>
      <w:r>
        <w:rPr>
          <w:rFonts w:hint="eastAsia" w:ascii="宋体" w:hAnsi="宋体" w:eastAsia="宋体" w:cs="宋体"/>
          <w:b/>
          <w:color w:val="000000" w:themeColor="text1"/>
          <w:sz w:val="24"/>
          <w:szCs w:val="24"/>
          <w14:textFill>
            <w14:solidFill>
              <w14:schemeClr w14:val="tx1"/>
            </w14:solidFill>
          </w14:textFill>
        </w:rPr>
        <w:t>3.4 评标结果</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1229D06F">
      <w:pPr>
        <w:keepNext w:val="0"/>
        <w:keepLines w:val="0"/>
        <w:pageBreakBefore w:val="0"/>
        <w:widowControl w:val="0"/>
        <w:kinsoku/>
        <w:wordWrap/>
        <w:topLinePunct w:val="0"/>
        <w:autoSpaceDE/>
        <w:autoSpaceDN/>
        <w:bidi w:val="0"/>
        <w:adjustRightInd/>
        <w:spacing w:line="600" w:lineRule="exact"/>
        <w:ind w:firstLine="480" w:firstLineChars="200"/>
        <w:rPr>
          <w:rFonts w:hint="eastAsia" w:ascii="宋体" w:hAnsi="宋体" w:eastAsia="宋体" w:cs="宋体"/>
          <w:color w:val="000000" w:themeColor="text1"/>
          <w:sz w:val="24"/>
          <w:szCs w:val="24"/>
          <w14:textFill>
            <w14:solidFill>
              <w14:schemeClr w14:val="tx1"/>
            </w14:solidFill>
          </w14:textFill>
        </w:rPr>
      </w:pPr>
      <w:bookmarkStart w:id="722" w:name="_Toc343511817"/>
      <w:r>
        <w:rPr>
          <w:rFonts w:hint="eastAsia" w:ascii="宋体" w:hAnsi="宋体" w:eastAsia="宋体" w:cs="宋体"/>
          <w:color w:val="000000" w:themeColor="text1"/>
          <w:sz w:val="24"/>
          <w:szCs w:val="24"/>
          <w14:textFill>
            <w14:solidFill>
              <w14:schemeClr w14:val="tx1"/>
            </w14:solidFill>
          </w14:textFill>
        </w:rPr>
        <w:t>3.4.1评标委员会按照得分由高到低的顺序推荐前三名为</w:t>
      </w:r>
      <w:bookmarkEnd w:id="722"/>
      <w:r>
        <w:rPr>
          <w:rFonts w:hint="eastAsia" w:ascii="宋体" w:hAnsi="宋体" w:eastAsia="宋体" w:cs="宋体"/>
          <w:color w:val="000000" w:themeColor="text1"/>
          <w:sz w:val="24"/>
          <w:szCs w:val="24"/>
          <w14:textFill>
            <w14:solidFill>
              <w14:schemeClr w14:val="tx1"/>
            </w14:solidFill>
          </w14:textFill>
        </w:rPr>
        <w:t>中标候选投标人。</w:t>
      </w:r>
    </w:p>
    <w:p w14:paraId="367ED38C">
      <w:pPr>
        <w:keepNext w:val="0"/>
        <w:keepLines w:val="0"/>
        <w:pageBreakBefore w:val="0"/>
        <w:widowControl w:val="0"/>
        <w:kinsoku/>
        <w:wordWrap/>
        <w:topLinePunct w:val="0"/>
        <w:autoSpaceDE/>
        <w:autoSpaceDN/>
        <w:bidi w:val="0"/>
        <w:adjustRightInd/>
        <w:spacing w:line="600" w:lineRule="exact"/>
        <w:ind w:firstLine="420"/>
        <w:rPr>
          <w:rFonts w:hint="eastAsia" w:ascii="宋体" w:hAnsi="宋体" w:eastAsia="宋体" w:cs="宋体"/>
          <w:dstrike/>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3.4.2 评标委员会完成评标后，应当向采购人提交书面评标报告。</w:t>
      </w:r>
    </w:p>
    <w:bookmarkEnd w:id="486"/>
    <w:bookmarkEnd w:id="487"/>
    <w:bookmarkEnd w:id="488"/>
    <w:bookmarkEnd w:id="489"/>
    <w:bookmarkEnd w:id="490"/>
    <w:bookmarkEnd w:id="491"/>
    <w:bookmarkEnd w:id="492"/>
    <w:bookmarkEnd w:id="672"/>
    <w:p w14:paraId="17C6DCFF">
      <w:pPr>
        <w:keepNext w:val="0"/>
        <w:keepLines w:val="0"/>
        <w:pageBreakBefore w:val="0"/>
        <w:widowControl w:val="0"/>
        <w:kinsoku/>
        <w:wordWrap/>
        <w:topLinePunct w:val="0"/>
        <w:autoSpaceDE/>
        <w:autoSpaceDN/>
        <w:bidi w:val="0"/>
        <w:adjustRightInd/>
        <w:spacing w:line="600" w:lineRule="exact"/>
        <w:ind w:firstLine="482" w:firstLineChars="200"/>
        <w:rPr>
          <w:rFonts w:hint="eastAsia" w:ascii="宋体" w:hAnsi="宋体" w:eastAsia="宋体" w:cs="宋体"/>
          <w:b/>
          <w:color w:val="000000" w:themeColor="text1"/>
          <w:sz w:val="24"/>
          <w:szCs w:val="24"/>
          <w14:textFill>
            <w14:solidFill>
              <w14:schemeClr w14:val="tx1"/>
            </w14:solidFill>
          </w14:textFill>
        </w:rPr>
      </w:pPr>
      <w:bookmarkStart w:id="723" w:name="_Toc22517"/>
      <w:bookmarkStart w:id="724" w:name="_Toc30173"/>
      <w:bookmarkStart w:id="725" w:name="_Toc1441"/>
      <w:bookmarkStart w:id="726" w:name="_Toc24896"/>
      <w:bookmarkStart w:id="727" w:name="_Toc526842116"/>
      <w:r>
        <w:rPr>
          <w:rFonts w:hint="eastAsia" w:ascii="宋体" w:hAnsi="宋体" w:eastAsia="宋体" w:cs="宋体"/>
          <w:b/>
          <w:color w:val="000000" w:themeColor="text1"/>
          <w:sz w:val="24"/>
          <w:szCs w:val="24"/>
          <w14:textFill>
            <w14:solidFill>
              <w14:schemeClr w14:val="tx1"/>
            </w14:solidFill>
          </w14:textFill>
        </w:rPr>
        <w:t>4.需要落实的政府采购政策</w:t>
      </w:r>
      <w:bookmarkEnd w:id="723"/>
      <w:bookmarkEnd w:id="724"/>
      <w:bookmarkEnd w:id="725"/>
      <w:bookmarkEnd w:id="726"/>
    </w:p>
    <w:p w14:paraId="1B337CF7">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2" w:firstLineChars="200"/>
        <w:jc w:val="both"/>
        <w:textAlignment w:val="auto"/>
        <w:outlineLvl w:val="9"/>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pPr>
      <w:bookmarkStart w:id="728" w:name="_Toc27288"/>
      <w:bookmarkStart w:id="729" w:name="_Toc6400"/>
      <w:bookmarkStart w:id="730" w:name="_Toc5624"/>
      <w:bookmarkStart w:id="731" w:name="_Toc18527"/>
      <w:bookmarkStart w:id="732" w:name="_Toc23303"/>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1.《政府采购促进中小企业发展管理办法》的通知（财库〔2020〕46号）</w:t>
      </w:r>
      <w:bookmarkEnd w:id="728"/>
      <w:bookmarkEnd w:id="729"/>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w:t>
      </w:r>
      <w:bookmarkEnd w:id="730"/>
      <w:bookmarkEnd w:id="731"/>
      <w:bookmarkEnd w:id="732"/>
    </w:p>
    <w:p w14:paraId="02DE0755">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33" w:name="_Toc2618"/>
      <w:bookmarkStart w:id="734" w:name="_Toc26075"/>
      <w:bookmarkStart w:id="735" w:name="_Toc28308"/>
      <w:bookmarkStart w:id="736" w:name="_Toc15061"/>
      <w:bookmarkStart w:id="737" w:name="_Toc10056"/>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在政府采购活动中，供应商提供的货物、工程或者服务符合下列情形的，享受《办法》规定的中小企业扶持政策:</w:t>
      </w:r>
      <w:bookmarkEnd w:id="733"/>
      <w:bookmarkEnd w:id="734"/>
      <w:bookmarkEnd w:id="735"/>
      <w:bookmarkEnd w:id="736"/>
      <w:bookmarkEnd w:id="737"/>
    </w:p>
    <w:p w14:paraId="03C015B0">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38" w:name="_Toc29610"/>
      <w:bookmarkStart w:id="739" w:name="_Toc12926"/>
      <w:bookmarkStart w:id="740" w:name="_Toc3750"/>
      <w:bookmarkStart w:id="741" w:name="_Toc13145"/>
      <w:bookmarkStart w:id="742" w:name="_Toc13553"/>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(一)在货物采购项目中，货物由中小企业制造，即货物由中小企业生产且使用该中小企业商号或者注册商标；</w:t>
      </w:r>
      <w:bookmarkEnd w:id="738"/>
      <w:bookmarkEnd w:id="739"/>
      <w:bookmarkEnd w:id="740"/>
      <w:bookmarkEnd w:id="741"/>
      <w:bookmarkEnd w:id="742"/>
    </w:p>
    <w:p w14:paraId="34FF4CA9">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43" w:name="_Toc2212"/>
      <w:bookmarkStart w:id="744" w:name="_Toc98"/>
      <w:bookmarkStart w:id="745" w:name="_Toc27737"/>
      <w:bookmarkStart w:id="746" w:name="_Toc10777"/>
      <w:bookmarkStart w:id="747" w:name="_Toc5972"/>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(二)在工程采购项目中，工程由中小企业承建，即工程施工单位为中小企业；</w:t>
      </w:r>
      <w:bookmarkEnd w:id="743"/>
      <w:bookmarkEnd w:id="744"/>
      <w:bookmarkEnd w:id="745"/>
      <w:bookmarkEnd w:id="746"/>
      <w:bookmarkEnd w:id="747"/>
    </w:p>
    <w:p w14:paraId="06D0FCE5">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48" w:name="_Toc14952"/>
      <w:bookmarkStart w:id="749" w:name="_Toc2676"/>
      <w:bookmarkStart w:id="750" w:name="_Toc30603"/>
      <w:bookmarkStart w:id="751" w:name="_Toc13181"/>
      <w:bookmarkStart w:id="752" w:name="_Toc31732"/>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(三)在服务采购项目中，服务由中小企业承接，即提供服务的人员为中小企业依照《中华人民共和国劳动合同法》订立劳动合同的从业人员。</w:t>
      </w:r>
      <w:bookmarkEnd w:id="748"/>
      <w:bookmarkEnd w:id="749"/>
      <w:bookmarkEnd w:id="750"/>
      <w:bookmarkEnd w:id="751"/>
      <w:bookmarkEnd w:id="752"/>
    </w:p>
    <w:p w14:paraId="262DFDC0">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53" w:name="_Toc9186"/>
      <w:bookmarkStart w:id="754" w:name="_Toc28280"/>
      <w:bookmarkStart w:id="755" w:name="_Toc21217"/>
      <w:bookmarkStart w:id="756" w:name="_Toc31112"/>
      <w:bookmarkStart w:id="757" w:name="_Toc31982"/>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在货物采购项目中，供应商提供的货物既有中小企业制造货物，也有大型企业制造货物的，不享受《办法》规定的中小企业扶持政策。</w:t>
      </w:r>
      <w:bookmarkEnd w:id="753"/>
      <w:bookmarkEnd w:id="754"/>
      <w:bookmarkEnd w:id="755"/>
      <w:bookmarkEnd w:id="756"/>
      <w:bookmarkEnd w:id="757"/>
    </w:p>
    <w:p w14:paraId="33CDB6D0">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58" w:name="_Toc23925"/>
      <w:bookmarkStart w:id="759" w:name="_Toc12766"/>
      <w:bookmarkStart w:id="760" w:name="_Toc28678"/>
      <w:bookmarkStart w:id="761" w:name="_Toc6020"/>
      <w:bookmarkStart w:id="762" w:name="_Toc18434"/>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以联合体形式参加政府采购活动，联合体各方均为中小企业的，联合体视同中小企业。其中，联合体各方均为小微企业的，联合体视同小微企业。</w:t>
      </w:r>
      <w:bookmarkEnd w:id="758"/>
      <w:bookmarkEnd w:id="759"/>
      <w:bookmarkEnd w:id="760"/>
      <w:bookmarkEnd w:id="761"/>
      <w:bookmarkEnd w:id="762"/>
    </w:p>
    <w:p w14:paraId="7C116154">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63" w:name="_Toc9423"/>
      <w:bookmarkStart w:id="764" w:name="_Toc17492"/>
      <w:bookmarkStart w:id="765" w:name="_Toc28971"/>
      <w:bookmarkStart w:id="766" w:name="_Toc1848"/>
      <w:bookmarkStart w:id="767" w:name="_Toc24099"/>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依据《办法》规定享受扶持政策获得政府采购合同的，小微企业不得将合同分包给大中型企业，中型企业不得将合同分包给大型企业。</w:t>
      </w:r>
      <w:bookmarkEnd w:id="763"/>
      <w:bookmarkEnd w:id="764"/>
      <w:bookmarkEnd w:id="765"/>
      <w:bookmarkEnd w:id="766"/>
      <w:bookmarkEnd w:id="767"/>
    </w:p>
    <w:p w14:paraId="6229CFE0">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68" w:name="_Toc12812"/>
      <w:bookmarkStart w:id="769" w:name="_Toc26091"/>
      <w:bookmarkStart w:id="770" w:name="_Toc4775"/>
      <w:bookmarkStart w:id="771" w:name="_Toc7194"/>
      <w:bookmarkStart w:id="772" w:name="_Toc26502"/>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根据《政府采购促进中小企业发展管理办法》的通知（财库〔2020〕46号）规定，参加政府采购活动的中小企业应当提供《中小企业声明函》（见附件）。供应商提供的《中小企业声明函》资料必须真实，否则，按照有关规定予以处理。</w:t>
      </w:r>
      <w:bookmarkEnd w:id="768"/>
      <w:bookmarkEnd w:id="769"/>
      <w:bookmarkEnd w:id="770"/>
      <w:bookmarkEnd w:id="771"/>
      <w:bookmarkEnd w:id="772"/>
    </w:p>
    <w:p w14:paraId="491FF753">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73" w:name="_Toc29579"/>
      <w:bookmarkStart w:id="774" w:name="_Toc2963"/>
      <w:bookmarkStart w:id="775" w:name="_Toc10392"/>
      <w:bookmarkStart w:id="776" w:name="_Toc4731"/>
      <w:bookmarkStart w:id="777" w:name="_Toc28497"/>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评标委员会根据《政府采购促进中小企业发展管理办法》的通知（财库〔2020〕46号）、《财政部关于进一步加大政府采购支持中小企业力度的通知》（财库〔2022〕19号）的相关规定，小微企业报价给予</w:t>
      </w:r>
      <w:r>
        <w:rPr>
          <w:rFonts w:hint="eastAsia" w:ascii="宋体" w:hAnsi="宋体" w:cs="宋体"/>
          <w:b w:val="0"/>
          <w:bCs/>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0%(工程项目为3%)的扣除，用扣除后的价格参加评审。适用招标投标法的政府采购工程建设项目，采用综合评估法但未采用低价优先法计算价格分的，评标时应当在采用原报价进行评分的基础上增加其价格得分的3%作为其价格分。</w:t>
      </w:r>
      <w:bookmarkEnd w:id="773"/>
      <w:bookmarkEnd w:id="774"/>
      <w:bookmarkEnd w:id="775"/>
      <w:bookmarkEnd w:id="776"/>
      <w:bookmarkEnd w:id="777"/>
    </w:p>
    <w:p w14:paraId="624CBE15">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78" w:name="_Toc12101"/>
      <w:bookmarkStart w:id="779" w:name="_Toc2434"/>
      <w:bookmarkStart w:id="780" w:name="_Toc25557"/>
      <w:bookmarkStart w:id="781" w:name="_Toc11983"/>
      <w:bookmarkStart w:id="782" w:name="_Toc10033"/>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工程项目为1%)的扣除，用扣除后的价格参加评审。适用招标投标法的政府采购工程建设项目，采用综合评估法但未采用低价优先法计算价格分的，评标时应当在采用原报价进行评分的基础上增加其价格得分的1%作为其价格分。组成联合体或者接受分包的小微企业与联合体内其他企业、分包企业之间存在直接控股、管理关系的，不享受价格扣除优惠政策。</w:t>
      </w:r>
      <w:bookmarkEnd w:id="778"/>
      <w:bookmarkEnd w:id="779"/>
      <w:bookmarkEnd w:id="780"/>
      <w:bookmarkEnd w:id="781"/>
      <w:bookmarkEnd w:id="782"/>
    </w:p>
    <w:p w14:paraId="475D05DD">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在政府采购活动中，残疾人福利性单位、监狱企业视同小型、微型企业，不重复享受政策。</w:t>
      </w:r>
    </w:p>
    <w:p w14:paraId="648BC5C6">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2" w:firstLineChars="200"/>
        <w:jc w:val="both"/>
        <w:textAlignment w:val="auto"/>
        <w:outlineLvl w:val="9"/>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pPr>
      <w:bookmarkStart w:id="783" w:name="_Toc12159"/>
      <w:bookmarkStart w:id="784" w:name="_Toc10110"/>
      <w:bookmarkStart w:id="785" w:name="_Toc12743"/>
      <w:bookmarkStart w:id="786" w:name="_Toc5526"/>
      <w:bookmarkStart w:id="787" w:name="_Toc22642"/>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2.财政部司法部关于政府采购支持监狱企业发展有关问题的通知—财库〔2014〕68号</w:t>
      </w:r>
      <w:bookmarkEnd w:id="783"/>
      <w:bookmarkEnd w:id="784"/>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 xml:space="preserve"> 。</w:t>
      </w:r>
      <w:bookmarkEnd w:id="785"/>
      <w:bookmarkEnd w:id="786"/>
      <w:bookmarkEnd w:id="787"/>
    </w:p>
    <w:p w14:paraId="5728EE08">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88" w:name="_Toc14358"/>
      <w:bookmarkStart w:id="789" w:name="_Toc11892"/>
      <w:bookmarkStart w:id="790" w:name="_Toc13779"/>
      <w:bookmarkStart w:id="791" w:name="_Toc11710"/>
      <w:bookmarkStart w:id="792" w:name="_Toc4382"/>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根据《关于政府采购支持监狱企业发展有关问题的通知》（财库（2014）68号）规定，在政府采购活动中，监狱企业视同小型、微型企业，享受政府采购促进中小企业发展的政府采购政策。监狱企业参加政府采购活动时，应当提供由省级以上监狱管理局、戒毒管理局（含新疆生产建设兵团）出具的属于监狱企业的证明文件。</w:t>
      </w:r>
      <w:bookmarkEnd w:id="788"/>
      <w:bookmarkEnd w:id="789"/>
      <w:bookmarkEnd w:id="790"/>
      <w:bookmarkEnd w:id="791"/>
      <w:bookmarkEnd w:id="792"/>
    </w:p>
    <w:p w14:paraId="1B220450">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793" w:name="_Toc10867"/>
      <w:bookmarkStart w:id="794" w:name="_Toc14231"/>
      <w:bookmarkStart w:id="795" w:name="_Toc32315"/>
      <w:bookmarkStart w:id="796" w:name="_Toc5219"/>
      <w:bookmarkStart w:id="797" w:name="_Toc30736"/>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评标委员会对监狱企业的价格给予</w:t>
      </w:r>
      <w:r>
        <w:rPr>
          <w:rFonts w:hint="eastAsia" w:ascii="宋体" w:hAnsi="宋体" w:cs="宋体"/>
          <w:b w:val="0"/>
          <w:bCs/>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0%的扣除，用扣除后的价格参与评审。</w:t>
      </w:r>
      <w:bookmarkEnd w:id="793"/>
      <w:bookmarkEnd w:id="794"/>
      <w:bookmarkEnd w:id="795"/>
      <w:bookmarkEnd w:id="796"/>
      <w:bookmarkEnd w:id="797"/>
    </w:p>
    <w:p w14:paraId="5BFE852F">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2" w:firstLineChars="200"/>
        <w:jc w:val="both"/>
        <w:textAlignment w:val="auto"/>
        <w:outlineLvl w:val="9"/>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pPr>
      <w:bookmarkStart w:id="798" w:name="_Toc14589"/>
      <w:bookmarkStart w:id="799" w:name="_Toc15904"/>
      <w:bookmarkStart w:id="800" w:name="_Toc30515"/>
      <w:bookmarkStart w:id="801" w:name="_Toc18595"/>
      <w:bookmarkStart w:id="802" w:name="_Toc20450"/>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3.《国务院办公厅关于建立政府强制采购节能产品制度的通知》—国办发〔2007〕51号</w:t>
      </w:r>
      <w:bookmarkEnd w:id="798"/>
      <w:bookmarkEnd w:id="799"/>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w:t>
      </w:r>
      <w:bookmarkEnd w:id="800"/>
      <w:bookmarkEnd w:id="801"/>
      <w:bookmarkEnd w:id="802"/>
    </w:p>
    <w:p w14:paraId="7EC4C907">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803" w:name="_Toc11339"/>
      <w:bookmarkStart w:id="804" w:name="_Toc16954"/>
      <w:bookmarkStart w:id="805" w:name="_Toc19432"/>
      <w:bookmarkStart w:id="806" w:name="_Toc20764"/>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各级政府机构使用财政性资金进行政府采购活动时，在技术、服务等指标满足采购需求的前提下，要优先采购节能产品，对部分节能效果、性能等达到要求的产品，实行强制采购。</w:t>
      </w:r>
      <w:bookmarkEnd w:id="803"/>
      <w:bookmarkEnd w:id="804"/>
      <w:bookmarkEnd w:id="805"/>
      <w:bookmarkEnd w:id="806"/>
    </w:p>
    <w:p w14:paraId="3C210018">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2" w:firstLineChars="200"/>
        <w:jc w:val="both"/>
        <w:textAlignment w:val="auto"/>
        <w:outlineLvl w:val="9"/>
        <w:rPr>
          <w:rFonts w:hint="eastAsia" w:ascii="宋体" w:hAnsi="宋体" w:eastAsia="宋体" w:cs="宋体"/>
          <w:b/>
          <w:bCs w:val="0"/>
          <w:color w:val="000000" w:themeColor="text1"/>
          <w:sz w:val="24"/>
          <w:szCs w:val="24"/>
          <w:lang w:val="en-US" w:eastAsia="zh-CN"/>
          <w14:textFill>
            <w14:solidFill>
              <w14:schemeClr w14:val="tx1"/>
            </w14:solidFill>
          </w14:textFill>
        </w:rPr>
      </w:pPr>
      <w:r>
        <w:rPr>
          <w:rFonts w:hint="eastAsia" w:ascii="宋体" w:hAnsi="宋体" w:eastAsia="宋体" w:cs="宋体"/>
          <w:b/>
          <w:bCs w:val="0"/>
          <w:color w:val="000000" w:themeColor="text1"/>
          <w:sz w:val="24"/>
          <w:szCs w:val="24"/>
          <w:lang w:val="en-US" w:eastAsia="zh-CN"/>
          <w14:textFill>
            <w14:solidFill>
              <w14:schemeClr w14:val="tx1"/>
            </w14:solidFill>
          </w14:textFill>
        </w:rPr>
        <w:t>4.《关于印发环境标志产品政府采购品目清单的通知》（财库〔2019〕18号）</w:t>
      </w:r>
    </w:p>
    <w:p w14:paraId="3DFCA3F3">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根据</w:t>
      </w:r>
      <w:r>
        <w:rPr>
          <w:rFonts w:hint="eastAsia" w:ascii="宋体" w:hAnsi="宋体" w:eastAsia="宋体" w:cs="宋体"/>
          <w:bCs/>
          <w:color w:val="000000" w:themeColor="text1"/>
          <w:sz w:val="24"/>
          <w:szCs w:val="24"/>
          <w:lang w:val="en-US" w:eastAsia="zh-CN"/>
          <w14:textFill>
            <w14:solidFill>
              <w14:schemeClr w14:val="tx1"/>
            </w14:solidFill>
          </w14:textFill>
        </w:rPr>
        <w:t>《关于印发环境标志产品政府采购品目清单的通知》（财库〔2019〕18号）、《财政部发展改革委 生态环境部 市场监管总局关于调整优化节能产品 环境标志产品政府采购执行机制的通知》（财库〔2019〕9号）</w:t>
      </w:r>
      <w:r>
        <w:rPr>
          <w:rFonts w:hint="eastAsia" w:ascii="宋体" w:hAnsi="宋体" w:eastAsia="宋体" w:cs="宋体"/>
          <w:bCs/>
          <w:color w:val="000000" w:themeColor="text1"/>
          <w:sz w:val="24"/>
          <w:szCs w:val="24"/>
          <w14:textFill>
            <w14:solidFill>
              <w14:schemeClr w14:val="tx1"/>
            </w14:solidFill>
          </w14:textFill>
        </w:rPr>
        <w:t>规定，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r>
        <w:rPr>
          <w:rFonts w:hint="eastAsia" w:ascii="宋体" w:hAnsi="宋体" w:eastAsia="宋体" w:cs="宋体"/>
          <w:bCs/>
          <w:color w:val="000000" w:themeColor="text1"/>
          <w:sz w:val="24"/>
          <w:szCs w:val="24"/>
          <w:lang w:eastAsia="zh-CN"/>
          <w14:textFill>
            <w14:solidFill>
              <w14:schemeClr w14:val="tx1"/>
            </w14:solidFill>
          </w14:textFill>
        </w:rPr>
        <w:t>。</w:t>
      </w:r>
    </w:p>
    <w:p w14:paraId="592DAAE9">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2" w:firstLineChars="200"/>
        <w:jc w:val="both"/>
        <w:textAlignment w:val="auto"/>
        <w:outlineLvl w:val="9"/>
        <w:rPr>
          <w:rFonts w:hint="eastAsia" w:ascii="宋体" w:hAnsi="宋体" w:eastAsia="宋体" w:cs="宋体"/>
          <w:b/>
          <w:bCs w:val="0"/>
          <w:color w:val="000000" w:themeColor="text1"/>
          <w:sz w:val="24"/>
          <w:szCs w:val="24"/>
          <w14:textFill>
            <w14:solidFill>
              <w14:schemeClr w14:val="tx1"/>
            </w14:solidFill>
          </w14:textFill>
        </w:rPr>
      </w:pPr>
      <w:r>
        <w:rPr>
          <w:rFonts w:hint="eastAsia" w:ascii="宋体" w:hAnsi="宋体" w:eastAsia="宋体" w:cs="宋体"/>
          <w:b/>
          <w:bCs w:val="0"/>
          <w:color w:val="000000" w:themeColor="text1"/>
          <w:sz w:val="24"/>
          <w:szCs w:val="24"/>
          <w:lang w:val="en-US" w:eastAsia="zh-CN"/>
          <w14:textFill>
            <w14:solidFill>
              <w14:schemeClr w14:val="tx1"/>
            </w14:solidFill>
          </w14:textFill>
        </w:rPr>
        <w:t>5.《关于印发节能产品政府采购品目清单的通知》（财库〔2019〕19号）</w:t>
      </w:r>
      <w:r>
        <w:rPr>
          <w:rFonts w:hint="eastAsia" w:ascii="宋体" w:hAnsi="宋体" w:eastAsia="宋体" w:cs="宋体"/>
          <w:b/>
          <w:bCs w:val="0"/>
          <w:color w:val="000000" w:themeColor="text1"/>
          <w:sz w:val="24"/>
          <w:szCs w:val="24"/>
          <w14:textFill>
            <w14:solidFill>
              <w14:schemeClr w14:val="tx1"/>
            </w14:solidFill>
          </w14:textFill>
        </w:rPr>
        <w:t xml:space="preserve"> </w:t>
      </w:r>
    </w:p>
    <w:p w14:paraId="1491BAA6">
      <w:pPr>
        <w:pStyle w:val="93"/>
        <w:keepNext w:val="0"/>
        <w:keepLines w:val="0"/>
        <w:pageBreakBefore w:val="0"/>
        <w:widowControl w:val="0"/>
        <w:kinsoku/>
        <w:wordWrap/>
        <w:topLinePunct w:val="0"/>
        <w:autoSpaceDE/>
        <w:autoSpaceDN/>
        <w:bidi w:val="0"/>
        <w:adjustRightInd/>
        <w:spacing w:line="600" w:lineRule="exact"/>
        <w:ind w:firstLine="480" w:firstLineChars="200"/>
        <w:rPr>
          <w:rFonts w:hint="eastAsia" w:ascii="宋体" w:hAnsi="宋体" w:eastAsia="宋体" w:cs="宋体"/>
          <w:b/>
          <w:color w:val="000000" w:themeColor="text1"/>
          <w:sz w:val="24"/>
          <w:szCs w:val="24"/>
          <w:lang w:eastAsia="zh-CN"/>
          <w14:textFill>
            <w14:solidFill>
              <w14:schemeClr w14:val="tx1"/>
            </w14:solidFill>
          </w14:textFill>
        </w:rPr>
      </w:pPr>
      <w:r>
        <w:rPr>
          <w:rFonts w:hint="eastAsia" w:ascii="宋体" w:hAnsi="宋体" w:eastAsia="宋体" w:cs="宋体"/>
          <w:b w:val="0"/>
          <w:bCs/>
          <w:color w:val="000000" w:themeColor="text1"/>
          <w:sz w:val="24"/>
          <w:szCs w:val="24"/>
          <w:lang w:eastAsia="zh-CN"/>
          <w14:textFill>
            <w14:solidFill>
              <w14:schemeClr w14:val="tx1"/>
            </w14:solidFill>
          </w14:textFill>
        </w:rPr>
        <w:t>根据</w:t>
      </w:r>
      <w:r>
        <w:rPr>
          <w:rFonts w:hint="eastAsia" w:ascii="宋体" w:hAnsi="宋体" w:eastAsia="宋体" w:cs="宋体"/>
          <w:b w:val="0"/>
          <w:bCs/>
          <w:color w:val="000000" w:themeColor="text1"/>
          <w:sz w:val="24"/>
          <w:szCs w:val="24"/>
          <w:lang w:val="en-US" w:eastAsia="zh-CN"/>
          <w14:textFill>
            <w14:solidFill>
              <w14:schemeClr w14:val="tx1"/>
            </w14:solidFill>
          </w14:textFill>
        </w:rPr>
        <w:t>《关于印发节能产品政府采购品目清单的通知》（财库〔2019〕19号）、《财政部发展改革委 生态环境部 市场监管总局关于调整优化节能产品 环境标志产品政府采购执行机制的通知》（财库〔2019〕9号）</w:t>
      </w:r>
      <w:r>
        <w:rPr>
          <w:rFonts w:hint="eastAsia" w:ascii="宋体" w:hAnsi="宋体" w:eastAsia="宋体" w:cs="宋体"/>
          <w:b w:val="0"/>
          <w:bCs/>
          <w:color w:val="000000" w:themeColor="text1"/>
          <w:sz w:val="24"/>
          <w:szCs w:val="24"/>
          <w:lang w:eastAsia="zh-CN"/>
          <w14:textFill>
            <w14:solidFill>
              <w14:schemeClr w14:val="tx1"/>
            </w14:solidFill>
          </w14:textFill>
        </w:rPr>
        <w:t>规定，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00C63A9">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color w:val="000000" w:themeColor="text1"/>
          <w:sz w:val="24"/>
          <w:szCs w:val="24"/>
          <w:lang w:eastAsia="zh-CN"/>
          <w14:textFill>
            <w14:solidFill>
              <w14:schemeClr w14:val="tx1"/>
            </w14:solidFill>
          </w14:textFill>
        </w:rPr>
        <w:t>注：</w:t>
      </w:r>
      <w:r>
        <w:rPr>
          <w:rFonts w:hint="eastAsia" w:ascii="宋体" w:hAnsi="宋体" w:eastAsia="宋体" w:cs="宋体"/>
          <w:b w:val="0"/>
          <w:bCs/>
          <w:color w:val="000000" w:themeColor="text1"/>
          <w:sz w:val="24"/>
          <w:szCs w:val="24"/>
          <w14:textFill>
            <w14:solidFill>
              <w14:schemeClr w14:val="tx1"/>
            </w14:solidFill>
          </w14:textFill>
        </w:rPr>
        <w:t>获得上述认证的产品在</w:t>
      </w:r>
      <w:r>
        <w:rPr>
          <w:rFonts w:hint="eastAsia" w:ascii="宋体" w:hAnsi="宋体" w:eastAsia="宋体" w:cs="宋体"/>
          <w:b w:val="0"/>
          <w:bCs/>
          <w:color w:val="000000" w:themeColor="text1"/>
          <w:sz w:val="24"/>
          <w:szCs w:val="24"/>
          <w:lang w:eastAsia="zh-CN"/>
          <w14:textFill>
            <w14:solidFill>
              <w14:schemeClr w14:val="tx1"/>
            </w14:solidFill>
          </w14:textFill>
        </w:rPr>
        <w:t>投标</w:t>
      </w:r>
      <w:r>
        <w:rPr>
          <w:rFonts w:hint="eastAsia" w:ascii="宋体" w:hAnsi="宋体" w:eastAsia="宋体" w:cs="宋体"/>
          <w:b w:val="0"/>
          <w:bCs/>
          <w:color w:val="000000" w:themeColor="text1"/>
          <w:sz w:val="24"/>
          <w:szCs w:val="24"/>
          <w14:textFill>
            <w14:solidFill>
              <w14:schemeClr w14:val="tx1"/>
            </w14:solidFill>
          </w14:textFill>
        </w:rPr>
        <w:t>时应提供有效证明材料。以上所有证明文件复印件须加盖</w:t>
      </w:r>
      <w:r>
        <w:rPr>
          <w:rFonts w:hint="eastAsia" w:ascii="宋体" w:hAnsi="宋体" w:eastAsia="宋体" w:cs="宋体"/>
          <w:b w:val="0"/>
          <w:bCs/>
          <w:color w:val="000000" w:themeColor="text1"/>
          <w:sz w:val="24"/>
          <w:szCs w:val="24"/>
          <w:lang w:eastAsia="zh-CN"/>
          <w14:textFill>
            <w14:solidFill>
              <w14:schemeClr w14:val="tx1"/>
            </w14:solidFill>
          </w14:textFill>
        </w:rPr>
        <w:t>供应商</w:t>
      </w:r>
      <w:r>
        <w:rPr>
          <w:rFonts w:hint="eastAsia" w:ascii="宋体" w:hAnsi="宋体" w:eastAsia="宋体" w:cs="宋体"/>
          <w:b w:val="0"/>
          <w:bCs/>
          <w:color w:val="000000" w:themeColor="text1"/>
          <w:sz w:val="24"/>
          <w:szCs w:val="24"/>
          <w14:textFill>
            <w14:solidFill>
              <w14:schemeClr w14:val="tx1"/>
            </w14:solidFill>
          </w14:textFill>
        </w:rPr>
        <w:t>公章并注明“与原件一致”，否则不予计分。</w:t>
      </w:r>
    </w:p>
    <w:p w14:paraId="4603CDE2">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2" w:firstLineChars="200"/>
        <w:jc w:val="both"/>
        <w:textAlignment w:val="auto"/>
        <w:outlineLvl w:val="9"/>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pPr>
      <w:bookmarkStart w:id="807" w:name="_Toc17122"/>
      <w:bookmarkStart w:id="808" w:name="_Toc5700"/>
      <w:bookmarkStart w:id="809" w:name="_Toc18923"/>
      <w:bookmarkStart w:id="810" w:name="_Toc27955"/>
      <w:bookmarkStart w:id="811" w:name="_Toc24583"/>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6.《关于促进残疾人就业政府采购政策的通知》财库〔2017〕141号</w:t>
      </w:r>
      <w:bookmarkEnd w:id="807"/>
      <w:bookmarkEnd w:id="808"/>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w:t>
      </w:r>
      <w:bookmarkEnd w:id="809"/>
      <w:bookmarkEnd w:id="810"/>
      <w:bookmarkEnd w:id="811"/>
    </w:p>
    <w:p w14:paraId="2004381B">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812" w:name="_Toc22172"/>
      <w:bookmarkStart w:id="813" w:name="_Toc30234"/>
      <w:bookmarkStart w:id="814" w:name="_Toc28713"/>
      <w:bookmarkStart w:id="815" w:name="_Toc1750"/>
      <w:bookmarkStart w:id="816" w:name="_Toc24922"/>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福利企业参加政府采购活动时，应当提供市级以上民政局、财政局、残联部门出具的福利性企业的证明文件。</w:t>
      </w:r>
      <w:bookmarkEnd w:id="812"/>
      <w:bookmarkEnd w:id="813"/>
      <w:bookmarkEnd w:id="814"/>
      <w:bookmarkEnd w:id="815"/>
      <w:bookmarkEnd w:id="816"/>
    </w:p>
    <w:p w14:paraId="542802BA">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2"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817" w:name="_Toc20174"/>
      <w:bookmarkStart w:id="818" w:name="_Toc14226"/>
      <w:bookmarkStart w:id="819" w:name="_Toc24373"/>
      <w:bookmarkStart w:id="820" w:name="_Toc8691"/>
      <w:bookmarkStart w:id="821" w:name="_Toc27107"/>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7.陕西省财政厅关于印发《陕西省中小企业政府采购信用融资办法》（陕财办采〔2018〕23号）</w:t>
      </w:r>
      <w:bookmarkEnd w:id="817"/>
      <w:bookmarkEnd w:id="818"/>
      <w:r>
        <w:rPr>
          <w:rFonts w:hint="eastAsia" w:ascii="宋体" w:hAnsi="宋体" w:eastAsia="宋体" w:cs="宋体"/>
          <w:b/>
          <w:bCs w:val="0"/>
          <w:color w:val="000000" w:themeColor="text1"/>
          <w:kern w:val="2"/>
          <w:sz w:val="24"/>
          <w:szCs w:val="24"/>
          <w:lang w:val="en-US" w:eastAsia="zh-CN" w:bidi="ar-SA"/>
          <w14:textFill>
            <w14:solidFill>
              <w14:schemeClr w14:val="tx1"/>
            </w14:solidFill>
          </w14:textFill>
        </w:rPr>
        <w:t>。</w:t>
      </w:r>
      <w:bookmarkEnd w:id="819"/>
      <w:bookmarkEnd w:id="820"/>
      <w:bookmarkEnd w:id="821"/>
    </w:p>
    <w:p w14:paraId="08A7A56A">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bookmarkStart w:id="822" w:name="_Toc2203"/>
      <w:bookmarkStart w:id="823" w:name="_Toc1696"/>
      <w:bookmarkStart w:id="824" w:name="_Toc802"/>
      <w:bookmarkStart w:id="825" w:name="_Toc26044"/>
      <w:bookmarkStart w:id="826" w:name="_Toc2902"/>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融资平台：有融资需求的供应商可根据自身情况，在陕西省政府采购信用融资平台（含各市分平台）自主选择金融机构及其融资产品，凭政府采购中标（成交）通知书或政府采购合同向金融机构提出融资申请。</w:t>
      </w:r>
      <w:bookmarkEnd w:id="822"/>
      <w:bookmarkEnd w:id="823"/>
      <w:bookmarkEnd w:id="824"/>
      <w:bookmarkEnd w:id="825"/>
      <w:bookmarkEnd w:id="826"/>
    </w:p>
    <w:p w14:paraId="405E158F">
      <w:pPr>
        <w:keepNext w:val="0"/>
        <w:keepLines w:val="0"/>
        <w:pageBreakBefore w:val="0"/>
        <w:widowControl w:val="0"/>
        <w:tabs>
          <w:tab w:val="left" w:pos="1575"/>
        </w:tabs>
        <w:kinsoku/>
        <w:wordWrap/>
        <w:overflowPunct w:val="0"/>
        <w:topLinePunct w:val="0"/>
        <w:autoSpaceDE/>
        <w:autoSpaceDN/>
        <w:bidi w:val="0"/>
        <w:adjustRightInd/>
        <w:snapToGrid/>
        <w:spacing w:beforeAutospacing="0" w:afterAutospacing="0" w:line="600" w:lineRule="exact"/>
        <w:ind w:firstLine="480" w:firstLineChars="200"/>
        <w:jc w:val="both"/>
        <w:textAlignment w:val="auto"/>
        <w:outlineLvl w:val="9"/>
        <w:rPr>
          <w:rFonts w:ascii="宋体" w:hAnsi="宋体" w:cs="宋体"/>
          <w:b/>
          <w:color w:val="000000" w:themeColor="text1"/>
          <w:sz w:val="24"/>
          <w:szCs w:val="24"/>
          <w14:textFill>
            <w14:solidFill>
              <w14:schemeClr w14:val="tx1"/>
            </w14:solidFill>
          </w14:textFill>
        </w:rPr>
      </w:pPr>
      <w:bookmarkStart w:id="827" w:name="_Toc4872"/>
      <w:bookmarkStart w:id="828" w:name="_Toc6798"/>
      <w:bookmarkStart w:id="829" w:name="_Toc29619"/>
      <w:bookmarkStart w:id="830" w:name="_Toc30311"/>
      <w:bookmarkStart w:id="831" w:name="_Toc31707"/>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网址：http://www.ccgp-shaanxi.gov.cn/zcdservice/zcd/shanxi/</w:t>
      </w:r>
      <w:bookmarkEnd w:id="827"/>
      <w:bookmarkEnd w:id="828"/>
      <w:bookmarkEnd w:id="829"/>
      <w:bookmarkEnd w:id="830"/>
      <w:bookmarkEnd w:id="831"/>
    </w:p>
    <w:p w14:paraId="48DD9B6F">
      <w:pPr>
        <w:spacing w:line="360" w:lineRule="auto"/>
        <w:outlineLvl w:val="9"/>
        <w:rPr>
          <w:rFonts w:hint="eastAsia" w:ascii="宋体" w:hAnsi="宋体" w:eastAsia="宋体" w:cs="宋体"/>
          <w:b/>
          <w:color w:val="000000" w:themeColor="text1"/>
          <w:sz w:val="28"/>
          <w:szCs w:val="28"/>
          <w14:textFill>
            <w14:solidFill>
              <w14:schemeClr w14:val="tx1"/>
            </w14:solidFill>
          </w14:textFill>
        </w:rPr>
      </w:pPr>
    </w:p>
    <w:p w14:paraId="01FA9792">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0EF830D7">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54C80B1C">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3CDCB30E">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73160A5F">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79A98D74">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063B119E">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5F1ECAFE">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68C51D7D">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p>
    <w:p w14:paraId="21919191">
      <w:pPr>
        <w:pageBreakBefore w:val="0"/>
        <w:widowControl w:val="0"/>
        <w:wordWrap/>
        <w:overflowPunct/>
        <w:topLinePunct w:val="0"/>
        <w:autoSpaceDE/>
        <w:autoSpaceDN/>
        <w:bidi w:val="0"/>
        <w:spacing w:line="600" w:lineRule="exact"/>
        <w:textAlignment w:val="auto"/>
        <w:outlineLvl w:val="1"/>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附件A:废标条件</w:t>
      </w:r>
      <w:bookmarkEnd w:id="727"/>
    </w:p>
    <w:p w14:paraId="4CF0DB62">
      <w:pPr>
        <w:pageBreakBefore w:val="0"/>
        <w:widowControl w:val="0"/>
        <w:wordWrap/>
        <w:overflowPunct/>
        <w:topLinePunct w:val="0"/>
        <w:autoSpaceDE/>
        <w:autoSpaceDN/>
        <w:bidi w:val="0"/>
        <w:adjustRightInd w:val="0"/>
        <w:snapToGrid w:val="0"/>
        <w:spacing w:line="600" w:lineRule="exact"/>
        <w:jc w:val="center"/>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废 标 条 件</w:t>
      </w:r>
    </w:p>
    <w:p w14:paraId="07D8A891">
      <w:pPr>
        <w:pageBreakBefore w:val="0"/>
        <w:widowControl w:val="0"/>
        <w:wordWrap/>
        <w:overflowPunct/>
        <w:topLinePunct w:val="0"/>
        <w:autoSpaceDE/>
        <w:autoSpaceDN/>
        <w:bidi w:val="0"/>
        <w:spacing w:line="600" w:lineRule="exact"/>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A0. 总  则</w:t>
      </w:r>
    </w:p>
    <w:p w14:paraId="6BDC87C5">
      <w:pPr>
        <w:pageBreakBefore w:val="0"/>
        <w:widowControl w:val="0"/>
        <w:wordWrap/>
        <w:overflowPunct/>
        <w:topLinePunct w:val="0"/>
        <w:autoSpaceDE/>
        <w:autoSpaceDN/>
        <w:bidi w:val="0"/>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本附件所集中所示的否决投标条件，是本章“评标办法”的组成部分，是对本章正文部分所归定否决投标条件的总结和补充，如果出现相互矛盾的情况，以本章正文部分的规定为准。</w:t>
      </w:r>
    </w:p>
    <w:p w14:paraId="3E4BFFD2">
      <w:pPr>
        <w:pageBreakBefore w:val="0"/>
        <w:widowControl w:val="0"/>
        <w:wordWrap/>
        <w:overflowPunct/>
        <w:topLinePunct w:val="0"/>
        <w:autoSpaceDE/>
        <w:autoSpaceDN/>
        <w:bidi w:val="0"/>
        <w:spacing w:line="600" w:lineRule="exact"/>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A1. 否决投标条件</w:t>
      </w:r>
    </w:p>
    <w:p w14:paraId="7E8639A6">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供应商或其投标文件有下列情形之一的，否决其投标：</w:t>
      </w:r>
    </w:p>
    <w:p w14:paraId="65CE2212">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（1）投标单位未经过正常渠道领取招标文件，或投标单位名称与领取招标文件时登记的投标单位名称不符的；</w:t>
      </w:r>
    </w:p>
    <w:p w14:paraId="50DB8B0D">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（2）未按招标文件规定要求签署、盖章的；无响应有效期或有效期达不到招标文件要求的；</w:t>
      </w:r>
    </w:p>
    <w:p w14:paraId="66A226DA">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（3）投标文件未按照投标文件格式及内容要求填写的；</w:t>
      </w:r>
    </w:p>
    <w:p w14:paraId="78C7250F">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（4）投标单位针对同一项目递交两份或多份内容不同的投标文件，未书面声明哪一份是有效的或出现选择性报价的；</w:t>
      </w:r>
    </w:p>
    <w:p w14:paraId="64C01DE9">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（5）未按招标文件要求提供资格证明文件原件或提供的原件缺项；</w:t>
      </w:r>
    </w:p>
    <w:p w14:paraId="4780FA4E">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（6）提供虚假资质、虚假证明（包括第三方提供的虚假证明）的，除按无效文件处理外，还将按照有关规定进行处罚；</w:t>
      </w:r>
    </w:p>
    <w:p w14:paraId="01156676">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（7）附有采购人、采购代理机构不能接受的条款和商务响应方面（付款条件、</w:t>
      </w:r>
      <w:r>
        <w:rPr>
          <w:rFonts w:hint="eastAsia" w:ascii="宋体" w:hAnsi="宋体" w:eastAsia="宋体" w:cs="宋体"/>
          <w:color w:val="000000" w:themeColor="text1"/>
          <w:spacing w:val="4"/>
          <w:sz w:val="24"/>
          <w:szCs w:val="24"/>
          <w:lang w:eastAsia="zh-CN"/>
          <w14:textFill>
            <w14:solidFill>
              <w14:schemeClr w14:val="tx1"/>
            </w14:solidFill>
          </w14:textFill>
        </w:rPr>
        <w:t>服务期限</w:t>
      </w:r>
      <w:r>
        <w:rPr>
          <w:rFonts w:hint="eastAsia" w:ascii="宋体" w:hAnsi="宋体" w:eastAsia="宋体" w:cs="宋体"/>
          <w:color w:val="000000" w:themeColor="text1"/>
          <w:spacing w:val="4"/>
          <w:sz w:val="24"/>
          <w:szCs w:val="24"/>
          <w14:textFill>
            <w14:solidFill>
              <w14:schemeClr w14:val="tx1"/>
            </w14:solidFill>
          </w14:textFill>
        </w:rPr>
        <w:t>）与招标文件要求不一致的；</w:t>
      </w:r>
    </w:p>
    <w:p w14:paraId="42A20212">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（8）在政府采购或其它重大项目履约过程中有不良记录，不能按期履约的；</w:t>
      </w:r>
    </w:p>
    <w:p w14:paraId="0A82307B">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（9）投标报价与市场价偏离较大，低于成本，形成不正当竞争的；</w:t>
      </w:r>
    </w:p>
    <w:p w14:paraId="5274A8FB">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（10）有重大缺漏项的；</w:t>
      </w:r>
    </w:p>
    <w:p w14:paraId="18F56AD9">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（11）以他人名义进行投标的；</w:t>
      </w:r>
    </w:p>
    <w:p w14:paraId="057CDDE7">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（12）供应商无法定代表人授权书或其授权书的有效性不符合招标文件规定的；</w:t>
      </w:r>
    </w:p>
    <w:p w14:paraId="5778FABC">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（13）供应商有串通投标、弄虚作假、行贿等违法行为的。</w:t>
      </w:r>
    </w:p>
    <w:p w14:paraId="4977ADD3">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（14）投标内容不完整；</w:t>
      </w:r>
    </w:p>
    <w:p w14:paraId="04B9961C">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（15）供应商的商务响应达不到招标文件要求；</w:t>
      </w:r>
    </w:p>
    <w:p w14:paraId="26DFE12F">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（16）不按评标委员会要求澄清、说明或补正的。</w:t>
      </w:r>
    </w:p>
    <w:p w14:paraId="24947FC6">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（17）评标委员会认定供应商以低于成本报价竞标的。</w:t>
      </w:r>
    </w:p>
    <w:p w14:paraId="2E07FE61">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（18）提供的投标文件电子版不能正常参与评标的。</w:t>
      </w:r>
    </w:p>
    <w:p w14:paraId="1CB86F7C">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（19）其他经评标委员会确认的未能实质性响应招标文件要求的。</w:t>
      </w:r>
    </w:p>
    <w:p w14:paraId="4A1A6880">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（20）投标文件电子版无法打开或主要内容无法显示，影响正常评标。</w:t>
      </w:r>
    </w:p>
    <w:p w14:paraId="6F87A5D9">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（21）未按时缴纳投标保证金的。</w:t>
      </w:r>
    </w:p>
    <w:p w14:paraId="32D4EF66">
      <w:pPr>
        <w:pageBreakBefore w:val="0"/>
        <w:widowControl w:val="0"/>
        <w:wordWrap/>
        <w:overflowPunct/>
        <w:topLinePunct w:val="0"/>
        <w:autoSpaceDE/>
        <w:autoSpaceDN/>
        <w:bidi w:val="0"/>
        <w:spacing w:line="600" w:lineRule="exact"/>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A2 . 串通投标</w:t>
      </w:r>
    </w:p>
    <w:p w14:paraId="2BB81C58">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有下列情形之一的，属于投标人相互串通投标：</w:t>
      </w:r>
    </w:p>
    <w:p w14:paraId="09B86096">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（1）投标人之间协商投标报价等投标文件的实质性内容；</w:t>
      </w:r>
    </w:p>
    <w:p w14:paraId="2BB64568">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（2）投标人之间约定</w:t>
      </w:r>
      <w:r>
        <w:rPr>
          <w:rFonts w:hint="eastAsia" w:ascii="宋体" w:hAnsi="宋体" w:eastAsia="宋体" w:cs="宋体"/>
          <w:color w:val="000000" w:themeColor="text1"/>
          <w:spacing w:val="4"/>
          <w:sz w:val="24"/>
          <w:szCs w:val="24"/>
          <w:lang w:eastAsia="zh-CN"/>
          <w14:textFill>
            <w14:solidFill>
              <w14:schemeClr w14:val="tx1"/>
            </w14:solidFill>
          </w14:textFill>
        </w:rPr>
        <w:t>中标</w:t>
      </w:r>
      <w:r>
        <w:rPr>
          <w:rFonts w:hint="eastAsia" w:ascii="宋体" w:hAnsi="宋体" w:eastAsia="宋体" w:cs="宋体"/>
          <w:color w:val="000000" w:themeColor="text1"/>
          <w:spacing w:val="4"/>
          <w:sz w:val="24"/>
          <w:szCs w:val="24"/>
          <w14:textFill>
            <w14:solidFill>
              <w14:schemeClr w14:val="tx1"/>
            </w14:solidFill>
          </w14:textFill>
        </w:rPr>
        <w:t>投标人；</w:t>
      </w:r>
    </w:p>
    <w:p w14:paraId="69F62F35">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（3）投标人之间约定部分投标人放弃投标或者</w:t>
      </w:r>
      <w:r>
        <w:rPr>
          <w:rFonts w:hint="eastAsia" w:ascii="宋体" w:hAnsi="宋体" w:eastAsia="宋体" w:cs="宋体"/>
          <w:color w:val="000000" w:themeColor="text1"/>
          <w:spacing w:val="4"/>
          <w:sz w:val="24"/>
          <w:szCs w:val="24"/>
          <w:lang w:eastAsia="zh-CN"/>
          <w14:textFill>
            <w14:solidFill>
              <w14:schemeClr w14:val="tx1"/>
            </w14:solidFill>
          </w14:textFill>
        </w:rPr>
        <w:t>中标</w:t>
      </w:r>
      <w:r>
        <w:rPr>
          <w:rFonts w:hint="eastAsia" w:ascii="宋体" w:hAnsi="宋体" w:eastAsia="宋体" w:cs="宋体"/>
          <w:color w:val="000000" w:themeColor="text1"/>
          <w:spacing w:val="4"/>
          <w:sz w:val="24"/>
          <w:szCs w:val="24"/>
          <w14:textFill>
            <w14:solidFill>
              <w14:schemeClr w14:val="tx1"/>
            </w14:solidFill>
          </w14:textFill>
        </w:rPr>
        <w:t>；</w:t>
      </w:r>
    </w:p>
    <w:p w14:paraId="3E70942E">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（4）属于同一集团、协会、商会等组织成员的投标人按照该组织要求协同投标；</w:t>
      </w:r>
    </w:p>
    <w:p w14:paraId="6144B2BC">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（5）投标人之间为谋</w:t>
      </w:r>
      <w:r>
        <w:rPr>
          <w:rFonts w:hint="eastAsia" w:ascii="宋体" w:hAnsi="宋体" w:eastAsia="宋体" w:cs="宋体"/>
          <w:color w:val="000000" w:themeColor="text1"/>
          <w:spacing w:val="4"/>
          <w:sz w:val="24"/>
          <w:szCs w:val="24"/>
          <w:lang w:eastAsia="zh-CN"/>
          <w14:textFill>
            <w14:solidFill>
              <w14:schemeClr w14:val="tx1"/>
            </w14:solidFill>
          </w14:textFill>
        </w:rPr>
        <w:t>中标</w:t>
      </w:r>
      <w:r>
        <w:rPr>
          <w:rFonts w:hint="eastAsia" w:ascii="宋体" w:hAnsi="宋体" w:eastAsia="宋体" w:cs="宋体"/>
          <w:color w:val="000000" w:themeColor="text1"/>
          <w:spacing w:val="4"/>
          <w:sz w:val="24"/>
          <w:szCs w:val="24"/>
          <w14:textFill>
            <w14:solidFill>
              <w14:schemeClr w14:val="tx1"/>
            </w14:solidFill>
          </w14:textFill>
        </w:rPr>
        <w:t>或者排斥特定投标人而采取的其他联合行动。</w:t>
      </w:r>
    </w:p>
    <w:p w14:paraId="75322C58">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有下列情形之一的，视为投标人相互串通投标：</w:t>
      </w:r>
    </w:p>
    <w:p w14:paraId="6FC9A271">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（1）不同投标人的投标文件由同一单位或者个人编制；</w:t>
      </w:r>
    </w:p>
    <w:p w14:paraId="3A6FFEDC">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（2）不同投标人委托同一单位或者个人办理投标事宜；</w:t>
      </w:r>
    </w:p>
    <w:p w14:paraId="6E45B506">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（3）不同投标人的投标文件载明的项目管理成员为同一人；</w:t>
      </w:r>
    </w:p>
    <w:p w14:paraId="5C520E0B">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（4）不同投标人的投标文件异常一致或者投标报价呈规律性差异；</w:t>
      </w:r>
    </w:p>
    <w:p w14:paraId="5F34A2C9">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（5）不同投标人的投标文件相互混装；</w:t>
      </w:r>
    </w:p>
    <w:p w14:paraId="42B97FE9">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（6）不同投标人的投标保证金从同一单位或者个人的账户转出。</w:t>
      </w:r>
    </w:p>
    <w:p w14:paraId="7901F4C3">
      <w:pPr>
        <w:pageBreakBefore w:val="0"/>
        <w:widowControl w:val="0"/>
        <w:wordWrap/>
        <w:overflowPunct/>
        <w:topLinePunct w:val="0"/>
        <w:autoSpaceDE/>
        <w:autoSpaceDN/>
        <w:bidi w:val="0"/>
        <w:spacing w:line="600" w:lineRule="exact"/>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A3. 弄虚作假</w:t>
      </w:r>
    </w:p>
    <w:p w14:paraId="0E22EE3C">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投标人有下列情形之一的，属于弄虚作假的行为：</w:t>
      </w:r>
    </w:p>
    <w:p w14:paraId="5E59E815">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lang w:val="en-US" w:eastAsia="zh-CN"/>
          <w14:textFill>
            <w14:solidFill>
              <w14:schemeClr w14:val="tx1"/>
            </w14:solidFill>
          </w14:textFill>
        </w:rPr>
        <w:t>1</w:t>
      </w: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14:textFill>
            <w14:solidFill>
              <w14:schemeClr w14:val="tx1"/>
            </w14:solidFill>
          </w14:textFill>
        </w:rPr>
        <w:t>使用伪造、变造的许可证件；</w:t>
      </w:r>
    </w:p>
    <w:p w14:paraId="71C0A8DC">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lang w:val="en-US" w:eastAsia="zh-CN"/>
          <w14:textFill>
            <w14:solidFill>
              <w14:schemeClr w14:val="tx1"/>
            </w14:solidFill>
          </w14:textFill>
        </w:rPr>
        <w:t>2</w:t>
      </w: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14:textFill>
            <w14:solidFill>
              <w14:schemeClr w14:val="tx1"/>
            </w14:solidFill>
          </w14:textFill>
        </w:rPr>
        <w:t xml:space="preserve"> 提供虚假的财务状况或者业绩；</w:t>
      </w:r>
    </w:p>
    <w:p w14:paraId="7B455015">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lang w:val="en-US" w:eastAsia="zh-CN"/>
          <w14:textFill>
            <w14:solidFill>
              <w14:schemeClr w14:val="tx1"/>
            </w14:solidFill>
          </w14:textFill>
        </w:rPr>
        <w:t>3</w:t>
      </w: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14:textFill>
            <w14:solidFill>
              <w14:schemeClr w14:val="tx1"/>
            </w14:solidFill>
          </w14:textFill>
        </w:rPr>
        <w:t>提供虚假的项目负责人或者技术人员简历、劳动关系证明；</w:t>
      </w:r>
    </w:p>
    <w:p w14:paraId="28923050">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lang w:val="en-US" w:eastAsia="zh-CN"/>
          <w14:textFill>
            <w14:solidFill>
              <w14:schemeClr w14:val="tx1"/>
            </w14:solidFill>
          </w14:textFill>
        </w:rPr>
        <w:t>4</w:t>
      </w: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14:textFill>
            <w14:solidFill>
              <w14:schemeClr w14:val="tx1"/>
            </w14:solidFill>
          </w14:textFill>
        </w:rPr>
        <w:t>提供虚假的信用状况；</w:t>
      </w:r>
    </w:p>
    <w:p w14:paraId="304B124E">
      <w:pPr>
        <w:keepNext w:val="0"/>
        <w:keepLines w:val="0"/>
        <w:pageBreakBefore w:val="0"/>
        <w:widowControl w:val="0"/>
        <w:kinsoku/>
        <w:wordWrap/>
        <w:overflowPunct/>
        <w:topLinePunct w:val="0"/>
        <w:autoSpaceDE/>
        <w:autoSpaceDN/>
        <w:bidi w:val="0"/>
        <w:adjustRightInd/>
        <w:snapToGrid/>
        <w:spacing w:line="600" w:lineRule="exact"/>
        <w:ind w:firstLine="496" w:firstLineChars="200"/>
        <w:textAlignment w:val="auto"/>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lang w:val="en-US" w:eastAsia="zh-CN"/>
          <w14:textFill>
            <w14:solidFill>
              <w14:schemeClr w14:val="tx1"/>
            </w14:solidFill>
          </w14:textFill>
        </w:rPr>
        <w:t>5</w:t>
      </w:r>
      <w:r>
        <w:rPr>
          <w:rFonts w:hint="eastAsia" w:ascii="宋体" w:hAnsi="宋体" w:eastAsia="宋体" w:cs="宋体"/>
          <w:color w:val="000000" w:themeColor="text1"/>
          <w:spacing w:val="4"/>
          <w:sz w:val="24"/>
          <w:szCs w:val="24"/>
          <w:lang w:eastAsia="zh-CN"/>
          <w14:textFill>
            <w14:solidFill>
              <w14:schemeClr w14:val="tx1"/>
            </w14:solidFill>
          </w14:textFill>
        </w:rPr>
        <w:t>）</w:t>
      </w:r>
      <w:r>
        <w:rPr>
          <w:rFonts w:hint="eastAsia" w:ascii="宋体" w:hAnsi="宋体" w:eastAsia="宋体" w:cs="宋体"/>
          <w:color w:val="000000" w:themeColor="text1"/>
          <w:spacing w:val="4"/>
          <w:sz w:val="24"/>
          <w:szCs w:val="24"/>
          <w14:textFill>
            <w14:solidFill>
              <w14:schemeClr w14:val="tx1"/>
            </w14:solidFill>
          </w14:textFill>
        </w:rPr>
        <w:t xml:space="preserve"> 其他弄虚作假的行为。</w:t>
      </w:r>
    </w:p>
    <w:p w14:paraId="267991E3">
      <w:pPr>
        <w:pStyle w:val="5"/>
        <w:pageBreakBefore w:val="0"/>
        <w:widowControl w:val="0"/>
        <w:wordWrap/>
        <w:overflowPunct/>
        <w:topLinePunct w:val="0"/>
        <w:autoSpaceDE/>
        <w:autoSpaceDN/>
        <w:bidi w:val="0"/>
        <w:spacing w:line="600" w:lineRule="exact"/>
        <w:textAlignment w:val="auto"/>
        <w:rPr>
          <w:rFonts w:hint="eastAsia" w:ascii="宋体" w:hAnsi="宋体" w:eastAsia="宋体" w:cs="宋体"/>
          <w:color w:val="000000" w:themeColor="text1"/>
          <w:sz w:val="24"/>
          <w:szCs w:val="24"/>
          <w14:textFill>
            <w14:solidFill>
              <w14:schemeClr w14:val="tx1"/>
            </w14:solidFill>
          </w14:textFill>
        </w:rPr>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p>
    <w:bookmarkEnd w:id="493"/>
    <w:bookmarkEnd w:id="494"/>
    <w:bookmarkEnd w:id="495"/>
    <w:p w14:paraId="2981D78C">
      <w:pPr>
        <w:pStyle w:val="2"/>
        <w:pageBreakBefore w:val="0"/>
        <w:widowControl w:val="0"/>
        <w:numPr>
          <w:ilvl w:val="0"/>
          <w:numId w:val="0"/>
        </w:numPr>
        <w:wordWrap/>
        <w:overflowPunct/>
        <w:topLinePunct w:val="0"/>
        <w:autoSpaceDE/>
        <w:autoSpaceDN/>
        <w:bidi w:val="0"/>
        <w:spacing w:before="0" w:after="0" w:line="600" w:lineRule="exact"/>
        <w:jc w:val="center"/>
        <w:textAlignment w:val="auto"/>
        <w:rPr>
          <w:rFonts w:hint="eastAsia" w:ascii="宋体" w:hAnsi="宋体" w:eastAsia="宋体" w:cs="宋体"/>
          <w:color w:val="000000" w:themeColor="text1"/>
          <w:sz w:val="30"/>
          <w:szCs w:val="30"/>
          <w14:textFill>
            <w14:solidFill>
              <w14:schemeClr w14:val="tx1"/>
            </w14:solidFill>
          </w14:textFill>
        </w:rPr>
      </w:pPr>
      <w:bookmarkStart w:id="832" w:name="_Toc3834"/>
      <w:bookmarkStart w:id="833" w:name="_Toc31421"/>
      <w:bookmarkStart w:id="834" w:name="_Toc132"/>
      <w:bookmarkStart w:id="835" w:name="_Toc13863"/>
      <w:bookmarkStart w:id="836" w:name="_Toc5347"/>
      <w:r>
        <w:rPr>
          <w:rFonts w:hint="eastAsia" w:ascii="宋体" w:hAnsi="宋体" w:eastAsia="宋体" w:cs="宋体"/>
          <w:b/>
          <w:bCs/>
          <w:color w:val="000000" w:themeColor="text1"/>
          <w:kern w:val="44"/>
          <w:sz w:val="30"/>
          <w:szCs w:val="30"/>
          <w:lang w:val="en-US" w:eastAsia="zh-CN" w:bidi="ar-SA"/>
          <w14:textFill>
            <w14:solidFill>
              <w14:schemeClr w14:val="tx1"/>
            </w14:solidFill>
          </w14:textFill>
        </w:rPr>
        <w:t>第五章</w:t>
      </w:r>
      <w:r>
        <w:rPr>
          <w:rFonts w:hint="eastAsia" w:ascii="宋体" w:hAnsi="宋体" w:cs="宋体"/>
          <w:b/>
          <w:bCs/>
          <w:color w:val="000000" w:themeColor="text1"/>
          <w:kern w:val="44"/>
          <w:sz w:val="30"/>
          <w:szCs w:val="30"/>
          <w:lang w:val="en-US" w:eastAsia="zh-CN" w:bidi="ar-SA"/>
          <w14:textFill>
            <w14:solidFill>
              <w14:schemeClr w14:val="tx1"/>
            </w14:solidFill>
          </w14:textFill>
        </w:rPr>
        <w:t xml:space="preserve"> </w:t>
      </w:r>
      <w:r>
        <w:rPr>
          <w:rFonts w:hint="eastAsia" w:ascii="宋体" w:hAnsi="宋体" w:eastAsia="宋体" w:cs="宋体"/>
          <w:color w:val="000000" w:themeColor="text1"/>
          <w:sz w:val="30"/>
          <w:szCs w:val="30"/>
          <w14:textFill>
            <w14:solidFill>
              <w14:schemeClr w14:val="tx1"/>
            </w14:solidFill>
          </w14:textFill>
        </w:rPr>
        <w:t>合同（拟签订</w:t>
      </w:r>
      <w:r>
        <w:rPr>
          <w:rFonts w:hint="eastAsia" w:ascii="宋体" w:hAnsi="宋体" w:cs="宋体"/>
          <w:color w:val="000000" w:themeColor="text1"/>
          <w:sz w:val="30"/>
          <w:szCs w:val="30"/>
          <w:lang w:val="en-US" w:eastAsia="zh-CN"/>
          <w14:textFill>
            <w14:solidFill>
              <w14:schemeClr w14:val="tx1"/>
            </w14:solidFill>
          </w14:textFill>
        </w:rPr>
        <w:t>合同</w:t>
      </w:r>
      <w:r>
        <w:rPr>
          <w:rFonts w:hint="eastAsia" w:ascii="宋体" w:hAnsi="宋体" w:eastAsia="宋体" w:cs="宋体"/>
          <w:color w:val="000000" w:themeColor="text1"/>
          <w:sz w:val="30"/>
          <w:szCs w:val="30"/>
          <w14:textFill>
            <w14:solidFill>
              <w14:schemeClr w14:val="tx1"/>
            </w14:solidFill>
          </w14:textFill>
        </w:rPr>
        <w:t>文本）</w:t>
      </w:r>
      <w:bookmarkEnd w:id="832"/>
      <w:bookmarkEnd w:id="833"/>
      <w:bookmarkEnd w:id="834"/>
    </w:p>
    <w:p w14:paraId="4348C052">
      <w:pPr>
        <w:rPr>
          <w:rFonts w:hint="eastAsia"/>
          <w:color w:val="000000" w:themeColor="text1"/>
          <w14:textFill>
            <w14:solidFill>
              <w14:schemeClr w14:val="tx1"/>
            </w14:solidFill>
          </w14:textFill>
        </w:rPr>
      </w:pPr>
    </w:p>
    <w:p w14:paraId="7B05D771">
      <w:pPr>
        <w:pageBreakBefore w:val="0"/>
        <w:widowControl w:val="0"/>
        <w:numPr>
          <w:ilvl w:val="0"/>
          <w:numId w:val="0"/>
        </w:numPr>
        <w:wordWrap/>
        <w:overflowPunct/>
        <w:topLinePunct w:val="0"/>
        <w:autoSpaceDE/>
        <w:autoSpaceDN/>
        <w:bidi w:val="0"/>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p>
    <w:p w14:paraId="281078C1">
      <w:pPr>
        <w:pageBreakBefore w:val="0"/>
        <w:widowControl w:val="0"/>
        <w:numPr>
          <w:ilvl w:val="0"/>
          <w:numId w:val="0"/>
        </w:numPr>
        <w:wordWrap/>
        <w:overflowPunct/>
        <w:topLinePunct w:val="0"/>
        <w:autoSpaceDE/>
        <w:autoSpaceDN/>
        <w:bidi w:val="0"/>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p>
    <w:p w14:paraId="5BA0242A">
      <w:pPr>
        <w:pageBreakBefore w:val="0"/>
        <w:widowControl w:val="0"/>
        <w:numPr>
          <w:ilvl w:val="0"/>
          <w:numId w:val="0"/>
        </w:numPr>
        <w:wordWrap/>
        <w:overflowPunct/>
        <w:topLinePunct w:val="0"/>
        <w:autoSpaceDE/>
        <w:autoSpaceDN/>
        <w:bidi w:val="0"/>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p>
    <w:p w14:paraId="6DA3E8E6">
      <w:pPr>
        <w:pStyle w:val="11"/>
        <w:pageBreakBefore w:val="0"/>
        <w:kinsoku/>
        <w:wordWrap/>
        <w:overflowPunct/>
        <w:topLinePunct w:val="0"/>
        <w:bidi w:val="0"/>
        <w:spacing w:after="0" w:line="560" w:lineRule="exact"/>
        <w:jc w:val="center"/>
        <w:textAlignment w:val="auto"/>
        <w:rPr>
          <w:rFonts w:hint="eastAsia" w:ascii="宋体" w:hAnsi="宋体" w:eastAsia="宋体" w:cs="宋体"/>
          <w:b/>
          <w:bCs/>
          <w:color w:val="000000" w:themeColor="text1"/>
          <w:spacing w:val="0"/>
          <w:kern w:val="44"/>
          <w:sz w:val="28"/>
          <w:szCs w:val="28"/>
          <w14:textFill>
            <w14:solidFill>
              <w14:schemeClr w14:val="tx1"/>
            </w14:solidFill>
          </w14:textFill>
        </w:rPr>
      </w:pPr>
      <w:r>
        <w:rPr>
          <w:rFonts w:hint="eastAsia" w:ascii="宋体" w:hAnsi="宋体" w:eastAsia="宋体" w:cs="宋体"/>
          <w:b/>
          <w:bCs/>
          <w:color w:val="000000" w:themeColor="text1"/>
          <w:spacing w:val="0"/>
          <w:kern w:val="44"/>
          <w:sz w:val="28"/>
          <w:szCs w:val="28"/>
          <w14:textFill>
            <w14:solidFill>
              <w14:schemeClr w14:val="tx1"/>
            </w14:solidFill>
          </w14:textFill>
        </w:rPr>
        <w:t>政府采购</w:t>
      </w:r>
      <w:r>
        <w:rPr>
          <w:rFonts w:hint="eastAsia" w:ascii="宋体" w:hAnsi="宋体" w:eastAsia="宋体" w:cs="宋体"/>
          <w:b/>
          <w:bCs/>
          <w:color w:val="000000" w:themeColor="text1"/>
          <w:spacing w:val="0"/>
          <w:kern w:val="44"/>
          <w:sz w:val="28"/>
          <w:szCs w:val="28"/>
          <w:lang w:eastAsia="zh-CN"/>
          <w14:textFill>
            <w14:solidFill>
              <w14:schemeClr w14:val="tx1"/>
            </w14:solidFill>
          </w14:textFill>
        </w:rPr>
        <w:t>货物买卖</w:t>
      </w:r>
      <w:r>
        <w:rPr>
          <w:rFonts w:hint="eastAsia" w:ascii="宋体" w:hAnsi="宋体" w:eastAsia="宋体" w:cs="宋体"/>
          <w:b/>
          <w:bCs/>
          <w:color w:val="000000" w:themeColor="text1"/>
          <w:spacing w:val="0"/>
          <w:kern w:val="44"/>
          <w:sz w:val="28"/>
          <w:szCs w:val="28"/>
          <w14:textFill>
            <w14:solidFill>
              <w14:schemeClr w14:val="tx1"/>
            </w14:solidFill>
          </w14:textFill>
        </w:rPr>
        <w:t>合同</w:t>
      </w:r>
    </w:p>
    <w:p w14:paraId="6FC6B31D">
      <w:pPr>
        <w:rPr>
          <w:rFonts w:hint="eastAsia"/>
        </w:rPr>
      </w:pPr>
    </w:p>
    <w:p w14:paraId="667EE0D0">
      <w:pPr>
        <w:pageBreakBefore w:val="0"/>
        <w:kinsoku/>
        <w:wordWrap/>
        <w:overflowPunct/>
        <w:topLinePunct w:val="0"/>
        <w:bidi w:val="0"/>
        <w:spacing w:line="560" w:lineRule="exact"/>
        <w:textAlignment w:val="auto"/>
        <w:rPr>
          <w:rFonts w:hint="eastAsia" w:ascii="宋体" w:hAnsi="宋体" w:eastAsia="宋体" w:cs="宋体"/>
          <w:b/>
          <w:bCs/>
          <w:color w:val="000000" w:themeColor="text1"/>
          <w:spacing w:val="-20"/>
          <w:kern w:val="44"/>
          <w:sz w:val="24"/>
          <w:szCs w:val="24"/>
          <w14:textFill>
            <w14:solidFill>
              <w14:schemeClr w14:val="tx1"/>
            </w14:solidFill>
          </w14:textFill>
        </w:rPr>
      </w:pPr>
    </w:p>
    <w:p w14:paraId="738B29EA">
      <w:pPr>
        <w:pageBreakBefore w:val="0"/>
        <w:kinsoku/>
        <w:wordWrap/>
        <w:overflowPunct/>
        <w:topLinePunct w:val="0"/>
        <w:bidi w:val="0"/>
        <w:spacing w:line="560" w:lineRule="exact"/>
        <w:textAlignment w:val="auto"/>
        <w:rPr>
          <w:rFonts w:hint="eastAsia" w:ascii="宋体" w:hAnsi="宋体" w:eastAsia="宋体" w:cs="宋体"/>
          <w:b/>
          <w:bCs/>
          <w:color w:val="000000" w:themeColor="text1"/>
          <w:spacing w:val="-20"/>
          <w:kern w:val="44"/>
          <w:sz w:val="24"/>
          <w:szCs w:val="24"/>
          <w14:textFill>
            <w14:solidFill>
              <w14:schemeClr w14:val="tx1"/>
            </w14:solidFill>
          </w14:textFill>
        </w:rPr>
      </w:pPr>
    </w:p>
    <w:p w14:paraId="380573D5">
      <w:pPr>
        <w:pageBreakBefore w:val="0"/>
        <w:kinsoku/>
        <w:wordWrap/>
        <w:overflowPunct/>
        <w:topLinePunct w:val="0"/>
        <w:bidi w:val="0"/>
        <w:spacing w:line="560" w:lineRule="exact"/>
        <w:textAlignment w:val="auto"/>
        <w:rPr>
          <w:rFonts w:hint="eastAsia" w:ascii="宋体" w:hAnsi="宋体" w:eastAsia="宋体" w:cs="宋体"/>
          <w:b/>
          <w:bCs/>
          <w:color w:val="000000" w:themeColor="text1"/>
          <w:spacing w:val="-20"/>
          <w:kern w:val="44"/>
          <w:sz w:val="24"/>
          <w:szCs w:val="24"/>
          <w14:textFill>
            <w14:solidFill>
              <w14:schemeClr w14:val="tx1"/>
            </w14:solidFill>
          </w14:textFill>
        </w:rPr>
      </w:pPr>
    </w:p>
    <w:p w14:paraId="00832E6A">
      <w:pPr>
        <w:pageBreakBefore w:val="0"/>
        <w:kinsoku/>
        <w:wordWrap/>
        <w:overflowPunct/>
        <w:topLinePunct w:val="0"/>
        <w:bidi w:val="0"/>
        <w:spacing w:line="560" w:lineRule="exact"/>
        <w:textAlignment w:val="auto"/>
        <w:rPr>
          <w:rFonts w:hint="eastAsia" w:ascii="宋体" w:hAnsi="宋体" w:eastAsia="宋体" w:cs="宋体"/>
          <w:b/>
          <w:bCs/>
          <w:color w:val="000000" w:themeColor="text1"/>
          <w:spacing w:val="-20"/>
          <w:kern w:val="44"/>
          <w:sz w:val="24"/>
          <w:szCs w:val="24"/>
          <w14:textFill>
            <w14:solidFill>
              <w14:schemeClr w14:val="tx1"/>
            </w14:solidFill>
          </w14:textFill>
        </w:rPr>
      </w:pPr>
    </w:p>
    <w:p w14:paraId="6F246398">
      <w:pPr>
        <w:pageBreakBefore w:val="0"/>
        <w:kinsoku/>
        <w:wordWrap/>
        <w:overflowPunct/>
        <w:topLinePunct w:val="0"/>
        <w:bidi w:val="0"/>
        <w:spacing w:line="560" w:lineRule="exact"/>
        <w:textAlignment w:val="auto"/>
        <w:rPr>
          <w:rFonts w:hint="eastAsia" w:ascii="宋体" w:hAnsi="宋体" w:eastAsia="宋体" w:cs="宋体"/>
          <w:b/>
          <w:bCs/>
          <w:color w:val="000000" w:themeColor="text1"/>
          <w:spacing w:val="-20"/>
          <w:kern w:val="44"/>
          <w:sz w:val="24"/>
          <w:szCs w:val="24"/>
          <w14:textFill>
            <w14:solidFill>
              <w14:schemeClr w14:val="tx1"/>
            </w14:solidFill>
          </w14:textFill>
        </w:rPr>
      </w:pPr>
    </w:p>
    <w:p w14:paraId="5BEE7761">
      <w:pPr>
        <w:pageBreakBefore w:val="0"/>
        <w:kinsoku/>
        <w:wordWrap/>
        <w:overflowPunct/>
        <w:topLinePunct w:val="0"/>
        <w:bidi w:val="0"/>
        <w:spacing w:line="560" w:lineRule="exact"/>
        <w:textAlignment w:val="auto"/>
        <w:rPr>
          <w:rFonts w:hint="eastAsia" w:ascii="宋体" w:hAnsi="宋体" w:eastAsia="宋体" w:cs="宋体"/>
          <w:b/>
          <w:bCs/>
          <w:color w:val="000000" w:themeColor="text1"/>
          <w:spacing w:val="-20"/>
          <w:kern w:val="44"/>
          <w:sz w:val="24"/>
          <w:szCs w:val="24"/>
          <w14:textFill>
            <w14:solidFill>
              <w14:schemeClr w14:val="tx1"/>
            </w14:solidFill>
          </w14:textFill>
        </w:rPr>
      </w:pPr>
    </w:p>
    <w:p w14:paraId="2551D699">
      <w:pPr>
        <w:pageBreakBefore w:val="0"/>
        <w:kinsoku/>
        <w:wordWrap/>
        <w:overflowPunct/>
        <w:topLinePunct w:val="0"/>
        <w:bidi w:val="0"/>
        <w:spacing w:line="560" w:lineRule="exact"/>
        <w:textAlignment w:val="auto"/>
        <w:rPr>
          <w:rFonts w:hint="eastAsia" w:ascii="宋体" w:hAnsi="宋体" w:eastAsia="宋体" w:cs="宋体"/>
          <w:b/>
          <w:bCs/>
          <w:color w:val="000000" w:themeColor="text1"/>
          <w:spacing w:val="-20"/>
          <w:kern w:val="44"/>
          <w:sz w:val="24"/>
          <w:szCs w:val="24"/>
          <w14:textFill>
            <w14:solidFill>
              <w14:schemeClr w14:val="tx1"/>
            </w14:solidFill>
          </w14:textFill>
        </w:rPr>
      </w:pPr>
    </w:p>
    <w:p w14:paraId="307CF3DD">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项目名称：</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2024CF47">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合同编号：</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162E1073">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    方：</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12BE08AD">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    方：</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p>
    <w:p w14:paraId="05BEA327">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签订时间：</w:t>
      </w:r>
    </w:p>
    <w:p w14:paraId="7D49ABA9">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14:textFill>
            <w14:solidFill>
              <w14:schemeClr w14:val="tx1"/>
            </w14:solidFill>
          </w14:textFill>
        </w:rPr>
      </w:pPr>
    </w:p>
    <w:p w14:paraId="1B61D2FA">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14:textFill>
            <w14:solidFill>
              <w14:schemeClr w14:val="tx1"/>
            </w14:solidFill>
          </w14:textFill>
        </w:rPr>
      </w:pPr>
    </w:p>
    <w:p w14:paraId="770CB0ED">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14:textFill>
            <w14:solidFill>
              <w14:schemeClr w14:val="tx1"/>
            </w14:solidFill>
          </w14:textFill>
        </w:rPr>
      </w:pPr>
    </w:p>
    <w:p w14:paraId="658B922B">
      <w:pPr>
        <w:keepNext w:val="0"/>
        <w:keepLines w:val="0"/>
        <w:pageBreakBefore w:val="0"/>
        <w:widowControl w:val="0"/>
        <w:kinsoku/>
        <w:wordWrap/>
        <w:overflowPunct/>
        <w:topLinePunct w:val="0"/>
        <w:autoSpaceDE/>
        <w:autoSpaceDN/>
        <w:bidi w:val="0"/>
        <w:adjustRightInd/>
        <w:snapToGrid/>
        <w:spacing w:line="700" w:lineRule="exact"/>
        <w:ind w:left="420" w:leftChars="200"/>
        <w:textAlignment w:val="auto"/>
        <w:rPr>
          <w:rFonts w:hint="eastAsia" w:ascii="宋体" w:hAnsi="宋体" w:eastAsia="宋体" w:cs="宋体"/>
          <w:color w:val="000000" w:themeColor="text1"/>
          <w:sz w:val="24"/>
          <w:szCs w:val="24"/>
          <w14:textFill>
            <w14:solidFill>
              <w14:schemeClr w14:val="tx1"/>
            </w14:solidFill>
          </w14:textFill>
        </w:rPr>
      </w:pPr>
    </w:p>
    <w:p w14:paraId="29BB3971">
      <w:pPr>
        <w:pageBreakBefore w:val="0"/>
        <w:kinsoku/>
        <w:wordWrap/>
        <w:overflowPunct/>
        <w:topLinePunct w:val="0"/>
        <w:bidi w:val="0"/>
        <w:spacing w:line="560" w:lineRule="exact"/>
        <w:jc w:val="center"/>
        <w:textAlignment w:val="auto"/>
        <w:rPr>
          <w:rFonts w:hint="eastAsia" w:ascii="宋体" w:hAnsi="宋体" w:eastAsia="宋体" w:cs="宋体"/>
          <w:b/>
          <w:bCs/>
          <w:color w:val="000000" w:themeColor="text1"/>
          <w:sz w:val="24"/>
          <w:szCs w:val="24"/>
          <w:lang w:eastAsia="zh-CN"/>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使</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lang w:eastAsia="zh-CN"/>
          <w14:textFill>
            <w14:solidFill>
              <w14:schemeClr w14:val="tx1"/>
            </w14:solidFill>
          </w14:textFill>
        </w:rPr>
        <w:t>用</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lang w:eastAsia="zh-CN"/>
          <w14:textFill>
            <w14:solidFill>
              <w14:schemeClr w14:val="tx1"/>
            </w14:solidFill>
          </w14:textFill>
        </w:rPr>
        <w:t>说</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lang w:eastAsia="zh-CN"/>
          <w14:textFill>
            <w14:solidFill>
              <w14:schemeClr w14:val="tx1"/>
            </w14:solidFill>
          </w14:textFill>
        </w:rPr>
        <w:t>明</w:t>
      </w:r>
    </w:p>
    <w:p w14:paraId="7DEDEB98">
      <w:pPr>
        <w:pageBreakBefore w:val="0"/>
        <w:kinsoku/>
        <w:wordWrap/>
        <w:overflowPunct/>
        <w:topLinePunct w:val="0"/>
        <w:bidi w:val="0"/>
        <w:spacing w:line="56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p>
    <w:p w14:paraId="121DB40D">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1.本合同标准文本适用于购买现成货物的采购项目，不包括需要供应商定制开发、创新研发的货物采购项目。</w:t>
      </w:r>
    </w:p>
    <w:p w14:paraId="03A0B073">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2.本合同标准文本为政府采购货物买卖合同编制提供参考，可以结合采购项目具体情况，对文本作必要的调整修订后使用。</w:t>
      </w:r>
    </w:p>
    <w:p w14:paraId="221CE8B6">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3.本合同标准文本各条款中，如涉及填写多家供应商、制造商，多种采购标的、分包主要内容等信息的，可根据采购项目具体情况添加信息项。</w:t>
      </w:r>
    </w:p>
    <w:p w14:paraId="42730B6D">
      <w:pPr>
        <w:pageBreakBefore w:val="0"/>
        <w:kinsoku/>
        <w:wordWrap/>
        <w:overflowPunct/>
        <w:topLinePunct w:val="0"/>
        <w:bidi w:val="0"/>
        <w:spacing w:line="56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8D027F8">
      <w:pPr>
        <w:spacing w:line="360" w:lineRule="auto"/>
        <w:outlineLvl w:val="9"/>
        <w:rPr>
          <w:rFonts w:hint="eastAsia" w:ascii="宋体" w:hAnsi="宋体" w:eastAsia="宋体" w:cs="宋体"/>
          <w:b/>
          <w:color w:val="000000" w:themeColor="text1"/>
          <w:sz w:val="28"/>
          <w:szCs w:val="28"/>
          <w14:textFill>
            <w14:solidFill>
              <w14:schemeClr w14:val="tx1"/>
            </w14:solidFill>
          </w14:textFill>
        </w:rPr>
      </w:pPr>
      <w:bookmarkStart w:id="837" w:name="_Toc22209"/>
    </w:p>
    <w:p w14:paraId="6B1363CE">
      <w:pPr>
        <w:pStyle w:val="3"/>
        <w:pageBreakBefore w:val="0"/>
        <w:kinsoku/>
        <w:wordWrap/>
        <w:overflowPunct/>
        <w:topLinePunct w:val="0"/>
        <w:bidi w:val="0"/>
        <w:adjustRightInd w:val="0"/>
        <w:snapToGrid w:val="0"/>
        <w:spacing w:beforeLines="0" w:line="56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第一节 政府采购合同协议书</w:t>
      </w:r>
      <w:bookmarkEnd w:id="837"/>
    </w:p>
    <w:p w14:paraId="3B92CFA0">
      <w:pPr>
        <w:pageBreakBefore w:val="0"/>
        <w:kinsoku/>
        <w:wordWrap/>
        <w:overflowPunct/>
        <w:topLinePunct w:val="0"/>
        <w:bidi w:val="0"/>
        <w:adjustRightInd w:val="0"/>
        <w:snapToGrid w:val="0"/>
        <w:spacing w:beforeLines="0" w:line="560" w:lineRule="exact"/>
        <w:jc w:val="center"/>
        <w:textAlignment w:val="auto"/>
        <w:outlineLvl w:val="9"/>
        <w:rPr>
          <w:rFonts w:hint="eastAsia" w:ascii="宋体" w:hAnsi="宋体" w:eastAsia="宋体" w:cs="宋体"/>
          <w:b w:val="0"/>
          <w:bCs w:val="0"/>
          <w:color w:val="000000" w:themeColor="text1"/>
          <w:sz w:val="24"/>
          <w:szCs w:val="24"/>
          <w14:textFill>
            <w14:solidFill>
              <w14:schemeClr w14:val="tx1"/>
            </w14:solidFill>
          </w14:textFill>
        </w:rPr>
      </w:pPr>
    </w:p>
    <w:p w14:paraId="663C98B6">
      <w:pPr>
        <w:pageBreakBefore w:val="0"/>
        <w:kinsoku/>
        <w:wordWrap/>
        <w:overflowPunct/>
        <w:topLinePunct w:val="0"/>
        <w:bidi w:val="0"/>
        <w:adjustRightInd w:val="0"/>
        <w:snapToGrid w:val="0"/>
        <w:spacing w:before="0" w:beforeLines="0" w:line="560" w:lineRule="exact"/>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甲方（全称）：</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2D882AEA">
      <w:pPr>
        <w:pageBreakBefore w:val="0"/>
        <w:kinsoku/>
        <w:wordWrap/>
        <w:overflowPunct/>
        <w:topLinePunct w:val="0"/>
        <w:bidi w:val="0"/>
        <w:adjustRightInd w:val="0"/>
        <w:snapToGrid w:val="0"/>
        <w:spacing w:before="0" w:beforeLines="0" w:line="56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乙方（全称）：</w:t>
      </w:r>
    </w:p>
    <w:p w14:paraId="36E602FD">
      <w:pPr>
        <w:pageBreakBefore w:val="0"/>
        <w:kinsoku/>
        <w:wordWrap/>
        <w:overflowPunct/>
        <w:topLinePunct w:val="0"/>
        <w:bidi w:val="0"/>
        <w:adjustRightInd w:val="0"/>
        <w:snapToGrid w:val="0"/>
        <w:spacing w:before="0" w:beforeLines="0" w:line="560" w:lineRule="exact"/>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代理机构（全称）：</w:t>
      </w:r>
      <w:r>
        <w:rPr>
          <w:rFonts w:hint="eastAsia" w:ascii="宋体" w:hAnsi="宋体" w:eastAsia="宋体" w:cs="宋体"/>
          <w:color w:val="000000" w:themeColor="text1"/>
          <w:sz w:val="24"/>
          <w:szCs w:val="24"/>
          <w:u w:val="single"/>
          <w:lang w:val="en-US" w:eastAsia="zh-CN"/>
          <w14:textFill>
            <w14:solidFill>
              <w14:schemeClr w14:val="tx1"/>
            </w14:solidFill>
          </w14:textFill>
        </w:rPr>
        <w:t>陕西宸永项目管理有限公司</w:t>
      </w:r>
    </w:p>
    <w:p w14:paraId="40480C93">
      <w:pPr>
        <w:pStyle w:val="12"/>
        <w:pageBreakBefore w:val="0"/>
        <w:kinsoku/>
        <w:wordWrap/>
        <w:overflowPunct/>
        <w:topLinePunct w:val="0"/>
        <w:bidi w:val="0"/>
        <w:adjustRightInd w:val="0"/>
        <w:snapToGrid w:val="0"/>
        <w:spacing w:before="0" w:beforeLines="0" w:after="0" w:line="560" w:lineRule="exact"/>
        <w:ind w:left="0" w:leftChars="0"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依据《中华人民共和国民法典》</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《中华人民共和国政府采购法》等有关的法律法规，以及</w:t>
      </w:r>
      <w:r>
        <w:rPr>
          <w:rFonts w:hint="eastAsia" w:ascii="宋体" w:hAnsi="宋体" w:eastAsia="宋体" w:cs="宋体"/>
          <w:i w:val="0"/>
          <w:iCs w:val="0"/>
          <w:color w:val="000000" w:themeColor="text1"/>
          <w:sz w:val="24"/>
          <w:szCs w:val="24"/>
          <w:u w:val="none"/>
          <w:lang w:eastAsia="zh-CN"/>
          <w14:textFill>
            <w14:solidFill>
              <w14:schemeClr w14:val="tx1"/>
            </w14:solidFill>
          </w14:textFill>
        </w:rPr>
        <w:t>本采购项目</w:t>
      </w:r>
      <w:r>
        <w:rPr>
          <w:rFonts w:hint="eastAsia" w:ascii="宋体" w:hAnsi="宋体" w:eastAsia="宋体" w:cs="宋体"/>
          <w:color w:val="000000" w:themeColor="text1"/>
          <w:sz w:val="24"/>
          <w:szCs w:val="24"/>
          <w14:textFill>
            <w14:solidFill>
              <w14:schemeClr w14:val="tx1"/>
            </w14:solidFill>
          </w14:textFill>
        </w:rPr>
        <w:t>的</w:t>
      </w:r>
      <w:r>
        <w:rPr>
          <w:rFonts w:hint="eastAsia" w:cs="宋体"/>
          <w:color w:val="000000" w:themeColor="text1"/>
          <w:sz w:val="24"/>
          <w:szCs w:val="24"/>
          <w:lang w:val="en-US" w:eastAsia="zh-CN"/>
          <w14:textFill>
            <w14:solidFill>
              <w14:schemeClr w14:val="tx1"/>
            </w14:solidFill>
          </w14:textFill>
        </w:rPr>
        <w:t>招标</w:t>
      </w:r>
      <w:r>
        <w:rPr>
          <w:rFonts w:hint="eastAsia" w:ascii="宋体" w:hAnsi="宋体" w:eastAsia="宋体" w:cs="宋体"/>
          <w:color w:val="000000" w:themeColor="text1"/>
          <w:sz w:val="24"/>
          <w:szCs w:val="24"/>
          <w:lang w:eastAsia="zh-CN"/>
          <w14:textFill>
            <w14:solidFill>
              <w14:schemeClr w14:val="tx1"/>
            </w14:solidFill>
          </w14:textFill>
        </w:rPr>
        <w:t>文件等</w:t>
      </w:r>
      <w:r>
        <w:rPr>
          <w:rFonts w:hint="eastAsia" w:ascii="宋体" w:hAnsi="宋体" w:eastAsia="宋体" w:cs="宋体"/>
          <w:color w:val="000000" w:themeColor="text1"/>
          <w:sz w:val="24"/>
          <w:szCs w:val="24"/>
          <w14:textFill>
            <w14:solidFill>
              <w14:schemeClr w14:val="tx1"/>
            </w14:solidFill>
          </w14:textFill>
        </w:rPr>
        <w:t>采购文件</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乙方的《投标（响应）文件》及《中标（成交）通知书》，甲乙双方同意签订本合同。具体情况及要求如下：     </w:t>
      </w:r>
    </w:p>
    <w:p w14:paraId="07DF74B5">
      <w:pPr>
        <w:pageBreakBefore w:val="0"/>
        <w:numPr>
          <w:ilvl w:val="0"/>
          <w:numId w:val="6"/>
        </w:numPr>
        <w:kinsoku/>
        <w:wordWrap/>
        <w:overflowPunct/>
        <w:topLinePunct w:val="0"/>
        <w:bidi w:val="0"/>
        <w:adjustRightInd w:val="0"/>
        <w:snapToGrid w:val="0"/>
        <w:spacing w:before="0" w:beforeLines="0" w:line="56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项目信息</w:t>
      </w:r>
    </w:p>
    <w:p w14:paraId="5993D4CA">
      <w:pPr>
        <w:pStyle w:val="12"/>
        <w:pageBreakBefore w:val="0"/>
        <w:numPr>
          <w:ilvl w:val="0"/>
          <w:numId w:val="7"/>
        </w:numPr>
        <w:kinsoku/>
        <w:wordWrap/>
        <w:overflowPunct/>
        <w:topLinePunct w:val="0"/>
        <w:bidi w:val="0"/>
        <w:adjustRightInd w:val="0"/>
        <w:snapToGrid w:val="0"/>
        <w:spacing w:before="0" w:beforeLines="0" w:after="0" w:line="560" w:lineRule="exact"/>
        <w:ind w:left="0" w:leftChars="0" w:firstLine="480" w:firstLineChars="200"/>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采购项目名称：</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1948815E">
      <w:pPr>
        <w:pStyle w:val="12"/>
        <w:pageBreakBefore w:val="0"/>
        <w:numPr>
          <w:ilvl w:val="0"/>
          <w:numId w:val="0"/>
        </w:numPr>
        <w:tabs>
          <w:tab w:val="left" w:pos="999"/>
        </w:tabs>
        <w:kinsoku/>
        <w:wordWrap/>
        <w:overflowPunct/>
        <w:topLinePunct w:val="0"/>
        <w:bidi w:val="0"/>
        <w:adjustRightInd w:val="0"/>
        <w:snapToGrid w:val="0"/>
        <w:spacing w:before="0" w:beforeLines="0" w:after="0" w:line="560" w:lineRule="exact"/>
        <w:ind w:left="0" w:leftChars="0" w:firstLine="0" w:firstLineChars="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         采购项目编号：</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56F5AF78">
      <w:pPr>
        <w:pStyle w:val="12"/>
        <w:pageBreakBefore w:val="0"/>
        <w:kinsoku/>
        <w:wordWrap/>
        <w:overflowPunct/>
        <w:topLinePunct w:val="0"/>
        <w:bidi w:val="0"/>
        <w:adjustRightInd w:val="0"/>
        <w:snapToGrid w:val="0"/>
        <w:spacing w:before="0" w:beforeLines="0" w:after="0" w:line="560" w:lineRule="exact"/>
        <w:ind w:left="0" w:leftChars="0"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（2）采购计划编号：</w:t>
      </w:r>
      <w:r>
        <w:rPr>
          <w:rFonts w:hint="eastAsia" w:ascii="宋体" w:hAnsi="宋体" w:eastAsia="宋体" w:cs="宋体"/>
          <w:color w:val="000000" w:themeColor="text1"/>
          <w:sz w:val="24"/>
          <w:szCs w:val="24"/>
          <w:u w:val="single"/>
          <w14:textFill>
            <w14:solidFill>
              <w14:schemeClr w14:val="tx1"/>
            </w14:solidFill>
          </w14:textFill>
        </w:rPr>
        <w:t xml:space="preserve">  ZCSP-延安市-2025-00945</w:t>
      </w: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6D3C9FE5">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（3）项目内容：</w:t>
      </w:r>
    </w:p>
    <w:p w14:paraId="64A57A09">
      <w:pPr>
        <w:keepNext w:val="0"/>
        <w:keepLines w:val="0"/>
        <w:pageBreakBefore w:val="0"/>
        <w:widowControl w:val="0"/>
        <w:kinsoku/>
        <w:wordWrap/>
        <w:overflowPunct/>
        <w:topLinePunct w:val="0"/>
        <w:autoSpaceDE/>
        <w:autoSpaceDN/>
        <w:bidi w:val="0"/>
        <w:adjustRightInd/>
        <w:snapToGrid/>
        <w:spacing w:line="560" w:lineRule="exact"/>
        <w:ind w:left="6319" w:leftChars="266" w:hanging="5760" w:hangingChars="2400"/>
        <w:jc w:val="left"/>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单位：元</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1423"/>
        <w:gridCol w:w="1423"/>
        <w:gridCol w:w="1423"/>
        <w:gridCol w:w="1423"/>
        <w:gridCol w:w="1423"/>
        <w:gridCol w:w="1"/>
      </w:tblGrid>
      <w:tr w14:paraId="70F6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32" w:hRule="atLeast"/>
          <w:jc w:val="center"/>
        </w:trPr>
        <w:tc>
          <w:tcPr>
            <w:tcW w:w="1423" w:type="dxa"/>
            <w:noWrap w:val="0"/>
            <w:vAlign w:val="top"/>
          </w:tcPr>
          <w:p w14:paraId="7B1F62A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货物名称</w:t>
            </w:r>
          </w:p>
        </w:tc>
        <w:tc>
          <w:tcPr>
            <w:tcW w:w="1423" w:type="dxa"/>
            <w:noWrap w:val="0"/>
            <w:vAlign w:val="top"/>
          </w:tcPr>
          <w:p w14:paraId="7138E5E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品牌</w:t>
            </w:r>
          </w:p>
        </w:tc>
        <w:tc>
          <w:tcPr>
            <w:tcW w:w="1423" w:type="dxa"/>
            <w:noWrap w:val="0"/>
            <w:vAlign w:val="top"/>
          </w:tcPr>
          <w:p w14:paraId="6FC12E3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数量</w:t>
            </w:r>
          </w:p>
        </w:tc>
        <w:tc>
          <w:tcPr>
            <w:tcW w:w="1423" w:type="dxa"/>
            <w:noWrap w:val="0"/>
            <w:vAlign w:val="top"/>
          </w:tcPr>
          <w:p w14:paraId="7713620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单价</w:t>
            </w:r>
          </w:p>
        </w:tc>
        <w:tc>
          <w:tcPr>
            <w:tcW w:w="1423" w:type="dxa"/>
            <w:noWrap w:val="0"/>
            <w:vAlign w:val="top"/>
          </w:tcPr>
          <w:p w14:paraId="2AAC446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金额</w:t>
            </w:r>
          </w:p>
        </w:tc>
        <w:tc>
          <w:tcPr>
            <w:tcW w:w="1423" w:type="dxa"/>
            <w:noWrap w:val="0"/>
            <w:vAlign w:val="top"/>
          </w:tcPr>
          <w:p w14:paraId="2A90985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备注</w:t>
            </w:r>
          </w:p>
        </w:tc>
      </w:tr>
      <w:tr w14:paraId="3C1F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32" w:hRule="atLeast"/>
          <w:jc w:val="center"/>
        </w:trPr>
        <w:tc>
          <w:tcPr>
            <w:tcW w:w="1423" w:type="dxa"/>
            <w:noWrap w:val="0"/>
            <w:vAlign w:val="top"/>
          </w:tcPr>
          <w:p w14:paraId="7D40ECFD">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noWrap w:val="0"/>
            <w:vAlign w:val="top"/>
          </w:tcPr>
          <w:p w14:paraId="380CE55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noWrap w:val="0"/>
            <w:vAlign w:val="top"/>
          </w:tcPr>
          <w:p w14:paraId="587C6A0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noWrap w:val="0"/>
            <w:vAlign w:val="top"/>
          </w:tcPr>
          <w:p w14:paraId="04FF00B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noWrap w:val="0"/>
            <w:vAlign w:val="top"/>
          </w:tcPr>
          <w:p w14:paraId="1E346FD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vMerge w:val="restart"/>
            <w:noWrap w:val="0"/>
            <w:vAlign w:val="top"/>
          </w:tcPr>
          <w:p w14:paraId="4C67A74D">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r>
      <w:tr w14:paraId="5D78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32" w:hRule="atLeast"/>
          <w:jc w:val="center"/>
        </w:trPr>
        <w:tc>
          <w:tcPr>
            <w:tcW w:w="1423" w:type="dxa"/>
            <w:noWrap w:val="0"/>
            <w:vAlign w:val="top"/>
          </w:tcPr>
          <w:p w14:paraId="200695B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noWrap w:val="0"/>
            <w:vAlign w:val="top"/>
          </w:tcPr>
          <w:p w14:paraId="48CA4CC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noWrap w:val="0"/>
            <w:vAlign w:val="top"/>
          </w:tcPr>
          <w:p w14:paraId="1511B76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noWrap w:val="0"/>
            <w:vAlign w:val="top"/>
          </w:tcPr>
          <w:p w14:paraId="6210A3D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noWrap w:val="0"/>
            <w:vAlign w:val="top"/>
          </w:tcPr>
          <w:p w14:paraId="58F5FD33">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vMerge w:val="continue"/>
            <w:noWrap w:val="0"/>
            <w:vAlign w:val="top"/>
          </w:tcPr>
          <w:p w14:paraId="57D124C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r>
      <w:tr w14:paraId="7DFA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32" w:hRule="atLeast"/>
          <w:jc w:val="center"/>
        </w:trPr>
        <w:tc>
          <w:tcPr>
            <w:tcW w:w="5692" w:type="dxa"/>
            <w:gridSpan w:val="4"/>
            <w:noWrap w:val="0"/>
            <w:vAlign w:val="top"/>
          </w:tcPr>
          <w:p w14:paraId="7A11FFBC">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合计</w:t>
            </w:r>
          </w:p>
        </w:tc>
        <w:tc>
          <w:tcPr>
            <w:tcW w:w="1423" w:type="dxa"/>
            <w:noWrap w:val="0"/>
            <w:vAlign w:val="top"/>
          </w:tcPr>
          <w:p w14:paraId="1A6AA043">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c>
          <w:tcPr>
            <w:tcW w:w="1423" w:type="dxa"/>
            <w:vMerge w:val="continue"/>
            <w:noWrap w:val="0"/>
            <w:vAlign w:val="top"/>
          </w:tcPr>
          <w:p w14:paraId="2692C46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r>
      <w:tr w14:paraId="14A8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423" w:type="dxa"/>
            <w:noWrap w:val="0"/>
            <w:vAlign w:val="top"/>
          </w:tcPr>
          <w:p w14:paraId="77FB4FE7">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大写金额</w:t>
            </w:r>
          </w:p>
        </w:tc>
        <w:tc>
          <w:tcPr>
            <w:tcW w:w="7116" w:type="dxa"/>
            <w:gridSpan w:val="6"/>
            <w:noWrap w:val="0"/>
            <w:vAlign w:val="top"/>
          </w:tcPr>
          <w:p w14:paraId="115CBAD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p>
        </w:tc>
      </w:tr>
    </w:tbl>
    <w:p w14:paraId="3D88A8D5">
      <w:pPr>
        <w:pageBreakBefore w:val="0"/>
        <w:numPr>
          <w:ilvl w:val="0"/>
          <w:numId w:val="0"/>
        </w:numPr>
        <w:kinsoku/>
        <w:wordWrap/>
        <w:overflowPunct/>
        <w:topLinePunct w:val="0"/>
        <w:bidi w:val="0"/>
        <w:adjustRightInd w:val="0"/>
        <w:snapToGrid w:val="0"/>
        <w:spacing w:before="0" w:beforeLines="0" w:line="560" w:lineRule="exact"/>
        <w:textAlignment w:val="auto"/>
        <w:rPr>
          <w:rFonts w:hint="eastAsia" w:ascii="宋体" w:hAnsi="宋体" w:eastAsia="宋体" w:cs="宋体"/>
          <w:color w:val="000000" w:themeColor="text1"/>
          <w:sz w:val="24"/>
          <w:szCs w:val="24"/>
          <w:lang w:val="en" w:eastAsia="zh-CN"/>
          <w14:textFill>
            <w14:solidFill>
              <w14:schemeClr w14:val="tx1"/>
            </w14:solidFill>
          </w14:textFill>
        </w:rPr>
      </w:pPr>
    </w:p>
    <w:p w14:paraId="0282C339">
      <w:pPr>
        <w:pageBreakBefore w:val="0"/>
        <w:kinsoku/>
        <w:wordWrap/>
        <w:overflowPunct/>
        <w:topLinePunct w:val="0"/>
        <w:bidi w:val="0"/>
        <w:adjustRightInd w:val="0"/>
        <w:snapToGrid w:val="0"/>
        <w:spacing w:before="0" w:beforeLines="0" w:line="560" w:lineRule="exact"/>
        <w:ind w:firstLine="1080" w:firstLineChars="45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采购标的的技术要求、商务要求具体见附件。</w:t>
      </w:r>
    </w:p>
    <w:p w14:paraId="2F3231A5">
      <w:pPr>
        <w:pageBreakBefore w:val="0"/>
        <w:numPr>
          <w:ilvl w:val="0"/>
          <w:numId w:val="0"/>
        </w:numPr>
        <w:kinsoku/>
        <w:wordWrap/>
        <w:overflowPunct/>
        <w:topLinePunct w:val="0"/>
        <w:bidi w:val="0"/>
        <w:adjustRightInd w:val="0"/>
        <w:snapToGrid w:val="0"/>
        <w:spacing w:before="0" w:beforeLines="0" w:line="560" w:lineRule="exact"/>
        <w:ind w:firstLine="1080" w:firstLineChars="45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①涉及信息类产品，请填写该产品关键部件的品牌、型号：</w:t>
      </w:r>
    </w:p>
    <w:p w14:paraId="0817CB56">
      <w:pPr>
        <w:pageBreakBefore w:val="0"/>
        <w:numPr>
          <w:ilvl w:val="0"/>
          <w:numId w:val="0"/>
        </w:numPr>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标的名称：</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u w:val="single"/>
          <w:lang w:val="en" w:eastAsia="zh-CN"/>
          <w14:textFill>
            <w14:solidFill>
              <w14:schemeClr w14:val="tx1"/>
            </w14:solidFill>
          </w14:textFill>
        </w:rPr>
        <w:t xml:space="preserve">    </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w:t>
      </w:r>
      <w:r>
        <w:rPr>
          <w:rFonts w:hint="eastAsia" w:ascii="宋体" w:hAnsi="宋体" w:eastAsia="宋体" w:cs="宋体"/>
          <w:color w:val="000000" w:themeColor="text1"/>
          <w:kern w:val="0"/>
          <w:sz w:val="24"/>
          <w:szCs w:val="24"/>
          <w:u w:val="single"/>
          <w:lang w:val="en" w:eastAsia="zh-CN"/>
          <w14:textFill>
            <w14:solidFill>
              <w14:schemeClr w14:val="tx1"/>
            </w14:solidFill>
          </w14:textFill>
        </w:rPr>
        <w:t xml:space="preserve">           </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 xml:space="preserve">    </w:t>
      </w:r>
    </w:p>
    <w:p w14:paraId="0AA399BE">
      <w:pPr>
        <w:pageBreakBefore w:val="0"/>
        <w:numPr>
          <w:ilvl w:val="0"/>
          <w:numId w:val="0"/>
        </w:numPr>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关键部件：</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 xml:space="preserve">   /      </w:t>
      </w:r>
      <w:r>
        <w:rPr>
          <w:rFonts w:hint="eastAsia" w:ascii="宋体" w:hAnsi="宋体" w:eastAsia="宋体" w:cs="宋体"/>
          <w:color w:val="000000" w:themeColor="text1"/>
          <w:kern w:val="0"/>
          <w:sz w:val="24"/>
          <w:szCs w:val="24"/>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品牌：</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型号：</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14:paraId="069E47C3">
      <w:pPr>
        <w:pStyle w:val="113"/>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（注：关键部件是指财政部会同有关部门发布的政府采购需求标准规定的需要通过国家有关部门指定的测评机构开展的安全可靠测评的软硬件，如CPU芯片、操作系统、数据库等。）</w:t>
      </w:r>
    </w:p>
    <w:p w14:paraId="4721E894">
      <w:pPr>
        <w:pStyle w:val="113"/>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②涉及车辆采购，请填写是否属于新能源汽车：</w:t>
      </w:r>
    </w:p>
    <w:p w14:paraId="13AA6B4F">
      <w:pPr>
        <w:pStyle w:val="113"/>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val="0"/>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14:textFill>
            <w14:solidFill>
              <w14:schemeClr w14:val="tx1"/>
            </w14:solidFill>
          </w14:textFill>
        </w:rPr>
        <w:t>是</w:t>
      </w:r>
      <w:r>
        <w:rPr>
          <w:rFonts w:hint="eastAsia" w:ascii="宋体" w:hAnsi="宋体" w:eastAsia="宋体" w:cs="宋体"/>
          <w:iCs w:val="0"/>
          <w:color w:val="000000" w:themeColor="text1"/>
          <w:sz w:val="24"/>
          <w:szCs w:val="24"/>
          <w:lang w:eastAsia="zh-CN"/>
          <w14:textFill>
            <w14:solidFill>
              <w14:schemeClr w14:val="tx1"/>
            </w14:solidFill>
          </w14:textFill>
        </w:rPr>
        <w:t>，《政府采购品目分类目录》底级品目名称</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数量：</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金额：</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p>
    <w:p w14:paraId="3D72D1C7">
      <w:pPr>
        <w:pStyle w:val="113"/>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val="0"/>
          <w:color w:val="000000" w:themeColor="text1"/>
          <w:sz w:val="24"/>
          <w:szCs w:val="24"/>
          <w:lang w:eastAsia="zh-CN"/>
          <w14:textFill>
            <w14:solidFill>
              <w14:schemeClr w14:val="tx1"/>
            </w14:solidFill>
          </w14:textFill>
        </w:rPr>
      </w:pP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FE"/>
      </w:r>
      <w:r>
        <w:rPr>
          <w:rFonts w:hint="eastAsia" w:ascii="宋体" w:hAnsi="宋体" w:eastAsia="宋体" w:cs="宋体"/>
          <w:iCs w:val="0"/>
          <w:color w:val="000000" w:themeColor="text1"/>
          <w:sz w:val="24"/>
          <w:szCs w:val="24"/>
          <w:lang w:eastAsia="zh-CN"/>
          <w14:textFill>
            <w14:solidFill>
              <w14:schemeClr w14:val="tx1"/>
            </w14:solidFill>
          </w14:textFill>
        </w:rPr>
        <w:t>否</w:t>
      </w:r>
    </w:p>
    <w:p w14:paraId="7406321E">
      <w:pPr>
        <w:pStyle w:val="113"/>
        <w:pageBreakBefore w:val="0"/>
        <w:numPr>
          <w:ilvl w:val="0"/>
          <w:numId w:val="0"/>
        </w:numPr>
        <w:kinsoku/>
        <w:wordWrap/>
        <w:overflowPunct/>
        <w:topLinePunct w:val="0"/>
        <w:bidi w:val="0"/>
        <w:adjustRightInd w:val="0"/>
        <w:snapToGrid w:val="0"/>
        <w:spacing w:before="0" w:beforeLines="0" w:line="560" w:lineRule="exact"/>
        <w:ind w:left="0" w:firstLine="0" w:firstLineChars="0"/>
        <w:textAlignment w:val="auto"/>
        <w:rPr>
          <w:rFonts w:hint="eastAsia" w:ascii="宋体" w:hAnsi="宋体" w:eastAsia="宋体" w:cs="宋体"/>
          <w:iCs w:val="0"/>
          <w:color w:val="000000" w:themeColor="text1"/>
          <w:sz w:val="24"/>
          <w:szCs w:val="24"/>
          <w:lang w:val="en-US" w:eastAsia="zh-CN"/>
          <w14:textFill>
            <w14:solidFill>
              <w14:schemeClr w14:val="tx1"/>
            </w14:solidFill>
          </w14:textFill>
        </w:rPr>
      </w:pP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lang w:val="en" w:eastAsia="zh-CN"/>
          <w14:textFill>
            <w14:solidFill>
              <w14:schemeClr w14:val="tx1"/>
            </w14:solidFill>
          </w14:textFill>
        </w:rPr>
        <w:t>4</w:t>
      </w:r>
      <w:r>
        <w:rPr>
          <w:rFonts w:hint="eastAsia" w:ascii="宋体" w:hAnsi="宋体" w:eastAsia="宋体" w:cs="宋体"/>
          <w:iCs w:val="0"/>
          <w:color w:val="000000" w:themeColor="text1"/>
          <w:sz w:val="24"/>
          <w:szCs w:val="24"/>
          <w:lang w:val="en-US" w:eastAsia="zh-CN"/>
          <w14:textFill>
            <w14:solidFill>
              <w14:schemeClr w14:val="tx1"/>
            </w14:solidFill>
          </w14:textFill>
        </w:rPr>
        <w:t>）政府采购组织形式：</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政府集中采购</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FE"/>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部门集中采购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val="en-US" w:eastAsia="zh-CN"/>
          <w14:textFill>
            <w14:solidFill>
              <w14:schemeClr w14:val="tx1"/>
            </w14:solidFill>
          </w14:textFill>
        </w:rPr>
        <w:t>分散采购</w:t>
      </w:r>
    </w:p>
    <w:p w14:paraId="079DE3A6">
      <w:pPr>
        <w:pStyle w:val="113"/>
        <w:pageBreakBefore w:val="0"/>
        <w:numPr>
          <w:ilvl w:val="0"/>
          <w:numId w:val="0"/>
        </w:numPr>
        <w:kinsoku/>
        <w:wordWrap/>
        <w:overflowPunct/>
        <w:topLinePunct w:val="0"/>
        <w:bidi w:val="0"/>
        <w:adjustRightInd w:val="0"/>
        <w:snapToGrid w:val="0"/>
        <w:spacing w:before="0" w:beforeLines="0" w:line="560" w:lineRule="exact"/>
        <w:ind w:left="0" w:firstLine="420" w:firstLineChars="0"/>
        <w:textAlignment w:val="auto"/>
        <w:rPr>
          <w:rFonts w:hint="eastAsia" w:ascii="宋体" w:hAnsi="宋体" w:eastAsia="宋体" w:cs="宋体"/>
          <w:iCs w:val="0"/>
          <w:color w:val="000000" w:themeColor="text1"/>
          <w:sz w:val="24"/>
          <w:szCs w:val="24"/>
          <w:lang w:eastAsia="zh-CN"/>
          <w14:textFill>
            <w14:solidFill>
              <w14:schemeClr w14:val="tx1"/>
            </w14:solidFill>
          </w14:textFill>
        </w:rPr>
      </w:pPr>
      <w:r>
        <w:rPr>
          <w:rFonts w:hint="eastAsia" w:ascii="宋体" w:hAnsi="宋体" w:eastAsia="宋体" w:cs="宋体"/>
          <w:iCs w:val="0"/>
          <w:color w:val="000000" w:themeColor="text1"/>
          <w:sz w:val="24"/>
          <w:szCs w:val="24"/>
          <w:lang w:val="en-US" w:eastAsia="zh-CN"/>
          <w14:textFill>
            <w14:solidFill>
              <w14:schemeClr w14:val="tx1"/>
            </w14:solidFill>
          </w14:textFill>
        </w:rPr>
        <w:t>（</w:t>
      </w:r>
      <w:r>
        <w:rPr>
          <w:rFonts w:hint="eastAsia" w:ascii="宋体" w:hAnsi="宋体" w:eastAsia="宋体" w:cs="宋体"/>
          <w:iCs w:val="0"/>
          <w:color w:val="000000" w:themeColor="text1"/>
          <w:sz w:val="24"/>
          <w:szCs w:val="24"/>
          <w:lang w:val="en" w:eastAsia="zh-CN"/>
          <w14:textFill>
            <w14:solidFill>
              <w14:schemeClr w14:val="tx1"/>
            </w14:solidFill>
          </w14:textFill>
        </w:rPr>
        <w:t>5</w:t>
      </w:r>
      <w:r>
        <w:rPr>
          <w:rFonts w:hint="eastAsia" w:ascii="宋体" w:hAnsi="宋体" w:eastAsia="宋体" w:cs="宋体"/>
          <w:iCs w:val="0"/>
          <w:color w:val="000000" w:themeColor="text1"/>
          <w:sz w:val="24"/>
          <w:szCs w:val="24"/>
          <w:lang w:val="en-US" w:eastAsia="zh-CN"/>
          <w14:textFill>
            <w14:solidFill>
              <w14:schemeClr w14:val="tx1"/>
            </w14:solidFill>
          </w14:textFill>
        </w:rPr>
        <w:t>）政府采购方式：</w:t>
      </w:r>
      <w:r>
        <w:rPr>
          <w:rFonts w:hint="eastAsia" w:ascii="宋体" w:hAnsi="宋体" w:eastAsia="宋体" w:cs="宋体"/>
          <w:iCs w:val="0"/>
          <w:color w:val="000000" w:themeColor="text1"/>
          <w:sz w:val="24"/>
          <w:szCs w:val="24"/>
          <w14:textFill>
            <w14:solidFill>
              <w14:schemeClr w14:val="tx1"/>
            </w14:solidFill>
          </w14:textFill>
        </w:rPr>
        <w:sym w:font="Wingdings" w:char="00FE"/>
      </w:r>
      <w:r>
        <w:rPr>
          <w:rFonts w:hint="eastAsia" w:ascii="宋体" w:hAnsi="宋体" w:eastAsia="宋体" w:cs="宋体"/>
          <w:iCs w:val="0"/>
          <w:color w:val="000000" w:themeColor="text1"/>
          <w:sz w:val="24"/>
          <w:szCs w:val="24"/>
          <w:lang w:eastAsia="zh-CN"/>
          <w14:textFill>
            <w14:solidFill>
              <w14:schemeClr w14:val="tx1"/>
            </w14:solidFill>
          </w14:textFill>
        </w:rPr>
        <w:t>公开招标</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邀请招标</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竞争性谈判</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竞争性磋商</w:t>
      </w:r>
    </w:p>
    <w:p w14:paraId="04226FB0">
      <w:pPr>
        <w:pStyle w:val="113"/>
        <w:pageBreakBefore w:val="0"/>
        <w:numPr>
          <w:ilvl w:val="0"/>
          <w:numId w:val="0"/>
        </w:numPr>
        <w:kinsoku/>
        <w:wordWrap/>
        <w:overflowPunct/>
        <w:topLinePunct w:val="0"/>
        <w:bidi w:val="0"/>
        <w:adjustRightInd w:val="0"/>
        <w:snapToGrid w:val="0"/>
        <w:spacing w:before="0" w:beforeLines="0" w:line="560" w:lineRule="exact"/>
        <w:ind w:left="0" w:firstLine="420" w:firstLineChars="0"/>
        <w:textAlignment w:val="auto"/>
        <w:rPr>
          <w:rFonts w:hint="eastAsia" w:ascii="宋体" w:hAnsi="宋体" w:eastAsia="宋体" w:cs="宋体"/>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询价</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单一来源</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框架协议</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其他：</w:t>
      </w:r>
      <w:r>
        <w:rPr>
          <w:rFonts w:hint="eastAsia" w:ascii="宋体" w:hAnsi="宋体" w:eastAsia="宋体" w:cs="宋体"/>
          <w:iCs w:val="0"/>
          <w:color w:val="000000" w:themeColor="text1"/>
          <w:sz w:val="24"/>
          <w:szCs w:val="24"/>
          <w:u w:val="single"/>
          <w:lang w:val="en-US" w:eastAsia="zh-CN"/>
          <w14:textFill>
            <w14:solidFill>
              <w14:schemeClr w14:val="tx1"/>
            </w14:solidFill>
          </w14:textFill>
        </w:rPr>
        <w:t xml:space="preserve">          </w:t>
      </w:r>
    </w:p>
    <w:p w14:paraId="0181BB58">
      <w:pPr>
        <w:pStyle w:val="113"/>
        <w:pageBreakBefore w:val="0"/>
        <w:numPr>
          <w:ilvl w:val="0"/>
          <w:numId w:val="0"/>
        </w:numPr>
        <w:kinsoku/>
        <w:wordWrap/>
        <w:overflowPunct/>
        <w:topLinePunct w:val="0"/>
        <w:bidi w:val="0"/>
        <w:adjustRightInd w:val="0"/>
        <w:snapToGrid w:val="0"/>
        <w:spacing w:before="0" w:beforeLines="0" w:line="560" w:lineRule="exact"/>
        <w:ind w:left="0" w:firstLine="420" w:firstLineChars="0"/>
        <w:textAlignment w:val="auto"/>
        <w:rPr>
          <w:rFonts w:hint="eastAsia" w:ascii="宋体" w:hAnsi="宋体" w:eastAsia="宋体" w:cs="宋体"/>
          <w:iCs w:val="0"/>
          <w:color w:val="000000" w:themeColor="text1"/>
          <w:sz w:val="24"/>
          <w:szCs w:val="24"/>
          <w:u w:val="none"/>
          <w:lang w:val="en-US" w:eastAsia="zh-CN"/>
          <w14:textFill>
            <w14:solidFill>
              <w14:schemeClr w14:val="tx1"/>
            </w14:solidFill>
          </w14:textFill>
        </w:rPr>
      </w:pPr>
      <w:r>
        <w:rPr>
          <w:rFonts w:hint="eastAsia" w:ascii="宋体" w:hAnsi="宋体" w:eastAsia="宋体" w:cs="宋体"/>
          <w:iCs w:val="0"/>
          <w:color w:val="000000" w:themeColor="text1"/>
          <w:sz w:val="24"/>
          <w:szCs w:val="24"/>
          <w:u w:val="none"/>
          <w:lang w:val="en-US" w:eastAsia="zh-CN"/>
          <w14:textFill>
            <w14:solidFill>
              <w14:schemeClr w14:val="tx1"/>
            </w14:solidFill>
          </w14:textFill>
        </w:rPr>
        <w:t>（注：在框架协议采购的第二阶段，可选择使用该合同文本）</w:t>
      </w:r>
    </w:p>
    <w:p w14:paraId="742E27DE">
      <w:pPr>
        <w:pStyle w:val="113"/>
        <w:pageBreakBefore w:val="0"/>
        <w:numPr>
          <w:ilvl w:val="0"/>
          <w:numId w:val="0"/>
        </w:numPr>
        <w:kinsoku/>
        <w:wordWrap/>
        <w:overflowPunct/>
        <w:topLinePunct w:val="0"/>
        <w:bidi w:val="0"/>
        <w:adjustRightInd w:val="0"/>
        <w:snapToGrid w:val="0"/>
        <w:spacing w:before="0" w:beforeLines="0" w:line="560" w:lineRule="exact"/>
        <w:ind w:firstLine="240" w:firstLineChars="100"/>
        <w:textAlignment w:val="auto"/>
        <w:rPr>
          <w:rFonts w:hint="eastAsia" w:ascii="宋体" w:hAnsi="宋体" w:eastAsia="宋体" w:cs="宋体"/>
          <w:color w:val="000000" w:themeColor="text1"/>
          <w:w w:val="100"/>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 w:eastAsia="zh-CN"/>
          <w14:textFill>
            <w14:solidFill>
              <w14:schemeClr w14:val="tx1"/>
            </w14:solidFill>
          </w14:textFill>
        </w:rPr>
        <w:t>6</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w w:val="100"/>
          <w:kern w:val="2"/>
          <w:sz w:val="24"/>
          <w:szCs w:val="24"/>
          <w:lang w:val="en-US" w:eastAsia="zh-CN" w:bidi="ar-SA"/>
          <w14:textFill>
            <w14:solidFill>
              <w14:schemeClr w14:val="tx1"/>
            </w14:solidFill>
          </w14:textFill>
        </w:rPr>
        <w:t>中标（成交）采购标的制造商是否为中小企业：</w:t>
      </w:r>
      <w:r>
        <w:rPr>
          <w:rFonts w:hint="eastAsia" w:ascii="宋体" w:hAnsi="宋体" w:eastAsia="宋体" w:cs="宋体"/>
          <w:color w:val="000000" w:themeColor="text1"/>
          <w:w w:val="100"/>
          <w:kern w:val="2"/>
          <w:sz w:val="24"/>
          <w:szCs w:val="24"/>
          <w:lang w:val="en-US" w:eastAsia="zh-CN" w:bidi="ar-SA"/>
          <w14:textFill>
            <w14:solidFill>
              <w14:schemeClr w14:val="tx1"/>
            </w14:solidFill>
          </w14:textFill>
        </w:rPr>
        <w:sym w:font="Wingdings" w:char="00A8"/>
      </w:r>
      <w:r>
        <w:rPr>
          <w:rFonts w:hint="eastAsia" w:ascii="宋体" w:hAnsi="宋体" w:eastAsia="宋体" w:cs="宋体"/>
          <w:color w:val="000000" w:themeColor="text1"/>
          <w:w w:val="100"/>
          <w:kern w:val="2"/>
          <w:sz w:val="24"/>
          <w:szCs w:val="24"/>
          <w:lang w:val="en-US" w:eastAsia="zh-CN" w:bidi="ar-SA"/>
          <w14:textFill>
            <w14:solidFill>
              <w14:schemeClr w14:val="tx1"/>
            </w14:solidFill>
          </w14:textFill>
        </w:rPr>
        <w:t xml:space="preserve">是      </w:t>
      </w:r>
      <w:r>
        <w:rPr>
          <w:rFonts w:hint="eastAsia" w:ascii="宋体" w:hAnsi="宋体" w:eastAsia="宋体" w:cs="宋体"/>
          <w:color w:val="000000" w:themeColor="text1"/>
          <w:w w:val="100"/>
          <w:kern w:val="2"/>
          <w:sz w:val="24"/>
          <w:szCs w:val="24"/>
          <w:lang w:val="en-US" w:eastAsia="zh-CN" w:bidi="ar-SA"/>
          <w14:textFill>
            <w14:solidFill>
              <w14:schemeClr w14:val="tx1"/>
            </w14:solidFill>
          </w14:textFill>
        </w:rPr>
        <w:sym w:font="Wingdings" w:char="00A8"/>
      </w:r>
      <w:r>
        <w:rPr>
          <w:rFonts w:hint="eastAsia" w:ascii="宋体" w:hAnsi="宋体" w:eastAsia="宋体" w:cs="宋体"/>
          <w:color w:val="000000" w:themeColor="text1"/>
          <w:w w:val="100"/>
          <w:kern w:val="2"/>
          <w:sz w:val="24"/>
          <w:szCs w:val="24"/>
          <w:lang w:val="en-US" w:eastAsia="zh-CN" w:bidi="ar-SA"/>
          <w14:textFill>
            <w14:solidFill>
              <w14:schemeClr w14:val="tx1"/>
            </w14:solidFill>
          </w14:textFill>
        </w:rPr>
        <w:t>否</w:t>
      </w:r>
    </w:p>
    <w:p w14:paraId="7E8DF807">
      <w:pPr>
        <w:pageBreakBefore w:val="0"/>
        <w:numPr>
          <w:ilvl w:val="0"/>
          <w:numId w:val="0"/>
        </w:numPr>
        <w:kinsoku/>
        <w:wordWrap/>
        <w:overflowPunct/>
        <w:topLinePunct w:val="0"/>
        <w:bidi w:val="0"/>
        <w:adjustRightInd w:val="0"/>
        <w:snapToGrid w:val="0"/>
        <w:spacing w:before="0" w:beforeLines="0" w:line="560" w:lineRule="exact"/>
        <w:ind w:left="0" w:leftChars="0" w:firstLine="0" w:firstLineChars="0"/>
        <w:textAlignment w:val="auto"/>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w w:val="100"/>
          <w:sz w:val="24"/>
          <w:szCs w:val="24"/>
          <w:lang w:val="en-US" w:eastAsia="zh-CN"/>
          <w14:textFill>
            <w14:solidFill>
              <w14:schemeClr w14:val="tx1"/>
            </w14:solidFill>
          </w14:textFill>
        </w:rPr>
        <w:t xml:space="preserve">         本合同</w:t>
      </w:r>
      <w:r>
        <w:rPr>
          <w:rFonts w:hint="eastAsia" w:ascii="宋体" w:hAnsi="宋体" w:eastAsia="宋体" w:cs="宋体"/>
          <w:color w:val="000000" w:themeColor="text1"/>
          <w:w w:val="100"/>
          <w:sz w:val="24"/>
          <w:szCs w:val="24"/>
          <w14:textFill>
            <w14:solidFill>
              <w14:schemeClr w14:val="tx1"/>
            </w14:solidFill>
          </w14:textFill>
        </w:rPr>
        <w:t>是否</w:t>
      </w:r>
      <w:r>
        <w:rPr>
          <w:rFonts w:hint="eastAsia" w:ascii="宋体" w:hAnsi="宋体" w:eastAsia="宋体" w:cs="宋体"/>
          <w:color w:val="000000" w:themeColor="text1"/>
          <w:w w:val="100"/>
          <w:sz w:val="24"/>
          <w:szCs w:val="24"/>
          <w:lang w:eastAsia="zh-CN"/>
          <w14:textFill>
            <w14:solidFill>
              <w14:schemeClr w14:val="tx1"/>
            </w14:solidFill>
          </w14:textFill>
        </w:rPr>
        <w:t>为专门面向</w:t>
      </w:r>
      <w:r>
        <w:rPr>
          <w:rFonts w:hint="eastAsia" w:ascii="宋体" w:hAnsi="宋体" w:eastAsia="宋体" w:cs="宋体"/>
          <w:color w:val="000000" w:themeColor="text1"/>
          <w:w w:val="100"/>
          <w:sz w:val="24"/>
          <w:szCs w:val="24"/>
          <w14:textFill>
            <w14:solidFill>
              <w14:schemeClr w14:val="tx1"/>
            </w14:solidFill>
          </w14:textFill>
        </w:rPr>
        <w:t>中小企业</w:t>
      </w:r>
      <w:r>
        <w:rPr>
          <w:rFonts w:hint="eastAsia" w:ascii="宋体" w:hAnsi="宋体" w:eastAsia="宋体" w:cs="宋体"/>
          <w:color w:val="000000" w:themeColor="text1"/>
          <w:w w:val="100"/>
          <w:sz w:val="24"/>
          <w:szCs w:val="24"/>
          <w:lang w:eastAsia="zh-CN"/>
          <w14:textFill>
            <w14:solidFill>
              <w14:schemeClr w14:val="tx1"/>
            </w14:solidFill>
          </w14:textFill>
        </w:rPr>
        <w:t>的采</w:t>
      </w:r>
      <w:r>
        <w:rPr>
          <w:rFonts w:hint="eastAsia" w:ascii="宋体" w:hAnsi="宋体" w:eastAsia="宋体" w:cs="宋体"/>
          <w:color w:val="000000" w:themeColor="text1"/>
          <w:w w:val="100"/>
          <w:sz w:val="24"/>
          <w:szCs w:val="24"/>
          <w:shd w:val="clear" w:color="auto" w:fill="auto"/>
          <w:lang w:eastAsia="zh-CN"/>
          <w14:textFill>
            <w14:solidFill>
              <w14:schemeClr w14:val="tx1"/>
            </w14:solidFill>
          </w14:textFill>
        </w:rPr>
        <w:t>购</w:t>
      </w:r>
      <w:r>
        <w:rPr>
          <w:rFonts w:hint="eastAsia" w:ascii="宋体" w:hAnsi="宋体" w:eastAsia="宋体" w:cs="宋体"/>
          <w:color w:val="000000" w:themeColor="text1"/>
          <w:w w:val="100"/>
          <w:sz w:val="24"/>
          <w:szCs w:val="24"/>
          <w:shd w:val="clear" w:color="auto" w:fill="auto"/>
          <w14:textFill>
            <w14:solidFill>
              <w14:schemeClr w14:val="tx1"/>
            </w14:solidFill>
          </w14:textFill>
        </w:rPr>
        <w:t>合同</w:t>
      </w:r>
      <w:r>
        <w:rPr>
          <w:rFonts w:hint="eastAsia" w:ascii="宋体" w:hAnsi="宋体" w:eastAsia="宋体" w:cs="宋体"/>
          <w:color w:val="000000" w:themeColor="text1"/>
          <w:w w:val="100"/>
          <w:sz w:val="24"/>
          <w:szCs w:val="24"/>
          <w:shd w:val="clear" w:color="auto" w:fill="auto"/>
          <w:lang w:eastAsia="zh-CN"/>
          <w14:textFill>
            <w14:solidFill>
              <w14:schemeClr w14:val="tx1"/>
            </w14:solidFill>
          </w14:textFill>
        </w:rPr>
        <w:t>（中小企业预留合同）</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1425BDB8">
      <w:pPr>
        <w:pageBreakBefore w:val="0"/>
        <w:numPr>
          <w:ilvl w:val="0"/>
          <w:numId w:val="0"/>
        </w:numPr>
        <w:kinsoku/>
        <w:wordWrap/>
        <w:overflowPunct/>
        <w:topLinePunct w:val="0"/>
        <w:bidi w:val="0"/>
        <w:adjustRightInd w:val="0"/>
        <w:snapToGrid w:val="0"/>
        <w:spacing w:before="0" w:beforeLines="0" w:line="560" w:lineRule="exact"/>
        <w:ind w:left="0" w:leftChars="0" w:firstLine="2400" w:firstLineChars="1000"/>
        <w:textAlignment w:val="auto"/>
        <w:rPr>
          <w:rFonts w:hint="eastAsia" w:ascii="宋体" w:hAnsi="宋体" w:eastAsia="宋体" w:cs="宋体"/>
          <w:iCs/>
          <w:color w:val="000000" w:themeColor="text1"/>
          <w:sz w:val="24"/>
          <w:szCs w:val="24"/>
          <w14:textFill>
            <w14:solidFill>
              <w14:schemeClr w14:val="tx1"/>
            </w14:solidFill>
          </w14:textFill>
        </w:rPr>
      </w:pP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 xml:space="preserve">是 </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FE"/>
      </w:r>
      <w:r>
        <w:rPr>
          <w:rFonts w:hint="eastAsia" w:ascii="宋体" w:hAnsi="宋体" w:eastAsia="宋体" w:cs="宋体"/>
          <w:iCs/>
          <w:color w:val="000000" w:themeColor="text1"/>
          <w:sz w:val="24"/>
          <w:szCs w:val="24"/>
          <w14:textFill>
            <w14:solidFill>
              <w14:schemeClr w14:val="tx1"/>
            </w14:solidFill>
          </w14:textFill>
        </w:rPr>
        <w:t>否</w:t>
      </w:r>
    </w:p>
    <w:p w14:paraId="6DA35AE4">
      <w:pPr>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若本项目不专门面向中小企业采购，是否给予小微企业评审优惠：</w:t>
      </w:r>
    </w:p>
    <w:p w14:paraId="0963EBF2">
      <w:pPr>
        <w:pageBreakBefore w:val="0"/>
        <w:numPr>
          <w:ilvl w:val="0"/>
          <w:numId w:val="0"/>
        </w:numPr>
        <w:kinsoku/>
        <w:wordWrap/>
        <w:overflowPunct/>
        <w:topLinePunct w:val="0"/>
        <w:bidi w:val="0"/>
        <w:adjustRightInd w:val="0"/>
        <w:snapToGrid w:val="0"/>
        <w:spacing w:before="0" w:beforeLines="0" w:line="560" w:lineRule="exact"/>
        <w:ind w:firstLine="1440" w:firstLineChars="600"/>
        <w:textAlignment w:val="auto"/>
        <w:rPr>
          <w:rFonts w:hint="eastAsia" w:ascii="宋体" w:hAnsi="宋体" w:eastAsia="宋体" w:cs="宋体"/>
          <w:iCs/>
          <w:color w:val="000000" w:themeColor="text1"/>
          <w:sz w:val="24"/>
          <w:szCs w:val="24"/>
          <w14:textFill>
            <w14:solidFill>
              <w14:schemeClr w14:val="tx1"/>
            </w14:solidFill>
          </w14:textFill>
        </w:rPr>
      </w:pPr>
      <w:r>
        <w:rPr>
          <w:rFonts w:hint="eastAsia" w:ascii="宋体" w:hAnsi="宋体" w:eastAsia="宋体" w:cs="宋体"/>
          <w:iCs/>
          <w:color w:val="000000" w:themeColor="text1"/>
          <w:sz w:val="24"/>
          <w:szCs w:val="24"/>
          <w14:textFill>
            <w14:solidFill>
              <w14:schemeClr w14:val="tx1"/>
            </w14:solidFill>
          </w14:textFill>
        </w:rPr>
        <w:sym w:font="Wingdings" w:char="00FE"/>
      </w:r>
      <w:r>
        <w:rPr>
          <w:rFonts w:hint="eastAsia" w:ascii="宋体" w:hAnsi="宋体" w:eastAsia="宋体" w:cs="宋体"/>
          <w:iCs/>
          <w:color w:val="000000" w:themeColor="text1"/>
          <w:sz w:val="24"/>
          <w:szCs w:val="24"/>
          <w14:textFill>
            <w14:solidFill>
              <w14:schemeClr w14:val="tx1"/>
            </w14:solidFill>
          </w14:textFill>
        </w:rPr>
        <w:t xml:space="preserve">是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否</w:t>
      </w:r>
    </w:p>
    <w:p w14:paraId="064E79A2">
      <w:pPr>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中标（成交）采购标的制造商是否为残疾人福利性单位：</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 xml:space="preserve">是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否</w:t>
      </w:r>
    </w:p>
    <w:p w14:paraId="2EB5EAFF">
      <w:pPr>
        <w:pageBreakBefore w:val="0"/>
        <w:numPr>
          <w:ilvl w:val="0"/>
          <w:numId w:val="0"/>
        </w:numPr>
        <w:kinsoku/>
        <w:wordWrap/>
        <w:overflowPunct/>
        <w:topLinePunct w:val="0"/>
        <w:bidi w:val="0"/>
        <w:snapToGrid w:val="0"/>
        <w:spacing w:beforeLines="0" w:line="56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中标（成交）采购标的制造商是否为监狱企业：</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 xml:space="preserve">是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否</w:t>
      </w:r>
    </w:p>
    <w:p w14:paraId="269EAB51">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）合同是否分包：</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 xml:space="preserve">是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否</w:t>
      </w:r>
    </w:p>
    <w:p w14:paraId="637388FF">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分包主要内容：</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6B40D260">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lang w:eastAsia="zh-CN"/>
          <w14:textFill>
            <w14:solidFill>
              <w14:schemeClr w14:val="tx1"/>
            </w14:solidFill>
          </w14:textFill>
        </w:rPr>
        <w:t>/制造商</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eastAsia="宋体" w:cs="宋体"/>
          <w:color w:val="000000" w:themeColor="text1"/>
          <w:sz w:val="24"/>
          <w:szCs w:val="24"/>
          <w:highlight w:val="none"/>
          <w:lang w:eastAsia="zh-CN"/>
          <w14:textFill>
            <w14:solidFill>
              <w14:schemeClr w14:val="tx1"/>
            </w14:solidFill>
          </w14:textFill>
        </w:rPr>
        <w:t>（如供应商和制造商不同，请分别填写）</w:t>
      </w:r>
      <w:r>
        <w:rPr>
          <w:rFonts w:hint="eastAsia" w:ascii="宋体" w:hAnsi="宋体" w:eastAsia="宋体" w:cs="宋体"/>
          <w:color w:val="000000" w:themeColor="text1"/>
          <w:sz w:val="24"/>
          <w:szCs w:val="24"/>
          <w:highlight w:val="none"/>
          <w14:textFill>
            <w14:solidFill>
              <w14:schemeClr w14:val="tx1"/>
            </w14:solidFill>
          </w14:textFill>
        </w:rPr>
        <w:t>：</w:t>
      </w:r>
    </w:p>
    <w:p w14:paraId="5103C8A7">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3BA94532">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分包供应商</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制造商</w:t>
      </w:r>
      <w:r>
        <w:rPr>
          <w:rFonts w:hint="eastAsia" w:ascii="宋体" w:hAnsi="宋体" w:eastAsia="宋体" w:cs="宋体"/>
          <w:color w:val="000000" w:themeColor="text1"/>
          <w:sz w:val="24"/>
          <w:szCs w:val="24"/>
          <w14:textFill>
            <w14:solidFill>
              <w14:schemeClr w14:val="tx1"/>
            </w14:solidFill>
          </w14:textFill>
        </w:rPr>
        <w:t>类型</w:t>
      </w:r>
      <w:r>
        <w:rPr>
          <w:rFonts w:hint="eastAsia" w:ascii="宋体" w:hAnsi="宋体" w:eastAsia="宋体" w:cs="宋体"/>
          <w:color w:val="000000" w:themeColor="text1"/>
          <w:sz w:val="24"/>
          <w:szCs w:val="24"/>
          <w:highlight w:val="none"/>
          <w:lang w:eastAsia="zh-CN"/>
          <w14:textFill>
            <w14:solidFill>
              <w14:schemeClr w14:val="tx1"/>
            </w14:solidFill>
          </w14:textFill>
        </w:rPr>
        <w:t>（如果供应商和制造商不同，只填写制造商类型）</w:t>
      </w:r>
      <w:r>
        <w:rPr>
          <w:rFonts w:hint="eastAsia" w:ascii="宋体" w:hAnsi="宋体" w:eastAsia="宋体" w:cs="宋体"/>
          <w:color w:val="000000" w:themeColor="text1"/>
          <w:sz w:val="24"/>
          <w:szCs w:val="24"/>
          <w14:textFill>
            <w14:solidFill>
              <w14:schemeClr w14:val="tx1"/>
            </w14:solidFill>
          </w14:textFill>
        </w:rPr>
        <w:t>：</w:t>
      </w:r>
    </w:p>
    <w:p w14:paraId="38C074F0">
      <w:pPr>
        <w:pageBreakBefore w:val="0"/>
        <w:kinsoku/>
        <w:wordWrap/>
        <w:overflowPunct/>
        <w:topLinePunct w:val="0"/>
        <w:bidi w:val="0"/>
        <w:adjustRightInd w:val="0"/>
        <w:snapToGrid w:val="0"/>
        <w:spacing w:beforeLines="0" w:line="560" w:lineRule="exact"/>
        <w:ind w:firstLine="960" w:firstLineChars="400"/>
        <w:textAlignment w:val="auto"/>
        <w:rPr>
          <w:rFonts w:hint="eastAsia" w:ascii="宋体" w:hAnsi="宋体" w:eastAsia="宋体" w:cs="宋体"/>
          <w:iCs/>
          <w:color w:val="000000" w:themeColor="text1"/>
          <w:sz w:val="24"/>
          <w:szCs w:val="24"/>
          <w:lang w:val="en-US" w:eastAsia="zh-CN"/>
          <w14:textFill>
            <w14:solidFill>
              <w14:schemeClr w14:val="tx1"/>
            </w14:solidFill>
          </w14:textFill>
        </w:rPr>
      </w:pP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 xml:space="preserve">大型企业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 xml:space="preserve">中型企业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小微型企业</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p>
    <w:p w14:paraId="7A752DC4">
      <w:pPr>
        <w:pageBreakBefore w:val="0"/>
        <w:kinsoku/>
        <w:wordWrap/>
        <w:overflowPunct/>
        <w:topLinePunct w:val="0"/>
        <w:bidi w:val="0"/>
        <w:adjustRightInd w:val="0"/>
        <w:snapToGrid w:val="0"/>
        <w:spacing w:beforeLines="0" w:line="560" w:lineRule="exact"/>
        <w:ind w:firstLine="960" w:firstLineChars="40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残疾人福利性单位</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监狱</w:t>
      </w:r>
      <w:r>
        <w:rPr>
          <w:rFonts w:hint="eastAsia" w:ascii="宋体" w:hAnsi="宋体" w:eastAsia="宋体" w:cs="宋体"/>
          <w:iCs/>
          <w:color w:val="000000" w:themeColor="text1"/>
          <w:sz w:val="24"/>
          <w:szCs w:val="24"/>
          <w14:textFill>
            <w14:solidFill>
              <w14:schemeClr w14:val="tx1"/>
            </w14:solidFill>
          </w14:textFill>
        </w:rPr>
        <w:t>企业</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其他</w:t>
      </w:r>
    </w:p>
    <w:p w14:paraId="178B039B">
      <w:pPr>
        <w:pageBreakBefore w:val="0"/>
        <w:numPr>
          <w:ilvl w:val="0"/>
          <w:numId w:val="0"/>
        </w:numPr>
        <w:kinsoku/>
        <w:wordWrap/>
        <w:overflowPunct/>
        <w:topLinePunct w:val="0"/>
        <w:bidi w:val="0"/>
        <w:adjustRightInd w:val="0"/>
        <w:snapToGrid w:val="0"/>
        <w:spacing w:before="0" w:beforeLines="0" w:line="560" w:lineRule="exact"/>
        <w:ind w:left="0" w:leftChars="0" w:firstLine="0" w:firstLineChars="0"/>
        <w:textAlignment w:val="auto"/>
        <w:rPr>
          <w:rFonts w:hint="eastAsia" w:ascii="宋体" w:hAnsi="宋体" w:eastAsia="宋体" w:cs="宋体"/>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 w:eastAsia="zh-CN"/>
          <w14:textFill>
            <w14:solidFill>
              <w14:schemeClr w14:val="tx1"/>
            </w14:solidFill>
          </w14:textFill>
        </w:rPr>
        <w:t>8</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）中标（成交）供应商是否为外商投资企业：</w:t>
      </w:r>
      <w:r>
        <w:rPr>
          <w:rFonts w:hint="eastAsia" w:ascii="宋体" w:hAnsi="宋体" w:eastAsia="宋体" w:cs="宋体"/>
          <w:iCs/>
          <w:color w:val="000000" w:themeColor="text1"/>
          <w:sz w:val="24"/>
          <w:szCs w:val="24"/>
          <w:highlight w:val="none"/>
          <w14:textFill>
            <w14:solidFill>
              <w14:schemeClr w14:val="tx1"/>
            </w14:solidFill>
          </w14:textFill>
        </w:rPr>
        <w:sym w:font="Wingdings" w:char="00A8"/>
      </w:r>
      <w:r>
        <w:rPr>
          <w:rFonts w:hint="eastAsia" w:ascii="宋体" w:hAnsi="宋体" w:eastAsia="宋体" w:cs="宋体"/>
          <w:iCs/>
          <w:color w:val="000000" w:themeColor="text1"/>
          <w:sz w:val="24"/>
          <w:szCs w:val="24"/>
          <w:highlight w:val="none"/>
          <w14:textFill>
            <w14:solidFill>
              <w14:schemeClr w14:val="tx1"/>
            </w14:solidFill>
          </w14:textFill>
        </w:rPr>
        <w:t xml:space="preserve">是       </w:t>
      </w:r>
      <w:r>
        <w:rPr>
          <w:rFonts w:hint="eastAsia" w:ascii="宋体" w:hAnsi="宋体" w:eastAsia="宋体" w:cs="宋体"/>
          <w:iCs/>
          <w:color w:val="000000" w:themeColor="text1"/>
          <w:sz w:val="24"/>
          <w:szCs w:val="24"/>
          <w:highlight w:val="none"/>
          <w14:textFill>
            <w14:solidFill>
              <w14:schemeClr w14:val="tx1"/>
            </w14:solidFill>
          </w14:textFill>
        </w:rPr>
        <w:sym w:font="Wingdings" w:char="00A8"/>
      </w:r>
      <w:r>
        <w:rPr>
          <w:rFonts w:hint="eastAsia" w:ascii="宋体" w:hAnsi="宋体" w:eastAsia="宋体" w:cs="宋体"/>
          <w:iCs/>
          <w:color w:val="000000" w:themeColor="text1"/>
          <w:sz w:val="24"/>
          <w:szCs w:val="24"/>
          <w:highlight w:val="none"/>
          <w14:textFill>
            <w14:solidFill>
              <w14:schemeClr w14:val="tx1"/>
            </w14:solidFill>
          </w14:textFill>
        </w:rPr>
        <w:t>否</w:t>
      </w:r>
    </w:p>
    <w:p w14:paraId="17423D25">
      <w:pPr>
        <w:pStyle w:val="113"/>
        <w:pageBreakBefore w:val="0"/>
        <w:tabs>
          <w:tab w:val="left" w:pos="1340"/>
        </w:tabs>
        <w:kinsoku/>
        <w:wordWrap/>
        <w:overflowPunct/>
        <w:topLinePunct w:val="0"/>
        <w:bidi w:val="0"/>
        <w:spacing w:beforeLines="0" w:line="56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外商投资企业类型：</w:t>
      </w:r>
      <w:r>
        <w:rPr>
          <w:rFonts w:hint="eastAsia" w:ascii="宋体" w:hAnsi="宋体" w:eastAsia="宋体" w:cs="宋体"/>
          <w:iCs/>
          <w:color w:val="000000" w:themeColor="text1"/>
          <w:sz w:val="24"/>
          <w:szCs w:val="24"/>
          <w:highlight w:val="none"/>
          <w14:textFill>
            <w14:solidFill>
              <w14:schemeClr w14:val="tx1"/>
            </w14:solidFill>
          </w14:textFill>
        </w:rPr>
        <w:sym w:font="Wingdings" w:char="00A8"/>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全部由外国投资者投资  </w:t>
      </w:r>
      <w:r>
        <w:rPr>
          <w:rFonts w:hint="eastAsia" w:ascii="宋体" w:hAnsi="宋体" w:eastAsia="宋体" w:cs="宋体"/>
          <w:iCs/>
          <w:color w:val="000000" w:themeColor="text1"/>
          <w:sz w:val="24"/>
          <w:szCs w:val="24"/>
          <w:highlight w:val="none"/>
          <w14:textFill>
            <w14:solidFill>
              <w14:schemeClr w14:val="tx1"/>
            </w14:solidFill>
          </w14:textFill>
        </w:rPr>
        <w:sym w:font="Wingdings" w:char="00A8"/>
      </w:r>
      <w:r>
        <w:rPr>
          <w:rFonts w:hint="eastAsia" w:ascii="宋体" w:hAnsi="宋体" w:eastAsia="宋体" w:cs="宋体"/>
          <w:iCs/>
          <w:color w:val="000000" w:themeColor="text1"/>
          <w:sz w:val="24"/>
          <w:szCs w:val="24"/>
          <w:highlight w:val="none"/>
          <w:lang w:val="en-US" w:eastAsia="zh-CN"/>
          <w14:textFill>
            <w14:solidFill>
              <w14:schemeClr w14:val="tx1"/>
            </w14:solidFill>
          </w14:textFill>
        </w:rPr>
        <w:t>部分由外国投资者投资</w:t>
      </w:r>
    </w:p>
    <w:p w14:paraId="4FD3B65D">
      <w:pPr>
        <w:pageBreakBefore w:val="0"/>
        <w:numPr>
          <w:ilvl w:val="0"/>
          <w:numId w:val="0"/>
        </w:numPr>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w:t>
      </w:r>
      <w:r>
        <w:rPr>
          <w:rFonts w:hint="eastAsia" w:ascii="宋体" w:hAnsi="宋体" w:eastAsia="宋体" w:cs="宋体"/>
          <w:b w:val="0"/>
          <w:bCs w:val="0"/>
          <w:color w:val="000000" w:themeColor="text1"/>
          <w:sz w:val="24"/>
          <w:szCs w:val="24"/>
          <w:u w:val="none"/>
          <w:lang w:val="en" w:eastAsia="zh-CN"/>
          <w14:textFill>
            <w14:solidFill>
              <w14:schemeClr w14:val="tx1"/>
            </w14:solidFill>
          </w14:textFill>
        </w:rPr>
        <w:t>9</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）是否涉及进口产品：</w:t>
      </w:r>
    </w:p>
    <w:p w14:paraId="2679438E">
      <w:pPr>
        <w:pageBreakBefore w:val="0"/>
        <w:numPr>
          <w:ilvl w:val="0"/>
          <w:numId w:val="0"/>
        </w:numPr>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14:textFill>
            <w14:solidFill>
              <w14:schemeClr w14:val="tx1"/>
            </w14:solidFill>
          </w14:textFill>
        </w:rPr>
        <w:t>是</w:t>
      </w:r>
      <w:r>
        <w:rPr>
          <w:rFonts w:hint="eastAsia" w:ascii="宋体" w:hAnsi="宋体" w:eastAsia="宋体" w:cs="宋体"/>
          <w:iCs w:val="0"/>
          <w:color w:val="000000" w:themeColor="text1"/>
          <w:sz w:val="24"/>
          <w:szCs w:val="24"/>
          <w:lang w:eastAsia="zh-CN"/>
          <w14:textFill>
            <w14:solidFill>
              <w14:schemeClr w14:val="tx1"/>
            </w14:solidFill>
          </w14:textFill>
        </w:rPr>
        <w:t>，《政府采购品目分类目录》底级品目名称</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金额：</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p>
    <w:p w14:paraId="29E8D742">
      <w:pPr>
        <w:pageBreakBefore w:val="0"/>
        <w:numPr>
          <w:ilvl w:val="0"/>
          <w:numId w:val="0"/>
        </w:numPr>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iCs w:val="0"/>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国别：</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品牌：</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 规格型号：</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t xml:space="preserve">      </w:t>
      </w:r>
    </w:p>
    <w:p w14:paraId="48FB27DC">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否</w:t>
      </w:r>
    </w:p>
    <w:p w14:paraId="165E30CC">
      <w:pPr>
        <w:pageBreakBefore w:val="0"/>
        <w:numPr>
          <w:ilvl w:val="0"/>
          <w:numId w:val="0"/>
        </w:numPr>
        <w:tabs>
          <w:tab w:val="left" w:pos="740"/>
        </w:tabs>
        <w:kinsoku/>
        <w:wordWrap/>
        <w:overflowPunct/>
        <w:topLinePunct w:val="0"/>
        <w:bidi w:val="0"/>
        <w:adjustRightInd w:val="0"/>
        <w:snapToGrid w:val="0"/>
        <w:spacing w:before="0" w:beforeLines="0" w:line="560" w:lineRule="exact"/>
        <w:ind w:left="0" w:firstLine="0" w:firstLineChars="0"/>
        <w:textAlignment w:val="auto"/>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 xml:space="preserve">    （1</w:t>
      </w:r>
      <w:r>
        <w:rPr>
          <w:rFonts w:hint="eastAsia" w:ascii="宋体" w:hAnsi="宋体" w:eastAsia="宋体" w:cs="宋体"/>
          <w:b w:val="0"/>
          <w:bCs w:val="0"/>
          <w:color w:val="000000" w:themeColor="text1"/>
          <w:sz w:val="24"/>
          <w:szCs w:val="24"/>
          <w:u w:val="none"/>
          <w:lang w:val="en" w:eastAsia="zh-CN"/>
          <w14:textFill>
            <w14:solidFill>
              <w14:schemeClr w14:val="tx1"/>
            </w14:solidFill>
          </w14:textFill>
        </w:rPr>
        <w:t>0</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）是否涉及节能产品：</w:t>
      </w:r>
    </w:p>
    <w:p w14:paraId="0E1442F5">
      <w:pPr>
        <w:pageBreakBefore w:val="0"/>
        <w:numPr>
          <w:ilvl w:val="0"/>
          <w:numId w:val="0"/>
        </w:numPr>
        <w:tabs>
          <w:tab w:val="left" w:pos="740"/>
        </w:tabs>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14:textFill>
            <w14:solidFill>
              <w14:schemeClr w14:val="tx1"/>
            </w14:solidFill>
          </w14:textFill>
        </w:rPr>
        <w:t>是</w:t>
      </w:r>
      <w:r>
        <w:rPr>
          <w:rFonts w:hint="eastAsia" w:ascii="宋体" w:hAnsi="宋体" w:eastAsia="宋体" w:cs="宋体"/>
          <w:iCs w:val="0"/>
          <w:color w:val="000000" w:themeColor="text1"/>
          <w:sz w:val="24"/>
          <w:szCs w:val="24"/>
          <w:lang w:eastAsia="zh-CN"/>
          <w14:textFill>
            <w14:solidFill>
              <w14:schemeClr w14:val="tx1"/>
            </w14:solidFill>
          </w14:textFill>
        </w:rPr>
        <w:t>，《节能产品政府采购品目清单》的底级品目名称：</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p>
    <w:p w14:paraId="191E8D91">
      <w:pPr>
        <w:pageBreakBefore w:val="0"/>
        <w:numPr>
          <w:ilvl w:val="0"/>
          <w:numId w:val="0"/>
        </w:numPr>
        <w:tabs>
          <w:tab w:val="left" w:pos="740"/>
        </w:tabs>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color w:val="000000" w:themeColor="text1"/>
          <w:sz w:val="24"/>
          <w:szCs w:val="24"/>
          <w:lang w:val="en-US" w:eastAsia="zh-CN"/>
          <w14:textFill>
            <w14:solidFill>
              <w14:schemeClr w14:val="tx1"/>
            </w14:solidFill>
          </w14:textFill>
        </w:rPr>
      </w:pP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强制采购</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优先采购</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p>
    <w:p w14:paraId="1DD7CF4C">
      <w:pPr>
        <w:pageBreakBefore w:val="0"/>
        <w:numPr>
          <w:ilvl w:val="0"/>
          <w:numId w:val="0"/>
        </w:numPr>
        <w:tabs>
          <w:tab w:val="left" w:pos="740"/>
        </w:tabs>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val="0"/>
          <w:color w:val="000000" w:themeColor="text1"/>
          <w:sz w:val="24"/>
          <w:szCs w:val="24"/>
          <w14:textFill>
            <w14:solidFill>
              <w14:schemeClr w14:val="tx1"/>
            </w14:solidFill>
          </w14:textFill>
        </w:rPr>
      </w:pP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14:textFill>
            <w14:solidFill>
              <w14:schemeClr w14:val="tx1"/>
            </w14:solidFill>
          </w14:textFill>
        </w:rPr>
        <w:t>否</w:t>
      </w:r>
    </w:p>
    <w:p w14:paraId="49D9166B">
      <w:pPr>
        <w:pageBreakBefore w:val="0"/>
        <w:numPr>
          <w:ilvl w:val="0"/>
          <w:numId w:val="0"/>
        </w:numPr>
        <w:tabs>
          <w:tab w:val="left" w:pos="740"/>
        </w:tabs>
        <w:kinsoku/>
        <w:wordWrap/>
        <w:overflowPunct/>
        <w:topLinePunct w:val="0"/>
        <w:bidi w:val="0"/>
        <w:adjustRightInd w:val="0"/>
        <w:snapToGrid w:val="0"/>
        <w:spacing w:before="0" w:beforeLines="0" w:line="560" w:lineRule="exact"/>
        <w:ind w:left="0" w:firstLine="0" w:firstLineChars="0"/>
        <w:textAlignment w:val="auto"/>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 xml:space="preserve">          是否涉及环境标志产品：</w:t>
      </w:r>
    </w:p>
    <w:p w14:paraId="4829B47C">
      <w:pPr>
        <w:pageBreakBefore w:val="0"/>
        <w:numPr>
          <w:ilvl w:val="0"/>
          <w:numId w:val="0"/>
        </w:numPr>
        <w:tabs>
          <w:tab w:val="left" w:pos="740"/>
        </w:tabs>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14:textFill>
            <w14:solidFill>
              <w14:schemeClr w14:val="tx1"/>
            </w14:solidFill>
          </w14:textFill>
        </w:rPr>
        <w:t>是</w:t>
      </w:r>
      <w:r>
        <w:rPr>
          <w:rFonts w:hint="eastAsia" w:ascii="宋体" w:hAnsi="宋体" w:eastAsia="宋体" w:cs="宋体"/>
          <w:iCs w:val="0"/>
          <w:color w:val="000000" w:themeColor="text1"/>
          <w:sz w:val="24"/>
          <w:szCs w:val="24"/>
          <w:lang w:eastAsia="zh-CN"/>
          <w14:textFill>
            <w14:solidFill>
              <w14:schemeClr w14:val="tx1"/>
            </w14:solidFill>
          </w14:textFill>
        </w:rPr>
        <w:t>，《环境标志产品政府采购品目清单》的底级品目名称：</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p>
    <w:p w14:paraId="6907CDB7">
      <w:pPr>
        <w:pageBreakBefore w:val="0"/>
        <w:numPr>
          <w:ilvl w:val="0"/>
          <w:numId w:val="0"/>
        </w:numPr>
        <w:tabs>
          <w:tab w:val="left" w:pos="740"/>
        </w:tabs>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color w:val="000000" w:themeColor="text1"/>
          <w:sz w:val="24"/>
          <w:szCs w:val="24"/>
          <w:lang w:val="en-US" w:eastAsia="zh-CN"/>
          <w14:textFill>
            <w14:solidFill>
              <w14:schemeClr w14:val="tx1"/>
            </w14:solidFill>
          </w14:textFill>
        </w:rPr>
      </w:pP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强制采购</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优先采购</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p>
    <w:p w14:paraId="382C2566">
      <w:pPr>
        <w:pageBreakBefore w:val="0"/>
        <w:numPr>
          <w:ilvl w:val="0"/>
          <w:numId w:val="0"/>
        </w:numPr>
        <w:tabs>
          <w:tab w:val="left" w:pos="740"/>
        </w:tabs>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14:textFill>
            <w14:solidFill>
              <w14:schemeClr w14:val="tx1"/>
            </w14:solidFill>
          </w14:textFill>
        </w:rPr>
        <w:t>否</w:t>
      </w:r>
    </w:p>
    <w:p w14:paraId="61CA0BAB">
      <w:pPr>
        <w:pStyle w:val="113"/>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val="0"/>
          <w:color w:val="000000" w:themeColor="text1"/>
          <w:kern w:val="2"/>
          <w:sz w:val="24"/>
          <w:szCs w:val="24"/>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2"/>
          <w:sz w:val="24"/>
          <w:szCs w:val="24"/>
          <w:u w:val="none"/>
          <w:lang w:val="en-US" w:eastAsia="zh-CN"/>
          <w14:textFill>
            <w14:solidFill>
              <w14:schemeClr w14:val="tx1"/>
            </w14:solidFill>
          </w14:textFill>
        </w:rPr>
        <w:t>是否涉及绿色产品：</w:t>
      </w:r>
      <w:r>
        <w:rPr>
          <w:rFonts w:hint="eastAsia" w:ascii="宋体" w:hAnsi="宋体" w:eastAsia="宋体" w:cs="宋体"/>
          <w:iCs w:val="0"/>
          <w:color w:val="000000" w:themeColor="text1"/>
          <w:kern w:val="2"/>
          <w:sz w:val="24"/>
          <w:szCs w:val="24"/>
          <w:u w:val="none"/>
          <w:lang w:val="en-US" w:eastAsia="zh-CN"/>
          <w14:textFill>
            <w14:solidFill>
              <w14:schemeClr w14:val="tx1"/>
            </w14:solidFill>
          </w14:textFill>
        </w:rPr>
        <w:t xml:space="preserve"> </w:t>
      </w:r>
    </w:p>
    <w:p w14:paraId="50BD97FC">
      <w:pPr>
        <w:pStyle w:val="113"/>
        <w:pageBreakBefore w:val="0"/>
        <w:kinsoku/>
        <w:wordWrap/>
        <w:overflowPunct/>
        <w:topLinePunct w:val="0"/>
        <w:bidi w:val="0"/>
        <w:spacing w:beforeLines="0" w:line="560" w:lineRule="exact"/>
        <w:ind w:firstLine="420" w:firstLineChars="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iCs w:val="0"/>
          <w:color w:val="000000" w:themeColor="text1"/>
          <w:kern w:val="2"/>
          <w:sz w:val="24"/>
          <w:szCs w:val="24"/>
          <w:u w:val="none"/>
          <w:lang w:val="en-US" w:eastAsia="zh-CN"/>
          <w14:textFill>
            <w14:solidFill>
              <w14:schemeClr w14:val="tx1"/>
            </w14:solidFill>
          </w14:textFill>
        </w:rPr>
        <w:t xml:space="preserve">     </w:t>
      </w:r>
      <w:r>
        <w:rPr>
          <w:rFonts w:hint="eastAsia" w:ascii="宋体" w:hAnsi="宋体" w:eastAsia="宋体" w:cs="宋体"/>
          <w:iCs w:val="0"/>
          <w:color w:val="000000" w:themeColor="text1"/>
          <w:kern w:val="2"/>
          <w:sz w:val="24"/>
          <w:szCs w:val="24"/>
          <w:u w:val="none"/>
          <w14:textFill>
            <w14:solidFill>
              <w14:schemeClr w14:val="tx1"/>
            </w14:solidFill>
          </w14:textFill>
        </w:rPr>
        <w:sym w:font="Wingdings" w:char="00A8"/>
      </w:r>
      <w:r>
        <w:rPr>
          <w:rFonts w:hint="eastAsia" w:ascii="宋体" w:hAnsi="宋体" w:eastAsia="宋体" w:cs="宋体"/>
          <w:iCs w:val="0"/>
          <w:color w:val="000000" w:themeColor="text1"/>
          <w:kern w:val="2"/>
          <w:sz w:val="24"/>
          <w:szCs w:val="24"/>
          <w:u w:val="none"/>
          <w14:textFill>
            <w14:solidFill>
              <w14:schemeClr w14:val="tx1"/>
            </w14:solidFill>
          </w14:textFill>
        </w:rPr>
        <w:t>是</w:t>
      </w:r>
      <w:r>
        <w:rPr>
          <w:rFonts w:hint="eastAsia" w:ascii="宋体" w:hAnsi="宋体" w:eastAsia="宋体" w:cs="宋体"/>
          <w:iCs w:val="0"/>
          <w:color w:val="000000" w:themeColor="text1"/>
          <w:kern w:val="2"/>
          <w:sz w:val="24"/>
          <w:szCs w:val="24"/>
          <w:u w:val="none"/>
          <w:lang w:eastAsia="zh-CN"/>
          <w14:textFill>
            <w14:solidFill>
              <w14:schemeClr w14:val="tx1"/>
            </w14:solidFill>
          </w14:textFill>
        </w:rPr>
        <w:t>，绿色产品政府采购相关政策确定的底级品目名称：</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p>
    <w:p w14:paraId="3B766E91">
      <w:pPr>
        <w:pageBreakBefore w:val="0"/>
        <w:numPr>
          <w:ilvl w:val="0"/>
          <w:numId w:val="0"/>
        </w:numPr>
        <w:tabs>
          <w:tab w:val="left" w:pos="740"/>
        </w:tabs>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iCs/>
          <w:color w:val="000000" w:themeColor="text1"/>
          <w:sz w:val="24"/>
          <w:szCs w:val="24"/>
          <w:lang w:val="en-US" w:eastAsia="zh-CN"/>
          <w14:textFill>
            <w14:solidFill>
              <w14:schemeClr w14:val="tx1"/>
            </w14:solidFill>
          </w14:textFill>
        </w:rPr>
      </w:pP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强制采购</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优先采购</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p>
    <w:p w14:paraId="05F83957">
      <w:pPr>
        <w:pStyle w:val="113"/>
        <w:pageBreakBefore w:val="0"/>
        <w:kinsoku/>
        <w:wordWrap/>
        <w:overflowPunct/>
        <w:topLinePunct w:val="0"/>
        <w:bidi w:val="0"/>
        <w:spacing w:beforeLines="0" w:line="560" w:lineRule="exact"/>
        <w:ind w:firstLine="420" w:firstLineChars="0"/>
        <w:textAlignment w:val="auto"/>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iCs w:val="0"/>
          <w:color w:val="000000" w:themeColor="text1"/>
          <w:kern w:val="2"/>
          <w:sz w:val="24"/>
          <w:szCs w:val="24"/>
          <w:u w:val="none"/>
          <w:lang w:val="en-US" w:eastAsia="zh-CN"/>
          <w14:textFill>
            <w14:solidFill>
              <w14:schemeClr w14:val="tx1"/>
            </w14:solidFill>
          </w14:textFill>
        </w:rPr>
        <w:t xml:space="preserve">     </w:t>
      </w:r>
      <w:r>
        <w:rPr>
          <w:rFonts w:hint="eastAsia" w:ascii="宋体" w:hAnsi="宋体" w:eastAsia="宋体" w:cs="宋体"/>
          <w:iCs w:val="0"/>
          <w:color w:val="000000" w:themeColor="text1"/>
          <w:kern w:val="2"/>
          <w:sz w:val="24"/>
          <w:szCs w:val="24"/>
          <w:u w:val="none"/>
          <w14:textFill>
            <w14:solidFill>
              <w14:schemeClr w14:val="tx1"/>
            </w14:solidFill>
          </w14:textFill>
        </w:rPr>
        <w:sym w:font="Wingdings" w:char="00A8"/>
      </w:r>
      <w:r>
        <w:rPr>
          <w:rFonts w:hint="eastAsia" w:ascii="宋体" w:hAnsi="宋体" w:eastAsia="宋体" w:cs="宋体"/>
          <w:iCs w:val="0"/>
          <w:color w:val="000000" w:themeColor="text1"/>
          <w:kern w:val="2"/>
          <w:sz w:val="24"/>
          <w:szCs w:val="24"/>
          <w:u w:val="none"/>
          <w14:textFill>
            <w14:solidFill>
              <w14:schemeClr w14:val="tx1"/>
            </w14:solidFill>
          </w14:textFill>
        </w:rPr>
        <w:t>否</w:t>
      </w:r>
    </w:p>
    <w:p w14:paraId="77EE8AC2">
      <w:pPr>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（1</w:t>
      </w:r>
      <w:r>
        <w:rPr>
          <w:rFonts w:hint="eastAsia" w:ascii="宋体" w:hAnsi="宋体" w:eastAsia="宋体" w:cs="宋体"/>
          <w:color w:val="000000" w:themeColor="text1"/>
          <w:sz w:val="24"/>
          <w:szCs w:val="24"/>
          <w:lang w:val="en"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）涉及商品包装和快递包装的，是否参考</w:t>
      </w:r>
      <w:r>
        <w:rPr>
          <w:rFonts w:hint="eastAsia" w:ascii="宋体" w:hAnsi="宋体" w:eastAsia="宋体" w:cs="宋体"/>
          <w:color w:val="000000" w:themeColor="text1"/>
          <w:sz w:val="24"/>
          <w:szCs w:val="24"/>
          <w14:textFill>
            <w14:solidFill>
              <w14:schemeClr w14:val="tx1"/>
            </w14:solidFill>
          </w14:textFill>
        </w:rPr>
        <w:t>《商品包装政府采购需求标准（试行）》、《快递包装政府采购需求标准（试行）》</w:t>
      </w:r>
      <w:r>
        <w:rPr>
          <w:rFonts w:hint="eastAsia" w:ascii="宋体" w:hAnsi="宋体" w:eastAsia="宋体" w:cs="宋体"/>
          <w:color w:val="000000" w:themeColor="text1"/>
          <w:sz w:val="24"/>
          <w:szCs w:val="24"/>
          <w:lang w:eastAsia="zh-CN"/>
          <w14:textFill>
            <w14:solidFill>
              <w14:schemeClr w14:val="tx1"/>
            </w14:solidFill>
          </w14:textFill>
        </w:rPr>
        <w:t>明确产品及相关快递服务的具体包装要求：</w:t>
      </w:r>
    </w:p>
    <w:p w14:paraId="5BCBC366">
      <w:pPr>
        <w:pageBreakBefore w:val="0"/>
        <w:numPr>
          <w:ilvl w:val="0"/>
          <w:numId w:val="0"/>
        </w:numPr>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iCs w:val="0"/>
          <w:color w:val="000000" w:themeColor="text1"/>
          <w:sz w:val="24"/>
          <w:szCs w:val="24"/>
          <w:lang w:val="en-US" w:eastAsia="zh-CN"/>
          <w14:textFill>
            <w14:solidFill>
              <w14:schemeClr w14:val="tx1"/>
            </w14:solidFill>
          </w14:textFill>
        </w:rPr>
      </w:pP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14:textFill>
            <w14:solidFill>
              <w14:schemeClr w14:val="tx1"/>
            </w14:solidFill>
          </w14:textFill>
        </w:rPr>
        <w:t xml:space="preserve">是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14:textFill>
            <w14:solidFill>
              <w14:schemeClr w14:val="tx1"/>
            </w14:solidFill>
          </w14:textFill>
        </w:rPr>
        <w:t>否</w:t>
      </w:r>
      <w:r>
        <w:rPr>
          <w:rFonts w:hint="eastAsia" w:ascii="宋体" w:hAnsi="宋体" w:eastAsia="宋体" w:cs="宋体"/>
          <w:i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val="0"/>
          <w:color w:val="000000" w:themeColor="text1"/>
          <w:sz w:val="24"/>
          <w:szCs w:val="24"/>
          <w14:textFill>
            <w14:solidFill>
              <w14:schemeClr w14:val="tx1"/>
            </w14:solidFill>
          </w14:textFill>
        </w:rPr>
        <w:sym w:font="Wingdings" w:char="00A8"/>
      </w:r>
      <w:r>
        <w:rPr>
          <w:rFonts w:hint="eastAsia" w:ascii="宋体" w:hAnsi="宋体" w:eastAsia="宋体" w:cs="宋体"/>
          <w:iCs w:val="0"/>
          <w:color w:val="000000" w:themeColor="text1"/>
          <w:sz w:val="24"/>
          <w:szCs w:val="24"/>
          <w:lang w:eastAsia="zh-CN"/>
          <w14:textFill>
            <w14:solidFill>
              <w14:schemeClr w14:val="tx1"/>
            </w14:solidFill>
          </w14:textFill>
        </w:rPr>
        <w:t>不涉及</w:t>
      </w:r>
    </w:p>
    <w:p w14:paraId="5B1CB0A2">
      <w:pPr>
        <w:pageBreakBefore w:val="0"/>
        <w:numPr>
          <w:ilvl w:val="0"/>
          <w:numId w:val="6"/>
        </w:numPr>
        <w:kinsoku/>
        <w:wordWrap/>
        <w:overflowPunct/>
        <w:topLinePunct w:val="0"/>
        <w:bidi w:val="0"/>
        <w:adjustRightInd w:val="0"/>
        <w:snapToGrid w:val="0"/>
        <w:spacing w:before="0" w:beforeLines="0" w:line="56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合同金额</w:t>
      </w:r>
    </w:p>
    <w:p w14:paraId="16EBCBE6">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u w:val="non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（1）合同金额小写：</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大写：</w:t>
      </w:r>
      <w:r>
        <w:rPr>
          <w:rFonts w:hint="eastAsia" w:ascii="宋体" w:hAnsi="宋体" w:eastAsia="宋体" w:cs="宋体"/>
          <w:color w:val="000000" w:themeColor="text1"/>
          <w:sz w:val="24"/>
          <w:szCs w:val="24"/>
          <w:u w:val="non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14:textFill>
            <w14:solidFill>
              <w14:schemeClr w14:val="tx1"/>
            </w14:solidFill>
          </w14:textFill>
        </w:rPr>
        <w:t xml:space="preserve">      </w:t>
      </w:r>
    </w:p>
    <w:p w14:paraId="3CD50142">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（注：固定单价合同应填写单价和最高限价）</w:t>
      </w:r>
    </w:p>
    <w:p w14:paraId="42DFE7F4">
      <w:pPr>
        <w:pageBreakBefore w:val="0"/>
        <w:numPr>
          <w:ilvl w:val="0"/>
          <w:numId w:val="0"/>
        </w:numPr>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合同定价方式</w:t>
      </w:r>
      <w:r>
        <w:rPr>
          <w:rFonts w:hint="eastAsia" w:ascii="宋体" w:hAnsi="宋体" w:eastAsia="宋体" w:cs="宋体"/>
          <w:color w:val="000000" w:themeColor="text1"/>
          <w:sz w:val="24"/>
          <w:szCs w:val="24"/>
          <w:lang w:eastAsia="zh-CN"/>
          <w14:textFill>
            <w14:solidFill>
              <w14:schemeClr w14:val="tx1"/>
            </w14:solidFill>
          </w14:textFill>
        </w:rPr>
        <w:t>（采用组合定价方式的，可以勾选多项）</w:t>
      </w:r>
      <w:r>
        <w:rPr>
          <w:rFonts w:hint="eastAsia" w:ascii="宋体" w:hAnsi="宋体" w:eastAsia="宋体" w:cs="宋体"/>
          <w:color w:val="000000" w:themeColor="text1"/>
          <w:sz w:val="24"/>
          <w:szCs w:val="24"/>
          <w14:textFill>
            <w14:solidFill>
              <w14:schemeClr w14:val="tx1"/>
            </w14:solidFill>
          </w14:textFill>
        </w:rPr>
        <w:t>：</w:t>
      </w:r>
    </w:p>
    <w:p w14:paraId="241B0071">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 xml:space="preserve">固定总价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固定单价</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固定费率</w:t>
      </w:r>
      <w:r>
        <w:rPr>
          <w:rFonts w:hint="eastAsia" w:ascii="宋体" w:hAnsi="宋体" w:eastAsia="宋体" w:cs="宋体"/>
          <w:iCs/>
          <w:color w:val="000000" w:themeColor="text1"/>
          <w:sz w:val="24"/>
          <w:szCs w:val="24"/>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 xml:space="preserve">成本补偿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14:textFill>
            <w14:solidFill>
              <w14:schemeClr w14:val="tx1"/>
            </w14:solidFill>
          </w14:textFill>
        </w:rPr>
        <w:t>绩效激励</w:t>
      </w:r>
      <w:r>
        <w:rPr>
          <w:rFonts w:hint="eastAsia" w:ascii="宋体" w:hAnsi="宋体" w:eastAsia="宋体" w:cs="宋体"/>
          <w:iCs/>
          <w:color w:val="000000" w:themeColor="text1"/>
          <w:sz w:val="24"/>
          <w:szCs w:val="24"/>
          <w:lang w:val="en-US" w:eastAsia="zh-CN"/>
          <w14:textFill>
            <w14:solidFill>
              <w14:schemeClr w14:val="tx1"/>
            </w14:solidFill>
          </w14:textFill>
        </w:rPr>
        <w:t xml:space="preserve"> </w:t>
      </w:r>
      <w:r>
        <w:rPr>
          <w:rFonts w:hint="eastAsia" w:ascii="宋体" w:hAnsi="宋体" w:eastAsia="宋体" w:cs="宋体"/>
          <w:iCs/>
          <w:color w:val="000000" w:themeColor="text1"/>
          <w:sz w:val="24"/>
          <w:szCs w:val="24"/>
          <w14:textFill>
            <w14:solidFill>
              <w14:schemeClr w14:val="tx1"/>
            </w14:solidFill>
          </w14:textFill>
        </w:rPr>
        <w:sym w:font="Wingdings" w:char="00A8"/>
      </w:r>
      <w:r>
        <w:rPr>
          <w:rFonts w:hint="eastAsia" w:ascii="宋体" w:hAnsi="宋体" w:eastAsia="宋体" w:cs="宋体"/>
          <w:iCs/>
          <w:color w:val="000000" w:themeColor="text1"/>
          <w:sz w:val="24"/>
          <w:szCs w:val="24"/>
          <w:lang w:eastAsia="zh-CN"/>
          <w14:textFill>
            <w14:solidFill>
              <w14:schemeClr w14:val="tx1"/>
            </w14:solidFill>
          </w14:textFill>
        </w:rPr>
        <w:t>其他</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15AE7000">
      <w:pPr>
        <w:pStyle w:val="114"/>
        <w:pageBreakBefore w:val="0"/>
        <w:kinsoku/>
        <w:wordWrap/>
        <w:overflowPunct/>
        <w:topLinePunct w:val="0"/>
        <w:bidi w:val="0"/>
        <w:spacing w:beforeLines="0" w:line="56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）付款方式（按项目实际勾选填写）：</w:t>
      </w:r>
    </w:p>
    <w:p w14:paraId="0D662C7A">
      <w:pPr>
        <w:pageBreakBefore w:val="0"/>
        <w:kinsoku/>
        <w:wordWrap/>
        <w:overflowPunct/>
        <w:topLinePunct w:val="0"/>
        <w:bidi w:val="0"/>
        <w:adjustRightInd w:val="0"/>
        <w:snapToGrid w:val="0"/>
        <w:spacing w:before="0" w:beforeLines="0" w:line="560" w:lineRule="exact"/>
        <w:ind w:firstLine="720" w:firstLineChars="300"/>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color w:val="000000" w:themeColor="text1"/>
          <w:sz w:val="24"/>
          <w:szCs w:val="24"/>
          <w14:textFill>
            <w14:solidFill>
              <w14:schemeClr w14:val="tx1"/>
            </w14:solidFill>
          </w14:textFill>
        </w:rPr>
        <w:t>全额付款：</w:t>
      </w:r>
      <w:r>
        <w:rPr>
          <w:rFonts w:hint="eastAsia" w:ascii="宋体" w:hAnsi="宋体" w:eastAsia="宋体" w:cs="宋体"/>
          <w:color w:val="000000" w:themeColor="text1"/>
          <w:sz w:val="24"/>
          <w:szCs w:val="24"/>
          <w:u w:val="single"/>
          <w14:textFill>
            <w14:solidFill>
              <w14:schemeClr w14:val="tx1"/>
            </w14:solidFill>
          </w14:textFill>
        </w:rPr>
        <w:t xml:space="preserve">     （应</w:t>
      </w:r>
      <w:r>
        <w:rPr>
          <w:rFonts w:hint="eastAsia" w:ascii="宋体" w:hAnsi="宋体" w:eastAsia="宋体" w:cs="宋体"/>
          <w:color w:val="000000" w:themeColor="text1"/>
          <w:sz w:val="24"/>
          <w:szCs w:val="24"/>
          <w:u w:val="single"/>
          <w:lang w:eastAsia="zh-CN"/>
          <w14:textFill>
            <w14:solidFill>
              <w14:schemeClr w14:val="tx1"/>
            </w14:solidFill>
          </w14:textFill>
        </w:rPr>
        <w:t>明确</w:t>
      </w:r>
      <w:r>
        <w:rPr>
          <w:rFonts w:hint="eastAsia" w:ascii="宋体" w:hAnsi="宋体" w:eastAsia="宋体" w:cs="宋体"/>
          <w:color w:val="000000" w:themeColor="text1"/>
          <w:sz w:val="24"/>
          <w:szCs w:val="24"/>
          <w:u w:val="single"/>
          <w14:textFill>
            <w14:solidFill>
              <w14:schemeClr w14:val="tx1"/>
            </w14:solidFill>
          </w14:textFill>
        </w:rPr>
        <w:t>一次性支付合同款项</w:t>
      </w:r>
      <w:r>
        <w:rPr>
          <w:rFonts w:hint="eastAsia" w:ascii="宋体" w:hAnsi="宋体" w:eastAsia="宋体" w:cs="宋体"/>
          <w:color w:val="000000" w:themeColor="text1"/>
          <w:sz w:val="24"/>
          <w:szCs w:val="24"/>
          <w:u w:val="single"/>
          <w:lang w:eastAsia="zh-CN"/>
          <w14:textFill>
            <w14:solidFill>
              <w14:schemeClr w14:val="tx1"/>
            </w14:solidFill>
          </w14:textFill>
        </w:rPr>
        <w:t>的条件</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507A5780">
      <w:pPr>
        <w:pageBreakBefore w:val="0"/>
        <w:kinsoku/>
        <w:wordWrap/>
        <w:overflowPunct/>
        <w:topLinePunct w:val="0"/>
        <w:bidi w:val="0"/>
        <w:snapToGrid w:val="0"/>
        <w:spacing w:beforeLines="0" w:line="560" w:lineRule="exact"/>
        <w:ind w:firstLine="720" w:firstLineChars="3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color w:val="000000" w:themeColor="text1"/>
          <w:sz w:val="24"/>
          <w:szCs w:val="24"/>
          <w14:textFill>
            <w14:solidFill>
              <w14:schemeClr w14:val="tx1"/>
            </w14:solidFill>
          </w14:textFill>
        </w:rPr>
        <w:t>分期付款：</w:t>
      </w:r>
      <w:r>
        <w:rPr>
          <w:rFonts w:hint="eastAsia" w:ascii="宋体" w:hAnsi="宋体" w:eastAsia="宋体" w:cs="宋体"/>
          <w:color w:val="000000" w:themeColor="text1"/>
          <w:sz w:val="24"/>
          <w:szCs w:val="24"/>
          <w:u w:val="single"/>
          <w14:textFill>
            <w14:solidFill>
              <w14:schemeClr w14:val="tx1"/>
            </w14:solidFill>
          </w14:textFill>
        </w:rPr>
        <w:t xml:space="preserve">  （应明确分期支付合同款项的各期比例和支付条件</w:t>
      </w:r>
      <w:r>
        <w:rPr>
          <w:rFonts w:hint="eastAsia" w:ascii="宋体" w:hAnsi="宋体" w:eastAsia="宋体" w:cs="宋体"/>
          <w:color w:val="000000" w:themeColor="text1"/>
          <w:sz w:val="24"/>
          <w:szCs w:val="24"/>
          <w:u w:val="single"/>
          <w:lang w:eastAsia="zh-CN"/>
          <w14:textFill>
            <w14:solidFill>
              <w14:schemeClr w14:val="tx1"/>
            </w14:solidFill>
          </w14:textFill>
        </w:rPr>
        <w:t>，各期支付条件应与分期履约验收情况挂钩</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eastAsia="zh-CN"/>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其中涉及预付款的</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u w:val="single"/>
          <w14:textFill>
            <w14:solidFill>
              <w14:schemeClr w14:val="tx1"/>
            </w14:solidFill>
          </w14:textFill>
        </w:rPr>
        <w:t xml:space="preserve"> （应明确预付款的支付比例和支付条件） </w:t>
      </w:r>
    </w:p>
    <w:p w14:paraId="13ACCC41">
      <w:pPr>
        <w:pageBreakBefore w:val="0"/>
        <w:kinsoku/>
        <w:wordWrap/>
        <w:overflowPunct/>
        <w:topLinePunct w:val="0"/>
        <w:bidi w:val="0"/>
        <w:adjustRightInd w:val="0"/>
        <w:snapToGrid w:val="0"/>
        <w:spacing w:before="0" w:beforeLines="0" w:line="560" w:lineRule="exact"/>
        <w:ind w:firstLine="720" w:firstLineChars="300"/>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color w:val="000000" w:themeColor="text1"/>
          <w:sz w:val="24"/>
          <w:szCs w:val="24"/>
          <w14:textFill>
            <w14:solidFill>
              <w14:schemeClr w14:val="tx1"/>
            </w14:solidFill>
          </w14:textFill>
        </w:rPr>
        <w:t>成本补偿：</w:t>
      </w:r>
      <w:r>
        <w:rPr>
          <w:rFonts w:hint="eastAsia" w:ascii="宋体" w:hAnsi="宋体" w:eastAsia="宋体" w:cs="宋体"/>
          <w:color w:val="000000" w:themeColor="text1"/>
          <w:sz w:val="24"/>
          <w:szCs w:val="24"/>
          <w:u w:val="single"/>
          <w14:textFill>
            <w14:solidFill>
              <w14:schemeClr w14:val="tx1"/>
            </w14:solidFill>
          </w14:textFill>
        </w:rPr>
        <w:t xml:space="preserve">      （应明确按照成本补偿方式的支付方式和支付条件）   </w:t>
      </w:r>
    </w:p>
    <w:p w14:paraId="11523576">
      <w:pPr>
        <w:pageBreakBefore w:val="0"/>
        <w:kinsoku/>
        <w:wordWrap/>
        <w:overflowPunct/>
        <w:topLinePunct w:val="0"/>
        <w:bidi w:val="0"/>
        <w:adjustRightInd w:val="0"/>
        <w:snapToGrid w:val="0"/>
        <w:spacing w:before="0" w:beforeLines="0" w:line="560" w:lineRule="exact"/>
        <w:ind w:firstLine="720" w:firstLineChars="3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color w:val="000000" w:themeColor="text1"/>
          <w:sz w:val="24"/>
          <w:szCs w:val="24"/>
          <w14:textFill>
            <w14:solidFill>
              <w14:schemeClr w14:val="tx1"/>
            </w14:solidFill>
          </w14:textFill>
        </w:rPr>
        <w:t>绩效激励：</w:t>
      </w:r>
      <w:r>
        <w:rPr>
          <w:rFonts w:hint="eastAsia" w:ascii="宋体" w:hAnsi="宋体" w:eastAsia="宋体" w:cs="宋体"/>
          <w:color w:val="000000" w:themeColor="text1"/>
          <w:sz w:val="24"/>
          <w:szCs w:val="24"/>
          <w:u w:val="single"/>
          <w14:textFill>
            <w14:solidFill>
              <w14:schemeClr w14:val="tx1"/>
            </w14:solidFill>
          </w14:textFill>
        </w:rPr>
        <w:t xml:space="preserve">      （应明确按照绩效激励方式的支付方式和支付条件）   </w:t>
      </w:r>
    </w:p>
    <w:p w14:paraId="1472DABF">
      <w:pPr>
        <w:pageBreakBefore w:val="0"/>
        <w:numPr>
          <w:ilvl w:val="0"/>
          <w:numId w:val="6"/>
        </w:numPr>
        <w:kinsoku/>
        <w:wordWrap/>
        <w:overflowPunct/>
        <w:topLinePunct w:val="0"/>
        <w:bidi w:val="0"/>
        <w:adjustRightInd w:val="0"/>
        <w:snapToGrid w:val="0"/>
        <w:spacing w:before="0" w:beforeLines="0" w:line="560" w:lineRule="exact"/>
        <w:ind w:firstLine="482" w:firstLineChars="200"/>
        <w:textAlignment w:val="auto"/>
        <w:rPr>
          <w:rFonts w:hint="eastAsia" w:ascii="宋体" w:hAnsi="宋体" w:eastAsia="宋体" w:cs="宋体"/>
          <w:b/>
          <w:bCs w:val="0"/>
          <w:color w:val="000000" w:themeColor="text1"/>
          <w:sz w:val="24"/>
          <w:szCs w:val="24"/>
          <w:u w:val="single"/>
          <w14:textFill>
            <w14:solidFill>
              <w14:schemeClr w14:val="tx1"/>
            </w14:solidFill>
          </w14:textFill>
        </w:rPr>
      </w:pPr>
      <w:r>
        <w:rPr>
          <w:rFonts w:hint="eastAsia" w:ascii="宋体" w:hAnsi="宋体" w:eastAsia="宋体" w:cs="宋体"/>
          <w:b/>
          <w:bCs w:val="0"/>
          <w:color w:val="000000" w:themeColor="text1"/>
          <w:sz w:val="24"/>
          <w:szCs w:val="24"/>
          <w14:textFill>
            <w14:solidFill>
              <w14:schemeClr w14:val="tx1"/>
            </w14:solidFill>
          </w14:textFill>
        </w:rPr>
        <w:t>合同履行</w:t>
      </w:r>
    </w:p>
    <w:p w14:paraId="0CF3A080">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（1）起始日期：</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日，完成日期：</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p>
    <w:p w14:paraId="1BC80BA0">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履约</w:t>
      </w: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b w:val="0"/>
          <w:bCs/>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0350BF10">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（3）履约担保：</w:t>
      </w:r>
      <w:r>
        <w:rPr>
          <w:rFonts w:hint="eastAsia" w:ascii="宋体" w:hAnsi="宋体" w:eastAsia="宋体" w:cs="宋体"/>
          <w:color w:val="000000" w:themeColor="text1"/>
          <w:sz w:val="24"/>
          <w:szCs w:val="24"/>
          <w:lang w:val="en-US" w:eastAsia="zh-CN"/>
          <w14:textFill>
            <w14:solidFill>
              <w14:schemeClr w14:val="tx1"/>
            </w14:solidFill>
          </w14:textFill>
        </w:rPr>
        <w:t>是否收取履约保证金：</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color w:val="000000" w:themeColor="text1"/>
          <w:sz w:val="24"/>
          <w:szCs w:val="24"/>
          <w:lang w:eastAsia="zh-CN"/>
          <w14:textFill>
            <w14:solidFill>
              <w14:schemeClr w14:val="tx1"/>
            </w14:solidFill>
          </w14:textFill>
        </w:rPr>
        <w:t>是</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color w:val="000000" w:themeColor="text1"/>
          <w:sz w:val="24"/>
          <w:szCs w:val="24"/>
          <w:lang w:eastAsia="zh-CN"/>
          <w14:textFill>
            <w14:solidFill>
              <w14:schemeClr w14:val="tx1"/>
            </w14:solidFill>
          </w14:textFill>
        </w:rPr>
        <w:t>否</w:t>
      </w:r>
    </w:p>
    <w:p w14:paraId="68E72D31">
      <w:pPr>
        <w:pStyle w:val="113"/>
        <w:pageBreakBefore w:val="0"/>
        <w:kinsoku/>
        <w:wordWrap/>
        <w:overflowPunct/>
        <w:topLinePunct w:val="0"/>
        <w:bidi w:val="0"/>
        <w:spacing w:beforeLines="0" w:line="56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收取履约保证金形式：</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4906651F">
      <w:pPr>
        <w:pStyle w:val="113"/>
        <w:pageBreakBefore w:val="0"/>
        <w:kinsoku/>
        <w:wordWrap/>
        <w:overflowPunct/>
        <w:topLinePunct w:val="0"/>
        <w:bidi w:val="0"/>
        <w:spacing w:beforeLines="0" w:line="56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收取履约保证金金额：</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036B745D">
      <w:pPr>
        <w:pageBreakBefore w:val="0"/>
        <w:kinsoku/>
        <w:wordWrap/>
        <w:overflowPunct/>
        <w:topLinePunct w:val="0"/>
        <w:bidi w:val="0"/>
        <w:snapToGrid w:val="0"/>
        <w:spacing w:beforeLines="0" w:line="56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u w:val="none"/>
          <w:lang w:val="en-US" w:eastAsia="zh-CN"/>
          <w14:textFill>
            <w14:solidFill>
              <w14:schemeClr w14:val="tx1"/>
            </w14:solidFill>
          </w14:textFill>
        </w:rPr>
        <w:t xml:space="preserve">    履约担保期限</w:t>
      </w:r>
      <w:r>
        <w:rPr>
          <w:rFonts w:hint="eastAsia" w:ascii="宋体" w:hAnsi="宋体" w:eastAsia="宋体" w:cs="宋体"/>
          <w:bCs/>
          <w:color w:val="000000" w:themeColor="text1"/>
          <w:sz w:val="24"/>
          <w:szCs w:val="24"/>
          <w:u w:val="none"/>
          <w:lang w:eastAsia="zh-CN"/>
          <w14:textFill>
            <w14:solidFill>
              <w14:schemeClr w14:val="tx1"/>
            </w14:solidFill>
          </w14:textFill>
        </w:rPr>
        <w:t>：</w:t>
      </w:r>
      <w:r>
        <w:rPr>
          <w:rFonts w:hint="eastAsia" w:ascii="宋体" w:hAnsi="宋体" w:eastAsia="宋体" w:cs="宋体"/>
          <w:bCs/>
          <w:color w:val="000000" w:themeColor="text1"/>
          <w:sz w:val="24"/>
          <w:szCs w:val="24"/>
          <w:u w:val="single"/>
          <w14:textFill>
            <w14:solidFill>
              <w14:schemeClr w14:val="tx1"/>
            </w14:solidFill>
          </w14:textFill>
        </w:rPr>
        <w:t xml:space="preserve">      </w:t>
      </w:r>
      <w:r>
        <w:rPr>
          <w:rFonts w:hint="eastAsia" w:ascii="宋体" w:hAnsi="宋体" w:eastAsia="宋体" w:cs="宋体"/>
          <w:bCs/>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235039F0">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（4）分期履行要求：</w:t>
      </w:r>
      <w:r>
        <w:rPr>
          <w:rFonts w:hint="eastAsia" w:ascii="宋体" w:hAnsi="宋体" w:eastAsia="宋体" w:cs="宋体"/>
          <w:bCs/>
          <w:color w:val="000000" w:themeColor="text1"/>
          <w:sz w:val="24"/>
          <w:szCs w:val="24"/>
          <w:u w:val="single"/>
          <w14:textFill>
            <w14:solidFill>
              <w14:schemeClr w14:val="tx1"/>
            </w14:solidFill>
          </w14:textFill>
        </w:rPr>
        <w:t xml:space="preserve">                                                   </w:t>
      </w:r>
      <w:r>
        <w:rPr>
          <w:rFonts w:hint="eastAsia" w:ascii="宋体" w:hAnsi="宋体" w:eastAsia="宋体" w:cs="宋体"/>
          <w:bCs/>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3137AFA0">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（5）</w:t>
      </w:r>
      <w:r>
        <w:rPr>
          <w:rFonts w:hint="eastAsia" w:ascii="宋体" w:hAnsi="宋体" w:eastAsia="宋体" w:cs="宋体"/>
          <w:bCs/>
          <w:color w:val="000000" w:themeColor="text1"/>
          <w:sz w:val="24"/>
          <w:szCs w:val="24"/>
          <w:lang w:eastAsia="zh-CN"/>
          <w14:textFill>
            <w14:solidFill>
              <w14:schemeClr w14:val="tx1"/>
            </w14:solidFill>
          </w14:textFill>
        </w:rPr>
        <w:t>风险处置措施和替代方案</w:t>
      </w:r>
      <w:r>
        <w:rPr>
          <w:rFonts w:hint="eastAsia" w:ascii="宋体" w:hAnsi="宋体" w:eastAsia="宋体" w:cs="宋体"/>
          <w:bCs/>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1EA4FBE2">
      <w:pPr>
        <w:pageBreakBefore w:val="0"/>
        <w:numPr>
          <w:ilvl w:val="0"/>
          <w:numId w:val="6"/>
        </w:numPr>
        <w:kinsoku/>
        <w:wordWrap/>
        <w:overflowPunct/>
        <w:topLinePunct w:val="0"/>
        <w:bidi w:val="0"/>
        <w:adjustRightInd w:val="0"/>
        <w:snapToGrid w:val="0"/>
        <w:spacing w:before="0" w:beforeLines="0" w:line="56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合同验收</w:t>
      </w:r>
    </w:p>
    <w:p w14:paraId="78E44303">
      <w:pPr>
        <w:pageBreakBefore w:val="0"/>
        <w:numPr>
          <w:ilvl w:val="0"/>
          <w:numId w:val="8"/>
        </w:numPr>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验收组织方式：</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 xml:space="preserve">自行组织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委托第三方组织</w:t>
      </w:r>
    </w:p>
    <w:p w14:paraId="155C49B3">
      <w:pPr>
        <w:pageBreakBefore w:val="0"/>
        <w:numPr>
          <w:ilvl w:val="0"/>
          <w:numId w:val="0"/>
        </w:numPr>
        <w:kinsoku/>
        <w:wordWrap/>
        <w:overflowPunct/>
        <w:topLinePunct w:val="0"/>
        <w:bidi w:val="0"/>
        <w:adjustRightInd w:val="0"/>
        <w:snapToGrid w:val="0"/>
        <w:spacing w:before="0" w:beforeLines="0" w:line="560" w:lineRule="exact"/>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验收主体：</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2EACE438">
      <w:pPr>
        <w:pageBreakBefore w:val="0"/>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是否邀请本项目的其他供应商</w:t>
      </w:r>
      <w:r>
        <w:rPr>
          <w:rFonts w:hint="eastAsia" w:ascii="宋体" w:hAnsi="宋体" w:eastAsia="宋体" w:cs="宋体"/>
          <w:bCs/>
          <w:color w:val="000000" w:themeColor="text1"/>
          <w:sz w:val="24"/>
          <w:szCs w:val="24"/>
          <w:lang w:eastAsia="zh-CN"/>
          <w14:textFill>
            <w14:solidFill>
              <w14:schemeClr w14:val="tx1"/>
            </w14:solidFill>
          </w14:textFill>
        </w:rPr>
        <w:t>参加验收</w:t>
      </w:r>
      <w:r>
        <w:rPr>
          <w:rFonts w:hint="eastAsia" w:ascii="宋体" w:hAnsi="宋体" w:eastAsia="宋体" w:cs="宋体"/>
          <w:bCs/>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 xml:space="preserve">是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否</w:t>
      </w:r>
    </w:p>
    <w:p w14:paraId="691F181D">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是否邀请专家</w:t>
      </w:r>
      <w:r>
        <w:rPr>
          <w:rFonts w:hint="eastAsia" w:ascii="宋体" w:hAnsi="宋体" w:eastAsia="宋体" w:cs="宋体"/>
          <w:bCs/>
          <w:color w:val="000000" w:themeColor="text1"/>
          <w:sz w:val="24"/>
          <w:szCs w:val="24"/>
          <w:lang w:eastAsia="zh-CN"/>
          <w14:textFill>
            <w14:solidFill>
              <w14:schemeClr w14:val="tx1"/>
            </w14:solidFill>
          </w14:textFill>
        </w:rPr>
        <w:t>参加验收</w:t>
      </w:r>
      <w:r>
        <w:rPr>
          <w:rFonts w:hint="eastAsia" w:ascii="宋体" w:hAnsi="宋体" w:eastAsia="宋体" w:cs="宋体"/>
          <w:bCs/>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 xml:space="preserve">是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否</w:t>
      </w:r>
    </w:p>
    <w:p w14:paraId="34DAFEF2">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是否邀请服务对象</w:t>
      </w:r>
      <w:r>
        <w:rPr>
          <w:rFonts w:hint="eastAsia" w:ascii="宋体" w:hAnsi="宋体" w:eastAsia="宋体" w:cs="宋体"/>
          <w:bCs/>
          <w:color w:val="000000" w:themeColor="text1"/>
          <w:sz w:val="24"/>
          <w:szCs w:val="24"/>
          <w:lang w:eastAsia="zh-CN"/>
          <w14:textFill>
            <w14:solidFill>
              <w14:schemeClr w14:val="tx1"/>
            </w14:solidFill>
          </w14:textFill>
        </w:rPr>
        <w:t>参加验收</w:t>
      </w:r>
      <w:r>
        <w:rPr>
          <w:rFonts w:hint="eastAsia" w:ascii="宋体" w:hAnsi="宋体" w:eastAsia="宋体" w:cs="宋体"/>
          <w:bCs/>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 xml:space="preserve">是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否</w:t>
      </w:r>
    </w:p>
    <w:p w14:paraId="6B07E701">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是否邀请第三方检测机构</w:t>
      </w:r>
      <w:r>
        <w:rPr>
          <w:rFonts w:hint="eastAsia" w:ascii="宋体" w:hAnsi="宋体" w:eastAsia="宋体" w:cs="宋体"/>
          <w:bCs/>
          <w:color w:val="000000" w:themeColor="text1"/>
          <w:sz w:val="24"/>
          <w:szCs w:val="24"/>
          <w:lang w:eastAsia="zh-CN"/>
          <w14:textFill>
            <w14:solidFill>
              <w14:schemeClr w14:val="tx1"/>
            </w14:solidFill>
          </w14:textFill>
        </w:rPr>
        <w:t>参加验收</w:t>
      </w:r>
      <w:r>
        <w:rPr>
          <w:rFonts w:hint="eastAsia" w:ascii="宋体" w:hAnsi="宋体" w:eastAsia="宋体" w:cs="宋体"/>
          <w:bCs/>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 xml:space="preserve">是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否</w:t>
      </w:r>
    </w:p>
    <w:p w14:paraId="20E237D3">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lang w:eastAsia="zh-CN"/>
          <w14:textFill>
            <w14:solidFill>
              <w14:schemeClr w14:val="tx1"/>
            </w14:solidFill>
          </w14:textFill>
        </w:rPr>
        <w:t>是否进行抽查检测：</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是</w:t>
      </w:r>
      <w:r>
        <w:rPr>
          <w:rFonts w:hint="eastAsia" w:ascii="宋体" w:hAnsi="宋体" w:eastAsia="宋体" w:cs="宋体"/>
          <w:bCs/>
          <w:color w:val="000000" w:themeColor="text1"/>
          <w:sz w:val="24"/>
          <w:szCs w:val="24"/>
          <w:lang w:eastAsia="zh-CN"/>
          <w14:textFill>
            <w14:solidFill>
              <w14:schemeClr w14:val="tx1"/>
            </w14:solidFill>
          </w14:textFill>
        </w:rPr>
        <w:t>，抽查比例：</w:t>
      </w:r>
      <w:r>
        <w:rPr>
          <w:rFonts w:hint="eastAsia" w:ascii="宋体" w:hAnsi="宋体" w:eastAsia="宋体" w:cs="宋体"/>
          <w:bCs/>
          <w:color w:val="000000" w:themeColor="text1"/>
          <w:sz w:val="24"/>
          <w:szCs w:val="24"/>
          <w:u w:val="single"/>
          <w14:textFill>
            <w14:solidFill>
              <w14:schemeClr w14:val="tx1"/>
            </w14:solidFill>
          </w14:textFill>
        </w:rPr>
        <w:t xml:space="preserve">   </w:t>
      </w:r>
      <w:r>
        <w:rPr>
          <w:rFonts w:hint="eastAsia" w:ascii="宋体" w:hAnsi="宋体" w:eastAsia="宋体" w:cs="宋体"/>
          <w:bCs/>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否</w:t>
      </w:r>
    </w:p>
    <w:p w14:paraId="7C7DCD46">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bCs/>
          <w:color w:val="000000" w:themeColor="text1"/>
          <w:sz w:val="24"/>
          <w:szCs w:val="24"/>
          <w:u w:val="single"/>
          <w:lang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是否存在破坏性检测：</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是</w:t>
      </w:r>
      <w:r>
        <w:rPr>
          <w:rFonts w:hint="eastAsia" w:ascii="宋体" w:hAnsi="宋体" w:eastAsia="宋体" w:cs="宋体"/>
          <w:bCs/>
          <w:color w:val="000000" w:themeColor="text1"/>
          <w:sz w:val="24"/>
          <w:szCs w:val="24"/>
          <w:lang w:eastAsia="zh-CN"/>
          <w14:textFill>
            <w14:solidFill>
              <w14:schemeClr w14:val="tx1"/>
            </w14:solidFill>
          </w14:textFill>
        </w:rPr>
        <w:t>，</w:t>
      </w:r>
      <w:r>
        <w:rPr>
          <w:rFonts w:hint="eastAsia" w:ascii="宋体" w:hAnsi="宋体" w:eastAsia="宋体" w:cs="宋体"/>
          <w:bCs/>
          <w:color w:val="000000" w:themeColor="text1"/>
          <w:sz w:val="24"/>
          <w:szCs w:val="24"/>
          <w:u w:val="single"/>
          <w:lang w:eastAsia="zh-CN"/>
          <w14:textFill>
            <w14:solidFill>
              <w14:schemeClr w14:val="tx1"/>
            </w14:solidFill>
          </w14:textFill>
        </w:rPr>
        <w:t>（应明确对被破坏的检测产品的处理方式）</w:t>
      </w:r>
    </w:p>
    <w:p w14:paraId="12159F6C">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否</w:t>
      </w:r>
    </w:p>
    <w:p w14:paraId="5CB40DFC">
      <w:pPr>
        <w:pageBreakBefore w:val="0"/>
        <w:kinsoku/>
        <w:wordWrap/>
        <w:overflowPunct/>
        <w:topLinePunct w:val="0"/>
        <w:bidi w:val="0"/>
        <w:adjustRightInd w:val="0"/>
        <w:snapToGrid w:val="0"/>
        <w:spacing w:before="0" w:beforeLines="0" w:line="560" w:lineRule="exact"/>
        <w:ind w:firstLine="960" w:firstLineChars="400"/>
        <w:textAlignment w:val="auto"/>
        <w:rPr>
          <w:rFonts w:hint="eastAsia" w:ascii="宋体" w:hAnsi="宋体" w:eastAsia="宋体" w:cs="宋体"/>
          <w:bCs/>
          <w:color w:val="000000" w:themeColor="text1"/>
          <w:sz w:val="24"/>
          <w:szCs w:val="24"/>
          <w:u w:val="single"/>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验收组织的其他事项：</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5936FE1F">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Cs/>
          <w:color w:val="000000" w:themeColor="text1"/>
          <w:sz w:val="24"/>
          <w:szCs w:val="24"/>
          <w:u w:val="single"/>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（2）履约验收时间：</w:t>
      </w:r>
      <w:r>
        <w:rPr>
          <w:rFonts w:hint="eastAsia" w:ascii="宋体" w:hAnsi="宋体" w:eastAsia="宋体" w:cs="宋体"/>
          <w:bCs/>
          <w:color w:val="000000" w:themeColor="text1"/>
          <w:sz w:val="24"/>
          <w:szCs w:val="24"/>
          <w:u w:val="single"/>
          <w14:textFill>
            <w14:solidFill>
              <w14:schemeClr w14:val="tx1"/>
            </w14:solidFill>
          </w14:textFill>
        </w:rPr>
        <w:t>（计划于何时验收/供应商提出验收申请之日起   日内组织验收）</w:t>
      </w:r>
      <w:r>
        <w:rPr>
          <w:rFonts w:hint="eastAsia" w:ascii="宋体" w:hAnsi="宋体" w:eastAsia="宋体" w:cs="宋体"/>
          <w:bCs/>
          <w:color w:val="000000" w:themeColor="text1"/>
          <w:sz w:val="24"/>
          <w:szCs w:val="24"/>
          <w:u w:val="single"/>
          <w:lang w:val="en-US" w:eastAsia="zh-CN"/>
          <w14:textFill>
            <w14:solidFill>
              <w14:schemeClr w14:val="tx1"/>
            </w14:solidFill>
          </w14:textFill>
        </w:rPr>
        <w:t xml:space="preserve"> </w:t>
      </w:r>
    </w:p>
    <w:p w14:paraId="4A754570">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（3）履约验收方式：</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 xml:space="preserve">一次性验收         </w:t>
      </w:r>
    </w:p>
    <w:p w14:paraId="467AECB1">
      <w:pPr>
        <w:pageBreakBefore w:val="0"/>
        <w:kinsoku/>
        <w:wordWrap/>
        <w:overflowPunct/>
        <w:topLinePunct w:val="0"/>
        <w:bidi w:val="0"/>
        <w:adjustRightInd w:val="0"/>
        <w:snapToGrid w:val="0"/>
        <w:spacing w:before="0" w:beforeLines="0" w:line="560" w:lineRule="exact"/>
        <w:ind w:firstLine="0" w:firstLineChars="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分期/分项验收</w:t>
      </w:r>
      <w:r>
        <w:rPr>
          <w:rFonts w:hint="eastAsia" w:ascii="宋体" w:hAnsi="宋体" w:eastAsia="宋体" w:cs="宋体"/>
          <w:bCs/>
          <w:color w:val="000000" w:themeColor="text1"/>
          <w:sz w:val="24"/>
          <w:szCs w:val="24"/>
          <w:lang w:eastAsia="zh-CN"/>
          <w14:textFill>
            <w14:solidFill>
              <w14:schemeClr w14:val="tx1"/>
            </w14:solidFill>
          </w14:textFill>
        </w:rPr>
        <w:t>：</w:t>
      </w:r>
      <w:r>
        <w:rPr>
          <w:rFonts w:hint="eastAsia" w:ascii="宋体" w:hAnsi="宋体" w:eastAsia="宋体" w:cs="宋体"/>
          <w:bCs/>
          <w:color w:val="000000" w:themeColor="text1"/>
          <w:sz w:val="24"/>
          <w:szCs w:val="24"/>
          <w:u w:val="single"/>
          <w14:textFill>
            <w14:solidFill>
              <w14:schemeClr w14:val="tx1"/>
            </w14:solidFill>
          </w14:textFill>
        </w:rPr>
        <w:t xml:space="preserve"> </w:t>
      </w:r>
      <w:r>
        <w:rPr>
          <w:rFonts w:hint="eastAsia" w:ascii="宋体" w:hAnsi="宋体" w:eastAsia="宋体" w:cs="宋体"/>
          <w:bCs/>
          <w:color w:val="000000" w:themeColor="text1"/>
          <w:sz w:val="24"/>
          <w:szCs w:val="24"/>
          <w:u w:val="single"/>
          <w:lang w:eastAsia="zh-CN"/>
          <w14:textFill>
            <w14:solidFill>
              <w14:schemeClr w14:val="tx1"/>
            </w14:solidFill>
          </w14:textFill>
        </w:rPr>
        <w:t>（应明确分期</w:t>
      </w:r>
      <w:r>
        <w:rPr>
          <w:rFonts w:hint="eastAsia" w:ascii="宋体" w:hAnsi="宋体" w:eastAsia="宋体" w:cs="宋体"/>
          <w:bCs/>
          <w:color w:val="000000" w:themeColor="text1"/>
          <w:sz w:val="24"/>
          <w:szCs w:val="24"/>
          <w:u w:val="single"/>
          <w:lang w:val="en" w:eastAsia="zh-CN"/>
          <w14:textFill>
            <w14:solidFill>
              <w14:schemeClr w14:val="tx1"/>
            </w14:solidFill>
          </w14:textFill>
        </w:rPr>
        <w:t>/分项验收的工作安排</w:t>
      </w:r>
      <w:r>
        <w:rPr>
          <w:rFonts w:hint="eastAsia" w:ascii="宋体" w:hAnsi="宋体" w:eastAsia="宋体" w:cs="宋体"/>
          <w:bCs/>
          <w:color w:val="000000" w:themeColor="text1"/>
          <w:sz w:val="24"/>
          <w:szCs w:val="24"/>
          <w:u w:val="single"/>
          <w:lang w:eastAsia="zh-CN"/>
          <w14:textFill>
            <w14:solidFill>
              <w14:schemeClr w14:val="tx1"/>
            </w14:solidFill>
          </w14:textFill>
        </w:rPr>
        <w:t>）</w:t>
      </w:r>
      <w:r>
        <w:rPr>
          <w:rFonts w:hint="eastAsia" w:ascii="宋体" w:hAnsi="宋体" w:eastAsia="宋体" w:cs="宋体"/>
          <w:bCs/>
          <w:color w:val="000000" w:themeColor="text1"/>
          <w:sz w:val="24"/>
          <w:szCs w:val="24"/>
          <w:u w:val="single"/>
          <w14:textFill>
            <w14:solidFill>
              <w14:schemeClr w14:val="tx1"/>
            </w14:solidFill>
          </w14:textFill>
        </w:rPr>
        <w:t xml:space="preserve"> </w:t>
      </w:r>
      <w:r>
        <w:rPr>
          <w:rFonts w:hint="eastAsia" w:ascii="宋体" w:hAnsi="宋体" w:eastAsia="宋体" w:cs="宋体"/>
          <w:bCs/>
          <w:color w:val="000000" w:themeColor="text1"/>
          <w:sz w:val="24"/>
          <w:szCs w:val="24"/>
          <w:u w:val="single"/>
          <w:lang w:val="en-US" w:eastAsia="zh-CN"/>
          <w14:textFill>
            <w14:solidFill>
              <w14:schemeClr w14:val="tx1"/>
            </w14:solidFill>
          </w14:textFill>
        </w:rPr>
        <w:t xml:space="preserve"> </w:t>
      </w:r>
    </w:p>
    <w:p w14:paraId="512A26C4">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（4）履约验收程序：</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1076EB2B">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Cs/>
          <w:color w:val="000000" w:themeColor="text1"/>
          <w:sz w:val="24"/>
          <w:szCs w:val="24"/>
          <w:u w:val="single"/>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（5）履约验收的内容：</w:t>
      </w:r>
      <w:r>
        <w:rPr>
          <w:rFonts w:hint="eastAsia" w:ascii="宋体" w:hAnsi="宋体" w:eastAsia="宋体" w:cs="宋体"/>
          <w:bCs/>
          <w:color w:val="000000" w:themeColor="text1"/>
          <w:sz w:val="24"/>
          <w:szCs w:val="24"/>
          <w:u w:val="single"/>
          <w14:textFill>
            <w14:solidFill>
              <w14:schemeClr w14:val="tx1"/>
            </w14:solidFill>
          </w14:textFill>
        </w:rPr>
        <w:t xml:space="preserve"> </w:t>
      </w:r>
      <w:r>
        <w:rPr>
          <w:rFonts w:hint="eastAsia" w:ascii="宋体" w:hAnsi="宋体" w:eastAsia="宋体" w:cs="宋体"/>
          <w:bCs/>
          <w:color w:val="000000" w:themeColor="text1"/>
          <w:sz w:val="24"/>
          <w:szCs w:val="24"/>
          <w:u w:val="single"/>
          <w:lang w:eastAsia="zh-CN"/>
          <w14:textFill>
            <w14:solidFill>
              <w14:schemeClr w14:val="tx1"/>
            </w14:solidFill>
          </w14:textFill>
        </w:rPr>
        <w:t>（应当包括每一项技术和商务要求的履约情况，特别是落实政府采购扶持中小企业，支持绿色发展和乡村振兴等政策情况）</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535257A5">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Cs/>
          <w:color w:val="000000" w:themeColor="text1"/>
          <w:sz w:val="24"/>
          <w:szCs w:val="24"/>
          <w:u w:val="single"/>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（6）履约验收标准：</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7A96220E">
      <w:pPr>
        <w:pStyle w:val="113"/>
        <w:pageBreakBefore w:val="0"/>
        <w:kinsoku/>
        <w:wordWrap/>
        <w:overflowPunct/>
        <w:topLinePunct w:val="0"/>
        <w:bidi w:val="0"/>
        <w:spacing w:beforeLines="0" w:line="560" w:lineRule="exac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bCs/>
          <w:color w:val="000000" w:themeColor="text1"/>
          <w:sz w:val="24"/>
          <w:szCs w:val="24"/>
          <w:u w:val="none"/>
          <w:lang w:eastAsia="zh-CN"/>
          <w14:textFill>
            <w14:solidFill>
              <w14:schemeClr w14:val="tx1"/>
            </w14:solidFill>
          </w14:textFill>
        </w:rPr>
        <w:t>（</w:t>
      </w:r>
      <w:r>
        <w:rPr>
          <w:rFonts w:hint="eastAsia" w:ascii="宋体" w:hAnsi="宋体" w:eastAsia="宋体" w:cs="宋体"/>
          <w:bCs/>
          <w:color w:val="000000" w:themeColor="text1"/>
          <w:sz w:val="24"/>
          <w:szCs w:val="24"/>
          <w:u w:val="none"/>
          <w:lang w:val="en-US" w:eastAsia="zh-CN"/>
          <w14:textFill>
            <w14:solidFill>
              <w14:schemeClr w14:val="tx1"/>
            </w14:solidFill>
          </w14:textFill>
        </w:rPr>
        <w:t>7</w:t>
      </w:r>
      <w:r>
        <w:rPr>
          <w:rFonts w:hint="eastAsia" w:ascii="宋体" w:hAnsi="宋体" w:eastAsia="宋体" w:cs="宋体"/>
          <w:bCs/>
          <w:color w:val="000000" w:themeColor="text1"/>
          <w:sz w:val="24"/>
          <w:szCs w:val="24"/>
          <w:u w:val="none"/>
          <w:lang w:eastAsia="zh-CN"/>
          <w14:textFill>
            <w14:solidFill>
              <w14:schemeClr w14:val="tx1"/>
            </w14:solidFill>
          </w14:textFill>
        </w:rPr>
        <w:t>）是否以采购活动中供应商提供的样品作为参考：</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 xml:space="preserve">是  </w:t>
      </w:r>
      <w:r>
        <w:rPr>
          <w:rFonts w:hint="eastAsia" w:ascii="宋体" w:hAnsi="宋体" w:eastAsia="宋体" w:cs="宋体"/>
          <w:color w:val="000000" w:themeColor="text1"/>
          <w:sz w:val="24"/>
          <w:szCs w:val="24"/>
          <w14:textFill>
            <w14:solidFill>
              <w14:schemeClr w14:val="tx1"/>
            </w14:solidFill>
          </w14:textFill>
        </w:rPr>
        <w:sym w:font="Wingdings" w:char="00A8"/>
      </w:r>
      <w:r>
        <w:rPr>
          <w:rFonts w:hint="eastAsia" w:ascii="宋体" w:hAnsi="宋体" w:eastAsia="宋体" w:cs="宋体"/>
          <w:bCs/>
          <w:color w:val="000000" w:themeColor="text1"/>
          <w:sz w:val="24"/>
          <w:szCs w:val="24"/>
          <w14:textFill>
            <w14:solidFill>
              <w14:schemeClr w14:val="tx1"/>
            </w14:solidFill>
          </w14:textFill>
        </w:rPr>
        <w:t>否</w:t>
      </w:r>
    </w:p>
    <w:p w14:paraId="6396A7EE">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bCs/>
          <w:color w:val="000000" w:themeColor="text1"/>
          <w:sz w:val="24"/>
          <w:szCs w:val="24"/>
          <w:u w:val="single"/>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（8）履约验收其他事项：</w:t>
      </w:r>
      <w:r>
        <w:rPr>
          <w:rFonts w:hint="eastAsia" w:ascii="宋体" w:hAnsi="宋体" w:eastAsia="宋体" w:cs="宋体"/>
          <w:bCs/>
          <w:color w:val="000000" w:themeColor="text1"/>
          <w:sz w:val="24"/>
          <w:szCs w:val="24"/>
          <w:u w:val="single"/>
          <w14:textFill>
            <w14:solidFill>
              <w14:schemeClr w14:val="tx1"/>
            </w14:solidFill>
          </w14:textFill>
        </w:rPr>
        <w:t xml:space="preserve">      </w:t>
      </w:r>
      <w:r>
        <w:rPr>
          <w:rFonts w:hint="eastAsia" w:ascii="宋体" w:hAnsi="宋体" w:eastAsia="宋体" w:cs="宋体"/>
          <w:bCs/>
          <w:i w:val="0"/>
          <w:iCs w:val="0"/>
          <w:color w:val="000000" w:themeColor="text1"/>
          <w:sz w:val="24"/>
          <w:szCs w:val="24"/>
          <w:u w:val="single"/>
          <w14:textFill>
            <w14:solidFill>
              <w14:schemeClr w14:val="tx1"/>
            </w14:solidFill>
          </w14:textFill>
        </w:rPr>
        <w:t>（产权过户登记等）</w:t>
      </w:r>
      <w:r>
        <w:rPr>
          <w:rFonts w:hint="eastAsia" w:ascii="宋体" w:hAnsi="宋体" w:eastAsia="宋体" w:cs="宋体"/>
          <w:bCs/>
          <w:color w:val="000000" w:themeColor="text1"/>
          <w:sz w:val="24"/>
          <w:szCs w:val="24"/>
          <w:u w:val="single"/>
          <w14:textFill>
            <w14:solidFill>
              <w14:schemeClr w14:val="tx1"/>
            </w14:solidFill>
          </w14:textFill>
        </w:rPr>
        <w:t xml:space="preserve">          </w:t>
      </w:r>
    </w:p>
    <w:p w14:paraId="6BF5643A">
      <w:pPr>
        <w:pageBreakBefore w:val="0"/>
        <w:numPr>
          <w:ilvl w:val="0"/>
          <w:numId w:val="6"/>
        </w:numPr>
        <w:kinsoku/>
        <w:wordWrap/>
        <w:overflowPunct/>
        <w:topLinePunct w:val="0"/>
        <w:bidi w:val="0"/>
        <w:adjustRightInd w:val="0"/>
        <w:snapToGrid w:val="0"/>
        <w:spacing w:before="0" w:beforeLines="0" w:line="56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组成合同的文件</w:t>
      </w:r>
    </w:p>
    <w:p w14:paraId="165F29E3">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本协议书与下列文件一起构成合同文件，如下述文件之间有任何抵触、矛盾或歧义，应按以下顺序解释：</w:t>
      </w:r>
    </w:p>
    <w:p w14:paraId="18DF6C0B">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eastAsia="zh-CN"/>
          <w14:textFill>
            <w14:solidFill>
              <w14:schemeClr w14:val="tx1"/>
            </w14:solidFill>
          </w14:textFill>
        </w:rPr>
        <w:t>政府采购</w:t>
      </w:r>
      <w:r>
        <w:rPr>
          <w:rFonts w:hint="eastAsia" w:ascii="宋体" w:hAnsi="宋体" w:eastAsia="宋体" w:cs="宋体"/>
          <w:color w:val="000000" w:themeColor="text1"/>
          <w:sz w:val="24"/>
          <w:szCs w:val="24"/>
          <w14:textFill>
            <w14:solidFill>
              <w14:schemeClr w14:val="tx1"/>
            </w14:solidFill>
          </w14:textFill>
        </w:rPr>
        <w:t>合同协议书及其变更、补充</w:t>
      </w:r>
      <w:r>
        <w:rPr>
          <w:rFonts w:hint="eastAsia" w:ascii="宋体" w:hAnsi="宋体" w:eastAsia="宋体" w:cs="宋体"/>
          <w:color w:val="000000" w:themeColor="text1"/>
          <w:sz w:val="24"/>
          <w:szCs w:val="24"/>
          <w:lang w:eastAsia="zh-CN"/>
          <w14:textFill>
            <w14:solidFill>
              <w14:schemeClr w14:val="tx1"/>
            </w14:solidFill>
          </w14:textFill>
        </w:rPr>
        <w:t>协议</w:t>
      </w:r>
    </w:p>
    <w:p w14:paraId="053B7F00">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）政府采购合同专用条款</w:t>
      </w:r>
    </w:p>
    <w:p w14:paraId="69D44875">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）政府采购合同通用条款</w:t>
      </w:r>
    </w:p>
    <w:p w14:paraId="3C61B677">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）中标</w:t>
      </w:r>
      <w:r>
        <w:rPr>
          <w:rFonts w:hint="eastAsia" w:ascii="宋体" w:hAnsi="宋体" w:eastAsia="宋体" w:cs="宋体"/>
          <w:color w:val="000000" w:themeColor="text1"/>
          <w:sz w:val="24"/>
          <w:szCs w:val="24"/>
          <w:lang w:eastAsia="zh-CN"/>
          <w14:textFill>
            <w14:solidFill>
              <w14:schemeClr w14:val="tx1"/>
            </w14:solidFill>
          </w14:textFill>
        </w:rPr>
        <w:t>（成交）</w:t>
      </w:r>
      <w:r>
        <w:rPr>
          <w:rFonts w:hint="eastAsia" w:ascii="宋体" w:hAnsi="宋体" w:eastAsia="宋体" w:cs="宋体"/>
          <w:color w:val="000000" w:themeColor="text1"/>
          <w:sz w:val="24"/>
          <w:szCs w:val="24"/>
          <w14:textFill>
            <w14:solidFill>
              <w14:schemeClr w14:val="tx1"/>
            </w14:solidFill>
          </w14:textFill>
        </w:rPr>
        <w:t>通知书</w:t>
      </w:r>
    </w:p>
    <w:p w14:paraId="02255BA8">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）投标（响应）文件</w:t>
      </w:r>
    </w:p>
    <w:p w14:paraId="48EDA3FB">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（6）采购文件</w:t>
      </w:r>
    </w:p>
    <w:p w14:paraId="7A136021">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（7）有关技术文件，图纸</w:t>
      </w:r>
    </w:p>
    <w:p w14:paraId="02196D0F">
      <w:pPr>
        <w:pStyle w:val="113"/>
        <w:pageBreakBefore w:val="0"/>
        <w:kinsoku/>
        <w:wordWrap/>
        <w:overflowPunct/>
        <w:topLinePunct w:val="0"/>
        <w:bidi w:val="0"/>
        <w:spacing w:beforeLines="0" w:line="560" w:lineRule="exact"/>
        <w:textAlignment w:val="auto"/>
        <w:rPr>
          <w:rFonts w:hint="eastAsia" w:ascii="宋体" w:hAnsi="宋体" w:eastAsia="宋体" w:cs="宋体"/>
          <w:color w:val="000000" w:themeColor="text1"/>
          <w:kern w:val="2"/>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bCs w:val="0"/>
          <w:color w:val="000000" w:themeColor="text1"/>
          <w:kern w:val="2"/>
          <w:sz w:val="24"/>
          <w:szCs w:val="24"/>
          <w:highlight w:val="none"/>
          <w:lang w:eastAsia="zh-CN"/>
          <w14:textFill>
            <w14:solidFill>
              <w14:schemeClr w14:val="tx1"/>
            </w14:solidFill>
          </w14:textFill>
        </w:rPr>
        <w:t>国家法律、行政法规和规章制度规定或合同约定的作为合同组成部分的其他文件</w:t>
      </w:r>
    </w:p>
    <w:p w14:paraId="4B951985">
      <w:pPr>
        <w:pageBreakBefore w:val="0"/>
        <w:numPr>
          <w:ilvl w:val="0"/>
          <w:numId w:val="6"/>
        </w:numPr>
        <w:kinsoku/>
        <w:wordWrap/>
        <w:overflowPunct/>
        <w:topLinePunct w:val="0"/>
        <w:bidi w:val="0"/>
        <w:adjustRightInd w:val="0"/>
        <w:snapToGrid w:val="0"/>
        <w:spacing w:before="0" w:beforeLines="0" w:line="56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合同生效</w:t>
      </w:r>
    </w:p>
    <w:p w14:paraId="04559A8D">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本合同自</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生效。</w:t>
      </w:r>
    </w:p>
    <w:p w14:paraId="257DC3E7">
      <w:pPr>
        <w:pageBreakBefore w:val="0"/>
        <w:numPr>
          <w:ilvl w:val="0"/>
          <w:numId w:val="6"/>
        </w:numPr>
        <w:kinsoku/>
        <w:wordWrap/>
        <w:overflowPunct/>
        <w:topLinePunct w:val="0"/>
        <w:bidi w:val="0"/>
        <w:adjustRightInd w:val="0"/>
        <w:snapToGrid w:val="0"/>
        <w:spacing w:before="0" w:beforeLines="0" w:line="560" w:lineRule="exact"/>
        <w:ind w:firstLine="482"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合同份数</w:t>
      </w:r>
    </w:p>
    <w:p w14:paraId="4A0379F0">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本合同一式</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份，</w:t>
      </w:r>
      <w:r>
        <w:rPr>
          <w:rFonts w:hint="eastAsia" w:ascii="宋体" w:hAnsi="宋体" w:eastAsia="宋体" w:cs="宋体"/>
          <w:color w:val="000000" w:themeColor="text1"/>
          <w:sz w:val="24"/>
          <w:szCs w:val="24"/>
          <w:lang w:eastAsia="zh-CN"/>
          <w14:textFill>
            <w14:solidFill>
              <w14:schemeClr w14:val="tx1"/>
            </w14:solidFill>
          </w14:textFill>
        </w:rPr>
        <w:t>甲方</w:t>
      </w:r>
      <w:r>
        <w:rPr>
          <w:rFonts w:hint="eastAsia" w:ascii="宋体" w:hAnsi="宋体" w:eastAsia="宋体" w:cs="宋体"/>
          <w:color w:val="000000" w:themeColor="text1"/>
          <w:sz w:val="24"/>
          <w:szCs w:val="24"/>
          <w14:textFill>
            <w14:solidFill>
              <w14:schemeClr w14:val="tx1"/>
            </w14:solidFill>
          </w14:textFill>
        </w:rPr>
        <w:t>执</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份，</w:t>
      </w:r>
      <w:r>
        <w:rPr>
          <w:rFonts w:hint="eastAsia" w:ascii="宋体" w:hAnsi="宋体" w:eastAsia="宋体" w:cs="宋体"/>
          <w:color w:val="000000" w:themeColor="text1"/>
          <w:sz w:val="24"/>
          <w:szCs w:val="24"/>
          <w:lang w:eastAsia="zh-CN"/>
          <w14:textFill>
            <w14:solidFill>
              <w14:schemeClr w14:val="tx1"/>
            </w14:solidFill>
          </w14:textFill>
        </w:rPr>
        <w:t>乙方</w:t>
      </w:r>
      <w:r>
        <w:rPr>
          <w:rFonts w:hint="eastAsia" w:ascii="宋体" w:hAnsi="宋体" w:eastAsia="宋体" w:cs="宋体"/>
          <w:color w:val="000000" w:themeColor="text1"/>
          <w:sz w:val="24"/>
          <w:szCs w:val="24"/>
          <w14:textFill>
            <w14:solidFill>
              <w14:schemeClr w14:val="tx1"/>
            </w14:solidFill>
          </w14:textFill>
        </w:rPr>
        <w:t>执</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份，</w:t>
      </w:r>
      <w:r>
        <w:rPr>
          <w:rFonts w:hint="eastAsia" w:ascii="宋体" w:hAnsi="宋体" w:eastAsia="宋体" w:cs="宋体"/>
          <w:color w:val="000000" w:themeColor="text1"/>
          <w:sz w:val="24"/>
          <w:szCs w:val="24"/>
          <w:lang w:val="en-US" w:eastAsia="zh-CN"/>
          <w14:textFill>
            <w14:solidFill>
              <w14:schemeClr w14:val="tx1"/>
            </w14:solidFill>
          </w14:textFill>
        </w:rPr>
        <w:t>代理机构</w:t>
      </w:r>
      <w:r>
        <w:rPr>
          <w:rFonts w:hint="eastAsia" w:ascii="宋体" w:hAnsi="宋体" w:eastAsia="宋体" w:cs="宋体"/>
          <w:color w:val="000000" w:themeColor="text1"/>
          <w:sz w:val="24"/>
          <w:szCs w:val="24"/>
          <w14:textFill>
            <w14:solidFill>
              <w14:schemeClr w14:val="tx1"/>
            </w14:solidFill>
          </w14:textFill>
        </w:rPr>
        <w:t>执</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份</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均具有同等法律效力。</w:t>
      </w:r>
    </w:p>
    <w:p w14:paraId="64351A09">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合同订立时间：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p>
    <w:p w14:paraId="1021D10D">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合同订立地点：</w:t>
      </w:r>
      <w:r>
        <w:rPr>
          <w:rFonts w:hint="eastAsia" w:ascii="宋体" w:hAnsi="宋体" w:eastAsia="宋体" w:cs="宋体"/>
          <w:color w:val="000000" w:themeColor="text1"/>
          <w:sz w:val="24"/>
          <w:szCs w:val="24"/>
          <w:u w:val="single"/>
          <w14:textFill>
            <w14:solidFill>
              <w14:schemeClr w14:val="tx1"/>
            </w14:solidFill>
          </w14:textFill>
        </w:rPr>
        <w:t xml:space="preserve">                           </w:t>
      </w:r>
    </w:p>
    <w:p w14:paraId="2C4136F5">
      <w:pPr>
        <w:pageBreakBefore w:val="0"/>
        <w:kinsoku/>
        <w:wordWrap/>
        <w:overflowPunct/>
        <w:topLinePunct w:val="0"/>
        <w:bidi w:val="0"/>
        <w:adjustRightInd w:val="0"/>
        <w:snapToGrid w:val="0"/>
        <w:spacing w:before="0" w:beforeLines="0"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附件：具体标</w:t>
      </w:r>
      <w:r>
        <w:rPr>
          <w:rFonts w:hint="eastAsia" w:ascii="宋体" w:hAnsi="宋体" w:eastAsia="宋体" w:cs="宋体"/>
          <w:color w:val="000000" w:themeColor="text1"/>
          <w:sz w:val="24"/>
          <w:szCs w:val="24"/>
          <w:lang w:eastAsia="zh-CN"/>
          <w14:textFill>
            <w14:solidFill>
              <w14:schemeClr w14:val="tx1"/>
            </w14:solidFill>
          </w14:textFill>
        </w:rPr>
        <w:t>的及其</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技术要求和商务要求</w:t>
      </w:r>
      <w:r>
        <w:rPr>
          <w:rFonts w:hint="eastAsia" w:ascii="宋体" w:hAnsi="宋体" w:eastAsia="宋体" w:cs="宋体"/>
          <w:color w:val="000000" w:themeColor="text1"/>
          <w:sz w:val="24"/>
          <w:szCs w:val="24"/>
          <w14:textFill>
            <w14:solidFill>
              <w14:schemeClr w14:val="tx1"/>
            </w14:solidFill>
          </w14:textFill>
        </w:rPr>
        <w:t>、联合协议、分包</w:t>
      </w:r>
      <w:r>
        <w:rPr>
          <w:rFonts w:hint="eastAsia" w:ascii="宋体" w:hAnsi="宋体" w:eastAsia="宋体" w:cs="宋体"/>
          <w:color w:val="000000" w:themeColor="text1"/>
          <w:sz w:val="24"/>
          <w:szCs w:val="24"/>
          <w:lang w:eastAsia="zh-CN"/>
          <w14:textFill>
            <w14:solidFill>
              <w14:schemeClr w14:val="tx1"/>
            </w14:solidFill>
          </w14:textFill>
        </w:rPr>
        <w:t>意向</w:t>
      </w:r>
      <w:r>
        <w:rPr>
          <w:rFonts w:hint="eastAsia" w:ascii="宋体" w:hAnsi="宋体" w:eastAsia="宋体" w:cs="宋体"/>
          <w:color w:val="000000" w:themeColor="text1"/>
          <w:sz w:val="24"/>
          <w:szCs w:val="24"/>
          <w14:textFill>
            <w14:solidFill>
              <w14:schemeClr w14:val="tx1"/>
            </w14:solidFill>
          </w14:textFill>
        </w:rPr>
        <w:t>协议等。</w:t>
      </w:r>
    </w:p>
    <w:p w14:paraId="1085E983">
      <w:pPr>
        <w:pStyle w:val="114"/>
        <w:pageBreakBefore w:val="0"/>
        <w:kinsoku/>
        <w:wordWrap/>
        <w:overflowPunct/>
        <w:topLinePunct w:val="0"/>
        <w:bidi w:val="0"/>
        <w:spacing w:beforeLines="0" w:line="560" w:lineRule="exact"/>
        <w:textAlignment w:val="auto"/>
        <w:rPr>
          <w:rFonts w:hint="eastAsia" w:ascii="宋体" w:hAnsi="宋体" w:eastAsia="宋体" w:cs="宋体"/>
          <w:color w:val="000000" w:themeColor="text1"/>
          <w:sz w:val="24"/>
          <w:szCs w:val="24"/>
          <w14:textFill>
            <w14:solidFill>
              <w14:schemeClr w14:val="tx1"/>
            </w14:solidFill>
          </w14:textFill>
        </w:rPr>
      </w:pPr>
    </w:p>
    <w:p w14:paraId="3A5F88EA">
      <w:pPr>
        <w:pageBreakBefore w:val="0"/>
        <w:kinsoku/>
        <w:wordWrap/>
        <w:overflowPunct/>
        <w:topLinePunct w:val="0"/>
        <w:bidi w:val="0"/>
        <w:spacing w:beforeLines="0" w:line="560" w:lineRule="exac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
          <w14:textFill>
            <w14:solidFill>
              <w14:schemeClr w14:val="tx1"/>
            </w14:solidFill>
          </w14:textFill>
        </w:rPr>
        <w:t xml:space="preserve">   </w:t>
      </w:r>
    </w:p>
    <w:p w14:paraId="0B17A052">
      <w:pPr>
        <w:pageBreakBefore w:val="0"/>
        <w:kinsoku/>
        <w:wordWrap/>
        <w:overflowPunct/>
        <w:topLinePunct w:val="0"/>
        <w:bidi w:val="0"/>
        <w:spacing w:line="56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tbl>
      <w:tblPr>
        <w:tblStyle w:val="35"/>
        <w:tblW w:w="5530" w:type="pct"/>
        <w:tblInd w:w="-541"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3436"/>
        <w:gridCol w:w="3343"/>
        <w:gridCol w:w="3443"/>
      </w:tblGrid>
      <w:tr w14:paraId="54B6273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515" w:hRule="atLeast"/>
        </w:trPr>
        <w:tc>
          <w:tcPr>
            <w:tcW w:w="1681" w:type="pct"/>
            <w:tcBorders>
              <w:bottom w:val="single" w:color="auto" w:sz="2" w:space="0"/>
              <w:right w:val="single" w:color="auto" w:sz="2" w:space="0"/>
            </w:tcBorders>
            <w:noWrap w:val="0"/>
            <w:vAlign w:val="center"/>
          </w:tcPr>
          <w:p w14:paraId="32BE062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w:t>
            </w:r>
          </w:p>
          <w:p w14:paraId="53E37F7C">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sz w:val="24"/>
                <w:szCs w:val="24"/>
                <w:lang w:eastAsia="zh-CN"/>
                <w14:textFill>
                  <w14:solidFill>
                    <w14:schemeClr w14:val="tx1"/>
                  </w14:solidFill>
                </w14:textFill>
              </w:rPr>
            </w:pPr>
          </w:p>
        </w:tc>
        <w:tc>
          <w:tcPr>
            <w:tcW w:w="1635" w:type="pct"/>
            <w:tcBorders>
              <w:left w:val="single" w:color="auto" w:sz="2" w:space="0"/>
              <w:bottom w:val="single" w:color="auto" w:sz="2" w:space="0"/>
            </w:tcBorders>
            <w:noWrap w:val="0"/>
            <w:vAlign w:val="center"/>
          </w:tcPr>
          <w:p w14:paraId="2218F6E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w:t>
            </w:r>
          </w:p>
          <w:p w14:paraId="28F75B2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p>
        </w:tc>
        <w:tc>
          <w:tcPr>
            <w:tcW w:w="1682" w:type="pct"/>
            <w:tcBorders>
              <w:left w:val="single" w:color="auto" w:sz="2" w:space="0"/>
              <w:bottom w:val="single" w:color="auto" w:sz="2" w:space="0"/>
            </w:tcBorders>
            <w:noWrap w:val="0"/>
            <w:vAlign w:val="center"/>
          </w:tcPr>
          <w:p w14:paraId="02FEB22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代理机构</w:t>
            </w:r>
          </w:p>
          <w:p w14:paraId="451D6BD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陕西宸永项目管理有限公司</w:t>
            </w:r>
          </w:p>
        </w:tc>
      </w:tr>
      <w:tr w14:paraId="091970A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829" w:hRule="atLeast"/>
        </w:trPr>
        <w:tc>
          <w:tcPr>
            <w:tcW w:w="1681" w:type="pct"/>
            <w:tcBorders>
              <w:top w:val="single" w:color="auto" w:sz="2" w:space="0"/>
              <w:bottom w:val="single" w:color="auto" w:sz="2" w:space="0"/>
              <w:right w:val="single" w:color="auto" w:sz="2" w:space="0"/>
            </w:tcBorders>
            <w:noWrap w:val="0"/>
            <w:vAlign w:val="center"/>
          </w:tcPr>
          <w:p w14:paraId="069D6B9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单位名称（公章</w:t>
            </w:r>
            <w:r>
              <w:rPr>
                <w:rFonts w:hint="eastAsia" w:ascii="宋体" w:hAnsi="宋体" w:eastAsia="宋体" w:cs="宋体"/>
                <w:color w:val="000000" w:themeColor="text1"/>
                <w:sz w:val="24"/>
                <w:szCs w:val="24"/>
                <w:lang w:eastAsia="zh-CN"/>
                <w14:textFill>
                  <w14:solidFill>
                    <w14:schemeClr w14:val="tx1"/>
                  </w14:solidFill>
                </w14:textFill>
              </w:rPr>
              <w:t>或合同章</w:t>
            </w:r>
            <w:r>
              <w:rPr>
                <w:rFonts w:hint="eastAsia" w:ascii="宋体" w:hAnsi="宋体" w:eastAsia="宋体" w:cs="宋体"/>
                <w:color w:val="000000" w:themeColor="text1"/>
                <w:sz w:val="24"/>
                <w:szCs w:val="24"/>
                <w14:textFill>
                  <w14:solidFill>
                    <w14:schemeClr w14:val="tx1"/>
                  </w14:solidFill>
                </w14:textFill>
              </w:rPr>
              <w:t>）</w:t>
            </w:r>
          </w:p>
        </w:tc>
        <w:tc>
          <w:tcPr>
            <w:tcW w:w="1635" w:type="pct"/>
            <w:tcBorders>
              <w:top w:val="single" w:color="auto" w:sz="2" w:space="0"/>
              <w:left w:val="single" w:color="auto" w:sz="2" w:space="0"/>
              <w:bottom w:val="single" w:color="auto" w:sz="2" w:space="0"/>
            </w:tcBorders>
            <w:noWrap w:val="0"/>
            <w:vAlign w:val="center"/>
          </w:tcPr>
          <w:p w14:paraId="5C5E006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pacing w:val="20"/>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单位名称（公章</w:t>
            </w:r>
            <w:r>
              <w:rPr>
                <w:rFonts w:hint="eastAsia" w:ascii="宋体" w:hAnsi="宋体" w:eastAsia="宋体" w:cs="宋体"/>
                <w:color w:val="000000" w:themeColor="text1"/>
                <w:sz w:val="24"/>
                <w:szCs w:val="24"/>
                <w:lang w:eastAsia="zh-CN"/>
                <w14:textFill>
                  <w14:solidFill>
                    <w14:schemeClr w14:val="tx1"/>
                  </w14:solidFill>
                </w14:textFill>
              </w:rPr>
              <w:t>或合同章</w:t>
            </w:r>
            <w:r>
              <w:rPr>
                <w:rFonts w:hint="eastAsia" w:ascii="宋体" w:hAnsi="宋体" w:eastAsia="宋体" w:cs="宋体"/>
                <w:color w:val="000000" w:themeColor="text1"/>
                <w:sz w:val="24"/>
                <w:szCs w:val="24"/>
                <w14:textFill>
                  <w14:solidFill>
                    <w14:schemeClr w14:val="tx1"/>
                  </w14:solidFill>
                </w14:textFill>
              </w:rPr>
              <w:t>）</w:t>
            </w:r>
          </w:p>
        </w:tc>
        <w:tc>
          <w:tcPr>
            <w:tcW w:w="1682" w:type="pct"/>
            <w:tcBorders>
              <w:top w:val="single" w:color="auto" w:sz="2" w:space="0"/>
              <w:left w:val="single" w:color="auto" w:sz="2" w:space="0"/>
              <w:bottom w:val="single" w:color="auto" w:sz="2" w:space="0"/>
            </w:tcBorders>
            <w:noWrap w:val="0"/>
            <w:vAlign w:val="center"/>
          </w:tcPr>
          <w:p w14:paraId="7310841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pacing w:val="20"/>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单位名称（公章</w:t>
            </w:r>
            <w:r>
              <w:rPr>
                <w:rFonts w:hint="eastAsia" w:ascii="宋体" w:hAnsi="宋体" w:eastAsia="宋体" w:cs="宋体"/>
                <w:color w:val="000000" w:themeColor="text1"/>
                <w:sz w:val="24"/>
                <w:szCs w:val="24"/>
                <w:lang w:eastAsia="zh-CN"/>
                <w14:textFill>
                  <w14:solidFill>
                    <w14:schemeClr w14:val="tx1"/>
                  </w14:solidFill>
                </w14:textFill>
              </w:rPr>
              <w:t>或合同章</w:t>
            </w:r>
            <w:r>
              <w:rPr>
                <w:rFonts w:hint="eastAsia" w:ascii="宋体" w:hAnsi="宋体" w:eastAsia="宋体" w:cs="宋体"/>
                <w:color w:val="000000" w:themeColor="text1"/>
                <w:sz w:val="24"/>
                <w:szCs w:val="24"/>
                <w14:textFill>
                  <w14:solidFill>
                    <w14:schemeClr w14:val="tx1"/>
                  </w14:solidFill>
                </w14:textFill>
              </w:rPr>
              <w:t>）</w:t>
            </w:r>
          </w:p>
        </w:tc>
      </w:tr>
      <w:tr w14:paraId="6BB42EF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478" w:hRule="atLeast"/>
        </w:trPr>
        <w:tc>
          <w:tcPr>
            <w:tcW w:w="1681" w:type="pct"/>
            <w:vMerge w:val="restart"/>
            <w:tcBorders>
              <w:top w:val="single" w:color="auto" w:sz="2" w:space="0"/>
              <w:right w:val="single" w:color="auto" w:sz="2" w:space="0"/>
            </w:tcBorders>
            <w:noWrap w:val="0"/>
            <w:vAlign w:val="center"/>
          </w:tcPr>
          <w:p w14:paraId="58E9961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法定代表人</w:t>
            </w:r>
          </w:p>
          <w:p w14:paraId="6DB451C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或其委托代理人（签章）</w:t>
            </w:r>
          </w:p>
          <w:p w14:paraId="6552EFE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635" w:type="pct"/>
            <w:tcBorders>
              <w:top w:val="single" w:color="auto" w:sz="2" w:space="0"/>
              <w:left w:val="single" w:color="auto" w:sz="2" w:space="0"/>
            </w:tcBorders>
            <w:noWrap w:val="0"/>
            <w:vAlign w:val="center"/>
          </w:tcPr>
          <w:p w14:paraId="28C9EA9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法定代表人</w:t>
            </w:r>
          </w:p>
          <w:p w14:paraId="067B68D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或其委托代理人（签章）</w:t>
            </w:r>
          </w:p>
          <w:p w14:paraId="71954E3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682" w:type="pct"/>
            <w:tcBorders>
              <w:top w:val="single" w:color="auto" w:sz="2" w:space="0"/>
              <w:left w:val="single" w:color="auto" w:sz="2" w:space="0"/>
              <w:bottom w:val="single" w:color="auto" w:sz="2" w:space="0"/>
            </w:tcBorders>
            <w:noWrap w:val="0"/>
            <w:vAlign w:val="center"/>
          </w:tcPr>
          <w:p w14:paraId="0405AAC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法定代表人</w:t>
            </w:r>
          </w:p>
          <w:p w14:paraId="43C5463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或其委托代理人（签章）</w:t>
            </w:r>
          </w:p>
          <w:p w14:paraId="317BB9D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p>
        </w:tc>
      </w:tr>
      <w:tr w14:paraId="700EFB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681" w:type="pct"/>
            <w:vMerge w:val="continue"/>
            <w:tcBorders>
              <w:bottom w:val="single" w:color="auto" w:sz="2" w:space="0"/>
              <w:right w:val="single" w:color="auto" w:sz="2" w:space="0"/>
            </w:tcBorders>
            <w:noWrap w:val="0"/>
            <w:vAlign w:val="center"/>
          </w:tcPr>
          <w:p w14:paraId="777F3CB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635" w:type="pct"/>
            <w:tcBorders>
              <w:top w:val="single" w:color="auto" w:sz="2" w:space="0"/>
              <w:left w:val="single" w:color="auto" w:sz="2" w:space="0"/>
              <w:bottom w:val="single" w:color="auto" w:sz="2" w:space="0"/>
            </w:tcBorders>
            <w:noWrap w:val="0"/>
            <w:vAlign w:val="center"/>
          </w:tcPr>
          <w:p w14:paraId="51CB935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拥有者性别：</w:t>
            </w:r>
          </w:p>
        </w:tc>
        <w:tc>
          <w:tcPr>
            <w:tcW w:w="1682" w:type="pct"/>
            <w:vMerge w:val="restart"/>
            <w:tcBorders>
              <w:top w:val="single" w:color="auto" w:sz="2" w:space="0"/>
              <w:left w:val="single" w:color="auto" w:sz="2" w:space="0"/>
            </w:tcBorders>
            <w:noWrap w:val="0"/>
            <w:vAlign w:val="center"/>
          </w:tcPr>
          <w:p w14:paraId="4319681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住</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所：延安市新区盛世花园北区12号楼一单元802室</w:t>
            </w:r>
          </w:p>
        </w:tc>
      </w:tr>
      <w:tr w14:paraId="141667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681" w:type="pct"/>
            <w:tcBorders>
              <w:top w:val="single" w:color="auto" w:sz="2" w:space="0"/>
              <w:bottom w:val="single" w:color="auto" w:sz="2" w:space="0"/>
              <w:right w:val="single" w:color="auto" w:sz="2" w:space="0"/>
            </w:tcBorders>
            <w:noWrap w:val="0"/>
            <w:vAlign w:val="center"/>
          </w:tcPr>
          <w:p w14:paraId="0F80752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住</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所：</w:t>
            </w:r>
            <w:r>
              <w:rPr>
                <w:rFonts w:hint="eastAsia" w:ascii="宋体" w:hAnsi="宋体" w:cs="宋体"/>
                <w:color w:val="000000" w:themeColor="text1"/>
                <w:sz w:val="24"/>
                <w:szCs w:val="24"/>
                <w:lang w:val="en-US" w:eastAsia="zh-CN"/>
                <w14:textFill>
                  <w14:solidFill>
                    <w14:schemeClr w14:val="tx1"/>
                  </w14:solidFill>
                </w14:textFill>
              </w:rPr>
              <w:t>延安市新区为人民服务中心1号综合楼</w:t>
            </w:r>
          </w:p>
        </w:tc>
        <w:tc>
          <w:tcPr>
            <w:tcW w:w="1635" w:type="pct"/>
            <w:tcBorders>
              <w:top w:val="single" w:color="auto" w:sz="2" w:space="0"/>
              <w:left w:val="single" w:color="auto" w:sz="2" w:space="0"/>
              <w:bottom w:val="single" w:color="auto" w:sz="2" w:space="0"/>
            </w:tcBorders>
            <w:noWrap w:val="0"/>
            <w:vAlign w:val="center"/>
          </w:tcPr>
          <w:p w14:paraId="0716B770">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default" w:ascii="宋体" w:hAnsi="宋体" w:eastAsia="宋体" w:cs="宋体"/>
                <w:color w:val="000000" w:themeColor="text1"/>
                <w:spacing w:val="20"/>
                <w:sz w:val="24"/>
                <w:szCs w:val="24"/>
                <w:lang w:val="en-US"/>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住</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所</w:t>
            </w: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1682" w:type="pct"/>
            <w:vMerge w:val="continue"/>
            <w:tcBorders>
              <w:left w:val="single" w:color="auto" w:sz="2" w:space="0"/>
              <w:bottom w:val="single" w:color="auto" w:sz="2" w:space="0"/>
            </w:tcBorders>
            <w:noWrap w:val="0"/>
            <w:vAlign w:val="center"/>
          </w:tcPr>
          <w:p w14:paraId="40A51CC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p>
        </w:tc>
      </w:tr>
      <w:tr w14:paraId="616AB09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61" w:hRule="atLeast"/>
        </w:trPr>
        <w:tc>
          <w:tcPr>
            <w:tcW w:w="1681" w:type="pct"/>
            <w:tcBorders>
              <w:top w:val="single" w:color="auto" w:sz="2" w:space="0"/>
              <w:bottom w:val="single" w:color="auto" w:sz="2" w:space="0"/>
              <w:right w:val="single" w:color="auto" w:sz="2" w:space="0"/>
            </w:tcBorders>
            <w:noWrap w:val="0"/>
            <w:vAlign w:val="center"/>
          </w:tcPr>
          <w:p w14:paraId="08E7B3C4">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 系 人</w:t>
            </w:r>
            <w:r>
              <w:rPr>
                <w:rFonts w:hint="eastAsia" w:ascii="宋体" w:hAnsi="宋体" w:eastAsia="宋体" w:cs="宋体"/>
                <w:color w:val="000000" w:themeColor="text1"/>
                <w:sz w:val="24"/>
                <w:szCs w:val="24"/>
                <w:lang w:eastAsia="zh-CN"/>
                <w14:textFill>
                  <w14:solidFill>
                    <w14:schemeClr w14:val="tx1"/>
                  </w14:solidFill>
                </w14:textFill>
              </w:rPr>
              <w:t>：</w:t>
            </w:r>
          </w:p>
        </w:tc>
        <w:tc>
          <w:tcPr>
            <w:tcW w:w="1635" w:type="pct"/>
            <w:tcBorders>
              <w:top w:val="single" w:color="auto" w:sz="2" w:space="0"/>
              <w:left w:val="single" w:color="auto" w:sz="2" w:space="0"/>
              <w:bottom w:val="single" w:color="auto" w:sz="2" w:space="0"/>
            </w:tcBorders>
            <w:noWrap w:val="0"/>
            <w:vAlign w:val="center"/>
          </w:tcPr>
          <w:p w14:paraId="5AD6E753">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spacing w:val="20"/>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 系 人</w:t>
            </w: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1682" w:type="pct"/>
            <w:tcBorders>
              <w:top w:val="single" w:color="auto" w:sz="2" w:space="0"/>
              <w:left w:val="single" w:color="auto" w:sz="2" w:space="0"/>
              <w:bottom w:val="single" w:color="auto" w:sz="2" w:space="0"/>
            </w:tcBorders>
            <w:noWrap w:val="0"/>
            <w:vAlign w:val="center"/>
          </w:tcPr>
          <w:p w14:paraId="24E38A6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 系 人</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杨工</w:t>
            </w:r>
          </w:p>
        </w:tc>
      </w:tr>
      <w:tr w14:paraId="3D79EFF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761" w:hRule="atLeast"/>
        </w:trPr>
        <w:tc>
          <w:tcPr>
            <w:tcW w:w="1681" w:type="pct"/>
            <w:tcBorders>
              <w:top w:val="single" w:color="auto" w:sz="2" w:space="0"/>
              <w:bottom w:val="single" w:color="auto" w:sz="2" w:space="0"/>
              <w:right w:val="single" w:color="auto" w:sz="2" w:space="0"/>
            </w:tcBorders>
            <w:noWrap w:val="0"/>
            <w:vAlign w:val="center"/>
          </w:tcPr>
          <w:p w14:paraId="6B35C575">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联系电话</w:t>
            </w:r>
            <w:r>
              <w:rPr>
                <w:rFonts w:hint="eastAsia" w:ascii="宋体" w:hAnsi="宋体" w:eastAsia="宋体" w:cs="宋体"/>
                <w:color w:val="000000" w:themeColor="text1"/>
                <w:sz w:val="24"/>
                <w:szCs w:val="24"/>
                <w:lang w:eastAsia="zh-CN"/>
                <w14:textFill>
                  <w14:solidFill>
                    <w14:schemeClr w14:val="tx1"/>
                  </w14:solidFill>
                </w14:textFill>
              </w:rPr>
              <w:t>：</w:t>
            </w:r>
          </w:p>
        </w:tc>
        <w:tc>
          <w:tcPr>
            <w:tcW w:w="1635" w:type="pct"/>
            <w:tcBorders>
              <w:top w:val="single" w:color="auto" w:sz="2" w:space="0"/>
              <w:left w:val="single" w:color="auto" w:sz="2" w:space="0"/>
              <w:bottom w:val="single" w:color="auto" w:sz="2" w:space="0"/>
            </w:tcBorders>
            <w:noWrap w:val="0"/>
            <w:vAlign w:val="center"/>
          </w:tcPr>
          <w:p w14:paraId="4A3512D7">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ascii="宋体" w:hAnsi="宋体" w:eastAsia="宋体" w:cs="宋体"/>
                <w:color w:val="000000" w:themeColor="text1"/>
                <w:spacing w:val="20"/>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联系电话</w:t>
            </w:r>
            <w:r>
              <w:rPr>
                <w:rFonts w:hint="eastAsia" w:ascii="宋体" w:hAnsi="宋体" w:eastAsia="宋体" w:cs="宋体"/>
                <w:color w:val="000000" w:themeColor="text1"/>
                <w:sz w:val="24"/>
                <w:szCs w:val="24"/>
                <w:lang w:eastAsia="zh-CN"/>
                <w14:textFill>
                  <w14:solidFill>
                    <w14:schemeClr w14:val="tx1"/>
                  </w14:solidFill>
                </w14:textFill>
              </w:rPr>
              <w:t>：</w:t>
            </w:r>
          </w:p>
        </w:tc>
        <w:tc>
          <w:tcPr>
            <w:tcW w:w="1682" w:type="pct"/>
            <w:tcBorders>
              <w:top w:val="single" w:color="auto" w:sz="2" w:space="0"/>
              <w:left w:val="single" w:color="auto" w:sz="2" w:space="0"/>
              <w:bottom w:val="single" w:color="auto" w:sz="2" w:space="0"/>
            </w:tcBorders>
            <w:noWrap w:val="0"/>
            <w:vAlign w:val="center"/>
          </w:tcPr>
          <w:p w14:paraId="7B85625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联系电话</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0911-8688810</w:t>
            </w:r>
          </w:p>
        </w:tc>
      </w:tr>
      <w:tr w14:paraId="6DE0A9C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007" w:hRule="atLeast"/>
        </w:trPr>
        <w:tc>
          <w:tcPr>
            <w:tcW w:w="1681" w:type="pct"/>
            <w:tcBorders>
              <w:top w:val="single" w:color="auto" w:sz="2" w:space="0"/>
              <w:bottom w:val="single" w:color="auto" w:sz="2" w:space="0"/>
              <w:right w:val="single" w:color="auto" w:sz="2" w:space="0"/>
            </w:tcBorders>
            <w:noWrap w:val="0"/>
            <w:vAlign w:val="center"/>
          </w:tcPr>
          <w:p w14:paraId="448A6C4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通信地址：</w:t>
            </w:r>
            <w:r>
              <w:rPr>
                <w:rFonts w:hint="eastAsia" w:ascii="宋体" w:hAnsi="宋体" w:cs="宋体"/>
                <w:color w:val="000000" w:themeColor="text1"/>
                <w:sz w:val="24"/>
                <w:szCs w:val="24"/>
                <w:lang w:val="en-US" w:eastAsia="zh-CN"/>
                <w14:textFill>
                  <w14:solidFill>
                    <w14:schemeClr w14:val="tx1"/>
                  </w14:solidFill>
                </w14:textFill>
              </w:rPr>
              <w:t>延安市新区为人民服务中心1号综合楼</w:t>
            </w:r>
          </w:p>
        </w:tc>
        <w:tc>
          <w:tcPr>
            <w:tcW w:w="1635" w:type="pct"/>
            <w:tcBorders>
              <w:top w:val="single" w:color="auto" w:sz="2" w:space="0"/>
              <w:left w:val="single" w:color="auto" w:sz="2" w:space="0"/>
              <w:bottom w:val="single" w:color="auto" w:sz="2" w:space="0"/>
            </w:tcBorders>
            <w:noWrap w:val="0"/>
            <w:vAlign w:val="center"/>
          </w:tcPr>
          <w:p w14:paraId="41258CA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pacing w:val="20"/>
                <w:sz w:val="24"/>
                <w:szCs w:val="24"/>
                <w:lang w:val="en-US"/>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通信地址</w:t>
            </w: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1682" w:type="pct"/>
            <w:tcBorders>
              <w:top w:val="single" w:color="auto" w:sz="2" w:space="0"/>
              <w:left w:val="single" w:color="auto" w:sz="2" w:space="0"/>
              <w:bottom w:val="single" w:color="auto" w:sz="2" w:space="0"/>
            </w:tcBorders>
            <w:noWrap w:val="0"/>
            <w:vAlign w:val="center"/>
          </w:tcPr>
          <w:p w14:paraId="4E39059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通信地址：延安市新区盛世花园北区12号楼一单元802室</w:t>
            </w:r>
          </w:p>
        </w:tc>
      </w:tr>
      <w:tr w14:paraId="412EDC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836" w:hRule="atLeast"/>
        </w:trPr>
        <w:tc>
          <w:tcPr>
            <w:tcW w:w="1681" w:type="pct"/>
            <w:tcBorders>
              <w:top w:val="single" w:color="auto" w:sz="2" w:space="0"/>
              <w:bottom w:val="single" w:color="auto" w:sz="2" w:space="0"/>
              <w:right w:val="single" w:color="auto" w:sz="2" w:space="0"/>
            </w:tcBorders>
            <w:noWrap w:val="0"/>
            <w:vAlign w:val="center"/>
          </w:tcPr>
          <w:p w14:paraId="1E342517">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邮政编码</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716000</w:t>
            </w:r>
          </w:p>
        </w:tc>
        <w:tc>
          <w:tcPr>
            <w:tcW w:w="1635" w:type="pct"/>
            <w:tcBorders>
              <w:top w:val="single" w:color="auto" w:sz="2" w:space="0"/>
              <w:left w:val="single" w:color="auto" w:sz="2" w:space="0"/>
              <w:bottom w:val="single" w:color="auto" w:sz="2" w:space="0"/>
            </w:tcBorders>
            <w:noWrap w:val="0"/>
            <w:vAlign w:val="center"/>
          </w:tcPr>
          <w:p w14:paraId="2D8903D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pacing w:val="20"/>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邮政编码</w:t>
            </w:r>
            <w:r>
              <w:rPr>
                <w:rFonts w:hint="eastAsia" w:ascii="宋体" w:hAnsi="宋体" w:eastAsia="宋体" w:cs="宋体"/>
                <w:color w:val="000000" w:themeColor="text1"/>
                <w:sz w:val="24"/>
                <w:szCs w:val="24"/>
                <w:lang w:eastAsia="zh-CN"/>
                <w14:textFill>
                  <w14:solidFill>
                    <w14:schemeClr w14:val="tx1"/>
                  </w14:solidFill>
                </w14:textFill>
              </w:rPr>
              <w:t>：</w:t>
            </w:r>
          </w:p>
        </w:tc>
        <w:tc>
          <w:tcPr>
            <w:tcW w:w="1682" w:type="pct"/>
            <w:tcBorders>
              <w:top w:val="single" w:color="auto" w:sz="2" w:space="0"/>
              <w:left w:val="single" w:color="auto" w:sz="2" w:space="0"/>
              <w:bottom w:val="single" w:color="auto" w:sz="2" w:space="0"/>
            </w:tcBorders>
            <w:noWrap w:val="0"/>
            <w:vAlign w:val="center"/>
          </w:tcPr>
          <w:p w14:paraId="792BA4B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邮政编码</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716000</w:t>
            </w:r>
          </w:p>
        </w:tc>
      </w:tr>
      <w:tr w14:paraId="26C6CCB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78" w:hRule="atLeast"/>
        </w:trPr>
        <w:tc>
          <w:tcPr>
            <w:tcW w:w="1681" w:type="pct"/>
            <w:tcBorders>
              <w:top w:val="single" w:color="auto" w:sz="2" w:space="0"/>
              <w:bottom w:val="single" w:color="auto" w:sz="2" w:space="0"/>
              <w:right w:val="single" w:color="auto" w:sz="2" w:space="0"/>
            </w:tcBorders>
            <w:noWrap w:val="0"/>
            <w:vAlign w:val="center"/>
          </w:tcPr>
          <w:p w14:paraId="3678A83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电子邮箱</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1635" w:type="pct"/>
            <w:tcBorders>
              <w:top w:val="single" w:color="auto" w:sz="2" w:space="0"/>
              <w:left w:val="single" w:color="auto" w:sz="2" w:space="0"/>
              <w:bottom w:val="single" w:color="auto" w:sz="2" w:space="0"/>
            </w:tcBorders>
            <w:noWrap w:val="0"/>
            <w:vAlign w:val="center"/>
          </w:tcPr>
          <w:p w14:paraId="30F64FF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电子邮箱</w:t>
            </w:r>
            <w:r>
              <w:rPr>
                <w:rFonts w:hint="eastAsia" w:ascii="宋体" w:hAnsi="宋体" w:eastAsia="宋体" w:cs="宋体"/>
                <w:color w:val="000000" w:themeColor="text1"/>
                <w:sz w:val="24"/>
                <w:szCs w:val="24"/>
                <w:lang w:eastAsia="zh-CN"/>
                <w14:textFill>
                  <w14:solidFill>
                    <w14:schemeClr w14:val="tx1"/>
                  </w14:solidFill>
                </w14:textFill>
              </w:rPr>
              <w:t>：</w:t>
            </w:r>
          </w:p>
          <w:p w14:paraId="7798A89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p>
        </w:tc>
        <w:tc>
          <w:tcPr>
            <w:tcW w:w="1682" w:type="pct"/>
            <w:tcBorders>
              <w:top w:val="single" w:color="auto" w:sz="2" w:space="0"/>
              <w:left w:val="single" w:color="auto" w:sz="2" w:space="0"/>
              <w:bottom w:val="single" w:color="auto" w:sz="2" w:space="0"/>
            </w:tcBorders>
            <w:noWrap w:val="0"/>
            <w:vAlign w:val="center"/>
          </w:tcPr>
          <w:p w14:paraId="4684B25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电子邮箱</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"mailto:sxzb9@126.com"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471993164@qq.com</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r>
      <w:tr w14:paraId="652F4F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778" w:hRule="atLeast"/>
        </w:trPr>
        <w:tc>
          <w:tcPr>
            <w:tcW w:w="1681" w:type="pct"/>
            <w:vMerge w:val="restart"/>
            <w:tcBorders>
              <w:top w:val="single" w:color="auto" w:sz="2" w:space="0"/>
              <w:right w:val="single" w:color="auto" w:sz="2" w:space="0"/>
            </w:tcBorders>
            <w:noWrap w:val="0"/>
            <w:vAlign w:val="center"/>
          </w:tcPr>
          <w:p w14:paraId="0B58360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统一社会信用代码</w:t>
            </w:r>
            <w:r>
              <w:rPr>
                <w:rFonts w:hint="eastAsia" w:ascii="宋体" w:hAnsi="宋体" w:eastAsia="宋体" w:cs="宋体"/>
                <w:color w:val="000000" w:themeColor="text1"/>
                <w:sz w:val="24"/>
                <w:szCs w:val="24"/>
                <w:lang w:eastAsia="zh-CN"/>
                <w14:textFill>
                  <w14:solidFill>
                    <w14:schemeClr w14:val="tx1"/>
                  </w14:solidFill>
                </w14:textFill>
              </w:rPr>
              <w:t>：</w:t>
            </w:r>
          </w:p>
        </w:tc>
        <w:tc>
          <w:tcPr>
            <w:tcW w:w="1635" w:type="pct"/>
            <w:tcBorders>
              <w:top w:val="single" w:color="auto" w:sz="2" w:space="0"/>
              <w:left w:val="single" w:color="auto" w:sz="2" w:space="0"/>
              <w:bottom w:val="single" w:color="auto" w:sz="2" w:space="0"/>
            </w:tcBorders>
            <w:noWrap w:val="0"/>
            <w:vAlign w:val="center"/>
          </w:tcPr>
          <w:p w14:paraId="2D4955D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pacing w:val="20"/>
                <w:sz w:val="24"/>
                <w:szCs w:val="24"/>
                <w:lang w:val="en-US" w:eastAsia="zh-CN"/>
                <w14:textFill>
                  <w14:solidFill>
                    <w14:schemeClr w14:val="tx1"/>
                  </w14:solidFill>
                </w14:textFill>
              </w:rPr>
            </w:pPr>
            <w:r>
              <w:rPr>
                <w:rFonts w:hint="eastAsia" w:ascii="宋体" w:hAnsi="宋体" w:eastAsia="宋体" w:cs="宋体"/>
                <w:color w:val="000000" w:themeColor="text1"/>
                <w:spacing w:val="20"/>
                <w:sz w:val="24"/>
                <w:szCs w:val="24"/>
                <w:lang w:val="en-US" w:eastAsia="zh-CN"/>
                <w14:textFill>
                  <w14:solidFill>
                    <w14:schemeClr w14:val="tx1"/>
                  </w14:solidFill>
                </w14:textFill>
              </w:rPr>
              <w:t>统一社会信用代码：</w:t>
            </w:r>
          </w:p>
        </w:tc>
        <w:tc>
          <w:tcPr>
            <w:tcW w:w="1682" w:type="pct"/>
            <w:vMerge w:val="restart"/>
            <w:tcBorders>
              <w:top w:val="single" w:color="auto" w:sz="2" w:space="0"/>
              <w:left w:val="single" w:color="auto" w:sz="2" w:space="0"/>
            </w:tcBorders>
            <w:noWrap w:val="0"/>
            <w:vAlign w:val="center"/>
          </w:tcPr>
          <w:p w14:paraId="03DD107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统一社会信用代码</w:t>
            </w:r>
            <w:r>
              <w:rPr>
                <w:rFonts w:hint="eastAsia" w:ascii="宋体" w:hAnsi="宋体" w:eastAsia="宋体" w:cs="宋体"/>
                <w:color w:val="000000" w:themeColor="text1"/>
                <w:sz w:val="24"/>
                <w:szCs w:val="24"/>
                <w:lang w:eastAsia="zh-CN"/>
                <w14:textFill>
                  <w14:solidFill>
                    <w14:schemeClr w14:val="tx1"/>
                  </w14:solidFill>
                </w14:textFill>
              </w:rPr>
              <w:t>：91610132MAB0PNX9XG</w:t>
            </w:r>
          </w:p>
        </w:tc>
      </w:tr>
      <w:tr w14:paraId="0B02C0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11" w:hRule="atLeast"/>
        </w:trPr>
        <w:tc>
          <w:tcPr>
            <w:tcW w:w="1681" w:type="pct"/>
            <w:vMerge w:val="continue"/>
            <w:tcBorders>
              <w:right w:val="single" w:color="auto" w:sz="2" w:space="0"/>
            </w:tcBorders>
            <w:noWrap w:val="0"/>
            <w:vAlign w:val="center"/>
          </w:tcPr>
          <w:p w14:paraId="2540F99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635" w:type="pct"/>
            <w:tcBorders>
              <w:top w:val="single" w:color="auto" w:sz="2" w:space="0"/>
              <w:left w:val="single" w:color="auto" w:sz="2" w:space="0"/>
              <w:bottom w:val="single" w:color="auto" w:sz="2" w:space="0"/>
            </w:tcBorders>
            <w:noWrap w:val="0"/>
            <w:vAlign w:val="center"/>
          </w:tcPr>
          <w:p w14:paraId="7E3D10C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000000" w:themeColor="text1"/>
                <w:spacing w:val="20"/>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开户名称</w:t>
            </w: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1682" w:type="pct"/>
            <w:vMerge w:val="continue"/>
            <w:tcBorders>
              <w:left w:val="single" w:color="auto" w:sz="2" w:space="0"/>
            </w:tcBorders>
            <w:noWrap w:val="0"/>
            <w:vAlign w:val="center"/>
          </w:tcPr>
          <w:p w14:paraId="5420F2F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pacing w:val="20"/>
                <w:sz w:val="24"/>
                <w:szCs w:val="24"/>
                <w14:textFill>
                  <w14:solidFill>
                    <w14:schemeClr w14:val="tx1"/>
                  </w14:solidFill>
                </w14:textFill>
              </w:rPr>
            </w:pPr>
          </w:p>
        </w:tc>
      </w:tr>
      <w:tr w14:paraId="334021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1681" w:type="pct"/>
            <w:vMerge w:val="continue"/>
            <w:tcBorders>
              <w:right w:val="single" w:color="auto" w:sz="2" w:space="0"/>
            </w:tcBorders>
            <w:noWrap w:val="0"/>
            <w:vAlign w:val="center"/>
          </w:tcPr>
          <w:p w14:paraId="07A3FDF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635" w:type="pct"/>
            <w:tcBorders>
              <w:top w:val="single" w:color="auto" w:sz="2" w:space="0"/>
              <w:left w:val="single" w:color="auto" w:sz="2" w:space="0"/>
              <w:bottom w:val="single" w:color="auto" w:sz="2" w:space="0"/>
            </w:tcBorders>
            <w:noWrap w:val="0"/>
            <w:vAlign w:val="center"/>
          </w:tcPr>
          <w:p w14:paraId="4E77DF3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开户银行:</w:t>
            </w:r>
          </w:p>
        </w:tc>
        <w:tc>
          <w:tcPr>
            <w:tcW w:w="1682" w:type="pct"/>
            <w:vMerge w:val="continue"/>
            <w:tcBorders>
              <w:left w:val="single" w:color="auto" w:sz="2" w:space="0"/>
            </w:tcBorders>
            <w:noWrap w:val="0"/>
            <w:vAlign w:val="center"/>
          </w:tcPr>
          <w:p w14:paraId="7C1C0F6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pacing w:val="20"/>
                <w:sz w:val="24"/>
                <w:szCs w:val="24"/>
                <w14:textFill>
                  <w14:solidFill>
                    <w14:schemeClr w14:val="tx1"/>
                  </w14:solidFill>
                </w14:textFill>
              </w:rPr>
            </w:pPr>
          </w:p>
        </w:tc>
      </w:tr>
      <w:tr w14:paraId="4A97BE5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1681" w:type="pct"/>
            <w:vMerge w:val="continue"/>
            <w:tcBorders>
              <w:bottom w:val="single" w:color="auto" w:sz="2" w:space="0"/>
              <w:right w:val="single" w:color="auto" w:sz="2" w:space="0"/>
            </w:tcBorders>
            <w:noWrap w:val="0"/>
            <w:vAlign w:val="center"/>
          </w:tcPr>
          <w:p w14:paraId="13C888C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635" w:type="pct"/>
            <w:tcBorders>
              <w:top w:val="single" w:color="auto" w:sz="2" w:space="0"/>
              <w:left w:val="single" w:color="auto" w:sz="2" w:space="0"/>
              <w:bottom w:val="single" w:color="auto" w:sz="2" w:space="0"/>
            </w:tcBorders>
            <w:noWrap w:val="0"/>
            <w:vAlign w:val="center"/>
          </w:tcPr>
          <w:p w14:paraId="2444F6A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银行账号：</w:t>
            </w:r>
          </w:p>
        </w:tc>
        <w:tc>
          <w:tcPr>
            <w:tcW w:w="1682" w:type="pct"/>
            <w:vMerge w:val="continue"/>
            <w:tcBorders>
              <w:left w:val="single" w:color="auto" w:sz="2" w:space="0"/>
              <w:bottom w:val="single" w:color="auto" w:sz="2" w:space="0"/>
            </w:tcBorders>
            <w:noWrap w:val="0"/>
            <w:vAlign w:val="center"/>
          </w:tcPr>
          <w:p w14:paraId="252FDE0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themeColor="text1"/>
                <w:spacing w:val="20"/>
                <w:sz w:val="24"/>
                <w:szCs w:val="24"/>
                <w14:textFill>
                  <w14:solidFill>
                    <w14:schemeClr w14:val="tx1"/>
                  </w14:solidFill>
                </w14:textFill>
              </w:rPr>
            </w:pPr>
          </w:p>
        </w:tc>
      </w:tr>
      <w:tr w14:paraId="2107913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3"/>
            <w:tcBorders>
              <w:top w:val="single" w:color="auto" w:sz="2" w:space="0"/>
            </w:tcBorders>
            <w:noWrap w:val="0"/>
            <w:vAlign w:val="center"/>
          </w:tcPr>
          <w:p w14:paraId="7AE08AFC">
            <w:pPr>
              <w:pStyle w:val="12"/>
              <w:keepNext w:val="0"/>
              <w:keepLines w:val="0"/>
              <w:pageBreakBefore w:val="0"/>
              <w:widowControl w:val="0"/>
              <w:kinsoku/>
              <w:wordWrap/>
              <w:overflowPunct/>
              <w:topLinePunct w:val="0"/>
              <w:autoSpaceDE/>
              <w:autoSpaceDN/>
              <w:bidi w:val="0"/>
              <w:adjustRightInd w:val="0"/>
              <w:snapToGrid w:val="0"/>
              <w:spacing w:before="156" w:beforeLines="50" w:after="0" w:line="400" w:lineRule="exact"/>
              <w:ind w:left="0" w:leftChars="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注：涉及联合体或其他合同主体的信息应按上表格式加列。</w:t>
            </w:r>
          </w:p>
        </w:tc>
      </w:tr>
    </w:tbl>
    <w:p w14:paraId="2C874029">
      <w:pPr>
        <w:pStyle w:val="3"/>
        <w:pageBreakBefore w:val="0"/>
        <w:kinsoku/>
        <w:wordWrap/>
        <w:overflowPunct/>
        <w:topLinePunct w:val="0"/>
        <w:bidi w:val="0"/>
        <w:adjustRightInd w:val="0"/>
        <w:snapToGrid w:val="0"/>
        <w:spacing w:before="156" w:beforeLines="50"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u w:val="single"/>
          <w14:textFill>
            <w14:solidFill>
              <w14:schemeClr w14:val="tx1"/>
            </w14:solidFill>
          </w14:textFill>
        </w:rPr>
        <w:br w:type="page"/>
      </w:r>
      <w:bookmarkStart w:id="838" w:name="_Toc27624"/>
      <w:r>
        <w:rPr>
          <w:rFonts w:hint="eastAsia" w:ascii="宋体" w:hAnsi="宋体" w:eastAsia="宋体" w:cs="宋体"/>
          <w:b/>
          <w:bCs/>
          <w:color w:val="000000" w:themeColor="text1"/>
          <w:sz w:val="24"/>
          <w:szCs w:val="24"/>
          <w14:textFill>
            <w14:solidFill>
              <w14:schemeClr w14:val="tx1"/>
            </w14:solidFill>
          </w14:textFill>
        </w:rPr>
        <w:t>第二节 政府采购合同通用条款</w:t>
      </w:r>
      <w:bookmarkEnd w:id="838"/>
    </w:p>
    <w:p w14:paraId="744216D3">
      <w:pPr>
        <w:pageBreakBefore w:val="0"/>
        <w:tabs>
          <w:tab w:val="left" w:pos="8820"/>
          <w:tab w:val="left" w:pos="9345"/>
          <w:tab w:val="left" w:pos="9765"/>
        </w:tabs>
        <w:kinsoku/>
        <w:wordWrap/>
        <w:overflowPunct/>
        <w:topLinePunct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1.</w:t>
      </w:r>
      <w:r>
        <w:rPr>
          <w:rFonts w:hint="eastAsia" w:ascii="宋体" w:hAnsi="宋体" w:eastAsia="宋体" w:cs="宋体"/>
          <w:b/>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定义</w:t>
      </w:r>
    </w:p>
    <w:p w14:paraId="1EACE1A3">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1.1合同当事人</w:t>
      </w:r>
    </w:p>
    <w:p w14:paraId="426DDDDB">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（1）采购人（以下称甲方）是指使用财政性资金，通过政府采购方式向供应商购买货物</w:t>
      </w:r>
      <w:r>
        <w:rPr>
          <w:rFonts w:hint="eastAsia" w:ascii="宋体" w:hAnsi="宋体" w:eastAsia="宋体" w:cs="宋体"/>
          <w:color w:val="000000" w:themeColor="text1"/>
          <w:sz w:val="24"/>
          <w:szCs w:val="24"/>
          <w:highlight w:val="none"/>
          <w:lang w:val="en-US" w:eastAsia="zh-CN"/>
          <w14:textFill>
            <w14:solidFill>
              <w14:schemeClr w14:val="tx1"/>
            </w14:solidFill>
          </w14:textFill>
        </w:rPr>
        <w:t>及其相关服务的</w:t>
      </w:r>
      <w:r>
        <w:rPr>
          <w:rFonts w:hint="eastAsia" w:ascii="宋体" w:hAnsi="宋体" w:eastAsia="宋体" w:cs="宋体"/>
          <w:color w:val="000000" w:themeColor="text1"/>
          <w:sz w:val="24"/>
          <w:szCs w:val="24"/>
          <w:highlight w:val="none"/>
          <w14:textFill>
            <w14:solidFill>
              <w14:schemeClr w14:val="tx1"/>
            </w14:solidFill>
          </w14:textFill>
        </w:rPr>
        <w:t>国家机关、事业单位、团体组织。</w:t>
      </w:r>
    </w:p>
    <w:p w14:paraId="0263F3EA">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（2）供应商（以下称</w:t>
      </w:r>
      <w:r>
        <w:rPr>
          <w:rFonts w:hint="eastAsia" w:ascii="宋体" w:hAnsi="宋体" w:eastAsia="宋体" w:cs="宋体"/>
          <w:color w:val="000000" w:themeColor="text1"/>
          <w:sz w:val="24"/>
          <w:szCs w:val="24"/>
          <w:highlight w:val="none"/>
          <w:lang w:eastAsia="zh-CN"/>
          <w14:textFill>
            <w14:solidFill>
              <w14:schemeClr w14:val="tx1"/>
            </w14:solidFill>
          </w14:textFill>
        </w:rPr>
        <w:t>乙</w:t>
      </w:r>
      <w:r>
        <w:rPr>
          <w:rFonts w:hint="eastAsia" w:ascii="宋体" w:hAnsi="宋体" w:eastAsia="宋体" w:cs="宋体"/>
          <w:color w:val="000000" w:themeColor="text1"/>
          <w:sz w:val="24"/>
          <w:szCs w:val="24"/>
          <w:highlight w:val="none"/>
          <w14:textFill>
            <w14:solidFill>
              <w14:schemeClr w14:val="tx1"/>
            </w14:solidFill>
          </w14:textFill>
        </w:rPr>
        <w:t>方）是指参加政府采购活动并且中标（成交），向采购人提供</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合同约定的货物及其相关服务的法人、非法人组织或者自然人</w:t>
      </w:r>
      <w:r>
        <w:rPr>
          <w:rFonts w:hint="eastAsia" w:ascii="宋体" w:hAnsi="宋体" w:eastAsia="宋体" w:cs="宋体"/>
          <w:color w:val="000000" w:themeColor="text1"/>
          <w:sz w:val="24"/>
          <w:szCs w:val="24"/>
          <w:highlight w:val="none"/>
          <w14:textFill>
            <w14:solidFill>
              <w14:schemeClr w14:val="tx1"/>
            </w14:solidFill>
          </w14:textFill>
        </w:rPr>
        <w:t>。</w:t>
      </w:r>
    </w:p>
    <w:p w14:paraId="3FF7551B">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（3）其他合同主体是指除采购人和供应商以外，</w:t>
      </w:r>
      <w:r>
        <w:rPr>
          <w:rFonts w:hint="eastAsia" w:ascii="宋体" w:hAnsi="宋体" w:eastAsia="宋体" w:cs="宋体"/>
          <w:bCs/>
          <w:color w:val="000000" w:themeColor="text1"/>
          <w:sz w:val="24"/>
          <w:szCs w:val="24"/>
          <w14:textFill>
            <w14:solidFill>
              <w14:schemeClr w14:val="tx1"/>
            </w14:solidFill>
          </w14:textFill>
        </w:rPr>
        <w:t>依法参与合同缔结或履行，享有权利、承担义务的合同当事人</w:t>
      </w:r>
      <w:r>
        <w:rPr>
          <w:rFonts w:hint="eastAsia" w:ascii="宋体" w:hAnsi="宋体" w:eastAsia="宋体" w:cs="宋体"/>
          <w:color w:val="000000" w:themeColor="text1"/>
          <w:sz w:val="24"/>
          <w:szCs w:val="24"/>
          <w:highlight w:val="none"/>
          <w14:textFill>
            <w14:solidFill>
              <w14:schemeClr w14:val="tx1"/>
            </w14:solidFill>
          </w14:textFill>
        </w:rPr>
        <w:t>。</w:t>
      </w:r>
    </w:p>
    <w:p w14:paraId="5AA66B6C">
      <w:pPr>
        <w:pageBreakBefore w:val="0"/>
        <w:tabs>
          <w:tab w:val="left" w:pos="570"/>
          <w:tab w:val="left" w:pos="9240"/>
          <w:tab w:val="left" w:pos="9555"/>
        </w:tabs>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1.2本合同下列术语应解释为：</w:t>
      </w:r>
    </w:p>
    <w:p w14:paraId="4BBF406F">
      <w:pPr>
        <w:pageBreakBefore w:val="0"/>
        <w:kinsoku/>
        <w:wordWrap/>
        <w:overflowPunct/>
        <w:topLinePunct w:val="0"/>
        <w:bidi w:val="0"/>
        <w:adjustRightInd w:val="0"/>
        <w:snapToGrid w:val="0"/>
        <w:spacing w:before="0" w:beforeLines="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（1）“合同”系指</w:t>
      </w:r>
      <w:r>
        <w:rPr>
          <w:rFonts w:hint="eastAsia" w:ascii="宋体" w:hAnsi="宋体" w:eastAsia="宋体" w:cs="宋体"/>
          <w:bCs/>
          <w:color w:val="000000" w:themeColor="text1"/>
          <w:sz w:val="24"/>
          <w:szCs w:val="24"/>
          <w14:textFill>
            <w14:solidFill>
              <w14:schemeClr w14:val="tx1"/>
            </w14:solidFill>
          </w14:textFill>
        </w:rPr>
        <w:t>合同当事人意思表示达成一致的任何协议，包括签署的</w:t>
      </w:r>
      <w:r>
        <w:rPr>
          <w:rFonts w:hint="eastAsia" w:ascii="宋体" w:hAnsi="宋体" w:eastAsia="宋体" w:cs="宋体"/>
          <w:color w:val="000000" w:themeColor="text1"/>
          <w:sz w:val="24"/>
          <w:szCs w:val="24"/>
          <w:lang w:eastAsia="zh-CN"/>
          <w14:textFill>
            <w14:solidFill>
              <w14:schemeClr w14:val="tx1"/>
            </w14:solidFill>
          </w14:textFill>
        </w:rPr>
        <w:t>政府采购</w:t>
      </w:r>
      <w:r>
        <w:rPr>
          <w:rFonts w:hint="eastAsia" w:ascii="宋体" w:hAnsi="宋体" w:eastAsia="宋体" w:cs="宋体"/>
          <w:color w:val="000000" w:themeColor="text1"/>
          <w:sz w:val="24"/>
          <w:szCs w:val="24"/>
          <w14:textFill>
            <w14:solidFill>
              <w14:schemeClr w14:val="tx1"/>
            </w14:solidFill>
          </w14:textFill>
        </w:rPr>
        <w:t>合同协议书及其变更、补充</w:t>
      </w:r>
      <w:r>
        <w:rPr>
          <w:rFonts w:hint="eastAsia" w:ascii="宋体" w:hAnsi="宋体" w:eastAsia="宋体" w:cs="宋体"/>
          <w:color w:val="000000" w:themeColor="text1"/>
          <w:sz w:val="24"/>
          <w:szCs w:val="24"/>
          <w:lang w:eastAsia="zh-CN"/>
          <w14:textFill>
            <w14:solidFill>
              <w14:schemeClr w14:val="tx1"/>
            </w14:solidFill>
          </w14:textFill>
        </w:rPr>
        <w:t>协议，</w:t>
      </w:r>
      <w:r>
        <w:rPr>
          <w:rFonts w:hint="eastAsia" w:ascii="宋体" w:hAnsi="宋体" w:eastAsia="宋体" w:cs="宋体"/>
          <w:color w:val="000000" w:themeColor="text1"/>
          <w:sz w:val="24"/>
          <w:szCs w:val="24"/>
          <w14:textFill>
            <w14:solidFill>
              <w14:schemeClr w14:val="tx1"/>
            </w14:solidFill>
          </w14:textFill>
        </w:rPr>
        <w:t>政府采购合同专用条款</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政府采购合同通用条款</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中标</w:t>
      </w:r>
      <w:r>
        <w:rPr>
          <w:rFonts w:hint="eastAsia" w:ascii="宋体" w:hAnsi="宋体" w:eastAsia="宋体" w:cs="宋体"/>
          <w:color w:val="000000" w:themeColor="text1"/>
          <w:sz w:val="24"/>
          <w:szCs w:val="24"/>
          <w:lang w:eastAsia="zh-CN"/>
          <w14:textFill>
            <w14:solidFill>
              <w14:schemeClr w14:val="tx1"/>
            </w14:solidFill>
          </w14:textFill>
        </w:rPr>
        <w:t>（成交）</w:t>
      </w:r>
      <w:r>
        <w:rPr>
          <w:rFonts w:hint="eastAsia" w:ascii="宋体" w:hAnsi="宋体" w:eastAsia="宋体" w:cs="宋体"/>
          <w:color w:val="000000" w:themeColor="text1"/>
          <w:sz w:val="24"/>
          <w:szCs w:val="24"/>
          <w14:textFill>
            <w14:solidFill>
              <w14:schemeClr w14:val="tx1"/>
            </w14:solidFill>
          </w14:textFill>
        </w:rPr>
        <w:t>通知书</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投标（响应）文件</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采购文件</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有关技术文件</w:t>
      </w:r>
      <w:r>
        <w:rPr>
          <w:rFonts w:hint="eastAsia" w:ascii="宋体" w:hAnsi="宋体" w:eastAsia="宋体" w:cs="宋体"/>
          <w:color w:val="000000" w:themeColor="text1"/>
          <w:sz w:val="24"/>
          <w:szCs w:val="24"/>
          <w:lang w:eastAsia="zh-CN"/>
          <w14:textFill>
            <w14:solidFill>
              <w14:schemeClr w14:val="tx1"/>
            </w14:solidFill>
          </w14:textFill>
        </w:rPr>
        <w:t>和</w:t>
      </w:r>
      <w:r>
        <w:rPr>
          <w:rFonts w:hint="eastAsia" w:ascii="宋体" w:hAnsi="宋体" w:eastAsia="宋体" w:cs="宋体"/>
          <w:color w:val="000000" w:themeColor="text1"/>
          <w:sz w:val="24"/>
          <w:szCs w:val="24"/>
          <w14:textFill>
            <w14:solidFill>
              <w14:schemeClr w14:val="tx1"/>
            </w14:solidFill>
          </w14:textFill>
        </w:rPr>
        <w:t>图纸</w:t>
      </w:r>
      <w:r>
        <w:rPr>
          <w:rFonts w:hint="eastAsia" w:ascii="宋体" w:hAnsi="宋体" w:eastAsia="宋体" w:cs="宋体"/>
          <w:color w:val="000000" w:themeColor="text1"/>
          <w:sz w:val="24"/>
          <w:szCs w:val="24"/>
          <w:lang w:eastAsia="zh-CN"/>
          <w14:textFill>
            <w14:solidFill>
              <w14:schemeClr w14:val="tx1"/>
            </w14:solidFill>
          </w14:textFill>
        </w:rPr>
        <w:t>，以及</w:t>
      </w:r>
      <w:r>
        <w:rPr>
          <w:rFonts w:hint="eastAsia" w:ascii="宋体" w:hAnsi="宋体" w:eastAsia="宋体" w:cs="宋体"/>
          <w:bCs w:val="0"/>
          <w:color w:val="000000" w:themeColor="text1"/>
          <w:kern w:val="2"/>
          <w:sz w:val="24"/>
          <w:szCs w:val="24"/>
          <w:highlight w:val="none"/>
          <w:lang w:eastAsia="zh-CN"/>
          <w14:textFill>
            <w14:solidFill>
              <w14:schemeClr w14:val="tx1"/>
            </w14:solidFill>
          </w14:textFill>
        </w:rPr>
        <w:t>国家法律、行政法规和规章制度规定或合同约定的作为合同组成部分的其他文件</w:t>
      </w:r>
      <w:r>
        <w:rPr>
          <w:rFonts w:hint="eastAsia" w:ascii="宋体" w:hAnsi="宋体" w:eastAsia="宋体" w:cs="宋体"/>
          <w:color w:val="000000" w:themeColor="text1"/>
          <w:sz w:val="24"/>
          <w:szCs w:val="24"/>
          <w:highlight w:val="none"/>
          <w14:textFill>
            <w14:solidFill>
              <w14:schemeClr w14:val="tx1"/>
            </w14:solidFill>
          </w14:textFill>
        </w:rPr>
        <w:t>。</w:t>
      </w:r>
    </w:p>
    <w:p w14:paraId="04EBF842">
      <w:pPr>
        <w:pageBreakBefore w:val="0"/>
        <w:tabs>
          <w:tab w:val="left" w:pos="570"/>
          <w:tab w:val="left" w:pos="9240"/>
          <w:tab w:val="left" w:pos="9555"/>
        </w:tabs>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）“合同价</w:t>
      </w:r>
      <w:r>
        <w:rPr>
          <w:rFonts w:hint="eastAsia" w:ascii="宋体" w:hAnsi="宋体" w:eastAsia="宋体" w:cs="宋体"/>
          <w:color w:val="000000" w:themeColor="text1"/>
          <w:sz w:val="24"/>
          <w:szCs w:val="24"/>
          <w:highlight w:val="none"/>
          <w:lang w:val="en-US" w:eastAsia="zh-CN"/>
          <w14:textFill>
            <w14:solidFill>
              <w14:schemeClr w14:val="tx1"/>
            </w14:solidFill>
          </w14:textFill>
        </w:rPr>
        <w:t>款</w:t>
      </w:r>
      <w:r>
        <w:rPr>
          <w:rFonts w:hint="eastAsia" w:ascii="宋体" w:hAnsi="宋体" w:eastAsia="宋体" w:cs="宋体"/>
          <w:color w:val="000000" w:themeColor="text1"/>
          <w:sz w:val="24"/>
          <w:szCs w:val="24"/>
          <w:highlight w:val="none"/>
          <w14:textFill>
            <w14:solidFill>
              <w14:schemeClr w14:val="tx1"/>
            </w14:solidFill>
          </w14:textFill>
        </w:rPr>
        <w:t>”系指根据本合同规定乙方在全面履行合同义务后甲方应支付给乙方的价款。</w:t>
      </w:r>
    </w:p>
    <w:p w14:paraId="0F482FF7">
      <w:pPr>
        <w:pageBreakBefore w:val="0"/>
        <w:tabs>
          <w:tab w:val="left" w:pos="570"/>
          <w:tab w:val="left" w:pos="9240"/>
          <w:tab w:val="left" w:pos="9555"/>
        </w:tabs>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）“货物”系指乙方根据本合同规定须向甲方提供的各种形态和种类的物品，包括原材料、设备、产品（包括软件）及相关的其备品备件、工具、手册及</w:t>
      </w:r>
      <w:r>
        <w:rPr>
          <w:rFonts w:hint="eastAsia" w:ascii="宋体" w:hAnsi="宋体" w:eastAsia="宋体" w:cs="宋体"/>
          <w:color w:val="000000" w:themeColor="text1"/>
          <w:sz w:val="24"/>
          <w:szCs w:val="24"/>
          <w:highlight w:val="none"/>
          <w:lang w:val="en"/>
          <w14:textFill>
            <w14:solidFill>
              <w14:schemeClr w14:val="tx1"/>
            </w14:solidFill>
          </w14:textFill>
        </w:rPr>
        <w:t>其他</w:t>
      </w:r>
      <w:r>
        <w:rPr>
          <w:rFonts w:hint="eastAsia" w:ascii="宋体" w:hAnsi="宋体" w:eastAsia="宋体" w:cs="宋体"/>
          <w:color w:val="000000" w:themeColor="text1"/>
          <w:sz w:val="24"/>
          <w:szCs w:val="24"/>
          <w:highlight w:val="none"/>
          <w14:textFill>
            <w14:solidFill>
              <w14:schemeClr w14:val="tx1"/>
            </w14:solidFill>
          </w14:textFill>
        </w:rPr>
        <w:t>技术资料和材料</w:t>
      </w:r>
      <w:r>
        <w:rPr>
          <w:rFonts w:hint="eastAsia" w:ascii="宋体" w:hAnsi="宋体" w:eastAsia="宋体" w:cs="宋体"/>
          <w:color w:val="000000" w:themeColor="text1"/>
          <w:sz w:val="24"/>
          <w:szCs w:val="24"/>
          <w:highlight w:val="none"/>
          <w:lang w:eastAsia="zh-CN"/>
          <w14:textFill>
            <w14:solidFill>
              <w14:schemeClr w14:val="tx1"/>
            </w14:solidFill>
          </w14:textFill>
        </w:rPr>
        <w:t>等</w:t>
      </w:r>
      <w:r>
        <w:rPr>
          <w:rFonts w:hint="eastAsia" w:ascii="宋体" w:hAnsi="宋体" w:eastAsia="宋体" w:cs="宋体"/>
          <w:color w:val="000000" w:themeColor="text1"/>
          <w:sz w:val="24"/>
          <w:szCs w:val="24"/>
          <w:highlight w:val="none"/>
          <w14:textFill>
            <w14:solidFill>
              <w14:schemeClr w14:val="tx1"/>
            </w14:solidFill>
          </w14:textFill>
        </w:rPr>
        <w:t>。</w:t>
      </w:r>
    </w:p>
    <w:p w14:paraId="3B85D41A">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yellow"/>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服务”系指根据合同规定，乙方应提供的</w:t>
      </w:r>
      <w:r>
        <w:rPr>
          <w:rFonts w:hint="eastAsia" w:ascii="宋体" w:hAnsi="宋体" w:eastAsia="宋体" w:cs="宋体"/>
          <w:color w:val="000000" w:themeColor="text1"/>
          <w:sz w:val="24"/>
          <w:szCs w:val="24"/>
          <w:highlight w:val="none"/>
          <w:lang w:val="en-US" w:eastAsia="zh-CN"/>
          <w14:textFill>
            <w14:solidFill>
              <w14:schemeClr w14:val="tx1"/>
            </w14:solidFill>
          </w14:textFill>
        </w:rPr>
        <w:t>与货物有关的</w:t>
      </w:r>
      <w:r>
        <w:rPr>
          <w:rFonts w:hint="eastAsia" w:ascii="宋体" w:hAnsi="宋体" w:eastAsia="宋体" w:cs="宋体"/>
          <w:color w:val="000000" w:themeColor="text1"/>
          <w:sz w:val="24"/>
          <w:szCs w:val="24"/>
          <w:highlight w:val="none"/>
          <w14:textFill>
            <w14:solidFill>
              <w14:schemeClr w14:val="tx1"/>
            </w14:solidFill>
          </w14:textFill>
        </w:rPr>
        <w:t>技术、管理和</w:t>
      </w:r>
      <w:r>
        <w:rPr>
          <w:rFonts w:hint="eastAsia" w:ascii="宋体" w:hAnsi="宋体" w:eastAsia="宋体" w:cs="宋体"/>
          <w:color w:val="000000" w:themeColor="text1"/>
          <w:sz w:val="24"/>
          <w:szCs w:val="24"/>
          <w:highlight w:val="none"/>
          <w:lang w:val="en"/>
          <w14:textFill>
            <w14:solidFill>
              <w14:schemeClr w14:val="tx1"/>
            </w14:solidFill>
          </w14:textFill>
        </w:rPr>
        <w:t>其他</w:t>
      </w:r>
      <w:r>
        <w:rPr>
          <w:rFonts w:hint="eastAsia" w:ascii="宋体" w:hAnsi="宋体" w:eastAsia="宋体" w:cs="宋体"/>
          <w:color w:val="000000" w:themeColor="text1"/>
          <w:sz w:val="24"/>
          <w:szCs w:val="24"/>
          <w:highlight w:val="none"/>
          <w14:textFill>
            <w14:solidFill>
              <w14:schemeClr w14:val="tx1"/>
            </w14:solidFill>
          </w14:textFill>
        </w:rPr>
        <w:t>服务，包括但不限于：管理和质量保证、运输、保险、检验、现场准备、安装、集成、调试、培训、维修、</w:t>
      </w:r>
      <w:r>
        <w:rPr>
          <w:rFonts w:hint="eastAsia" w:ascii="宋体" w:hAnsi="宋体" w:eastAsia="宋体" w:cs="宋体"/>
          <w:color w:val="000000" w:themeColor="text1"/>
          <w:sz w:val="24"/>
          <w:szCs w:val="24"/>
          <w:highlight w:val="none"/>
          <w:lang w:eastAsia="zh-CN"/>
          <w14:textFill>
            <w14:solidFill>
              <w14:schemeClr w14:val="tx1"/>
            </w14:solidFill>
          </w14:textFill>
        </w:rPr>
        <w:t>废弃处置、</w:t>
      </w:r>
      <w:r>
        <w:rPr>
          <w:rFonts w:hint="eastAsia" w:ascii="宋体" w:hAnsi="宋体" w:eastAsia="宋体" w:cs="宋体"/>
          <w:color w:val="000000" w:themeColor="text1"/>
          <w:sz w:val="24"/>
          <w:szCs w:val="24"/>
          <w:highlight w:val="none"/>
          <w14:textFill>
            <w14:solidFill>
              <w14:schemeClr w14:val="tx1"/>
            </w14:solidFill>
          </w14:textFill>
        </w:rPr>
        <w:t>技术支持等以及合同中规定乙方应承担的</w:t>
      </w:r>
      <w:r>
        <w:rPr>
          <w:rFonts w:hint="eastAsia" w:ascii="宋体" w:hAnsi="宋体" w:eastAsia="宋体" w:cs="宋体"/>
          <w:color w:val="000000" w:themeColor="text1"/>
          <w:sz w:val="24"/>
          <w:szCs w:val="24"/>
          <w:highlight w:val="none"/>
          <w:lang w:val="en"/>
          <w14:textFill>
            <w14:solidFill>
              <w14:schemeClr w14:val="tx1"/>
            </w14:solidFill>
          </w14:textFill>
        </w:rPr>
        <w:t>其他</w:t>
      </w:r>
      <w:r>
        <w:rPr>
          <w:rFonts w:hint="eastAsia" w:ascii="宋体" w:hAnsi="宋体" w:eastAsia="宋体" w:cs="宋体"/>
          <w:color w:val="000000" w:themeColor="text1"/>
          <w:sz w:val="24"/>
          <w:szCs w:val="24"/>
          <w:highlight w:val="none"/>
          <w14:textFill>
            <w14:solidFill>
              <w14:schemeClr w14:val="tx1"/>
            </w14:solidFill>
          </w14:textFill>
        </w:rPr>
        <w:t>义务。</w:t>
      </w:r>
    </w:p>
    <w:p w14:paraId="04AB164E">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yellow"/>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）“分包”系指中标</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成交</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供应商按采购文件、投标（响应）文件的规定，根据分包意向协议，将中标</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成交</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项目中的部分履约内容，分给具有相应资质条件的供应商履行合同的行为。</w:t>
      </w:r>
    </w:p>
    <w:p w14:paraId="59106116">
      <w:pPr>
        <w:pageBreakBefore w:val="0"/>
        <w:tabs>
          <w:tab w:val="left" w:pos="570"/>
          <w:tab w:val="left" w:pos="9240"/>
          <w:tab w:val="left" w:pos="9555"/>
        </w:tabs>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“联合体”系指</w:t>
      </w:r>
      <w:r>
        <w:rPr>
          <w:rFonts w:hint="eastAsia" w:ascii="宋体" w:hAnsi="宋体" w:eastAsia="宋体" w:cs="宋体"/>
          <w:color w:val="000000" w:themeColor="text1"/>
          <w:sz w:val="24"/>
          <w:szCs w:val="24"/>
          <w:lang w:eastAsia="zh-CN"/>
          <w14:textFill>
            <w14:solidFill>
              <w14:schemeClr w14:val="tx1"/>
            </w14:solidFill>
          </w14:textFill>
        </w:rPr>
        <w:t>由</w:t>
      </w:r>
      <w:r>
        <w:rPr>
          <w:rFonts w:hint="eastAsia" w:ascii="宋体" w:hAnsi="宋体" w:eastAsia="宋体" w:cs="宋体"/>
          <w:color w:val="000000" w:themeColor="text1"/>
          <w:sz w:val="24"/>
          <w:szCs w:val="24"/>
          <w14:textFill>
            <w14:solidFill>
              <w14:schemeClr w14:val="tx1"/>
            </w14:solidFill>
          </w14:textFill>
        </w:rPr>
        <w:t>两个以上的自然人、法人或者</w:t>
      </w:r>
      <w:r>
        <w:rPr>
          <w:rFonts w:hint="eastAsia" w:ascii="宋体" w:hAnsi="宋体" w:eastAsia="宋体" w:cs="宋体"/>
          <w:color w:val="000000" w:themeColor="text1"/>
          <w:sz w:val="24"/>
          <w:szCs w:val="24"/>
          <w:lang w:val="en-US" w:eastAsia="zh-CN"/>
          <w14:textFill>
            <w14:solidFill>
              <w14:schemeClr w14:val="tx1"/>
            </w14:solidFill>
          </w14:textFill>
        </w:rPr>
        <w:t>非法人</w:t>
      </w:r>
      <w:r>
        <w:rPr>
          <w:rFonts w:hint="eastAsia" w:ascii="宋体" w:hAnsi="宋体" w:eastAsia="宋体" w:cs="宋体"/>
          <w:color w:val="000000" w:themeColor="text1"/>
          <w:sz w:val="24"/>
          <w:szCs w:val="24"/>
          <w14:textFill>
            <w14:solidFill>
              <w14:schemeClr w14:val="tx1"/>
            </w14:solidFill>
          </w14:textFill>
        </w:rPr>
        <w:t>组织组成，</w:t>
      </w:r>
      <w:r>
        <w:rPr>
          <w:rFonts w:hint="eastAsia" w:ascii="宋体" w:hAnsi="宋体" w:eastAsia="宋体" w:cs="宋体"/>
          <w:color w:val="000000" w:themeColor="text1"/>
          <w:sz w:val="24"/>
          <w:szCs w:val="24"/>
          <w:lang w:eastAsia="zh-CN"/>
          <w14:textFill>
            <w14:solidFill>
              <w14:schemeClr w14:val="tx1"/>
            </w14:solidFill>
          </w14:textFill>
        </w:rPr>
        <w:t>以一个供应商的身份共同参加政府采购的主体</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s="宋体"/>
          <w:color w:val="000000" w:themeColor="text1"/>
          <w:sz w:val="24"/>
          <w:szCs w:val="24"/>
          <w:highlight w:val="none"/>
          <w:lang w:eastAsia="zh-CN"/>
          <w14:textFill>
            <w14:solidFill>
              <w14:schemeClr w14:val="tx1"/>
            </w14:solidFill>
          </w14:textFill>
        </w:rPr>
        <w:t>甲方</w:t>
      </w:r>
      <w:r>
        <w:rPr>
          <w:rFonts w:hint="eastAsia" w:ascii="宋体" w:hAnsi="宋体" w:eastAsia="宋体" w:cs="宋体"/>
          <w:color w:val="000000" w:themeColor="text1"/>
          <w:sz w:val="24"/>
          <w:szCs w:val="24"/>
          <w:highlight w:val="none"/>
          <w14:textFill>
            <w14:solidFill>
              <w14:schemeClr w14:val="tx1"/>
            </w14:solidFill>
          </w14:textFill>
        </w:rPr>
        <w:t>承担连带责任。联合体具体要求见【</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w:t>
      </w:r>
    </w:p>
    <w:p w14:paraId="300239FB">
      <w:pPr>
        <w:pageBreakBefore w:val="0"/>
        <w:tabs>
          <w:tab w:val="left" w:pos="570"/>
          <w:tab w:val="left" w:pos="9240"/>
          <w:tab w:val="left" w:pos="9555"/>
        </w:tabs>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）其他术语解释，见【</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w:t>
      </w:r>
    </w:p>
    <w:p w14:paraId="3746AF26">
      <w:pPr>
        <w:pageBreakBefore w:val="0"/>
        <w:numPr>
          <w:ilvl w:val="0"/>
          <w:numId w:val="9"/>
        </w:numPr>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合同标的及金额</w:t>
      </w:r>
    </w:p>
    <w:p w14:paraId="4F173E87">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b/>
          <w:bCs/>
          <w:i/>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 合同标的及金额应与中标（成交）结果一致。乙方为履行本合同而发生的所有费用均应包含在合同</w:t>
      </w:r>
      <w:r>
        <w:rPr>
          <w:rFonts w:hint="eastAsia" w:ascii="宋体" w:hAnsi="宋体" w:eastAsia="宋体" w:cs="宋体"/>
          <w:color w:val="000000" w:themeColor="text1"/>
          <w:sz w:val="24"/>
          <w:szCs w:val="24"/>
          <w:highlight w:val="none"/>
          <w:lang w:eastAsia="zh-CN"/>
          <w14:textFill>
            <w14:solidFill>
              <w14:schemeClr w14:val="tx1"/>
            </w14:solidFill>
          </w14:textFill>
        </w:rPr>
        <w:t>价款</w:t>
      </w:r>
      <w:r>
        <w:rPr>
          <w:rFonts w:hint="eastAsia" w:ascii="宋体" w:hAnsi="宋体" w:eastAsia="宋体" w:cs="宋体"/>
          <w:color w:val="000000" w:themeColor="text1"/>
          <w:sz w:val="24"/>
          <w:szCs w:val="24"/>
          <w:highlight w:val="none"/>
          <w14:textFill>
            <w14:solidFill>
              <w14:schemeClr w14:val="tx1"/>
            </w14:solidFill>
          </w14:textFill>
        </w:rPr>
        <w:t>中，甲方不再另行支付</w:t>
      </w:r>
      <w:r>
        <w:rPr>
          <w:rFonts w:hint="eastAsia" w:ascii="宋体" w:hAnsi="宋体" w:eastAsia="宋体" w:cs="宋体"/>
          <w:color w:val="000000" w:themeColor="text1"/>
          <w:sz w:val="24"/>
          <w:szCs w:val="24"/>
          <w:highlight w:val="none"/>
          <w:lang w:val="en"/>
          <w14:textFill>
            <w14:solidFill>
              <w14:schemeClr w14:val="tx1"/>
            </w14:solidFill>
          </w14:textFill>
        </w:rPr>
        <w:t>其他</w:t>
      </w:r>
      <w:r>
        <w:rPr>
          <w:rFonts w:hint="eastAsia" w:ascii="宋体" w:hAnsi="宋体" w:eastAsia="宋体" w:cs="宋体"/>
          <w:color w:val="000000" w:themeColor="text1"/>
          <w:sz w:val="24"/>
          <w:szCs w:val="24"/>
          <w:highlight w:val="none"/>
          <w14:textFill>
            <w14:solidFill>
              <w14:schemeClr w14:val="tx1"/>
            </w14:solidFill>
          </w14:textFill>
        </w:rPr>
        <w:t>任何费用。</w:t>
      </w:r>
    </w:p>
    <w:p w14:paraId="405763B5">
      <w:pPr>
        <w:pageBreakBefore w:val="0"/>
        <w:kinsoku/>
        <w:wordWrap/>
        <w:overflowPunct/>
        <w:topLinePunct w:val="0"/>
        <w:bidi w:val="0"/>
        <w:adjustRightInd w:val="0"/>
        <w:snapToGrid w:val="0"/>
        <w:spacing w:before="0" w:line="560" w:lineRule="exact"/>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eastAsia="zh-CN"/>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szCs w:val="24"/>
          <w:highlight w:val="none"/>
          <w14:textFill>
            <w14:solidFill>
              <w14:schemeClr w14:val="tx1"/>
            </w14:solidFill>
          </w14:textFill>
        </w:rPr>
        <w:t>履行合同的时间、地点和方式</w:t>
      </w:r>
    </w:p>
    <w:p w14:paraId="72B70F28">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.1 </w:t>
      </w:r>
      <w:r>
        <w:rPr>
          <w:rFonts w:hint="eastAsia" w:ascii="宋体" w:hAnsi="宋体" w:eastAsia="宋体" w:cs="宋体"/>
          <w:color w:val="000000" w:themeColor="text1"/>
          <w:sz w:val="24"/>
          <w:szCs w:val="24"/>
          <w14:textFill>
            <w14:solidFill>
              <w14:schemeClr w14:val="tx1"/>
            </w14:solidFill>
          </w14:textFill>
        </w:rPr>
        <w:t>乙方应当在约定的时间、地点</w:t>
      </w:r>
      <w:r>
        <w:rPr>
          <w:rFonts w:hint="eastAsia" w:ascii="宋体" w:hAnsi="宋体" w:eastAsia="宋体" w:cs="宋体"/>
          <w:color w:val="000000" w:themeColor="text1"/>
          <w:sz w:val="24"/>
          <w:szCs w:val="24"/>
          <w:lang w:eastAsia="zh-CN"/>
          <w14:textFill>
            <w14:solidFill>
              <w14:schemeClr w14:val="tx1"/>
            </w14:solidFill>
          </w14:textFill>
        </w:rPr>
        <w:t>，按照约定</w:t>
      </w:r>
      <w:r>
        <w:rPr>
          <w:rFonts w:hint="eastAsia" w:ascii="宋体" w:hAnsi="宋体" w:eastAsia="宋体" w:cs="宋体"/>
          <w:color w:val="000000" w:themeColor="text1"/>
          <w:sz w:val="24"/>
          <w:szCs w:val="24"/>
          <w14:textFill>
            <w14:solidFill>
              <w14:schemeClr w14:val="tx1"/>
            </w14:solidFill>
          </w14:textFill>
        </w:rPr>
        <w:t>方式履行合同。</w:t>
      </w:r>
    </w:p>
    <w:p w14:paraId="50721F02">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4</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甲方的权利和义务</w:t>
      </w:r>
    </w:p>
    <w:p w14:paraId="5D3A6136">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.1 签署合同后，甲方</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确定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项目负责人（或项目联系人）</w:t>
      </w:r>
      <w:r>
        <w:rPr>
          <w:rFonts w:hint="eastAsia" w:ascii="宋体" w:hAnsi="宋体" w:eastAsia="宋体" w:cs="宋体"/>
          <w:color w:val="000000" w:themeColor="text1"/>
          <w:sz w:val="24"/>
          <w:szCs w:val="24"/>
          <w:highlight w:val="none"/>
          <w14:textFill>
            <w14:solidFill>
              <w14:schemeClr w14:val="tx1"/>
            </w14:solidFill>
          </w14:textFill>
        </w:rPr>
        <w:t>，负责与本合同有关的事务。甲方有权对乙方的履约行为进行检查，并及时确认乙方提交的事项。甲方应当配合乙方完成相关项目实施工作。</w:t>
      </w:r>
    </w:p>
    <w:p w14:paraId="59D47799">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.2 甲方有权要求乙方按时提交各阶段有关安排计划，并有权定期核对乙方提供货物数量、规格、质量等内容。甲方有权督促乙方工作并要求乙方更换不符合要求的货物。</w:t>
      </w:r>
    </w:p>
    <w:p w14:paraId="415B89D8">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.3 甲方有权要求乙方对缺陷部分予以修复，并按合同约定享有货物保修及其他合同约定的权利。</w:t>
      </w:r>
    </w:p>
    <w:p w14:paraId="4655CC59">
      <w:pPr>
        <w:pageBreakBefore w:val="0"/>
        <w:kinsoku/>
        <w:wordWrap/>
        <w:overflowPunct/>
        <w:topLinePunct w:val="0"/>
        <w:bidi w:val="0"/>
        <w:snapToGrid w:val="0"/>
        <w:spacing w:line="56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4.4 甲方应当按照合同约定及时对交付的货物进行验收，</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未</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约定的期限内对乙方履约提出任何异议或者向乙方作出任何说明的，</w:t>
      </w:r>
      <w:r>
        <w:rPr>
          <w:rFonts w:hint="eastAsia" w:ascii="宋体" w:hAnsi="宋体" w:eastAsia="宋体" w:cs="宋体"/>
          <w:color w:val="000000" w:themeColor="text1"/>
          <w:sz w:val="24"/>
          <w:szCs w:val="24"/>
          <w:highlight w:val="none"/>
          <w:lang w:val="en-US" w:eastAsia="zh-CN"/>
          <w14:textFill>
            <w14:solidFill>
              <w14:schemeClr w14:val="tx1"/>
            </w14:solidFill>
          </w14:textFill>
        </w:rPr>
        <w:t>视为验收通过。</w:t>
      </w:r>
    </w:p>
    <w:p w14:paraId="6D947307">
      <w:pPr>
        <w:pageBreakBefore w:val="0"/>
        <w:kinsoku/>
        <w:wordWrap/>
        <w:overflowPunct/>
        <w:topLinePunct w:val="0"/>
        <w:autoSpaceDE w:val="0"/>
        <w:autoSpaceDN w:val="0"/>
        <w:bidi w:val="0"/>
        <w:adjustRightInd w:val="0"/>
        <w:snapToGrid w:val="0"/>
        <w:spacing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 xml:space="preserve"> 甲方应当根据合同约定</w:t>
      </w:r>
      <w:r>
        <w:rPr>
          <w:rFonts w:hint="eastAsia" w:ascii="宋体" w:hAnsi="宋体" w:eastAsia="宋体" w:cs="宋体"/>
          <w:color w:val="000000" w:themeColor="text1"/>
          <w:sz w:val="24"/>
          <w:szCs w:val="24"/>
          <w:highlight w:val="none"/>
          <w:lang w:eastAsia="zh-CN"/>
          <w14:textFill>
            <w14:solidFill>
              <w14:schemeClr w14:val="tx1"/>
            </w14:solidFill>
          </w14:textFill>
        </w:rPr>
        <w:t>及</w:t>
      </w:r>
      <w:r>
        <w:rPr>
          <w:rFonts w:hint="eastAsia" w:ascii="宋体" w:hAnsi="宋体" w:eastAsia="宋体" w:cs="宋体"/>
          <w:color w:val="000000" w:themeColor="text1"/>
          <w:sz w:val="24"/>
          <w:szCs w:val="24"/>
          <w:highlight w:val="none"/>
          <w14:textFill>
            <w14:solidFill>
              <w14:schemeClr w14:val="tx1"/>
            </w14:solidFill>
          </w14:textFill>
        </w:rPr>
        <w:t>时向乙方支付</w:t>
      </w:r>
      <w:r>
        <w:rPr>
          <w:rFonts w:hint="eastAsia" w:ascii="宋体" w:hAnsi="宋体" w:eastAsia="宋体" w:cs="宋体"/>
          <w:color w:val="000000" w:themeColor="text1"/>
          <w:sz w:val="24"/>
          <w:szCs w:val="24"/>
          <w:highlight w:val="none"/>
          <w:lang w:eastAsia="zh-CN"/>
          <w14:textFill>
            <w14:solidFill>
              <w14:schemeClr w14:val="tx1"/>
            </w14:solidFill>
          </w14:textFill>
        </w:rPr>
        <w:t>合同价款，不得以内部人员变更、履行内部付款流程等为由，拒绝或迟延支付。</w:t>
      </w:r>
    </w:p>
    <w:p w14:paraId="087FB90A">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 xml:space="preserve"> 国家法律法规规定</w:t>
      </w:r>
      <w:r>
        <w:rPr>
          <w:rFonts w:hint="eastAsia" w:ascii="宋体" w:hAnsi="宋体" w:eastAsia="宋体" w:cs="宋体"/>
          <w:color w:val="000000" w:themeColor="text1"/>
          <w:sz w:val="24"/>
          <w:szCs w:val="24"/>
          <w:highlight w:val="none"/>
          <w:lang w:eastAsia="zh-CN"/>
          <w14:textFill>
            <w14:solidFill>
              <w14:schemeClr w14:val="tx1"/>
            </w14:solidFill>
          </w14:textFill>
        </w:rPr>
        <w:t>及</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lang w:eastAsia="zh-CN"/>
          <w14:textFill>
            <w14:solidFill>
              <w14:schemeClr w14:val="tx1"/>
            </w14:solidFill>
          </w14:textFill>
        </w:rPr>
        <w:t>约定应</w:t>
      </w:r>
      <w:r>
        <w:rPr>
          <w:rFonts w:hint="eastAsia" w:ascii="宋体" w:hAnsi="宋体" w:eastAsia="宋体" w:cs="宋体"/>
          <w:color w:val="000000" w:themeColor="text1"/>
          <w:sz w:val="24"/>
          <w:szCs w:val="24"/>
          <w:highlight w:val="none"/>
          <w14:textFill>
            <w14:solidFill>
              <w14:schemeClr w14:val="tx1"/>
            </w14:solidFill>
          </w14:textFill>
        </w:rPr>
        <w:t>由甲方承担的其他义务和责任。</w:t>
      </w:r>
    </w:p>
    <w:p w14:paraId="57AAE342">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5</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乙方的权利和义务</w:t>
      </w:r>
    </w:p>
    <w:p w14:paraId="2EB40A25">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.1 签署合同后，乙方</w:t>
      </w:r>
      <w:r>
        <w:rPr>
          <w:rFonts w:hint="eastAsia" w:ascii="宋体" w:hAnsi="宋体" w:eastAsia="宋体" w:cs="宋体"/>
          <w:color w:val="000000" w:themeColor="text1"/>
          <w:sz w:val="24"/>
          <w:szCs w:val="24"/>
          <w:highlight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确定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项目负责人（或项目联系人）</w:t>
      </w:r>
      <w:r>
        <w:rPr>
          <w:rFonts w:hint="eastAsia" w:ascii="宋体" w:hAnsi="宋体" w:eastAsia="宋体" w:cs="宋体"/>
          <w:color w:val="000000" w:themeColor="text1"/>
          <w:sz w:val="24"/>
          <w:szCs w:val="24"/>
          <w:highlight w:val="none"/>
          <w14:textFill>
            <w14:solidFill>
              <w14:schemeClr w14:val="tx1"/>
            </w14:solidFill>
          </w14:textFill>
        </w:rPr>
        <w:t>，负责与本合同有关的事务。</w:t>
      </w:r>
    </w:p>
    <w:p w14:paraId="6C93E128">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.2 乙方应按照合同要求履约，充分合理安排，确保提供的货物</w:t>
      </w:r>
      <w:r>
        <w:rPr>
          <w:rFonts w:hint="eastAsia" w:ascii="宋体" w:hAnsi="宋体" w:eastAsia="宋体" w:cs="宋体"/>
          <w:color w:val="000000" w:themeColor="text1"/>
          <w:sz w:val="24"/>
          <w:szCs w:val="24"/>
          <w:highlight w:val="none"/>
          <w:lang w:eastAsia="zh-CN"/>
          <w14:textFill>
            <w14:solidFill>
              <w14:schemeClr w14:val="tx1"/>
            </w14:solidFill>
          </w14:textFill>
        </w:rPr>
        <w:t>及相关</w:t>
      </w:r>
      <w:r>
        <w:rPr>
          <w:rFonts w:hint="eastAsia" w:ascii="宋体" w:hAnsi="宋体" w:eastAsia="宋体" w:cs="宋体"/>
          <w:color w:val="000000" w:themeColor="text1"/>
          <w:sz w:val="24"/>
          <w:szCs w:val="24"/>
          <w:highlight w:val="none"/>
          <w14:textFill>
            <w14:solidFill>
              <w14:schemeClr w14:val="tx1"/>
            </w14:solidFill>
          </w14:textFill>
        </w:rPr>
        <w:t>服务符合合同</w:t>
      </w:r>
      <w:r>
        <w:rPr>
          <w:rFonts w:hint="eastAsia" w:ascii="宋体" w:hAnsi="宋体" w:eastAsia="宋体" w:cs="宋体"/>
          <w:color w:val="000000" w:themeColor="text1"/>
          <w:sz w:val="24"/>
          <w:szCs w:val="24"/>
          <w:highlight w:val="none"/>
          <w:lang w:eastAsia="zh-CN"/>
          <w14:textFill>
            <w14:solidFill>
              <w14:schemeClr w14:val="tx1"/>
            </w14:solidFill>
          </w14:textFill>
        </w:rPr>
        <w:t>有关</w:t>
      </w:r>
      <w:r>
        <w:rPr>
          <w:rFonts w:hint="eastAsia" w:ascii="宋体" w:hAnsi="宋体" w:eastAsia="宋体" w:cs="宋体"/>
          <w:color w:val="000000" w:themeColor="text1"/>
          <w:sz w:val="24"/>
          <w:szCs w:val="24"/>
          <w:highlight w:val="none"/>
          <w14:textFill>
            <w14:solidFill>
              <w14:schemeClr w14:val="tx1"/>
            </w14:solidFill>
          </w14:textFill>
        </w:rPr>
        <w:t>要求。接受项目行业管理部门及政府有关部门的指导，配合甲方的履约检查</w:t>
      </w:r>
      <w:r>
        <w:rPr>
          <w:rFonts w:hint="eastAsia" w:ascii="宋体" w:hAnsi="宋体" w:eastAsia="宋体" w:cs="宋体"/>
          <w:color w:val="000000" w:themeColor="text1"/>
          <w:sz w:val="24"/>
          <w:szCs w:val="24"/>
          <w:highlight w:val="none"/>
          <w:lang w:eastAsia="zh-CN"/>
          <w14:textFill>
            <w14:solidFill>
              <w14:schemeClr w14:val="tx1"/>
            </w14:solidFill>
          </w14:textFill>
        </w:rPr>
        <w:t>及验收</w:t>
      </w:r>
      <w:r>
        <w:rPr>
          <w:rFonts w:hint="eastAsia" w:ascii="宋体" w:hAnsi="宋体" w:eastAsia="宋体" w:cs="宋体"/>
          <w:color w:val="000000" w:themeColor="text1"/>
          <w:sz w:val="24"/>
          <w:szCs w:val="24"/>
          <w:highlight w:val="none"/>
          <w14:textFill>
            <w14:solidFill>
              <w14:schemeClr w14:val="tx1"/>
            </w14:solidFill>
          </w14:textFill>
        </w:rPr>
        <w:t>，并负责项目实施过程中的所有协调工作。</w:t>
      </w:r>
    </w:p>
    <w:p w14:paraId="4AB21999">
      <w:pPr>
        <w:pStyle w:val="11"/>
        <w:pageBreakBefore w:val="0"/>
        <w:kinsoku/>
        <w:wordWrap/>
        <w:overflowPunct/>
        <w:topLinePunct w:val="0"/>
        <w:bidi w:val="0"/>
        <w:spacing w:after="0" w:line="560" w:lineRule="exact"/>
        <w:ind w:firstLine="422" w:firstLineChars="176"/>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.3乙方有权根据合同约定向甲方收取</w:t>
      </w:r>
      <w:r>
        <w:rPr>
          <w:rFonts w:hint="eastAsia" w:ascii="宋体" w:hAnsi="宋体" w:eastAsia="宋体" w:cs="宋体"/>
          <w:color w:val="000000" w:themeColor="text1"/>
          <w:sz w:val="24"/>
          <w:szCs w:val="24"/>
          <w:highlight w:val="none"/>
          <w:lang w:eastAsia="zh-CN"/>
          <w14:textFill>
            <w14:solidFill>
              <w14:schemeClr w14:val="tx1"/>
            </w14:solidFill>
          </w14:textFill>
        </w:rPr>
        <w:t>合同价款</w:t>
      </w:r>
      <w:r>
        <w:rPr>
          <w:rFonts w:hint="eastAsia" w:ascii="宋体" w:hAnsi="宋体" w:eastAsia="宋体" w:cs="宋体"/>
          <w:color w:val="000000" w:themeColor="text1"/>
          <w:sz w:val="24"/>
          <w:szCs w:val="24"/>
          <w:highlight w:val="none"/>
          <w14:textFill>
            <w14:solidFill>
              <w14:schemeClr w14:val="tx1"/>
            </w14:solidFill>
          </w14:textFill>
        </w:rPr>
        <w:t>。</w:t>
      </w:r>
    </w:p>
    <w:p w14:paraId="0D4F5191">
      <w:pPr>
        <w:pStyle w:val="11"/>
        <w:pageBreakBefore w:val="0"/>
        <w:kinsoku/>
        <w:wordWrap/>
        <w:overflowPunct/>
        <w:topLinePunct w:val="0"/>
        <w:bidi w:val="0"/>
        <w:spacing w:after="0" w:line="560" w:lineRule="exact"/>
        <w:ind w:firstLine="422" w:firstLineChars="176"/>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.4国家法律法规规定</w:t>
      </w:r>
      <w:r>
        <w:rPr>
          <w:rFonts w:hint="eastAsia" w:ascii="宋体" w:hAnsi="宋体" w:eastAsia="宋体" w:cs="宋体"/>
          <w:color w:val="000000" w:themeColor="text1"/>
          <w:sz w:val="24"/>
          <w:szCs w:val="24"/>
          <w:highlight w:val="none"/>
          <w:lang w:eastAsia="zh-CN"/>
          <w14:textFill>
            <w14:solidFill>
              <w14:schemeClr w14:val="tx1"/>
            </w14:solidFill>
          </w14:textFill>
        </w:rPr>
        <w:t>及</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约定应</w:t>
      </w:r>
      <w:r>
        <w:rPr>
          <w:rFonts w:hint="eastAsia" w:ascii="宋体" w:hAnsi="宋体" w:eastAsia="宋体" w:cs="宋体"/>
          <w:color w:val="000000" w:themeColor="text1"/>
          <w:sz w:val="24"/>
          <w:szCs w:val="24"/>
          <w:highlight w:val="none"/>
          <w14:textFill>
            <w14:solidFill>
              <w14:schemeClr w14:val="tx1"/>
            </w14:solidFill>
          </w14:textFill>
        </w:rPr>
        <w:t>由乙方承担的其他义务和责任。</w:t>
      </w:r>
    </w:p>
    <w:p w14:paraId="3DC0D8AD">
      <w:pPr>
        <w:pageBreakBefore w:val="0"/>
        <w:numPr>
          <w:ilvl w:val="0"/>
          <w:numId w:val="10"/>
        </w:numPr>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合同履</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行</w:t>
      </w:r>
    </w:p>
    <w:p w14:paraId="61FAD631">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 甲乙双方应当按照</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约定顺序履行合同义务；如果没有先后顺序的，应当同时履行。</w:t>
      </w:r>
    </w:p>
    <w:p w14:paraId="7CA99CCA">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0E9169CE">
      <w:pPr>
        <w:pageBreakBefore w:val="0"/>
        <w:kinsoku/>
        <w:wordWrap/>
        <w:overflowPunct/>
        <w:topLinePunct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7</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货物包装、运输</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保险</w:t>
      </w:r>
      <w:r>
        <w:rPr>
          <w:rFonts w:hint="eastAsia" w:ascii="宋体" w:hAnsi="宋体" w:eastAsia="宋体" w:cs="宋体"/>
          <w:b/>
          <w:bCs/>
          <w:color w:val="000000" w:themeColor="text1"/>
          <w:sz w:val="24"/>
          <w:szCs w:val="24"/>
          <w:highlight w:val="none"/>
          <w:lang w:eastAsia="zh-CN"/>
          <w14:textFill>
            <w14:solidFill>
              <w14:schemeClr w14:val="tx1"/>
            </w14:solidFill>
          </w14:textFill>
        </w:rPr>
        <w:t>和交付</w:t>
      </w:r>
      <w:r>
        <w:rPr>
          <w:rFonts w:hint="eastAsia" w:ascii="宋体" w:hAnsi="宋体" w:eastAsia="宋体" w:cs="宋体"/>
          <w:b/>
          <w:bCs/>
          <w:color w:val="000000" w:themeColor="text1"/>
          <w:sz w:val="24"/>
          <w:szCs w:val="24"/>
          <w:highlight w:val="none"/>
          <w14:textFill>
            <w14:solidFill>
              <w14:schemeClr w14:val="tx1"/>
            </w14:solidFill>
          </w14:textFill>
        </w:rPr>
        <w:t>要求</w:t>
      </w:r>
    </w:p>
    <w:p w14:paraId="4E0EC444">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.1 本合同</w:t>
      </w:r>
      <w:r>
        <w:rPr>
          <w:rFonts w:hint="eastAsia" w:ascii="宋体" w:hAnsi="宋体" w:eastAsia="宋体" w:cs="宋体"/>
          <w:bCs/>
          <w:color w:val="000000" w:themeColor="text1"/>
          <w:sz w:val="24"/>
          <w:szCs w:val="24"/>
          <w:highlight w:val="none"/>
          <w14:textFill>
            <w14:solidFill>
              <w14:schemeClr w14:val="tx1"/>
            </w14:solidFill>
          </w14:textFill>
        </w:rPr>
        <w:t>涉及商品包装</w:t>
      </w:r>
      <w:r>
        <w:rPr>
          <w:rFonts w:hint="eastAsia" w:ascii="宋体" w:hAnsi="宋体" w:eastAsia="宋体" w:cs="宋体"/>
          <w:bCs/>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000000" w:themeColor="text1"/>
          <w:sz w:val="24"/>
          <w:szCs w:val="24"/>
          <w:highlight w:val="none"/>
          <w14:textFill>
            <w14:solidFill>
              <w14:schemeClr w14:val="tx1"/>
            </w14:solidFill>
          </w14:textFill>
        </w:rPr>
        <w:t>快递包装的，</w:t>
      </w:r>
      <w:r>
        <w:rPr>
          <w:rFonts w:hint="eastAsia" w:ascii="宋体" w:hAnsi="宋体" w:eastAsia="宋体" w:cs="宋体"/>
          <w:color w:val="000000" w:themeColor="text1"/>
          <w:sz w:val="24"/>
          <w:szCs w:val="24"/>
          <w:highlight w:val="none"/>
          <w14:textFill>
            <w14:solidFill>
              <w14:schemeClr w14:val="tx1"/>
            </w14:solidFill>
          </w14:textFill>
        </w:rPr>
        <w:t>除</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Cs/>
          <w:color w:val="000000" w:themeColor="text1"/>
          <w:sz w:val="24"/>
          <w:szCs w:val="24"/>
          <w:highlight w:val="none"/>
          <w14:textFill>
            <w14:solidFill>
              <w14:schemeClr w14:val="tx1"/>
            </w14:solidFill>
          </w14:textFill>
        </w:rPr>
        <w:t>另有</w:t>
      </w:r>
      <w:r>
        <w:rPr>
          <w:rFonts w:hint="eastAsia" w:ascii="宋体" w:hAnsi="宋体" w:eastAsia="宋体" w:cs="宋体"/>
          <w:bCs/>
          <w:color w:val="000000" w:themeColor="text1"/>
          <w:sz w:val="24"/>
          <w:szCs w:val="24"/>
          <w:highlight w:val="none"/>
          <w:lang w:eastAsia="zh-CN"/>
          <w14:textFill>
            <w14:solidFill>
              <w14:schemeClr w14:val="tx1"/>
            </w14:solidFill>
          </w14:textFill>
        </w:rPr>
        <w:t>约</w:t>
      </w:r>
      <w:r>
        <w:rPr>
          <w:rFonts w:hint="eastAsia" w:ascii="宋体" w:hAnsi="宋体" w:eastAsia="宋体" w:cs="宋体"/>
          <w:bCs/>
          <w:color w:val="000000" w:themeColor="text1"/>
          <w:sz w:val="24"/>
          <w:szCs w:val="24"/>
          <w:highlight w:val="none"/>
          <w14:textFill>
            <w14:solidFill>
              <w14:schemeClr w14:val="tx1"/>
            </w14:solidFill>
          </w14:textFill>
        </w:rPr>
        <w:t>定</w:t>
      </w:r>
      <w:r>
        <w:rPr>
          <w:rFonts w:hint="eastAsia" w:ascii="宋体" w:hAnsi="宋体" w:eastAsia="宋体" w:cs="宋体"/>
          <w:bCs/>
          <w:color w:val="000000" w:themeColor="text1"/>
          <w:sz w:val="24"/>
          <w:szCs w:val="24"/>
          <w:highlight w:val="none"/>
          <w:lang w:eastAsia="zh-CN"/>
          <w14:textFill>
            <w14:solidFill>
              <w14:schemeClr w14:val="tx1"/>
            </w14:solidFill>
          </w14:textFill>
        </w:rPr>
        <w:t>外</w:t>
      </w:r>
      <w:r>
        <w:rPr>
          <w:rFonts w:hint="eastAsia" w:ascii="宋体" w:hAnsi="宋体" w:eastAsia="宋体" w:cs="宋体"/>
          <w:bCs/>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包装应适应远距离运输、防潮、防震、防锈和防野蛮装卸等要求，确保货物安全无损地运抵</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约定的</w:t>
      </w:r>
      <w:r>
        <w:rPr>
          <w:rFonts w:hint="eastAsia" w:ascii="宋体" w:hAnsi="宋体" w:eastAsia="宋体" w:cs="宋体"/>
          <w:color w:val="000000" w:themeColor="text1"/>
          <w:sz w:val="24"/>
          <w:szCs w:val="24"/>
          <w:highlight w:val="none"/>
          <w14:textFill>
            <w14:solidFill>
              <w14:schemeClr w14:val="tx1"/>
            </w14:solidFill>
          </w14:textFill>
        </w:rPr>
        <w:t>指定现场。</w:t>
      </w:r>
    </w:p>
    <w:p w14:paraId="71C6687B">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.2 除</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Cs/>
          <w:color w:val="000000" w:themeColor="text1"/>
          <w:sz w:val="24"/>
          <w:szCs w:val="24"/>
          <w:highlight w:val="none"/>
          <w14:textFill>
            <w14:solidFill>
              <w14:schemeClr w14:val="tx1"/>
            </w14:solidFill>
          </w14:textFill>
        </w:rPr>
        <w:t>另有</w:t>
      </w:r>
      <w:r>
        <w:rPr>
          <w:rFonts w:hint="eastAsia" w:ascii="宋体" w:hAnsi="宋体" w:eastAsia="宋体" w:cs="宋体"/>
          <w:bCs/>
          <w:color w:val="000000" w:themeColor="text1"/>
          <w:sz w:val="24"/>
          <w:szCs w:val="24"/>
          <w:highlight w:val="none"/>
          <w:lang w:eastAsia="zh-CN"/>
          <w14:textFill>
            <w14:solidFill>
              <w14:schemeClr w14:val="tx1"/>
            </w14:solidFill>
          </w14:textFill>
        </w:rPr>
        <w:t>约</w:t>
      </w:r>
      <w:r>
        <w:rPr>
          <w:rFonts w:hint="eastAsia" w:ascii="宋体" w:hAnsi="宋体" w:eastAsia="宋体" w:cs="宋体"/>
          <w:bCs/>
          <w:color w:val="000000" w:themeColor="text1"/>
          <w:sz w:val="24"/>
          <w:szCs w:val="24"/>
          <w:highlight w:val="none"/>
          <w14:textFill>
            <w14:solidFill>
              <w14:schemeClr w14:val="tx1"/>
            </w14:solidFill>
          </w14:textFill>
        </w:rPr>
        <w:t>定</w:t>
      </w:r>
      <w:r>
        <w:rPr>
          <w:rFonts w:hint="eastAsia" w:ascii="宋体" w:hAnsi="宋体" w:eastAsia="宋体" w:cs="宋体"/>
          <w:bCs/>
          <w:color w:val="000000" w:themeColor="text1"/>
          <w:sz w:val="24"/>
          <w:szCs w:val="24"/>
          <w:highlight w:val="none"/>
          <w:lang w:eastAsia="zh-CN"/>
          <w14:textFill>
            <w14:solidFill>
              <w14:schemeClr w14:val="tx1"/>
            </w14:solidFill>
          </w14:textFill>
        </w:rPr>
        <w:t>外</w:t>
      </w:r>
      <w:r>
        <w:rPr>
          <w:rFonts w:hint="eastAsia" w:ascii="宋体" w:hAnsi="宋体" w:eastAsia="宋体" w:cs="宋体"/>
          <w:bCs/>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乙方负责办理将货物运抵本合同规定的交货地点</w:t>
      </w:r>
      <w:r>
        <w:rPr>
          <w:rFonts w:hint="eastAsia" w:ascii="宋体" w:hAnsi="宋体" w:eastAsia="宋体" w:cs="宋体"/>
          <w:color w:val="000000" w:themeColor="text1"/>
          <w:sz w:val="24"/>
          <w:szCs w:val="24"/>
          <w:highlight w:val="none"/>
          <w:lang w:eastAsia="zh-CN"/>
          <w14:textFill>
            <w14:solidFill>
              <w14:schemeClr w14:val="tx1"/>
            </w14:solidFill>
          </w14:textFill>
        </w:rPr>
        <w:t>，并装卸、交付至甲方</w:t>
      </w:r>
      <w:r>
        <w:rPr>
          <w:rFonts w:hint="eastAsia" w:ascii="宋体" w:hAnsi="宋体" w:eastAsia="宋体" w:cs="宋体"/>
          <w:color w:val="000000" w:themeColor="text1"/>
          <w:sz w:val="24"/>
          <w:szCs w:val="24"/>
          <w:highlight w:val="none"/>
          <w14:textFill>
            <w14:solidFill>
              <w14:schemeClr w14:val="tx1"/>
            </w14:solidFill>
          </w14:textFill>
        </w:rPr>
        <w:t>的一切运输事项，相关费用应</w:t>
      </w:r>
      <w:r>
        <w:rPr>
          <w:rFonts w:hint="eastAsia" w:ascii="宋体" w:hAnsi="宋体" w:eastAsia="宋体" w:cs="宋体"/>
          <w:color w:val="000000" w:themeColor="text1"/>
          <w:sz w:val="24"/>
          <w:szCs w:val="24"/>
          <w:highlight w:val="none"/>
          <w:lang w:eastAsia="zh-CN"/>
          <w14:textFill>
            <w14:solidFill>
              <w14:schemeClr w14:val="tx1"/>
            </w14:solidFill>
          </w14:textFill>
        </w:rPr>
        <w:t>包含</w:t>
      </w:r>
      <w:r>
        <w:rPr>
          <w:rFonts w:hint="eastAsia" w:ascii="宋体" w:hAnsi="宋体" w:eastAsia="宋体" w:cs="宋体"/>
          <w:color w:val="000000" w:themeColor="text1"/>
          <w:sz w:val="24"/>
          <w:szCs w:val="24"/>
          <w:highlight w:val="none"/>
          <w14:textFill>
            <w14:solidFill>
              <w14:schemeClr w14:val="tx1"/>
            </w14:solidFill>
          </w14:textFill>
        </w:rPr>
        <w:t>在合同</w:t>
      </w:r>
      <w:r>
        <w:rPr>
          <w:rFonts w:hint="eastAsia" w:ascii="宋体" w:hAnsi="宋体" w:eastAsia="宋体" w:cs="宋体"/>
          <w:color w:val="000000" w:themeColor="text1"/>
          <w:sz w:val="24"/>
          <w:szCs w:val="24"/>
          <w:highlight w:val="none"/>
          <w:lang w:eastAsia="zh-CN"/>
          <w14:textFill>
            <w14:solidFill>
              <w14:schemeClr w14:val="tx1"/>
            </w14:solidFill>
          </w14:textFill>
        </w:rPr>
        <w:t>价款</w:t>
      </w:r>
      <w:r>
        <w:rPr>
          <w:rFonts w:hint="eastAsia" w:ascii="宋体" w:hAnsi="宋体" w:eastAsia="宋体" w:cs="宋体"/>
          <w:color w:val="000000" w:themeColor="text1"/>
          <w:sz w:val="24"/>
          <w:szCs w:val="24"/>
          <w:highlight w:val="none"/>
          <w14:textFill>
            <w14:solidFill>
              <w14:schemeClr w14:val="tx1"/>
            </w14:solidFill>
          </w14:textFill>
        </w:rPr>
        <w:t>中。</w:t>
      </w:r>
    </w:p>
    <w:p w14:paraId="12964841">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.3 货物保险要求按</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Cs/>
          <w:color w:val="000000" w:themeColor="text1"/>
          <w:sz w:val="24"/>
          <w:szCs w:val="24"/>
          <w:highlight w:val="none"/>
          <w14:textFill>
            <w14:solidFill>
              <w14:schemeClr w14:val="tx1"/>
            </w14:solidFill>
          </w14:textFill>
        </w:rPr>
        <w:t>规定执行</w:t>
      </w:r>
      <w:r>
        <w:rPr>
          <w:rFonts w:hint="eastAsia" w:ascii="宋体" w:hAnsi="宋体" w:eastAsia="宋体" w:cs="宋体"/>
          <w:color w:val="000000" w:themeColor="text1"/>
          <w:sz w:val="24"/>
          <w:szCs w:val="24"/>
          <w:highlight w:val="none"/>
          <w14:textFill>
            <w14:solidFill>
              <w14:schemeClr w14:val="tx1"/>
            </w14:solidFill>
          </w14:textFill>
        </w:rPr>
        <w:t>。</w:t>
      </w:r>
    </w:p>
    <w:p w14:paraId="28087D0D">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 xml:space="preserve">.4 </w:t>
      </w:r>
      <w:r>
        <w:rPr>
          <w:rFonts w:hint="eastAsia" w:ascii="宋体" w:hAnsi="宋体" w:eastAsia="宋体" w:cs="宋体"/>
          <w:color w:val="000000" w:themeColor="text1"/>
          <w:sz w:val="24"/>
          <w:szCs w:val="24"/>
          <w:highlight w:val="none"/>
          <w:lang w:val="en-US" w:eastAsia="zh-CN"/>
          <w14:textFill>
            <w14:solidFill>
              <w14:schemeClr w14:val="tx1"/>
            </w14:solidFill>
          </w14:textFill>
        </w:rPr>
        <w:t>除采购活动</w:t>
      </w:r>
      <w:r>
        <w:rPr>
          <w:rFonts w:hint="eastAsia" w:ascii="宋体" w:hAnsi="宋体" w:eastAsia="宋体" w:cs="宋体"/>
          <w:color w:val="000000" w:themeColor="text1"/>
          <w:sz w:val="24"/>
          <w:szCs w:val="24"/>
          <w:highlight w:val="none"/>
          <w14:textFill>
            <w14:solidFill>
              <w14:schemeClr w14:val="tx1"/>
            </w14:solidFill>
          </w14:textFill>
        </w:rPr>
        <w:t>对商品包装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快递包装</w:t>
      </w:r>
      <w:r>
        <w:rPr>
          <w:rFonts w:hint="eastAsia" w:ascii="宋体" w:hAnsi="宋体" w:eastAsia="宋体" w:cs="宋体"/>
          <w:color w:val="000000" w:themeColor="text1"/>
          <w:sz w:val="24"/>
          <w:szCs w:val="24"/>
          <w:highlight w:val="none"/>
          <w:lang w:val="en-US" w:eastAsia="zh-CN"/>
          <w14:textFill>
            <w14:solidFill>
              <w14:schemeClr w14:val="tx1"/>
            </w14:solidFill>
          </w14:textFill>
        </w:rPr>
        <w:t>达成具体约定外</w:t>
      </w:r>
      <w:r>
        <w:rPr>
          <w:rFonts w:hint="eastAsia" w:ascii="宋体" w:hAnsi="宋体" w:eastAsia="宋体" w:cs="宋体"/>
          <w:color w:val="000000" w:themeColor="text1"/>
          <w:sz w:val="24"/>
          <w:szCs w:val="24"/>
          <w:highlight w:val="none"/>
          <w14:textFill>
            <w14:solidFill>
              <w14:schemeClr w14:val="tx1"/>
            </w14:solidFill>
          </w14:textFill>
        </w:rPr>
        <w:t>，乙方提供产品及相关快递服务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涉及到</w:t>
      </w:r>
      <w:r>
        <w:rPr>
          <w:rFonts w:hint="eastAsia" w:ascii="宋体" w:hAnsi="宋体" w:eastAsia="宋体" w:cs="宋体"/>
          <w:color w:val="000000" w:themeColor="text1"/>
          <w:sz w:val="24"/>
          <w:szCs w:val="24"/>
          <w:highlight w:val="none"/>
          <w14:textFill>
            <w14:solidFill>
              <w14:schemeClr w14:val="tx1"/>
            </w14:solidFill>
          </w14:textFill>
        </w:rPr>
        <w:t>具体包装要求</w:t>
      </w:r>
      <w:r>
        <w:rPr>
          <w:rFonts w:hint="eastAsia" w:ascii="宋体" w:hAnsi="宋体" w:eastAsia="宋体" w:cs="宋体"/>
          <w:color w:val="000000" w:themeColor="text1"/>
          <w:sz w:val="24"/>
          <w:szCs w:val="24"/>
          <w:highlight w:val="none"/>
          <w:lang w:val="en-US" w:eastAsia="zh-CN"/>
          <w14:textFill>
            <w14:solidFill>
              <w14:schemeClr w14:val="tx1"/>
            </w14:solidFill>
          </w14:textFill>
        </w:rPr>
        <w:t>的，</w:t>
      </w:r>
      <w:r>
        <w:rPr>
          <w:rFonts w:hint="eastAsia" w:ascii="宋体" w:hAnsi="宋体" w:eastAsia="宋体" w:cs="宋体"/>
          <w:color w:val="000000" w:themeColor="text1"/>
          <w:sz w:val="24"/>
          <w:szCs w:val="24"/>
          <w:highlight w:val="none"/>
          <w14:textFill>
            <w14:solidFill>
              <w14:schemeClr w14:val="tx1"/>
            </w14:solidFill>
          </w14:textFill>
        </w:rPr>
        <w:t>应</w:t>
      </w:r>
      <w:r>
        <w:rPr>
          <w:rFonts w:hint="eastAsia" w:ascii="宋体" w:hAnsi="宋体" w:eastAsia="宋体" w:cs="宋体"/>
          <w:color w:val="000000" w:themeColor="text1"/>
          <w:sz w:val="24"/>
          <w:szCs w:val="24"/>
          <w:highlight w:val="none"/>
          <w:lang w:val="en-US" w:eastAsia="zh-CN"/>
          <w14:textFill>
            <w14:solidFill>
              <w14:schemeClr w14:val="tx1"/>
            </w14:solidFill>
          </w14:textFill>
        </w:rPr>
        <w:t>不低于</w:t>
      </w:r>
      <w:r>
        <w:rPr>
          <w:rFonts w:hint="eastAsia" w:ascii="宋体" w:hAnsi="宋体" w:eastAsia="宋体" w:cs="宋体"/>
          <w:color w:val="000000" w:themeColor="text1"/>
          <w:sz w:val="24"/>
          <w:szCs w:val="24"/>
          <w:highlight w:val="none"/>
          <w14:textFill>
            <w14:solidFill>
              <w14:schemeClr w14:val="tx1"/>
            </w14:solidFill>
          </w14:textFill>
        </w:rPr>
        <w:t>《商品包装政府采购需求标准（试行）</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快递包装政府采购需求标准（试行）》</w:t>
      </w:r>
      <w:r>
        <w:rPr>
          <w:rFonts w:hint="eastAsia" w:ascii="宋体" w:hAnsi="宋体" w:eastAsia="宋体" w:cs="宋体"/>
          <w:color w:val="000000" w:themeColor="text1"/>
          <w:sz w:val="24"/>
          <w:szCs w:val="24"/>
          <w:highlight w:val="none"/>
          <w:lang w:val="en-US" w:eastAsia="zh-CN"/>
          <w14:textFill>
            <w14:solidFill>
              <w14:schemeClr w14:val="tx1"/>
            </w14:solidFill>
          </w14:textFill>
        </w:rPr>
        <w:t>标准</w:t>
      </w:r>
      <w:r>
        <w:rPr>
          <w:rFonts w:hint="eastAsia" w:ascii="宋体" w:hAnsi="宋体" w:eastAsia="宋体" w:cs="宋体"/>
          <w:color w:val="000000" w:themeColor="text1"/>
          <w:sz w:val="24"/>
          <w:szCs w:val="24"/>
          <w:highlight w:val="none"/>
          <w14:textFill>
            <w14:solidFill>
              <w14:schemeClr w14:val="tx1"/>
            </w14:solidFill>
          </w14:textFill>
        </w:rPr>
        <w:t>，并作为履约验收的内容，必要时甲方可以要求乙方在履约验收环节出具检测报告。</w:t>
      </w:r>
    </w:p>
    <w:p w14:paraId="355B2D33">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7.5 </w:t>
      </w:r>
      <w:r>
        <w:rPr>
          <w:rFonts w:hint="eastAsia" w:ascii="宋体" w:hAnsi="宋体" w:eastAsia="宋体" w:cs="宋体"/>
          <w:color w:val="000000" w:themeColor="text1"/>
          <w:sz w:val="24"/>
          <w:szCs w:val="24"/>
          <w14:textFill>
            <w14:solidFill>
              <w14:schemeClr w14:val="tx1"/>
            </w14:solidFill>
          </w14:textFill>
        </w:rPr>
        <w:t>乙方在运输到达之前</w:t>
      </w:r>
      <w:r>
        <w:rPr>
          <w:rFonts w:hint="eastAsia" w:ascii="宋体" w:hAnsi="宋体" w:eastAsia="宋体" w:cs="宋体"/>
          <w:color w:val="000000" w:themeColor="text1"/>
          <w:sz w:val="24"/>
          <w:szCs w:val="24"/>
          <w:lang w:eastAsia="zh-CN"/>
          <w14:textFill>
            <w14:solidFill>
              <w14:schemeClr w14:val="tx1"/>
            </w14:solidFill>
          </w14:textFill>
        </w:rPr>
        <w:t>应</w:t>
      </w:r>
      <w:r>
        <w:rPr>
          <w:rFonts w:hint="eastAsia" w:ascii="宋体" w:hAnsi="宋体" w:eastAsia="宋体" w:cs="宋体"/>
          <w:color w:val="000000" w:themeColor="text1"/>
          <w:sz w:val="24"/>
          <w:szCs w:val="24"/>
          <w14:textFill>
            <w14:solidFill>
              <w14:schemeClr w14:val="tx1"/>
            </w14:solidFill>
          </w14:textFill>
        </w:rPr>
        <w:t>提前通知</w:t>
      </w:r>
      <w:r>
        <w:rPr>
          <w:rFonts w:hint="eastAsia" w:ascii="宋体" w:hAnsi="宋体" w:eastAsia="宋体" w:cs="宋体"/>
          <w:color w:val="000000" w:themeColor="text1"/>
          <w:sz w:val="24"/>
          <w:szCs w:val="24"/>
          <w:lang w:eastAsia="zh-CN"/>
          <w14:textFill>
            <w14:solidFill>
              <w14:schemeClr w14:val="tx1"/>
            </w14:solidFill>
          </w14:textFill>
        </w:rPr>
        <w:t>甲方</w:t>
      </w:r>
      <w:r>
        <w:rPr>
          <w:rFonts w:hint="eastAsia" w:ascii="宋体" w:hAnsi="宋体" w:eastAsia="宋体" w:cs="宋体"/>
          <w:color w:val="000000" w:themeColor="text1"/>
          <w:sz w:val="24"/>
          <w:szCs w:val="24"/>
          <w14:textFill>
            <w14:solidFill>
              <w14:schemeClr w14:val="tx1"/>
            </w14:solidFill>
          </w14:textFill>
        </w:rPr>
        <w:t>，并提示货物运输装卸的注意事项</w:t>
      </w:r>
      <w:r>
        <w:rPr>
          <w:rFonts w:hint="eastAsia" w:ascii="宋体" w:hAnsi="宋体" w:eastAsia="宋体" w:cs="宋体"/>
          <w:color w:val="000000" w:themeColor="text1"/>
          <w:sz w:val="24"/>
          <w:szCs w:val="24"/>
          <w:lang w:eastAsia="zh-CN"/>
          <w14:textFill>
            <w14:solidFill>
              <w14:schemeClr w14:val="tx1"/>
            </w14:solidFill>
          </w14:textFill>
        </w:rPr>
        <w:t>，甲方配合乙方做好货物的接收工作。</w:t>
      </w:r>
    </w:p>
    <w:p w14:paraId="7582BAC5">
      <w:pPr>
        <w:pStyle w:val="113"/>
        <w:pageBreakBefore w:val="0"/>
        <w:kinsoku/>
        <w:wordWrap/>
        <w:overflowPunct/>
        <w:topLinePunct w:val="0"/>
        <w:bidi w:val="0"/>
        <w:spacing w:line="56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7.6 </w:t>
      </w:r>
      <w:r>
        <w:rPr>
          <w:rFonts w:hint="eastAsia" w:ascii="宋体" w:hAnsi="宋体" w:eastAsia="宋体" w:cs="宋体"/>
          <w:color w:val="000000" w:themeColor="text1"/>
          <w:kern w:val="2"/>
          <w:sz w:val="24"/>
          <w:szCs w:val="24"/>
          <w:highlight w:val="none"/>
          <w14:textFill>
            <w14:solidFill>
              <w14:schemeClr w14:val="tx1"/>
            </w14:solidFill>
          </w14:textFill>
        </w:rPr>
        <w:t>如因包装</w:t>
      </w:r>
      <w:r>
        <w:rPr>
          <w:rFonts w:hint="eastAsia" w:ascii="宋体" w:hAnsi="宋体" w:eastAsia="宋体" w:cs="宋体"/>
          <w:color w:val="000000" w:themeColor="text1"/>
          <w:kern w:val="2"/>
          <w:sz w:val="24"/>
          <w:szCs w:val="24"/>
          <w:highlight w:val="none"/>
          <w:lang w:eastAsia="zh-CN"/>
          <w14:textFill>
            <w14:solidFill>
              <w14:schemeClr w14:val="tx1"/>
            </w14:solidFill>
          </w14:textFill>
        </w:rPr>
        <w:t>、运输</w:t>
      </w:r>
      <w:r>
        <w:rPr>
          <w:rFonts w:hint="eastAsia" w:ascii="宋体" w:hAnsi="宋体" w:eastAsia="宋体" w:cs="宋体"/>
          <w:color w:val="000000" w:themeColor="text1"/>
          <w:kern w:val="2"/>
          <w:sz w:val="24"/>
          <w:szCs w:val="24"/>
          <w:highlight w:val="none"/>
          <w14:textFill>
            <w14:solidFill>
              <w14:schemeClr w14:val="tx1"/>
            </w14:solidFill>
          </w14:textFill>
        </w:rPr>
        <w:t>问题导致货物</w:t>
      </w:r>
      <w:r>
        <w:rPr>
          <w:rFonts w:hint="eastAsia" w:ascii="宋体" w:hAnsi="宋体" w:eastAsia="宋体" w:cs="宋体"/>
          <w:color w:val="000000" w:themeColor="text1"/>
          <w:kern w:val="2"/>
          <w:sz w:val="24"/>
          <w:szCs w:val="24"/>
          <w:highlight w:val="none"/>
          <w:lang w:eastAsia="zh-CN"/>
          <w14:textFill>
            <w14:solidFill>
              <w14:schemeClr w14:val="tx1"/>
            </w14:solidFill>
          </w14:textFill>
        </w:rPr>
        <w:t>损毁、丢失</w:t>
      </w:r>
      <w:r>
        <w:rPr>
          <w:rFonts w:hint="eastAsia" w:ascii="宋体" w:hAnsi="宋体" w:eastAsia="宋体" w:cs="宋体"/>
          <w:color w:val="000000" w:themeColor="text1"/>
          <w:kern w:val="2"/>
          <w:sz w:val="24"/>
          <w:szCs w:val="24"/>
          <w:highlight w:val="none"/>
          <w14:textFill>
            <w14:solidFill>
              <w14:schemeClr w14:val="tx1"/>
            </w14:solidFill>
          </w14:textFill>
        </w:rPr>
        <w:t>或者品质下降，</w:t>
      </w:r>
      <w:r>
        <w:rPr>
          <w:rFonts w:hint="eastAsia" w:ascii="宋体" w:hAnsi="宋体" w:eastAsia="宋体" w:cs="宋体"/>
          <w:color w:val="000000" w:themeColor="text1"/>
          <w:kern w:val="2"/>
          <w:sz w:val="24"/>
          <w:szCs w:val="24"/>
          <w:highlight w:val="none"/>
          <w:lang w:eastAsia="zh-CN"/>
          <w14:textFill>
            <w14:solidFill>
              <w14:schemeClr w14:val="tx1"/>
            </w14:solidFill>
          </w14:textFill>
        </w:rPr>
        <w:t>甲方</w:t>
      </w:r>
      <w:r>
        <w:rPr>
          <w:rFonts w:hint="eastAsia" w:ascii="宋体" w:hAnsi="宋体" w:eastAsia="宋体" w:cs="宋体"/>
          <w:color w:val="000000" w:themeColor="text1"/>
          <w:kern w:val="2"/>
          <w:sz w:val="24"/>
          <w:szCs w:val="24"/>
          <w:highlight w:val="none"/>
          <w14:textFill>
            <w14:solidFill>
              <w14:schemeClr w14:val="tx1"/>
            </w14:solidFill>
          </w14:textFill>
        </w:rPr>
        <w:t>有权要求降价、换货、拒收部分或整批货物，由此</w:t>
      </w:r>
      <w:r>
        <w:rPr>
          <w:rFonts w:hint="eastAsia" w:ascii="宋体" w:hAnsi="宋体" w:eastAsia="宋体" w:cs="宋体"/>
          <w:color w:val="000000" w:themeColor="text1"/>
          <w:kern w:val="2"/>
          <w:sz w:val="24"/>
          <w:szCs w:val="24"/>
          <w:highlight w:val="none"/>
          <w:lang w:eastAsia="zh-CN"/>
          <w14:textFill>
            <w14:solidFill>
              <w14:schemeClr w14:val="tx1"/>
            </w14:solidFill>
          </w14:textFill>
        </w:rPr>
        <w:t>产生</w:t>
      </w:r>
      <w:r>
        <w:rPr>
          <w:rFonts w:hint="eastAsia" w:ascii="宋体" w:hAnsi="宋体" w:eastAsia="宋体" w:cs="宋体"/>
          <w:color w:val="000000" w:themeColor="text1"/>
          <w:kern w:val="2"/>
          <w:sz w:val="24"/>
          <w:szCs w:val="24"/>
          <w:highlight w:val="none"/>
          <w14:textFill>
            <w14:solidFill>
              <w14:schemeClr w14:val="tx1"/>
            </w14:solidFill>
          </w14:textFill>
        </w:rPr>
        <w:t>的费用和损失，均由</w:t>
      </w:r>
      <w:r>
        <w:rPr>
          <w:rFonts w:hint="eastAsia" w:ascii="宋体" w:hAnsi="宋体" w:eastAsia="宋体" w:cs="宋体"/>
          <w:color w:val="000000" w:themeColor="text1"/>
          <w:kern w:val="2"/>
          <w:sz w:val="24"/>
          <w:szCs w:val="24"/>
          <w:highlight w:val="none"/>
          <w:lang w:eastAsia="zh-CN"/>
          <w14:textFill>
            <w14:solidFill>
              <w14:schemeClr w14:val="tx1"/>
            </w14:solidFill>
          </w14:textFill>
        </w:rPr>
        <w:t>乙方</w:t>
      </w:r>
      <w:r>
        <w:rPr>
          <w:rFonts w:hint="eastAsia" w:ascii="宋体" w:hAnsi="宋体" w:eastAsia="宋体" w:cs="宋体"/>
          <w:color w:val="000000" w:themeColor="text1"/>
          <w:kern w:val="2"/>
          <w:sz w:val="24"/>
          <w:szCs w:val="24"/>
          <w:highlight w:val="none"/>
          <w14:textFill>
            <w14:solidFill>
              <w14:schemeClr w14:val="tx1"/>
            </w14:solidFill>
          </w14:textFill>
        </w:rPr>
        <w:t>承担。</w:t>
      </w:r>
    </w:p>
    <w:p w14:paraId="75A57AC0">
      <w:pPr>
        <w:pageBreakBefore w:val="0"/>
        <w:kinsoku/>
        <w:wordWrap/>
        <w:overflowPunct/>
        <w:topLinePunct w:val="0"/>
        <w:bidi w:val="0"/>
        <w:adjustRightInd w:val="0"/>
        <w:snapToGrid w:val="0"/>
        <w:spacing w:before="0" w:line="560" w:lineRule="exact"/>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eastAsia="zh-CN"/>
          <w14:textFill>
            <w14:solidFill>
              <w14:schemeClr w14:val="tx1"/>
            </w14:solidFill>
          </w14:textFill>
        </w:rPr>
        <w:t>8</w:t>
      </w:r>
      <w:r>
        <w:rPr>
          <w:rFonts w:hint="eastAsia" w:ascii="宋体" w:hAnsi="宋体" w:eastAsia="宋体" w:cs="宋体"/>
          <w:b/>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szCs w:val="24"/>
          <w:highlight w:val="none"/>
          <w14:textFill>
            <w14:solidFill>
              <w14:schemeClr w14:val="tx1"/>
            </w14:solidFill>
          </w14:textFill>
        </w:rPr>
        <w:t>质量标准和保证</w:t>
      </w:r>
    </w:p>
    <w:p w14:paraId="01C1055F">
      <w:pPr>
        <w:pStyle w:val="16"/>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.1 质量标准</w:t>
      </w:r>
    </w:p>
    <w:p w14:paraId="281E87B5">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（1）本合同下</w:t>
      </w:r>
      <w:r>
        <w:rPr>
          <w:rFonts w:hint="eastAsia" w:ascii="宋体" w:hAnsi="宋体" w:eastAsia="宋体" w:cs="宋体"/>
          <w:color w:val="000000" w:themeColor="text1"/>
          <w:sz w:val="24"/>
          <w:szCs w:val="24"/>
          <w:highlight w:val="none"/>
          <w:lang w:eastAsia="zh-CN"/>
          <w14:textFill>
            <w14:solidFill>
              <w14:schemeClr w14:val="tx1"/>
            </w14:solidFill>
          </w14:textFill>
        </w:rPr>
        <w:t>提供</w:t>
      </w:r>
      <w:r>
        <w:rPr>
          <w:rFonts w:hint="eastAsia" w:ascii="宋体" w:hAnsi="宋体" w:eastAsia="宋体" w:cs="宋体"/>
          <w:color w:val="000000" w:themeColor="text1"/>
          <w:sz w:val="24"/>
          <w:szCs w:val="24"/>
          <w:highlight w:val="none"/>
          <w14:textFill>
            <w14:solidFill>
              <w14:schemeClr w14:val="tx1"/>
            </w14:solidFill>
          </w14:textFill>
        </w:rPr>
        <w:t>的货物应符合</w:t>
      </w:r>
      <w:r>
        <w:rPr>
          <w:rFonts w:hint="eastAsia" w:ascii="宋体" w:hAnsi="宋体" w:eastAsia="宋体" w:cs="宋体"/>
          <w:color w:val="000000" w:themeColor="text1"/>
          <w:sz w:val="24"/>
          <w:szCs w:val="24"/>
          <w:highlight w:val="none"/>
          <w:lang w:eastAsia="zh-CN"/>
          <w14:textFill>
            <w14:solidFill>
              <w14:schemeClr w14:val="tx1"/>
            </w14:solidFill>
          </w14:textFill>
        </w:rPr>
        <w:t>合同</w:t>
      </w:r>
      <w:r>
        <w:rPr>
          <w:rFonts w:hint="eastAsia" w:ascii="宋体" w:hAnsi="宋体" w:eastAsia="宋体" w:cs="宋体"/>
          <w:color w:val="000000" w:themeColor="text1"/>
          <w:sz w:val="24"/>
          <w:szCs w:val="24"/>
          <w:lang w:eastAsia="zh-CN"/>
          <w14:textFill>
            <w14:solidFill>
              <w14:schemeClr w14:val="tx1"/>
            </w14:solidFill>
          </w14:textFill>
        </w:rPr>
        <w:t>约</w:t>
      </w:r>
      <w:r>
        <w:rPr>
          <w:rFonts w:hint="eastAsia" w:ascii="宋体" w:hAnsi="宋体" w:eastAsia="宋体" w:cs="宋体"/>
          <w:color w:val="000000" w:themeColor="text1"/>
          <w:sz w:val="24"/>
          <w:szCs w:val="24"/>
          <w14:textFill>
            <w14:solidFill>
              <w14:schemeClr w14:val="tx1"/>
            </w14:solidFill>
          </w14:textFill>
        </w:rPr>
        <w:t>定的品牌、规格型号、技术性能、配置、质量、数量等要求。</w:t>
      </w:r>
      <w:r>
        <w:rPr>
          <w:rFonts w:hint="eastAsia" w:ascii="宋体" w:hAnsi="宋体" w:eastAsia="宋体" w:cs="宋体"/>
          <w:color w:val="000000" w:themeColor="text1"/>
          <w:sz w:val="24"/>
          <w:szCs w:val="24"/>
          <w:highlight w:val="none"/>
          <w14:textFill>
            <w14:solidFill>
              <w14:schemeClr w14:val="tx1"/>
            </w14:solidFill>
          </w14:textFill>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9279669">
      <w:pPr>
        <w:pStyle w:val="16"/>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（2）采用中华人民共和国法定计量单位。</w:t>
      </w:r>
    </w:p>
    <w:p w14:paraId="635A942F">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（3）乙方所</w:t>
      </w:r>
      <w:r>
        <w:rPr>
          <w:rFonts w:hint="eastAsia" w:ascii="宋体" w:hAnsi="宋体" w:eastAsia="宋体" w:cs="宋体"/>
          <w:color w:val="000000" w:themeColor="text1"/>
          <w:sz w:val="24"/>
          <w:szCs w:val="24"/>
          <w:highlight w:val="none"/>
          <w:lang w:eastAsia="zh-CN"/>
          <w14:textFill>
            <w14:solidFill>
              <w14:schemeClr w14:val="tx1"/>
            </w14:solidFill>
          </w14:textFill>
        </w:rPr>
        <w:t>提供</w:t>
      </w:r>
      <w:r>
        <w:rPr>
          <w:rFonts w:hint="eastAsia" w:ascii="宋体" w:hAnsi="宋体" w:eastAsia="宋体" w:cs="宋体"/>
          <w:color w:val="000000" w:themeColor="text1"/>
          <w:sz w:val="24"/>
          <w:szCs w:val="24"/>
          <w:highlight w:val="none"/>
          <w14:textFill>
            <w14:solidFill>
              <w14:schemeClr w14:val="tx1"/>
            </w14:solidFill>
          </w14:textFill>
        </w:rPr>
        <w:t>的货物应符合国家有关安全、环保、卫生</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14:textFill>
            <w14:solidFill>
              <w14:schemeClr w14:val="tx1"/>
            </w14:solidFill>
          </w14:textFill>
        </w:rPr>
        <w:t>规定。</w:t>
      </w:r>
    </w:p>
    <w:p w14:paraId="18004FCF">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（4）乙方应向甲方提交所</w:t>
      </w:r>
      <w:r>
        <w:rPr>
          <w:rFonts w:hint="eastAsia" w:ascii="宋体" w:hAnsi="宋体" w:eastAsia="宋体" w:cs="宋体"/>
          <w:color w:val="000000" w:themeColor="text1"/>
          <w:sz w:val="24"/>
          <w:szCs w:val="24"/>
          <w:highlight w:val="none"/>
          <w:lang w:eastAsia="zh-CN"/>
          <w14:textFill>
            <w14:solidFill>
              <w14:schemeClr w14:val="tx1"/>
            </w14:solidFill>
          </w14:textFill>
        </w:rPr>
        <w:t>提供</w:t>
      </w:r>
      <w:r>
        <w:rPr>
          <w:rFonts w:hint="eastAsia" w:ascii="宋体" w:hAnsi="宋体" w:eastAsia="宋体" w:cs="宋体"/>
          <w:color w:val="000000" w:themeColor="text1"/>
          <w:sz w:val="24"/>
          <w:szCs w:val="24"/>
          <w:highlight w:val="none"/>
          <w14:textFill>
            <w14:solidFill>
              <w14:schemeClr w14:val="tx1"/>
            </w14:solidFill>
          </w14:textFill>
        </w:rPr>
        <w:t>货物的技术文件，包括相应的中文技术文件，如：产品目录、图纸、操作手册、使用说明、维护手册或服务指南</w:t>
      </w:r>
      <w:r>
        <w:rPr>
          <w:rFonts w:hint="eastAsia" w:ascii="宋体" w:hAnsi="宋体" w:eastAsia="宋体" w:cs="宋体"/>
          <w:color w:val="000000" w:themeColor="text1"/>
          <w:sz w:val="24"/>
          <w:szCs w:val="24"/>
          <w:highlight w:val="none"/>
          <w:lang w:eastAsia="zh-CN"/>
          <w14:textFill>
            <w14:solidFill>
              <w14:schemeClr w14:val="tx1"/>
            </w14:solidFill>
          </w14:textFill>
        </w:rPr>
        <w:t>等</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上述</w:t>
      </w:r>
      <w:r>
        <w:rPr>
          <w:rFonts w:hint="eastAsia" w:ascii="宋体" w:hAnsi="宋体" w:eastAsia="宋体" w:cs="宋体"/>
          <w:color w:val="000000" w:themeColor="text1"/>
          <w:sz w:val="24"/>
          <w:szCs w:val="24"/>
          <w:highlight w:val="none"/>
          <w14:textFill>
            <w14:solidFill>
              <w14:schemeClr w14:val="tx1"/>
            </w14:solidFill>
          </w14:textFill>
        </w:rPr>
        <w:t>文件应包装好随货物一同发运。</w:t>
      </w:r>
    </w:p>
    <w:p w14:paraId="49685B72">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.2 保证</w:t>
      </w:r>
    </w:p>
    <w:p w14:paraId="7DC223DC">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（1）乙方应保证</w:t>
      </w:r>
      <w:r>
        <w:rPr>
          <w:rFonts w:hint="eastAsia" w:ascii="宋体" w:hAnsi="宋体" w:eastAsia="宋体" w:cs="宋体"/>
          <w:color w:val="000000" w:themeColor="text1"/>
          <w:sz w:val="24"/>
          <w:szCs w:val="24"/>
          <w:highlight w:val="none"/>
          <w:lang w:eastAsia="zh-CN"/>
          <w14:textFill>
            <w14:solidFill>
              <w14:schemeClr w14:val="tx1"/>
            </w14:solidFill>
          </w14:textFill>
        </w:rPr>
        <w:t>提供的货物</w:t>
      </w:r>
      <w:r>
        <w:rPr>
          <w:rFonts w:hint="eastAsia" w:ascii="宋体" w:hAnsi="宋体" w:eastAsia="宋体" w:cs="宋体"/>
          <w:color w:val="000000" w:themeColor="text1"/>
          <w:sz w:val="24"/>
          <w:szCs w:val="24"/>
          <w:highlight w:val="none"/>
          <w14:textFill>
            <w14:solidFill>
              <w14:schemeClr w14:val="tx1"/>
            </w14:solidFill>
          </w14:textFill>
        </w:rPr>
        <w:t>完全符合合同规定的质量、规格和性能要求。乙方应保证货物在正确安装、正常使用和保养条件下，</w:t>
      </w:r>
      <w:r>
        <w:rPr>
          <w:rFonts w:hint="eastAsia" w:ascii="宋体" w:hAnsi="宋体" w:eastAsia="宋体" w:cs="宋体"/>
          <w:color w:val="000000" w:themeColor="text1"/>
          <w:sz w:val="24"/>
          <w:szCs w:val="24"/>
          <w14:textFill>
            <w14:solidFill>
              <w14:schemeClr w14:val="tx1"/>
            </w14:solidFill>
          </w14:textFill>
        </w:rPr>
        <w:t>在其使用寿命期内具</w:t>
      </w:r>
      <w:r>
        <w:rPr>
          <w:rFonts w:hint="eastAsia" w:ascii="宋体" w:hAnsi="宋体" w:eastAsia="宋体" w:cs="宋体"/>
          <w:color w:val="000000" w:themeColor="text1"/>
          <w:sz w:val="24"/>
          <w:szCs w:val="24"/>
          <w:lang w:eastAsia="zh-CN"/>
          <w14:textFill>
            <w14:solidFill>
              <w14:schemeClr w14:val="tx1"/>
            </w14:solidFill>
          </w14:textFill>
        </w:rPr>
        <w:t>备合同约定</w:t>
      </w:r>
      <w:r>
        <w:rPr>
          <w:rFonts w:hint="eastAsia" w:ascii="宋体" w:hAnsi="宋体" w:eastAsia="宋体" w:cs="宋体"/>
          <w:color w:val="000000" w:themeColor="text1"/>
          <w:sz w:val="24"/>
          <w:szCs w:val="24"/>
          <w14:textFill>
            <w14:solidFill>
              <w14:schemeClr w14:val="tx1"/>
            </w14:solidFill>
          </w14:textFill>
        </w:rPr>
        <w:t>的性能</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存在</w:t>
      </w:r>
      <w:r>
        <w:rPr>
          <w:rFonts w:hint="eastAsia" w:ascii="宋体" w:hAnsi="宋体" w:eastAsia="宋体" w:cs="宋体"/>
          <w:color w:val="000000" w:themeColor="text1"/>
          <w:sz w:val="24"/>
          <w:szCs w:val="24"/>
          <w:highlight w:val="none"/>
          <w14:textFill>
            <w14:solidFill>
              <w14:schemeClr w14:val="tx1"/>
            </w14:solidFill>
          </w14:textFill>
        </w:rPr>
        <w:t>质量保证期的，货物最终交付验收</w:t>
      </w:r>
      <w:r>
        <w:rPr>
          <w:rFonts w:hint="eastAsia" w:ascii="宋体" w:hAnsi="宋体" w:eastAsia="宋体" w:cs="宋体"/>
          <w:color w:val="000000" w:themeColor="text1"/>
          <w:sz w:val="24"/>
          <w:szCs w:val="24"/>
          <w:highlight w:val="none"/>
          <w:lang w:eastAsia="zh-CN"/>
          <w14:textFill>
            <w14:solidFill>
              <w14:schemeClr w14:val="tx1"/>
            </w14:solidFill>
          </w14:textFill>
        </w:rPr>
        <w:t>合格</w:t>
      </w:r>
      <w:r>
        <w:rPr>
          <w:rFonts w:hint="eastAsia" w:ascii="宋体" w:hAnsi="宋体" w:eastAsia="宋体" w:cs="宋体"/>
          <w:color w:val="000000" w:themeColor="text1"/>
          <w:sz w:val="24"/>
          <w:szCs w:val="24"/>
          <w:highlight w:val="none"/>
          <w14:textFill>
            <w14:solidFill>
              <w14:schemeClr w14:val="tx1"/>
            </w14:solidFill>
          </w14:textFill>
        </w:rPr>
        <w:t>后</w:t>
      </w:r>
      <w:r>
        <w:rPr>
          <w:rFonts w:hint="eastAsia" w:ascii="宋体" w:hAnsi="宋体" w:eastAsia="宋体" w:cs="宋体"/>
          <w:color w:val="000000" w:themeColor="text1"/>
          <w:sz w:val="24"/>
          <w:szCs w:val="24"/>
          <w:highlight w:val="none"/>
          <w:lang w:eastAsia="zh-CN"/>
          <w14:textFill>
            <w14:solidFill>
              <w14:schemeClr w14:val="tx1"/>
            </w14:solidFill>
          </w14:textFill>
        </w:rPr>
        <w:t>在</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规定或乙方</w:t>
      </w:r>
      <w:r>
        <w:rPr>
          <w:rFonts w:hint="eastAsia" w:ascii="宋体" w:hAnsi="宋体" w:eastAsia="宋体" w:cs="宋体"/>
          <w:color w:val="000000" w:themeColor="text1"/>
          <w:sz w:val="24"/>
          <w:szCs w:val="24"/>
          <w:highlight w:val="none"/>
          <w:lang w:eastAsia="zh-CN"/>
          <w14:textFill>
            <w14:solidFill>
              <w14:schemeClr w14:val="tx1"/>
            </w14:solidFill>
          </w14:textFill>
        </w:rPr>
        <w:t>书面</w:t>
      </w:r>
      <w:r>
        <w:rPr>
          <w:rFonts w:hint="eastAsia" w:ascii="宋体" w:hAnsi="宋体" w:eastAsia="宋体" w:cs="宋体"/>
          <w:color w:val="000000" w:themeColor="text1"/>
          <w:sz w:val="24"/>
          <w:szCs w:val="24"/>
          <w:highlight w:val="none"/>
          <w14:textFill>
            <w14:solidFill>
              <w14:schemeClr w14:val="tx1"/>
            </w14:solidFill>
          </w14:textFill>
        </w:rPr>
        <w:t>承诺（两者以较长的为准）的质量保证期内，本保证保持有效。</w:t>
      </w:r>
    </w:p>
    <w:p w14:paraId="59764D50">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（2）在质量保证期内所发现的缺陷，甲方应尽快以书面形式通知乙方。</w:t>
      </w:r>
    </w:p>
    <w:p w14:paraId="421C4737">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（3）乙方收到通知后</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应在</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规定的响应时间内以合理的速度免费维修或更换有缺陷的货物或部件。</w:t>
      </w:r>
    </w:p>
    <w:p w14:paraId="48365B25">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（4）在质量保证期内，如果货物的质量或规格与合同不符，或证实货物是有缺陷的，包括潜在的缺陷或使用不符合要求的材料等，甲方可以根据本合同第1</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.1条规定以书面形式</w:t>
      </w:r>
      <w:r>
        <w:rPr>
          <w:rFonts w:hint="eastAsia" w:ascii="宋体" w:hAnsi="宋体" w:eastAsia="宋体" w:cs="宋体"/>
          <w:color w:val="000000" w:themeColor="text1"/>
          <w:sz w:val="24"/>
          <w:szCs w:val="24"/>
          <w:highlight w:val="none"/>
          <w:lang w:eastAsia="zh-CN"/>
          <w14:textFill>
            <w14:solidFill>
              <w14:schemeClr w14:val="tx1"/>
            </w14:solidFill>
          </w14:textFill>
        </w:rPr>
        <w:t>追究</w:t>
      </w:r>
      <w:r>
        <w:rPr>
          <w:rFonts w:hint="eastAsia" w:ascii="宋体" w:hAnsi="宋体" w:eastAsia="宋体" w:cs="宋体"/>
          <w:color w:val="000000" w:themeColor="text1"/>
          <w:sz w:val="24"/>
          <w:szCs w:val="24"/>
          <w:highlight w:val="none"/>
          <w14:textFill>
            <w14:solidFill>
              <w14:schemeClr w14:val="tx1"/>
            </w14:solidFill>
          </w14:textFill>
        </w:rPr>
        <w:t>乙方</w:t>
      </w:r>
      <w:r>
        <w:rPr>
          <w:rFonts w:hint="eastAsia" w:ascii="宋体" w:hAnsi="宋体" w:eastAsia="宋体" w:cs="宋体"/>
          <w:color w:val="000000" w:themeColor="text1"/>
          <w:sz w:val="24"/>
          <w:szCs w:val="24"/>
          <w:highlight w:val="none"/>
          <w:lang w:eastAsia="zh-CN"/>
          <w14:textFill>
            <w14:solidFill>
              <w14:schemeClr w14:val="tx1"/>
            </w14:solidFill>
          </w14:textFill>
        </w:rPr>
        <w:t>的违约责任</w:t>
      </w:r>
      <w:r>
        <w:rPr>
          <w:rFonts w:hint="eastAsia" w:ascii="宋体" w:hAnsi="宋体" w:eastAsia="宋体" w:cs="宋体"/>
          <w:color w:val="000000" w:themeColor="text1"/>
          <w:sz w:val="24"/>
          <w:szCs w:val="24"/>
          <w:highlight w:val="none"/>
          <w14:textFill>
            <w14:solidFill>
              <w14:schemeClr w14:val="tx1"/>
            </w14:solidFill>
          </w14:textFill>
        </w:rPr>
        <w:t>。</w:t>
      </w:r>
    </w:p>
    <w:p w14:paraId="3A83A2A3">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（5）乙方在约定的时间内未能弥补缺陷，甲方可采取必要的补救措施，但其风险和费用将由乙方承担，甲方根据合同</w:t>
      </w:r>
      <w:r>
        <w:rPr>
          <w:rFonts w:hint="eastAsia" w:ascii="宋体" w:hAnsi="宋体" w:eastAsia="宋体" w:cs="宋体"/>
          <w:color w:val="000000" w:themeColor="text1"/>
          <w:sz w:val="24"/>
          <w:szCs w:val="24"/>
          <w:highlight w:val="none"/>
          <w:lang w:eastAsia="zh-CN"/>
          <w14:textFill>
            <w14:solidFill>
              <w14:schemeClr w14:val="tx1"/>
            </w14:solidFill>
          </w14:textFill>
        </w:rPr>
        <w:t>约定</w:t>
      </w:r>
      <w:r>
        <w:rPr>
          <w:rFonts w:hint="eastAsia" w:ascii="宋体" w:hAnsi="宋体" w:eastAsia="宋体" w:cs="宋体"/>
          <w:color w:val="000000" w:themeColor="text1"/>
          <w:sz w:val="24"/>
          <w:szCs w:val="24"/>
          <w:highlight w:val="none"/>
          <w14:textFill>
            <w14:solidFill>
              <w14:schemeClr w14:val="tx1"/>
            </w14:solidFill>
          </w14:textFill>
        </w:rPr>
        <w:t>对乙方行使的其他权利不受影响。</w:t>
      </w:r>
    </w:p>
    <w:p w14:paraId="56076F91">
      <w:pPr>
        <w:pageBreakBefore w:val="0"/>
        <w:kinsoku/>
        <w:wordWrap/>
        <w:overflowPunct/>
        <w:topLinePunct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9</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权利瑕疵担保</w:t>
      </w:r>
    </w:p>
    <w:p w14:paraId="6B85501C">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.1 乙方保证对其出售的货物享有合法的权利。</w:t>
      </w:r>
    </w:p>
    <w:p w14:paraId="5E9E6090">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 xml:space="preserve">.2 </w:t>
      </w:r>
      <w:r>
        <w:rPr>
          <w:rFonts w:hint="eastAsia" w:ascii="宋体" w:hAnsi="宋体" w:eastAsia="宋体" w:cs="宋体"/>
          <w:color w:val="000000" w:themeColor="text1"/>
          <w:sz w:val="24"/>
          <w:szCs w:val="24"/>
          <w14:textFill>
            <w14:solidFill>
              <w14:schemeClr w14:val="tx1"/>
            </w14:solidFill>
          </w14:textFill>
        </w:rPr>
        <w:t>乙方保证在交付的货物上不存在抵押权等担保物权。</w:t>
      </w:r>
    </w:p>
    <w:p w14:paraId="4F92CFA9">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.3 如甲方使用</w:t>
      </w:r>
      <w:r>
        <w:rPr>
          <w:rFonts w:hint="eastAsia" w:ascii="宋体" w:hAnsi="宋体" w:eastAsia="宋体" w:cs="宋体"/>
          <w:color w:val="000000" w:themeColor="text1"/>
          <w:sz w:val="24"/>
          <w:szCs w:val="24"/>
          <w:highlight w:val="none"/>
          <w:lang w:val="en-US" w:eastAsia="zh-CN"/>
          <w14:textFill>
            <w14:solidFill>
              <w14:schemeClr w14:val="tx1"/>
            </w14:solidFill>
          </w14:textFill>
        </w:rPr>
        <w:t>上述</w:t>
      </w:r>
      <w:r>
        <w:rPr>
          <w:rFonts w:hint="eastAsia" w:ascii="宋体" w:hAnsi="宋体" w:eastAsia="宋体" w:cs="宋体"/>
          <w:color w:val="000000" w:themeColor="text1"/>
          <w:sz w:val="24"/>
          <w:szCs w:val="24"/>
          <w:highlight w:val="none"/>
          <w14:textFill>
            <w14:solidFill>
              <w14:schemeClr w14:val="tx1"/>
            </w14:solidFill>
          </w14:textFill>
        </w:rPr>
        <w:t>货物构成</w:t>
      </w:r>
      <w:r>
        <w:rPr>
          <w:rFonts w:hint="eastAsia" w:ascii="宋体" w:hAnsi="宋体" w:eastAsia="宋体" w:cs="宋体"/>
          <w:color w:val="000000" w:themeColor="text1"/>
          <w:sz w:val="24"/>
          <w:szCs w:val="24"/>
          <w:highlight w:val="none"/>
          <w:lang w:val="en-US" w:eastAsia="zh-CN"/>
          <w14:textFill>
            <w14:solidFill>
              <w14:schemeClr w14:val="tx1"/>
            </w14:solidFill>
          </w14:textFill>
        </w:rPr>
        <w:t>对第三人</w:t>
      </w:r>
      <w:r>
        <w:rPr>
          <w:rFonts w:hint="eastAsia" w:ascii="宋体" w:hAnsi="宋体" w:eastAsia="宋体" w:cs="宋体"/>
          <w:color w:val="000000" w:themeColor="text1"/>
          <w:sz w:val="24"/>
          <w:szCs w:val="24"/>
          <w:highlight w:val="none"/>
          <w14:textFill>
            <w14:solidFill>
              <w14:schemeClr w14:val="tx1"/>
            </w14:solidFill>
          </w14:textFill>
        </w:rPr>
        <w:t>侵权的，则由乙方承担全部责任。</w:t>
      </w:r>
    </w:p>
    <w:p w14:paraId="57E8E0AA">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w:t>
      </w:r>
      <w:r>
        <w:rPr>
          <w:rFonts w:hint="eastAsia" w:ascii="宋体" w:hAnsi="宋体" w:eastAsia="宋体" w:cs="宋体"/>
          <w:b/>
          <w:bCs/>
          <w:color w:val="000000" w:themeColor="text1"/>
          <w:sz w:val="24"/>
          <w:szCs w:val="24"/>
          <w:highlight w:val="none"/>
          <w:lang w:eastAsia="zh-CN"/>
          <w14:textFill>
            <w14:solidFill>
              <w14:schemeClr w14:val="tx1"/>
            </w14:solidFill>
          </w14:textFill>
        </w:rPr>
        <w:t>0</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知识产权保护</w:t>
      </w:r>
    </w:p>
    <w:p w14:paraId="6DE2CB34">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.1 乙方对其所销售的货物应当享有知识产权或经权利人合法授权，保证没有侵犯任何第三人的知识产权等权利。</w:t>
      </w:r>
      <w:bookmarkStart w:id="839" w:name="_Hlk163047038"/>
      <w:r>
        <w:rPr>
          <w:rFonts w:hint="eastAsia" w:ascii="宋体" w:hAnsi="宋体" w:eastAsia="宋体" w:cs="宋体"/>
          <w:color w:val="000000" w:themeColor="text1"/>
          <w:sz w:val="24"/>
          <w:szCs w:val="24"/>
          <w14:textFill>
            <w14:solidFill>
              <w14:schemeClr w14:val="tx1"/>
            </w14:solidFill>
          </w14:textFill>
        </w:rPr>
        <w:t>因违反前述约定对第三人构成侵权的，应当由乙方向第三人承担法律责任；甲方依法向第三人赔偿后，有权向乙方追偿。甲方有其他损失的，乙方应当赔偿</w:t>
      </w:r>
      <w:bookmarkEnd w:id="839"/>
      <w:r>
        <w:rPr>
          <w:rFonts w:hint="eastAsia" w:ascii="宋体" w:hAnsi="宋体" w:eastAsia="宋体" w:cs="宋体"/>
          <w:color w:val="000000" w:themeColor="text1"/>
          <w:sz w:val="24"/>
          <w:szCs w:val="24"/>
          <w:highlight w:val="none"/>
          <w14:textFill>
            <w14:solidFill>
              <w14:schemeClr w14:val="tx1"/>
            </w14:solidFill>
          </w14:textFill>
        </w:rPr>
        <w:t>。</w:t>
      </w:r>
    </w:p>
    <w:p w14:paraId="45543B40">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w:t>
      </w:r>
      <w:r>
        <w:rPr>
          <w:rFonts w:hint="eastAsia" w:ascii="宋体" w:hAnsi="宋体" w:eastAsia="宋体" w:cs="宋体"/>
          <w:b/>
          <w:bCs/>
          <w:color w:val="000000" w:themeColor="text1"/>
          <w:sz w:val="24"/>
          <w:szCs w:val="24"/>
          <w:highlight w:val="none"/>
          <w:lang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保密义务</w:t>
      </w:r>
    </w:p>
    <w:p w14:paraId="4C0710C4">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11.1 </w:t>
      </w:r>
      <w:r>
        <w:rPr>
          <w:rFonts w:hint="eastAsia" w:ascii="宋体" w:hAnsi="宋体" w:eastAsia="宋体" w:cs="宋体"/>
          <w:color w:val="000000" w:themeColor="text1"/>
          <w:sz w:val="24"/>
          <w:szCs w:val="24"/>
          <w14:textFill>
            <w14:solidFill>
              <w14:schemeClr w14:val="tx1"/>
            </w14:solidFill>
          </w14:textFill>
        </w:rPr>
        <w:t>甲、乙双方</w:t>
      </w:r>
      <w:r>
        <w:rPr>
          <w:rFonts w:hint="eastAsia" w:ascii="宋体" w:hAnsi="宋体" w:eastAsia="宋体" w:cs="宋体"/>
          <w:color w:val="000000" w:themeColor="text1"/>
          <w:sz w:val="24"/>
          <w:szCs w:val="24"/>
          <w:lang w:eastAsia="zh-CN"/>
          <w14:textFill>
            <w14:solidFill>
              <w14:schemeClr w14:val="tx1"/>
            </w14:solidFill>
          </w14:textFill>
        </w:rPr>
        <w:t>对</w:t>
      </w:r>
      <w:r>
        <w:rPr>
          <w:rFonts w:hint="eastAsia" w:ascii="宋体" w:hAnsi="宋体" w:eastAsia="宋体" w:cs="宋体"/>
          <w:color w:val="000000" w:themeColor="text1"/>
          <w:sz w:val="24"/>
          <w:szCs w:val="24"/>
          <w14:textFill>
            <w14:solidFill>
              <w14:schemeClr w14:val="tx1"/>
            </w14:solidFill>
          </w14:textFill>
        </w:rPr>
        <w:t>采购和合同履行过程中所获悉的</w:t>
      </w:r>
      <w:r>
        <w:rPr>
          <w:rFonts w:hint="eastAsia" w:ascii="宋体" w:hAnsi="宋体" w:eastAsia="宋体" w:cs="宋体"/>
          <w:color w:val="000000" w:themeColor="text1"/>
          <w:sz w:val="24"/>
          <w:szCs w:val="24"/>
          <w:lang w:eastAsia="zh-CN"/>
          <w14:textFill>
            <w14:solidFill>
              <w14:schemeClr w14:val="tx1"/>
            </w14:solidFill>
          </w14:textFill>
        </w:rPr>
        <w:t>国家秘密、工作秘密、</w:t>
      </w:r>
      <w:r>
        <w:rPr>
          <w:rFonts w:hint="eastAsia" w:ascii="宋体" w:hAnsi="宋体" w:eastAsia="宋体" w:cs="宋体"/>
          <w:color w:val="000000" w:themeColor="text1"/>
          <w:sz w:val="24"/>
          <w:szCs w:val="24"/>
          <w14:textFill>
            <w14:solidFill>
              <w14:schemeClr w14:val="tx1"/>
            </w14:solidFill>
          </w14:textFill>
        </w:rPr>
        <w:t>商业秘密或者其他应当保密的信息，均有保密义务</w:t>
      </w:r>
      <w:r>
        <w:rPr>
          <w:rFonts w:hint="eastAsia" w:ascii="宋体" w:hAnsi="宋体" w:eastAsia="宋体" w:cs="宋体"/>
          <w:color w:val="000000" w:themeColor="text1"/>
          <w:sz w:val="24"/>
          <w:szCs w:val="24"/>
          <w:lang w:eastAsia="zh-CN"/>
          <w14:textFill>
            <w14:solidFill>
              <w14:schemeClr w14:val="tx1"/>
            </w14:solidFill>
          </w14:textFill>
        </w:rPr>
        <w:t>且不受合同有效期所限，直至该信息成为公开信息</w:t>
      </w:r>
      <w:r>
        <w:rPr>
          <w:rFonts w:hint="eastAsia" w:ascii="宋体" w:hAnsi="宋体" w:eastAsia="宋体" w:cs="宋体"/>
          <w:color w:val="000000" w:themeColor="text1"/>
          <w:sz w:val="24"/>
          <w:szCs w:val="24"/>
          <w14:textFill>
            <w14:solidFill>
              <w14:schemeClr w14:val="tx1"/>
            </w14:solidFill>
          </w14:textFill>
        </w:rPr>
        <w:t>。泄露、不正当地使用</w:t>
      </w:r>
      <w:r>
        <w:rPr>
          <w:rFonts w:hint="eastAsia" w:ascii="宋体" w:hAnsi="宋体" w:eastAsia="宋体" w:cs="宋体"/>
          <w:color w:val="000000" w:themeColor="text1"/>
          <w:sz w:val="24"/>
          <w:szCs w:val="24"/>
          <w:lang w:eastAsia="zh-CN"/>
          <w14:textFill>
            <w14:solidFill>
              <w14:schemeClr w14:val="tx1"/>
            </w14:solidFill>
          </w14:textFill>
        </w:rPr>
        <w:t>国家秘密、工作秘密、</w:t>
      </w:r>
      <w:r>
        <w:rPr>
          <w:rFonts w:hint="eastAsia" w:ascii="宋体" w:hAnsi="宋体" w:eastAsia="宋体" w:cs="宋体"/>
          <w:color w:val="000000" w:themeColor="text1"/>
          <w:sz w:val="24"/>
          <w:szCs w:val="24"/>
          <w14:textFill>
            <w14:solidFill>
              <w14:schemeClr w14:val="tx1"/>
            </w14:solidFill>
          </w14:textFill>
        </w:rPr>
        <w:t>商业秘密或者</w:t>
      </w:r>
      <w:r>
        <w:rPr>
          <w:rFonts w:hint="eastAsia" w:ascii="宋体" w:hAnsi="宋体" w:eastAsia="宋体" w:cs="宋体"/>
          <w:color w:val="000000" w:themeColor="text1"/>
          <w:sz w:val="24"/>
          <w:szCs w:val="24"/>
          <w:lang w:eastAsia="zh-CN"/>
          <w14:textFill>
            <w14:solidFill>
              <w14:schemeClr w14:val="tx1"/>
            </w14:solidFill>
          </w14:textFill>
        </w:rPr>
        <w:t>其他应当保密的</w:t>
      </w:r>
      <w:r>
        <w:rPr>
          <w:rFonts w:hint="eastAsia" w:ascii="宋体" w:hAnsi="宋体" w:eastAsia="宋体" w:cs="宋体"/>
          <w:color w:val="000000" w:themeColor="text1"/>
          <w:sz w:val="24"/>
          <w:szCs w:val="24"/>
          <w14:textFill>
            <w14:solidFill>
              <w14:schemeClr w14:val="tx1"/>
            </w14:solidFill>
          </w14:textFill>
        </w:rPr>
        <w:t>信息，应当承担</w:t>
      </w:r>
      <w:r>
        <w:rPr>
          <w:rFonts w:hint="eastAsia" w:ascii="宋体" w:hAnsi="宋体" w:eastAsia="宋体" w:cs="宋体"/>
          <w:color w:val="000000" w:themeColor="text1"/>
          <w:sz w:val="24"/>
          <w:szCs w:val="24"/>
          <w:lang w:eastAsia="zh-CN"/>
          <w14:textFill>
            <w14:solidFill>
              <w14:schemeClr w14:val="tx1"/>
            </w14:solidFill>
          </w14:textFill>
        </w:rPr>
        <w:t>相应</w:t>
      </w:r>
      <w:r>
        <w:rPr>
          <w:rFonts w:hint="eastAsia" w:ascii="宋体" w:hAnsi="宋体" w:eastAsia="宋体" w:cs="宋体"/>
          <w:color w:val="000000" w:themeColor="text1"/>
          <w:sz w:val="24"/>
          <w:szCs w:val="24"/>
          <w14:textFill>
            <w14:solidFill>
              <w14:schemeClr w14:val="tx1"/>
            </w14:solidFill>
          </w14:textFill>
        </w:rPr>
        <w:t>责任。其他应当保密的信息由双方在</w:t>
      </w:r>
      <w:r>
        <w:rPr>
          <w:rFonts w:hint="eastAsia" w:ascii="宋体" w:hAnsi="宋体" w:eastAsia="宋体" w:cs="宋体"/>
          <w:b/>
          <w:bCs/>
          <w:color w:val="000000" w:themeColor="text1"/>
          <w:sz w:val="24"/>
          <w:szCs w:val="24"/>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中约定。</w:t>
      </w:r>
    </w:p>
    <w:p w14:paraId="5B246190">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w:t>
      </w:r>
      <w:r>
        <w:rPr>
          <w:rFonts w:hint="eastAsia" w:ascii="宋体" w:hAnsi="宋体" w:eastAsia="宋体" w:cs="宋体"/>
          <w:b/>
          <w:bCs/>
          <w:color w:val="000000" w:themeColor="text1"/>
          <w:sz w:val="24"/>
          <w:szCs w:val="24"/>
          <w:highlight w:val="none"/>
          <w:lang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合同价款支付</w:t>
      </w:r>
    </w:p>
    <w:p w14:paraId="5F552EFA">
      <w:pPr>
        <w:pageBreakBefore w:val="0"/>
        <w:kinsoku/>
        <w:wordWrap/>
        <w:overflowPunct/>
        <w:topLinePunct w:val="0"/>
        <w:autoSpaceDE/>
        <w:autoSpaceDN/>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 xml:space="preserve">.1 </w:t>
      </w:r>
      <w:r>
        <w:rPr>
          <w:rFonts w:hint="eastAsia" w:ascii="宋体" w:hAnsi="宋体" w:eastAsia="宋体" w:cs="宋体"/>
          <w:color w:val="000000" w:themeColor="text1"/>
          <w:sz w:val="24"/>
          <w:szCs w:val="24"/>
          <w:highlight w:val="none"/>
          <w:lang w:eastAsia="zh-CN"/>
          <w14:textFill>
            <w14:solidFill>
              <w14:schemeClr w14:val="tx1"/>
            </w14:solidFill>
          </w14:textFill>
        </w:rPr>
        <w:t>合同价款支付</w:t>
      </w:r>
      <w:r>
        <w:rPr>
          <w:rFonts w:hint="eastAsia" w:ascii="宋体" w:hAnsi="宋体" w:eastAsia="宋体" w:cs="宋体"/>
          <w:color w:val="000000" w:themeColor="text1"/>
          <w:sz w:val="24"/>
          <w:szCs w:val="24"/>
          <w:highlight w:val="none"/>
          <w14:textFill>
            <w14:solidFill>
              <w14:schemeClr w14:val="tx1"/>
            </w14:solidFill>
          </w14:textFill>
        </w:rPr>
        <w:t>按照国库集中支付</w:t>
      </w:r>
      <w:r>
        <w:rPr>
          <w:rFonts w:hint="eastAsia" w:ascii="宋体" w:hAnsi="宋体" w:eastAsia="宋体" w:cs="宋体"/>
          <w:color w:val="000000" w:themeColor="text1"/>
          <w:sz w:val="24"/>
          <w:szCs w:val="24"/>
          <w:highlight w:val="none"/>
          <w:lang w:eastAsia="zh-CN"/>
          <w14:textFill>
            <w14:solidFill>
              <w14:schemeClr w14:val="tx1"/>
            </w14:solidFill>
          </w14:textFill>
        </w:rPr>
        <w:t>制度及财政管理相关</w:t>
      </w:r>
      <w:r>
        <w:rPr>
          <w:rFonts w:hint="eastAsia" w:ascii="宋体" w:hAnsi="宋体" w:eastAsia="宋体" w:cs="宋体"/>
          <w:color w:val="000000" w:themeColor="text1"/>
          <w:sz w:val="24"/>
          <w:szCs w:val="24"/>
          <w:highlight w:val="none"/>
          <w14:textFill>
            <w14:solidFill>
              <w14:schemeClr w14:val="tx1"/>
            </w14:solidFill>
          </w14:textFill>
        </w:rPr>
        <w:t>规定执行。</w:t>
      </w:r>
    </w:p>
    <w:p w14:paraId="278C89F7">
      <w:pPr>
        <w:pStyle w:val="3"/>
        <w:pageBreakBefore w:val="0"/>
        <w:kinsoku/>
        <w:wordWrap/>
        <w:overflowPunct/>
        <w:topLinePunct w:val="0"/>
        <w:bidi w:val="0"/>
        <w:spacing w:line="56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12.2 </w:t>
      </w:r>
      <w:r>
        <w:rPr>
          <w:rFonts w:hint="eastAsia" w:ascii="宋体" w:hAnsi="宋体" w:eastAsia="宋体" w:cs="宋体"/>
          <w:b w:val="0"/>
          <w:bCs w:val="0"/>
          <w:color w:val="000000" w:themeColor="text1"/>
          <w:kern w:val="2"/>
          <w:sz w:val="24"/>
          <w:szCs w:val="24"/>
          <w:highlight w:val="none"/>
          <w14:textFill>
            <w14:solidFill>
              <w14:schemeClr w14:val="tx1"/>
            </w14:solidFill>
          </w14:textFill>
        </w:rPr>
        <w:t>对于满足合同约定支付条件的，</w:t>
      </w:r>
      <w:r>
        <w:rPr>
          <w:rFonts w:hint="eastAsia" w:ascii="宋体" w:hAnsi="宋体" w:eastAsia="宋体" w:cs="宋体"/>
          <w:b w:val="0"/>
          <w:bCs w:val="0"/>
          <w:color w:val="000000" w:themeColor="text1"/>
          <w:kern w:val="2"/>
          <w:sz w:val="24"/>
          <w:szCs w:val="24"/>
          <w:highlight w:val="none"/>
          <w:lang w:val="en-US" w:eastAsia="zh-CN"/>
          <w14:textFill>
            <w14:solidFill>
              <w14:schemeClr w14:val="tx1"/>
            </w14:solidFill>
          </w14:textFill>
        </w:rPr>
        <w:t>甲方</w:t>
      </w:r>
      <w:r>
        <w:rPr>
          <w:rFonts w:hint="eastAsia" w:ascii="宋体" w:hAnsi="宋体" w:eastAsia="宋体" w:cs="宋体"/>
          <w:b w:val="0"/>
          <w:bCs w:val="0"/>
          <w:i w:val="0"/>
          <w:iCs w:val="0"/>
          <w:caps w:val="0"/>
          <w:color w:val="000000" w:themeColor="text1"/>
          <w:spacing w:val="0"/>
          <w:sz w:val="24"/>
          <w:szCs w:val="24"/>
          <w:highlight w:val="none"/>
          <w:shd w:val="clear" w:color="auto" w:fill="auto"/>
          <w:vertAlign w:val="baseline"/>
          <w14:textFill>
            <w14:solidFill>
              <w14:schemeClr w14:val="tx1"/>
            </w14:solidFill>
          </w14:textFill>
        </w:rPr>
        <w:t>原则上应当自收到发票后10个工作日内</w:t>
      </w:r>
      <w:r>
        <w:rPr>
          <w:rFonts w:hint="eastAsia" w:ascii="宋体" w:hAnsi="宋体" w:eastAsia="宋体" w:cs="宋体"/>
          <w:b w:val="0"/>
          <w:bCs w:val="0"/>
          <w:color w:val="000000" w:themeColor="text1"/>
          <w:kern w:val="2"/>
          <w:sz w:val="24"/>
          <w:szCs w:val="24"/>
          <w:highlight w:val="none"/>
          <w14:textFill>
            <w14:solidFill>
              <w14:schemeClr w14:val="tx1"/>
            </w14:solidFill>
          </w14:textFill>
        </w:rPr>
        <w:t>将资金支付到合同约定的</w:t>
      </w:r>
      <w:r>
        <w:rPr>
          <w:rFonts w:hint="eastAsia" w:ascii="宋体" w:hAnsi="宋体" w:eastAsia="宋体" w:cs="宋体"/>
          <w:b w:val="0"/>
          <w:bCs w:val="0"/>
          <w:color w:val="000000" w:themeColor="text1"/>
          <w:kern w:val="2"/>
          <w:sz w:val="24"/>
          <w:szCs w:val="24"/>
          <w:highlight w:val="none"/>
          <w:lang w:eastAsia="zh-CN"/>
          <w14:textFill>
            <w14:solidFill>
              <w14:schemeClr w14:val="tx1"/>
            </w14:solidFill>
          </w14:textFill>
        </w:rPr>
        <w:t>乙方</w:t>
      </w:r>
      <w:r>
        <w:rPr>
          <w:rFonts w:hint="eastAsia" w:ascii="宋体" w:hAnsi="宋体" w:eastAsia="宋体" w:cs="宋体"/>
          <w:b w:val="0"/>
          <w:bCs w:val="0"/>
          <w:color w:val="000000" w:themeColor="text1"/>
          <w:kern w:val="2"/>
          <w:sz w:val="24"/>
          <w:szCs w:val="24"/>
          <w:highlight w:val="none"/>
          <w14:textFill>
            <w14:solidFill>
              <w14:schemeClr w14:val="tx1"/>
            </w14:solidFill>
          </w14:textFill>
        </w:rPr>
        <w:t>账户，不得以机构变动、人员更替、政策调整等为由迟延付款，不得将采购文件和合同中未规定的义务作为向</w:t>
      </w:r>
      <w:r>
        <w:rPr>
          <w:rFonts w:hint="eastAsia" w:ascii="宋体" w:hAnsi="宋体" w:eastAsia="宋体" w:cs="宋体"/>
          <w:b w:val="0"/>
          <w:bCs w:val="0"/>
          <w:color w:val="000000" w:themeColor="text1"/>
          <w:kern w:val="2"/>
          <w:sz w:val="24"/>
          <w:szCs w:val="24"/>
          <w:highlight w:val="none"/>
          <w:lang w:val="en-US" w:eastAsia="zh-CN"/>
          <w14:textFill>
            <w14:solidFill>
              <w14:schemeClr w14:val="tx1"/>
            </w14:solidFill>
          </w14:textFill>
        </w:rPr>
        <w:t>乙方</w:t>
      </w:r>
      <w:r>
        <w:rPr>
          <w:rFonts w:hint="eastAsia" w:ascii="宋体" w:hAnsi="宋体" w:eastAsia="宋体" w:cs="宋体"/>
          <w:b w:val="0"/>
          <w:bCs w:val="0"/>
          <w:color w:val="000000" w:themeColor="text1"/>
          <w:kern w:val="2"/>
          <w:sz w:val="24"/>
          <w:szCs w:val="24"/>
          <w:highlight w:val="none"/>
          <w14:textFill>
            <w14:solidFill>
              <w14:schemeClr w14:val="tx1"/>
            </w14:solidFill>
          </w14:textFill>
        </w:rPr>
        <w:t>付款的条件。具体合同价款支付时间在【</w:t>
      </w:r>
      <w:r>
        <w:rPr>
          <w:rFonts w:hint="eastAsia" w:ascii="宋体" w:hAnsi="宋体" w:eastAsia="宋体" w:cs="宋体"/>
          <w:b/>
          <w:bCs/>
          <w:color w:val="000000" w:themeColor="text1"/>
          <w:kern w:val="2"/>
          <w:sz w:val="24"/>
          <w:szCs w:val="24"/>
          <w:highlight w:val="none"/>
          <w14:textFill>
            <w14:solidFill>
              <w14:schemeClr w14:val="tx1"/>
            </w14:solidFill>
          </w14:textFill>
        </w:rPr>
        <w:t>政府采购合同专用条款</w:t>
      </w:r>
      <w:r>
        <w:rPr>
          <w:rFonts w:hint="eastAsia" w:ascii="宋体" w:hAnsi="宋体" w:eastAsia="宋体" w:cs="宋体"/>
          <w:b w:val="0"/>
          <w:bCs w:val="0"/>
          <w:color w:val="000000" w:themeColor="text1"/>
          <w:kern w:val="2"/>
          <w:sz w:val="24"/>
          <w:szCs w:val="24"/>
          <w:highlight w:val="none"/>
          <w14:textFill>
            <w14:solidFill>
              <w14:schemeClr w14:val="tx1"/>
            </w14:solidFill>
          </w14:textFill>
        </w:rPr>
        <w:t>】中</w:t>
      </w:r>
      <w:r>
        <w:rPr>
          <w:rFonts w:hint="eastAsia" w:ascii="宋体" w:hAnsi="宋体" w:eastAsia="宋体" w:cs="宋体"/>
          <w:b w:val="0"/>
          <w:bCs w:val="0"/>
          <w:color w:val="000000" w:themeColor="text1"/>
          <w:kern w:val="2"/>
          <w:sz w:val="24"/>
          <w:szCs w:val="24"/>
          <w:highlight w:val="none"/>
          <w:lang w:eastAsia="zh-CN"/>
          <w14:textFill>
            <w14:solidFill>
              <w14:schemeClr w14:val="tx1"/>
            </w14:solidFill>
          </w14:textFill>
        </w:rPr>
        <w:t>约</w:t>
      </w:r>
      <w:r>
        <w:rPr>
          <w:rFonts w:hint="eastAsia" w:ascii="宋体" w:hAnsi="宋体" w:eastAsia="宋体" w:cs="宋体"/>
          <w:b w:val="0"/>
          <w:bCs w:val="0"/>
          <w:color w:val="000000" w:themeColor="text1"/>
          <w:kern w:val="2"/>
          <w:sz w:val="24"/>
          <w:szCs w:val="24"/>
          <w:highlight w:val="none"/>
          <w14:textFill>
            <w14:solidFill>
              <w14:schemeClr w14:val="tx1"/>
            </w14:solidFill>
          </w14:textFill>
        </w:rPr>
        <w:t>定。</w:t>
      </w:r>
    </w:p>
    <w:p w14:paraId="224A4B82">
      <w:pPr>
        <w:pStyle w:val="11"/>
        <w:pageBreakBefore w:val="0"/>
        <w:kinsoku/>
        <w:wordWrap/>
        <w:overflowPunct/>
        <w:topLinePunct w:val="0"/>
        <w:bidi w:val="0"/>
        <w:spacing w:after="0" w:line="56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w:t>
      </w:r>
      <w:r>
        <w:rPr>
          <w:rFonts w:hint="eastAsia" w:ascii="宋体" w:hAnsi="宋体" w:eastAsia="宋体" w:cs="宋体"/>
          <w:b/>
          <w:bCs/>
          <w:color w:val="000000" w:themeColor="text1"/>
          <w:sz w:val="24"/>
          <w:szCs w:val="24"/>
          <w:highlight w:val="none"/>
          <w:lang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履约保证金</w:t>
      </w:r>
    </w:p>
    <w:p w14:paraId="74553232">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.1 </w:t>
      </w:r>
      <w:r>
        <w:rPr>
          <w:rFonts w:hint="eastAsia" w:ascii="宋体" w:hAnsi="宋体" w:eastAsia="宋体" w:cs="宋体"/>
          <w:color w:val="000000" w:themeColor="text1"/>
          <w:sz w:val="24"/>
          <w:szCs w:val="24"/>
          <w14:textFill>
            <w14:solidFill>
              <w14:schemeClr w14:val="tx1"/>
            </w14:solidFill>
          </w14:textFill>
        </w:rPr>
        <w:t>乙方应当以支票、汇票、本票或者金融机构、担保机构出具的保函等非现金形式提交。</w:t>
      </w:r>
    </w:p>
    <w:p w14:paraId="6A9385AB">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.2 如果乙方</w:t>
      </w:r>
      <w:r>
        <w:rPr>
          <w:rFonts w:hint="eastAsia" w:ascii="宋体" w:hAnsi="宋体" w:eastAsia="宋体" w:cs="宋体"/>
          <w:color w:val="000000" w:themeColor="text1"/>
          <w:sz w:val="24"/>
          <w:szCs w:val="24"/>
          <w:highlight w:val="none"/>
          <w:lang w:eastAsia="zh-CN"/>
          <w14:textFill>
            <w14:solidFill>
              <w14:schemeClr w14:val="tx1"/>
            </w14:solidFill>
          </w14:textFill>
        </w:rPr>
        <w:t>出现</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约定</w:t>
      </w:r>
      <w:r>
        <w:rPr>
          <w:rFonts w:hint="eastAsia" w:ascii="宋体" w:hAnsi="宋体" w:eastAsia="宋体" w:cs="宋体"/>
          <w:b w:val="0"/>
          <w:bCs w:val="0"/>
          <w:color w:val="000000" w:themeColor="text1"/>
          <w:sz w:val="24"/>
          <w:szCs w:val="24"/>
          <w:lang w:eastAsia="zh-CN"/>
          <w14:textFill>
            <w14:solidFill>
              <w14:schemeClr w14:val="tx1"/>
            </w14:solidFill>
          </w14:textFill>
        </w:rPr>
        <w:t>情形的</w:t>
      </w:r>
      <w:r>
        <w:rPr>
          <w:rFonts w:hint="eastAsia" w:ascii="宋体" w:hAnsi="宋体" w:eastAsia="宋体" w:cs="宋体"/>
          <w:color w:val="000000" w:themeColor="text1"/>
          <w:sz w:val="24"/>
          <w:szCs w:val="24"/>
          <w:highlight w:val="none"/>
          <w14:textFill>
            <w14:solidFill>
              <w14:schemeClr w14:val="tx1"/>
            </w14:solidFill>
          </w14:textFill>
        </w:rPr>
        <w:t>，履约保证金不予退还；如果乙方未能按合同约定全面履行义务，甲方有权从履约保证金中取得补偿或赔偿，</w:t>
      </w:r>
      <w:r>
        <w:rPr>
          <w:rFonts w:hint="eastAsia" w:ascii="宋体" w:hAnsi="宋体" w:eastAsia="宋体" w:cs="宋体"/>
          <w:color w:val="000000" w:themeColor="text1"/>
          <w:sz w:val="24"/>
          <w:szCs w:val="24"/>
          <w:highlight w:val="none"/>
          <w:lang w:eastAsia="zh-CN"/>
          <w14:textFill>
            <w14:solidFill>
              <w14:schemeClr w14:val="tx1"/>
            </w14:solidFill>
          </w14:textFill>
        </w:rPr>
        <w:t>且</w:t>
      </w:r>
      <w:r>
        <w:rPr>
          <w:rFonts w:hint="eastAsia" w:ascii="宋体" w:hAnsi="宋体" w:eastAsia="宋体" w:cs="宋体"/>
          <w:color w:val="000000" w:themeColor="text1"/>
          <w:sz w:val="24"/>
          <w:szCs w:val="24"/>
          <w:highlight w:val="none"/>
          <w14:textFill>
            <w14:solidFill>
              <w14:schemeClr w14:val="tx1"/>
            </w14:solidFill>
          </w14:textFill>
        </w:rPr>
        <w:t>不影响甲方要求乙方承担合同约定的超过履约保证金的违约责任的权利。</w:t>
      </w:r>
    </w:p>
    <w:p w14:paraId="5429F760">
      <w:pPr>
        <w:pageBreakBefore w:val="0"/>
        <w:kinsoku/>
        <w:wordWrap/>
        <w:overflowPunct/>
        <w:topLinePunct w:val="0"/>
        <w:bidi w:val="0"/>
        <w:spacing w:line="56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.3 甲方在项目通过验收后按照</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规定的时间内将履约保证金退还乙方；逾期退还的，乙方可要求甲方支付违约金，违约金按照</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规定支付。</w:t>
      </w:r>
    </w:p>
    <w:p w14:paraId="44AF5E36">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w:t>
      </w:r>
      <w:r>
        <w:rPr>
          <w:rFonts w:hint="eastAsia" w:ascii="宋体" w:hAnsi="宋体" w:eastAsia="宋体" w:cs="宋体"/>
          <w:b/>
          <w:bCs/>
          <w:color w:val="000000" w:themeColor="text1"/>
          <w:sz w:val="24"/>
          <w:szCs w:val="24"/>
          <w:highlight w:val="none"/>
          <w:lang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szCs w:val="24"/>
          <w:highlight w:val="none"/>
          <w14:textFill>
            <w14:solidFill>
              <w14:schemeClr w14:val="tx1"/>
            </w14:solidFill>
          </w14:textFill>
        </w:rPr>
        <w:t>售后服务</w:t>
      </w:r>
    </w:p>
    <w:p w14:paraId="0932F039">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.1 除项目不涉及或采购活动中明确约定无须承担外，乙方还应提供下列服务：</w:t>
      </w:r>
    </w:p>
    <w:p w14:paraId="229F85F9">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（1）货物的现场移动、安装、调试、启动监督及技术支持；</w:t>
      </w:r>
    </w:p>
    <w:p w14:paraId="62849E58">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（2）提供货物组装和维修所需的专用工具和辅助材料；</w:t>
      </w:r>
    </w:p>
    <w:p w14:paraId="632298F5">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（3）在</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lang w:eastAsia="zh-CN"/>
          <w14:textFill>
            <w14:solidFill>
              <w14:schemeClr w14:val="tx1"/>
            </w14:solidFill>
          </w14:textFill>
        </w:rPr>
        <w:t>约定</w:t>
      </w:r>
      <w:r>
        <w:rPr>
          <w:rFonts w:hint="eastAsia" w:ascii="宋体" w:hAnsi="宋体" w:eastAsia="宋体" w:cs="宋体"/>
          <w:color w:val="000000" w:themeColor="text1"/>
          <w:sz w:val="24"/>
          <w:szCs w:val="24"/>
          <w:highlight w:val="none"/>
          <w14:textFill>
            <w14:solidFill>
              <w14:schemeClr w14:val="tx1"/>
            </w14:solidFill>
          </w14:textFill>
        </w:rPr>
        <w:t>的期限内对所有的货物实施运行监督、维修，但前提条件是该服务并不能免除乙方在质量保证期内所承担的义务；</w:t>
      </w:r>
    </w:p>
    <w:p w14:paraId="69741098">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（4）在制造商</w:t>
      </w:r>
      <w:r>
        <w:rPr>
          <w:rFonts w:hint="eastAsia" w:ascii="宋体" w:hAnsi="宋体" w:eastAsia="宋体" w:cs="宋体"/>
          <w:color w:val="000000" w:themeColor="text1"/>
          <w:sz w:val="24"/>
          <w:szCs w:val="24"/>
          <w:highlight w:val="none"/>
          <w:lang w:eastAsia="zh-CN"/>
          <w14:textFill>
            <w14:solidFill>
              <w14:schemeClr w14:val="tx1"/>
            </w14:solidFill>
          </w14:textFill>
        </w:rPr>
        <w:t>所在地</w:t>
      </w:r>
      <w:r>
        <w:rPr>
          <w:rFonts w:hint="eastAsia" w:ascii="宋体" w:hAnsi="宋体" w:eastAsia="宋体" w:cs="宋体"/>
          <w:color w:val="000000" w:themeColor="text1"/>
          <w:sz w:val="24"/>
          <w:szCs w:val="24"/>
          <w:highlight w:val="none"/>
          <w14:textFill>
            <w14:solidFill>
              <w14:schemeClr w14:val="tx1"/>
            </w14:solidFill>
          </w14:textFill>
        </w:rPr>
        <w:t>或</w:t>
      </w:r>
      <w:r>
        <w:rPr>
          <w:rFonts w:hint="eastAsia" w:ascii="宋体" w:hAnsi="宋体" w:eastAsia="宋体" w:cs="宋体"/>
          <w:color w:val="000000" w:themeColor="text1"/>
          <w:sz w:val="24"/>
          <w:szCs w:val="24"/>
          <w:highlight w:val="none"/>
          <w:lang w:eastAsia="zh-CN"/>
          <w14:textFill>
            <w14:solidFill>
              <w14:schemeClr w14:val="tx1"/>
            </w14:solidFill>
          </w14:textFill>
        </w:rPr>
        <w:t>指定</w:t>
      </w:r>
      <w:r>
        <w:rPr>
          <w:rFonts w:hint="eastAsia" w:ascii="宋体" w:hAnsi="宋体" w:eastAsia="宋体" w:cs="宋体"/>
          <w:color w:val="000000" w:themeColor="text1"/>
          <w:sz w:val="24"/>
          <w:szCs w:val="24"/>
          <w:highlight w:val="none"/>
          <w14:textFill>
            <w14:solidFill>
              <w14:schemeClr w14:val="tx1"/>
            </w14:solidFill>
          </w14:textFill>
        </w:rPr>
        <w:t>现场就货物的安装、启动、运营、维护</w:t>
      </w:r>
      <w:r>
        <w:rPr>
          <w:rFonts w:hint="eastAsia" w:ascii="宋体" w:hAnsi="宋体" w:eastAsia="宋体" w:cs="宋体"/>
          <w:color w:val="000000" w:themeColor="text1"/>
          <w:sz w:val="24"/>
          <w:szCs w:val="24"/>
          <w:highlight w:val="none"/>
          <w:lang w:eastAsia="zh-CN"/>
          <w14:textFill>
            <w14:solidFill>
              <w14:schemeClr w14:val="tx1"/>
            </w14:solidFill>
          </w14:textFill>
        </w:rPr>
        <w:t>、废弃处置等</w:t>
      </w:r>
      <w:r>
        <w:rPr>
          <w:rFonts w:hint="eastAsia" w:ascii="宋体" w:hAnsi="宋体" w:eastAsia="宋体" w:cs="宋体"/>
          <w:color w:val="000000" w:themeColor="text1"/>
          <w:sz w:val="24"/>
          <w:szCs w:val="24"/>
          <w:highlight w:val="none"/>
          <w14:textFill>
            <w14:solidFill>
              <w14:schemeClr w14:val="tx1"/>
            </w14:solidFill>
          </w14:textFill>
        </w:rPr>
        <w:t>对甲方操作人员进行培训</w:t>
      </w:r>
      <w:r>
        <w:rPr>
          <w:rFonts w:hint="eastAsia" w:ascii="宋体" w:hAnsi="宋体" w:eastAsia="宋体" w:cs="宋体"/>
          <w:color w:val="000000" w:themeColor="text1"/>
          <w:sz w:val="24"/>
          <w:szCs w:val="24"/>
          <w:lang w:eastAsia="zh-CN"/>
          <w14:textFill>
            <w14:solidFill>
              <w14:schemeClr w14:val="tx1"/>
            </w14:solidFill>
          </w14:textFill>
        </w:rPr>
        <w:t>；</w:t>
      </w:r>
    </w:p>
    <w:p w14:paraId="27E85DF6">
      <w:pPr>
        <w:pStyle w:val="113"/>
        <w:pageBreakBefore w:val="0"/>
        <w:kinsoku/>
        <w:wordWrap/>
        <w:overflowPunct/>
        <w:topLinePunct w:val="0"/>
        <w:bidi w:val="0"/>
        <w:spacing w:line="56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（5）依照法律、行政法规的规定或者按照</w:t>
      </w:r>
      <w:r>
        <w:rPr>
          <w:rFonts w:hint="eastAsia" w:ascii="宋体" w:hAnsi="宋体" w:eastAsia="宋体" w:cs="宋体"/>
          <w:b/>
          <w:bCs/>
          <w:color w:val="000000" w:themeColor="text1"/>
          <w:sz w:val="24"/>
          <w:szCs w:val="24"/>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约定，货物在有效使用年限届满后应予回收的，乙方负有自行或者委托第三人对货物予以回收的义务；</w:t>
      </w:r>
    </w:p>
    <w:p w14:paraId="332C780B">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规定由乙方提供的其他服务。</w:t>
      </w:r>
    </w:p>
    <w:p w14:paraId="71924D7E">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.2 乙方提供的</w:t>
      </w:r>
      <w:r>
        <w:rPr>
          <w:rFonts w:hint="eastAsia" w:ascii="宋体" w:hAnsi="宋体" w:eastAsia="宋体" w:cs="宋体"/>
          <w:color w:val="000000" w:themeColor="text1"/>
          <w:sz w:val="24"/>
          <w:szCs w:val="24"/>
          <w:highlight w:val="none"/>
          <w:lang w:eastAsia="zh-CN"/>
          <w14:textFill>
            <w14:solidFill>
              <w14:schemeClr w14:val="tx1"/>
            </w14:solidFill>
          </w14:textFill>
        </w:rPr>
        <w:t>售后</w:t>
      </w:r>
      <w:r>
        <w:rPr>
          <w:rFonts w:hint="eastAsia" w:ascii="宋体" w:hAnsi="宋体" w:eastAsia="宋体" w:cs="宋体"/>
          <w:color w:val="000000" w:themeColor="text1"/>
          <w:sz w:val="24"/>
          <w:szCs w:val="24"/>
          <w:highlight w:val="none"/>
          <w14:textFill>
            <w14:solidFill>
              <w14:schemeClr w14:val="tx1"/>
            </w14:solidFill>
          </w14:textFill>
        </w:rPr>
        <w:t>服务的费用</w:t>
      </w:r>
      <w:r>
        <w:rPr>
          <w:rFonts w:hint="eastAsia" w:ascii="宋体" w:hAnsi="宋体" w:eastAsia="宋体" w:cs="宋体"/>
          <w:color w:val="000000" w:themeColor="text1"/>
          <w:sz w:val="24"/>
          <w:szCs w:val="24"/>
          <w:highlight w:val="none"/>
          <w:lang w:val="en-US" w:eastAsia="zh-CN"/>
          <w14:textFill>
            <w14:solidFill>
              <w14:schemeClr w14:val="tx1"/>
            </w14:solidFill>
          </w14:textFill>
        </w:rPr>
        <w:t>已</w:t>
      </w:r>
      <w:r>
        <w:rPr>
          <w:rFonts w:hint="eastAsia" w:ascii="宋体" w:hAnsi="宋体" w:eastAsia="宋体" w:cs="宋体"/>
          <w:color w:val="000000" w:themeColor="text1"/>
          <w:sz w:val="24"/>
          <w:szCs w:val="24"/>
          <w:highlight w:val="none"/>
          <w14:textFill>
            <w14:solidFill>
              <w14:schemeClr w14:val="tx1"/>
            </w14:solidFill>
          </w14:textFill>
        </w:rPr>
        <w:t>包含在合同价款中，甲方不再另行支付。</w:t>
      </w:r>
    </w:p>
    <w:p w14:paraId="778498EB">
      <w:pPr>
        <w:pageBreakBefore w:val="0"/>
        <w:kinsoku/>
        <w:wordWrap/>
        <w:overflowPunct/>
        <w:topLinePunct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w:t>
      </w:r>
      <w:r>
        <w:rPr>
          <w:rFonts w:hint="eastAsia" w:ascii="宋体" w:hAnsi="宋体" w:eastAsia="宋体" w:cs="宋体"/>
          <w:b/>
          <w:bCs/>
          <w:color w:val="000000" w:themeColor="text1"/>
          <w:sz w:val="24"/>
          <w:szCs w:val="24"/>
          <w:highlight w:val="none"/>
          <w:lang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违约责任</w:t>
      </w:r>
    </w:p>
    <w:p w14:paraId="2505CE6E">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bCs/>
          <w:color w:val="000000" w:themeColor="text1"/>
          <w:sz w:val="24"/>
          <w:szCs w:val="24"/>
          <w:highlight w:val="none"/>
          <w:lang w:eastAsia="zh-CN"/>
          <w14:textFill>
            <w14:solidFill>
              <w14:schemeClr w14:val="tx1"/>
            </w14:solidFill>
          </w14:textFill>
        </w:rPr>
        <w:t>5</w:t>
      </w:r>
      <w:r>
        <w:rPr>
          <w:rFonts w:hint="eastAsia" w:ascii="宋体" w:hAnsi="宋体" w:eastAsia="宋体" w:cs="宋体"/>
          <w:bCs/>
          <w:color w:val="000000" w:themeColor="text1"/>
          <w:sz w:val="24"/>
          <w:szCs w:val="24"/>
          <w:highlight w:val="none"/>
          <w14:textFill>
            <w14:solidFill>
              <w14:schemeClr w14:val="tx1"/>
            </w14:solidFill>
          </w14:textFill>
        </w:rPr>
        <w:t>.1质量瑕疵的</w:t>
      </w:r>
      <w:r>
        <w:rPr>
          <w:rFonts w:hint="eastAsia" w:ascii="宋体" w:hAnsi="宋体" w:eastAsia="宋体" w:cs="宋体"/>
          <w:bCs/>
          <w:color w:val="000000" w:themeColor="text1"/>
          <w:sz w:val="24"/>
          <w:szCs w:val="24"/>
          <w:highlight w:val="none"/>
          <w:lang w:eastAsia="zh-CN"/>
          <w14:textFill>
            <w14:solidFill>
              <w14:schemeClr w14:val="tx1"/>
            </w14:solidFill>
          </w14:textFill>
        </w:rPr>
        <w:t>违约责任</w:t>
      </w:r>
    </w:p>
    <w:p w14:paraId="606F1424">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乙方</w:t>
      </w:r>
      <w:r>
        <w:rPr>
          <w:rFonts w:hint="eastAsia" w:ascii="宋体" w:hAnsi="宋体" w:eastAsia="宋体" w:cs="宋体"/>
          <w:color w:val="000000" w:themeColor="text1"/>
          <w:sz w:val="24"/>
          <w:szCs w:val="24"/>
          <w:highlight w:val="none"/>
          <w:lang w:eastAsia="zh-CN"/>
          <w14:textFill>
            <w14:solidFill>
              <w14:schemeClr w14:val="tx1"/>
            </w14:solidFill>
          </w14:textFill>
        </w:rPr>
        <w:t>提供</w:t>
      </w:r>
      <w:r>
        <w:rPr>
          <w:rFonts w:hint="eastAsia" w:ascii="宋体" w:hAnsi="宋体" w:eastAsia="宋体" w:cs="宋体"/>
          <w:color w:val="000000" w:themeColor="text1"/>
          <w:sz w:val="24"/>
          <w:szCs w:val="24"/>
          <w:highlight w:val="none"/>
          <w14:textFill>
            <w14:solidFill>
              <w14:schemeClr w14:val="tx1"/>
            </w14:solidFill>
          </w14:textFill>
        </w:rPr>
        <w:t>的产品不符合</w:t>
      </w:r>
      <w:r>
        <w:rPr>
          <w:rFonts w:hint="eastAsia" w:ascii="宋体" w:hAnsi="宋体" w:eastAsia="宋体" w:cs="宋体"/>
          <w:color w:val="000000" w:themeColor="text1"/>
          <w:sz w:val="24"/>
          <w:szCs w:val="24"/>
          <w:highlight w:val="none"/>
          <w:lang w:eastAsia="zh-CN"/>
          <w14:textFill>
            <w14:solidFill>
              <w14:schemeClr w14:val="tx1"/>
            </w14:solidFill>
          </w14:textFill>
        </w:rPr>
        <w:t>合同约定的</w:t>
      </w:r>
      <w:r>
        <w:rPr>
          <w:rFonts w:hint="eastAsia" w:ascii="宋体" w:hAnsi="宋体" w:eastAsia="宋体" w:cs="宋体"/>
          <w:color w:val="000000" w:themeColor="text1"/>
          <w:sz w:val="24"/>
          <w:szCs w:val="24"/>
          <w:highlight w:val="none"/>
          <w14:textFill>
            <w14:solidFill>
              <w14:schemeClr w14:val="tx1"/>
            </w14:solidFill>
          </w14:textFill>
        </w:rPr>
        <w:t>质量标准或存在产品质量缺陷，</w:t>
      </w:r>
      <w:r>
        <w:rPr>
          <w:rFonts w:hint="eastAsia" w:ascii="宋体" w:hAnsi="宋体" w:eastAsia="宋体" w:cs="宋体"/>
          <w:color w:val="000000" w:themeColor="text1"/>
          <w:sz w:val="24"/>
          <w:szCs w:val="24"/>
          <w:highlight w:val="none"/>
          <w:lang w:eastAsia="zh-CN"/>
          <w14:textFill>
            <w14:solidFill>
              <w14:schemeClr w14:val="tx1"/>
            </w14:solidFill>
          </w14:textFill>
        </w:rPr>
        <w:t>甲方有权要求乙方根据</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要求</w:t>
      </w:r>
      <w:r>
        <w:rPr>
          <w:rFonts w:hint="eastAsia" w:ascii="宋体" w:hAnsi="宋体" w:eastAsia="宋体" w:cs="宋体"/>
          <w:color w:val="000000" w:themeColor="text1"/>
          <w:sz w:val="24"/>
          <w:szCs w:val="24"/>
          <w:highlight w:val="none"/>
          <w:lang w:eastAsia="zh-CN"/>
          <w14:textFill>
            <w14:solidFill>
              <w14:schemeClr w14:val="tx1"/>
            </w14:solidFill>
          </w14:textFill>
        </w:rPr>
        <w:t>及时修理、重作、更换，并承担由此给甲</w:t>
      </w:r>
      <w:r>
        <w:rPr>
          <w:rFonts w:hint="eastAsia" w:ascii="宋体" w:hAnsi="宋体" w:eastAsia="宋体" w:cs="宋体"/>
          <w:color w:val="000000" w:themeColor="text1"/>
          <w:sz w:val="24"/>
          <w:szCs w:val="24"/>
          <w:highlight w:val="none"/>
          <w14:textFill>
            <w14:solidFill>
              <w14:schemeClr w14:val="tx1"/>
            </w14:solidFill>
          </w14:textFill>
        </w:rPr>
        <w:t>方</w:t>
      </w:r>
      <w:r>
        <w:rPr>
          <w:rFonts w:hint="eastAsia" w:ascii="宋体" w:hAnsi="宋体" w:eastAsia="宋体" w:cs="宋体"/>
          <w:color w:val="000000" w:themeColor="text1"/>
          <w:sz w:val="24"/>
          <w:szCs w:val="24"/>
          <w:highlight w:val="none"/>
          <w:lang w:eastAsia="zh-CN"/>
          <w14:textFill>
            <w14:solidFill>
              <w14:schemeClr w14:val="tx1"/>
            </w14:solidFill>
          </w14:textFill>
        </w:rPr>
        <w:t>造成的损失</w:t>
      </w:r>
      <w:r>
        <w:rPr>
          <w:rFonts w:hint="eastAsia" w:ascii="宋体" w:hAnsi="宋体" w:eastAsia="宋体" w:cs="宋体"/>
          <w:color w:val="000000" w:themeColor="text1"/>
          <w:sz w:val="24"/>
          <w:szCs w:val="24"/>
          <w:highlight w:val="none"/>
          <w14:textFill>
            <w14:solidFill>
              <w14:schemeClr w14:val="tx1"/>
            </w14:solidFill>
          </w14:textFill>
        </w:rPr>
        <w:t>。</w:t>
      </w:r>
    </w:p>
    <w:p w14:paraId="17C7E01B">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bCs/>
          <w:color w:val="000000" w:themeColor="text1"/>
          <w:sz w:val="24"/>
          <w:szCs w:val="24"/>
          <w:highlight w:val="none"/>
          <w:lang w:eastAsia="zh-CN"/>
          <w14:textFill>
            <w14:solidFill>
              <w14:schemeClr w14:val="tx1"/>
            </w14:solidFill>
          </w14:textFill>
        </w:rPr>
        <w:t>5</w:t>
      </w:r>
      <w:r>
        <w:rPr>
          <w:rFonts w:hint="eastAsia" w:ascii="宋体" w:hAnsi="宋体" w:eastAsia="宋体" w:cs="宋体"/>
          <w:bCs/>
          <w:color w:val="000000" w:themeColor="text1"/>
          <w:sz w:val="24"/>
          <w:szCs w:val="24"/>
          <w:highlight w:val="none"/>
          <w14:textFill>
            <w14:solidFill>
              <w14:schemeClr w14:val="tx1"/>
            </w14:solidFill>
          </w14:textFill>
        </w:rPr>
        <w:t>.2 迟延交货的违约责任</w:t>
      </w:r>
    </w:p>
    <w:p w14:paraId="531AB6CD">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（1）乙方应按照本合同规定的时间、地点交货和提供</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服务。在履行合同过程中，如果乙方遇到可能</w:t>
      </w:r>
      <w:r>
        <w:rPr>
          <w:rFonts w:hint="eastAsia" w:ascii="宋体" w:hAnsi="宋体" w:eastAsia="宋体" w:cs="宋体"/>
          <w:color w:val="000000" w:themeColor="text1"/>
          <w:sz w:val="24"/>
          <w:szCs w:val="24"/>
          <w:highlight w:val="none"/>
          <w:lang w:eastAsia="zh-CN"/>
          <w14:textFill>
            <w14:solidFill>
              <w14:schemeClr w14:val="tx1"/>
            </w14:solidFill>
          </w14:textFill>
        </w:rPr>
        <w:t>影响</w:t>
      </w:r>
      <w:r>
        <w:rPr>
          <w:rFonts w:hint="eastAsia" w:ascii="宋体" w:hAnsi="宋体" w:eastAsia="宋体" w:cs="宋体"/>
          <w:color w:val="000000" w:themeColor="text1"/>
          <w:sz w:val="24"/>
          <w:szCs w:val="24"/>
          <w:highlight w:val="none"/>
          <w14:textFill>
            <w14:solidFill>
              <w14:schemeClr w14:val="tx1"/>
            </w14:solidFill>
          </w14:textFill>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宋体"/>
          <w:color w:val="000000" w:themeColor="text1"/>
          <w:sz w:val="24"/>
          <w:szCs w:val="24"/>
          <w:highlight w:val="none"/>
          <w:lang w:eastAsia="zh-CN"/>
          <w14:textFill>
            <w14:solidFill>
              <w14:schemeClr w14:val="tx1"/>
            </w14:solidFill>
          </w14:textFill>
        </w:rPr>
        <w:t>长</w:t>
      </w:r>
      <w:r>
        <w:rPr>
          <w:rFonts w:hint="eastAsia" w:ascii="宋体" w:hAnsi="宋体" w:eastAsia="宋体" w:cs="宋体"/>
          <w:color w:val="000000" w:themeColor="text1"/>
          <w:sz w:val="24"/>
          <w:szCs w:val="24"/>
          <w:highlight w:val="none"/>
          <w14:textFill>
            <w14:solidFill>
              <w14:schemeClr w14:val="tx1"/>
            </w14:solidFill>
          </w14:textFill>
        </w:rPr>
        <w:t>交货时间或延期提供服务。</w:t>
      </w:r>
    </w:p>
    <w:p w14:paraId="7DF6D2AA">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（2）如果乙方没有按照合同规定的时间交货和提供</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服务，甲方有权从货款中扣除误期赔偿费而不影响合同项下的其他补救方法，赔偿费按</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规定执行。如果涉及公共利益，且赔偿金额无法弥补公共利益损失，</w:t>
      </w:r>
      <w:r>
        <w:rPr>
          <w:rFonts w:hint="eastAsia" w:ascii="宋体" w:hAnsi="宋体" w:eastAsia="宋体" w:cs="宋体"/>
          <w:color w:val="000000" w:themeColor="text1"/>
          <w:sz w:val="24"/>
          <w:szCs w:val="24"/>
          <w:highlight w:val="none"/>
          <w:lang w:eastAsia="zh-CN"/>
          <w14:textFill>
            <w14:solidFill>
              <w14:schemeClr w14:val="tx1"/>
            </w14:solidFill>
          </w14:textFill>
        </w:rPr>
        <w:t>甲方</w:t>
      </w:r>
      <w:r>
        <w:rPr>
          <w:rFonts w:hint="eastAsia" w:ascii="宋体" w:hAnsi="宋体" w:eastAsia="宋体" w:cs="宋体"/>
          <w:color w:val="000000" w:themeColor="text1"/>
          <w:sz w:val="24"/>
          <w:szCs w:val="24"/>
          <w:highlight w:val="none"/>
          <w14:textFill>
            <w14:solidFill>
              <w14:schemeClr w14:val="tx1"/>
            </w14:solidFill>
          </w14:textFill>
        </w:rPr>
        <w:t>可要求继续履行或者</w:t>
      </w:r>
      <w:r>
        <w:rPr>
          <w:rFonts w:hint="eastAsia" w:ascii="宋体" w:hAnsi="宋体" w:eastAsia="宋体" w:cs="宋体"/>
          <w:color w:val="000000" w:themeColor="text1"/>
          <w:sz w:val="24"/>
          <w:szCs w:val="24"/>
          <w:highlight w:val="none"/>
          <w:lang w:eastAsia="zh-CN"/>
          <w14:textFill>
            <w14:solidFill>
              <w14:schemeClr w14:val="tx1"/>
            </w14:solidFill>
          </w14:textFill>
        </w:rPr>
        <w:t>采取其他补救措施</w:t>
      </w:r>
      <w:r>
        <w:rPr>
          <w:rFonts w:hint="eastAsia" w:ascii="宋体" w:hAnsi="宋体" w:eastAsia="宋体" w:cs="宋体"/>
          <w:color w:val="000000" w:themeColor="text1"/>
          <w:sz w:val="24"/>
          <w:szCs w:val="24"/>
          <w:highlight w:val="none"/>
          <w14:textFill>
            <w14:solidFill>
              <w14:schemeClr w14:val="tx1"/>
            </w14:solidFill>
          </w14:textFill>
        </w:rPr>
        <w:t>。</w:t>
      </w:r>
    </w:p>
    <w:p w14:paraId="174D1B2A">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.3 迟延支付的违约责任</w:t>
      </w:r>
    </w:p>
    <w:p w14:paraId="75CF24A0">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甲方存在迟延支付乙方合同款项的，应当承担</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规定的逾期付款利息。</w:t>
      </w:r>
    </w:p>
    <w:p w14:paraId="6AB23510">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bCs/>
          <w:color w:val="000000" w:themeColor="text1"/>
          <w:sz w:val="24"/>
          <w:szCs w:val="24"/>
          <w:highlight w:val="none"/>
          <w:lang w:eastAsia="zh-CN"/>
          <w14:textFill>
            <w14:solidFill>
              <w14:schemeClr w14:val="tx1"/>
            </w14:solidFill>
          </w14:textFill>
        </w:rPr>
        <w:t>5</w:t>
      </w:r>
      <w:r>
        <w:rPr>
          <w:rFonts w:hint="eastAsia" w:ascii="宋体" w:hAnsi="宋体" w:eastAsia="宋体" w:cs="宋体"/>
          <w:bCs/>
          <w:color w:val="000000" w:themeColor="text1"/>
          <w:sz w:val="24"/>
          <w:szCs w:val="24"/>
          <w:highlight w:val="none"/>
          <w14:textFill>
            <w14:solidFill>
              <w14:schemeClr w14:val="tx1"/>
            </w14:solidFill>
          </w14:textFill>
        </w:rPr>
        <w:t>.4其他违约责任根据项目实际需要按</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highlight w:val="none"/>
          <w14:textFill>
            <w14:solidFill>
              <w14:schemeClr w14:val="tx1"/>
            </w14:solidFill>
          </w14:textFill>
        </w:rPr>
        <w:t>规定执行。</w:t>
      </w:r>
    </w:p>
    <w:p w14:paraId="23DF77CF">
      <w:pPr>
        <w:pageBreakBefore w:val="0"/>
        <w:numPr>
          <w:ilvl w:val="0"/>
          <w:numId w:val="11"/>
        </w:numPr>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合同变更</w:t>
      </w:r>
      <w:r>
        <w:rPr>
          <w:rFonts w:hint="eastAsia" w:ascii="宋体" w:hAnsi="宋体" w:eastAsia="宋体" w:cs="宋体"/>
          <w:b/>
          <w:color w:val="000000" w:themeColor="text1"/>
          <w:sz w:val="24"/>
          <w:szCs w:val="24"/>
          <w:highlight w:val="none"/>
          <w:lang w:eastAsia="zh-CN"/>
          <w14:textFill>
            <w14:solidFill>
              <w14:schemeClr w14:val="tx1"/>
            </w14:solidFill>
          </w14:textFill>
        </w:rPr>
        <w:t>、中止与终止</w:t>
      </w:r>
    </w:p>
    <w:p w14:paraId="496E899F">
      <w:pPr>
        <w:pageBreakBefore w:val="0"/>
        <w:kinsoku/>
        <w:wordWrap/>
        <w:overflowPunct/>
        <w:topLinePunct w:val="0"/>
        <w:autoSpaceDE/>
        <w:autoSpaceDN/>
        <w:bidi w:val="0"/>
        <w:adjustRightInd w:val="0"/>
        <w:snapToGrid w:val="0"/>
        <w:spacing w:before="0" w:line="560" w:lineRule="exact"/>
        <w:ind w:firstLine="0" w:firstLineChars="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.1合同的</w:t>
      </w:r>
      <w:r>
        <w:rPr>
          <w:rFonts w:hint="eastAsia" w:ascii="宋体" w:hAnsi="宋体" w:eastAsia="宋体" w:cs="宋体"/>
          <w:color w:val="000000" w:themeColor="text1"/>
          <w:sz w:val="24"/>
          <w:szCs w:val="24"/>
          <w:highlight w:val="none"/>
          <w:lang w:eastAsia="zh-CN"/>
          <w14:textFill>
            <w14:solidFill>
              <w14:schemeClr w14:val="tx1"/>
            </w14:solidFill>
          </w14:textFill>
        </w:rPr>
        <w:t>变更</w:t>
      </w:r>
    </w:p>
    <w:p w14:paraId="74C0B317">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政府采购合同履行中，</w:t>
      </w:r>
      <w:r>
        <w:rPr>
          <w:rFonts w:hint="eastAsia" w:ascii="宋体" w:hAnsi="宋体" w:eastAsia="宋体" w:cs="宋体"/>
          <w:color w:val="000000" w:themeColor="text1"/>
          <w:sz w:val="24"/>
          <w:szCs w:val="24"/>
          <w:highlight w:val="none"/>
          <w14:textFill>
            <w14:solidFill>
              <w14:schemeClr w14:val="tx1"/>
            </w14:solidFill>
          </w14:textFill>
        </w:rPr>
        <w:t>在不改变合同其他条款的前提下，甲方可以在合同价款</w:t>
      </w:r>
      <w:r>
        <w:rPr>
          <w:rFonts w:hint="eastAsia" w:ascii="宋体" w:hAnsi="宋体" w:eastAsia="宋体" w:cs="宋体"/>
          <w:color w:val="000000" w:themeColor="text1"/>
          <w:sz w:val="24"/>
          <w:szCs w:val="24"/>
          <w:highlight w:val="none"/>
          <w:lang w:eastAsia="zh-CN"/>
          <w14:textFill>
            <w14:solidFill>
              <w14:schemeClr w14:val="tx1"/>
            </w14:solidFill>
          </w14:textFill>
        </w:rPr>
        <w:t>20%</w:t>
      </w:r>
      <w:r>
        <w:rPr>
          <w:rFonts w:hint="eastAsia" w:ascii="宋体" w:hAnsi="宋体" w:eastAsia="宋体" w:cs="宋体"/>
          <w:color w:val="000000" w:themeColor="text1"/>
          <w:sz w:val="24"/>
          <w:szCs w:val="24"/>
          <w:highlight w:val="none"/>
          <w14:textFill>
            <w14:solidFill>
              <w14:schemeClr w14:val="tx1"/>
            </w14:solidFill>
          </w14:textFill>
        </w:rPr>
        <w:t>的范围内追加与合同标的相同的货物，并就此与乙方协商</w:t>
      </w:r>
      <w:r>
        <w:rPr>
          <w:rFonts w:hint="eastAsia" w:ascii="宋体" w:hAnsi="宋体" w:eastAsia="宋体" w:cs="宋体"/>
          <w:color w:val="000000" w:themeColor="text1"/>
          <w:sz w:val="24"/>
          <w:szCs w:val="24"/>
          <w:highlight w:val="none"/>
          <w:lang w:eastAsia="zh-CN"/>
          <w14:textFill>
            <w14:solidFill>
              <w14:schemeClr w14:val="tx1"/>
            </w14:solidFill>
          </w14:textFill>
        </w:rPr>
        <w:t>一致后</w:t>
      </w:r>
      <w:r>
        <w:rPr>
          <w:rFonts w:hint="eastAsia" w:ascii="宋体" w:hAnsi="宋体" w:eastAsia="宋体" w:cs="宋体"/>
          <w:color w:val="000000" w:themeColor="text1"/>
          <w:sz w:val="24"/>
          <w:szCs w:val="24"/>
          <w:highlight w:val="none"/>
          <w14:textFill>
            <w14:solidFill>
              <w14:schemeClr w14:val="tx1"/>
            </w14:solidFill>
          </w14:textFill>
        </w:rPr>
        <w:t>签订补充协议。</w:t>
      </w:r>
    </w:p>
    <w:p w14:paraId="565D3DF9">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合同的中止</w:t>
      </w:r>
    </w:p>
    <w:p w14:paraId="353337F4">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（1）合同履行过程中因供应商就采购文件、采购过程或结果提起投诉的，甲方认为有必要的，</w:t>
      </w:r>
      <w:r>
        <w:rPr>
          <w:rFonts w:hint="eastAsia" w:ascii="宋体" w:hAnsi="宋体" w:eastAsia="宋体" w:cs="宋体"/>
          <w:color w:val="000000" w:themeColor="text1"/>
          <w:sz w:val="24"/>
          <w:szCs w:val="24"/>
          <w:highlight w:val="none"/>
          <w:lang w:eastAsia="zh-CN"/>
          <w14:textFill>
            <w14:solidFill>
              <w14:schemeClr w14:val="tx1"/>
            </w14:solidFill>
          </w14:textFill>
        </w:rPr>
        <w:t>可以</w:t>
      </w:r>
      <w:r>
        <w:rPr>
          <w:rFonts w:hint="eastAsia" w:ascii="宋体" w:hAnsi="宋体" w:eastAsia="宋体" w:cs="宋体"/>
          <w:color w:val="000000" w:themeColor="text1"/>
          <w:sz w:val="24"/>
          <w:szCs w:val="24"/>
          <w:highlight w:val="none"/>
          <w14:textFill>
            <w14:solidFill>
              <w14:schemeClr w14:val="tx1"/>
            </w14:solidFill>
          </w14:textFill>
        </w:rPr>
        <w:t>中止合同的履行。</w:t>
      </w:r>
    </w:p>
    <w:p w14:paraId="7AED5273">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合同履行过程中，</w:t>
      </w:r>
      <w:r>
        <w:rPr>
          <w:rFonts w:hint="eastAsia" w:ascii="宋体" w:hAnsi="宋体" w:eastAsia="宋体" w:cs="宋体"/>
          <w:color w:val="000000" w:themeColor="text1"/>
          <w:sz w:val="24"/>
          <w:szCs w:val="24"/>
          <w:highlight w:val="none"/>
          <w14:textFill>
            <w14:solidFill>
              <w14:schemeClr w14:val="tx1"/>
            </w14:solidFill>
          </w14:textFill>
        </w:rPr>
        <w:t>如果乙方出现以下情形之一的：1．经营状况严重恶化；2．转移财产、抽逃资金，以逃避债务；3．丧失商业信誉；4．有丧失或者可能丧失履约能力的其他情形</w:t>
      </w:r>
      <w:r>
        <w:rPr>
          <w:rFonts w:hint="eastAsia" w:ascii="宋体" w:hAnsi="宋体" w:eastAsia="宋体" w:cs="宋体"/>
          <w:color w:val="000000" w:themeColor="text1"/>
          <w:sz w:val="24"/>
          <w:szCs w:val="24"/>
          <w:highlight w:val="none"/>
          <w:lang w:eastAsia="zh-CN"/>
          <w14:textFill>
            <w14:solidFill>
              <w14:schemeClr w14:val="tx1"/>
            </w14:solidFill>
          </w14:textFill>
        </w:rPr>
        <w:t>，乙方有义务及时告知甲方</w:t>
      </w:r>
      <w:r>
        <w:rPr>
          <w:rFonts w:hint="eastAsia" w:ascii="宋体" w:hAnsi="宋体" w:eastAsia="宋体" w:cs="宋体"/>
          <w:color w:val="000000" w:themeColor="text1"/>
          <w:sz w:val="24"/>
          <w:szCs w:val="24"/>
          <w:highlight w:val="none"/>
          <w14:textFill>
            <w14:solidFill>
              <w14:schemeClr w14:val="tx1"/>
            </w14:solidFill>
          </w14:textFill>
        </w:rPr>
        <w:t>。甲方</w:t>
      </w:r>
      <w:r>
        <w:rPr>
          <w:rFonts w:hint="eastAsia" w:ascii="宋体" w:hAnsi="宋体" w:eastAsia="宋体" w:cs="宋体"/>
          <w:color w:val="000000" w:themeColor="text1"/>
          <w:sz w:val="24"/>
          <w:szCs w:val="24"/>
          <w:highlight w:val="none"/>
          <w:lang w:eastAsia="zh-CN"/>
          <w14:textFill>
            <w14:solidFill>
              <w14:schemeClr w14:val="tx1"/>
            </w14:solidFill>
          </w14:textFill>
        </w:rPr>
        <w:t>有权</w:t>
      </w:r>
      <w:r>
        <w:rPr>
          <w:rFonts w:hint="eastAsia" w:ascii="宋体" w:hAnsi="宋体" w:eastAsia="宋体" w:cs="宋体"/>
          <w:color w:val="000000" w:themeColor="text1"/>
          <w:sz w:val="24"/>
          <w:szCs w:val="24"/>
          <w:highlight w:val="none"/>
          <w14:textFill>
            <w14:solidFill>
              <w14:schemeClr w14:val="tx1"/>
            </w14:solidFill>
          </w14:textFill>
        </w:rPr>
        <w:t>以书面形式通知乙方中止合同</w:t>
      </w:r>
      <w:r>
        <w:rPr>
          <w:rFonts w:hint="eastAsia" w:ascii="宋体" w:hAnsi="宋体" w:eastAsia="宋体" w:cs="宋体"/>
          <w:color w:val="000000" w:themeColor="text1"/>
          <w:sz w:val="24"/>
          <w:szCs w:val="24"/>
          <w:highlight w:val="none"/>
          <w:lang w:eastAsia="zh-CN"/>
          <w14:textFill>
            <w14:solidFill>
              <w14:schemeClr w14:val="tx1"/>
            </w14:solidFill>
          </w14:textFill>
        </w:rPr>
        <w:t>并要求乙方在合理期限内消除相关情形或者提供适当担保。</w:t>
      </w:r>
      <w:r>
        <w:rPr>
          <w:rFonts w:hint="eastAsia" w:ascii="宋体" w:hAnsi="宋体" w:eastAsia="宋体" w:cs="宋体"/>
          <w:color w:val="000000" w:themeColor="text1"/>
          <w:sz w:val="24"/>
          <w:szCs w:val="24"/>
          <w:highlight w:val="none"/>
          <w14:textFill>
            <w14:solidFill>
              <w14:schemeClr w14:val="tx1"/>
            </w14:solidFill>
          </w14:textFill>
        </w:rPr>
        <w:t>乙方提供适当担保的，</w:t>
      </w:r>
      <w:r>
        <w:rPr>
          <w:rFonts w:hint="eastAsia" w:ascii="宋体" w:hAnsi="宋体" w:eastAsia="宋体" w:cs="宋体"/>
          <w:color w:val="000000" w:themeColor="text1"/>
          <w:sz w:val="24"/>
          <w:szCs w:val="24"/>
          <w:highlight w:val="none"/>
          <w:lang w:eastAsia="zh-CN"/>
          <w14:textFill>
            <w14:solidFill>
              <w14:schemeClr w14:val="tx1"/>
            </w14:solidFill>
          </w14:textFill>
        </w:rPr>
        <w:t>合同继续</w:t>
      </w:r>
      <w:r>
        <w:rPr>
          <w:rFonts w:hint="eastAsia" w:ascii="宋体" w:hAnsi="宋体" w:eastAsia="宋体" w:cs="宋体"/>
          <w:color w:val="000000" w:themeColor="text1"/>
          <w:sz w:val="24"/>
          <w:szCs w:val="24"/>
          <w:highlight w:val="none"/>
          <w14:textFill>
            <w14:solidFill>
              <w14:schemeClr w14:val="tx1"/>
            </w14:solidFill>
          </w14:textFill>
        </w:rPr>
        <w:t>履行</w:t>
      </w:r>
      <w:r>
        <w:rPr>
          <w:rFonts w:hint="eastAsia" w:ascii="宋体" w:hAnsi="宋体" w:eastAsia="宋体" w:cs="宋体"/>
          <w:color w:val="000000" w:themeColor="text1"/>
          <w:sz w:val="24"/>
          <w:szCs w:val="24"/>
          <w:highlight w:val="none"/>
          <w:lang w:eastAsia="zh-CN"/>
          <w14:textFill>
            <w14:solidFill>
              <w14:schemeClr w14:val="tx1"/>
            </w14:solidFill>
          </w14:textFill>
        </w:rPr>
        <w:t>；乙</w:t>
      </w:r>
      <w:r>
        <w:rPr>
          <w:rFonts w:hint="eastAsia" w:ascii="宋体" w:hAnsi="宋体" w:eastAsia="宋体" w:cs="宋体"/>
          <w:color w:val="000000" w:themeColor="text1"/>
          <w:sz w:val="24"/>
          <w:szCs w:val="24"/>
          <w:highlight w:val="none"/>
          <w14:textFill>
            <w14:solidFill>
              <w14:schemeClr w14:val="tx1"/>
            </w14:solidFill>
          </w14:textFill>
        </w:rPr>
        <w:t>方在合理期限内未恢复履约能力且未提供适当担保的，视为拒绝</w:t>
      </w:r>
      <w:r>
        <w:rPr>
          <w:rFonts w:hint="eastAsia" w:ascii="宋体" w:hAnsi="宋体" w:eastAsia="宋体" w:cs="宋体"/>
          <w:color w:val="000000" w:themeColor="text1"/>
          <w:sz w:val="24"/>
          <w:szCs w:val="24"/>
          <w:highlight w:val="none"/>
          <w:lang w:eastAsia="zh-CN"/>
          <w14:textFill>
            <w14:solidFill>
              <w14:schemeClr w14:val="tx1"/>
            </w14:solidFill>
          </w14:textFill>
        </w:rPr>
        <w:t>继续</w:t>
      </w:r>
      <w:r>
        <w:rPr>
          <w:rFonts w:hint="eastAsia" w:ascii="宋体" w:hAnsi="宋体" w:eastAsia="宋体" w:cs="宋体"/>
          <w:color w:val="000000" w:themeColor="text1"/>
          <w:sz w:val="24"/>
          <w:szCs w:val="24"/>
          <w:highlight w:val="none"/>
          <w14:textFill>
            <w14:solidFill>
              <w14:schemeClr w14:val="tx1"/>
            </w14:solidFill>
          </w14:textFill>
        </w:rPr>
        <w:t>履约，甲方</w:t>
      </w:r>
      <w:r>
        <w:rPr>
          <w:rFonts w:hint="eastAsia" w:ascii="宋体" w:hAnsi="宋体" w:eastAsia="宋体" w:cs="宋体"/>
          <w:color w:val="000000" w:themeColor="text1"/>
          <w:sz w:val="24"/>
          <w:szCs w:val="24"/>
          <w:highlight w:val="none"/>
          <w:lang w:eastAsia="zh-CN"/>
          <w14:textFill>
            <w14:solidFill>
              <w14:schemeClr w14:val="tx1"/>
            </w14:solidFill>
          </w14:textFill>
        </w:rPr>
        <w:t>有权</w:t>
      </w:r>
      <w:r>
        <w:rPr>
          <w:rFonts w:hint="eastAsia" w:ascii="宋体" w:hAnsi="宋体" w:eastAsia="宋体" w:cs="宋体"/>
          <w:color w:val="000000" w:themeColor="text1"/>
          <w:sz w:val="24"/>
          <w:szCs w:val="24"/>
          <w:highlight w:val="none"/>
          <w14:textFill>
            <w14:solidFill>
              <w14:schemeClr w14:val="tx1"/>
            </w14:solidFill>
          </w14:textFill>
        </w:rPr>
        <w:t>解除合同并要求乙方承担</w:t>
      </w:r>
      <w:r>
        <w:rPr>
          <w:rFonts w:hint="eastAsia" w:ascii="宋体" w:hAnsi="宋体" w:eastAsia="宋体" w:cs="宋体"/>
          <w:color w:val="000000" w:themeColor="text1"/>
          <w:sz w:val="24"/>
          <w:szCs w:val="24"/>
          <w:highlight w:val="none"/>
          <w:lang w:eastAsia="zh-CN"/>
          <w14:textFill>
            <w14:solidFill>
              <w14:schemeClr w14:val="tx1"/>
            </w14:solidFill>
          </w14:textFill>
        </w:rPr>
        <w:t>由此给甲方造成的损失</w:t>
      </w:r>
      <w:r>
        <w:rPr>
          <w:rFonts w:hint="eastAsia" w:ascii="宋体" w:hAnsi="宋体" w:eastAsia="宋体" w:cs="宋体"/>
          <w:color w:val="000000" w:themeColor="text1"/>
          <w:sz w:val="24"/>
          <w:szCs w:val="24"/>
          <w:highlight w:val="none"/>
          <w14:textFill>
            <w14:solidFill>
              <w14:schemeClr w14:val="tx1"/>
            </w14:solidFill>
          </w14:textFill>
        </w:rPr>
        <w:t>。</w:t>
      </w:r>
    </w:p>
    <w:p w14:paraId="6AAD80BC">
      <w:pPr>
        <w:pStyle w:val="113"/>
        <w:pageBreakBefore w:val="0"/>
        <w:kinsoku/>
        <w:wordWrap/>
        <w:overflowPunct/>
        <w:topLinePunct w:val="0"/>
        <w:bidi w:val="0"/>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（3）乙方分立、合并或者变更住所的，应当及时以书面形式告知甲方。乙方没有</w:t>
      </w:r>
      <w:r>
        <w:rPr>
          <w:rFonts w:hint="eastAsia" w:ascii="宋体" w:hAnsi="宋体" w:eastAsia="宋体" w:cs="宋体"/>
          <w:color w:val="000000" w:themeColor="text1"/>
          <w:sz w:val="24"/>
          <w:szCs w:val="24"/>
          <w:lang w:eastAsia="zh-CN"/>
          <w14:textFill>
            <w14:solidFill>
              <w14:schemeClr w14:val="tx1"/>
            </w14:solidFill>
          </w14:textFill>
        </w:rPr>
        <w:t>及时告知</w:t>
      </w:r>
      <w:r>
        <w:rPr>
          <w:rFonts w:hint="eastAsia" w:ascii="宋体" w:hAnsi="宋体" w:eastAsia="宋体" w:cs="宋体"/>
          <w:color w:val="000000" w:themeColor="text1"/>
          <w:sz w:val="24"/>
          <w:szCs w:val="24"/>
          <w14:textFill>
            <w14:solidFill>
              <w14:schemeClr w14:val="tx1"/>
            </w14:solidFill>
          </w14:textFill>
        </w:rPr>
        <w:t>甲方，致使</w:t>
      </w:r>
      <w:r>
        <w:rPr>
          <w:rFonts w:hint="eastAsia" w:ascii="宋体" w:hAnsi="宋体" w:eastAsia="宋体" w:cs="宋体"/>
          <w:color w:val="000000" w:themeColor="text1"/>
          <w:sz w:val="24"/>
          <w:szCs w:val="24"/>
          <w:lang w:eastAsia="zh-CN"/>
          <w14:textFill>
            <w14:solidFill>
              <w14:schemeClr w14:val="tx1"/>
            </w14:solidFill>
          </w14:textFill>
        </w:rPr>
        <w:t>合同</w:t>
      </w:r>
      <w:r>
        <w:rPr>
          <w:rFonts w:hint="eastAsia" w:ascii="宋体" w:hAnsi="宋体" w:eastAsia="宋体" w:cs="宋体"/>
          <w:color w:val="000000" w:themeColor="text1"/>
          <w:sz w:val="24"/>
          <w:szCs w:val="24"/>
          <w14:textFill>
            <w14:solidFill>
              <w14:schemeClr w14:val="tx1"/>
            </w14:solidFill>
          </w14:textFill>
        </w:rPr>
        <w:t>履行发生困难的，甲方可以中止合同履行并要求乙方承担由此给甲方造成的损失。</w:t>
      </w:r>
    </w:p>
    <w:p w14:paraId="4E40B22A">
      <w:pPr>
        <w:pageBreakBefore w:val="0"/>
        <w:kinsoku/>
        <w:wordWrap/>
        <w:overflowPunct/>
        <w:topLinePunct w:val="0"/>
        <w:bidi w:val="0"/>
        <w:snapToGrid w:val="0"/>
        <w:spacing w:line="560" w:lineRule="exact"/>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）甲方不得以行政区划调整、政府换届、机构或者职能调整以及相关责任人更替为由中止合同。</w:t>
      </w:r>
    </w:p>
    <w:p w14:paraId="4FA5E0C8">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合同的终止</w:t>
      </w:r>
    </w:p>
    <w:p w14:paraId="25E9050A">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（1）合同因有效期限届满而终止；</w:t>
      </w:r>
    </w:p>
    <w:p w14:paraId="314ADE03">
      <w:pPr>
        <w:pageBreakBefore w:val="0"/>
        <w:kinsoku/>
        <w:wordWrap/>
        <w:overflowPunct/>
        <w:topLinePunct w:val="0"/>
        <w:bidi w:val="0"/>
        <w:snapToGrid w:val="0"/>
        <w:spacing w:line="56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（2）乙方未</w:t>
      </w:r>
      <w:r>
        <w:rPr>
          <w:rFonts w:hint="eastAsia" w:ascii="宋体" w:hAnsi="宋体" w:eastAsia="宋体" w:cs="宋体"/>
          <w:color w:val="000000" w:themeColor="text1"/>
          <w:sz w:val="24"/>
          <w:szCs w:val="24"/>
          <w:highlight w:val="none"/>
          <w:lang w:eastAsia="zh-CN"/>
          <w14:textFill>
            <w14:solidFill>
              <w14:schemeClr w14:val="tx1"/>
            </w14:solidFill>
          </w14:textFill>
        </w:rPr>
        <w:t>按</w:t>
      </w:r>
      <w:r>
        <w:rPr>
          <w:rFonts w:hint="eastAsia" w:ascii="宋体" w:hAnsi="宋体" w:eastAsia="宋体" w:cs="宋体"/>
          <w:color w:val="000000" w:themeColor="text1"/>
          <w:sz w:val="24"/>
          <w:szCs w:val="24"/>
          <w:highlight w:val="none"/>
          <w14:textFill>
            <w14:solidFill>
              <w14:schemeClr w14:val="tx1"/>
            </w14:solidFill>
          </w14:textFill>
        </w:rPr>
        <w:t>合同约定履行，构成根本性违约的，甲方有权终止合同</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并追究乙方的违约责</w:t>
      </w:r>
      <w:r>
        <w:rPr>
          <w:rFonts w:hint="eastAsia" w:ascii="宋体" w:hAnsi="宋体" w:eastAsia="宋体" w:cs="宋体"/>
          <w:color w:val="000000" w:themeColor="text1"/>
          <w:sz w:val="24"/>
          <w:szCs w:val="24"/>
          <w:lang w:val="en-US" w:eastAsia="zh-CN"/>
          <w14:textFill>
            <w14:solidFill>
              <w14:schemeClr w14:val="tx1"/>
            </w14:solidFill>
          </w14:textFill>
        </w:rPr>
        <w:t>任</w:t>
      </w:r>
      <w:r>
        <w:rPr>
          <w:rFonts w:hint="eastAsia" w:ascii="宋体" w:hAnsi="宋体" w:eastAsia="宋体" w:cs="宋体"/>
          <w:color w:val="000000" w:themeColor="text1"/>
          <w:sz w:val="24"/>
          <w:szCs w:val="24"/>
          <w:highlight w:val="none"/>
          <w14:textFill>
            <w14:solidFill>
              <w14:schemeClr w14:val="tx1"/>
            </w14:solidFill>
          </w14:textFill>
        </w:rPr>
        <w:t>。</w:t>
      </w:r>
    </w:p>
    <w:p w14:paraId="27F369FA">
      <w:pPr>
        <w:pStyle w:val="113"/>
        <w:pageBreakBefore w:val="0"/>
        <w:kinsoku/>
        <w:wordWrap/>
        <w:overflowPunct/>
        <w:topLinePunct w:val="0"/>
        <w:bidi w:val="0"/>
        <w:spacing w:line="5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16.4 </w:t>
      </w: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涉及国家利益、社会公共利益的情形</w:t>
      </w:r>
    </w:p>
    <w:p w14:paraId="6A3050BE">
      <w:pPr>
        <w:pStyle w:val="113"/>
        <w:pageBreakBefore w:val="0"/>
        <w:kinsoku/>
        <w:wordWrap/>
        <w:overflowPunct/>
        <w:topLinePunct w:val="0"/>
        <w:bidi w:val="0"/>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政府采购合同继续履行将损害国家利益和社会公共利益的，双方当事人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应当变更、</w:t>
      </w:r>
      <w:r>
        <w:rPr>
          <w:rFonts w:hint="eastAsia" w:ascii="宋体" w:hAnsi="宋体" w:eastAsia="宋体" w:cs="宋体"/>
          <w:color w:val="000000" w:themeColor="text1"/>
          <w:sz w:val="24"/>
          <w:szCs w:val="24"/>
          <w14:textFill>
            <w14:solidFill>
              <w14:schemeClr w14:val="tx1"/>
            </w14:solidFill>
          </w14:textFill>
        </w:rPr>
        <w:t>中止</w:t>
      </w:r>
      <w:r>
        <w:rPr>
          <w:rFonts w:hint="eastAsia" w:ascii="宋体" w:hAnsi="宋体" w:eastAsia="宋体" w:cs="宋体"/>
          <w:color w:val="000000" w:themeColor="text1"/>
          <w:sz w:val="24"/>
          <w:szCs w:val="24"/>
          <w:lang w:eastAsia="zh-CN"/>
          <w14:textFill>
            <w14:solidFill>
              <w14:schemeClr w14:val="tx1"/>
            </w14:solidFill>
          </w14:textFill>
        </w:rPr>
        <w:t>或者终止</w:t>
      </w:r>
      <w:r>
        <w:rPr>
          <w:rFonts w:hint="eastAsia" w:ascii="宋体" w:hAnsi="宋体" w:eastAsia="宋体" w:cs="宋体"/>
          <w:color w:val="000000" w:themeColor="text1"/>
          <w:sz w:val="24"/>
          <w:szCs w:val="24"/>
          <w14:textFill>
            <w14:solidFill>
              <w14:schemeClr w14:val="tx1"/>
            </w14:solidFill>
          </w14:textFill>
        </w:rPr>
        <w:t>合同。有过错的一方应当承担赔偿责任，双方都有过错的，各自承担相应的责任。</w:t>
      </w:r>
    </w:p>
    <w:p w14:paraId="55597EDB">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7</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合同分包</w:t>
      </w:r>
    </w:p>
    <w:p w14:paraId="13B5EFB4">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.1 乙方不得</w:t>
      </w:r>
      <w:r>
        <w:rPr>
          <w:rFonts w:hint="eastAsia" w:ascii="宋体" w:hAnsi="宋体" w:eastAsia="宋体" w:cs="宋体"/>
          <w:color w:val="000000" w:themeColor="text1"/>
          <w:sz w:val="24"/>
          <w:szCs w:val="24"/>
          <w:highlight w:val="none"/>
          <w:lang w:eastAsia="zh-CN"/>
          <w14:textFill>
            <w14:solidFill>
              <w14:schemeClr w14:val="tx1"/>
            </w14:solidFill>
          </w14:textFill>
        </w:rPr>
        <w:t>将合同转包给其他供应商。涉及合同分包的，乙方</w:t>
      </w:r>
      <w:r>
        <w:rPr>
          <w:rFonts w:hint="eastAsia" w:ascii="宋体" w:hAnsi="宋体" w:eastAsia="宋体" w:cs="宋体"/>
          <w:color w:val="000000" w:themeColor="text1"/>
          <w:sz w:val="24"/>
          <w:szCs w:val="24"/>
          <w:highlight w:val="none"/>
          <w:lang w:val="en-US" w:eastAsia="zh-CN"/>
          <w14:textFill>
            <w14:solidFill>
              <w14:schemeClr w14:val="tx1"/>
            </w14:solidFill>
          </w14:textFill>
        </w:rPr>
        <w:t>应</w:t>
      </w:r>
      <w:r>
        <w:rPr>
          <w:rFonts w:hint="eastAsia" w:ascii="宋体" w:hAnsi="宋体" w:eastAsia="宋体" w:cs="宋体"/>
          <w:color w:val="000000" w:themeColor="text1"/>
          <w:sz w:val="24"/>
          <w:szCs w:val="24"/>
          <w:highlight w:val="none"/>
          <w:lang w:eastAsia="zh-CN"/>
          <w14:textFill>
            <w14:solidFill>
              <w14:schemeClr w14:val="tx1"/>
            </w14:solidFill>
          </w14:textFill>
        </w:rPr>
        <w:t>根据采购文件和投标（响应）文件规定进行</w:t>
      </w:r>
      <w:r>
        <w:rPr>
          <w:rFonts w:hint="eastAsia" w:ascii="宋体" w:hAnsi="宋体" w:eastAsia="宋体" w:cs="宋体"/>
          <w:color w:val="000000" w:themeColor="text1"/>
          <w:sz w:val="24"/>
          <w:szCs w:val="24"/>
          <w:highlight w:val="none"/>
          <w14:textFill>
            <w14:solidFill>
              <w14:schemeClr w14:val="tx1"/>
            </w14:solidFill>
          </w14:textFill>
        </w:rPr>
        <w:t>合同分包。</w:t>
      </w:r>
    </w:p>
    <w:p w14:paraId="4CB751B3">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.2 乙方执行政府采购政策向中小企业依法分包的</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乙方应当按采购文件</w:t>
      </w:r>
      <w:r>
        <w:rPr>
          <w:rFonts w:hint="eastAsia" w:ascii="宋体" w:hAnsi="宋体" w:eastAsia="宋体" w:cs="宋体"/>
          <w:color w:val="000000" w:themeColor="text1"/>
          <w:sz w:val="24"/>
          <w:szCs w:val="24"/>
          <w:highlight w:val="none"/>
          <w:lang w:eastAsia="zh-CN"/>
          <w14:textFill>
            <w14:solidFill>
              <w14:schemeClr w14:val="tx1"/>
            </w14:solidFill>
          </w14:textFill>
        </w:rPr>
        <w:t>和</w:t>
      </w:r>
      <w:r>
        <w:rPr>
          <w:rFonts w:hint="eastAsia" w:ascii="宋体" w:hAnsi="宋体" w:eastAsia="宋体" w:cs="宋体"/>
          <w:color w:val="000000" w:themeColor="text1"/>
          <w:sz w:val="24"/>
          <w:szCs w:val="24"/>
          <w:highlight w:val="none"/>
          <w14:textFill>
            <w14:solidFill>
              <w14:schemeClr w14:val="tx1"/>
            </w14:solidFill>
          </w14:textFill>
        </w:rPr>
        <w:t>投标（响应）文件签订分包</w:t>
      </w:r>
      <w:r>
        <w:rPr>
          <w:rFonts w:hint="eastAsia" w:ascii="宋体" w:hAnsi="宋体" w:eastAsia="宋体" w:cs="宋体"/>
          <w:color w:val="000000" w:themeColor="text1"/>
          <w:sz w:val="24"/>
          <w:szCs w:val="24"/>
          <w:highlight w:val="none"/>
          <w:lang w:eastAsia="zh-CN"/>
          <w14:textFill>
            <w14:solidFill>
              <w14:schemeClr w14:val="tx1"/>
            </w14:solidFill>
          </w14:textFill>
        </w:rPr>
        <w:t>意向</w:t>
      </w:r>
      <w:r>
        <w:rPr>
          <w:rFonts w:hint="eastAsia" w:ascii="宋体" w:hAnsi="宋体" w:eastAsia="宋体" w:cs="宋体"/>
          <w:color w:val="000000" w:themeColor="text1"/>
          <w:sz w:val="24"/>
          <w:szCs w:val="24"/>
          <w:highlight w:val="none"/>
          <w14:textFill>
            <w14:solidFill>
              <w14:schemeClr w14:val="tx1"/>
            </w14:solidFill>
          </w14:textFill>
        </w:rPr>
        <w:t>协议，分包</w:t>
      </w:r>
      <w:r>
        <w:rPr>
          <w:rFonts w:hint="eastAsia" w:ascii="宋体" w:hAnsi="宋体" w:eastAsia="宋体" w:cs="宋体"/>
          <w:color w:val="000000" w:themeColor="text1"/>
          <w:sz w:val="24"/>
          <w:szCs w:val="24"/>
          <w:highlight w:val="none"/>
          <w:lang w:eastAsia="zh-CN"/>
          <w14:textFill>
            <w14:solidFill>
              <w14:schemeClr w14:val="tx1"/>
            </w14:solidFill>
          </w14:textFill>
        </w:rPr>
        <w:t>意向</w:t>
      </w:r>
      <w:r>
        <w:rPr>
          <w:rFonts w:hint="eastAsia" w:ascii="宋体" w:hAnsi="宋体" w:eastAsia="宋体" w:cs="宋体"/>
          <w:color w:val="000000" w:themeColor="text1"/>
          <w:sz w:val="24"/>
          <w:szCs w:val="24"/>
          <w:highlight w:val="none"/>
          <w14:textFill>
            <w14:solidFill>
              <w14:schemeClr w14:val="tx1"/>
            </w14:solidFill>
          </w14:textFill>
        </w:rPr>
        <w:t>协议属于本合同组成部分。</w:t>
      </w:r>
    </w:p>
    <w:p w14:paraId="322752B9">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8</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不可抗力</w:t>
      </w:r>
    </w:p>
    <w:p w14:paraId="7F6A4BAE">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.1 不可抗力是指合同双方不能预见、不能避免且不能克服的客观情况。</w:t>
      </w:r>
    </w:p>
    <w:p w14:paraId="67E001A1">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.2 任何一方对由于不可抗力造成的部分或全部不能履行合同不承担违约责任。但迟延履行后发生不可抗力的，不能免除责任。</w:t>
      </w:r>
    </w:p>
    <w:p w14:paraId="4FD7A402">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.3 遇有不可抗力的一方，应及时将事件情况以书面形式</w:t>
      </w:r>
      <w:r>
        <w:rPr>
          <w:rFonts w:hint="eastAsia" w:ascii="宋体" w:hAnsi="宋体" w:eastAsia="宋体" w:cs="宋体"/>
          <w:color w:val="000000" w:themeColor="text1"/>
          <w:sz w:val="24"/>
          <w:szCs w:val="24"/>
          <w:highlight w:val="none"/>
          <w:lang w:eastAsia="zh-CN"/>
          <w14:textFill>
            <w14:solidFill>
              <w14:schemeClr w14:val="tx1"/>
            </w14:solidFill>
          </w14:textFill>
        </w:rPr>
        <w:t>告</w:t>
      </w:r>
      <w:r>
        <w:rPr>
          <w:rFonts w:hint="eastAsia" w:ascii="宋体" w:hAnsi="宋体" w:eastAsia="宋体" w:cs="宋体"/>
          <w:color w:val="000000" w:themeColor="text1"/>
          <w:sz w:val="24"/>
          <w:szCs w:val="24"/>
          <w:highlight w:val="none"/>
          <w14:textFill>
            <w14:solidFill>
              <w14:schemeClr w14:val="tx1"/>
            </w14:solidFill>
          </w14:textFill>
        </w:rPr>
        <w:t>知另一方，并在事件发生后及时向另一方提交合同不能履行或部分不能履行或需要延期履行</w:t>
      </w:r>
      <w:r>
        <w:rPr>
          <w:rFonts w:hint="eastAsia" w:ascii="宋体" w:hAnsi="宋体" w:eastAsia="宋体" w:cs="宋体"/>
          <w:color w:val="000000" w:themeColor="text1"/>
          <w:sz w:val="24"/>
          <w:szCs w:val="24"/>
          <w:highlight w:val="none"/>
          <w:lang w:eastAsia="zh-CN"/>
          <w14:textFill>
            <w14:solidFill>
              <w14:schemeClr w14:val="tx1"/>
            </w14:solidFill>
          </w14:textFill>
        </w:rPr>
        <w:t>的详细</w:t>
      </w:r>
      <w:r>
        <w:rPr>
          <w:rFonts w:hint="eastAsia" w:ascii="宋体" w:hAnsi="宋体" w:eastAsia="宋体" w:cs="宋体"/>
          <w:color w:val="000000" w:themeColor="text1"/>
          <w:sz w:val="24"/>
          <w:szCs w:val="24"/>
          <w:highlight w:val="none"/>
          <w14:textFill>
            <w14:solidFill>
              <w14:schemeClr w14:val="tx1"/>
            </w14:solidFill>
          </w14:textFill>
        </w:rPr>
        <w:t>报告</w:t>
      </w:r>
      <w:r>
        <w:rPr>
          <w:rFonts w:hint="eastAsia" w:ascii="宋体" w:hAnsi="宋体" w:eastAsia="宋体" w:cs="宋体"/>
          <w:color w:val="000000" w:themeColor="text1"/>
          <w:sz w:val="24"/>
          <w:szCs w:val="24"/>
          <w:highlight w:val="none"/>
          <w:lang w:eastAsia="zh-CN"/>
          <w14:textFill>
            <w14:solidFill>
              <w14:schemeClr w14:val="tx1"/>
            </w14:solidFill>
          </w14:textFill>
        </w:rPr>
        <w:t>，以</w:t>
      </w:r>
      <w:r>
        <w:rPr>
          <w:rFonts w:hint="eastAsia" w:ascii="宋体" w:hAnsi="宋体" w:eastAsia="宋体" w:cs="宋体"/>
          <w:color w:val="000000" w:themeColor="text1"/>
          <w:sz w:val="24"/>
          <w:szCs w:val="24"/>
          <w:highlight w:val="none"/>
          <w:lang w:val="en-US" w:eastAsia="zh-CN"/>
          <w14:textFill>
            <w14:solidFill>
              <w14:schemeClr w14:val="tx1"/>
            </w14:solidFill>
          </w14:textFill>
        </w:rPr>
        <w:t>及证明不可抗力发生及其持续时间的证据</w:t>
      </w:r>
      <w:r>
        <w:rPr>
          <w:rFonts w:hint="eastAsia" w:ascii="宋体" w:hAnsi="宋体" w:eastAsia="宋体" w:cs="宋体"/>
          <w:color w:val="000000" w:themeColor="text1"/>
          <w:sz w:val="24"/>
          <w:szCs w:val="24"/>
          <w:highlight w:val="none"/>
          <w14:textFill>
            <w14:solidFill>
              <w14:schemeClr w14:val="tx1"/>
            </w14:solidFill>
          </w14:textFill>
        </w:rPr>
        <w:t>。</w:t>
      </w:r>
    </w:p>
    <w:p w14:paraId="1CD531D7">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19</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解决争议的方法</w:t>
      </w:r>
    </w:p>
    <w:p w14:paraId="6B37DECA">
      <w:pPr>
        <w:pStyle w:val="113"/>
        <w:pageBreakBefore w:val="0"/>
        <w:kinsoku/>
        <w:wordWrap/>
        <w:overflowPunct/>
        <w:topLinePunct w:val="0"/>
        <w:bidi w:val="0"/>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w:t>
      </w:r>
      <w:r>
        <w:rPr>
          <w:rFonts w:hint="eastAsia" w:ascii="宋体" w:hAnsi="宋体" w:eastAsia="宋体" w:cs="宋体"/>
          <w:color w:val="000000" w:themeColor="text1"/>
          <w:sz w:val="24"/>
          <w:szCs w:val="24"/>
          <w14:textFill>
            <w14:solidFill>
              <w14:schemeClr w14:val="tx1"/>
            </w14:solidFill>
          </w14:textFill>
        </w:rPr>
        <w:t>.1 因本合同及合同有关事项发生的争议，由</w:t>
      </w:r>
      <w:r>
        <w:rPr>
          <w:rFonts w:hint="eastAsia" w:ascii="宋体" w:hAnsi="宋体" w:eastAsia="宋体" w:cs="宋体"/>
          <w:color w:val="000000" w:themeColor="text1"/>
          <w:sz w:val="24"/>
          <w:szCs w:val="24"/>
          <w:lang w:eastAsia="zh-CN"/>
          <w14:textFill>
            <w14:solidFill>
              <w14:schemeClr w14:val="tx1"/>
            </w14:solidFill>
          </w14:textFill>
        </w:rPr>
        <w:t>甲乙双</w:t>
      </w:r>
      <w:r>
        <w:rPr>
          <w:rFonts w:hint="eastAsia" w:ascii="宋体" w:hAnsi="宋体" w:eastAsia="宋体" w:cs="宋体"/>
          <w:color w:val="000000" w:themeColor="text1"/>
          <w:sz w:val="24"/>
          <w:szCs w:val="24"/>
          <w14:textFill>
            <w14:solidFill>
              <w14:schemeClr w14:val="tx1"/>
            </w14:solidFill>
          </w14:textFill>
        </w:rPr>
        <w:t>方友好协商解决。协商不成时，可以</w:t>
      </w:r>
      <w:r>
        <w:rPr>
          <w:rFonts w:hint="eastAsia" w:ascii="宋体" w:hAnsi="宋体" w:eastAsia="宋体" w:cs="宋体"/>
          <w:color w:val="000000" w:themeColor="text1"/>
          <w:sz w:val="24"/>
          <w:szCs w:val="24"/>
          <w:lang w:eastAsia="zh-CN"/>
          <w14:textFill>
            <w14:solidFill>
              <w14:schemeClr w14:val="tx1"/>
            </w14:solidFill>
          </w14:textFill>
        </w:rPr>
        <w:t>向有关组织申请</w:t>
      </w:r>
      <w:r>
        <w:rPr>
          <w:rFonts w:hint="eastAsia" w:ascii="宋体" w:hAnsi="宋体" w:eastAsia="宋体" w:cs="宋体"/>
          <w:color w:val="000000" w:themeColor="text1"/>
          <w:sz w:val="24"/>
          <w:szCs w:val="24"/>
          <w14:textFill>
            <w14:solidFill>
              <w14:schemeClr w14:val="tx1"/>
            </w14:solidFill>
          </w14:textFill>
        </w:rPr>
        <w:t>调解。合同一方或</w:t>
      </w:r>
      <w:r>
        <w:rPr>
          <w:rFonts w:hint="eastAsia" w:ascii="宋体" w:hAnsi="宋体" w:eastAsia="宋体" w:cs="宋体"/>
          <w:color w:val="000000" w:themeColor="text1"/>
          <w:sz w:val="24"/>
          <w:szCs w:val="24"/>
          <w:lang w:eastAsia="zh-CN"/>
          <w14:textFill>
            <w14:solidFill>
              <w14:schemeClr w14:val="tx1"/>
            </w14:solidFill>
          </w14:textFill>
        </w:rPr>
        <w:t>双</w:t>
      </w:r>
      <w:r>
        <w:rPr>
          <w:rFonts w:hint="eastAsia" w:ascii="宋体" w:hAnsi="宋体" w:eastAsia="宋体" w:cs="宋体"/>
          <w:color w:val="000000" w:themeColor="text1"/>
          <w:sz w:val="24"/>
          <w:szCs w:val="24"/>
          <w14:textFill>
            <w14:solidFill>
              <w14:schemeClr w14:val="tx1"/>
            </w14:solidFill>
          </w14:textFill>
        </w:rPr>
        <w:t>方不愿调解或调解不成的，可以通过仲裁或诉讼的方式解决争议。</w:t>
      </w:r>
    </w:p>
    <w:p w14:paraId="28A75799">
      <w:pPr>
        <w:pStyle w:val="113"/>
        <w:pageBreakBefore w:val="0"/>
        <w:kinsoku/>
        <w:wordWrap/>
        <w:overflowPunct/>
        <w:topLinePunct w:val="0"/>
        <w:bidi w:val="0"/>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w:t>
      </w:r>
      <w:r>
        <w:rPr>
          <w:rFonts w:hint="eastAsia" w:ascii="宋体" w:hAnsi="宋体" w:eastAsia="宋体" w:cs="宋体"/>
          <w:color w:val="000000" w:themeColor="text1"/>
          <w:sz w:val="24"/>
          <w:szCs w:val="24"/>
          <w14:textFill>
            <w14:solidFill>
              <w14:schemeClr w14:val="tx1"/>
            </w14:solidFill>
          </w14:textFill>
        </w:rPr>
        <w:t>.2 选择仲裁的，应在</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中明确仲裁机构及仲裁地；通过诉讼方式解决的，可以在</w:t>
      </w:r>
      <w:r>
        <w:rPr>
          <w:rFonts w:hint="eastAsia" w:ascii="宋体" w:hAnsi="宋体" w:eastAsia="宋体" w:cs="宋体"/>
          <w:b/>
          <w:bCs/>
          <w:color w:val="000000" w:themeColor="text1"/>
          <w:sz w:val="24"/>
          <w:szCs w:val="24"/>
          <w:highlight w:val="none"/>
          <w14:textFill>
            <w14:solidFill>
              <w14:schemeClr w14:val="tx1"/>
            </w14:solidFill>
          </w14:textFill>
        </w:rPr>
        <w:t>【政府采购合同专用条款】</w:t>
      </w:r>
      <w:r>
        <w:rPr>
          <w:rFonts w:hint="eastAsia" w:ascii="宋体" w:hAnsi="宋体" w:eastAsia="宋体" w:cs="宋体"/>
          <w:color w:val="000000" w:themeColor="text1"/>
          <w:sz w:val="24"/>
          <w:szCs w:val="24"/>
          <w14:textFill>
            <w14:solidFill>
              <w14:schemeClr w14:val="tx1"/>
            </w14:solidFill>
          </w14:textFill>
        </w:rPr>
        <w:t>中进一步约定选择与争议有实际联系的地点的人民法院管辖，但管辖法院的约定不得违反级别管辖和专属管辖的规定。</w:t>
      </w:r>
    </w:p>
    <w:p w14:paraId="45CC7C72">
      <w:pPr>
        <w:pStyle w:val="113"/>
        <w:pageBreakBefore w:val="0"/>
        <w:kinsoku/>
        <w:wordWrap/>
        <w:overflowPunct/>
        <w:topLinePunct w:val="0"/>
        <w:bidi w:val="0"/>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w:t>
      </w:r>
      <w:r>
        <w:rPr>
          <w:rFonts w:hint="eastAsia" w:ascii="宋体" w:hAnsi="宋体" w:eastAsia="宋体" w:cs="宋体"/>
          <w:color w:val="000000" w:themeColor="text1"/>
          <w:sz w:val="24"/>
          <w:szCs w:val="24"/>
          <w14:textFill>
            <w14:solidFill>
              <w14:schemeClr w14:val="tx1"/>
            </w14:solidFill>
          </w14:textFill>
        </w:rPr>
        <w:t>.3 如</w:t>
      </w:r>
      <w:r>
        <w:rPr>
          <w:rFonts w:hint="eastAsia" w:ascii="宋体" w:hAnsi="宋体" w:eastAsia="宋体" w:cs="宋体"/>
          <w:color w:val="000000" w:themeColor="text1"/>
          <w:sz w:val="24"/>
          <w:szCs w:val="24"/>
          <w:lang w:eastAsia="zh-CN"/>
          <w14:textFill>
            <w14:solidFill>
              <w14:schemeClr w14:val="tx1"/>
            </w14:solidFill>
          </w14:textFill>
        </w:rPr>
        <w:t>甲乙双方</w:t>
      </w:r>
      <w:r>
        <w:rPr>
          <w:rFonts w:hint="eastAsia" w:ascii="宋体" w:hAnsi="宋体" w:eastAsia="宋体" w:cs="宋体"/>
          <w:color w:val="000000" w:themeColor="text1"/>
          <w:sz w:val="24"/>
          <w:szCs w:val="24"/>
          <w14:textFill>
            <w14:solidFill>
              <w14:schemeClr w14:val="tx1"/>
            </w14:solidFill>
          </w14:textFill>
        </w:rPr>
        <w:t>有争议的事项不影响合同其他部分的履行，在争议解决期间，合同其他部分应</w:t>
      </w:r>
      <w:r>
        <w:rPr>
          <w:rFonts w:hint="eastAsia" w:ascii="宋体" w:hAnsi="宋体" w:eastAsia="宋体" w:cs="宋体"/>
          <w:color w:val="000000" w:themeColor="text1"/>
          <w:sz w:val="24"/>
          <w:szCs w:val="24"/>
          <w:lang w:eastAsia="zh-CN"/>
          <w14:textFill>
            <w14:solidFill>
              <w14:schemeClr w14:val="tx1"/>
            </w14:solidFill>
          </w14:textFill>
        </w:rPr>
        <w:t>当</w:t>
      </w:r>
      <w:r>
        <w:rPr>
          <w:rFonts w:hint="eastAsia" w:ascii="宋体" w:hAnsi="宋体" w:eastAsia="宋体" w:cs="宋体"/>
          <w:color w:val="000000" w:themeColor="text1"/>
          <w:sz w:val="24"/>
          <w:szCs w:val="24"/>
          <w14:textFill>
            <w14:solidFill>
              <w14:schemeClr w14:val="tx1"/>
            </w14:solidFill>
          </w14:textFill>
        </w:rPr>
        <w:t>继续履行。</w:t>
      </w:r>
    </w:p>
    <w:p w14:paraId="7678841B">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20</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szCs w:val="24"/>
          <w:highlight w:val="none"/>
          <w14:textFill>
            <w14:solidFill>
              <w14:schemeClr w14:val="tx1"/>
            </w14:solidFill>
          </w14:textFill>
        </w:rPr>
        <w:t>政府采购政策</w:t>
      </w:r>
    </w:p>
    <w:p w14:paraId="43D8813D">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20.1 </w:t>
      </w:r>
      <w:r>
        <w:rPr>
          <w:rFonts w:hint="eastAsia" w:ascii="宋体" w:hAnsi="宋体" w:eastAsia="宋体" w:cs="宋体"/>
          <w:color w:val="000000" w:themeColor="text1"/>
          <w:sz w:val="24"/>
          <w:szCs w:val="24"/>
          <w:lang w:val="en-GB"/>
          <w14:textFill>
            <w14:solidFill>
              <w14:schemeClr w14:val="tx1"/>
            </w14:solidFill>
          </w14:textFill>
        </w:rPr>
        <w:t>本合同应当按照规定执行政府采购政策。</w:t>
      </w:r>
    </w:p>
    <w:p w14:paraId="2CF3A5CC">
      <w:pPr>
        <w:pageBreakBefore w:val="0"/>
        <w:kinsoku/>
        <w:wordWrap/>
        <w:overflowPunct/>
        <w:topLinePunct w:val="0"/>
        <w:autoSpaceDE w:val="0"/>
        <w:autoSpaceDN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 xml:space="preserve"> 本合同依法执行政府采购政策的方式和内容，属于合同履约验收的范围。</w:t>
      </w:r>
      <w:r>
        <w:rPr>
          <w:rFonts w:hint="eastAsia" w:ascii="宋体" w:hAnsi="宋体" w:eastAsia="宋体" w:cs="宋体"/>
          <w:color w:val="000000" w:themeColor="text1"/>
          <w:sz w:val="24"/>
          <w:szCs w:val="24"/>
          <w:lang w:eastAsia="zh-CN"/>
          <w14:textFill>
            <w14:solidFill>
              <w14:schemeClr w14:val="tx1"/>
            </w14:solidFill>
          </w14:textFill>
        </w:rPr>
        <w:t>甲乙双方</w:t>
      </w:r>
      <w:r>
        <w:rPr>
          <w:rFonts w:hint="eastAsia" w:ascii="宋体" w:hAnsi="宋体" w:eastAsia="宋体" w:cs="宋体"/>
          <w:color w:val="000000" w:themeColor="text1"/>
          <w:sz w:val="24"/>
          <w:szCs w:val="24"/>
          <w:lang w:val="en-GB"/>
          <w14:textFill>
            <w14:solidFill>
              <w14:schemeClr w14:val="tx1"/>
            </w14:solidFill>
          </w14:textFill>
        </w:rPr>
        <w:t>未按规定要求执行政府采购政策造成损失的</w:t>
      </w:r>
      <w:r>
        <w:rPr>
          <w:rFonts w:hint="eastAsia" w:ascii="宋体" w:hAnsi="宋体" w:eastAsia="宋体" w:cs="宋体"/>
          <w:color w:val="000000" w:themeColor="text1"/>
          <w:sz w:val="24"/>
          <w:szCs w:val="24"/>
          <w:highlight w:val="none"/>
          <w14:textFill>
            <w14:solidFill>
              <w14:schemeClr w14:val="tx1"/>
            </w14:solidFill>
          </w14:textFill>
        </w:rPr>
        <w:t>，有过错的一方应当承担赔偿责任，双方都有过错的，各自承担相应的责任。</w:t>
      </w:r>
    </w:p>
    <w:p w14:paraId="4DFE30BA">
      <w:pPr>
        <w:pStyle w:val="11"/>
        <w:pageBreakBefore w:val="0"/>
        <w:kinsoku/>
        <w:wordWrap/>
        <w:overflowPunct/>
        <w:topLinePunct w:val="0"/>
        <w:bidi w:val="0"/>
        <w:spacing w:after="0" w:line="56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 对于</w:t>
      </w:r>
      <w:r>
        <w:rPr>
          <w:rFonts w:hint="eastAsia" w:ascii="宋体" w:hAnsi="宋体" w:eastAsia="宋体" w:cs="宋体"/>
          <w:color w:val="000000" w:themeColor="text1"/>
          <w:sz w:val="24"/>
          <w:szCs w:val="24"/>
          <w:highlight w:val="none"/>
          <w:lang w:eastAsia="zh-CN"/>
          <w14:textFill>
            <w14:solidFill>
              <w14:schemeClr w14:val="tx1"/>
            </w14:solidFill>
          </w14:textFill>
        </w:rPr>
        <w:t>为落实中小企业支持政策，</w:t>
      </w:r>
      <w:r>
        <w:rPr>
          <w:rFonts w:hint="eastAsia" w:ascii="宋体" w:hAnsi="宋体" w:eastAsia="宋体" w:cs="宋体"/>
          <w:color w:val="000000" w:themeColor="text1"/>
          <w:sz w:val="24"/>
          <w:szCs w:val="24"/>
          <w:highlight w:val="none"/>
          <w14:textFill>
            <w14:solidFill>
              <w14:schemeClr w14:val="tx1"/>
            </w14:solidFill>
          </w14:textFill>
        </w:rPr>
        <w:t>通过采购项目</w:t>
      </w:r>
      <w:r>
        <w:rPr>
          <w:rFonts w:hint="eastAsia" w:ascii="宋体" w:hAnsi="宋体" w:eastAsia="宋体" w:cs="宋体"/>
          <w:color w:val="000000" w:themeColor="text1"/>
          <w:sz w:val="24"/>
          <w:szCs w:val="24"/>
          <w:highlight w:val="none"/>
          <w:lang w:eastAsia="zh-CN"/>
          <w14:textFill>
            <w14:solidFill>
              <w14:schemeClr w14:val="tx1"/>
            </w14:solidFill>
          </w14:textFill>
        </w:rPr>
        <w:t>整体</w:t>
      </w:r>
      <w:r>
        <w:rPr>
          <w:rFonts w:hint="eastAsia" w:ascii="宋体" w:hAnsi="宋体" w:eastAsia="宋体" w:cs="宋体"/>
          <w:color w:val="000000" w:themeColor="text1"/>
          <w:sz w:val="24"/>
          <w:szCs w:val="24"/>
          <w:highlight w:val="none"/>
          <w14:textFill>
            <w14:solidFill>
              <w14:schemeClr w14:val="tx1"/>
            </w14:solidFill>
          </w14:textFill>
        </w:rPr>
        <w:t>预留、</w:t>
      </w:r>
      <w:r>
        <w:rPr>
          <w:rFonts w:hint="eastAsia" w:ascii="宋体" w:hAnsi="宋体" w:eastAsia="宋体" w:cs="宋体"/>
          <w:color w:val="000000" w:themeColor="text1"/>
          <w:sz w:val="24"/>
          <w:szCs w:val="24"/>
          <w:highlight w:val="none"/>
          <w:lang w:eastAsia="zh-CN"/>
          <w14:textFill>
            <w14:solidFill>
              <w14:schemeClr w14:val="tx1"/>
            </w14:solidFill>
          </w14:textFill>
        </w:rPr>
        <w:t>设置</w:t>
      </w:r>
      <w:r>
        <w:rPr>
          <w:rFonts w:hint="eastAsia" w:ascii="宋体" w:hAnsi="宋体" w:eastAsia="宋体" w:cs="宋体"/>
          <w:color w:val="000000" w:themeColor="text1"/>
          <w:sz w:val="24"/>
          <w:szCs w:val="24"/>
          <w:highlight w:val="none"/>
          <w14:textFill>
            <w14:solidFill>
              <w14:schemeClr w14:val="tx1"/>
            </w14:solidFill>
          </w14:textFill>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B117557">
      <w:pPr>
        <w:pageBreakBefore w:val="0"/>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4"/>
          <w:szCs w:val="24"/>
          <w:highlight w:val="none"/>
          <w14:textFill>
            <w14:solidFill>
              <w14:schemeClr w14:val="tx1"/>
            </w14:solidFill>
          </w14:textFill>
        </w:rPr>
        <w:t>法律适用</w:t>
      </w:r>
    </w:p>
    <w:p w14:paraId="663DD76F">
      <w:pPr>
        <w:pStyle w:val="113"/>
        <w:pageBreakBefore w:val="0"/>
        <w:kinsoku/>
        <w:wordWrap/>
        <w:overflowPunct/>
        <w:topLinePunct w:val="0"/>
        <w:bidi w:val="0"/>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.1 本合同的订立、生效、解释、履行及与本合同有关的争议解决，均适用法律、行政法规。</w:t>
      </w:r>
    </w:p>
    <w:p w14:paraId="15B89813">
      <w:pPr>
        <w:pStyle w:val="113"/>
        <w:pageBreakBefore w:val="0"/>
        <w:kinsoku/>
        <w:wordWrap/>
        <w:overflowPunct/>
        <w:topLinePunct w:val="0"/>
        <w:bidi w:val="0"/>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.2 本合同条款与法律、行政法规的强制性规定不一致的，双方当事人应按照法律、行政法规的强制性规定修改本合同的相关条款。</w:t>
      </w:r>
    </w:p>
    <w:p w14:paraId="49390193">
      <w:pPr>
        <w:pageBreakBefore w:val="0"/>
        <w:numPr>
          <w:ilvl w:val="0"/>
          <w:numId w:val="0"/>
        </w:numPr>
        <w:kinsoku/>
        <w:wordWrap/>
        <w:overflowPunct/>
        <w:topLinePunct w:val="0"/>
        <w:autoSpaceDE w:val="0"/>
        <w:autoSpaceDN w:val="0"/>
        <w:bidi w:val="0"/>
        <w:adjustRightInd w:val="0"/>
        <w:snapToGrid w:val="0"/>
        <w:spacing w:before="0" w:line="560" w:lineRule="exact"/>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 xml:space="preserve">22. </w:t>
      </w:r>
      <w:r>
        <w:rPr>
          <w:rFonts w:hint="eastAsia" w:ascii="宋体" w:hAnsi="宋体" w:eastAsia="宋体" w:cs="宋体"/>
          <w:b/>
          <w:color w:val="000000" w:themeColor="text1"/>
          <w:sz w:val="24"/>
          <w:szCs w:val="24"/>
          <w:highlight w:val="none"/>
          <w14:textFill>
            <w14:solidFill>
              <w14:schemeClr w14:val="tx1"/>
            </w14:solidFill>
          </w14:textFill>
        </w:rPr>
        <w:t>通知</w:t>
      </w:r>
    </w:p>
    <w:p w14:paraId="08F13B51">
      <w:pPr>
        <w:pStyle w:val="113"/>
        <w:pageBreakBefore w:val="0"/>
        <w:kinsoku/>
        <w:wordWrap/>
        <w:overflowPunct/>
        <w:topLinePunct w:val="0"/>
        <w:bidi w:val="0"/>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本合同任何一方向对方发出的通知、信件、数据电文等，应当发送至本合同第一部分《政府采购合同协议书》所约定的通讯地址、联系人、联系电话或电子邮箱。</w:t>
      </w:r>
    </w:p>
    <w:p w14:paraId="23DC6B7F">
      <w:pPr>
        <w:pStyle w:val="113"/>
        <w:pageBreakBefore w:val="0"/>
        <w:kinsoku/>
        <w:wordWrap/>
        <w:overflowPunct/>
        <w:topLinePunct w:val="0"/>
        <w:bidi w:val="0"/>
        <w:spacing w:line="560" w:lineRule="exact"/>
        <w:ind w:firstLine="0" w:firstLineChars="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一方当事人变更名称、</w:t>
      </w:r>
      <w:r>
        <w:rPr>
          <w:rFonts w:hint="eastAsia" w:ascii="宋体" w:hAnsi="宋体" w:eastAsia="宋体" w:cs="宋体"/>
          <w:color w:val="000000" w:themeColor="text1"/>
          <w:sz w:val="24"/>
          <w:szCs w:val="24"/>
          <w:lang w:eastAsia="zh-CN"/>
          <w14:textFill>
            <w14:solidFill>
              <w14:schemeClr w14:val="tx1"/>
            </w14:solidFill>
          </w14:textFill>
        </w:rPr>
        <w:t>住所</w:t>
      </w:r>
      <w:r>
        <w:rPr>
          <w:rFonts w:hint="eastAsia" w:ascii="宋体" w:hAnsi="宋体" w:eastAsia="宋体" w:cs="宋体"/>
          <w:color w:val="000000" w:themeColor="text1"/>
          <w:sz w:val="24"/>
          <w:szCs w:val="24"/>
          <w14:textFill>
            <w14:solidFill>
              <w14:schemeClr w14:val="tx1"/>
            </w14:solidFill>
          </w14:textFill>
        </w:rPr>
        <w:t>、联系人、联系电话或电子邮箱</w:t>
      </w:r>
      <w:r>
        <w:rPr>
          <w:rFonts w:hint="eastAsia" w:ascii="宋体" w:hAnsi="宋体" w:eastAsia="宋体" w:cs="宋体"/>
          <w:color w:val="000000" w:themeColor="text1"/>
          <w:sz w:val="24"/>
          <w:szCs w:val="24"/>
          <w:lang w:eastAsia="zh-CN"/>
          <w14:textFill>
            <w14:solidFill>
              <w14:schemeClr w14:val="tx1"/>
            </w14:solidFill>
          </w14:textFill>
        </w:rPr>
        <w:t>等信息</w:t>
      </w:r>
      <w:r>
        <w:rPr>
          <w:rFonts w:hint="eastAsia" w:ascii="宋体" w:hAnsi="宋体" w:eastAsia="宋体" w:cs="宋体"/>
          <w:color w:val="000000" w:themeColor="text1"/>
          <w:sz w:val="24"/>
          <w:szCs w:val="24"/>
          <w14:textFill>
            <w14:solidFill>
              <w14:schemeClr w14:val="tx1"/>
            </w14:solidFill>
          </w14:textFill>
        </w:rPr>
        <w:t>的，应当在变更后3日内及时书面通知对方，对方实际收到变更通知前的送达仍为有效送达。</w:t>
      </w:r>
    </w:p>
    <w:p w14:paraId="2F189085">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本合同一方给另一方的通知均应采用书面形式，传真或快递送到本合同中规定的对方的地址和办理签收手续。</w:t>
      </w:r>
    </w:p>
    <w:p w14:paraId="0B2208F9">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通知以送达之日或通知书中规定的生效之日起生效，两者中以较迟之日为准。</w:t>
      </w:r>
    </w:p>
    <w:p w14:paraId="2C5966A1">
      <w:pPr>
        <w:pageBreakBefore w:val="0"/>
        <w:numPr>
          <w:ilvl w:val="0"/>
          <w:numId w:val="12"/>
        </w:numPr>
        <w:kinsoku/>
        <w:wordWrap/>
        <w:overflowPunct/>
        <w:topLinePunct w:val="0"/>
        <w:bidi w:val="0"/>
        <w:adjustRightInd w:val="0"/>
        <w:snapToGrid w:val="0"/>
        <w:spacing w:before="0" w:line="560" w:lineRule="exact"/>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合同未尽事项</w:t>
      </w:r>
    </w:p>
    <w:p w14:paraId="4DA908C3">
      <w:pPr>
        <w:pageBreakBefore w:val="0"/>
        <w:kinsoku/>
        <w:wordWrap/>
        <w:overflowPunct/>
        <w:topLinePunct w:val="0"/>
        <w:bidi w:val="0"/>
        <w:adjustRightInd w:val="0"/>
        <w:snapToGrid w:val="0"/>
        <w:spacing w:before="0" w:line="560" w:lineRule="exact"/>
        <w:ind w:firstLine="480" w:firstLineChars="20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Cs/>
          <w:color w:val="000000" w:themeColor="text1"/>
          <w:sz w:val="24"/>
          <w:szCs w:val="24"/>
          <w:highlight w:val="none"/>
          <w14:textFill>
            <w14:solidFill>
              <w14:schemeClr w14:val="tx1"/>
            </w14:solidFill>
          </w14:textFill>
        </w:rPr>
        <w:t>.1合同未尽事项见</w:t>
      </w:r>
      <w:r>
        <w:rPr>
          <w:rFonts w:hint="eastAsia" w:ascii="宋体" w:hAnsi="宋体" w:eastAsia="宋体" w:cs="宋体"/>
          <w:b/>
          <w:color w:val="000000" w:themeColor="text1"/>
          <w:sz w:val="24"/>
          <w:szCs w:val="24"/>
          <w:highlight w:val="none"/>
          <w14:textFill>
            <w14:solidFill>
              <w14:schemeClr w14:val="tx1"/>
            </w14:solidFill>
          </w14:textFill>
        </w:rPr>
        <w:t>【政府采购合同专用条款】</w:t>
      </w:r>
      <w:r>
        <w:rPr>
          <w:rFonts w:hint="eastAsia" w:ascii="宋体" w:hAnsi="宋体" w:eastAsia="宋体" w:cs="宋体"/>
          <w:bCs/>
          <w:color w:val="000000" w:themeColor="text1"/>
          <w:sz w:val="24"/>
          <w:szCs w:val="24"/>
          <w:highlight w:val="none"/>
          <w14:textFill>
            <w14:solidFill>
              <w14:schemeClr w14:val="tx1"/>
            </w14:solidFill>
          </w14:textFill>
        </w:rPr>
        <w:t>。</w:t>
      </w:r>
    </w:p>
    <w:p w14:paraId="06638FAD">
      <w:pPr>
        <w:pageBreakBefore w:val="0"/>
        <w:kinsoku/>
        <w:wordWrap/>
        <w:overflowPunct/>
        <w:topLinePunct w:val="0"/>
        <w:bidi w:val="0"/>
        <w:adjustRightInd w:val="0"/>
        <w:snapToGrid w:val="0"/>
        <w:spacing w:line="560" w:lineRule="exact"/>
        <w:ind w:firstLine="0" w:firstLineChars="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 xml:space="preserve">    23.2 合同附件与合同正文具有同等的法律效力。</w:t>
      </w:r>
      <w:bookmarkStart w:id="840" w:name="_Toc20313"/>
    </w:p>
    <w:p w14:paraId="61DA007A">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br w:type="page"/>
      </w:r>
      <w:r>
        <w:rPr>
          <w:rFonts w:hint="eastAsia" w:ascii="宋体" w:hAnsi="宋体" w:eastAsia="宋体" w:cs="宋体"/>
          <w:b/>
          <w:bCs/>
          <w:color w:val="000000" w:themeColor="text1"/>
          <w:sz w:val="24"/>
          <w:szCs w:val="24"/>
          <w14:textFill>
            <w14:solidFill>
              <w14:schemeClr w14:val="tx1"/>
            </w14:solidFill>
          </w14:textFill>
        </w:rPr>
        <w:t>第三节 政府采购合同专用条款</w:t>
      </w:r>
      <w:bookmarkEnd w:id="840"/>
    </w:p>
    <w:p w14:paraId="50E7388F">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b w:val="0"/>
          <w:bCs w:val="0"/>
          <w:color w:val="000000" w:themeColor="text1"/>
          <w:sz w:val="24"/>
          <w:szCs w:val="24"/>
          <w14:textFill>
            <w14:solidFill>
              <w14:schemeClr w14:val="tx1"/>
            </w14:solidFill>
          </w14:textFill>
        </w:rPr>
      </w:pPr>
    </w:p>
    <w:tbl>
      <w:tblPr>
        <w:tblStyle w:val="35"/>
        <w:tblW w:w="85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576941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65D00E8C">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1E21FD31">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）项</w:t>
            </w:r>
          </w:p>
        </w:tc>
        <w:tc>
          <w:tcPr>
            <w:tcW w:w="1742" w:type="dxa"/>
            <w:noWrap w:val="0"/>
            <w:vAlign w:val="center"/>
          </w:tcPr>
          <w:p w14:paraId="14D5D27F">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联合体具体要求</w:t>
            </w:r>
          </w:p>
        </w:tc>
        <w:tc>
          <w:tcPr>
            <w:tcW w:w="5170" w:type="dxa"/>
            <w:noWrap w:val="0"/>
            <w:vAlign w:val="center"/>
          </w:tcPr>
          <w:p w14:paraId="0BE35BE6">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9401E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607" w:type="dxa"/>
            <w:noWrap w:val="0"/>
            <w:vAlign w:val="center"/>
          </w:tcPr>
          <w:p w14:paraId="4EA1977A">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07DCD04F">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第1.2（</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）项</w:t>
            </w:r>
          </w:p>
        </w:tc>
        <w:tc>
          <w:tcPr>
            <w:tcW w:w="1742" w:type="dxa"/>
            <w:noWrap w:val="0"/>
            <w:vAlign w:val="center"/>
          </w:tcPr>
          <w:p w14:paraId="280DF9F0">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其他术语解释</w:t>
            </w:r>
          </w:p>
        </w:tc>
        <w:tc>
          <w:tcPr>
            <w:tcW w:w="5170" w:type="dxa"/>
            <w:noWrap w:val="0"/>
            <w:vAlign w:val="center"/>
          </w:tcPr>
          <w:p w14:paraId="7C9E89C9">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p>
        </w:tc>
      </w:tr>
      <w:tr w14:paraId="75D368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EA27D53">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6F31EC3B">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4.4款</w:t>
            </w:r>
          </w:p>
        </w:tc>
        <w:tc>
          <w:tcPr>
            <w:tcW w:w="1742" w:type="dxa"/>
            <w:noWrap w:val="0"/>
            <w:vAlign w:val="center"/>
          </w:tcPr>
          <w:p w14:paraId="53F4D721">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履约验收中甲方提出异议或作出说明的期限</w:t>
            </w:r>
          </w:p>
        </w:tc>
        <w:tc>
          <w:tcPr>
            <w:tcW w:w="5170" w:type="dxa"/>
            <w:noWrap w:val="0"/>
            <w:vAlign w:val="center"/>
          </w:tcPr>
          <w:p w14:paraId="3EBFC700">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p>
        </w:tc>
      </w:tr>
      <w:tr w14:paraId="0F536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7085F00">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47572A4D">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4.6款</w:t>
            </w:r>
          </w:p>
        </w:tc>
        <w:tc>
          <w:tcPr>
            <w:tcW w:w="1742" w:type="dxa"/>
            <w:noWrap w:val="0"/>
            <w:vAlign w:val="center"/>
          </w:tcPr>
          <w:p w14:paraId="208F5390">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约定甲方承担的其他义务和责任</w:t>
            </w:r>
          </w:p>
        </w:tc>
        <w:tc>
          <w:tcPr>
            <w:tcW w:w="5170" w:type="dxa"/>
            <w:noWrap w:val="0"/>
            <w:vAlign w:val="center"/>
          </w:tcPr>
          <w:p w14:paraId="3089D417">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p>
        </w:tc>
      </w:tr>
      <w:tr w14:paraId="269FB3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DDF4417">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第二节</w:t>
            </w:r>
          </w:p>
          <w:p w14:paraId="2C96888D">
            <w:pPr>
              <w:pageBreakBefore w:val="0"/>
              <w:kinsoku/>
              <w:wordWrap/>
              <w:overflowPunct/>
              <w:topLinePunct w:val="0"/>
              <w:bidi w:val="0"/>
              <w:snapToGrid w:val="0"/>
              <w:spacing w:line="56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5.4款</w:t>
            </w:r>
          </w:p>
        </w:tc>
        <w:tc>
          <w:tcPr>
            <w:tcW w:w="1742" w:type="dxa"/>
            <w:noWrap w:val="0"/>
            <w:vAlign w:val="center"/>
          </w:tcPr>
          <w:p w14:paraId="04E9D626">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约定乙方承担的其他义务和责任</w:t>
            </w:r>
          </w:p>
        </w:tc>
        <w:tc>
          <w:tcPr>
            <w:tcW w:w="5170" w:type="dxa"/>
            <w:noWrap w:val="0"/>
            <w:vAlign w:val="center"/>
          </w:tcPr>
          <w:p w14:paraId="28DEE188">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p>
        </w:tc>
      </w:tr>
      <w:tr w14:paraId="011212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60C025D">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第二节</w:t>
            </w:r>
          </w:p>
          <w:p w14:paraId="65C56EEA">
            <w:pPr>
              <w:pageBreakBefore w:val="0"/>
              <w:kinsoku/>
              <w:wordWrap/>
              <w:overflowPunct/>
              <w:topLinePunct w:val="0"/>
              <w:bidi w:val="0"/>
              <w:snapToGrid w:val="0"/>
              <w:spacing w:line="560" w:lineRule="exact"/>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6.1款</w:t>
            </w:r>
          </w:p>
        </w:tc>
        <w:tc>
          <w:tcPr>
            <w:tcW w:w="1742" w:type="dxa"/>
            <w:noWrap w:val="0"/>
            <w:vAlign w:val="center"/>
          </w:tcPr>
          <w:p w14:paraId="1C6C9273">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履行合同义务的顺序</w:t>
            </w:r>
          </w:p>
        </w:tc>
        <w:tc>
          <w:tcPr>
            <w:tcW w:w="5170" w:type="dxa"/>
            <w:noWrap w:val="0"/>
            <w:vAlign w:val="center"/>
          </w:tcPr>
          <w:p w14:paraId="7D986C4C">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p>
        </w:tc>
      </w:tr>
      <w:tr w14:paraId="18DDA6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restart"/>
            <w:noWrap w:val="0"/>
            <w:vAlign w:val="center"/>
          </w:tcPr>
          <w:p w14:paraId="0EED7FA3">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70747B57">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款</w:t>
            </w:r>
          </w:p>
        </w:tc>
        <w:tc>
          <w:tcPr>
            <w:tcW w:w="1742" w:type="dxa"/>
            <w:noWrap w:val="0"/>
            <w:vAlign w:val="center"/>
          </w:tcPr>
          <w:p w14:paraId="36A8023E">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包装</w:t>
            </w:r>
            <w:r>
              <w:rPr>
                <w:rFonts w:hint="eastAsia" w:ascii="宋体" w:hAnsi="宋体" w:eastAsia="宋体" w:cs="宋体"/>
                <w:color w:val="000000" w:themeColor="text1"/>
                <w:sz w:val="24"/>
                <w:szCs w:val="24"/>
                <w:lang w:eastAsia="zh-CN"/>
                <w14:textFill>
                  <w14:solidFill>
                    <w14:schemeClr w14:val="tx1"/>
                  </w14:solidFill>
                </w14:textFill>
              </w:rPr>
              <w:t>特殊要求</w:t>
            </w:r>
          </w:p>
        </w:tc>
        <w:tc>
          <w:tcPr>
            <w:tcW w:w="5170" w:type="dxa"/>
            <w:noWrap w:val="0"/>
            <w:vAlign w:val="center"/>
          </w:tcPr>
          <w:p w14:paraId="39540457">
            <w:pPr>
              <w:pageBreakBefore w:val="0"/>
              <w:kinsoku/>
              <w:wordWrap/>
              <w:overflowPunct/>
              <w:topLinePunct w:val="0"/>
              <w:bidi w:val="0"/>
              <w:spacing w:line="560" w:lineRule="exact"/>
              <w:textAlignment w:val="auto"/>
              <w:rPr>
                <w:rFonts w:hint="eastAsia" w:ascii="宋体" w:hAnsi="宋体" w:eastAsia="宋体" w:cs="宋体"/>
                <w:color w:val="000000" w:themeColor="text1"/>
                <w:sz w:val="24"/>
                <w:szCs w:val="24"/>
                <w14:textFill>
                  <w14:solidFill>
                    <w14:schemeClr w14:val="tx1"/>
                  </w14:solidFill>
                </w14:textFill>
              </w:rPr>
            </w:pPr>
          </w:p>
        </w:tc>
      </w:tr>
      <w:tr w14:paraId="15D877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continue"/>
            <w:noWrap w:val="0"/>
            <w:vAlign w:val="center"/>
          </w:tcPr>
          <w:p w14:paraId="0FE81AA1">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742" w:type="dxa"/>
            <w:noWrap w:val="0"/>
            <w:vAlign w:val="center"/>
          </w:tcPr>
          <w:p w14:paraId="267A74C1">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指定现场</w:t>
            </w:r>
          </w:p>
        </w:tc>
        <w:tc>
          <w:tcPr>
            <w:tcW w:w="5170" w:type="dxa"/>
            <w:noWrap w:val="0"/>
            <w:vAlign w:val="center"/>
          </w:tcPr>
          <w:p w14:paraId="2617272B">
            <w:pPr>
              <w:pageBreakBefore w:val="0"/>
              <w:kinsoku/>
              <w:wordWrap/>
              <w:overflowPunct/>
              <w:topLinePunct w:val="0"/>
              <w:bidi w:val="0"/>
              <w:spacing w:line="560" w:lineRule="exact"/>
              <w:textAlignment w:val="auto"/>
              <w:rPr>
                <w:rFonts w:hint="eastAsia" w:ascii="宋体" w:hAnsi="宋体" w:eastAsia="宋体" w:cs="宋体"/>
                <w:color w:val="000000" w:themeColor="text1"/>
                <w:sz w:val="24"/>
                <w:szCs w:val="24"/>
                <w14:textFill>
                  <w14:solidFill>
                    <w14:schemeClr w14:val="tx1"/>
                  </w14:solidFill>
                </w14:textFill>
              </w:rPr>
            </w:pPr>
          </w:p>
        </w:tc>
      </w:tr>
      <w:tr w14:paraId="20637D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07" w:type="dxa"/>
            <w:noWrap w:val="0"/>
            <w:vAlign w:val="center"/>
          </w:tcPr>
          <w:p w14:paraId="09BC12E6">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6991B80C">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款</w:t>
            </w:r>
          </w:p>
        </w:tc>
        <w:tc>
          <w:tcPr>
            <w:tcW w:w="1742" w:type="dxa"/>
            <w:noWrap w:val="0"/>
            <w:vAlign w:val="center"/>
          </w:tcPr>
          <w:p w14:paraId="614973D8">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运输特殊要求</w:t>
            </w:r>
          </w:p>
        </w:tc>
        <w:tc>
          <w:tcPr>
            <w:tcW w:w="5170" w:type="dxa"/>
            <w:noWrap w:val="0"/>
            <w:vAlign w:val="center"/>
          </w:tcPr>
          <w:p w14:paraId="0AE9B8DF">
            <w:pPr>
              <w:pageBreakBefore w:val="0"/>
              <w:kinsoku/>
              <w:wordWrap/>
              <w:overflowPunct/>
              <w:topLinePunct w:val="0"/>
              <w:bidi w:val="0"/>
              <w:spacing w:line="560" w:lineRule="exact"/>
              <w:textAlignment w:val="auto"/>
              <w:rPr>
                <w:rFonts w:hint="eastAsia" w:ascii="宋体" w:hAnsi="宋体" w:eastAsia="宋体" w:cs="宋体"/>
                <w:color w:val="000000" w:themeColor="text1"/>
                <w:sz w:val="24"/>
                <w:szCs w:val="24"/>
                <w14:textFill>
                  <w14:solidFill>
                    <w14:schemeClr w14:val="tx1"/>
                  </w14:solidFill>
                </w14:textFill>
              </w:rPr>
            </w:pPr>
          </w:p>
        </w:tc>
      </w:tr>
      <w:tr w14:paraId="1DEB72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noWrap w:val="0"/>
            <w:vAlign w:val="center"/>
          </w:tcPr>
          <w:p w14:paraId="1D1C12D1">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0AFA737A">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款</w:t>
            </w:r>
          </w:p>
        </w:tc>
        <w:tc>
          <w:tcPr>
            <w:tcW w:w="1742" w:type="dxa"/>
            <w:noWrap w:val="0"/>
            <w:vAlign w:val="center"/>
          </w:tcPr>
          <w:p w14:paraId="563DFF23">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保险要求</w:t>
            </w:r>
          </w:p>
        </w:tc>
        <w:tc>
          <w:tcPr>
            <w:tcW w:w="5170" w:type="dxa"/>
            <w:noWrap w:val="0"/>
            <w:vAlign w:val="center"/>
          </w:tcPr>
          <w:p w14:paraId="3699D4FA">
            <w:pPr>
              <w:pageBreakBefore w:val="0"/>
              <w:kinsoku/>
              <w:wordWrap/>
              <w:overflowPunct/>
              <w:topLinePunct w:val="0"/>
              <w:bidi w:val="0"/>
              <w:spacing w:line="560" w:lineRule="exact"/>
              <w:textAlignment w:val="auto"/>
              <w:rPr>
                <w:rFonts w:hint="eastAsia" w:ascii="宋体" w:hAnsi="宋体" w:eastAsia="宋体" w:cs="宋体"/>
                <w:color w:val="000000" w:themeColor="text1"/>
                <w:sz w:val="24"/>
                <w:szCs w:val="24"/>
                <w14:textFill>
                  <w14:solidFill>
                    <w14:schemeClr w14:val="tx1"/>
                  </w14:solidFill>
                </w14:textFill>
              </w:rPr>
            </w:pPr>
          </w:p>
        </w:tc>
      </w:tr>
      <w:tr w14:paraId="7069C7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ECE3685">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7D4B1798">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.2（1）项</w:t>
            </w:r>
          </w:p>
        </w:tc>
        <w:tc>
          <w:tcPr>
            <w:tcW w:w="1742" w:type="dxa"/>
            <w:noWrap w:val="0"/>
            <w:vAlign w:val="center"/>
          </w:tcPr>
          <w:p w14:paraId="509B18F3">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质量保证期</w:t>
            </w:r>
          </w:p>
        </w:tc>
        <w:tc>
          <w:tcPr>
            <w:tcW w:w="5170" w:type="dxa"/>
            <w:noWrap w:val="0"/>
            <w:vAlign w:val="center"/>
          </w:tcPr>
          <w:p w14:paraId="38F3EEF2">
            <w:pPr>
              <w:pageBreakBefore w:val="0"/>
              <w:kinsoku/>
              <w:wordWrap/>
              <w:overflowPunct/>
              <w:topLinePunct w:val="0"/>
              <w:autoSpaceDE w:val="0"/>
              <w:autoSpaceDN w:val="0"/>
              <w:bidi w:val="0"/>
              <w:adjustRightInd w:val="0"/>
              <w:snapToGrid w:val="0"/>
              <w:spacing w:line="560" w:lineRule="exact"/>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71E584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8EC1392">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67E6FC50">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.2（3）项</w:t>
            </w:r>
          </w:p>
        </w:tc>
        <w:tc>
          <w:tcPr>
            <w:tcW w:w="1742" w:type="dxa"/>
            <w:noWrap w:val="0"/>
            <w:vAlign w:val="center"/>
          </w:tcPr>
          <w:p w14:paraId="1A8E7C95">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货物质量缺陷</w:t>
            </w:r>
          </w:p>
          <w:p w14:paraId="2EEB499C">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响应时间</w:t>
            </w:r>
          </w:p>
        </w:tc>
        <w:tc>
          <w:tcPr>
            <w:tcW w:w="5170" w:type="dxa"/>
            <w:noWrap w:val="0"/>
            <w:vAlign w:val="center"/>
          </w:tcPr>
          <w:p w14:paraId="46C46DDB">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4A47F0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F94D84C">
            <w:pPr>
              <w:pageBreakBefore w:val="0"/>
              <w:kinsoku/>
              <w:wordWrap/>
              <w:overflowPunct/>
              <w:topLinePunct w:val="0"/>
              <w:bidi w:val="0"/>
              <w:snapToGrid w:val="0"/>
              <w:spacing w:line="56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第二节</w:t>
            </w:r>
          </w:p>
          <w:p w14:paraId="4D6CE74D">
            <w:pPr>
              <w:pStyle w:val="113"/>
              <w:pageBreakBefore w:val="0"/>
              <w:kinsoku/>
              <w:wordWrap/>
              <w:overflowPunct/>
              <w:topLinePunct w:val="0"/>
              <w:bidi w:val="0"/>
              <w:spacing w:line="560" w:lineRule="exact"/>
              <w:ind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第11.1款</w:t>
            </w:r>
          </w:p>
        </w:tc>
        <w:tc>
          <w:tcPr>
            <w:tcW w:w="1742" w:type="dxa"/>
            <w:noWrap w:val="0"/>
            <w:vAlign w:val="center"/>
          </w:tcPr>
          <w:p w14:paraId="5DE45323">
            <w:pPr>
              <w:pageBreakBefore w:val="0"/>
              <w:kinsoku/>
              <w:wordWrap/>
              <w:overflowPunct/>
              <w:topLinePunct w:val="0"/>
              <w:bidi w:val="0"/>
              <w:adjustRightInd w:val="0"/>
              <w:snapToGrid w:val="0"/>
              <w:spacing w:line="560" w:lineRule="exact"/>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其他应当保密的信息</w:t>
            </w:r>
          </w:p>
        </w:tc>
        <w:tc>
          <w:tcPr>
            <w:tcW w:w="5170" w:type="dxa"/>
            <w:noWrap w:val="0"/>
            <w:vAlign w:val="center"/>
          </w:tcPr>
          <w:p w14:paraId="4229FACD">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451AF8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4E9FEDFF">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32A7FAD9">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.2款</w:t>
            </w:r>
          </w:p>
        </w:tc>
        <w:tc>
          <w:tcPr>
            <w:tcW w:w="1742" w:type="dxa"/>
            <w:noWrap w:val="0"/>
            <w:vAlign w:val="center"/>
          </w:tcPr>
          <w:p w14:paraId="04DFC950">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合同价款支付</w:t>
            </w:r>
            <w:r>
              <w:rPr>
                <w:rFonts w:hint="eastAsia" w:ascii="宋体" w:hAnsi="宋体" w:eastAsia="宋体" w:cs="宋体"/>
                <w:color w:val="000000" w:themeColor="text1"/>
                <w:sz w:val="24"/>
                <w:szCs w:val="24"/>
                <w:lang w:eastAsia="zh-CN"/>
                <w14:textFill>
                  <w14:solidFill>
                    <w14:schemeClr w14:val="tx1"/>
                  </w14:solidFill>
                </w14:textFill>
              </w:rPr>
              <w:t>时间</w:t>
            </w:r>
          </w:p>
        </w:tc>
        <w:tc>
          <w:tcPr>
            <w:tcW w:w="5170" w:type="dxa"/>
            <w:noWrap w:val="0"/>
            <w:vAlign w:val="center"/>
          </w:tcPr>
          <w:p w14:paraId="777A872B">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73E1B1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1C3237E2">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1DFA22EC">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13.2</w:t>
            </w:r>
            <w:r>
              <w:rPr>
                <w:rFonts w:hint="eastAsia" w:ascii="宋体" w:hAnsi="宋体" w:eastAsia="宋体" w:cs="宋体"/>
                <w:color w:val="000000" w:themeColor="text1"/>
                <w:sz w:val="24"/>
                <w:szCs w:val="24"/>
                <w14:textFill>
                  <w14:solidFill>
                    <w14:schemeClr w14:val="tx1"/>
                  </w14:solidFill>
                </w14:textFill>
              </w:rPr>
              <w:t>款</w:t>
            </w:r>
          </w:p>
        </w:tc>
        <w:tc>
          <w:tcPr>
            <w:tcW w:w="1742" w:type="dxa"/>
            <w:noWrap w:val="0"/>
            <w:vAlign w:val="center"/>
          </w:tcPr>
          <w:p w14:paraId="20AC8353">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履约保证金不予退还的情形</w:t>
            </w:r>
          </w:p>
        </w:tc>
        <w:tc>
          <w:tcPr>
            <w:tcW w:w="5170" w:type="dxa"/>
            <w:noWrap w:val="0"/>
            <w:vAlign w:val="center"/>
          </w:tcPr>
          <w:p w14:paraId="19C6A692">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69AE2D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938710C">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627C8F1A">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13.3</w:t>
            </w:r>
            <w:r>
              <w:rPr>
                <w:rFonts w:hint="eastAsia" w:ascii="宋体" w:hAnsi="宋体" w:eastAsia="宋体" w:cs="宋体"/>
                <w:color w:val="000000" w:themeColor="text1"/>
                <w:sz w:val="24"/>
                <w:szCs w:val="24"/>
                <w14:textFill>
                  <w14:solidFill>
                    <w14:schemeClr w14:val="tx1"/>
                  </w14:solidFill>
                </w14:textFill>
              </w:rPr>
              <w:t>款</w:t>
            </w:r>
          </w:p>
        </w:tc>
        <w:tc>
          <w:tcPr>
            <w:tcW w:w="1742" w:type="dxa"/>
            <w:noWrap w:val="0"/>
            <w:vAlign w:val="center"/>
          </w:tcPr>
          <w:p w14:paraId="1CA9F738">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履约保证金退还时间及</w:t>
            </w:r>
            <w:r>
              <w:rPr>
                <w:rFonts w:hint="eastAsia" w:ascii="宋体" w:hAnsi="宋体" w:eastAsia="宋体" w:cs="宋体"/>
                <w:color w:val="000000" w:themeColor="text1"/>
                <w:sz w:val="24"/>
                <w:szCs w:val="24"/>
                <w:lang w:eastAsia="zh-CN"/>
                <w14:textFill>
                  <w14:solidFill>
                    <w14:schemeClr w14:val="tx1"/>
                  </w14:solidFill>
                </w14:textFill>
              </w:rPr>
              <w:t>逾期退还的</w:t>
            </w:r>
            <w:r>
              <w:rPr>
                <w:rFonts w:hint="eastAsia" w:ascii="宋体" w:hAnsi="宋体" w:eastAsia="宋体" w:cs="宋体"/>
                <w:color w:val="000000" w:themeColor="text1"/>
                <w:sz w:val="24"/>
                <w:szCs w:val="24"/>
                <w14:textFill>
                  <w14:solidFill>
                    <w14:schemeClr w14:val="tx1"/>
                  </w14:solidFill>
                </w14:textFill>
              </w:rPr>
              <w:t>违约金</w:t>
            </w:r>
          </w:p>
        </w:tc>
        <w:tc>
          <w:tcPr>
            <w:tcW w:w="5170" w:type="dxa"/>
            <w:noWrap w:val="0"/>
            <w:vAlign w:val="center"/>
          </w:tcPr>
          <w:p w14:paraId="0DFFF371">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3849CC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7E957C95">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32D71349">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）项</w:t>
            </w:r>
          </w:p>
        </w:tc>
        <w:tc>
          <w:tcPr>
            <w:tcW w:w="1742" w:type="dxa"/>
            <w:noWrap w:val="0"/>
            <w:vAlign w:val="center"/>
          </w:tcPr>
          <w:p w14:paraId="6F68108D">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运行监督、维修期限</w:t>
            </w:r>
          </w:p>
        </w:tc>
        <w:tc>
          <w:tcPr>
            <w:tcW w:w="5170" w:type="dxa"/>
            <w:noWrap w:val="0"/>
            <w:vAlign w:val="center"/>
          </w:tcPr>
          <w:p w14:paraId="095B4217">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72C174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47FF353C">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7D3CD8C6">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）项</w:t>
            </w:r>
          </w:p>
        </w:tc>
        <w:tc>
          <w:tcPr>
            <w:tcW w:w="1742" w:type="dxa"/>
            <w:noWrap w:val="0"/>
            <w:vAlign w:val="center"/>
          </w:tcPr>
          <w:p w14:paraId="63BB7482">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货物回收的约定</w:t>
            </w:r>
          </w:p>
        </w:tc>
        <w:tc>
          <w:tcPr>
            <w:tcW w:w="5170" w:type="dxa"/>
            <w:noWrap w:val="0"/>
            <w:vAlign w:val="center"/>
          </w:tcPr>
          <w:p w14:paraId="5150FA42">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6F99AE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6483530D">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52C8C336">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）项</w:t>
            </w:r>
          </w:p>
        </w:tc>
        <w:tc>
          <w:tcPr>
            <w:tcW w:w="1742" w:type="dxa"/>
            <w:noWrap w:val="0"/>
            <w:vAlign w:val="center"/>
          </w:tcPr>
          <w:p w14:paraId="7DCE9EA2">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乙方提供的其他服务</w:t>
            </w:r>
          </w:p>
        </w:tc>
        <w:tc>
          <w:tcPr>
            <w:tcW w:w="5170" w:type="dxa"/>
            <w:noWrap w:val="0"/>
            <w:vAlign w:val="center"/>
          </w:tcPr>
          <w:p w14:paraId="51B69F06">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3D63E5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5A110EE">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2A13656E">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1款</w:t>
            </w:r>
          </w:p>
        </w:tc>
        <w:tc>
          <w:tcPr>
            <w:tcW w:w="1742" w:type="dxa"/>
            <w:noWrap w:val="0"/>
            <w:vAlign w:val="center"/>
          </w:tcPr>
          <w:p w14:paraId="28BF4F9C">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修理、重作、更换相关具体规定</w:t>
            </w:r>
          </w:p>
        </w:tc>
        <w:tc>
          <w:tcPr>
            <w:tcW w:w="5170" w:type="dxa"/>
            <w:noWrap w:val="0"/>
            <w:vAlign w:val="center"/>
          </w:tcPr>
          <w:p w14:paraId="2FBD788F">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p>
        </w:tc>
      </w:tr>
      <w:tr w14:paraId="67F1FC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9349DC8">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4C1D9803">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.2（2）项</w:t>
            </w:r>
          </w:p>
        </w:tc>
        <w:tc>
          <w:tcPr>
            <w:tcW w:w="1742" w:type="dxa"/>
            <w:noWrap w:val="0"/>
            <w:vAlign w:val="center"/>
          </w:tcPr>
          <w:p w14:paraId="4EA23E77">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迟延交货赔偿费</w:t>
            </w:r>
          </w:p>
        </w:tc>
        <w:tc>
          <w:tcPr>
            <w:tcW w:w="5170" w:type="dxa"/>
            <w:noWrap w:val="0"/>
            <w:vAlign w:val="center"/>
          </w:tcPr>
          <w:p w14:paraId="0FDF6060">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u w:val="single"/>
                <w14:textFill>
                  <w14:solidFill>
                    <w14:schemeClr w14:val="tx1"/>
                  </w14:solidFill>
                </w14:textFill>
              </w:rPr>
            </w:pPr>
          </w:p>
        </w:tc>
      </w:tr>
      <w:tr w14:paraId="753EC2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7CEC253">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396031AD">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3款</w:t>
            </w:r>
          </w:p>
        </w:tc>
        <w:tc>
          <w:tcPr>
            <w:tcW w:w="1742" w:type="dxa"/>
            <w:noWrap w:val="0"/>
            <w:vAlign w:val="center"/>
          </w:tcPr>
          <w:p w14:paraId="20F91F2E">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逾期付款利息</w:t>
            </w:r>
          </w:p>
        </w:tc>
        <w:tc>
          <w:tcPr>
            <w:tcW w:w="5170" w:type="dxa"/>
            <w:noWrap w:val="0"/>
            <w:vAlign w:val="center"/>
          </w:tcPr>
          <w:p w14:paraId="3452A9CA">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u w:val="single"/>
                <w14:textFill>
                  <w14:solidFill>
                    <w14:schemeClr w14:val="tx1"/>
                  </w14:solidFill>
                </w14:textFill>
              </w:rPr>
            </w:pPr>
          </w:p>
        </w:tc>
      </w:tr>
      <w:tr w14:paraId="1660A1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07" w:type="dxa"/>
            <w:tcBorders>
              <w:bottom w:val="single" w:color="auto" w:sz="2" w:space="0"/>
              <w:right w:val="single" w:color="auto" w:sz="2" w:space="0"/>
            </w:tcBorders>
            <w:noWrap w:val="0"/>
            <w:vAlign w:val="center"/>
          </w:tcPr>
          <w:p w14:paraId="41820C02">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6C649FCC">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第1</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款</w:t>
            </w:r>
          </w:p>
        </w:tc>
        <w:tc>
          <w:tcPr>
            <w:tcW w:w="1742" w:type="dxa"/>
            <w:tcBorders>
              <w:left w:val="single" w:color="auto" w:sz="2" w:space="0"/>
              <w:bottom w:val="single" w:color="auto" w:sz="2" w:space="0"/>
              <w:right w:val="single" w:color="auto" w:sz="2" w:space="0"/>
            </w:tcBorders>
            <w:noWrap w:val="0"/>
            <w:vAlign w:val="center"/>
          </w:tcPr>
          <w:p w14:paraId="5B6D6C6B">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其他违约责任</w:t>
            </w:r>
          </w:p>
        </w:tc>
        <w:tc>
          <w:tcPr>
            <w:tcW w:w="5170" w:type="dxa"/>
            <w:tcBorders>
              <w:left w:val="single" w:color="auto" w:sz="2" w:space="0"/>
              <w:bottom w:val="single" w:color="auto" w:sz="2" w:space="0"/>
            </w:tcBorders>
            <w:noWrap w:val="0"/>
            <w:vAlign w:val="center"/>
          </w:tcPr>
          <w:p w14:paraId="4C8B9E7A">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u w:val="single"/>
                <w14:textFill>
                  <w14:solidFill>
                    <w14:schemeClr w14:val="tx1"/>
                  </w14:solidFill>
                </w14:textFill>
              </w:rPr>
            </w:pPr>
          </w:p>
        </w:tc>
      </w:tr>
      <w:tr w14:paraId="35CED5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07" w:type="dxa"/>
            <w:tcBorders>
              <w:top w:val="single" w:color="auto" w:sz="2" w:space="0"/>
              <w:right w:val="single" w:color="auto" w:sz="2" w:space="0"/>
            </w:tcBorders>
            <w:noWrap w:val="0"/>
            <w:vAlign w:val="center"/>
          </w:tcPr>
          <w:p w14:paraId="400B8F8F">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7D7F8D1F">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19</w:t>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款</w:t>
            </w:r>
          </w:p>
        </w:tc>
        <w:tc>
          <w:tcPr>
            <w:tcW w:w="1742" w:type="dxa"/>
            <w:tcBorders>
              <w:top w:val="single" w:color="auto" w:sz="2" w:space="0"/>
              <w:left w:val="single" w:color="auto" w:sz="2" w:space="0"/>
              <w:right w:val="single" w:color="auto" w:sz="2" w:space="0"/>
            </w:tcBorders>
            <w:noWrap w:val="0"/>
            <w:vAlign w:val="center"/>
          </w:tcPr>
          <w:p w14:paraId="10D04D1C">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解决争议的方法</w:t>
            </w:r>
          </w:p>
        </w:tc>
        <w:tc>
          <w:tcPr>
            <w:tcW w:w="5170" w:type="dxa"/>
            <w:tcBorders>
              <w:top w:val="single" w:color="auto" w:sz="2" w:space="0"/>
              <w:left w:val="single" w:color="auto" w:sz="2" w:space="0"/>
            </w:tcBorders>
            <w:noWrap w:val="0"/>
            <w:vAlign w:val="center"/>
          </w:tcPr>
          <w:p w14:paraId="1378D429">
            <w:pPr>
              <w:pageBreakBefore w:val="0"/>
              <w:kinsoku/>
              <w:wordWrap/>
              <w:overflowPunct/>
              <w:topLinePunct w:val="0"/>
              <w:autoSpaceDE w:val="0"/>
              <w:autoSpaceDN w:val="0"/>
              <w:bidi w:val="0"/>
              <w:adjustRightInd w:val="0"/>
              <w:snapToGrid w:val="0"/>
              <w:spacing w:line="560" w:lineRule="exact"/>
              <w:ind w:left="480" w:hanging="480" w:hangingChars="200"/>
              <w:jc w:val="left"/>
              <w:textAlignment w:val="auto"/>
              <w:rPr>
                <w:rFonts w:hint="eastAsia" w:ascii="宋体" w:hAnsi="宋体" w:eastAsia="宋体" w:cs="宋体"/>
                <w:b w:val="0"/>
                <w:bCs w:val="0"/>
                <w:iCs/>
                <w:color w:val="000000" w:themeColor="text1"/>
                <w:sz w:val="24"/>
                <w:szCs w:val="24"/>
                <w14:textFill>
                  <w14:solidFill>
                    <w14:schemeClr w14:val="tx1"/>
                  </w14:solidFill>
                </w14:textFill>
              </w:rPr>
            </w:pPr>
            <w:r>
              <w:rPr>
                <w:rFonts w:hint="eastAsia" w:ascii="宋体" w:hAnsi="宋体" w:eastAsia="宋体" w:cs="宋体"/>
                <w:b w:val="0"/>
                <w:bCs w:val="0"/>
                <w:iCs/>
                <w:color w:val="000000" w:themeColor="text1"/>
                <w:sz w:val="24"/>
                <w:szCs w:val="24"/>
                <w14:textFill>
                  <w14:solidFill>
                    <w14:schemeClr w14:val="tx1"/>
                  </w14:solidFill>
                </w14:textFill>
              </w:rPr>
              <w:t>因本合同及合同有关事项发生的争议，按下列第</w:t>
            </w:r>
            <w:r>
              <w:rPr>
                <w:rFonts w:hint="eastAsia" w:ascii="宋体" w:hAnsi="宋体" w:eastAsia="宋体" w:cs="宋体"/>
                <w:b w:val="0"/>
                <w:bCs w:val="0"/>
                <w:iCs/>
                <w:color w:val="000000" w:themeColor="text1"/>
                <w:sz w:val="24"/>
                <w:szCs w:val="24"/>
                <w:u w:val="single"/>
                <w14:textFill>
                  <w14:solidFill>
                    <w14:schemeClr w14:val="tx1"/>
                  </w14:solidFill>
                </w14:textFill>
              </w:rPr>
              <w:t xml:space="preserve">   </w:t>
            </w:r>
            <w:r>
              <w:rPr>
                <w:rFonts w:hint="eastAsia" w:ascii="宋体" w:hAnsi="宋体" w:eastAsia="宋体" w:cs="宋体"/>
                <w:b w:val="0"/>
                <w:bCs w:val="0"/>
                <w:iCs/>
                <w:color w:val="000000" w:themeColor="text1"/>
                <w:sz w:val="24"/>
                <w:szCs w:val="24"/>
                <w14:textFill>
                  <w14:solidFill>
                    <w14:schemeClr w14:val="tx1"/>
                  </w14:solidFill>
                </w14:textFill>
              </w:rPr>
              <w:t>种方式解决：</w:t>
            </w:r>
          </w:p>
          <w:p w14:paraId="159D1894">
            <w:pPr>
              <w:pageBreakBefore w:val="0"/>
              <w:kinsoku/>
              <w:wordWrap/>
              <w:overflowPunct/>
              <w:topLinePunct w:val="0"/>
              <w:autoSpaceDE w:val="0"/>
              <w:autoSpaceDN w:val="0"/>
              <w:bidi w:val="0"/>
              <w:adjustRightInd w:val="0"/>
              <w:snapToGrid w:val="0"/>
              <w:spacing w:line="560" w:lineRule="exact"/>
              <w:jc w:val="left"/>
              <w:textAlignment w:val="auto"/>
              <w:rPr>
                <w:rFonts w:hint="eastAsia" w:ascii="宋体" w:hAnsi="宋体" w:eastAsia="宋体" w:cs="宋体"/>
                <w:b w:val="0"/>
                <w:bCs w:val="0"/>
                <w:iCs/>
                <w:color w:val="000000" w:themeColor="text1"/>
                <w:sz w:val="24"/>
                <w:szCs w:val="24"/>
                <w14:textFill>
                  <w14:solidFill>
                    <w14:schemeClr w14:val="tx1"/>
                  </w14:solidFill>
                </w14:textFill>
              </w:rPr>
            </w:pPr>
            <w:r>
              <w:rPr>
                <w:rFonts w:hint="eastAsia" w:ascii="宋体" w:hAnsi="宋体" w:eastAsia="宋体" w:cs="宋体"/>
                <w:b w:val="0"/>
                <w:bCs w:val="0"/>
                <w:iCs/>
                <w:color w:val="000000" w:themeColor="text1"/>
                <w:sz w:val="24"/>
                <w:szCs w:val="24"/>
                <w14:textFill>
                  <w14:solidFill>
                    <w14:schemeClr w14:val="tx1"/>
                  </w14:solidFill>
                </w14:textFill>
              </w:rPr>
              <w:t>（1）向</w:t>
            </w:r>
            <w:r>
              <w:rPr>
                <w:rFonts w:hint="eastAsia" w:ascii="宋体" w:hAnsi="宋体" w:eastAsia="宋体" w:cs="宋体"/>
                <w:b w:val="0"/>
                <w:bCs w:val="0"/>
                <w:iCs/>
                <w:color w:val="000000" w:themeColor="text1"/>
                <w:sz w:val="24"/>
                <w:szCs w:val="24"/>
                <w:u w:val="single"/>
                <w14:textFill>
                  <w14:solidFill>
                    <w14:schemeClr w14:val="tx1"/>
                  </w14:solidFill>
                </w14:textFill>
              </w:rPr>
              <w:t xml:space="preserve">                    </w:t>
            </w:r>
            <w:r>
              <w:rPr>
                <w:rFonts w:hint="eastAsia" w:ascii="宋体" w:hAnsi="宋体" w:eastAsia="宋体" w:cs="宋体"/>
                <w:b w:val="0"/>
                <w:bCs w:val="0"/>
                <w:iCs/>
                <w:color w:val="000000" w:themeColor="text1"/>
                <w:sz w:val="24"/>
                <w:szCs w:val="24"/>
                <w14:textFill>
                  <w14:solidFill>
                    <w14:schemeClr w14:val="tx1"/>
                  </w14:solidFill>
                </w14:textFill>
              </w:rPr>
              <w:t>仲裁委员会申请仲裁，仲裁地点为</w:t>
            </w:r>
            <w:r>
              <w:rPr>
                <w:rFonts w:hint="eastAsia" w:ascii="宋体" w:hAnsi="宋体" w:eastAsia="宋体" w:cs="宋体"/>
                <w:b w:val="0"/>
                <w:bCs w:val="0"/>
                <w:iCs/>
                <w:color w:val="000000" w:themeColor="text1"/>
                <w:sz w:val="24"/>
                <w:szCs w:val="24"/>
                <w:u w:val="single"/>
                <w14:textFill>
                  <w14:solidFill>
                    <w14:schemeClr w14:val="tx1"/>
                  </w14:solidFill>
                </w14:textFill>
              </w:rPr>
              <w:t xml:space="preserve">           </w:t>
            </w:r>
            <w:r>
              <w:rPr>
                <w:rFonts w:hint="eastAsia" w:ascii="宋体" w:hAnsi="宋体" w:eastAsia="宋体" w:cs="宋体"/>
                <w:b w:val="0"/>
                <w:bCs w:val="0"/>
                <w:iCs/>
                <w:color w:val="000000" w:themeColor="text1"/>
                <w:sz w:val="24"/>
                <w:szCs w:val="24"/>
                <w14:textFill>
                  <w14:solidFill>
                    <w14:schemeClr w14:val="tx1"/>
                  </w14:solidFill>
                </w14:textFill>
              </w:rPr>
              <w:t>；</w:t>
            </w:r>
          </w:p>
          <w:p w14:paraId="76C8F523">
            <w:pPr>
              <w:pageBreakBefore w:val="0"/>
              <w:kinsoku/>
              <w:wordWrap/>
              <w:overflowPunct/>
              <w:topLinePunct w:val="0"/>
              <w:bidi w:val="0"/>
              <w:adjustRightInd w:val="0"/>
              <w:snapToGrid w:val="0"/>
              <w:spacing w:line="560" w:lineRule="exact"/>
              <w:ind w:firstLine="0" w:firstLineChars="0"/>
              <w:jc w:val="left"/>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b w:val="0"/>
                <w:bCs w:val="0"/>
                <w:iCs/>
                <w:color w:val="000000" w:themeColor="text1"/>
                <w:sz w:val="24"/>
                <w:szCs w:val="24"/>
                <w14:textFill>
                  <w14:solidFill>
                    <w14:schemeClr w14:val="tx1"/>
                  </w14:solidFill>
                </w14:textFill>
              </w:rPr>
              <w:t>（2）向</w:t>
            </w:r>
            <w:r>
              <w:rPr>
                <w:rFonts w:hint="eastAsia" w:ascii="宋体" w:hAnsi="宋体" w:eastAsia="宋体" w:cs="宋体"/>
                <w:b w:val="0"/>
                <w:bCs w:val="0"/>
                <w:iCs/>
                <w:color w:val="000000" w:themeColor="text1"/>
                <w:sz w:val="24"/>
                <w:szCs w:val="24"/>
                <w:u w:val="single"/>
                <w14:textFill>
                  <w14:solidFill>
                    <w14:schemeClr w14:val="tx1"/>
                  </w14:solidFill>
                </w14:textFill>
              </w:rPr>
              <w:t xml:space="preserve">                    </w:t>
            </w:r>
            <w:r>
              <w:rPr>
                <w:rFonts w:hint="eastAsia" w:ascii="宋体" w:hAnsi="宋体" w:eastAsia="宋体" w:cs="宋体"/>
                <w:b w:val="0"/>
                <w:bCs w:val="0"/>
                <w:iCs/>
                <w:color w:val="000000" w:themeColor="text1"/>
                <w:sz w:val="24"/>
                <w:szCs w:val="24"/>
                <w14:textFill>
                  <w14:solidFill>
                    <w14:schemeClr w14:val="tx1"/>
                  </w14:solidFill>
                </w14:textFill>
              </w:rPr>
              <w:t>人民法院起诉。</w:t>
            </w:r>
          </w:p>
        </w:tc>
      </w:tr>
      <w:tr w14:paraId="600691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07" w:type="dxa"/>
            <w:noWrap w:val="0"/>
            <w:vAlign w:val="center"/>
          </w:tcPr>
          <w:p w14:paraId="68F930E3">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第二节</w:t>
            </w:r>
          </w:p>
          <w:p w14:paraId="6A0A5987">
            <w:pPr>
              <w:pageBreakBefore w:val="0"/>
              <w:kinsoku/>
              <w:wordWrap/>
              <w:overflowPunct/>
              <w:topLinePunct w:val="0"/>
              <w:bidi w:val="0"/>
              <w:adjustRightInd w:val="0"/>
              <w:snapToGrid w:val="0"/>
              <w:spacing w:line="56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第2</w:t>
            </w:r>
            <w:r>
              <w:rPr>
                <w:rFonts w:hint="eastAsia" w:ascii="宋体" w:hAnsi="宋体" w:eastAsia="宋体" w:cs="宋体"/>
                <w:color w:val="000000" w:themeColor="text1"/>
                <w:sz w:val="24"/>
                <w:szCs w:val="24"/>
                <w:lang w:val="en-US" w:eastAsia="zh-CN"/>
                <w14:textFill>
                  <w14:solidFill>
                    <w14:schemeClr w14:val="tx1"/>
                  </w14:solidFill>
                </w14:textFill>
              </w:rPr>
              <w:t>3.1</w:t>
            </w:r>
            <w:r>
              <w:rPr>
                <w:rFonts w:hint="eastAsia" w:ascii="宋体" w:hAnsi="宋体" w:eastAsia="宋体" w:cs="宋体"/>
                <w:color w:val="000000" w:themeColor="text1"/>
                <w:sz w:val="24"/>
                <w:szCs w:val="24"/>
                <w:lang w:eastAsia="zh-CN"/>
                <w14:textFill>
                  <w14:solidFill>
                    <w14:schemeClr w14:val="tx1"/>
                  </w14:solidFill>
                </w14:textFill>
              </w:rPr>
              <w:t>款</w:t>
            </w:r>
          </w:p>
        </w:tc>
        <w:tc>
          <w:tcPr>
            <w:tcW w:w="1742" w:type="dxa"/>
            <w:noWrap w:val="0"/>
            <w:vAlign w:val="center"/>
          </w:tcPr>
          <w:p w14:paraId="46F7D661">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highlight w:val="none"/>
                <w:lang w:eastAsia="zh-CN"/>
                <w14:textFill>
                  <w14:solidFill>
                    <w14:schemeClr w14:val="tx1"/>
                  </w14:solidFill>
                </w14:textFill>
              </w:rPr>
              <w:t>其他专用条款</w:t>
            </w:r>
          </w:p>
        </w:tc>
        <w:tc>
          <w:tcPr>
            <w:tcW w:w="5170" w:type="dxa"/>
            <w:noWrap w:val="0"/>
            <w:vAlign w:val="center"/>
          </w:tcPr>
          <w:p w14:paraId="0D0ACC85">
            <w:pPr>
              <w:pageBreakBefore w:val="0"/>
              <w:kinsoku/>
              <w:wordWrap/>
              <w:overflowPunct/>
              <w:topLinePunct w:val="0"/>
              <w:bidi w:val="0"/>
              <w:adjustRightInd w:val="0"/>
              <w:snapToGrid w:val="0"/>
              <w:spacing w:line="560" w:lineRule="exact"/>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p>
        </w:tc>
      </w:tr>
    </w:tbl>
    <w:p w14:paraId="4576F294">
      <w:pPr>
        <w:pageBreakBefore w:val="0"/>
        <w:widowControl w:val="0"/>
        <w:numPr>
          <w:ilvl w:val="0"/>
          <w:numId w:val="0"/>
        </w:numPr>
        <w:wordWrap/>
        <w:overflowPunct/>
        <w:topLinePunct w:val="0"/>
        <w:autoSpaceDE/>
        <w:autoSpaceDN/>
        <w:bidi w:val="0"/>
        <w:spacing w:line="600" w:lineRule="exact"/>
        <w:textAlignment w:val="auto"/>
        <w:rPr>
          <w:rFonts w:hint="eastAsia" w:ascii="宋体" w:hAnsi="宋体" w:eastAsia="宋体" w:cs="宋体"/>
          <w:color w:val="000000" w:themeColor="text1"/>
          <w:sz w:val="24"/>
          <w:szCs w:val="24"/>
          <w14:textFill>
            <w14:solidFill>
              <w14:schemeClr w14:val="tx1"/>
            </w14:solidFill>
          </w14:textFill>
        </w:rPr>
      </w:pPr>
    </w:p>
    <w:bookmarkEnd w:id="835"/>
    <w:bookmarkEnd w:id="836"/>
    <w:p w14:paraId="050A2E6B">
      <w:pPr>
        <w:bidi w:val="0"/>
        <w:rPr>
          <w:rFonts w:hint="eastAsia"/>
          <w:color w:val="000000" w:themeColor="text1"/>
          <w:lang w:val="en-US" w:eastAsia="zh-CN"/>
          <w14:textFill>
            <w14:solidFill>
              <w14:schemeClr w14:val="tx1"/>
            </w14:solidFill>
          </w14:textFill>
        </w:rPr>
      </w:pPr>
      <w:bookmarkStart w:id="841" w:name="_Toc16364"/>
      <w:bookmarkStart w:id="842" w:name="_Toc7968"/>
      <w:bookmarkStart w:id="843" w:name="_Toc5721"/>
      <w:bookmarkStart w:id="844" w:name="_Toc13116"/>
      <w:bookmarkStart w:id="845" w:name="_Toc17609"/>
      <w:bookmarkStart w:id="846" w:name="_Toc15815"/>
      <w:bookmarkStart w:id="847" w:name="_Toc27587"/>
      <w:bookmarkStart w:id="848" w:name="_Toc21232"/>
      <w:bookmarkStart w:id="849" w:name="_Toc9987"/>
      <w:bookmarkStart w:id="850" w:name="_Toc22906"/>
      <w:bookmarkStart w:id="851" w:name="_Toc29759"/>
      <w:bookmarkStart w:id="852" w:name="_Toc29747"/>
      <w:bookmarkStart w:id="853" w:name="_Toc18137"/>
    </w:p>
    <w:p w14:paraId="498280DB">
      <w:pPr>
        <w:bidi w:val="0"/>
        <w:rPr>
          <w:rFonts w:hint="eastAsia"/>
          <w:color w:val="000000" w:themeColor="text1"/>
          <w:lang w:val="en-US" w:eastAsia="zh-CN"/>
          <w14:textFill>
            <w14:solidFill>
              <w14:schemeClr w14:val="tx1"/>
            </w14:solidFill>
          </w14:textFill>
        </w:rPr>
      </w:pPr>
    </w:p>
    <w:p w14:paraId="7BFD9926">
      <w:pPr>
        <w:bidi w:val="0"/>
        <w:rPr>
          <w:rFonts w:hint="eastAsia"/>
          <w:color w:val="000000" w:themeColor="text1"/>
          <w:lang w:val="en-US" w:eastAsia="zh-CN"/>
          <w14:textFill>
            <w14:solidFill>
              <w14:schemeClr w14:val="tx1"/>
            </w14:solidFill>
          </w14:textFill>
        </w:rPr>
      </w:pPr>
    </w:p>
    <w:p w14:paraId="71F3B008">
      <w:pPr>
        <w:bidi w:val="0"/>
        <w:rPr>
          <w:rFonts w:hint="eastAsia"/>
          <w:color w:val="000000" w:themeColor="text1"/>
          <w:lang w:val="en-US" w:eastAsia="zh-CN"/>
          <w14:textFill>
            <w14:solidFill>
              <w14:schemeClr w14:val="tx1"/>
            </w14:solidFill>
          </w14:textFill>
        </w:rPr>
      </w:pPr>
    </w:p>
    <w:p w14:paraId="2CD3A808">
      <w:pPr>
        <w:bidi w:val="0"/>
        <w:rPr>
          <w:rFonts w:hint="eastAsia"/>
          <w:color w:val="000000" w:themeColor="text1"/>
          <w:lang w:val="en-US" w:eastAsia="zh-CN"/>
          <w14:textFill>
            <w14:solidFill>
              <w14:schemeClr w14:val="tx1"/>
            </w14:solidFill>
          </w14:textFill>
        </w:rPr>
      </w:pPr>
    </w:p>
    <w:p w14:paraId="547B6704">
      <w:pPr>
        <w:bidi w:val="0"/>
        <w:rPr>
          <w:rFonts w:hint="eastAsia"/>
          <w:color w:val="000000" w:themeColor="text1"/>
          <w:lang w:val="en-US" w:eastAsia="zh-CN"/>
          <w14:textFill>
            <w14:solidFill>
              <w14:schemeClr w14:val="tx1"/>
            </w14:solidFill>
          </w14:textFill>
        </w:rPr>
      </w:pPr>
    </w:p>
    <w:p w14:paraId="1556D1A4">
      <w:pPr>
        <w:bidi w:val="0"/>
        <w:rPr>
          <w:rFonts w:hint="eastAsia"/>
          <w:color w:val="000000" w:themeColor="text1"/>
          <w:lang w:val="en-US" w:eastAsia="zh-CN"/>
          <w14:textFill>
            <w14:solidFill>
              <w14:schemeClr w14:val="tx1"/>
            </w14:solidFill>
          </w14:textFill>
        </w:rPr>
      </w:pPr>
    </w:p>
    <w:p w14:paraId="333FF715">
      <w:pPr>
        <w:bidi w:val="0"/>
        <w:rPr>
          <w:rFonts w:hint="eastAsia"/>
          <w:color w:val="000000" w:themeColor="text1"/>
          <w:lang w:val="en-US" w:eastAsia="zh-CN"/>
          <w14:textFill>
            <w14:solidFill>
              <w14:schemeClr w14:val="tx1"/>
            </w14:solidFill>
          </w14:textFill>
        </w:rPr>
      </w:pPr>
    </w:p>
    <w:p w14:paraId="23AEB521">
      <w:pPr>
        <w:bidi w:val="0"/>
        <w:rPr>
          <w:rFonts w:hint="eastAsia"/>
          <w:color w:val="000000" w:themeColor="text1"/>
          <w:lang w:val="en-US" w:eastAsia="zh-CN"/>
          <w14:textFill>
            <w14:solidFill>
              <w14:schemeClr w14:val="tx1"/>
            </w14:solidFill>
          </w14:textFill>
        </w:rPr>
      </w:pPr>
    </w:p>
    <w:p w14:paraId="4912855F">
      <w:pPr>
        <w:bidi w:val="0"/>
        <w:rPr>
          <w:rFonts w:hint="eastAsia"/>
          <w:color w:val="000000" w:themeColor="text1"/>
          <w:lang w:val="en-US" w:eastAsia="zh-CN"/>
          <w14:textFill>
            <w14:solidFill>
              <w14:schemeClr w14:val="tx1"/>
            </w14:solidFill>
          </w14:textFill>
        </w:rPr>
      </w:pPr>
    </w:p>
    <w:p w14:paraId="376E2C56">
      <w:pPr>
        <w:bidi w:val="0"/>
        <w:rPr>
          <w:rFonts w:hint="eastAsia"/>
          <w:color w:val="000000" w:themeColor="text1"/>
          <w:lang w:val="en-US" w:eastAsia="zh-CN"/>
          <w14:textFill>
            <w14:solidFill>
              <w14:schemeClr w14:val="tx1"/>
            </w14:solidFill>
          </w14:textFill>
        </w:rPr>
      </w:pPr>
    </w:p>
    <w:p w14:paraId="5E5A8988">
      <w:pPr>
        <w:bidi w:val="0"/>
        <w:rPr>
          <w:rFonts w:hint="eastAsia"/>
          <w:color w:val="000000" w:themeColor="text1"/>
          <w:lang w:val="en-US" w:eastAsia="zh-CN"/>
          <w14:textFill>
            <w14:solidFill>
              <w14:schemeClr w14:val="tx1"/>
            </w14:solidFill>
          </w14:textFill>
        </w:rPr>
      </w:pPr>
    </w:p>
    <w:p w14:paraId="03860D77">
      <w:pPr>
        <w:bidi w:val="0"/>
        <w:rPr>
          <w:rFonts w:hint="eastAsia"/>
          <w:color w:val="000000" w:themeColor="text1"/>
          <w:lang w:val="en-US" w:eastAsia="zh-CN"/>
          <w14:textFill>
            <w14:solidFill>
              <w14:schemeClr w14:val="tx1"/>
            </w14:solidFill>
          </w14:textFill>
        </w:rPr>
      </w:pPr>
    </w:p>
    <w:p w14:paraId="153B96C2">
      <w:pPr>
        <w:rPr>
          <w:rFonts w:hint="eastAsia"/>
          <w:color w:val="000000" w:themeColor="text1"/>
          <w:lang w:val="en-US" w:eastAsia="zh-CN"/>
          <w14:textFill>
            <w14:solidFill>
              <w14:schemeClr w14:val="tx1"/>
            </w14:solidFill>
          </w14:textFill>
        </w:rPr>
        <w:sectPr>
          <w:headerReference r:id="rId12" w:type="default"/>
          <w:footerReference r:id="rId13" w:type="default"/>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0D2CF74B">
      <w:pPr>
        <w:rPr>
          <w:rFonts w:hint="eastAsia"/>
          <w:color w:val="000000" w:themeColor="text1"/>
          <w:lang w:val="en-US" w:eastAsia="zh-CN"/>
          <w14:textFill>
            <w14:solidFill>
              <w14:schemeClr w14:val="tx1"/>
            </w14:solidFill>
          </w14:textFill>
        </w:rPr>
      </w:pPr>
    </w:p>
    <w:p w14:paraId="6D72D1F3">
      <w:pPr>
        <w:pStyle w:val="2"/>
        <w:keepNext/>
        <w:keepLines/>
        <w:pageBreakBefore w:val="0"/>
        <w:widowControl w:val="0"/>
        <w:kinsoku/>
        <w:wordWrap/>
        <w:overflowPunct/>
        <w:topLinePunct w:val="0"/>
        <w:autoSpaceDE/>
        <w:autoSpaceDN/>
        <w:bidi w:val="0"/>
        <w:adjustRightInd/>
        <w:snapToGrid/>
        <w:spacing w:before="0" w:after="0" w:line="579" w:lineRule="auto"/>
        <w:textAlignment w:val="auto"/>
        <w:rPr>
          <w:rFonts w:hint="eastAsia"/>
          <w:color w:val="000000" w:themeColor="text1"/>
          <w:sz w:val="30"/>
          <w:szCs w:val="30"/>
          <w:lang w:val="en-US" w:eastAsia="zh-CN"/>
          <w14:textFill>
            <w14:solidFill>
              <w14:schemeClr w14:val="tx1"/>
            </w14:solidFill>
          </w14:textFill>
        </w:rPr>
      </w:pPr>
      <w:bookmarkStart w:id="854" w:name="_Toc7956"/>
      <w:r>
        <w:rPr>
          <w:rFonts w:hint="eastAsia"/>
          <w:color w:val="000000" w:themeColor="text1"/>
          <w:sz w:val="30"/>
          <w:szCs w:val="30"/>
          <w:lang w:val="en-US" w:eastAsia="zh-CN"/>
          <w14:textFill>
            <w14:solidFill>
              <w14:schemeClr w14:val="tx1"/>
            </w14:solidFill>
          </w14:textFill>
        </w:rPr>
        <w:t>第六章</w:t>
      </w:r>
      <w:r>
        <w:rPr>
          <w:rFonts w:hint="eastAsia"/>
          <w:color w:val="000000" w:themeColor="text1"/>
          <w:sz w:val="30"/>
          <w:szCs w:val="30"/>
          <w14:textFill>
            <w14:solidFill>
              <w14:schemeClr w14:val="tx1"/>
            </w14:solidFill>
          </w14:textFill>
        </w:rPr>
        <w:t>技术</w:t>
      </w:r>
      <w:bookmarkEnd w:id="841"/>
      <w:r>
        <w:rPr>
          <w:rFonts w:hint="eastAsia"/>
          <w:color w:val="000000" w:themeColor="text1"/>
          <w:sz w:val="30"/>
          <w:szCs w:val="30"/>
          <w14:textFill>
            <w14:solidFill>
              <w14:schemeClr w14:val="tx1"/>
            </w14:solidFill>
          </w14:textFill>
        </w:rPr>
        <w:t>要</w:t>
      </w:r>
      <w:r>
        <w:rPr>
          <w:rFonts w:hint="eastAsia"/>
          <w:color w:val="000000" w:themeColor="text1"/>
          <w:sz w:val="30"/>
          <w:szCs w:val="30"/>
          <w:lang w:val="en-US" w:eastAsia="zh-CN"/>
          <w14:textFill>
            <w14:solidFill>
              <w14:schemeClr w14:val="tx1"/>
            </w14:solidFill>
          </w14:textFill>
        </w:rPr>
        <w:t>求</w:t>
      </w:r>
      <w:bookmarkEnd w:id="842"/>
      <w:bookmarkEnd w:id="843"/>
      <w:bookmarkEnd w:id="844"/>
      <w:bookmarkEnd w:id="845"/>
      <w:bookmarkEnd w:id="846"/>
      <w:bookmarkEnd w:id="847"/>
      <w:bookmarkEnd w:id="848"/>
      <w:bookmarkEnd w:id="849"/>
      <w:bookmarkEnd w:id="850"/>
      <w:bookmarkEnd w:id="851"/>
      <w:bookmarkEnd w:id="852"/>
      <w:bookmarkEnd w:id="853"/>
      <w:bookmarkEnd w:id="854"/>
      <w:bookmarkStart w:id="855" w:name="_Toc28143"/>
      <w:bookmarkStart w:id="856" w:name="_Toc11784"/>
      <w:bookmarkStart w:id="857" w:name="_Toc9578"/>
      <w:bookmarkStart w:id="858" w:name="_Toc20261"/>
      <w:bookmarkStart w:id="859" w:name="_Toc27208"/>
      <w:bookmarkStart w:id="860" w:name="_Toc32472"/>
      <w:bookmarkStart w:id="861" w:name="_Toc15622"/>
      <w:bookmarkStart w:id="862" w:name="_Toc22670"/>
      <w:bookmarkStart w:id="863" w:name="_Toc4693"/>
      <w:bookmarkStart w:id="864" w:name="_Toc22812"/>
    </w:p>
    <w:tbl>
      <w:tblPr>
        <w:tblStyle w:val="115"/>
        <w:tblW w:w="136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6"/>
        <w:gridCol w:w="2024"/>
        <w:gridCol w:w="1424"/>
        <w:gridCol w:w="775"/>
        <w:gridCol w:w="667"/>
        <w:gridCol w:w="8047"/>
      </w:tblGrid>
      <w:tr w14:paraId="5E4B1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726" w:type="dxa"/>
            <w:vAlign w:val="top"/>
          </w:tcPr>
          <w:p w14:paraId="7368E133">
            <w:pPr>
              <w:pStyle w:val="116"/>
              <w:spacing w:before="246" w:line="360" w:lineRule="auto"/>
              <w:ind w:left="136"/>
              <w:rPr>
                <w:rFonts w:hint="eastAsia" w:ascii="宋体" w:hAnsi="宋体" w:eastAsia="宋体" w:cs="宋体"/>
                <w:sz w:val="21"/>
                <w:szCs w:val="21"/>
              </w:rPr>
            </w:pPr>
            <w:r>
              <w:rPr>
                <w:rFonts w:hint="eastAsia" w:ascii="宋体" w:hAnsi="宋体" w:eastAsia="宋体" w:cs="宋体"/>
                <w:b/>
                <w:bCs/>
                <w:spacing w:val="-11"/>
                <w:sz w:val="21"/>
                <w:szCs w:val="21"/>
              </w:rPr>
              <w:t>序号</w:t>
            </w:r>
          </w:p>
        </w:tc>
        <w:tc>
          <w:tcPr>
            <w:tcW w:w="2024" w:type="dxa"/>
            <w:vAlign w:val="top"/>
          </w:tcPr>
          <w:p w14:paraId="3E0F3EB3">
            <w:pPr>
              <w:pStyle w:val="116"/>
              <w:spacing w:before="245" w:line="360" w:lineRule="auto"/>
              <w:ind w:left="539"/>
              <w:rPr>
                <w:rFonts w:hint="eastAsia" w:ascii="宋体" w:hAnsi="宋体" w:eastAsia="宋体" w:cs="宋体"/>
                <w:sz w:val="21"/>
                <w:szCs w:val="21"/>
              </w:rPr>
            </w:pPr>
            <w:r>
              <w:rPr>
                <w:rFonts w:hint="eastAsia" w:ascii="宋体" w:hAnsi="宋体" w:eastAsia="宋体" w:cs="宋体"/>
                <w:b/>
                <w:bCs/>
                <w:spacing w:val="-6"/>
                <w:sz w:val="21"/>
                <w:szCs w:val="21"/>
                <w:lang w:val="en-US" w:eastAsia="zh-CN"/>
              </w:rPr>
              <w:t>标的</w:t>
            </w:r>
            <w:r>
              <w:rPr>
                <w:rFonts w:hint="eastAsia" w:ascii="宋体" w:hAnsi="宋体" w:eastAsia="宋体" w:cs="宋体"/>
                <w:b/>
                <w:bCs/>
                <w:spacing w:val="-6"/>
                <w:sz w:val="21"/>
                <w:szCs w:val="21"/>
              </w:rPr>
              <w:t>名称</w:t>
            </w:r>
          </w:p>
        </w:tc>
        <w:tc>
          <w:tcPr>
            <w:tcW w:w="1424" w:type="dxa"/>
            <w:vAlign w:val="top"/>
          </w:tcPr>
          <w:p w14:paraId="18F470AF">
            <w:pPr>
              <w:pStyle w:val="116"/>
              <w:spacing w:before="245" w:line="360" w:lineRule="auto"/>
              <w:ind w:left="484"/>
              <w:rPr>
                <w:rFonts w:hint="eastAsia" w:ascii="宋体" w:hAnsi="宋体" w:eastAsia="宋体" w:cs="宋体"/>
                <w:sz w:val="21"/>
                <w:szCs w:val="21"/>
              </w:rPr>
            </w:pPr>
            <w:r>
              <w:rPr>
                <w:rFonts w:hint="eastAsia" w:ascii="宋体" w:hAnsi="宋体" w:eastAsia="宋体" w:cs="宋体"/>
                <w:b/>
                <w:bCs/>
                <w:spacing w:val="-11"/>
                <w:sz w:val="21"/>
                <w:szCs w:val="21"/>
              </w:rPr>
              <w:t>用途</w:t>
            </w:r>
          </w:p>
        </w:tc>
        <w:tc>
          <w:tcPr>
            <w:tcW w:w="775" w:type="dxa"/>
            <w:vAlign w:val="top"/>
          </w:tcPr>
          <w:p w14:paraId="0DB313FB">
            <w:pPr>
              <w:pStyle w:val="116"/>
              <w:spacing w:before="245" w:line="360" w:lineRule="auto"/>
              <w:ind w:left="164"/>
              <w:rPr>
                <w:rFonts w:hint="eastAsia" w:ascii="宋体" w:hAnsi="宋体" w:eastAsia="宋体" w:cs="宋体"/>
                <w:sz w:val="21"/>
                <w:szCs w:val="21"/>
              </w:rPr>
            </w:pPr>
            <w:r>
              <w:rPr>
                <w:rFonts w:hint="eastAsia" w:ascii="宋体" w:hAnsi="宋体" w:eastAsia="宋体" w:cs="宋体"/>
                <w:b/>
                <w:bCs/>
                <w:spacing w:val="-13"/>
                <w:sz w:val="21"/>
                <w:szCs w:val="21"/>
              </w:rPr>
              <w:t>单位</w:t>
            </w:r>
          </w:p>
        </w:tc>
        <w:tc>
          <w:tcPr>
            <w:tcW w:w="667" w:type="dxa"/>
            <w:vAlign w:val="top"/>
          </w:tcPr>
          <w:p w14:paraId="75BF0590">
            <w:pPr>
              <w:pStyle w:val="116"/>
              <w:spacing w:before="210" w:line="360" w:lineRule="auto"/>
              <w:ind w:left="65"/>
              <w:rPr>
                <w:rFonts w:hint="eastAsia" w:ascii="宋体" w:hAnsi="宋体" w:eastAsia="宋体" w:cs="宋体"/>
                <w:sz w:val="21"/>
                <w:szCs w:val="21"/>
              </w:rPr>
            </w:pPr>
            <w:r>
              <w:rPr>
                <w:rFonts w:hint="eastAsia" w:ascii="宋体" w:hAnsi="宋体" w:eastAsia="宋体" w:cs="宋体"/>
                <w:b/>
                <w:bCs/>
                <w:spacing w:val="3"/>
                <w:sz w:val="21"/>
                <w:szCs w:val="21"/>
              </w:rPr>
              <w:t>数</w:t>
            </w:r>
            <w:r>
              <w:rPr>
                <w:rFonts w:hint="eastAsia" w:ascii="宋体" w:hAnsi="宋体" w:eastAsia="宋体" w:cs="宋体"/>
                <w:spacing w:val="-6"/>
                <w:sz w:val="21"/>
                <w:szCs w:val="21"/>
              </w:rPr>
              <w:t xml:space="preserve"> </w:t>
            </w:r>
            <w:r>
              <w:rPr>
                <w:rFonts w:hint="eastAsia" w:ascii="宋体" w:hAnsi="宋体" w:eastAsia="宋体" w:cs="宋体"/>
                <w:b/>
                <w:bCs/>
                <w:spacing w:val="3"/>
                <w:sz w:val="21"/>
                <w:szCs w:val="21"/>
              </w:rPr>
              <w:t>量</w:t>
            </w:r>
          </w:p>
        </w:tc>
        <w:tc>
          <w:tcPr>
            <w:tcW w:w="8047" w:type="dxa"/>
            <w:vAlign w:val="top"/>
          </w:tcPr>
          <w:p w14:paraId="4CC8F2D6">
            <w:pPr>
              <w:pStyle w:val="116"/>
              <w:spacing w:before="245" w:line="360" w:lineRule="auto"/>
              <w:ind w:left="3797"/>
              <w:rPr>
                <w:rFonts w:hint="eastAsia" w:ascii="宋体" w:hAnsi="宋体" w:eastAsia="宋体" w:cs="宋体"/>
                <w:sz w:val="21"/>
                <w:szCs w:val="21"/>
              </w:rPr>
            </w:pPr>
            <w:r>
              <w:rPr>
                <w:rFonts w:hint="eastAsia" w:ascii="宋体" w:hAnsi="宋体" w:eastAsia="宋体" w:cs="宋体"/>
                <w:b/>
                <w:bCs/>
                <w:spacing w:val="-13"/>
                <w:sz w:val="21"/>
                <w:szCs w:val="21"/>
              </w:rPr>
              <w:t>参数</w:t>
            </w:r>
          </w:p>
        </w:tc>
      </w:tr>
      <w:tr w14:paraId="02C34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726" w:type="dxa"/>
            <w:shd w:val="clear" w:color="auto" w:fill="auto"/>
            <w:vAlign w:val="center"/>
          </w:tcPr>
          <w:p w14:paraId="24015654">
            <w:pPr>
              <w:spacing w:line="360" w:lineRule="auto"/>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1</w:t>
            </w:r>
          </w:p>
        </w:tc>
        <w:tc>
          <w:tcPr>
            <w:tcW w:w="2024" w:type="dxa"/>
            <w:shd w:val="clear" w:color="auto" w:fill="auto"/>
            <w:vAlign w:val="center"/>
          </w:tcPr>
          <w:p w14:paraId="2E1CCF9A">
            <w:pPr>
              <w:spacing w:line="360" w:lineRule="auto"/>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浮游生物采样器具</w:t>
            </w:r>
          </w:p>
        </w:tc>
        <w:tc>
          <w:tcPr>
            <w:tcW w:w="1424" w:type="dxa"/>
            <w:shd w:val="clear" w:color="auto" w:fill="auto"/>
            <w:vAlign w:val="center"/>
          </w:tcPr>
          <w:p w14:paraId="3D1B9355">
            <w:pPr>
              <w:spacing w:line="360" w:lineRule="auto"/>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用于河流、湖泊浮游生物采样</w:t>
            </w:r>
          </w:p>
        </w:tc>
        <w:tc>
          <w:tcPr>
            <w:tcW w:w="775" w:type="dxa"/>
            <w:shd w:val="clear" w:color="auto" w:fill="auto"/>
            <w:vAlign w:val="center"/>
          </w:tcPr>
          <w:p w14:paraId="30464164">
            <w:pPr>
              <w:pStyle w:val="116"/>
              <w:spacing w:before="19" w:line="360" w:lineRule="auto"/>
              <w:ind w:left="119" w:leftChars="0" w:right="4052" w:firstLine="101" w:firstLineChars="0"/>
              <w:jc w:val="right"/>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sz w:val="21"/>
                <w:szCs w:val="21"/>
                <w:lang w:val="en-US" w:eastAsia="zh-CN"/>
              </w:rPr>
              <w:t>套</w:t>
            </w:r>
          </w:p>
        </w:tc>
        <w:tc>
          <w:tcPr>
            <w:tcW w:w="667" w:type="dxa"/>
            <w:shd w:val="clear" w:color="auto" w:fill="auto"/>
            <w:vAlign w:val="center"/>
          </w:tcPr>
          <w:p w14:paraId="6C89545D">
            <w:pPr>
              <w:pStyle w:val="116"/>
              <w:spacing w:before="19" w:line="360" w:lineRule="auto"/>
              <w:ind w:left="119" w:leftChars="0" w:right="4052" w:firstLine="101" w:firstLineChars="0"/>
              <w:jc w:val="right"/>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sz w:val="21"/>
                <w:szCs w:val="21"/>
                <w:lang w:val="en-US" w:eastAsia="zh-CN"/>
              </w:rPr>
              <w:t>3</w:t>
            </w:r>
          </w:p>
        </w:tc>
        <w:tc>
          <w:tcPr>
            <w:tcW w:w="8047" w:type="dxa"/>
            <w:shd w:val="clear" w:color="auto" w:fill="auto"/>
            <w:vAlign w:val="center"/>
          </w:tcPr>
          <w:p w14:paraId="6E70970B">
            <w:pPr>
              <w:pStyle w:val="116"/>
              <w:tabs>
                <w:tab w:val="left" w:pos="4620"/>
                <w:tab w:val="left" w:pos="4840"/>
                <w:tab w:val="left" w:pos="6720"/>
              </w:tabs>
              <w:spacing w:before="19" w:line="360" w:lineRule="auto"/>
              <w:ind w:left="220" w:leftChars="0" w:right="1103" w:rightChars="0" w:firstLine="3" w:firstLineChars="0"/>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sz w:val="21"/>
                <w:szCs w:val="21"/>
                <w:lang w:val="en-US" w:eastAsia="zh-CN"/>
              </w:rPr>
              <w:t>一</w:t>
            </w:r>
            <w:r>
              <w:rPr>
                <w:rFonts w:hint="eastAsia" w:ascii="宋体" w:hAnsi="宋体" w:eastAsia="宋体" w:cs="宋体"/>
                <w:color w:val="auto"/>
                <w:spacing w:val="10"/>
                <w:kern w:val="2"/>
                <w:sz w:val="21"/>
                <w:szCs w:val="21"/>
                <w:lang w:val="en-US" w:eastAsia="zh-CN" w:bidi="ar-SA"/>
              </w:rPr>
              <w:t>、浅水型浮游生物网：</w:t>
            </w:r>
            <w:r>
              <w:rPr>
                <w:rFonts w:hint="eastAsia" w:ascii="宋体" w:hAnsi="宋体" w:eastAsia="宋体" w:cs="宋体"/>
                <w:color w:val="auto"/>
                <w:spacing w:val="10"/>
                <w:kern w:val="2"/>
                <w:sz w:val="21"/>
                <w:szCs w:val="21"/>
                <w:lang w:val="en-US" w:eastAsia="zh-CN" w:bidi="ar-SA"/>
              </w:rPr>
              <w:br w:type="textWrapping"/>
            </w:r>
            <w:r>
              <w:rPr>
                <w:rFonts w:hint="eastAsia" w:ascii="宋体" w:hAnsi="宋体" w:eastAsia="宋体" w:cs="宋体"/>
                <w:color w:val="auto"/>
                <w:spacing w:val="10"/>
                <w:kern w:val="2"/>
                <w:sz w:val="21"/>
                <w:szCs w:val="21"/>
                <w:lang w:val="en-US" w:eastAsia="zh-CN" w:bidi="ar-SA"/>
              </w:rPr>
              <w:t>1、I型： 网长：145cm；   网口内径：50cm；网衣：尼龙制， 孔径0.505mm；网底管： 水深30m以内，垂直或分段采集大中型浮游动物及鱼卵、仔稚鱼等 网口面积：0.2㎡</w:t>
            </w:r>
            <w:r>
              <w:rPr>
                <w:rFonts w:hint="eastAsia" w:ascii="宋体" w:hAnsi="宋体" w:eastAsia="宋体" w:cs="宋体"/>
                <w:color w:val="auto"/>
                <w:spacing w:val="10"/>
                <w:kern w:val="2"/>
                <w:sz w:val="21"/>
                <w:szCs w:val="21"/>
                <w:lang w:val="en-US" w:eastAsia="zh-CN" w:bidi="ar-SA"/>
              </w:rPr>
              <w:br w:type="textWrapping"/>
            </w:r>
            <w:r>
              <w:rPr>
                <w:rFonts w:hint="eastAsia" w:ascii="宋体" w:hAnsi="宋体" w:eastAsia="宋体" w:cs="宋体"/>
                <w:color w:val="auto"/>
                <w:spacing w:val="10"/>
                <w:kern w:val="2"/>
                <w:sz w:val="21"/>
                <w:szCs w:val="21"/>
                <w:lang w:val="en-US" w:eastAsia="zh-CN" w:bidi="ar-SA"/>
              </w:rPr>
              <w:t>2、II型： 网长：140cm；   网口内径：31.6cm；头锥部：高30cm，上圈31.6cm，下圈50cm；网衣：尼龙制，孔径0.160mm；网底管：水深30m以内，垂直或分段采集中小型浮游动物或夜光藻 ，网口面积：0.08㎡</w:t>
            </w:r>
          </w:p>
          <w:p w14:paraId="5251FC0B">
            <w:pPr>
              <w:keepNext w:val="0"/>
              <w:keepLines w:val="0"/>
              <w:pageBreakBefore w:val="0"/>
              <w:widowControl w:val="0"/>
              <w:numPr>
                <w:ilvl w:val="0"/>
                <w:numId w:val="0"/>
              </w:numPr>
              <w:kinsoku/>
              <w:wordWrap/>
              <w:overflowPunct/>
              <w:topLinePunct w:val="0"/>
              <w:autoSpaceDE/>
              <w:autoSpaceDN/>
              <w:bidi w:val="0"/>
              <w:spacing w:line="360" w:lineRule="auto"/>
              <w:ind w:left="245" w:leftChars="0"/>
              <w:textAlignment w:val="auto"/>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kern w:val="2"/>
                <w:sz w:val="21"/>
                <w:szCs w:val="21"/>
                <w:lang w:val="en-US" w:eastAsia="zh-CN" w:bidi="ar-SA"/>
              </w:rPr>
              <w:t>3、III型： 网长：140cm；网口内径：37cm；网衣：尼龙制，孔径0.077mm；网底管：水深30m以内，垂直或分段采集浮游植物（藻类） 网口面积：0.1㎡</w:t>
            </w:r>
            <w:r>
              <w:rPr>
                <w:rFonts w:hint="eastAsia" w:ascii="宋体" w:hAnsi="宋体" w:eastAsia="宋体" w:cs="宋体"/>
                <w:color w:val="auto"/>
                <w:spacing w:val="10"/>
                <w:kern w:val="2"/>
                <w:sz w:val="21"/>
                <w:szCs w:val="21"/>
                <w:lang w:val="en-US" w:eastAsia="zh-CN" w:bidi="ar-SA"/>
              </w:rPr>
              <w:br w:type="textWrapping"/>
            </w:r>
            <w:r>
              <w:rPr>
                <w:rFonts w:hint="eastAsia" w:ascii="宋体" w:hAnsi="宋体" w:eastAsia="宋体" w:cs="宋体"/>
                <w:color w:val="auto"/>
                <w:spacing w:val="10"/>
                <w:kern w:val="2"/>
                <w:sz w:val="21"/>
                <w:szCs w:val="21"/>
                <w:lang w:val="en-US" w:eastAsia="zh-CN" w:bidi="ar-SA"/>
              </w:rPr>
              <w:t>二、杆持式浮游生物网：</w:t>
            </w:r>
            <w:r>
              <w:rPr>
                <w:rFonts w:hint="eastAsia" w:ascii="宋体" w:hAnsi="宋体" w:eastAsia="宋体" w:cs="宋体"/>
                <w:color w:val="auto"/>
                <w:spacing w:val="10"/>
                <w:kern w:val="2"/>
                <w:sz w:val="21"/>
                <w:szCs w:val="21"/>
                <w:lang w:val="en-US" w:eastAsia="zh-CN" w:bidi="ar-SA"/>
              </w:rPr>
              <w:br w:type="textWrapping"/>
            </w:r>
            <w:r>
              <w:rPr>
                <w:rFonts w:hint="eastAsia" w:ascii="宋体" w:hAnsi="宋体" w:eastAsia="宋体" w:cs="宋体"/>
                <w:color w:val="auto"/>
                <w:spacing w:val="10"/>
                <w:kern w:val="2"/>
                <w:sz w:val="21"/>
                <w:szCs w:val="21"/>
                <w:lang w:val="en-US" w:eastAsia="zh-CN" w:bidi="ar-SA"/>
              </w:rPr>
              <w:t>1、握杆：不锈钢伸缩型，全长≥2.5m；网圈：直径≥30cm；网衣：尼龙制，长度≥60cm；</w:t>
            </w:r>
            <w:r>
              <w:rPr>
                <w:rFonts w:hint="eastAsia" w:ascii="宋体" w:hAnsi="宋体" w:eastAsia="宋体" w:cs="宋体"/>
                <w:color w:val="auto"/>
                <w:spacing w:val="10"/>
                <w:kern w:val="2"/>
                <w:sz w:val="21"/>
                <w:szCs w:val="21"/>
                <w:lang w:val="en-US" w:eastAsia="zh-CN" w:bidi="ar-SA"/>
              </w:rPr>
              <w:br w:type="textWrapping"/>
            </w:r>
            <w:r>
              <w:rPr>
                <w:rFonts w:hint="eastAsia" w:ascii="宋体" w:hAnsi="宋体" w:eastAsia="宋体" w:cs="宋体"/>
                <w:color w:val="auto"/>
                <w:spacing w:val="10"/>
                <w:kern w:val="2"/>
                <w:sz w:val="21"/>
                <w:szCs w:val="21"/>
                <w:lang w:val="en-US" w:eastAsia="zh-CN" w:bidi="ar-SA"/>
              </w:rPr>
              <w:t xml:space="preserve">   底管：铜制阀门；网头种类：孔径0.064mm/0.112mm/2mm；握杆与网具连接方</w:t>
            </w:r>
            <w:r>
              <w:rPr>
                <w:rFonts w:hint="eastAsia" w:ascii="宋体" w:hAnsi="宋体" w:eastAsia="宋体" w:cs="宋体"/>
                <w:color w:val="auto"/>
                <w:spacing w:val="10"/>
                <w:sz w:val="21"/>
                <w:szCs w:val="21"/>
                <w:lang w:val="en-US" w:eastAsia="zh-CN"/>
              </w:rPr>
              <w:t>式：螺纹；</w:t>
            </w:r>
          </w:p>
        </w:tc>
      </w:tr>
      <w:tr w14:paraId="79CA7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726" w:type="dxa"/>
            <w:shd w:val="clear" w:color="auto" w:fill="auto"/>
            <w:vAlign w:val="center"/>
          </w:tcPr>
          <w:p w14:paraId="0E860B6E">
            <w:pPr>
              <w:spacing w:line="360" w:lineRule="auto"/>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2</w:t>
            </w:r>
          </w:p>
        </w:tc>
        <w:tc>
          <w:tcPr>
            <w:tcW w:w="2024" w:type="dxa"/>
            <w:shd w:val="clear" w:color="auto" w:fill="auto"/>
            <w:vAlign w:val="center"/>
          </w:tcPr>
          <w:p w14:paraId="326E2A81">
            <w:pPr>
              <w:spacing w:line="360" w:lineRule="auto"/>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大型底栖动物采样器具</w:t>
            </w:r>
          </w:p>
        </w:tc>
        <w:tc>
          <w:tcPr>
            <w:tcW w:w="1424" w:type="dxa"/>
            <w:shd w:val="clear" w:color="auto" w:fill="auto"/>
            <w:vAlign w:val="center"/>
          </w:tcPr>
          <w:p w14:paraId="5962A79D">
            <w:pPr>
              <w:spacing w:line="360" w:lineRule="auto"/>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用于河流、湖泊大型底栖动物采样</w:t>
            </w:r>
          </w:p>
        </w:tc>
        <w:tc>
          <w:tcPr>
            <w:tcW w:w="775" w:type="dxa"/>
            <w:shd w:val="clear" w:color="auto" w:fill="auto"/>
            <w:vAlign w:val="center"/>
          </w:tcPr>
          <w:p w14:paraId="1076CAC4">
            <w:pPr>
              <w:pStyle w:val="116"/>
              <w:spacing w:before="19" w:line="360" w:lineRule="auto"/>
              <w:ind w:left="119" w:right="4052" w:firstLine="3"/>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sz w:val="21"/>
                <w:szCs w:val="21"/>
                <w:lang w:val="en-US" w:eastAsia="zh-CN"/>
              </w:rPr>
              <w:t>套</w:t>
            </w:r>
          </w:p>
        </w:tc>
        <w:tc>
          <w:tcPr>
            <w:tcW w:w="667" w:type="dxa"/>
            <w:shd w:val="clear" w:color="auto" w:fill="auto"/>
            <w:vAlign w:val="center"/>
          </w:tcPr>
          <w:p w14:paraId="320D7F54">
            <w:pPr>
              <w:pStyle w:val="116"/>
              <w:spacing w:before="19" w:line="360" w:lineRule="auto"/>
              <w:ind w:left="119" w:leftChars="0" w:right="4052" w:firstLine="101" w:firstLineChars="0"/>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sz w:val="21"/>
                <w:szCs w:val="21"/>
                <w:lang w:val="en-US" w:eastAsia="zh-CN"/>
              </w:rPr>
              <w:t>1</w:t>
            </w:r>
          </w:p>
        </w:tc>
        <w:tc>
          <w:tcPr>
            <w:tcW w:w="8047" w:type="dxa"/>
            <w:shd w:val="clear" w:color="auto" w:fill="auto"/>
            <w:vAlign w:val="center"/>
          </w:tcPr>
          <w:p w14:paraId="3DB94D13">
            <w:pPr>
              <w:keepNext w:val="0"/>
              <w:keepLines w:val="0"/>
              <w:pageBreakBefore w:val="0"/>
              <w:widowControl w:val="0"/>
              <w:numPr>
                <w:ilvl w:val="0"/>
                <w:numId w:val="13"/>
              </w:numPr>
              <w:kinsoku/>
              <w:wordWrap/>
              <w:overflowPunct/>
              <w:topLinePunct w:val="0"/>
              <w:autoSpaceDE/>
              <w:autoSpaceDN/>
              <w:bidi w:val="0"/>
              <w:spacing w:line="360" w:lineRule="auto"/>
              <w:ind w:left="231" w:leftChars="104" w:hanging="13" w:hangingChars="6"/>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杆持D型网：</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网衣：40目锦纶，孔径0.5mm；网头：采样边长≥30cm；网杆：长度≥1m，螺纹连接，两根.</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2、矩形拖网：</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网衣：40目锦纶，孔径0.5mm；网口：≥40cm x 20cm；</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3、抓斗采泥器：</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采样面积：≥20cm x 14cm容积：≥1.5~3L；</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4、底栖生物分样筛：</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孔径：20目（1mm），40目（0.5mm），</w:t>
            </w:r>
          </w:p>
          <w:p w14:paraId="0180A74F">
            <w:pPr>
              <w:keepNext w:val="0"/>
              <w:keepLines w:val="0"/>
              <w:pageBreakBefore w:val="0"/>
              <w:widowControl w:val="0"/>
              <w:numPr>
                <w:ilvl w:val="0"/>
                <w:numId w:val="0"/>
              </w:numPr>
              <w:kinsoku/>
              <w:wordWrap/>
              <w:overflowPunct/>
              <w:topLinePunct w:val="0"/>
              <w:autoSpaceDE/>
              <w:autoSpaceDN/>
              <w:bidi w:val="0"/>
              <w:spacing w:line="360" w:lineRule="auto"/>
              <w:ind w:leftChars="98"/>
              <w:textAlignment w:val="auto"/>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sz w:val="21"/>
                <w:szCs w:val="21"/>
                <w:lang w:val="en-US" w:eastAsia="zh-CN"/>
              </w:rPr>
              <w:t>孔径：60目（0.25mm），80目（0.175mm），</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孔径：100目（0.15mm），120目（0.125mm）。</w:t>
            </w:r>
          </w:p>
        </w:tc>
      </w:tr>
      <w:tr w14:paraId="268BF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26" w:type="dxa"/>
            <w:shd w:val="clear" w:color="auto" w:fill="auto"/>
            <w:vAlign w:val="center"/>
          </w:tcPr>
          <w:p w14:paraId="78581808">
            <w:pPr>
              <w:spacing w:line="360" w:lineRule="auto"/>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3</w:t>
            </w:r>
          </w:p>
        </w:tc>
        <w:tc>
          <w:tcPr>
            <w:tcW w:w="2024" w:type="dxa"/>
            <w:shd w:val="clear" w:color="auto" w:fill="auto"/>
            <w:vAlign w:val="center"/>
          </w:tcPr>
          <w:p w14:paraId="11A332D1">
            <w:pPr>
              <w:spacing w:line="360" w:lineRule="auto"/>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着生藻类采样器具</w:t>
            </w:r>
          </w:p>
        </w:tc>
        <w:tc>
          <w:tcPr>
            <w:tcW w:w="1424" w:type="dxa"/>
            <w:shd w:val="clear" w:color="auto" w:fill="auto"/>
            <w:vAlign w:val="center"/>
          </w:tcPr>
          <w:p w14:paraId="7B9DBE56">
            <w:pPr>
              <w:spacing w:line="360" w:lineRule="auto"/>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zh-CN"/>
              </w:rPr>
              <w:t>用于河流、湖泊着生藻类样品采集</w:t>
            </w:r>
          </w:p>
        </w:tc>
        <w:tc>
          <w:tcPr>
            <w:tcW w:w="775" w:type="dxa"/>
            <w:shd w:val="clear" w:color="auto" w:fill="auto"/>
            <w:vAlign w:val="center"/>
          </w:tcPr>
          <w:p w14:paraId="7E863006">
            <w:pPr>
              <w:pStyle w:val="116"/>
              <w:spacing w:before="19" w:line="360" w:lineRule="auto"/>
              <w:ind w:left="119" w:leftChars="0" w:right="4052" w:firstLine="101" w:firstLineChars="0"/>
              <w:jc w:val="center"/>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sz w:val="21"/>
                <w:szCs w:val="21"/>
                <w:lang w:val="en-US" w:eastAsia="zh-CN"/>
              </w:rPr>
              <w:t>套</w:t>
            </w:r>
          </w:p>
        </w:tc>
        <w:tc>
          <w:tcPr>
            <w:tcW w:w="667" w:type="dxa"/>
            <w:shd w:val="clear" w:color="auto" w:fill="auto"/>
            <w:vAlign w:val="center"/>
          </w:tcPr>
          <w:p w14:paraId="54693BE9">
            <w:pPr>
              <w:pStyle w:val="116"/>
              <w:spacing w:before="19" w:line="360" w:lineRule="auto"/>
              <w:ind w:left="119" w:leftChars="0" w:right="4052" w:firstLine="101" w:firstLineChars="0"/>
              <w:jc w:val="center"/>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sz w:val="21"/>
                <w:szCs w:val="21"/>
                <w:lang w:val="en-US" w:eastAsia="zh-CN"/>
              </w:rPr>
              <w:t>3</w:t>
            </w:r>
          </w:p>
        </w:tc>
        <w:tc>
          <w:tcPr>
            <w:tcW w:w="8047" w:type="dxa"/>
            <w:shd w:val="clear" w:color="auto" w:fill="auto"/>
            <w:vAlign w:val="center"/>
          </w:tcPr>
          <w:p w14:paraId="6E293ED1">
            <w:pPr>
              <w:pStyle w:val="116"/>
              <w:numPr>
                <w:ilvl w:val="0"/>
                <w:numId w:val="0"/>
              </w:numPr>
              <w:spacing w:before="19" w:line="360" w:lineRule="auto"/>
              <w:ind w:left="119" w:leftChars="0" w:right="63" w:rightChars="0" w:firstLine="3" w:firstLineChars="0"/>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1、着生澡类采样器：</w:t>
            </w:r>
          </w:p>
          <w:p w14:paraId="51F4B1B0">
            <w:pPr>
              <w:pStyle w:val="116"/>
              <w:numPr>
                <w:ilvl w:val="0"/>
                <w:numId w:val="0"/>
              </w:numPr>
              <w:spacing w:before="19" w:line="360" w:lineRule="auto"/>
              <w:ind w:left="119" w:leftChars="0" w:right="63" w:rightChars="0" w:firstLine="3" w:firstLineChars="0"/>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网衣：孔径64um；</w:t>
            </w:r>
          </w:p>
          <w:p w14:paraId="766C33BE">
            <w:pPr>
              <w:pStyle w:val="116"/>
              <w:numPr>
                <w:ilvl w:val="0"/>
                <w:numId w:val="0"/>
              </w:numPr>
              <w:spacing w:before="19" w:line="360" w:lineRule="auto"/>
              <w:ind w:left="119" w:leftChars="0" w:right="63" w:rightChars="0" w:firstLine="3" w:firstLineChars="0"/>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网口：12cm x 12cm；</w:t>
            </w:r>
          </w:p>
          <w:p w14:paraId="004C1559">
            <w:pPr>
              <w:pStyle w:val="116"/>
              <w:numPr>
                <w:ilvl w:val="0"/>
                <w:numId w:val="0"/>
              </w:numPr>
              <w:spacing w:before="19" w:line="360" w:lineRule="auto"/>
              <w:ind w:left="119" w:leftChars="0" w:right="63" w:rightChars="0" w:firstLine="3" w:firstLineChars="0"/>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网杆：碳钎维展开长度3m ；含其他采集器具。</w:t>
            </w:r>
          </w:p>
          <w:p w14:paraId="3E5F7C64">
            <w:pPr>
              <w:pStyle w:val="116"/>
              <w:numPr>
                <w:ilvl w:val="0"/>
                <w:numId w:val="0"/>
              </w:numPr>
              <w:spacing w:before="19" w:line="360" w:lineRule="auto"/>
              <w:ind w:left="119" w:leftChars="0" w:right="63" w:rightChars="0" w:firstLine="3" w:firstLineChars="0"/>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kern w:val="2"/>
                <w:sz w:val="21"/>
                <w:szCs w:val="21"/>
                <w:lang w:val="en-US" w:eastAsia="zh-CN" w:bidi="ar-SA"/>
              </w:rPr>
              <w:t>2、</w:t>
            </w:r>
            <w:r>
              <w:rPr>
                <w:rFonts w:hint="eastAsia" w:ascii="宋体" w:hAnsi="宋体" w:eastAsia="宋体" w:cs="宋体"/>
                <w:color w:val="auto"/>
                <w:spacing w:val="10"/>
                <w:sz w:val="21"/>
                <w:szCs w:val="21"/>
                <w:lang w:val="en-US" w:eastAsia="zh-CN"/>
              </w:rPr>
              <w:t>杆持D型网：</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网衣：</w:t>
            </w:r>
            <w:r>
              <w:rPr>
                <w:rFonts w:hint="eastAsia" w:ascii="宋体" w:hAnsi="宋体" w:eastAsia="宋体" w:cs="宋体"/>
                <w:spacing w:val="10"/>
                <w:sz w:val="21"/>
                <w:szCs w:val="21"/>
                <w:lang w:val="en-US" w:eastAsia="zh-CN"/>
              </w:rPr>
              <w:t>60目锦纶,</w:t>
            </w:r>
            <w:r>
              <w:rPr>
                <w:rFonts w:hint="eastAsia" w:ascii="宋体" w:hAnsi="宋体" w:eastAsia="宋体" w:cs="宋体"/>
                <w:color w:val="auto"/>
                <w:spacing w:val="10"/>
                <w:sz w:val="21"/>
                <w:szCs w:val="21"/>
                <w:lang w:val="en-US" w:eastAsia="zh-CN"/>
              </w:rPr>
              <w:t>孔径0.5mm；网口：25cm x 25cm；网杆：长度75cm 螺纹连接，两根。</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3、矩形拖网：</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网衣：</w:t>
            </w:r>
            <w:r>
              <w:rPr>
                <w:rFonts w:hint="eastAsia" w:ascii="宋体" w:hAnsi="宋体" w:eastAsia="宋体" w:cs="宋体"/>
                <w:spacing w:val="10"/>
                <w:sz w:val="21"/>
                <w:szCs w:val="21"/>
                <w:lang w:val="en-US" w:eastAsia="zh-CN"/>
              </w:rPr>
              <w:t>40目锦纶,</w:t>
            </w:r>
            <w:r>
              <w:rPr>
                <w:rFonts w:hint="eastAsia" w:ascii="宋体" w:hAnsi="宋体" w:eastAsia="宋体" w:cs="宋体"/>
                <w:color w:val="auto"/>
                <w:spacing w:val="10"/>
                <w:sz w:val="21"/>
                <w:szCs w:val="21"/>
                <w:lang w:val="en-US" w:eastAsia="zh-CN"/>
              </w:rPr>
              <w:t>孔径0.5mm；网口：40cm x 20cm；</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4、抓斗采泥器：</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采样面积：</w:t>
            </w:r>
            <w:r>
              <w:rPr>
                <w:rFonts w:hint="eastAsia" w:ascii="宋体" w:hAnsi="宋体" w:eastAsia="宋体" w:cs="宋体"/>
                <w:spacing w:val="10"/>
                <w:sz w:val="21"/>
                <w:szCs w:val="21"/>
                <w:lang w:val="en-US" w:eastAsia="zh-CN"/>
              </w:rPr>
              <w:t>304不锈钢,</w:t>
            </w:r>
            <w:r>
              <w:rPr>
                <w:rFonts w:hint="eastAsia" w:ascii="宋体" w:hAnsi="宋体" w:eastAsia="宋体" w:cs="宋体"/>
                <w:color w:val="auto"/>
                <w:spacing w:val="10"/>
                <w:sz w:val="21"/>
                <w:szCs w:val="21"/>
                <w:lang w:val="en-US" w:eastAsia="zh-CN"/>
              </w:rPr>
              <w:t>30cm x 15cm；采泥厚度：约15cm；容积：1.5~3L。</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5、底栖生物分样筛：</w:t>
            </w:r>
          </w:p>
          <w:p w14:paraId="523327D8">
            <w:pPr>
              <w:pStyle w:val="116"/>
              <w:tabs>
                <w:tab w:val="left" w:pos="7780"/>
                <w:tab w:val="left" w:pos="8200"/>
              </w:tabs>
              <w:spacing w:before="19" w:line="360" w:lineRule="auto"/>
              <w:ind w:left="119" w:right="683" w:rightChars="0" w:firstLine="232" w:firstLineChars="101"/>
              <w:rPr>
                <w:rFonts w:hint="eastAsia" w:ascii="宋体" w:hAnsi="宋体" w:eastAsia="宋体" w:cs="宋体"/>
                <w:color w:val="auto"/>
                <w:spacing w:val="10"/>
                <w:sz w:val="21"/>
                <w:szCs w:val="21"/>
                <w:lang w:val="en-US" w:eastAsia="zh-CN"/>
              </w:rPr>
            </w:pPr>
            <w:r>
              <w:rPr>
                <w:rFonts w:hint="eastAsia" w:ascii="宋体" w:hAnsi="宋体" w:eastAsia="宋体" w:cs="宋体"/>
                <w:spacing w:val="10"/>
                <w:sz w:val="21"/>
                <w:szCs w:val="21"/>
                <w:lang w:val="en-US" w:eastAsia="zh-CN"/>
              </w:rPr>
              <w:t>304型不锈钢，双层冲压边框；</w:t>
            </w:r>
            <w:r>
              <w:rPr>
                <w:rFonts w:hint="eastAsia" w:ascii="宋体" w:hAnsi="宋体" w:eastAsia="宋体" w:cs="宋体"/>
                <w:color w:val="auto"/>
                <w:spacing w:val="10"/>
                <w:sz w:val="21"/>
                <w:szCs w:val="21"/>
                <w:lang w:val="en-US" w:eastAsia="zh-CN"/>
              </w:rPr>
              <w:t>直径21cm，高度约6cm，</w:t>
            </w:r>
          </w:p>
          <w:p w14:paraId="63F916EB">
            <w:pPr>
              <w:keepNext w:val="0"/>
              <w:keepLines w:val="0"/>
              <w:pageBreakBefore w:val="0"/>
              <w:widowControl w:val="0"/>
              <w:numPr>
                <w:ilvl w:val="0"/>
                <w:numId w:val="0"/>
              </w:numPr>
              <w:kinsoku/>
              <w:wordWrap/>
              <w:overflowPunct/>
              <w:topLinePunct w:val="0"/>
              <w:autoSpaceDE/>
              <w:autoSpaceDN/>
              <w:bidi w:val="0"/>
              <w:spacing w:line="360" w:lineRule="auto"/>
              <w:ind w:left="239" w:leftChars="114" w:firstLine="0" w:firstLineChars="0"/>
              <w:textAlignment w:val="auto"/>
              <w:rPr>
                <w:rFonts w:hint="eastAsia" w:ascii="宋体" w:hAnsi="宋体" w:eastAsia="宋体" w:cs="宋体"/>
                <w:color w:val="auto"/>
                <w:spacing w:val="10"/>
                <w:sz w:val="21"/>
                <w:szCs w:val="21"/>
                <w:lang w:val="en-US" w:eastAsia="en-US"/>
              </w:rPr>
            </w:pPr>
            <w:r>
              <w:rPr>
                <w:rFonts w:hint="eastAsia" w:ascii="宋体" w:hAnsi="宋体" w:eastAsia="宋体" w:cs="宋体"/>
                <w:color w:val="auto"/>
                <w:spacing w:val="10"/>
                <w:sz w:val="21"/>
                <w:szCs w:val="21"/>
                <w:lang w:val="en-US" w:eastAsia="zh-CN"/>
              </w:rPr>
              <w:t>孔径：20目（1mm），40目（0.5mm），</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孔径：60目（0.25mm），80目（0.175mm），</w:t>
            </w:r>
            <w:r>
              <w:rPr>
                <w:rFonts w:hint="eastAsia" w:ascii="宋体" w:hAnsi="宋体" w:eastAsia="宋体" w:cs="宋体"/>
                <w:color w:val="auto"/>
                <w:spacing w:val="10"/>
                <w:sz w:val="21"/>
                <w:szCs w:val="21"/>
                <w:lang w:val="en-US" w:eastAsia="zh-CN"/>
              </w:rPr>
              <w:br w:type="textWrapping"/>
            </w:r>
            <w:r>
              <w:rPr>
                <w:rFonts w:hint="eastAsia" w:ascii="宋体" w:hAnsi="宋体" w:eastAsia="宋体" w:cs="宋体"/>
                <w:color w:val="auto"/>
                <w:spacing w:val="10"/>
                <w:sz w:val="21"/>
                <w:szCs w:val="21"/>
                <w:lang w:val="en-US" w:eastAsia="zh-CN"/>
              </w:rPr>
              <w:t>孔径：100目（0.15mm），120目（0.125mm）。</w:t>
            </w:r>
          </w:p>
        </w:tc>
      </w:tr>
      <w:tr w14:paraId="3573D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1" w:hRule="atLeast"/>
        </w:trPr>
        <w:tc>
          <w:tcPr>
            <w:tcW w:w="726" w:type="dxa"/>
            <w:vAlign w:val="top"/>
          </w:tcPr>
          <w:p w14:paraId="119B782B">
            <w:pPr>
              <w:pStyle w:val="116"/>
              <w:spacing w:before="19" w:line="360" w:lineRule="auto"/>
              <w:ind w:left="119" w:right="4052" w:firstLine="3"/>
              <w:jc w:val="center"/>
              <w:rPr>
                <w:rFonts w:hint="eastAsia" w:ascii="宋体" w:hAnsi="宋体" w:eastAsia="宋体" w:cs="宋体"/>
                <w:color w:val="auto"/>
                <w:spacing w:val="10"/>
                <w:sz w:val="21"/>
                <w:szCs w:val="21"/>
                <w:lang w:val="en-US" w:eastAsia="zh-CN"/>
              </w:rPr>
            </w:pPr>
          </w:p>
          <w:p w14:paraId="1DAAC657">
            <w:pPr>
              <w:pStyle w:val="116"/>
              <w:spacing w:before="19" w:line="360" w:lineRule="auto"/>
              <w:ind w:left="119" w:right="4052" w:firstLine="3"/>
              <w:jc w:val="center"/>
              <w:rPr>
                <w:rFonts w:hint="eastAsia" w:ascii="宋体" w:hAnsi="宋体" w:eastAsia="宋体" w:cs="宋体"/>
                <w:color w:val="auto"/>
                <w:spacing w:val="10"/>
                <w:sz w:val="21"/>
                <w:szCs w:val="21"/>
                <w:lang w:val="en-US" w:eastAsia="zh-CN"/>
              </w:rPr>
            </w:pPr>
          </w:p>
          <w:p w14:paraId="67065D4F">
            <w:pPr>
              <w:pStyle w:val="116"/>
              <w:spacing w:before="19" w:line="360" w:lineRule="auto"/>
              <w:ind w:left="119" w:right="4052" w:firstLine="3"/>
              <w:jc w:val="center"/>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4</w:t>
            </w:r>
          </w:p>
        </w:tc>
        <w:tc>
          <w:tcPr>
            <w:tcW w:w="2024" w:type="dxa"/>
            <w:vAlign w:val="top"/>
          </w:tcPr>
          <w:p w14:paraId="38E53273">
            <w:pPr>
              <w:spacing w:line="360" w:lineRule="auto"/>
              <w:jc w:val="center"/>
              <w:rPr>
                <w:rFonts w:hint="eastAsia" w:ascii="宋体" w:hAnsi="宋体" w:eastAsia="宋体" w:cs="宋体"/>
                <w:color w:val="auto"/>
                <w:sz w:val="21"/>
                <w:szCs w:val="21"/>
                <w:lang w:val="en-US" w:eastAsia="zh-CN"/>
              </w:rPr>
            </w:pPr>
          </w:p>
          <w:p w14:paraId="03FA839B">
            <w:pPr>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水生维管束植物采样器具</w:t>
            </w:r>
          </w:p>
        </w:tc>
        <w:tc>
          <w:tcPr>
            <w:tcW w:w="1424" w:type="dxa"/>
            <w:vAlign w:val="top"/>
          </w:tcPr>
          <w:p w14:paraId="77A2D1D7">
            <w:pPr>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用于河流、湖 泊水生维管束植物的样品采集</w:t>
            </w:r>
          </w:p>
        </w:tc>
        <w:tc>
          <w:tcPr>
            <w:tcW w:w="775" w:type="dxa"/>
            <w:vAlign w:val="top"/>
          </w:tcPr>
          <w:p w14:paraId="7623D663">
            <w:pPr>
              <w:pStyle w:val="116"/>
              <w:spacing w:before="19" w:line="360" w:lineRule="auto"/>
              <w:ind w:left="119" w:right="4052" w:firstLine="3"/>
              <w:jc w:val="center"/>
              <w:rPr>
                <w:rFonts w:hint="eastAsia" w:ascii="宋体" w:hAnsi="宋体" w:eastAsia="宋体" w:cs="宋体"/>
                <w:color w:val="auto"/>
                <w:spacing w:val="10"/>
                <w:sz w:val="21"/>
                <w:szCs w:val="21"/>
                <w:lang w:val="en-US" w:eastAsia="zh-CN"/>
              </w:rPr>
            </w:pPr>
          </w:p>
          <w:p w14:paraId="7B63709F">
            <w:pPr>
              <w:pStyle w:val="116"/>
              <w:spacing w:before="19" w:line="360" w:lineRule="auto"/>
              <w:ind w:left="119" w:right="4052" w:firstLine="3"/>
              <w:jc w:val="center"/>
              <w:rPr>
                <w:rFonts w:hint="eastAsia" w:ascii="宋体" w:hAnsi="宋体" w:eastAsia="宋体" w:cs="宋体"/>
                <w:color w:val="auto"/>
                <w:spacing w:val="10"/>
                <w:sz w:val="21"/>
                <w:szCs w:val="21"/>
                <w:lang w:val="en-US" w:eastAsia="zh-CN"/>
              </w:rPr>
            </w:pPr>
          </w:p>
          <w:p w14:paraId="5A6E4F51">
            <w:pPr>
              <w:pStyle w:val="116"/>
              <w:spacing w:before="19" w:line="360" w:lineRule="auto"/>
              <w:ind w:right="4052" w:firstLine="230" w:firstLineChars="100"/>
              <w:jc w:val="center"/>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套</w:t>
            </w:r>
          </w:p>
        </w:tc>
        <w:tc>
          <w:tcPr>
            <w:tcW w:w="667" w:type="dxa"/>
            <w:vAlign w:val="center"/>
          </w:tcPr>
          <w:p w14:paraId="029A8657">
            <w:pPr>
              <w:pStyle w:val="116"/>
              <w:spacing w:before="19" w:line="360" w:lineRule="auto"/>
              <w:ind w:left="119" w:right="4052" w:firstLine="3"/>
              <w:jc w:val="center"/>
              <w:rPr>
                <w:rFonts w:hint="eastAsia" w:ascii="宋体" w:hAnsi="宋体" w:eastAsia="宋体" w:cs="宋体"/>
                <w:color w:val="auto"/>
                <w:spacing w:val="10"/>
                <w:sz w:val="21"/>
                <w:szCs w:val="21"/>
                <w:lang w:val="en-US" w:eastAsia="zh-CN"/>
              </w:rPr>
            </w:pPr>
          </w:p>
          <w:p w14:paraId="6A9C5E9B">
            <w:pPr>
              <w:pStyle w:val="116"/>
              <w:spacing w:before="19" w:line="360" w:lineRule="auto"/>
              <w:ind w:left="0" w:leftChars="0" w:right="4052" w:firstLine="193" w:firstLineChars="84"/>
              <w:jc w:val="center"/>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3</w:t>
            </w:r>
          </w:p>
        </w:tc>
        <w:tc>
          <w:tcPr>
            <w:tcW w:w="8047" w:type="dxa"/>
            <w:vAlign w:val="center"/>
          </w:tcPr>
          <w:p w14:paraId="412EA3C8">
            <w:pPr>
              <w:pStyle w:val="116"/>
              <w:numPr>
                <w:ilvl w:val="0"/>
                <w:numId w:val="0"/>
              </w:numPr>
              <w:spacing w:before="19" w:line="360" w:lineRule="auto"/>
              <w:ind w:right="4052" w:rightChars="0" w:firstLine="230" w:firstLineChars="100"/>
              <w:jc w:val="left"/>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水草定量夹：</w:t>
            </w:r>
          </w:p>
          <w:p w14:paraId="60E541A5">
            <w:pPr>
              <w:pStyle w:val="116"/>
              <w:numPr>
                <w:ilvl w:val="0"/>
                <w:numId w:val="0"/>
              </w:numPr>
              <w:spacing w:before="19" w:line="360" w:lineRule="auto"/>
              <w:ind w:left="210" w:leftChars="100" w:right="263" w:rightChars="0" w:firstLine="0" w:firstLineChars="0"/>
              <w:jc w:val="left"/>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1、规格：开口面积 0.25 ㎡，不锈钢材质，采用杆式连接，杆长≥2m，可定量采集沉水植物。</w:t>
            </w:r>
          </w:p>
        </w:tc>
      </w:tr>
      <w:tr w14:paraId="54C6E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vAlign w:val="center"/>
          </w:tcPr>
          <w:p w14:paraId="23365799">
            <w:pPr>
              <w:pStyle w:val="116"/>
              <w:spacing w:before="19" w:line="360" w:lineRule="auto"/>
              <w:ind w:left="119" w:right="4052" w:firstLine="3"/>
              <w:jc w:val="center"/>
              <w:rPr>
                <w:rFonts w:hint="eastAsia" w:ascii="宋体" w:hAnsi="宋体" w:eastAsia="宋体" w:cs="宋体"/>
                <w:color w:val="auto"/>
                <w:spacing w:val="10"/>
                <w:sz w:val="21"/>
                <w:szCs w:val="21"/>
                <w:lang w:val="en-US" w:eastAsia="zh-CN"/>
              </w:rPr>
            </w:pPr>
          </w:p>
          <w:p w14:paraId="5710ACD8">
            <w:pPr>
              <w:pStyle w:val="116"/>
              <w:spacing w:before="19" w:line="360" w:lineRule="auto"/>
              <w:ind w:left="119" w:right="4052" w:firstLine="3"/>
              <w:jc w:val="both"/>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5</w:t>
            </w:r>
          </w:p>
        </w:tc>
        <w:tc>
          <w:tcPr>
            <w:tcW w:w="2024" w:type="dxa"/>
            <w:vAlign w:val="center"/>
          </w:tcPr>
          <w:p w14:paraId="750D54DA">
            <w:pPr>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鱼类采样器具</w:t>
            </w:r>
          </w:p>
        </w:tc>
        <w:tc>
          <w:tcPr>
            <w:tcW w:w="1424" w:type="dxa"/>
            <w:vAlign w:val="center"/>
          </w:tcPr>
          <w:p w14:paraId="38097005">
            <w:pPr>
              <w:spacing w:line="36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用于河流、湖 泊鱼类的样  品采集</w:t>
            </w:r>
          </w:p>
        </w:tc>
        <w:tc>
          <w:tcPr>
            <w:tcW w:w="775" w:type="dxa"/>
            <w:vAlign w:val="center"/>
          </w:tcPr>
          <w:p w14:paraId="53AE5CD5">
            <w:pPr>
              <w:pStyle w:val="116"/>
              <w:spacing w:before="19" w:line="360" w:lineRule="auto"/>
              <w:ind w:left="119" w:right="4052" w:firstLine="3"/>
              <w:rPr>
                <w:rFonts w:hint="eastAsia" w:ascii="宋体" w:hAnsi="宋体" w:eastAsia="宋体" w:cs="宋体"/>
                <w:color w:val="auto"/>
                <w:spacing w:val="10"/>
                <w:sz w:val="21"/>
                <w:szCs w:val="21"/>
                <w:lang w:val="en-US" w:eastAsia="zh-CN"/>
              </w:rPr>
            </w:pPr>
          </w:p>
          <w:p w14:paraId="4C957355">
            <w:pPr>
              <w:pStyle w:val="116"/>
              <w:spacing w:before="19" w:line="360" w:lineRule="auto"/>
              <w:ind w:left="0" w:leftChars="0" w:right="4052" w:firstLine="193" w:firstLineChars="84"/>
              <w:jc w:val="both"/>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套</w:t>
            </w:r>
          </w:p>
        </w:tc>
        <w:tc>
          <w:tcPr>
            <w:tcW w:w="667" w:type="dxa"/>
            <w:vAlign w:val="center"/>
          </w:tcPr>
          <w:p w14:paraId="584237FE">
            <w:pPr>
              <w:pStyle w:val="116"/>
              <w:spacing w:before="19" w:line="360" w:lineRule="auto"/>
              <w:ind w:left="119" w:right="4052" w:firstLine="3"/>
              <w:rPr>
                <w:rFonts w:hint="eastAsia" w:ascii="宋体" w:hAnsi="宋体" w:eastAsia="宋体" w:cs="宋体"/>
                <w:color w:val="auto"/>
                <w:spacing w:val="10"/>
                <w:sz w:val="21"/>
                <w:szCs w:val="21"/>
                <w:lang w:val="en-US" w:eastAsia="zh-CN"/>
              </w:rPr>
            </w:pPr>
          </w:p>
          <w:p w14:paraId="5950298F">
            <w:pPr>
              <w:pStyle w:val="116"/>
              <w:spacing w:before="19" w:line="360" w:lineRule="auto"/>
              <w:ind w:left="119" w:leftChars="0" w:right="4052" w:firstLine="101" w:firstLineChars="0"/>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3</w:t>
            </w:r>
          </w:p>
        </w:tc>
        <w:tc>
          <w:tcPr>
            <w:tcW w:w="8047" w:type="dxa"/>
            <w:vAlign w:val="top"/>
          </w:tcPr>
          <w:p w14:paraId="7D84ED8E">
            <w:pPr>
              <w:pStyle w:val="116"/>
              <w:tabs>
                <w:tab w:val="left" w:pos="5260"/>
              </w:tabs>
              <w:spacing w:before="19" w:line="360" w:lineRule="auto"/>
              <w:ind w:left="119" w:right="2363" w:rightChars="0" w:firstLine="3"/>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大型拖网：</w:t>
            </w:r>
          </w:p>
          <w:p w14:paraId="03967873">
            <w:pPr>
              <w:pStyle w:val="116"/>
              <w:tabs>
                <w:tab w:val="left" w:pos="5260"/>
              </w:tabs>
              <w:spacing w:before="19" w:line="360" w:lineRule="auto"/>
              <w:ind w:left="119" w:right="2363" w:rightChars="0" w:firstLine="3"/>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1、网架尺寸：开口 150cm×50cm，深度80cm；</w:t>
            </w:r>
          </w:p>
          <w:p w14:paraId="67223F84">
            <w:pPr>
              <w:pStyle w:val="116"/>
              <w:tabs>
                <w:tab w:val="left" w:pos="7560"/>
                <w:tab w:val="left" w:pos="7780"/>
              </w:tabs>
              <w:spacing w:before="19" w:line="360" w:lineRule="auto"/>
              <w:ind w:left="119" w:right="263" w:rightChars="0" w:firstLine="3"/>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网长：350cm；内网：孔径 0.7cm，线粗 0.2cm；外网：孔径 1.5cm，线粗 0.4cm</w:t>
            </w:r>
          </w:p>
          <w:p w14:paraId="28E06E46">
            <w:pPr>
              <w:pStyle w:val="116"/>
              <w:numPr>
                <w:ilvl w:val="0"/>
                <w:numId w:val="14"/>
              </w:numPr>
              <w:spacing w:before="19" w:line="360" w:lineRule="auto"/>
              <w:ind w:left="119" w:right="4052" w:firstLine="3"/>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观鱼器：</w:t>
            </w:r>
          </w:p>
          <w:p w14:paraId="11AC3286">
            <w:pPr>
              <w:pStyle w:val="116"/>
              <w:spacing w:before="19" w:line="360" w:lineRule="auto"/>
              <w:ind w:left="119" w:right="4052" w:firstLine="3"/>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材质：pet、磁吸滑盖、带刻度尺</w:t>
            </w:r>
          </w:p>
          <w:p w14:paraId="32F51299">
            <w:pPr>
              <w:pStyle w:val="116"/>
              <w:numPr>
                <w:ilvl w:val="0"/>
                <w:numId w:val="14"/>
              </w:numPr>
              <w:spacing w:before="19" w:line="360" w:lineRule="auto"/>
              <w:ind w:left="119" w:leftChars="0" w:right="4052" w:firstLine="3" w:firstLineChars="0"/>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地笼：</w:t>
            </w:r>
          </w:p>
          <w:p w14:paraId="390AD323">
            <w:pPr>
              <w:pStyle w:val="116"/>
              <w:numPr>
                <w:ilvl w:val="0"/>
                <w:numId w:val="0"/>
              </w:numPr>
              <w:spacing w:before="19" w:line="360" w:lineRule="auto"/>
              <w:ind w:left="122" w:leftChars="0" w:right="263" w:rightChars="0"/>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规格：18m×0.33m×0.45m，网眼 2a=0.8cm。</w:t>
            </w:r>
          </w:p>
        </w:tc>
      </w:tr>
      <w:tr w14:paraId="26FAA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26" w:type="dxa"/>
            <w:vAlign w:val="center"/>
          </w:tcPr>
          <w:p w14:paraId="3D123EC6">
            <w:pPr>
              <w:spacing w:line="360" w:lineRule="auto"/>
              <w:jc w:val="center"/>
              <w:rPr>
                <w:rFonts w:hint="eastAsia" w:ascii="宋体" w:hAnsi="宋体" w:eastAsia="宋体" w:cs="宋体"/>
                <w:sz w:val="21"/>
                <w:szCs w:val="21"/>
              </w:rPr>
            </w:pPr>
          </w:p>
          <w:p w14:paraId="3986E6BF">
            <w:pPr>
              <w:pStyle w:val="116"/>
              <w:spacing w:before="65" w:line="360" w:lineRule="auto"/>
              <w:ind w:left="117" w:left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position w:val="1"/>
                <w:sz w:val="21"/>
                <w:szCs w:val="21"/>
              </w:rPr>
              <w:t>6</w:t>
            </w:r>
          </w:p>
        </w:tc>
        <w:tc>
          <w:tcPr>
            <w:tcW w:w="2024" w:type="dxa"/>
            <w:vAlign w:val="center"/>
          </w:tcPr>
          <w:p w14:paraId="33523131">
            <w:pPr>
              <w:spacing w:line="360" w:lineRule="auto"/>
              <w:jc w:val="center"/>
              <w:rPr>
                <w:rFonts w:hint="eastAsia" w:ascii="宋体" w:hAnsi="宋体" w:eastAsia="宋体" w:cs="宋体"/>
                <w:color w:val="auto"/>
                <w:sz w:val="21"/>
                <w:szCs w:val="21"/>
              </w:rPr>
            </w:pPr>
          </w:p>
          <w:p w14:paraId="7E8BC7F6">
            <w:pPr>
              <w:pStyle w:val="116"/>
              <w:spacing w:before="65" w:line="360" w:lineRule="auto"/>
              <w:ind w:left="126" w:leftChars="0"/>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pacing w:val="2"/>
                <w:sz w:val="21"/>
                <w:szCs w:val="21"/>
              </w:rPr>
              <w:t>鱼探仪</w:t>
            </w:r>
          </w:p>
        </w:tc>
        <w:tc>
          <w:tcPr>
            <w:tcW w:w="1424" w:type="dxa"/>
            <w:vAlign w:val="center"/>
          </w:tcPr>
          <w:p w14:paraId="2D89F742">
            <w:pPr>
              <w:pStyle w:val="116"/>
              <w:spacing w:before="77" w:line="360" w:lineRule="auto"/>
              <w:ind w:left="117"/>
              <w:jc w:val="center"/>
              <w:rPr>
                <w:rFonts w:hint="eastAsia" w:ascii="宋体" w:hAnsi="宋体" w:eastAsia="宋体" w:cs="宋体"/>
                <w:color w:val="auto"/>
                <w:sz w:val="21"/>
                <w:szCs w:val="21"/>
              </w:rPr>
            </w:pPr>
            <w:r>
              <w:rPr>
                <w:rFonts w:hint="eastAsia" w:ascii="宋体" w:hAnsi="宋体" w:eastAsia="宋体" w:cs="宋体"/>
                <w:color w:val="auto"/>
                <w:spacing w:val="7"/>
                <w:sz w:val="21"/>
                <w:szCs w:val="21"/>
              </w:rPr>
              <w:t>用于进行鱼</w:t>
            </w:r>
          </w:p>
          <w:p w14:paraId="1AF01AC2">
            <w:pPr>
              <w:pStyle w:val="116"/>
              <w:spacing w:before="113" w:line="360" w:lineRule="auto"/>
              <w:ind w:left="120"/>
              <w:jc w:val="center"/>
              <w:rPr>
                <w:rFonts w:hint="eastAsia" w:ascii="宋体" w:hAnsi="宋体" w:eastAsia="宋体" w:cs="宋体"/>
                <w:color w:val="auto"/>
                <w:sz w:val="21"/>
                <w:szCs w:val="21"/>
              </w:rPr>
            </w:pPr>
            <w:r>
              <w:rPr>
                <w:rFonts w:hint="eastAsia" w:ascii="宋体" w:hAnsi="宋体" w:eastAsia="宋体" w:cs="宋体"/>
                <w:color w:val="auto"/>
                <w:spacing w:val="6"/>
                <w:sz w:val="21"/>
                <w:szCs w:val="21"/>
              </w:rPr>
              <w:t>类水下声呐</w:t>
            </w:r>
          </w:p>
          <w:p w14:paraId="0936F5A0">
            <w:pPr>
              <w:pStyle w:val="116"/>
              <w:spacing w:before="109" w:line="360" w:lineRule="auto"/>
              <w:ind w:left="117" w:leftChars="0"/>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pacing w:val="7"/>
                <w:sz w:val="21"/>
                <w:szCs w:val="21"/>
              </w:rPr>
              <w:t>探测的工具</w:t>
            </w:r>
          </w:p>
        </w:tc>
        <w:tc>
          <w:tcPr>
            <w:tcW w:w="775" w:type="dxa"/>
            <w:vAlign w:val="center"/>
          </w:tcPr>
          <w:p w14:paraId="7BA2483B">
            <w:pPr>
              <w:spacing w:line="360" w:lineRule="auto"/>
              <w:jc w:val="center"/>
              <w:rPr>
                <w:rFonts w:hint="eastAsia" w:ascii="宋体" w:hAnsi="宋体" w:eastAsia="宋体" w:cs="宋体"/>
                <w:color w:val="auto"/>
                <w:sz w:val="21"/>
                <w:szCs w:val="21"/>
              </w:rPr>
            </w:pPr>
          </w:p>
          <w:p w14:paraId="01D8C63F">
            <w:pPr>
              <w:pStyle w:val="116"/>
              <w:spacing w:before="65" w:line="360" w:lineRule="auto"/>
              <w:ind w:left="314" w:leftChars="0"/>
              <w:jc w:val="both"/>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rPr>
              <w:t>台</w:t>
            </w:r>
          </w:p>
        </w:tc>
        <w:tc>
          <w:tcPr>
            <w:tcW w:w="667" w:type="dxa"/>
            <w:vAlign w:val="center"/>
          </w:tcPr>
          <w:p w14:paraId="406B5037">
            <w:pPr>
              <w:spacing w:line="360" w:lineRule="auto"/>
              <w:jc w:val="center"/>
              <w:rPr>
                <w:rFonts w:hint="eastAsia" w:ascii="宋体" w:hAnsi="宋体" w:eastAsia="宋体" w:cs="宋体"/>
                <w:color w:val="auto"/>
                <w:sz w:val="21"/>
                <w:szCs w:val="21"/>
              </w:rPr>
            </w:pPr>
          </w:p>
          <w:p w14:paraId="5B51369C">
            <w:pPr>
              <w:pStyle w:val="116"/>
              <w:spacing w:before="65" w:line="360" w:lineRule="auto"/>
              <w:ind w:left="301" w:leftChars="0"/>
              <w:jc w:val="both"/>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position w:val="1"/>
                <w:sz w:val="21"/>
                <w:szCs w:val="21"/>
              </w:rPr>
              <w:t>1</w:t>
            </w:r>
          </w:p>
        </w:tc>
        <w:tc>
          <w:tcPr>
            <w:tcW w:w="8047" w:type="dxa"/>
            <w:vAlign w:val="center"/>
          </w:tcPr>
          <w:p w14:paraId="1A616B90">
            <w:pPr>
              <w:spacing w:line="360" w:lineRule="auto"/>
              <w:ind w:firstLine="210" w:firstLineChars="10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频率</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200KHZ</w:t>
            </w:r>
          </w:p>
          <w:p w14:paraId="565809F9">
            <w:pPr>
              <w:spacing w:line="360" w:lineRule="auto"/>
              <w:ind w:firstLine="210" w:firstLineChars="10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电源</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10.5-12.6V</w:t>
            </w:r>
          </w:p>
          <w:p w14:paraId="47106336">
            <w:pPr>
              <w:spacing w:line="360" w:lineRule="auto"/>
              <w:ind w:firstLine="210" w:firstLineChars="10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探测深度</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0.6-100M</w:t>
            </w:r>
          </w:p>
          <w:p w14:paraId="645CB84F">
            <w:pPr>
              <w:spacing w:line="360" w:lineRule="auto"/>
              <w:ind w:firstLine="210" w:firstLineChars="10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精确度</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0.1M</w:t>
            </w:r>
          </w:p>
          <w:p w14:paraId="6D523BE5">
            <w:pPr>
              <w:spacing w:line="360" w:lineRule="auto"/>
              <w:ind w:firstLine="210" w:firstLineChars="10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5、信号距离：500M</w:t>
            </w:r>
          </w:p>
          <w:p w14:paraId="7F9B2B91">
            <w:pPr>
              <w:spacing w:line="360" w:lineRule="auto"/>
              <w:ind w:firstLine="210" w:firstLineChars="10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6、探测角度： 45°</w:t>
            </w:r>
          </w:p>
          <w:p w14:paraId="1F41B476">
            <w:pPr>
              <w:spacing w:line="360" w:lineRule="auto"/>
              <w:ind w:firstLine="210" w:firstLineChars="100"/>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lang w:val="en-US" w:eastAsia="zh-CN"/>
              </w:rPr>
              <w:t>7、图标显示： 大中小鱼</w:t>
            </w:r>
          </w:p>
        </w:tc>
      </w:tr>
      <w:tr w14:paraId="77F4E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726" w:type="dxa"/>
            <w:vAlign w:val="center"/>
          </w:tcPr>
          <w:p w14:paraId="7E8F146D">
            <w:pPr>
              <w:spacing w:line="360" w:lineRule="auto"/>
              <w:jc w:val="center"/>
              <w:rPr>
                <w:rFonts w:hint="eastAsia" w:ascii="宋体" w:hAnsi="宋体" w:eastAsia="宋体" w:cs="宋体"/>
                <w:sz w:val="21"/>
                <w:szCs w:val="21"/>
              </w:rPr>
            </w:pPr>
          </w:p>
          <w:p w14:paraId="572595EB">
            <w:pPr>
              <w:pStyle w:val="116"/>
              <w:spacing w:before="65" w:line="360" w:lineRule="auto"/>
              <w:ind w:left="120" w:left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position w:val="2"/>
                <w:sz w:val="21"/>
                <w:szCs w:val="21"/>
              </w:rPr>
              <w:t>7</w:t>
            </w:r>
          </w:p>
        </w:tc>
        <w:tc>
          <w:tcPr>
            <w:tcW w:w="2024" w:type="dxa"/>
            <w:vAlign w:val="center"/>
          </w:tcPr>
          <w:p w14:paraId="38F6097E">
            <w:pPr>
              <w:spacing w:line="360" w:lineRule="auto"/>
              <w:jc w:val="center"/>
              <w:rPr>
                <w:rFonts w:hint="eastAsia" w:ascii="宋体" w:hAnsi="宋体" w:eastAsia="宋体" w:cs="宋体"/>
                <w:sz w:val="21"/>
                <w:szCs w:val="21"/>
              </w:rPr>
            </w:pPr>
          </w:p>
          <w:p w14:paraId="29CCE067">
            <w:pPr>
              <w:pStyle w:val="116"/>
              <w:spacing w:before="65" w:line="360" w:lineRule="auto"/>
              <w:ind w:left="121" w:left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pacing w:val="4"/>
                <w:sz w:val="21"/>
                <w:szCs w:val="21"/>
              </w:rPr>
              <w:t>无人船</w:t>
            </w:r>
          </w:p>
        </w:tc>
        <w:tc>
          <w:tcPr>
            <w:tcW w:w="1424" w:type="dxa"/>
            <w:vAlign w:val="center"/>
          </w:tcPr>
          <w:p w14:paraId="7BC3CAC0">
            <w:pPr>
              <w:pStyle w:val="116"/>
              <w:spacing w:before="78" w:line="360" w:lineRule="auto"/>
              <w:ind w:left="117"/>
              <w:jc w:val="both"/>
              <w:rPr>
                <w:rFonts w:hint="eastAsia" w:ascii="宋体" w:hAnsi="宋体" w:eastAsia="宋体" w:cs="宋体"/>
                <w:sz w:val="21"/>
                <w:szCs w:val="21"/>
              </w:rPr>
            </w:pPr>
            <w:r>
              <w:rPr>
                <w:rFonts w:hint="eastAsia" w:ascii="宋体" w:hAnsi="宋体" w:eastAsia="宋体" w:cs="宋体"/>
                <w:spacing w:val="7"/>
                <w:sz w:val="21"/>
                <w:szCs w:val="21"/>
              </w:rPr>
              <w:t>用于水生态</w:t>
            </w:r>
          </w:p>
          <w:p w14:paraId="6D9FCD9D">
            <w:pPr>
              <w:pStyle w:val="116"/>
              <w:spacing w:before="108" w:line="360" w:lineRule="auto"/>
              <w:ind w:left="117" w:leftChars="0" w:right="266" w:rightChars="0"/>
              <w:jc w:val="both"/>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pacing w:val="7"/>
                <w:sz w:val="21"/>
                <w:szCs w:val="21"/>
              </w:rPr>
              <w:t>环境的现场</w:t>
            </w:r>
            <w:r>
              <w:rPr>
                <w:rFonts w:hint="eastAsia" w:ascii="宋体" w:hAnsi="宋体" w:eastAsia="宋体" w:cs="宋体"/>
                <w:spacing w:val="5"/>
                <w:sz w:val="21"/>
                <w:szCs w:val="21"/>
              </w:rPr>
              <w:t>调查检测</w:t>
            </w:r>
          </w:p>
        </w:tc>
        <w:tc>
          <w:tcPr>
            <w:tcW w:w="775" w:type="dxa"/>
            <w:vAlign w:val="center"/>
          </w:tcPr>
          <w:p w14:paraId="6F0A3752">
            <w:pPr>
              <w:pStyle w:val="116"/>
              <w:spacing w:before="65" w:line="360" w:lineRule="auto"/>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rPr>
              <w:t>艘</w:t>
            </w:r>
          </w:p>
        </w:tc>
        <w:tc>
          <w:tcPr>
            <w:tcW w:w="667" w:type="dxa"/>
            <w:vAlign w:val="center"/>
          </w:tcPr>
          <w:p w14:paraId="595502AE">
            <w:pPr>
              <w:pStyle w:val="116"/>
              <w:spacing w:before="65" w:line="360" w:lineRule="auto"/>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position w:val="1"/>
                <w:sz w:val="21"/>
                <w:szCs w:val="21"/>
              </w:rPr>
              <w:t>1</w:t>
            </w:r>
          </w:p>
        </w:tc>
        <w:tc>
          <w:tcPr>
            <w:tcW w:w="8047" w:type="dxa"/>
            <w:vAlign w:val="top"/>
          </w:tcPr>
          <w:p w14:paraId="449BEC05">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1、PE 耐磨耐撞船体 </w:t>
            </w:r>
          </w:p>
          <w:p w14:paraId="5C83DB61">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2、大屏遥控系统 </w:t>
            </w:r>
          </w:p>
          <w:p w14:paraId="0B2C9C3A">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3、频段 2.4GHz </w:t>
            </w:r>
          </w:p>
          <w:p w14:paraId="7D79FD30">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4、航线规划高清摄像头 1080p </w:t>
            </w:r>
          </w:p>
          <w:p w14:paraId="6D021013">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5、高清 LED 照明灯 可控距离 1-6km </w:t>
            </w:r>
          </w:p>
          <w:p w14:paraId="16F5BF24">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6、支持脱控作业 </w:t>
            </w:r>
          </w:p>
          <w:p w14:paraId="2D2CE861">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7、动力电池数≥1块 /22000毫安</w:t>
            </w:r>
          </w:p>
          <w:p w14:paraId="2ADB8F50">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8、单桨最大推力</w:t>
            </w:r>
            <w:r>
              <w:rPr>
                <w:rFonts w:hint="eastAsia" w:ascii="宋体" w:hAnsi="宋体" w:eastAsia="宋体" w:cs="宋体"/>
                <w:color w:val="auto"/>
                <w:sz w:val="21"/>
                <w:szCs w:val="21"/>
                <w:lang w:val="en-US" w:eastAsia="zh-CN"/>
              </w:rPr>
              <w:t>≥</w:t>
            </w:r>
            <w:r>
              <w:rPr>
                <w:rFonts w:hint="eastAsia" w:ascii="宋体" w:hAnsi="宋体" w:eastAsia="宋体" w:cs="宋体"/>
                <w:sz w:val="21"/>
                <w:szCs w:val="21"/>
                <w:lang w:val="en-US" w:eastAsia="zh-CN"/>
              </w:rPr>
              <w:t>10kg 实际最大速度</w:t>
            </w:r>
            <w:r>
              <w:rPr>
                <w:rFonts w:hint="eastAsia" w:ascii="宋体" w:hAnsi="宋体" w:eastAsia="宋体" w:cs="宋体"/>
                <w:color w:val="auto"/>
                <w:sz w:val="21"/>
                <w:szCs w:val="21"/>
                <w:lang w:val="en-US" w:eastAsia="zh-CN"/>
              </w:rPr>
              <w:t>≥</w:t>
            </w:r>
            <w:r>
              <w:rPr>
                <w:rFonts w:hint="eastAsia" w:ascii="宋体" w:hAnsi="宋体" w:eastAsia="宋体" w:cs="宋体"/>
                <w:sz w:val="21"/>
                <w:szCs w:val="21"/>
                <w:lang w:val="en-US" w:eastAsia="zh-CN"/>
              </w:rPr>
              <w:t xml:space="preserve">6米/秒 </w:t>
            </w:r>
          </w:p>
          <w:p w14:paraId="15C3A7E0">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9、经济续航时间 </w:t>
            </w:r>
            <w:r>
              <w:rPr>
                <w:rFonts w:hint="eastAsia" w:ascii="宋体" w:hAnsi="宋体" w:eastAsia="宋体" w:cs="宋体"/>
                <w:color w:val="auto"/>
                <w:sz w:val="21"/>
                <w:szCs w:val="21"/>
                <w:lang w:val="en-US" w:eastAsia="zh-CN"/>
              </w:rPr>
              <w:t>≥</w:t>
            </w:r>
            <w:r>
              <w:rPr>
                <w:rFonts w:hint="eastAsia" w:ascii="宋体" w:hAnsi="宋体" w:eastAsia="宋体" w:cs="宋体"/>
                <w:sz w:val="21"/>
                <w:szCs w:val="21"/>
                <w:lang w:val="en-US" w:eastAsia="zh-CN"/>
              </w:rPr>
              <w:t xml:space="preserve">3 小时 </w:t>
            </w:r>
          </w:p>
          <w:p w14:paraId="5BCDA4E8">
            <w:pPr>
              <w:keepNext w:val="0"/>
              <w:keepLines w:val="0"/>
              <w:pageBreakBefore w:val="0"/>
              <w:widowControl w:val="0"/>
              <w:numPr>
                <w:ilvl w:val="0"/>
                <w:numId w:val="0"/>
              </w:numPr>
              <w:kinsoku/>
              <w:wordWrap/>
              <w:overflowPunct/>
              <w:topLinePunct w:val="0"/>
              <w:autoSpaceDE/>
              <w:autoSpaceDN/>
              <w:bidi w:val="0"/>
              <w:spacing w:line="360" w:lineRule="auto"/>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10、4G 链路手动控制采集水样</w:t>
            </w:r>
          </w:p>
          <w:p w14:paraId="5945270C">
            <w:pPr>
              <w:keepNext w:val="0"/>
              <w:keepLines w:val="0"/>
              <w:pageBreakBefore w:val="0"/>
              <w:widowControl w:val="0"/>
              <w:numPr>
                <w:ilvl w:val="0"/>
                <w:numId w:val="0"/>
              </w:numPr>
              <w:kinsoku/>
              <w:wordWrap/>
              <w:overflowPunct/>
              <w:topLinePunct w:val="0"/>
              <w:autoSpaceDE/>
              <w:autoSpaceDN/>
              <w:bidi w:val="0"/>
              <w:spacing w:line="360" w:lineRule="auto"/>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lang w:val="en-US" w:eastAsia="zh-CN"/>
              </w:rPr>
              <w:t>11、支持一键返航、自动返航、避障、路线规划等功能</w:t>
            </w:r>
          </w:p>
        </w:tc>
      </w:tr>
      <w:tr w14:paraId="101AC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vAlign w:val="top"/>
          </w:tcPr>
          <w:p w14:paraId="47ABAD8B">
            <w:pPr>
              <w:spacing w:line="360" w:lineRule="auto"/>
              <w:jc w:val="center"/>
              <w:rPr>
                <w:rFonts w:hint="eastAsia" w:ascii="宋体" w:hAnsi="宋体" w:eastAsia="宋体" w:cs="宋体"/>
                <w:sz w:val="21"/>
                <w:szCs w:val="21"/>
              </w:rPr>
            </w:pPr>
          </w:p>
          <w:p w14:paraId="596A2620">
            <w:pPr>
              <w:spacing w:line="360" w:lineRule="auto"/>
              <w:jc w:val="center"/>
              <w:rPr>
                <w:rFonts w:hint="eastAsia" w:ascii="宋体" w:hAnsi="宋体" w:eastAsia="宋体" w:cs="宋体"/>
                <w:sz w:val="21"/>
                <w:szCs w:val="21"/>
              </w:rPr>
            </w:pPr>
          </w:p>
          <w:p w14:paraId="4A8C267A">
            <w:pPr>
              <w:spacing w:line="360" w:lineRule="auto"/>
              <w:jc w:val="center"/>
              <w:rPr>
                <w:rFonts w:hint="eastAsia" w:ascii="宋体" w:hAnsi="宋体" w:eastAsia="宋体" w:cs="宋体"/>
                <w:sz w:val="21"/>
                <w:szCs w:val="21"/>
              </w:rPr>
            </w:pPr>
          </w:p>
          <w:p w14:paraId="2513AAD0">
            <w:pPr>
              <w:pStyle w:val="116"/>
              <w:spacing w:before="65" w:line="360" w:lineRule="auto"/>
              <w:ind w:left="116" w:left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position w:val="1"/>
                <w:sz w:val="21"/>
                <w:szCs w:val="21"/>
              </w:rPr>
              <w:t>8</w:t>
            </w:r>
          </w:p>
        </w:tc>
        <w:tc>
          <w:tcPr>
            <w:tcW w:w="2024" w:type="dxa"/>
            <w:vAlign w:val="top"/>
          </w:tcPr>
          <w:p w14:paraId="38016D8D">
            <w:pPr>
              <w:spacing w:line="360" w:lineRule="auto"/>
              <w:jc w:val="center"/>
              <w:rPr>
                <w:rFonts w:hint="eastAsia" w:ascii="宋体" w:hAnsi="宋体" w:eastAsia="宋体" w:cs="宋体"/>
                <w:sz w:val="21"/>
                <w:szCs w:val="21"/>
              </w:rPr>
            </w:pPr>
          </w:p>
          <w:p w14:paraId="53E9BF8C">
            <w:pPr>
              <w:spacing w:line="360" w:lineRule="auto"/>
              <w:jc w:val="center"/>
              <w:rPr>
                <w:rFonts w:hint="eastAsia" w:ascii="宋体" w:hAnsi="宋体" w:eastAsia="宋体" w:cs="宋体"/>
                <w:sz w:val="21"/>
                <w:szCs w:val="21"/>
              </w:rPr>
            </w:pPr>
          </w:p>
          <w:p w14:paraId="0C6FD08F">
            <w:pPr>
              <w:spacing w:line="360" w:lineRule="auto"/>
              <w:jc w:val="center"/>
              <w:rPr>
                <w:rFonts w:hint="eastAsia" w:ascii="宋体" w:hAnsi="宋体" w:eastAsia="宋体" w:cs="宋体"/>
                <w:sz w:val="21"/>
                <w:szCs w:val="21"/>
              </w:rPr>
            </w:pPr>
          </w:p>
          <w:p w14:paraId="17DEB795">
            <w:pPr>
              <w:pStyle w:val="116"/>
              <w:spacing w:before="65" w:line="360" w:lineRule="auto"/>
              <w:ind w:left="126" w:left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pacing w:val="2"/>
                <w:sz w:val="21"/>
                <w:szCs w:val="21"/>
              </w:rPr>
              <w:t>气垫船</w:t>
            </w:r>
          </w:p>
        </w:tc>
        <w:tc>
          <w:tcPr>
            <w:tcW w:w="1424" w:type="dxa"/>
            <w:vAlign w:val="top"/>
          </w:tcPr>
          <w:p w14:paraId="7D05D0B6">
            <w:pPr>
              <w:spacing w:line="360" w:lineRule="auto"/>
              <w:rPr>
                <w:rFonts w:hint="eastAsia" w:ascii="宋体" w:hAnsi="宋体" w:eastAsia="宋体" w:cs="宋体"/>
                <w:sz w:val="21"/>
                <w:szCs w:val="21"/>
              </w:rPr>
            </w:pPr>
          </w:p>
          <w:p w14:paraId="24442107">
            <w:pPr>
              <w:pStyle w:val="116"/>
              <w:spacing w:before="65" w:line="360" w:lineRule="auto"/>
              <w:ind w:left="117"/>
              <w:rPr>
                <w:rFonts w:hint="eastAsia" w:ascii="宋体" w:hAnsi="宋体" w:eastAsia="宋体" w:cs="宋体"/>
                <w:sz w:val="21"/>
                <w:szCs w:val="21"/>
              </w:rPr>
            </w:pPr>
            <w:r>
              <w:rPr>
                <w:rFonts w:hint="eastAsia" w:ascii="宋体" w:hAnsi="宋体" w:eastAsia="宋体" w:cs="宋体"/>
                <w:spacing w:val="7"/>
                <w:sz w:val="21"/>
                <w:szCs w:val="21"/>
              </w:rPr>
              <w:t>用于水生态</w:t>
            </w:r>
          </w:p>
          <w:p w14:paraId="519553EA">
            <w:pPr>
              <w:pStyle w:val="116"/>
              <w:spacing w:before="108" w:line="360" w:lineRule="auto"/>
              <w:ind w:left="117" w:leftChars="0" w:right="266" w:right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pacing w:val="7"/>
                <w:sz w:val="21"/>
                <w:szCs w:val="21"/>
              </w:rPr>
              <w:t>环境的现场</w:t>
            </w:r>
            <w:r>
              <w:rPr>
                <w:rFonts w:hint="eastAsia" w:ascii="宋体" w:hAnsi="宋体" w:eastAsia="宋体" w:cs="宋体"/>
                <w:spacing w:val="5"/>
                <w:sz w:val="21"/>
                <w:szCs w:val="21"/>
              </w:rPr>
              <w:t>调查检测</w:t>
            </w:r>
          </w:p>
        </w:tc>
        <w:tc>
          <w:tcPr>
            <w:tcW w:w="775" w:type="dxa"/>
            <w:vAlign w:val="top"/>
          </w:tcPr>
          <w:p w14:paraId="2A08E5AA">
            <w:pPr>
              <w:spacing w:line="360" w:lineRule="auto"/>
              <w:rPr>
                <w:rFonts w:hint="eastAsia" w:ascii="宋体" w:hAnsi="宋体" w:eastAsia="宋体" w:cs="宋体"/>
                <w:sz w:val="21"/>
                <w:szCs w:val="21"/>
              </w:rPr>
            </w:pPr>
          </w:p>
          <w:p w14:paraId="2ECD0E8D">
            <w:pPr>
              <w:spacing w:line="360" w:lineRule="auto"/>
              <w:rPr>
                <w:rFonts w:hint="eastAsia" w:ascii="宋体" w:hAnsi="宋体" w:eastAsia="宋体" w:cs="宋体"/>
                <w:sz w:val="21"/>
                <w:szCs w:val="21"/>
              </w:rPr>
            </w:pPr>
          </w:p>
          <w:p w14:paraId="6FB5383B">
            <w:pPr>
              <w:spacing w:line="360" w:lineRule="auto"/>
              <w:rPr>
                <w:rFonts w:hint="eastAsia" w:ascii="宋体" w:hAnsi="宋体" w:eastAsia="宋体" w:cs="宋体"/>
                <w:sz w:val="21"/>
                <w:szCs w:val="21"/>
              </w:rPr>
            </w:pPr>
          </w:p>
          <w:p w14:paraId="0EF4D860">
            <w:pPr>
              <w:pStyle w:val="116"/>
              <w:spacing w:before="65" w:line="360" w:lineRule="auto"/>
              <w:ind w:left="293" w:left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rPr>
              <w:t>艘</w:t>
            </w:r>
          </w:p>
        </w:tc>
        <w:tc>
          <w:tcPr>
            <w:tcW w:w="667" w:type="dxa"/>
            <w:vAlign w:val="top"/>
          </w:tcPr>
          <w:p w14:paraId="68104013">
            <w:pPr>
              <w:spacing w:line="360" w:lineRule="auto"/>
              <w:rPr>
                <w:rFonts w:hint="eastAsia" w:ascii="宋体" w:hAnsi="宋体" w:eastAsia="宋体" w:cs="宋体"/>
                <w:sz w:val="21"/>
                <w:szCs w:val="21"/>
              </w:rPr>
            </w:pPr>
          </w:p>
          <w:p w14:paraId="7AD6E63A">
            <w:pPr>
              <w:spacing w:line="360" w:lineRule="auto"/>
              <w:rPr>
                <w:rFonts w:hint="eastAsia" w:ascii="宋体" w:hAnsi="宋体" w:eastAsia="宋体" w:cs="宋体"/>
                <w:sz w:val="21"/>
                <w:szCs w:val="21"/>
              </w:rPr>
            </w:pPr>
          </w:p>
          <w:p w14:paraId="1C2D24BD">
            <w:pPr>
              <w:spacing w:line="360" w:lineRule="auto"/>
              <w:rPr>
                <w:rFonts w:hint="eastAsia" w:ascii="宋体" w:hAnsi="宋体" w:eastAsia="宋体" w:cs="宋体"/>
                <w:sz w:val="21"/>
                <w:szCs w:val="21"/>
              </w:rPr>
            </w:pPr>
          </w:p>
          <w:p w14:paraId="0229CB06">
            <w:pPr>
              <w:pStyle w:val="116"/>
              <w:spacing w:before="65" w:line="360" w:lineRule="auto"/>
              <w:ind w:left="301" w:left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position w:val="1"/>
                <w:sz w:val="21"/>
                <w:szCs w:val="21"/>
              </w:rPr>
              <w:t>1</w:t>
            </w:r>
          </w:p>
        </w:tc>
        <w:tc>
          <w:tcPr>
            <w:tcW w:w="8047" w:type="dxa"/>
            <w:vAlign w:val="top"/>
          </w:tcPr>
          <w:p w14:paraId="3261A08E">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1、船身材质:环保PVC材料</w:t>
            </w:r>
          </w:p>
          <w:p w14:paraId="7A38FE53">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2、外部尺寸： ≥360cm*160cm   </w:t>
            </w:r>
          </w:p>
          <w:p w14:paraId="714FEA5D">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3、内部尺寸：≥260cm*80cm    </w:t>
            </w:r>
          </w:p>
          <w:p w14:paraId="267B0741">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4、气筒直径：42cm</w:t>
            </w:r>
          </w:p>
          <w:p w14:paraId="20B44A25">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5、气室数：4+2独立气室</w:t>
            </w:r>
          </w:p>
          <w:p w14:paraId="5293DE8F">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6、气泵:有</w:t>
            </w:r>
          </w:p>
          <w:p w14:paraId="51E89F33">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7、划桨:船体可装两副万向浆</w:t>
            </w:r>
          </w:p>
          <w:p w14:paraId="2597E660">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8、材料厚度：≥1.2mm</w:t>
            </w:r>
          </w:p>
          <w:p w14:paraId="291F7BF4">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9、坐板:铝合金坐板</w:t>
            </w:r>
          </w:p>
          <w:p w14:paraId="393AE690">
            <w:pPr>
              <w:spacing w:line="360" w:lineRule="auto"/>
              <w:ind w:firstLine="210" w:firstLineChars="10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10、船底:带V型分水龙骨</w:t>
            </w:r>
          </w:p>
          <w:p w14:paraId="67AD2B9D">
            <w:pPr>
              <w:spacing w:line="360" w:lineRule="auto"/>
              <w:ind w:firstLine="210" w:firstLineChars="100"/>
              <w:jc w:val="both"/>
              <w:rPr>
                <w:rFonts w:hint="eastAsia" w:ascii="宋体" w:hAnsi="宋体" w:eastAsia="宋体" w:cs="宋体"/>
                <w:spacing w:val="5"/>
                <w:sz w:val="21"/>
                <w:szCs w:val="21"/>
                <w:lang w:val="en-US" w:eastAsia="zh-CN"/>
              </w:rPr>
            </w:pPr>
            <w:r>
              <w:rPr>
                <w:rFonts w:hint="eastAsia" w:ascii="宋体" w:hAnsi="宋体" w:eastAsia="宋体" w:cs="宋体"/>
                <w:color w:val="auto"/>
                <w:sz w:val="21"/>
                <w:szCs w:val="21"/>
                <w:lang w:val="en-US" w:eastAsia="zh-CN"/>
              </w:rPr>
              <w:t>11、最大乘员数:7人及以上(人)最大载重量700(kg)</w:t>
            </w:r>
          </w:p>
        </w:tc>
      </w:tr>
      <w:tr w14:paraId="7ACA2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vAlign w:val="top"/>
          </w:tcPr>
          <w:p w14:paraId="1DB73A1E">
            <w:pPr>
              <w:spacing w:line="360" w:lineRule="auto"/>
              <w:jc w:val="center"/>
              <w:rPr>
                <w:rFonts w:hint="eastAsia" w:ascii="宋体" w:hAnsi="宋体" w:eastAsia="宋体" w:cs="宋体"/>
                <w:sz w:val="21"/>
                <w:szCs w:val="21"/>
              </w:rPr>
            </w:pPr>
          </w:p>
          <w:p w14:paraId="4E8AD255">
            <w:pPr>
              <w:spacing w:line="360" w:lineRule="auto"/>
              <w:jc w:val="center"/>
              <w:rPr>
                <w:rFonts w:hint="eastAsia" w:ascii="宋体" w:hAnsi="宋体" w:eastAsia="宋体" w:cs="宋体"/>
                <w:sz w:val="21"/>
                <w:szCs w:val="21"/>
              </w:rPr>
            </w:pPr>
          </w:p>
          <w:p w14:paraId="37ECE7CC">
            <w:pPr>
              <w:spacing w:line="360" w:lineRule="auto"/>
              <w:jc w:val="center"/>
              <w:rPr>
                <w:rFonts w:hint="eastAsia" w:ascii="宋体" w:hAnsi="宋体" w:eastAsia="宋体" w:cs="宋体"/>
                <w:sz w:val="21"/>
                <w:szCs w:val="21"/>
              </w:rPr>
            </w:pPr>
          </w:p>
          <w:p w14:paraId="7FD836B8">
            <w:pPr>
              <w:spacing w:line="360" w:lineRule="auto"/>
              <w:jc w:val="center"/>
              <w:rPr>
                <w:rFonts w:hint="eastAsia" w:ascii="宋体" w:hAnsi="宋体" w:eastAsia="宋体" w:cs="宋体"/>
                <w:sz w:val="21"/>
                <w:szCs w:val="21"/>
              </w:rPr>
            </w:pPr>
          </w:p>
          <w:p w14:paraId="74F487AE">
            <w:pPr>
              <w:spacing w:line="360" w:lineRule="auto"/>
              <w:jc w:val="center"/>
              <w:rPr>
                <w:rFonts w:hint="eastAsia" w:ascii="宋体" w:hAnsi="宋体" w:eastAsia="宋体" w:cs="宋体"/>
                <w:sz w:val="21"/>
                <w:szCs w:val="21"/>
              </w:rPr>
            </w:pPr>
          </w:p>
          <w:p w14:paraId="0916CE3A">
            <w:pPr>
              <w:spacing w:line="360" w:lineRule="auto"/>
              <w:jc w:val="center"/>
              <w:rPr>
                <w:rFonts w:hint="eastAsia" w:ascii="宋体" w:hAnsi="宋体" w:eastAsia="宋体" w:cs="宋体"/>
                <w:sz w:val="21"/>
                <w:szCs w:val="21"/>
              </w:rPr>
            </w:pPr>
          </w:p>
          <w:p w14:paraId="53674AF7">
            <w:pPr>
              <w:spacing w:line="360" w:lineRule="auto"/>
              <w:jc w:val="center"/>
              <w:rPr>
                <w:rFonts w:hint="eastAsia" w:ascii="宋体" w:hAnsi="宋体" w:eastAsia="宋体" w:cs="宋体"/>
                <w:sz w:val="21"/>
                <w:szCs w:val="21"/>
              </w:rPr>
            </w:pPr>
          </w:p>
          <w:p w14:paraId="67B20027">
            <w:pPr>
              <w:spacing w:line="360" w:lineRule="auto"/>
              <w:jc w:val="center"/>
              <w:rPr>
                <w:rFonts w:hint="eastAsia" w:ascii="宋体" w:hAnsi="宋体" w:eastAsia="宋体" w:cs="宋体"/>
                <w:sz w:val="21"/>
                <w:szCs w:val="21"/>
              </w:rPr>
            </w:pPr>
          </w:p>
          <w:p w14:paraId="6F8959EA">
            <w:pPr>
              <w:spacing w:line="360" w:lineRule="auto"/>
              <w:jc w:val="both"/>
              <w:rPr>
                <w:rFonts w:hint="eastAsia" w:ascii="宋体" w:hAnsi="宋体" w:eastAsia="宋体" w:cs="宋体"/>
                <w:sz w:val="21"/>
                <w:szCs w:val="21"/>
              </w:rPr>
            </w:pPr>
          </w:p>
          <w:p w14:paraId="37412357">
            <w:pPr>
              <w:spacing w:line="360" w:lineRule="auto"/>
              <w:jc w:val="center"/>
              <w:rPr>
                <w:rFonts w:hint="eastAsia" w:ascii="宋体" w:hAnsi="宋体" w:eastAsia="宋体" w:cs="宋体"/>
                <w:sz w:val="21"/>
                <w:szCs w:val="21"/>
              </w:rPr>
            </w:pPr>
          </w:p>
          <w:p w14:paraId="69289C07">
            <w:pPr>
              <w:spacing w:line="360" w:lineRule="auto"/>
              <w:jc w:val="center"/>
              <w:rPr>
                <w:rFonts w:hint="eastAsia" w:ascii="宋体" w:hAnsi="宋体" w:eastAsia="宋体" w:cs="宋体"/>
                <w:sz w:val="21"/>
                <w:szCs w:val="21"/>
              </w:rPr>
            </w:pPr>
          </w:p>
          <w:p w14:paraId="48048F83">
            <w:pPr>
              <w:pStyle w:val="116"/>
              <w:spacing w:before="65" w:line="360" w:lineRule="auto"/>
              <w:ind w:left="116" w:leftChars="0"/>
              <w:jc w:val="center"/>
              <w:rPr>
                <w:rFonts w:hint="eastAsia" w:ascii="宋体" w:hAnsi="宋体" w:eastAsia="宋体" w:cs="宋体"/>
                <w:position w:val="1"/>
                <w:sz w:val="21"/>
                <w:szCs w:val="21"/>
              </w:rPr>
            </w:pPr>
            <w:r>
              <w:rPr>
                <w:rFonts w:hint="eastAsia" w:ascii="宋体" w:hAnsi="宋体" w:eastAsia="宋体" w:cs="宋体"/>
                <w:position w:val="1"/>
                <w:sz w:val="21"/>
                <w:szCs w:val="21"/>
              </w:rPr>
              <w:t>9</w:t>
            </w:r>
          </w:p>
        </w:tc>
        <w:tc>
          <w:tcPr>
            <w:tcW w:w="2024" w:type="dxa"/>
            <w:vAlign w:val="top"/>
          </w:tcPr>
          <w:p w14:paraId="7FE3D348">
            <w:pPr>
              <w:spacing w:line="360" w:lineRule="auto"/>
              <w:jc w:val="center"/>
              <w:rPr>
                <w:rFonts w:hint="eastAsia" w:ascii="宋体" w:hAnsi="宋体" w:eastAsia="宋体" w:cs="宋体"/>
                <w:sz w:val="21"/>
                <w:szCs w:val="21"/>
              </w:rPr>
            </w:pPr>
          </w:p>
          <w:p w14:paraId="05644A40">
            <w:pPr>
              <w:spacing w:line="360" w:lineRule="auto"/>
              <w:jc w:val="center"/>
              <w:rPr>
                <w:rFonts w:hint="eastAsia" w:ascii="宋体" w:hAnsi="宋体" w:eastAsia="宋体" w:cs="宋体"/>
                <w:sz w:val="21"/>
                <w:szCs w:val="21"/>
              </w:rPr>
            </w:pPr>
          </w:p>
          <w:p w14:paraId="5AED3DDC">
            <w:pPr>
              <w:spacing w:line="360" w:lineRule="auto"/>
              <w:jc w:val="center"/>
              <w:rPr>
                <w:rFonts w:hint="eastAsia" w:ascii="宋体" w:hAnsi="宋体" w:eastAsia="宋体" w:cs="宋体"/>
                <w:sz w:val="21"/>
                <w:szCs w:val="21"/>
              </w:rPr>
            </w:pPr>
          </w:p>
          <w:p w14:paraId="170D8A9C">
            <w:pPr>
              <w:spacing w:line="360" w:lineRule="auto"/>
              <w:jc w:val="center"/>
              <w:rPr>
                <w:rFonts w:hint="eastAsia" w:ascii="宋体" w:hAnsi="宋体" w:eastAsia="宋体" w:cs="宋体"/>
                <w:sz w:val="21"/>
                <w:szCs w:val="21"/>
              </w:rPr>
            </w:pPr>
          </w:p>
          <w:p w14:paraId="53E72305">
            <w:pPr>
              <w:spacing w:line="360" w:lineRule="auto"/>
              <w:jc w:val="center"/>
              <w:rPr>
                <w:rFonts w:hint="eastAsia" w:ascii="宋体" w:hAnsi="宋体" w:eastAsia="宋体" w:cs="宋体"/>
                <w:sz w:val="21"/>
                <w:szCs w:val="21"/>
              </w:rPr>
            </w:pPr>
          </w:p>
          <w:p w14:paraId="53E24C5B">
            <w:pPr>
              <w:spacing w:line="360" w:lineRule="auto"/>
              <w:jc w:val="center"/>
              <w:rPr>
                <w:rFonts w:hint="eastAsia" w:ascii="宋体" w:hAnsi="宋体" w:eastAsia="宋体" w:cs="宋体"/>
                <w:sz w:val="21"/>
                <w:szCs w:val="21"/>
              </w:rPr>
            </w:pPr>
          </w:p>
          <w:p w14:paraId="30F8A64E">
            <w:pPr>
              <w:spacing w:line="360" w:lineRule="auto"/>
              <w:jc w:val="center"/>
              <w:rPr>
                <w:rFonts w:hint="eastAsia" w:ascii="宋体" w:hAnsi="宋体" w:eastAsia="宋体" w:cs="宋体"/>
                <w:sz w:val="21"/>
                <w:szCs w:val="21"/>
              </w:rPr>
            </w:pPr>
          </w:p>
          <w:p w14:paraId="7C7763E7">
            <w:pPr>
              <w:spacing w:line="360" w:lineRule="auto"/>
              <w:jc w:val="center"/>
              <w:rPr>
                <w:rFonts w:hint="eastAsia" w:ascii="宋体" w:hAnsi="宋体" w:eastAsia="宋体" w:cs="宋体"/>
                <w:sz w:val="21"/>
                <w:szCs w:val="21"/>
              </w:rPr>
            </w:pPr>
          </w:p>
          <w:p w14:paraId="2C8B7731">
            <w:pPr>
              <w:spacing w:line="360" w:lineRule="auto"/>
              <w:jc w:val="both"/>
              <w:rPr>
                <w:rFonts w:hint="eastAsia" w:ascii="宋体" w:hAnsi="宋体" w:eastAsia="宋体" w:cs="宋体"/>
                <w:sz w:val="21"/>
                <w:szCs w:val="21"/>
              </w:rPr>
            </w:pPr>
          </w:p>
          <w:p w14:paraId="197E305C">
            <w:pPr>
              <w:spacing w:line="360" w:lineRule="auto"/>
              <w:jc w:val="center"/>
              <w:rPr>
                <w:rFonts w:hint="eastAsia" w:ascii="宋体" w:hAnsi="宋体" w:eastAsia="宋体" w:cs="宋体"/>
                <w:sz w:val="21"/>
                <w:szCs w:val="21"/>
              </w:rPr>
            </w:pPr>
          </w:p>
          <w:p w14:paraId="5B5E3F26">
            <w:pPr>
              <w:spacing w:line="360" w:lineRule="auto"/>
              <w:jc w:val="center"/>
              <w:rPr>
                <w:rFonts w:hint="eastAsia" w:ascii="宋体" w:hAnsi="宋体" w:eastAsia="宋体" w:cs="宋体"/>
                <w:sz w:val="21"/>
                <w:szCs w:val="21"/>
              </w:rPr>
            </w:pPr>
          </w:p>
          <w:p w14:paraId="08053A48">
            <w:pPr>
              <w:pStyle w:val="116"/>
              <w:spacing w:before="65" w:line="360" w:lineRule="auto"/>
              <w:ind w:left="130" w:leftChars="0"/>
              <w:jc w:val="center"/>
              <w:rPr>
                <w:rFonts w:hint="eastAsia" w:ascii="宋体" w:hAnsi="宋体" w:eastAsia="宋体" w:cs="宋体"/>
                <w:spacing w:val="2"/>
                <w:sz w:val="21"/>
                <w:szCs w:val="21"/>
              </w:rPr>
            </w:pPr>
            <w:r>
              <w:rPr>
                <w:rFonts w:hint="eastAsia" w:ascii="宋体" w:hAnsi="宋体" w:eastAsia="宋体" w:cs="宋体"/>
                <w:spacing w:val="6"/>
                <w:sz w:val="21"/>
                <w:szCs w:val="21"/>
              </w:rPr>
              <w:t>空中查勘无人机</w:t>
            </w:r>
          </w:p>
        </w:tc>
        <w:tc>
          <w:tcPr>
            <w:tcW w:w="1424" w:type="dxa"/>
            <w:vAlign w:val="top"/>
          </w:tcPr>
          <w:p w14:paraId="40339D75">
            <w:pPr>
              <w:spacing w:line="360" w:lineRule="auto"/>
              <w:rPr>
                <w:rFonts w:hint="eastAsia" w:ascii="宋体" w:hAnsi="宋体" w:eastAsia="宋体" w:cs="宋体"/>
                <w:sz w:val="21"/>
                <w:szCs w:val="21"/>
              </w:rPr>
            </w:pPr>
          </w:p>
          <w:p w14:paraId="14408674">
            <w:pPr>
              <w:spacing w:line="360" w:lineRule="auto"/>
              <w:rPr>
                <w:rFonts w:hint="eastAsia" w:ascii="宋体" w:hAnsi="宋体" w:eastAsia="宋体" w:cs="宋体"/>
                <w:sz w:val="21"/>
                <w:szCs w:val="21"/>
              </w:rPr>
            </w:pPr>
          </w:p>
          <w:p w14:paraId="285D573B">
            <w:pPr>
              <w:spacing w:line="360" w:lineRule="auto"/>
              <w:rPr>
                <w:rFonts w:hint="eastAsia" w:ascii="宋体" w:hAnsi="宋体" w:eastAsia="宋体" w:cs="宋体"/>
                <w:sz w:val="21"/>
                <w:szCs w:val="21"/>
              </w:rPr>
            </w:pPr>
          </w:p>
          <w:p w14:paraId="648B891B">
            <w:pPr>
              <w:spacing w:line="360" w:lineRule="auto"/>
              <w:rPr>
                <w:rFonts w:hint="eastAsia" w:ascii="宋体" w:hAnsi="宋体" w:eastAsia="宋体" w:cs="宋体"/>
                <w:sz w:val="21"/>
                <w:szCs w:val="21"/>
              </w:rPr>
            </w:pPr>
          </w:p>
          <w:p w14:paraId="665AC0D4">
            <w:pPr>
              <w:spacing w:line="360" w:lineRule="auto"/>
              <w:rPr>
                <w:rFonts w:hint="eastAsia" w:ascii="宋体" w:hAnsi="宋体" w:eastAsia="宋体" w:cs="宋体"/>
                <w:sz w:val="21"/>
                <w:szCs w:val="21"/>
              </w:rPr>
            </w:pPr>
          </w:p>
          <w:p w14:paraId="491B0CE3">
            <w:pPr>
              <w:spacing w:line="360" w:lineRule="auto"/>
              <w:rPr>
                <w:rFonts w:hint="eastAsia" w:ascii="宋体" w:hAnsi="宋体" w:eastAsia="宋体" w:cs="宋体"/>
                <w:sz w:val="21"/>
                <w:szCs w:val="21"/>
              </w:rPr>
            </w:pPr>
          </w:p>
          <w:p w14:paraId="3BC781E0">
            <w:pPr>
              <w:pStyle w:val="116"/>
              <w:spacing w:before="65" w:line="360" w:lineRule="auto"/>
              <w:ind w:left="117" w:right="107" w:firstLine="1"/>
              <w:rPr>
                <w:rFonts w:hint="eastAsia" w:ascii="宋体" w:hAnsi="宋体" w:eastAsia="宋体" w:cs="宋体"/>
                <w:spacing w:val="7"/>
                <w:sz w:val="21"/>
                <w:szCs w:val="21"/>
              </w:rPr>
            </w:pPr>
            <w:r>
              <w:rPr>
                <w:rFonts w:hint="eastAsia" w:ascii="宋体" w:hAnsi="宋体" w:eastAsia="宋体" w:cs="宋体"/>
                <w:spacing w:val="6"/>
                <w:sz w:val="21"/>
                <w:szCs w:val="21"/>
              </w:rPr>
              <w:t>在安全区域</w:t>
            </w:r>
            <w:r>
              <w:rPr>
                <w:rFonts w:hint="eastAsia" w:ascii="宋体" w:hAnsi="宋体" w:eastAsia="宋体" w:cs="宋体"/>
                <w:spacing w:val="7"/>
                <w:sz w:val="21"/>
                <w:szCs w:val="21"/>
              </w:rPr>
              <w:t>操控无人机开展现场勘</w:t>
            </w:r>
            <w:r>
              <w:rPr>
                <w:rFonts w:hint="eastAsia" w:ascii="宋体" w:hAnsi="宋体" w:eastAsia="宋体" w:cs="宋体"/>
                <w:sz w:val="21"/>
                <w:szCs w:val="21"/>
              </w:rPr>
              <w:t xml:space="preserve">  </w:t>
            </w:r>
            <w:r>
              <w:rPr>
                <w:rFonts w:hint="eastAsia" w:ascii="宋体" w:hAnsi="宋体" w:eastAsia="宋体" w:cs="宋体"/>
                <w:spacing w:val="-2"/>
                <w:sz w:val="21"/>
                <w:szCs w:val="21"/>
              </w:rPr>
              <w:t>查作业，以实</w:t>
            </w:r>
            <w:r>
              <w:rPr>
                <w:rFonts w:hint="eastAsia" w:ascii="宋体" w:hAnsi="宋体" w:eastAsia="宋体" w:cs="宋体"/>
                <w:spacing w:val="1"/>
                <w:sz w:val="21"/>
                <w:szCs w:val="21"/>
              </w:rPr>
              <w:t>现人机分离、</w:t>
            </w:r>
            <w:r>
              <w:rPr>
                <w:rFonts w:hint="eastAsia" w:ascii="宋体" w:hAnsi="宋体" w:eastAsia="宋体" w:cs="宋体"/>
                <w:spacing w:val="2"/>
                <w:sz w:val="21"/>
                <w:szCs w:val="21"/>
              </w:rPr>
              <w:t xml:space="preserve"> </w:t>
            </w:r>
            <w:r>
              <w:rPr>
                <w:rFonts w:hint="eastAsia" w:ascii="宋体" w:hAnsi="宋体" w:eastAsia="宋体" w:cs="宋体"/>
                <w:spacing w:val="8"/>
                <w:sz w:val="21"/>
                <w:szCs w:val="21"/>
              </w:rPr>
              <w:t>远程操</w:t>
            </w:r>
            <w:r>
              <w:rPr>
                <w:rFonts w:hint="eastAsia" w:ascii="宋体" w:hAnsi="宋体" w:eastAsia="宋体" w:cs="宋体"/>
                <w:spacing w:val="22"/>
                <w:sz w:val="21"/>
                <w:szCs w:val="21"/>
              </w:rPr>
              <w:t xml:space="preserve"> </w:t>
            </w:r>
            <w:r>
              <w:rPr>
                <w:rFonts w:hint="eastAsia" w:ascii="宋体" w:hAnsi="宋体" w:eastAsia="宋体" w:cs="宋体"/>
                <w:spacing w:val="8"/>
                <w:sz w:val="21"/>
                <w:szCs w:val="21"/>
              </w:rPr>
              <w:t>控、</w:t>
            </w:r>
            <w:r>
              <w:rPr>
                <w:rFonts w:hint="eastAsia" w:ascii="宋体" w:hAnsi="宋体" w:eastAsia="宋体" w:cs="宋体"/>
                <w:sz w:val="21"/>
                <w:szCs w:val="21"/>
              </w:rPr>
              <w:t xml:space="preserve"> </w:t>
            </w:r>
            <w:r>
              <w:rPr>
                <w:rFonts w:hint="eastAsia" w:ascii="宋体" w:hAnsi="宋体" w:eastAsia="宋体" w:cs="宋体"/>
                <w:spacing w:val="3"/>
                <w:sz w:val="21"/>
                <w:szCs w:val="21"/>
              </w:rPr>
              <w:t>记录</w:t>
            </w:r>
          </w:p>
        </w:tc>
        <w:tc>
          <w:tcPr>
            <w:tcW w:w="775" w:type="dxa"/>
            <w:vAlign w:val="top"/>
          </w:tcPr>
          <w:p w14:paraId="30F186BB">
            <w:pPr>
              <w:spacing w:line="360" w:lineRule="auto"/>
              <w:rPr>
                <w:rFonts w:hint="eastAsia" w:ascii="宋体" w:hAnsi="宋体" w:eastAsia="宋体" w:cs="宋体"/>
                <w:sz w:val="21"/>
                <w:szCs w:val="21"/>
              </w:rPr>
            </w:pPr>
          </w:p>
          <w:p w14:paraId="5B8C04CF">
            <w:pPr>
              <w:spacing w:line="360" w:lineRule="auto"/>
              <w:rPr>
                <w:rFonts w:hint="eastAsia" w:ascii="宋体" w:hAnsi="宋体" w:eastAsia="宋体" w:cs="宋体"/>
                <w:sz w:val="21"/>
                <w:szCs w:val="21"/>
              </w:rPr>
            </w:pPr>
          </w:p>
          <w:p w14:paraId="7346CFB1">
            <w:pPr>
              <w:spacing w:line="360" w:lineRule="auto"/>
              <w:rPr>
                <w:rFonts w:hint="eastAsia" w:ascii="宋体" w:hAnsi="宋体" w:eastAsia="宋体" w:cs="宋体"/>
                <w:sz w:val="21"/>
                <w:szCs w:val="21"/>
              </w:rPr>
            </w:pPr>
          </w:p>
          <w:p w14:paraId="2F6BC8ED">
            <w:pPr>
              <w:spacing w:line="360" w:lineRule="auto"/>
              <w:rPr>
                <w:rFonts w:hint="eastAsia" w:ascii="宋体" w:hAnsi="宋体" w:eastAsia="宋体" w:cs="宋体"/>
                <w:sz w:val="21"/>
                <w:szCs w:val="21"/>
              </w:rPr>
            </w:pPr>
          </w:p>
          <w:p w14:paraId="21FBBF52">
            <w:pPr>
              <w:spacing w:line="360" w:lineRule="auto"/>
              <w:rPr>
                <w:rFonts w:hint="eastAsia" w:ascii="宋体" w:hAnsi="宋体" w:eastAsia="宋体" w:cs="宋体"/>
                <w:sz w:val="21"/>
                <w:szCs w:val="21"/>
              </w:rPr>
            </w:pPr>
          </w:p>
          <w:p w14:paraId="2C328B79">
            <w:pPr>
              <w:spacing w:line="360" w:lineRule="auto"/>
              <w:rPr>
                <w:rFonts w:hint="eastAsia" w:ascii="宋体" w:hAnsi="宋体" w:eastAsia="宋体" w:cs="宋体"/>
                <w:sz w:val="21"/>
                <w:szCs w:val="21"/>
              </w:rPr>
            </w:pPr>
          </w:p>
          <w:p w14:paraId="75008B6B">
            <w:pPr>
              <w:spacing w:line="360" w:lineRule="auto"/>
              <w:rPr>
                <w:rFonts w:hint="eastAsia" w:ascii="宋体" w:hAnsi="宋体" w:eastAsia="宋体" w:cs="宋体"/>
                <w:sz w:val="21"/>
                <w:szCs w:val="21"/>
              </w:rPr>
            </w:pPr>
          </w:p>
          <w:p w14:paraId="6AB82D35">
            <w:pPr>
              <w:spacing w:line="360" w:lineRule="auto"/>
              <w:rPr>
                <w:rFonts w:hint="eastAsia" w:ascii="宋体" w:hAnsi="宋体" w:eastAsia="宋体" w:cs="宋体"/>
                <w:sz w:val="21"/>
                <w:szCs w:val="21"/>
              </w:rPr>
            </w:pPr>
          </w:p>
          <w:p w14:paraId="7B109E58">
            <w:pPr>
              <w:spacing w:line="360" w:lineRule="auto"/>
              <w:rPr>
                <w:rFonts w:hint="eastAsia" w:ascii="宋体" w:hAnsi="宋体" w:eastAsia="宋体" w:cs="宋体"/>
                <w:sz w:val="21"/>
                <w:szCs w:val="21"/>
              </w:rPr>
            </w:pPr>
          </w:p>
          <w:p w14:paraId="743E104B">
            <w:pPr>
              <w:spacing w:line="360" w:lineRule="auto"/>
              <w:rPr>
                <w:rFonts w:hint="eastAsia" w:ascii="宋体" w:hAnsi="宋体" w:eastAsia="宋体" w:cs="宋体"/>
                <w:sz w:val="21"/>
                <w:szCs w:val="21"/>
              </w:rPr>
            </w:pPr>
          </w:p>
          <w:p w14:paraId="3364D4C8">
            <w:pPr>
              <w:pStyle w:val="116"/>
              <w:spacing w:before="65" w:line="360" w:lineRule="auto"/>
              <w:rPr>
                <w:rFonts w:hint="eastAsia" w:ascii="宋体" w:hAnsi="宋体" w:eastAsia="宋体" w:cs="宋体"/>
                <w:sz w:val="21"/>
                <w:szCs w:val="21"/>
              </w:rPr>
            </w:pPr>
          </w:p>
          <w:p w14:paraId="74995F0F">
            <w:pPr>
              <w:pStyle w:val="116"/>
              <w:spacing w:before="65"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架</w:t>
            </w:r>
          </w:p>
        </w:tc>
        <w:tc>
          <w:tcPr>
            <w:tcW w:w="667" w:type="dxa"/>
            <w:vAlign w:val="top"/>
          </w:tcPr>
          <w:p w14:paraId="487DCB2D">
            <w:pPr>
              <w:spacing w:line="360" w:lineRule="auto"/>
              <w:rPr>
                <w:rFonts w:hint="eastAsia" w:ascii="宋体" w:hAnsi="宋体" w:eastAsia="宋体" w:cs="宋体"/>
                <w:sz w:val="21"/>
                <w:szCs w:val="21"/>
              </w:rPr>
            </w:pPr>
          </w:p>
          <w:p w14:paraId="7DED6EBD">
            <w:pPr>
              <w:spacing w:line="360" w:lineRule="auto"/>
              <w:rPr>
                <w:rFonts w:hint="eastAsia" w:ascii="宋体" w:hAnsi="宋体" w:eastAsia="宋体" w:cs="宋体"/>
                <w:sz w:val="21"/>
                <w:szCs w:val="21"/>
              </w:rPr>
            </w:pPr>
          </w:p>
          <w:p w14:paraId="540C990C">
            <w:pPr>
              <w:spacing w:line="360" w:lineRule="auto"/>
              <w:rPr>
                <w:rFonts w:hint="eastAsia" w:ascii="宋体" w:hAnsi="宋体" w:eastAsia="宋体" w:cs="宋体"/>
                <w:sz w:val="21"/>
                <w:szCs w:val="21"/>
              </w:rPr>
            </w:pPr>
          </w:p>
          <w:p w14:paraId="0A57E1C6">
            <w:pPr>
              <w:spacing w:line="360" w:lineRule="auto"/>
              <w:rPr>
                <w:rFonts w:hint="eastAsia" w:ascii="宋体" w:hAnsi="宋体" w:eastAsia="宋体" w:cs="宋体"/>
                <w:sz w:val="21"/>
                <w:szCs w:val="21"/>
              </w:rPr>
            </w:pPr>
          </w:p>
          <w:p w14:paraId="63E71F85">
            <w:pPr>
              <w:spacing w:line="360" w:lineRule="auto"/>
              <w:rPr>
                <w:rFonts w:hint="eastAsia" w:ascii="宋体" w:hAnsi="宋体" w:eastAsia="宋体" w:cs="宋体"/>
                <w:sz w:val="21"/>
                <w:szCs w:val="21"/>
              </w:rPr>
            </w:pPr>
          </w:p>
          <w:p w14:paraId="11A9E61C">
            <w:pPr>
              <w:spacing w:line="360" w:lineRule="auto"/>
              <w:rPr>
                <w:rFonts w:hint="eastAsia" w:ascii="宋体" w:hAnsi="宋体" w:eastAsia="宋体" w:cs="宋体"/>
                <w:sz w:val="21"/>
                <w:szCs w:val="21"/>
              </w:rPr>
            </w:pPr>
          </w:p>
          <w:p w14:paraId="2D03FE56">
            <w:pPr>
              <w:spacing w:line="360" w:lineRule="auto"/>
              <w:rPr>
                <w:rFonts w:hint="eastAsia" w:ascii="宋体" w:hAnsi="宋体" w:eastAsia="宋体" w:cs="宋体"/>
                <w:sz w:val="21"/>
                <w:szCs w:val="21"/>
              </w:rPr>
            </w:pPr>
          </w:p>
          <w:p w14:paraId="3466D672">
            <w:pPr>
              <w:spacing w:line="360" w:lineRule="auto"/>
              <w:rPr>
                <w:rFonts w:hint="eastAsia" w:ascii="宋体" w:hAnsi="宋体" w:eastAsia="宋体" w:cs="宋体"/>
                <w:sz w:val="21"/>
                <w:szCs w:val="21"/>
              </w:rPr>
            </w:pPr>
          </w:p>
          <w:p w14:paraId="1A373EE3">
            <w:pPr>
              <w:spacing w:line="360" w:lineRule="auto"/>
              <w:rPr>
                <w:rFonts w:hint="eastAsia" w:ascii="宋体" w:hAnsi="宋体" w:eastAsia="宋体" w:cs="宋体"/>
                <w:sz w:val="21"/>
                <w:szCs w:val="21"/>
              </w:rPr>
            </w:pPr>
          </w:p>
          <w:p w14:paraId="5A290C71">
            <w:pPr>
              <w:spacing w:line="360" w:lineRule="auto"/>
              <w:rPr>
                <w:rFonts w:hint="eastAsia" w:ascii="宋体" w:hAnsi="宋体" w:eastAsia="宋体" w:cs="宋体"/>
                <w:sz w:val="21"/>
                <w:szCs w:val="21"/>
              </w:rPr>
            </w:pPr>
          </w:p>
          <w:p w14:paraId="12F24CD9">
            <w:pPr>
              <w:spacing w:line="360" w:lineRule="auto"/>
              <w:rPr>
                <w:rFonts w:hint="eastAsia" w:ascii="宋体" w:hAnsi="宋体" w:eastAsia="宋体" w:cs="宋体"/>
                <w:sz w:val="21"/>
                <w:szCs w:val="21"/>
              </w:rPr>
            </w:pPr>
          </w:p>
          <w:p w14:paraId="2DA8B0BC">
            <w:pPr>
              <w:pStyle w:val="116"/>
              <w:spacing w:before="65" w:line="360" w:lineRule="auto"/>
              <w:ind w:firstLine="210" w:firstLineChars="100"/>
              <w:rPr>
                <w:rFonts w:hint="eastAsia" w:ascii="宋体" w:hAnsi="宋体" w:eastAsia="宋体" w:cs="宋体"/>
                <w:position w:val="1"/>
                <w:sz w:val="21"/>
                <w:szCs w:val="21"/>
              </w:rPr>
            </w:pPr>
            <w:r>
              <w:rPr>
                <w:rFonts w:hint="eastAsia" w:ascii="宋体" w:hAnsi="宋体" w:eastAsia="宋体" w:cs="宋体"/>
                <w:position w:val="1"/>
                <w:sz w:val="21"/>
                <w:szCs w:val="21"/>
              </w:rPr>
              <w:t>1</w:t>
            </w:r>
          </w:p>
        </w:tc>
        <w:tc>
          <w:tcPr>
            <w:tcW w:w="8047" w:type="dxa"/>
            <w:vAlign w:val="top"/>
          </w:tcPr>
          <w:p w14:paraId="49920691">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1、起飞重量（含电池、普通桨叶和 microSD 卡、无配件） ：≤1230 g</w:t>
            </w:r>
          </w:p>
          <w:p w14:paraId="4BC6AB52">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 xml:space="preserve">2、最大信号有效距离（无干扰、无遮挡）：≥25km </w:t>
            </w:r>
          </w:p>
          <w:p w14:paraId="2B7FE022">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3、最长飞行时间：≥49 分钟</w:t>
            </w:r>
          </w:p>
          <w:p w14:paraId="026411E3">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4、最大可抗风速：≥12m/s</w:t>
            </w:r>
          </w:p>
          <w:p w14:paraId="0104572B">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5、全向感知系统：</w:t>
            </w:r>
          </w:p>
          <w:p w14:paraId="6043B375">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飞行器的前、后、左、右、上均具备双目视觉避障传感器，下方具备三维红外传感器，能够在探测到障碍物时在 App 上进行提醒，并自动减速刹车或绕行；</w:t>
            </w:r>
          </w:p>
          <w:p w14:paraId="4625F707">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 xml:space="preserve">6、工作环境温度：工作温度范围覆盖-20℃至50℃ </w:t>
            </w:r>
          </w:p>
          <w:p w14:paraId="24CCE6F2">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 xml:space="preserve">7、最大上升速度：≥10m/s </w:t>
            </w:r>
          </w:p>
          <w:p w14:paraId="22889D9C">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 xml:space="preserve">8、最大下降速度：≥8 m/s </w:t>
            </w:r>
          </w:p>
          <w:p w14:paraId="28D2E4F5">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 xml:space="preserve">9、最大水平飞行速度：≥18m/s </w:t>
            </w:r>
          </w:p>
          <w:p w14:paraId="4A92CD99">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★10、最大飞行海拔高度：≥6000米</w:t>
            </w:r>
          </w:p>
          <w:p w14:paraId="775EA3B2">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11、飞行器自检功能：具备飞行器自检功能</w:t>
            </w:r>
          </w:p>
          <w:p w14:paraId="1F7CEA19">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12、低电量自动返航：具备低电量自动返航功能</w:t>
            </w:r>
          </w:p>
          <w:p w14:paraId="0882E050">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13、信号丢失自动返航：具备信号丢失自动返航功能</w:t>
            </w:r>
          </w:p>
          <w:p w14:paraId="6D1520A0">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 xml:space="preserve">14、固定解时水平精度：1 cm + 1 ppm；垂直精度：1.5 cm + 1 ppm </w:t>
            </w:r>
          </w:p>
          <w:p w14:paraId="6ED5C12B">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★15、云台相机：</w:t>
            </w:r>
          </w:p>
          <w:p w14:paraId="6C6951BD">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相机类型：具有长焦可见光、中长焦可见光、广角可见光。</w:t>
            </w:r>
          </w:p>
          <w:p w14:paraId="0BD28C0E">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 xml:space="preserve">广角相机CMOS：具备广角相机，相机CMOS不低于4/3 英寸 </w:t>
            </w:r>
          </w:p>
          <w:p w14:paraId="5C0D0544">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广角相机像素：像素数不低于2000W</w:t>
            </w:r>
          </w:p>
          <w:p w14:paraId="0AB2BF89">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最小拍照间隔：≤0.5s</w:t>
            </w:r>
          </w:p>
          <w:p w14:paraId="31DCFBEF">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中长焦相机CMOS：具备长焦相机，相机CMOS不低于1/1.3 英寸，像素数不低于4800万。</w:t>
            </w:r>
          </w:p>
          <w:p w14:paraId="729E6818">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长焦相机CMOS：具备长焦相机，相机CMOS不低于 1/1.5 英寸，像素数不低于4800万。</w:t>
            </w:r>
          </w:p>
          <w:p w14:paraId="0064670B">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可见光相机变焦倍数：变焦倍数不低于112倍。</w:t>
            </w:r>
          </w:p>
          <w:p w14:paraId="049DD196">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 xml:space="preserve">稳定系统：具备三轴机械增稳云台（俯仰、横滚、平移） </w:t>
            </w:r>
          </w:p>
          <w:p w14:paraId="0618DADE">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可见光相机视频：可见光相机支持4k30p视频录制。</w:t>
            </w:r>
          </w:p>
          <w:p w14:paraId="57215E61">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激光测距模块：最远正入射量程1800m。</w:t>
            </w:r>
          </w:p>
          <w:p w14:paraId="35C82A2D">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16、软件功能：</w:t>
            </w:r>
          </w:p>
          <w:p w14:paraId="66FA6198">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航线功能：支持贴近摄影测量、航点、正射、倾斜、航带、仿地等多种航线作业类型。</w:t>
            </w:r>
          </w:p>
          <w:p w14:paraId="3FC9F8F9">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云台摆拍方式：支持五向智能摆拍</w:t>
            </w:r>
          </w:p>
          <w:p w14:paraId="1BB54CA8">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时间戳水印：支持在无人机拍摄的可见光视频与照片上记录拍摄时的坐标和时间；</w:t>
            </w:r>
          </w:p>
          <w:p w14:paraId="02FA0F0F">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激光测距信息：支持可见光照片中记录激光测距获取的距离和坐标；</w:t>
            </w:r>
          </w:p>
          <w:p w14:paraId="49248DE4">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功能：能够接收民航客机的广播信息，并能通过地面端软件向用户发出附近民航客机预警信息；</w:t>
            </w:r>
          </w:p>
          <w:p w14:paraId="141BC688">
            <w:pPr>
              <w:pStyle w:val="116"/>
              <w:spacing w:before="77" w:line="360" w:lineRule="auto"/>
              <w:ind w:firstLine="224" w:firstLineChars="100"/>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实时远程控制：支持远程实时控制无人机飞行、云台拍照等；支持一键全景功能；可见光支持人车船目标的AI识别；支持全彩夜视。</w:t>
            </w:r>
          </w:p>
        </w:tc>
      </w:tr>
      <w:tr w14:paraId="26EAF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26" w:type="dxa"/>
            <w:shd w:val="clear" w:color="auto" w:fill="auto"/>
            <w:vAlign w:val="center"/>
          </w:tcPr>
          <w:p w14:paraId="726D6A7D">
            <w:pPr>
              <w:pStyle w:val="116"/>
              <w:spacing w:before="65" w:line="360" w:lineRule="auto"/>
              <w:ind w:firstLine="196" w:firstLineChars="10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7"/>
                <w:position w:val="1"/>
                <w:sz w:val="21"/>
                <w:szCs w:val="21"/>
              </w:rPr>
              <w:t>10</w:t>
            </w:r>
          </w:p>
        </w:tc>
        <w:tc>
          <w:tcPr>
            <w:tcW w:w="2024" w:type="dxa"/>
            <w:shd w:val="clear" w:color="auto" w:fill="auto"/>
            <w:vAlign w:val="center"/>
          </w:tcPr>
          <w:p w14:paraId="0095EF6B">
            <w:pPr>
              <w:pStyle w:val="116"/>
              <w:spacing w:before="65" w:line="360" w:lineRule="auto"/>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7"/>
                <w:sz w:val="21"/>
                <w:szCs w:val="21"/>
              </w:rPr>
              <w:t>大型采样无人机</w:t>
            </w:r>
          </w:p>
        </w:tc>
        <w:tc>
          <w:tcPr>
            <w:tcW w:w="1424" w:type="dxa"/>
            <w:shd w:val="clear" w:color="auto" w:fill="auto"/>
            <w:vAlign w:val="center"/>
          </w:tcPr>
          <w:p w14:paraId="7574701F">
            <w:pPr>
              <w:pStyle w:val="116"/>
              <w:spacing w:before="65" w:line="360" w:lineRule="auto"/>
              <w:ind w:right="266" w:righ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7"/>
                <w:sz w:val="21"/>
                <w:szCs w:val="21"/>
              </w:rPr>
              <w:t>用于现场样</w:t>
            </w:r>
            <w:r>
              <w:rPr>
                <w:rFonts w:hint="eastAsia" w:ascii="宋体" w:hAnsi="宋体" w:eastAsia="宋体" w:cs="宋体"/>
                <w:spacing w:val="-3"/>
                <w:sz w:val="21"/>
                <w:szCs w:val="21"/>
              </w:rPr>
              <w:t>品采集</w:t>
            </w:r>
          </w:p>
        </w:tc>
        <w:tc>
          <w:tcPr>
            <w:tcW w:w="775" w:type="dxa"/>
            <w:shd w:val="clear" w:color="auto" w:fill="auto"/>
            <w:vAlign w:val="center"/>
          </w:tcPr>
          <w:p w14:paraId="502A311F">
            <w:pPr>
              <w:pStyle w:val="116"/>
              <w:spacing w:before="65" w:line="360" w:lineRule="auto"/>
              <w:ind w:firstLine="210" w:firstLineChars="10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架</w:t>
            </w:r>
          </w:p>
        </w:tc>
        <w:tc>
          <w:tcPr>
            <w:tcW w:w="667" w:type="dxa"/>
            <w:shd w:val="clear" w:color="auto" w:fill="auto"/>
            <w:vAlign w:val="center"/>
          </w:tcPr>
          <w:p w14:paraId="5F943772">
            <w:pPr>
              <w:pStyle w:val="116"/>
              <w:tabs>
                <w:tab w:val="left" w:pos="630"/>
              </w:tabs>
              <w:spacing w:before="65" w:line="360" w:lineRule="auto"/>
              <w:ind w:firstLine="210" w:firstLineChars="10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position w:val="1"/>
                <w:sz w:val="21"/>
                <w:szCs w:val="21"/>
              </w:rPr>
              <w:t>1</w:t>
            </w:r>
          </w:p>
        </w:tc>
        <w:tc>
          <w:tcPr>
            <w:tcW w:w="8047" w:type="dxa"/>
            <w:shd w:val="clear" w:color="auto" w:fill="auto"/>
            <w:vAlign w:val="top"/>
          </w:tcPr>
          <w:p w14:paraId="3FC8E81C">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1、最大载重：≥6 千克</w:t>
            </w:r>
          </w:p>
          <w:p w14:paraId="4DA6C6DC">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2、最大起飞重量：≥15千克</w:t>
            </w:r>
          </w:p>
          <w:p w14:paraId="12C3262E">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3、最大上升速度： ≥10米/秒</w:t>
            </w:r>
          </w:p>
          <w:p w14:paraId="42644DAC">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4、最大下降速度： ≥8米/秒</w:t>
            </w:r>
          </w:p>
          <w:p w14:paraId="158FF47C">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5、最大水平飞行速度（海平面附近无风）：≥25米/秒</w:t>
            </w:r>
          </w:p>
          <w:p w14:paraId="68B65DA0">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6、最长飞行时间（带负载无风环境）：≥59 分钟</w:t>
            </w:r>
          </w:p>
          <w:p w14:paraId="068F82CB">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7、最大抗风速度：≥12米/秒</w:t>
            </w:r>
          </w:p>
          <w:p w14:paraId="07A8091D">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8、工作环境温度：≥-20℃至50℃</w:t>
            </w:r>
          </w:p>
          <w:p w14:paraId="0A41E5AB">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9、飞行器防护等级：≥IP55</w:t>
            </w:r>
          </w:p>
          <w:p w14:paraId="630964E2">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10、避障性能：≥25米/秒速度飞行，当探测到前方电线等障碍物，应能自动刹停避开障碍物</w:t>
            </w:r>
          </w:p>
          <w:p w14:paraId="67AFDB4B">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11、机身负载接口：≥4个</w:t>
            </w:r>
          </w:p>
          <w:p w14:paraId="240C3B07">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★12、最大挂载数量：≥7</w:t>
            </w:r>
          </w:p>
          <w:p w14:paraId="0015FD5A">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★13、感知系统：具备全向双目视觉模块；具备六向毫米波雷达模块；具备顶部环扫激光雷达模块；可实现白天及夜间避障；</w:t>
            </w:r>
          </w:p>
          <w:p w14:paraId="32B4E800">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14、机臂到位检测：支持机臂到位检测，能够检测机臂套筒是否拧紧到位，如未拧紧能够在遥控器端进行告警提示。</w:t>
            </w:r>
          </w:p>
          <w:p w14:paraId="07FA4479">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15、低电量自动返航：具备低电量自动返航功能</w:t>
            </w:r>
          </w:p>
          <w:p w14:paraId="40C15F4D">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16、信号丢失自动返航：具备信号丢失自动返航功能</w:t>
            </w:r>
          </w:p>
          <w:p w14:paraId="1F05B0CF">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17、最大信号有效距离（无干扰、无遮挡） ： ≥40 公里</w:t>
            </w:r>
          </w:p>
          <w:p w14:paraId="5E5EF40B">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18、机载中继：支持作为中继机使用，可为另一台作业机提供中继信号</w:t>
            </w:r>
          </w:p>
          <w:p w14:paraId="2C69FB41">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19、4G模块：飞行器支持安装模块数量≥2 个</w:t>
            </w:r>
          </w:p>
          <w:p w14:paraId="0F06BE78">
            <w:pPr>
              <w:pStyle w:val="116"/>
              <w:spacing w:before="77" w:line="360" w:lineRule="auto"/>
              <w:ind w:left="121"/>
              <w:jc w:val="left"/>
              <w:rPr>
                <w:rFonts w:hint="eastAsia" w:ascii="宋体" w:hAnsi="宋体" w:eastAsia="宋体" w:cs="宋体"/>
                <w:color w:val="auto"/>
                <w:spacing w:val="7"/>
                <w:sz w:val="21"/>
                <w:szCs w:val="21"/>
                <w:lang w:val="en-US" w:eastAsia="zh-CN"/>
              </w:rPr>
            </w:pPr>
            <w:r>
              <w:rPr>
                <w:rFonts w:hint="eastAsia" w:ascii="宋体" w:hAnsi="宋体" w:eastAsia="宋体" w:cs="宋体"/>
                <w:color w:val="auto"/>
                <w:spacing w:val="7"/>
                <w:sz w:val="21"/>
                <w:szCs w:val="21"/>
                <w:lang w:val="en-US" w:eastAsia="zh-CN"/>
              </w:rPr>
              <w:t>20、无人机载水体采样系统：</w:t>
            </w:r>
          </w:p>
          <w:p w14:paraId="5D3A0D7C">
            <w:pPr>
              <w:pStyle w:val="116"/>
              <w:spacing w:before="77" w:line="360" w:lineRule="auto"/>
              <w:ind w:left="121" w:firstLine="224" w:firstLineChars="100"/>
              <w:jc w:val="left"/>
              <w:rPr>
                <w:rFonts w:hint="eastAsia" w:ascii="宋体" w:hAnsi="宋体" w:eastAsia="宋体" w:cs="宋体"/>
                <w:color w:val="auto"/>
                <w:sz w:val="21"/>
                <w:szCs w:val="21"/>
                <w:lang w:val="en-US" w:eastAsia="en-US"/>
              </w:rPr>
            </w:pPr>
            <w:r>
              <w:rPr>
                <w:rFonts w:hint="eastAsia" w:ascii="宋体" w:hAnsi="宋体" w:eastAsia="宋体" w:cs="宋体"/>
                <w:color w:val="auto"/>
                <w:spacing w:val="7"/>
                <w:sz w:val="21"/>
                <w:szCs w:val="21"/>
                <w:lang w:val="en-US" w:eastAsia="zh-CN"/>
              </w:rPr>
              <w:t>设备具备绞盘里程计记录绞盘累积运动距离，当超过一定里程后，飞控端支持显示设备需要保养提醒字样；设备支持与无人机快捷对接，无需单独下载第三方软件，可在遥控器上显示设备的实时工作状态，包括距下方障碍物距离、已释放绳长长度、采水 模式、设备状态、目标深度、电门百分比、电流大小、容器运动速度；设备具备健康管理系统，当设备状态出现异常时飞控器端会有相关提醒字样显示，如“毫米波雷达模块初始化异常”“设备需要保养”等，减少因设备老化或故障等问 题导致的意外停机；具备云端监控平台支持浏览器与微信小程序端查看和控制设备；平台支持采样历史任务记录查看。</w:t>
            </w:r>
          </w:p>
        </w:tc>
      </w:tr>
      <w:tr w14:paraId="004AD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shd w:val="clear" w:color="auto" w:fill="auto"/>
            <w:vAlign w:val="center"/>
          </w:tcPr>
          <w:p w14:paraId="173F326E">
            <w:pPr>
              <w:pStyle w:val="116"/>
              <w:spacing w:before="79" w:line="360" w:lineRule="auto"/>
              <w:ind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024" w:type="dxa"/>
            <w:shd w:val="clear" w:color="auto" w:fill="auto"/>
            <w:vAlign w:val="center"/>
          </w:tcPr>
          <w:p w14:paraId="4EFE5A93">
            <w:pPr>
              <w:pStyle w:val="116"/>
              <w:spacing w:before="79" w:line="360" w:lineRule="auto"/>
              <w:ind w:left="125"/>
              <w:jc w:val="both"/>
              <w:rPr>
                <w:rFonts w:hint="eastAsia" w:ascii="宋体" w:hAnsi="宋体" w:eastAsia="宋体" w:cs="宋体"/>
                <w:color w:val="auto"/>
                <w:sz w:val="21"/>
                <w:szCs w:val="21"/>
              </w:rPr>
            </w:pPr>
            <w:r>
              <w:rPr>
                <w:rFonts w:hint="eastAsia" w:ascii="宋体" w:hAnsi="宋体" w:eastAsia="宋体" w:cs="宋体"/>
                <w:color w:val="auto"/>
                <w:sz w:val="21"/>
                <w:szCs w:val="21"/>
              </w:rPr>
              <w:t>研究级正置显微镜(成像系统+微分干涉+景深扩展)</w:t>
            </w:r>
          </w:p>
        </w:tc>
        <w:tc>
          <w:tcPr>
            <w:tcW w:w="1424" w:type="dxa"/>
            <w:shd w:val="clear" w:color="auto" w:fill="auto"/>
            <w:vAlign w:val="center"/>
          </w:tcPr>
          <w:p w14:paraId="31DD01ED">
            <w:pPr>
              <w:pStyle w:val="116"/>
              <w:spacing w:before="79" w:line="360" w:lineRule="auto"/>
              <w:ind w:left="125"/>
              <w:jc w:val="both"/>
              <w:rPr>
                <w:rFonts w:hint="eastAsia" w:ascii="宋体" w:hAnsi="宋体" w:eastAsia="宋体" w:cs="宋体"/>
                <w:color w:val="auto"/>
                <w:sz w:val="21"/>
                <w:szCs w:val="21"/>
              </w:rPr>
            </w:pPr>
            <w:r>
              <w:rPr>
                <w:rFonts w:hint="eastAsia" w:ascii="宋体" w:hAnsi="宋体" w:eastAsia="宋体" w:cs="宋体"/>
                <w:color w:val="auto"/>
                <w:sz w:val="21"/>
                <w:szCs w:val="21"/>
              </w:rPr>
              <w:t>用于实验室鉴定浮游动物等水生生物</w:t>
            </w:r>
          </w:p>
        </w:tc>
        <w:tc>
          <w:tcPr>
            <w:tcW w:w="775" w:type="dxa"/>
            <w:shd w:val="clear" w:color="auto" w:fill="auto"/>
            <w:vAlign w:val="center"/>
          </w:tcPr>
          <w:p w14:paraId="4FDCA4C7">
            <w:pPr>
              <w:pStyle w:val="116"/>
              <w:spacing w:before="79" w:line="360" w:lineRule="auto"/>
              <w:ind w:left="125"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rPr>
              <w:t>套</w:t>
            </w:r>
          </w:p>
        </w:tc>
        <w:tc>
          <w:tcPr>
            <w:tcW w:w="667" w:type="dxa"/>
            <w:shd w:val="clear" w:color="auto" w:fill="auto"/>
            <w:vAlign w:val="center"/>
          </w:tcPr>
          <w:p w14:paraId="6EE5146A">
            <w:pPr>
              <w:pStyle w:val="116"/>
              <w:spacing w:before="79" w:line="360" w:lineRule="auto"/>
              <w:ind w:left="125"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8047" w:type="dxa"/>
            <w:shd w:val="clear" w:color="auto" w:fill="auto"/>
            <w:vAlign w:val="top"/>
          </w:tcPr>
          <w:p w14:paraId="51F6228E">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1、放大倍数：40X-1000X。</w:t>
            </w:r>
          </w:p>
          <w:p w14:paraId="31080897">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2、光学系统：无限远色差校正光学系统。</w:t>
            </w:r>
          </w:p>
          <w:p w14:paraId="550E7C0D">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3、目镜：高眼点、大视野、平场目镜，PL10X/25mm，视度可调。显微镜目镜放大率准确度不超过±0.55%。</w:t>
            </w:r>
          </w:p>
          <w:p w14:paraId="25D22050">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4、观察筒：铰链式三目观察镜筒；30°倾斜，瞳距调节范围不小于：50mm~76mm。三档分光比,双目：三目=100:0或20:80或0:100。</w:t>
            </w:r>
          </w:p>
          <w:p w14:paraId="6C3F3114">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5、转换器：转换器：内倾式6孔编码转换器，带DIC插槽，能够记忆每个物镜的照明亮度、自动切换。转换器稳定性≤0.008mm。</w:t>
            </w:r>
          </w:p>
          <w:p w14:paraId="0CC0CC19">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6、载物台：复合式机械平台，面积：≥187mmX166mm，移动范围：80X55mm,可同时夹持两块切片，方便对比观察。双向线导轨传动。避免传统横向导轨（齿条）突出带来的隐患。调节手柄可以根据客户需求左右手位可选。载物台受5N水平方向作用力最大位移≤0.012mm；不重复性≤0.003mm；用机械使用标本在5mmX5mm范围内移动时的离焦量≤0.003mm。</w:t>
            </w:r>
          </w:p>
          <w:p w14:paraId="38FACF5E">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en-US"/>
              </w:rPr>
              <w:t>7、物镜：无限远平场复消色差物镜:</w:t>
            </w:r>
          </w:p>
          <w:p w14:paraId="26396EB1">
            <w:pPr>
              <w:spacing w:line="360" w:lineRule="auto"/>
              <w:ind w:firstLine="210" w:firstLineChars="100"/>
              <w:jc w:val="both"/>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en-US"/>
              </w:rPr>
              <w:t>4X/NA≥0.16/WD≥12.80mm，成像清晰圆直径≥17.4mm；</w:t>
            </w:r>
          </w:p>
          <w:p w14:paraId="4511E2DA">
            <w:pPr>
              <w:spacing w:line="360" w:lineRule="auto"/>
              <w:ind w:firstLine="210" w:firstLineChars="100"/>
              <w:jc w:val="both"/>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en-US"/>
              </w:rPr>
              <w:t>10X/NA≥0.40/WD≥3.2mm，成像清晰圆直径≥17.3mm；</w:t>
            </w:r>
          </w:p>
          <w:p w14:paraId="253FAC32">
            <w:pPr>
              <w:spacing w:line="360" w:lineRule="auto"/>
              <w:ind w:firstLine="210" w:firstLineChars="100"/>
              <w:jc w:val="both"/>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en-US"/>
              </w:rPr>
              <w:t>20X/NA≥0.75/WD≥0.60mm，成像清晰圆直径≥17.5mm；</w:t>
            </w:r>
          </w:p>
          <w:p w14:paraId="0ECF9A7E">
            <w:pPr>
              <w:spacing w:line="360" w:lineRule="auto"/>
              <w:ind w:firstLine="210" w:firstLineChars="100"/>
              <w:jc w:val="both"/>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en-US"/>
              </w:rPr>
              <w:t>40X/NA≥0.95/WD≥0.15mm，成像清晰圆直径≥18.5mm；</w:t>
            </w:r>
          </w:p>
          <w:p w14:paraId="00D14917">
            <w:pPr>
              <w:spacing w:line="360" w:lineRule="auto"/>
              <w:ind w:firstLine="210" w:firstLineChars="100"/>
              <w:jc w:val="both"/>
              <w:rPr>
                <w:rFonts w:hint="eastAsia" w:ascii="宋体" w:hAnsi="宋体" w:eastAsia="宋体" w:cs="宋体"/>
                <w:color w:val="FF0000"/>
                <w:sz w:val="21"/>
                <w:szCs w:val="21"/>
                <w:lang w:val="en-US" w:eastAsia="en-US"/>
              </w:rPr>
            </w:pPr>
            <w:r>
              <w:rPr>
                <w:rFonts w:hint="eastAsia" w:ascii="宋体" w:hAnsi="宋体" w:eastAsia="宋体" w:cs="宋体"/>
                <w:color w:val="auto"/>
                <w:sz w:val="21"/>
                <w:szCs w:val="21"/>
                <w:lang w:val="en-US" w:eastAsia="en-US"/>
              </w:rPr>
              <w:t>100X/NA≥1.35/WD≥0.13mm，成像清晰圆直径≥18.5mm。</w:t>
            </w:r>
          </w:p>
          <w:p w14:paraId="4DCB3FAE">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物镜放大率准确度误差范围不超过±0.83%。</w:t>
            </w:r>
          </w:p>
          <w:p w14:paraId="0421A182">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8、物镜齐焦：10→4X，不超过±0.016mm，10→20X，不超过±0.02mm，10→40X，不超过±0.007mm，40→100X，不超过±0.005mm。</w:t>
            </w:r>
          </w:p>
          <w:p w14:paraId="21067B53">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en-US"/>
              </w:rPr>
              <w:t>9、万能聚光镜：N.A.0.9/N.A.1.4小聚光镜头，8孔转盘式万能聚光镜，主体组内设3小5大孔，与其它光学元件相结合，用于进行明场、暗场、相衬、诺马斯基 DIC 和简易偏光观察。</w:t>
            </w:r>
          </w:p>
          <w:p w14:paraId="46872DD0">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en-US"/>
              </w:rPr>
              <w:t>10、DIC微分干涉组件：透射DIC插板组，10X/20X/40/60/DIC透射环板，透射检偏镜环板。</w:t>
            </w:r>
          </w:p>
          <w:p w14:paraId="79A08262">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11、机架：镜架上设计有工具存放装置（便于存放工具）,低手位粗微调同轴调焦机构，微调精度≤0.001mm,带防止载物台下滑粗调带松紧调节装置，有随机上限位装置。</w:t>
            </w:r>
          </w:p>
          <w:p w14:paraId="6DDB74C9">
            <w:pPr>
              <w:spacing w:line="360" w:lineRule="auto"/>
              <w:ind w:firstLine="210" w:firstLineChars="100"/>
              <w:jc w:val="both"/>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val="en-US" w:eastAsia="en-US"/>
              </w:rPr>
              <w:t>12、照明系统：采用数字调光，复眼照明，具光强设定与复位功能，宽波段LED光源，100V-240V宽电压，预定中心亮度连续可调。</w:t>
            </w:r>
          </w:p>
          <w:p w14:paraId="1E3CD629">
            <w:pPr>
              <w:pStyle w:val="116"/>
              <w:spacing w:before="79" w:line="360" w:lineRule="auto"/>
              <w:ind w:left="125"/>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w:t>
            </w:r>
            <w:r>
              <w:rPr>
                <w:rFonts w:hint="eastAsia" w:ascii="宋体" w:hAnsi="宋体" w:eastAsia="宋体" w:cs="宋体"/>
                <w:sz w:val="21"/>
                <w:szCs w:val="21"/>
                <w:lang w:val="en-US" w:eastAsia="zh-CN"/>
              </w:rPr>
              <w:t>3</w:t>
            </w:r>
            <w:r>
              <w:rPr>
                <w:rFonts w:hint="eastAsia" w:ascii="宋体" w:hAnsi="宋体" w:eastAsia="宋体" w:cs="宋体"/>
                <w:sz w:val="21"/>
                <w:szCs w:val="21"/>
                <w:lang w:val="en-US" w:eastAsia="en-US"/>
              </w:rPr>
              <w:t>、成像系统：≥500万像素。传感器尺寸：≥2/3”。最大帧率及最大分辨率：≥35fps@2448x2048，全局快门相机，具有自动曝光、自动白平衡功能；USB3.0线纯数码输出。配套显微镜原厂图像分析软件 ,软件具有景深融合功能。</w:t>
            </w:r>
          </w:p>
          <w:p w14:paraId="67372743">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14、</w:t>
            </w:r>
            <w:r>
              <w:rPr>
                <w:rFonts w:hint="eastAsia" w:ascii="宋体" w:hAnsi="宋体" w:eastAsia="宋体" w:cs="宋体"/>
                <w:color w:val="auto"/>
                <w:sz w:val="21"/>
                <w:szCs w:val="21"/>
              </w:rPr>
              <w:t>自动</w:t>
            </w:r>
            <w:r>
              <w:rPr>
                <w:rFonts w:hint="eastAsia" w:ascii="宋体" w:hAnsi="宋体" w:eastAsia="宋体" w:cs="宋体"/>
                <w:color w:val="auto"/>
                <w:sz w:val="21"/>
                <w:szCs w:val="21"/>
                <w:lang w:val="en-US" w:eastAsia="zh-CN"/>
              </w:rPr>
              <w:t>数据</w:t>
            </w:r>
            <w:r>
              <w:rPr>
                <w:rFonts w:hint="eastAsia" w:ascii="宋体" w:hAnsi="宋体" w:eastAsia="宋体" w:cs="宋体"/>
                <w:color w:val="auto"/>
                <w:sz w:val="21"/>
                <w:szCs w:val="21"/>
              </w:rPr>
              <w:t>生成：支持多格式导出（PDF、Excel等），包含标注图像、统计数据和分析图表，方便科研文档整理与分享。</w:t>
            </w:r>
          </w:p>
          <w:p w14:paraId="669456D9">
            <w:pPr>
              <w:pStyle w:val="116"/>
              <w:spacing w:before="79" w:line="360" w:lineRule="auto"/>
              <w:ind w:left="125"/>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w:t>
            </w:r>
            <w:r>
              <w:rPr>
                <w:rFonts w:hint="eastAsia" w:ascii="宋体" w:hAnsi="宋体" w:eastAsia="宋体" w:cs="宋体"/>
                <w:sz w:val="21"/>
                <w:szCs w:val="21"/>
                <w:lang w:val="en-US" w:eastAsia="zh-CN"/>
              </w:rPr>
              <w:t>5、</w:t>
            </w:r>
            <w:r>
              <w:rPr>
                <w:rFonts w:hint="eastAsia" w:ascii="宋体" w:hAnsi="宋体" w:eastAsia="宋体" w:cs="宋体"/>
                <w:sz w:val="21"/>
                <w:szCs w:val="21"/>
                <w:lang w:val="en-US" w:eastAsia="en-US"/>
              </w:rPr>
              <w:t>台式工作站：配置不低于：处理器：I7-12700，运行内存：32G，内存：SSD1TB +SSD1TB，独立显卡：4GB，显示器尺寸：27英寸，操作系统：Win10及以上。</w:t>
            </w:r>
          </w:p>
        </w:tc>
      </w:tr>
      <w:tr w14:paraId="2E278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shd w:val="clear" w:color="auto" w:fill="auto"/>
            <w:vAlign w:val="center"/>
          </w:tcPr>
          <w:p w14:paraId="6DBCDC7C">
            <w:pPr>
              <w:pStyle w:val="116"/>
              <w:spacing w:before="79" w:line="360" w:lineRule="auto"/>
              <w:ind w:left="125"/>
              <w:jc w:val="both"/>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024" w:type="dxa"/>
            <w:shd w:val="clear" w:color="auto" w:fill="auto"/>
            <w:vAlign w:val="center"/>
          </w:tcPr>
          <w:p w14:paraId="43AF6080">
            <w:pPr>
              <w:pStyle w:val="116"/>
              <w:spacing w:before="79" w:line="36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rPr>
              <w:t>研究级倒置显微镜(成像系统+微分干 涉+景深扩展)</w:t>
            </w:r>
          </w:p>
        </w:tc>
        <w:tc>
          <w:tcPr>
            <w:tcW w:w="1424" w:type="dxa"/>
            <w:shd w:val="clear" w:color="auto" w:fill="auto"/>
            <w:vAlign w:val="center"/>
          </w:tcPr>
          <w:p w14:paraId="7E8C20C0">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rPr>
              <w:t>用于实验室</w:t>
            </w:r>
          </w:p>
          <w:p w14:paraId="27ECFE48">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rPr>
              <w:t>鉴定浮游植</w:t>
            </w:r>
          </w:p>
          <w:p w14:paraId="7E6D0448">
            <w:pPr>
              <w:pStyle w:val="116"/>
              <w:spacing w:before="79" w:line="360" w:lineRule="auto"/>
              <w:ind w:left="125"/>
              <w:jc w:val="both"/>
              <w:rPr>
                <w:rFonts w:hint="eastAsia" w:ascii="宋体" w:hAnsi="宋体" w:eastAsia="宋体" w:cs="宋体"/>
                <w:color w:val="auto"/>
                <w:sz w:val="21"/>
                <w:szCs w:val="21"/>
              </w:rPr>
            </w:pPr>
            <w:r>
              <w:rPr>
                <w:rFonts w:hint="eastAsia" w:ascii="宋体" w:hAnsi="宋体" w:eastAsia="宋体" w:cs="宋体"/>
                <w:color w:val="auto"/>
                <w:sz w:val="21"/>
                <w:szCs w:val="21"/>
              </w:rPr>
              <w:t>物等水生生 物</w:t>
            </w:r>
          </w:p>
        </w:tc>
        <w:tc>
          <w:tcPr>
            <w:tcW w:w="775" w:type="dxa"/>
            <w:shd w:val="clear" w:color="auto" w:fill="auto"/>
            <w:vAlign w:val="center"/>
          </w:tcPr>
          <w:p w14:paraId="6B8AB898">
            <w:pPr>
              <w:pStyle w:val="116"/>
              <w:spacing w:before="79" w:line="360" w:lineRule="auto"/>
              <w:ind w:left="125"/>
              <w:jc w:val="center"/>
              <w:rPr>
                <w:rFonts w:hint="eastAsia" w:ascii="宋体" w:hAnsi="宋体" w:eastAsia="宋体" w:cs="宋体"/>
                <w:color w:val="auto"/>
                <w:sz w:val="21"/>
                <w:szCs w:val="21"/>
              </w:rPr>
            </w:pPr>
            <w:r>
              <w:rPr>
                <w:rFonts w:hint="eastAsia" w:ascii="宋体" w:hAnsi="宋体" w:eastAsia="宋体" w:cs="宋体"/>
                <w:color w:val="auto"/>
                <w:sz w:val="21"/>
                <w:szCs w:val="21"/>
              </w:rPr>
              <w:t>套</w:t>
            </w:r>
          </w:p>
        </w:tc>
        <w:tc>
          <w:tcPr>
            <w:tcW w:w="667" w:type="dxa"/>
            <w:shd w:val="clear" w:color="auto" w:fill="auto"/>
            <w:vAlign w:val="center"/>
          </w:tcPr>
          <w:p w14:paraId="76A29666">
            <w:pPr>
              <w:pStyle w:val="116"/>
              <w:spacing w:before="79"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8047" w:type="dxa"/>
            <w:shd w:val="clear" w:color="auto" w:fill="auto"/>
            <w:vAlign w:val="top"/>
          </w:tcPr>
          <w:p w14:paraId="658D5C37">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1、光学系统：无限远色差校正光学系统，齐焦距离≤45mm。</w:t>
            </w:r>
          </w:p>
          <w:p w14:paraId="6B782C76">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2、观察筒：20°~45°可调倾角，无限远铰链双目观察头，瞳距调节范围：50~76mm。</w:t>
            </w:r>
          </w:p>
          <w:p w14:paraId="0F20BB71">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3、目镜：高眼点大视野平场目镜≥22mm，视度可调。</w:t>
            </w:r>
          </w:p>
          <w:p w14:paraId="6C4B68D9">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4、转换器：电动明场6孔转换器（带DIC插槽）。</w:t>
            </w:r>
          </w:p>
          <w:p w14:paraId="002BAD0A">
            <w:pPr>
              <w:spacing w:line="360" w:lineRule="auto"/>
              <w:ind w:left="210" w:leftChars="100" w:firstLine="0" w:firstLineChars="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5、载物台：手动载物台，台面尺寸≥300mm(X)×240mm(Y)，移动范围≥135mm(X) ×85mm(Y)，平台厚度30mm；右手低手位万向活动手柄；XY移动锁止功能，锁止后，移动范围50mm（X）×50mm（Y）,Ø110mm可更换式圆盘，带压片夹（可夹持切片、培养瓶），可适配35mm培养皿托座、培养瓶托座、切片观察托座。</w:t>
            </w:r>
          </w:p>
          <w:p w14:paraId="54F5E439">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★6、物镜：</w:t>
            </w:r>
          </w:p>
          <w:p w14:paraId="12F40AB5">
            <w:pPr>
              <w:spacing w:line="360" w:lineRule="auto"/>
              <w:ind w:left="210" w:leftChars="100" w:firstLine="420" w:firstLineChars="2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长工作距平场半复消色差正相衬物镜：4X/NA≥0.13/WD≥17.56mm、10X/NA≥0.30/WD≥8.8mm</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en-US"/>
              </w:rPr>
              <w:t>带校正环长工作距平场半复消色差正相衬物镜：20X/NA≥0.45/WD6.5-7.6mm/覆盖差0-2mm、40X/NA≥0.60/WD2.85-4.05mm/覆盖差0-2mm。</w:t>
            </w:r>
          </w:p>
          <w:p w14:paraId="63DF9FD6">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7、聚光镜：七孔位聚光镜，NA≥0.55，WD≥27mm；3孔用于φ30mm（相衬），4孔用于φ38mm（DIC）；支持明场、相衬、DIC微分干涉观察。</w:t>
            </w:r>
          </w:p>
          <w:p w14:paraId="140DAC97">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★8</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en-US"/>
              </w:rPr>
              <w:t>研究级倒置机架, 低手位粗微同轴电动调焦机构，机身前置数字化状态显示，可实时显示显微镜物镜倍率、亮度、荧光波段、光闸、各个光口等多个部件状态信息并通过机身按键完成光口的选择，内置电动左光口与目视光路切换，分光比三挡可选，分别是0:100、 50:50、100:0；可选单层/双层光路，设计有上下两层光路，每层光路配备不低于8孔荧光转盘系统，上下两层光路可配不低于16个荧光滤色片；带有荧光护目板；Z 轴行程10.5mm。</w:t>
            </w:r>
          </w:p>
          <w:p w14:paraId="238DED77">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9、</w:t>
            </w:r>
            <w:r>
              <w:rPr>
                <w:rFonts w:hint="eastAsia" w:ascii="宋体" w:hAnsi="宋体" w:eastAsia="宋体" w:cs="宋体"/>
                <w:sz w:val="21"/>
                <w:szCs w:val="21"/>
                <w:lang w:val="en-US" w:eastAsia="en-US"/>
              </w:rPr>
              <w:t>可倾斜透射照明支架，透射柯拉照明系统，聚光镜托架升降可调，行程不小于65mm，带有 4 组滤色片安装位置，含毛玻璃。</w:t>
            </w:r>
          </w:p>
          <w:p w14:paraId="7685DE75">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10、</w:t>
            </w:r>
            <w:r>
              <w:rPr>
                <w:rFonts w:hint="eastAsia" w:ascii="宋体" w:hAnsi="宋体" w:eastAsia="宋体" w:cs="宋体"/>
                <w:sz w:val="21"/>
                <w:szCs w:val="21"/>
                <w:lang w:val="en-US" w:eastAsia="en-US"/>
              </w:rPr>
              <w:t>10W LED冷色灯照明灯箱，预置灯丝中心。</w:t>
            </w:r>
          </w:p>
          <w:p w14:paraId="1DFE6FA7">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11、</w:t>
            </w:r>
            <w:r>
              <w:rPr>
                <w:rFonts w:hint="eastAsia" w:ascii="宋体" w:hAnsi="宋体" w:eastAsia="宋体" w:cs="宋体"/>
                <w:sz w:val="21"/>
                <w:szCs w:val="21"/>
                <w:lang w:val="en-US" w:eastAsia="en-US"/>
              </w:rPr>
              <w:t xml:space="preserve"> 废液引流结构：物镜转盘下方设计引流槽结构，可防止光学元件和模块意外地被细胞培养基或浸泡液体洒湿，污染并损伤显微镜，维护保养更简化。</w:t>
            </w:r>
          </w:p>
          <w:p w14:paraId="50F7B029">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12</w:t>
            </w:r>
            <w:r>
              <w:rPr>
                <w:rFonts w:hint="eastAsia" w:ascii="宋体" w:hAnsi="宋体" w:eastAsia="宋体" w:cs="宋体"/>
                <w:sz w:val="21"/>
                <w:szCs w:val="21"/>
                <w:lang w:val="en-US" w:eastAsia="en-US"/>
              </w:rPr>
              <w:t>、控制：电动控制箱，输入电压为90-265VAC宽电压，输出有12V100W，通过CAN总线数字可调输出电压，另还有24V5A/15V5A/5V5A三种输出，装有强制风冷，支持热插拔；</w:t>
            </w:r>
          </w:p>
          <w:p w14:paraId="09A8B19D">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w:t>
            </w:r>
            <w:r>
              <w:rPr>
                <w:rFonts w:hint="eastAsia" w:ascii="宋体" w:hAnsi="宋体" w:eastAsia="宋体" w:cs="宋体"/>
                <w:sz w:val="21"/>
                <w:szCs w:val="21"/>
                <w:lang w:val="en-US" w:eastAsia="zh-CN"/>
              </w:rPr>
              <w:t>3</w:t>
            </w:r>
            <w:r>
              <w:rPr>
                <w:rFonts w:hint="eastAsia" w:ascii="宋体" w:hAnsi="宋体" w:eastAsia="宋体" w:cs="宋体"/>
                <w:sz w:val="21"/>
                <w:szCs w:val="21"/>
                <w:lang w:val="en-US" w:eastAsia="en-US"/>
              </w:rPr>
              <w:t>、荧光装置：八孔编码荧光转盘系统，可自由放置在机架的上下层位置，并带有光闸功能，可直接挡住荧光照明光源。</w:t>
            </w:r>
          </w:p>
          <w:p w14:paraId="5C91FE4A">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14、</w:t>
            </w:r>
            <w:r>
              <w:rPr>
                <w:rFonts w:hint="eastAsia" w:ascii="宋体" w:hAnsi="宋体" w:eastAsia="宋体" w:cs="宋体"/>
                <w:sz w:val="21"/>
                <w:szCs w:val="21"/>
                <w:lang w:val="en-US" w:eastAsia="en-US"/>
              </w:rPr>
              <w:t>荧光光源：100W直流汞灯</w:t>
            </w:r>
          </w:p>
          <w:p w14:paraId="09577FCE">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15、</w:t>
            </w:r>
            <w:r>
              <w:rPr>
                <w:rFonts w:hint="eastAsia" w:ascii="宋体" w:hAnsi="宋体" w:eastAsia="宋体" w:cs="宋体"/>
                <w:sz w:val="21"/>
                <w:szCs w:val="21"/>
                <w:lang w:val="en-US" w:eastAsia="en-US"/>
              </w:rPr>
              <w:t>荧光滤色片组:三组，分别为：B：EX480/30，DI505DC，EM535/40；G：EX560/40，DI600DC，EM635/60；UV：EX375/28，DI415DC，EM460/50。</w:t>
            </w:r>
          </w:p>
          <w:p w14:paraId="012792F1">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w:t>
            </w:r>
            <w:r>
              <w:rPr>
                <w:rFonts w:hint="eastAsia" w:ascii="宋体" w:hAnsi="宋体" w:eastAsia="宋体" w:cs="宋体"/>
                <w:sz w:val="21"/>
                <w:szCs w:val="21"/>
                <w:lang w:val="en-US" w:eastAsia="zh-CN"/>
              </w:rPr>
              <w:t>6</w:t>
            </w:r>
            <w:r>
              <w:rPr>
                <w:rFonts w:hint="eastAsia" w:ascii="宋体" w:hAnsi="宋体" w:eastAsia="宋体" w:cs="宋体"/>
                <w:sz w:val="21"/>
                <w:szCs w:val="21"/>
                <w:lang w:val="en-US" w:eastAsia="en-US"/>
              </w:rPr>
              <w:t>、附件组</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en-US"/>
              </w:rPr>
              <w:t>相衬附件：4X相衬光阑组，10X相衬光阑组，20X/40X/60X相衬光阑组。</w:t>
            </w:r>
          </w:p>
          <w:p w14:paraId="7EF8180E">
            <w:pPr>
              <w:spacing w:line="360" w:lineRule="auto"/>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DIC微分干涉附件：10X/20X/40X/60X透射DIC环板。</w:t>
            </w:r>
          </w:p>
          <w:p w14:paraId="41AC2B05">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w:t>
            </w:r>
            <w:r>
              <w:rPr>
                <w:rFonts w:hint="eastAsia" w:ascii="宋体" w:hAnsi="宋体" w:eastAsia="宋体" w:cs="宋体"/>
                <w:sz w:val="21"/>
                <w:szCs w:val="21"/>
                <w:lang w:val="en-US" w:eastAsia="zh-CN"/>
              </w:rPr>
              <w:t>7</w:t>
            </w:r>
            <w:r>
              <w:rPr>
                <w:rFonts w:hint="eastAsia" w:ascii="宋体" w:hAnsi="宋体" w:eastAsia="宋体" w:cs="宋体"/>
                <w:sz w:val="21"/>
                <w:szCs w:val="21"/>
                <w:lang w:val="en-US" w:eastAsia="en-US"/>
              </w:rPr>
              <w:t>、成像系统：科研级芯片。≥2000万像素，分辨率≥4496*4496，像元尺寸≥2.74um*2.74um，靶面尺寸≥1.1”,USB3.0输出。灵敏度及光谱响应1574mv with 1/30s 380-650nm。软件：专业荧光图像分析软件，与显微镜同一品牌。</w:t>
            </w:r>
          </w:p>
          <w:p w14:paraId="676E15A1">
            <w:pPr>
              <w:spacing w:line="360" w:lineRule="auto"/>
              <w:ind w:firstLine="420" w:firstLineChars="2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w:t>
            </w:r>
            <w:r>
              <w:rPr>
                <w:rFonts w:hint="eastAsia" w:ascii="宋体" w:hAnsi="宋体" w:eastAsia="宋体" w:cs="宋体"/>
                <w:sz w:val="21"/>
                <w:szCs w:val="21"/>
                <w:lang w:val="en-US" w:eastAsia="zh-CN"/>
              </w:rPr>
              <w:t>8</w:t>
            </w:r>
            <w:r>
              <w:rPr>
                <w:rFonts w:hint="eastAsia" w:ascii="宋体" w:hAnsi="宋体" w:eastAsia="宋体" w:cs="宋体"/>
                <w:sz w:val="21"/>
                <w:szCs w:val="21"/>
                <w:lang w:val="en-US" w:eastAsia="en-US"/>
              </w:rPr>
              <w:t>、软件：专业荧光图像分析软</w:t>
            </w:r>
            <w:r>
              <w:rPr>
                <w:rFonts w:hint="eastAsia" w:ascii="宋体" w:hAnsi="宋体" w:eastAsia="宋体" w:cs="宋体"/>
                <w:color w:val="auto"/>
                <w:sz w:val="21"/>
                <w:szCs w:val="21"/>
                <w:lang w:val="en-US" w:eastAsia="en-US"/>
              </w:rPr>
              <w:t>件，</w:t>
            </w:r>
            <w:r>
              <w:rPr>
                <w:rFonts w:hint="eastAsia" w:ascii="宋体" w:hAnsi="宋体" w:eastAsia="宋体" w:cs="宋体"/>
                <w:sz w:val="21"/>
                <w:szCs w:val="21"/>
                <w:lang w:val="en-US" w:eastAsia="en-US"/>
              </w:rPr>
              <w:t>与显微镜同一品牌。PC端可通过控制软件控制显微镜的基本操作，图像实时采集与图像拍照、录像，分辨率动静态可以动态切换；支持多色荧光合成及染料库管理；可自由选择荧光通道做双通道、三通道合成；支持形态学测量及比例尺、标注；支持景深融合、大图拼接、颗粒计数、3D视图、图库管理等功能；支持软件电动控制显微镜主要部件，如Z轴、载物台、转换器、滤光片、光闸等。</w:t>
            </w:r>
          </w:p>
          <w:p w14:paraId="61DFFC0A">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19</w:t>
            </w:r>
            <w:r>
              <w:rPr>
                <w:rFonts w:hint="eastAsia" w:ascii="宋体" w:hAnsi="宋体" w:eastAsia="宋体" w:cs="宋体"/>
                <w:sz w:val="21"/>
                <w:szCs w:val="21"/>
                <w:lang w:val="en-US" w:eastAsia="en-US"/>
              </w:rPr>
              <w:t>、台式工作站：配置不低于：处理器：I7-12700，运行内存：32G，内存：SSD1TB +SSD1TB，独立显卡：4GB，显示器尺寸：27英寸，操作系统：Win10及以上；</w:t>
            </w:r>
          </w:p>
          <w:p w14:paraId="3157E773">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w:t>
            </w:r>
            <w:r>
              <w:rPr>
                <w:rFonts w:hint="eastAsia" w:ascii="宋体" w:hAnsi="宋体" w:eastAsia="宋体" w:cs="宋体"/>
                <w:sz w:val="21"/>
                <w:szCs w:val="21"/>
                <w:lang w:val="en-US" w:eastAsia="zh-CN"/>
              </w:rPr>
              <w:t>20</w:t>
            </w:r>
            <w:r>
              <w:rPr>
                <w:rFonts w:hint="eastAsia" w:ascii="宋体" w:hAnsi="宋体" w:eastAsia="宋体" w:cs="宋体"/>
                <w:sz w:val="21"/>
                <w:szCs w:val="21"/>
                <w:lang w:val="en-US" w:eastAsia="en-US"/>
              </w:rPr>
              <w:t>、专业细胞分析软件：智能图像识别模块</w:t>
            </w:r>
          </w:p>
          <w:p w14:paraId="169A6AE7">
            <w:pPr>
              <w:spacing w:line="360" w:lineRule="auto"/>
              <w:ind w:left="218" w:leftChars="104" w:firstLine="420" w:firstLineChars="2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自动目标识别与精准轮廓标注：结合传统图像处理算法与深度学习模型，自动检测并标注细胞及其亚结构边界，适应不同类型、形态和对比度的细胞图像。机器学习模型：通过内置机器学习模块，对细胞或颗粒进行多类别分类和筛选，支持自定义训练与优化。</w:t>
            </w:r>
          </w:p>
          <w:p w14:paraId="7EC441BE">
            <w:pPr>
              <w:spacing w:line="360" w:lineRule="auto"/>
              <w:ind w:left="218" w:leftChars="104" w:firstLine="420" w:firstLineChars="2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深度学习AI模型（需要硬件支持）：支持多细胞类型的泛化分割，极大提升复杂背景和细胞聚集区域的识别准确率。</w:t>
            </w:r>
          </w:p>
          <w:p w14:paraId="21FF36E0">
            <w:pPr>
              <w:spacing w:line="360" w:lineRule="auto"/>
              <w:ind w:firstLine="210" w:firstLineChars="1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21</w:t>
            </w:r>
            <w:r>
              <w:rPr>
                <w:rFonts w:hint="eastAsia" w:ascii="宋体" w:hAnsi="宋体" w:eastAsia="宋体" w:cs="宋体"/>
                <w:sz w:val="21"/>
                <w:szCs w:val="21"/>
                <w:lang w:val="en-US" w:eastAsia="en-US"/>
              </w:rPr>
              <w:t>、专业细胞分析软件：高通量批量处理能力</w:t>
            </w:r>
          </w:p>
          <w:p w14:paraId="07F6547A">
            <w:pPr>
              <w:spacing w:line="360" w:lineRule="auto"/>
              <w:ind w:left="218" w:leftChars="104" w:firstLine="420" w:firstLineChars="200"/>
              <w:jc w:val="both"/>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一键批量导入与自动分析：支持同时处理数百至数千张显微图像，自动完成图像预处理、分割和定量测量，极大缩短实验周期。统一数据汇总与多维统计分析：自动合并批量分析结果，计算面积、直径、强度、形态等丰富统计指标。内置统计功能支持最大值、最小值、平均值及范围区间颗粒数量的详细统计，并可按分组维度分类汇总。自动报告生成：支持多格式导出（PDF、Excel等），包含标注图像、统计数据和分析图表，方便科研文档整理与分享。</w:t>
            </w:r>
          </w:p>
          <w:p w14:paraId="6EBDE3E3">
            <w:pPr>
              <w:spacing w:line="36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w:t>
            </w:r>
            <w:r>
              <w:rPr>
                <w:rFonts w:hint="eastAsia" w:ascii="宋体" w:hAnsi="宋体" w:eastAsia="宋体" w:cs="宋体"/>
                <w:sz w:val="21"/>
                <w:szCs w:val="21"/>
                <w:lang w:val="en-US" w:eastAsia="en-US"/>
              </w:rPr>
              <w:t>、专业细胞分析软件：丰富的内置测量模块</w:t>
            </w:r>
            <w:r>
              <w:rPr>
                <w:rFonts w:hint="eastAsia" w:ascii="宋体" w:hAnsi="宋体" w:eastAsia="宋体" w:cs="宋体"/>
                <w:sz w:val="21"/>
                <w:szCs w:val="21"/>
                <w:lang w:val="en-US" w:eastAsia="zh-CN"/>
              </w:rPr>
              <w:t>：</w:t>
            </w:r>
          </w:p>
          <w:p w14:paraId="5C108161">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图像级测量：面积占比、强度分布、图像质量评估、骨架结构提取等。对象级测量：单细胞强度、形态参数（面积、周长、圆度、长宽比）、骨架结构及邻近关系等。高级分析：共定位分析、颗粒度（纹理）分析、对象重叠及空间分布测量，满足复杂生物学研究需求。</w:t>
            </w:r>
          </w:p>
        </w:tc>
      </w:tr>
      <w:tr w14:paraId="17EE1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shd w:val="clear" w:color="auto" w:fill="auto"/>
            <w:vAlign w:val="center"/>
          </w:tcPr>
          <w:p w14:paraId="593A7E44">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13</w:t>
            </w:r>
          </w:p>
        </w:tc>
        <w:tc>
          <w:tcPr>
            <w:tcW w:w="2024" w:type="dxa"/>
            <w:shd w:val="clear" w:color="auto" w:fill="auto"/>
            <w:vAlign w:val="center"/>
          </w:tcPr>
          <w:p w14:paraId="7665534B">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普通正置显微镜(成像系统)</w:t>
            </w:r>
          </w:p>
        </w:tc>
        <w:tc>
          <w:tcPr>
            <w:tcW w:w="1424" w:type="dxa"/>
            <w:shd w:val="clear" w:color="auto" w:fill="auto"/>
            <w:vAlign w:val="center"/>
          </w:tcPr>
          <w:p w14:paraId="0B8423F8">
            <w:pPr>
              <w:pStyle w:val="116"/>
              <w:spacing w:before="79" w:line="360" w:lineRule="auto"/>
              <w:ind w:left="125"/>
              <w:jc w:val="center"/>
              <w:rPr>
                <w:rFonts w:hint="eastAsia" w:ascii="宋体" w:hAnsi="宋体" w:eastAsia="宋体" w:cs="宋体"/>
                <w:color w:val="auto"/>
                <w:sz w:val="21"/>
                <w:szCs w:val="21"/>
              </w:rPr>
            </w:pPr>
            <w:r>
              <w:rPr>
                <w:rFonts w:hint="eastAsia" w:ascii="宋体" w:hAnsi="宋体" w:eastAsia="宋体" w:cs="宋体"/>
                <w:color w:val="auto"/>
                <w:sz w:val="21"/>
                <w:szCs w:val="21"/>
              </w:rPr>
              <w:t>用于实验室</w:t>
            </w:r>
          </w:p>
          <w:p w14:paraId="33B663B0">
            <w:pPr>
              <w:pStyle w:val="116"/>
              <w:spacing w:before="79" w:line="360" w:lineRule="auto"/>
              <w:ind w:left="125"/>
              <w:jc w:val="center"/>
              <w:rPr>
                <w:rFonts w:hint="eastAsia" w:ascii="宋体" w:hAnsi="宋体" w:eastAsia="宋体" w:cs="宋体"/>
                <w:color w:val="auto"/>
                <w:sz w:val="21"/>
                <w:szCs w:val="21"/>
              </w:rPr>
            </w:pPr>
            <w:r>
              <w:rPr>
                <w:rFonts w:hint="eastAsia" w:ascii="宋体" w:hAnsi="宋体" w:eastAsia="宋体" w:cs="宋体"/>
                <w:color w:val="auto"/>
                <w:sz w:val="21"/>
                <w:szCs w:val="21"/>
              </w:rPr>
              <w:t>鉴定水生生</w:t>
            </w:r>
          </w:p>
          <w:p w14:paraId="3A3BC7D7">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物常规观察</w:t>
            </w:r>
          </w:p>
        </w:tc>
        <w:tc>
          <w:tcPr>
            <w:tcW w:w="775" w:type="dxa"/>
            <w:shd w:val="clear" w:color="auto" w:fill="auto"/>
            <w:vAlign w:val="center"/>
          </w:tcPr>
          <w:p w14:paraId="191AB565">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套</w:t>
            </w:r>
          </w:p>
        </w:tc>
        <w:tc>
          <w:tcPr>
            <w:tcW w:w="667" w:type="dxa"/>
            <w:shd w:val="clear" w:color="auto" w:fill="auto"/>
            <w:vAlign w:val="center"/>
          </w:tcPr>
          <w:p w14:paraId="58358443">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1</w:t>
            </w:r>
          </w:p>
        </w:tc>
        <w:tc>
          <w:tcPr>
            <w:tcW w:w="8047" w:type="dxa"/>
            <w:shd w:val="clear" w:color="auto" w:fill="auto"/>
            <w:vAlign w:val="top"/>
          </w:tcPr>
          <w:p w14:paraId="51EEEB5F">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1、放大倍数：40X-1000X。</w:t>
            </w:r>
          </w:p>
          <w:p w14:paraId="18466AEE">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2、光学系统：无限远色差校正光学系统，齐焦距离≤45mm。</w:t>
            </w:r>
          </w:p>
          <w:p w14:paraId="500507AD">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3、目镜：高眼点、大视野、平场目镜，PL10X/25mm，视度可调。显微镜目镜放大率准确度不超过±0.55%。</w:t>
            </w:r>
          </w:p>
          <w:p w14:paraId="44887673">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4、观察筒：铰链式三目观察镜筒；30°倾斜，瞳距调节范围不小于：50mm~76mm。三档分光比,双目：三目=100:0或20:80或0:100。</w:t>
            </w:r>
          </w:p>
          <w:p w14:paraId="62B60577">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5、转换器：内倾式6孔编码转换器，带DIC插槽，能够记忆每个物镜的照明亮度、自动切换。转换器稳定性≤0.008mm。</w:t>
            </w:r>
          </w:p>
          <w:p w14:paraId="433646B6">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6、载物台：复合式机械平台，面积：≥187mmX166mm，移动范围：80X55mm,可同时夹持两块切片，方便对比观察。双向线导轨传动。避免传统横向导轨（齿条）突出带来的隐患。调节手柄可以根据客户需求左右手位可选。载物台受5N水平方向作用力最大位移≤0.012mm；不重复性≤0.003mm；用机械使用标本在5mmX5mm范围内移动时的离焦量≤0.003mm。</w:t>
            </w:r>
          </w:p>
          <w:p w14:paraId="5EC67B1F">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7、物镜：</w:t>
            </w:r>
          </w:p>
          <w:p w14:paraId="55EAA104">
            <w:pPr>
              <w:pStyle w:val="116"/>
              <w:spacing w:before="79" w:line="360" w:lineRule="auto"/>
              <w:ind w:left="125" w:firstLine="210" w:firstLineChars="100"/>
              <w:rPr>
                <w:rFonts w:hint="eastAsia" w:ascii="宋体" w:hAnsi="宋体" w:eastAsia="宋体" w:cs="宋体"/>
                <w:sz w:val="21"/>
                <w:szCs w:val="21"/>
              </w:rPr>
            </w:pPr>
            <w:r>
              <w:rPr>
                <w:rFonts w:hint="eastAsia" w:ascii="宋体" w:hAnsi="宋体" w:eastAsia="宋体" w:cs="宋体"/>
                <w:sz w:val="21"/>
                <w:szCs w:val="21"/>
              </w:rPr>
              <w:t>无限远平场消色差物镜（齐焦距离≤45mm）:</w:t>
            </w:r>
          </w:p>
          <w:p w14:paraId="15EF8522">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4X/NA≥0.1、</w:t>
            </w:r>
          </w:p>
          <w:p w14:paraId="5B6D496F">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10X/NA≥0.25、</w:t>
            </w:r>
          </w:p>
          <w:p w14:paraId="654E2F31">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20X/NA≥0.4/WD≥1.5mm、</w:t>
            </w:r>
          </w:p>
          <w:p w14:paraId="194B61A3">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40X(S)/NA≥0.65/WD≥0.8mm、</w:t>
            </w:r>
          </w:p>
          <w:p w14:paraId="6AEB8C93">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100X(S、O)/NA≥1.25/WD≥0.21mm；</w:t>
            </w:r>
          </w:p>
          <w:p w14:paraId="6A33E1C2">
            <w:pPr>
              <w:pStyle w:val="116"/>
              <w:spacing w:before="79" w:line="360" w:lineRule="auto"/>
              <w:ind w:left="125" w:firstLine="420" w:firstLineChars="200"/>
              <w:rPr>
                <w:rFonts w:hint="eastAsia" w:ascii="宋体" w:hAnsi="宋体" w:eastAsia="宋体" w:cs="宋体"/>
                <w:sz w:val="21"/>
                <w:szCs w:val="21"/>
              </w:rPr>
            </w:pPr>
            <w:r>
              <w:rPr>
                <w:rFonts w:hint="eastAsia" w:ascii="宋体" w:hAnsi="宋体" w:eastAsia="宋体" w:cs="宋体"/>
                <w:sz w:val="21"/>
                <w:szCs w:val="21"/>
              </w:rPr>
              <w:t>物镜成像清晰圆直径：4X物镜≥17.4mm、10X物镜≥17.3mm、20X物镜≥17.5mm、40X物镜≥18.6mm、100X物镜≥18.5mm；物镜放大率准确度误差范围不超过±0.83%。</w:t>
            </w:r>
          </w:p>
          <w:p w14:paraId="592B7537">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8、物镜齐焦：10→4X，不超过±0.015mm，10→20X，不超过±0.02mm，10→40X，不超过±0.007mm，40→100X，不超过±0.005mm。</w:t>
            </w:r>
          </w:p>
          <w:p w14:paraId="0BF53E7C">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9、聚光镜：非摇出式阿贝聚光镜，带可变光阑及孔径数标识。</w:t>
            </w:r>
          </w:p>
          <w:p w14:paraId="569AB48E">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10、机架：镜架上设计有工具存放装置（便于存放工具）,低手位粗微调同轴调焦机构，微调精度≤0.001mm,带防止载物台下滑粗调带松紧调节装置，有随机上限位装置。</w:t>
            </w:r>
          </w:p>
          <w:p w14:paraId="44DACDDC">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11、照明系统：采用数字调光，复眼照明，具光强设定与复位功能，宽波段LED光源，100V-240V宽电压，预定中心亮度连续可调。</w:t>
            </w:r>
          </w:p>
          <w:p w14:paraId="1DBB6EF1">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、摄影、摄像视场清晰范围：不小于85%。</w:t>
            </w:r>
          </w:p>
          <w:p w14:paraId="6976EA71">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、成像系统：≥830万像素。传感器尺寸：≥1/1.8”。最大帧率及最大分辨率：≥35fps@3840x2160，逐行扫描，具有自动曝光、自动白平衡功能；USB3.0纯数码输出。配套显微镜原厂图像分析软</w:t>
            </w:r>
            <w:r>
              <w:rPr>
                <w:rFonts w:hint="eastAsia" w:ascii="宋体" w:hAnsi="宋体" w:eastAsia="宋体" w:cs="宋体"/>
                <w:color w:val="auto"/>
                <w:sz w:val="21"/>
                <w:szCs w:val="21"/>
              </w:rPr>
              <w:t xml:space="preserve">件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r>
              <w:rPr>
                <w:rFonts w:hint="eastAsia" w:ascii="宋体" w:hAnsi="宋体" w:eastAsia="宋体" w:cs="宋体"/>
                <w:sz w:val="21"/>
                <w:szCs w:val="21"/>
              </w:rPr>
              <w:t xml:space="preserve"> </w:t>
            </w:r>
          </w:p>
          <w:p w14:paraId="31287FB0">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14、</w:t>
            </w:r>
            <w:r>
              <w:rPr>
                <w:rFonts w:hint="eastAsia" w:ascii="宋体" w:hAnsi="宋体" w:eastAsia="宋体" w:cs="宋体"/>
                <w:color w:val="auto"/>
                <w:sz w:val="21"/>
                <w:szCs w:val="21"/>
              </w:rPr>
              <w:t>自动</w:t>
            </w:r>
            <w:r>
              <w:rPr>
                <w:rFonts w:hint="eastAsia" w:ascii="宋体" w:hAnsi="宋体" w:eastAsia="宋体" w:cs="宋体"/>
                <w:color w:val="auto"/>
                <w:sz w:val="21"/>
                <w:szCs w:val="21"/>
                <w:lang w:val="en-US" w:eastAsia="zh-CN"/>
              </w:rPr>
              <w:t>数据</w:t>
            </w:r>
            <w:r>
              <w:rPr>
                <w:rFonts w:hint="eastAsia" w:ascii="宋体" w:hAnsi="宋体" w:eastAsia="宋体" w:cs="宋体"/>
                <w:color w:val="auto"/>
                <w:sz w:val="21"/>
                <w:szCs w:val="21"/>
              </w:rPr>
              <w:t>生成：支持多格式导出（PDF、Excel等），包含标注图像、统计数据和分析图表，方便科研文档整理与分享。</w:t>
            </w:r>
          </w:p>
          <w:p w14:paraId="09A4B56F">
            <w:pPr>
              <w:pStyle w:val="116"/>
              <w:spacing w:before="79" w:line="360" w:lineRule="auto"/>
              <w:ind w:left="125" w:lef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r>
              <w:rPr>
                <w:rFonts w:hint="eastAsia" w:ascii="宋体" w:hAnsi="宋体" w:eastAsia="宋体" w:cs="宋体"/>
                <w:sz w:val="21"/>
                <w:szCs w:val="21"/>
              </w:rPr>
              <w:t>、台式一体式工作站：配置不低于：CPU i5-12400；硬盘：1TB SSD 固态；内存=16GB；视频接口：HDMI、USB等接口；显示器尺寸：23.8英寸；有线键鼠，配备正版Win10及以上操作系统。</w:t>
            </w:r>
          </w:p>
        </w:tc>
      </w:tr>
      <w:tr w14:paraId="168FC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shd w:val="clear" w:color="auto" w:fill="auto"/>
            <w:vAlign w:val="top"/>
          </w:tcPr>
          <w:p w14:paraId="2101CD09">
            <w:pPr>
              <w:pStyle w:val="116"/>
              <w:spacing w:before="79" w:line="360" w:lineRule="auto"/>
              <w:ind w:left="125"/>
              <w:rPr>
                <w:rFonts w:hint="eastAsia" w:ascii="宋体" w:hAnsi="宋体" w:eastAsia="宋体" w:cs="宋体"/>
                <w:color w:val="auto"/>
                <w:sz w:val="21"/>
                <w:szCs w:val="21"/>
              </w:rPr>
            </w:pPr>
          </w:p>
          <w:p w14:paraId="44C3DB4E">
            <w:pPr>
              <w:pStyle w:val="116"/>
              <w:spacing w:before="79" w:line="360" w:lineRule="auto"/>
              <w:ind w:left="125"/>
              <w:rPr>
                <w:rFonts w:hint="eastAsia" w:ascii="宋体" w:hAnsi="宋体" w:eastAsia="宋体" w:cs="宋体"/>
                <w:color w:val="auto"/>
                <w:sz w:val="21"/>
                <w:szCs w:val="21"/>
              </w:rPr>
            </w:pPr>
          </w:p>
          <w:p w14:paraId="2DF6129C">
            <w:pPr>
              <w:pStyle w:val="116"/>
              <w:spacing w:before="79" w:line="360" w:lineRule="auto"/>
              <w:ind w:left="125"/>
              <w:rPr>
                <w:rFonts w:hint="eastAsia" w:ascii="宋体" w:hAnsi="宋体" w:eastAsia="宋体" w:cs="宋体"/>
                <w:color w:val="auto"/>
                <w:sz w:val="21"/>
                <w:szCs w:val="21"/>
              </w:rPr>
            </w:pPr>
          </w:p>
          <w:p w14:paraId="7B25B71E">
            <w:pPr>
              <w:pStyle w:val="116"/>
              <w:spacing w:before="79" w:line="360" w:lineRule="auto"/>
              <w:ind w:left="125"/>
              <w:rPr>
                <w:rFonts w:hint="eastAsia" w:ascii="宋体" w:hAnsi="宋体" w:eastAsia="宋体" w:cs="宋体"/>
                <w:color w:val="auto"/>
                <w:sz w:val="21"/>
                <w:szCs w:val="21"/>
              </w:rPr>
            </w:pPr>
          </w:p>
          <w:p w14:paraId="11782077">
            <w:pPr>
              <w:pStyle w:val="116"/>
              <w:spacing w:before="79" w:line="360" w:lineRule="auto"/>
              <w:ind w:left="125"/>
              <w:rPr>
                <w:rFonts w:hint="eastAsia" w:ascii="宋体" w:hAnsi="宋体" w:eastAsia="宋体" w:cs="宋体"/>
                <w:color w:val="auto"/>
                <w:sz w:val="21"/>
                <w:szCs w:val="21"/>
              </w:rPr>
            </w:pPr>
          </w:p>
          <w:p w14:paraId="5843177A">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14</w:t>
            </w:r>
          </w:p>
        </w:tc>
        <w:tc>
          <w:tcPr>
            <w:tcW w:w="2024" w:type="dxa"/>
            <w:shd w:val="clear" w:color="auto" w:fill="auto"/>
            <w:vAlign w:val="top"/>
          </w:tcPr>
          <w:p w14:paraId="20377859">
            <w:pPr>
              <w:pStyle w:val="116"/>
              <w:spacing w:before="79" w:line="360" w:lineRule="auto"/>
              <w:ind w:left="125"/>
              <w:rPr>
                <w:rFonts w:hint="eastAsia" w:ascii="宋体" w:hAnsi="宋体" w:eastAsia="宋体" w:cs="宋体"/>
                <w:color w:val="auto"/>
                <w:sz w:val="21"/>
                <w:szCs w:val="21"/>
              </w:rPr>
            </w:pPr>
          </w:p>
          <w:p w14:paraId="52037605">
            <w:pPr>
              <w:pStyle w:val="116"/>
              <w:spacing w:before="79" w:line="360" w:lineRule="auto"/>
              <w:ind w:left="125"/>
              <w:rPr>
                <w:rFonts w:hint="eastAsia" w:ascii="宋体" w:hAnsi="宋体" w:eastAsia="宋体" w:cs="宋体"/>
                <w:color w:val="auto"/>
                <w:sz w:val="21"/>
                <w:szCs w:val="21"/>
              </w:rPr>
            </w:pPr>
          </w:p>
          <w:p w14:paraId="4C91CF7B">
            <w:pPr>
              <w:pStyle w:val="116"/>
              <w:spacing w:before="79" w:line="360" w:lineRule="auto"/>
              <w:ind w:left="125"/>
              <w:rPr>
                <w:rFonts w:hint="eastAsia" w:ascii="宋体" w:hAnsi="宋体" w:eastAsia="宋体" w:cs="宋体"/>
                <w:color w:val="auto"/>
                <w:sz w:val="21"/>
                <w:szCs w:val="21"/>
              </w:rPr>
            </w:pPr>
          </w:p>
          <w:p w14:paraId="3ADA7B90">
            <w:pPr>
              <w:pStyle w:val="116"/>
              <w:spacing w:before="79" w:line="360" w:lineRule="auto"/>
              <w:ind w:left="125"/>
              <w:rPr>
                <w:rFonts w:hint="eastAsia" w:ascii="宋体" w:hAnsi="宋体" w:eastAsia="宋体" w:cs="宋体"/>
                <w:color w:val="auto"/>
                <w:sz w:val="21"/>
                <w:szCs w:val="21"/>
              </w:rPr>
            </w:pPr>
          </w:p>
          <w:p w14:paraId="532069DA">
            <w:pPr>
              <w:pStyle w:val="116"/>
              <w:spacing w:before="79" w:line="360" w:lineRule="auto"/>
              <w:ind w:left="125"/>
              <w:rPr>
                <w:rFonts w:hint="eastAsia" w:ascii="宋体" w:hAnsi="宋体" w:eastAsia="宋体" w:cs="宋体"/>
                <w:color w:val="auto"/>
                <w:sz w:val="21"/>
                <w:szCs w:val="21"/>
                <w:lang w:val="en-US" w:eastAsia="zh-CN"/>
              </w:rPr>
            </w:pPr>
          </w:p>
          <w:p w14:paraId="24405774">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lang w:val="en-US" w:eastAsia="zh-CN"/>
              </w:rPr>
              <w:t>普</w:t>
            </w:r>
            <w:r>
              <w:rPr>
                <w:rFonts w:hint="eastAsia" w:ascii="宋体" w:hAnsi="宋体" w:eastAsia="宋体" w:cs="宋体"/>
                <w:color w:val="auto"/>
                <w:sz w:val="21"/>
                <w:szCs w:val="21"/>
              </w:rPr>
              <w:t>通体视显微镜(成像系统)</w:t>
            </w:r>
          </w:p>
        </w:tc>
        <w:tc>
          <w:tcPr>
            <w:tcW w:w="1424" w:type="dxa"/>
            <w:shd w:val="clear" w:color="auto" w:fill="auto"/>
            <w:vAlign w:val="top"/>
          </w:tcPr>
          <w:p w14:paraId="125A9467">
            <w:pPr>
              <w:pStyle w:val="116"/>
              <w:spacing w:before="79" w:line="360" w:lineRule="auto"/>
              <w:ind w:left="125"/>
              <w:rPr>
                <w:rFonts w:hint="eastAsia" w:ascii="宋体" w:hAnsi="宋体" w:eastAsia="宋体" w:cs="宋体"/>
                <w:color w:val="auto"/>
                <w:sz w:val="21"/>
                <w:szCs w:val="21"/>
              </w:rPr>
            </w:pPr>
          </w:p>
          <w:p w14:paraId="332AB7F0">
            <w:pPr>
              <w:pStyle w:val="116"/>
              <w:spacing w:before="79" w:line="360" w:lineRule="auto"/>
              <w:ind w:left="125"/>
              <w:rPr>
                <w:rFonts w:hint="eastAsia" w:ascii="宋体" w:hAnsi="宋体" w:eastAsia="宋体" w:cs="宋体"/>
                <w:color w:val="auto"/>
                <w:sz w:val="21"/>
                <w:szCs w:val="21"/>
              </w:rPr>
            </w:pPr>
          </w:p>
          <w:p w14:paraId="4BEC74E3">
            <w:pPr>
              <w:pStyle w:val="116"/>
              <w:spacing w:before="79" w:line="360" w:lineRule="auto"/>
              <w:ind w:left="125"/>
              <w:rPr>
                <w:rFonts w:hint="eastAsia" w:ascii="宋体" w:hAnsi="宋体" w:eastAsia="宋体" w:cs="宋体"/>
                <w:color w:val="auto"/>
                <w:sz w:val="21"/>
                <w:szCs w:val="21"/>
              </w:rPr>
            </w:pPr>
          </w:p>
          <w:p w14:paraId="546694DE">
            <w:pPr>
              <w:pStyle w:val="116"/>
              <w:spacing w:before="79" w:line="360" w:lineRule="auto"/>
              <w:ind w:left="125"/>
              <w:rPr>
                <w:rFonts w:hint="eastAsia" w:ascii="宋体" w:hAnsi="宋体" w:eastAsia="宋体" w:cs="宋体"/>
                <w:color w:val="auto"/>
                <w:sz w:val="21"/>
                <w:szCs w:val="21"/>
              </w:rPr>
            </w:pPr>
          </w:p>
          <w:p w14:paraId="0AFCD40E">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rPr>
              <w:t>用于实验室</w:t>
            </w:r>
          </w:p>
          <w:p w14:paraId="3E671C7E">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rPr>
              <w:t>鉴定水生生</w:t>
            </w:r>
          </w:p>
          <w:p w14:paraId="6417EBE7">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物常规观察</w:t>
            </w:r>
          </w:p>
        </w:tc>
        <w:tc>
          <w:tcPr>
            <w:tcW w:w="775" w:type="dxa"/>
            <w:shd w:val="clear" w:color="auto" w:fill="auto"/>
            <w:vAlign w:val="top"/>
          </w:tcPr>
          <w:p w14:paraId="5D555457">
            <w:pPr>
              <w:pStyle w:val="116"/>
              <w:spacing w:before="79" w:line="360" w:lineRule="auto"/>
              <w:ind w:left="125"/>
              <w:rPr>
                <w:rFonts w:hint="eastAsia" w:ascii="宋体" w:hAnsi="宋体" w:eastAsia="宋体" w:cs="宋体"/>
                <w:color w:val="auto"/>
                <w:sz w:val="21"/>
                <w:szCs w:val="21"/>
              </w:rPr>
            </w:pPr>
          </w:p>
          <w:p w14:paraId="4C81BA54">
            <w:pPr>
              <w:pStyle w:val="116"/>
              <w:spacing w:before="79" w:line="360" w:lineRule="auto"/>
              <w:ind w:left="125"/>
              <w:rPr>
                <w:rFonts w:hint="eastAsia" w:ascii="宋体" w:hAnsi="宋体" w:eastAsia="宋体" w:cs="宋体"/>
                <w:color w:val="auto"/>
                <w:sz w:val="21"/>
                <w:szCs w:val="21"/>
              </w:rPr>
            </w:pPr>
          </w:p>
          <w:p w14:paraId="5AAFDDBB">
            <w:pPr>
              <w:pStyle w:val="116"/>
              <w:spacing w:before="79" w:line="360" w:lineRule="auto"/>
              <w:ind w:left="125"/>
              <w:rPr>
                <w:rFonts w:hint="eastAsia" w:ascii="宋体" w:hAnsi="宋体" w:eastAsia="宋体" w:cs="宋体"/>
                <w:color w:val="auto"/>
                <w:sz w:val="21"/>
                <w:szCs w:val="21"/>
              </w:rPr>
            </w:pPr>
          </w:p>
          <w:p w14:paraId="6C808ACC">
            <w:pPr>
              <w:pStyle w:val="116"/>
              <w:spacing w:before="79" w:line="360" w:lineRule="auto"/>
              <w:ind w:left="125"/>
              <w:rPr>
                <w:rFonts w:hint="eastAsia" w:ascii="宋体" w:hAnsi="宋体" w:eastAsia="宋体" w:cs="宋体"/>
                <w:color w:val="auto"/>
                <w:sz w:val="21"/>
                <w:szCs w:val="21"/>
              </w:rPr>
            </w:pPr>
          </w:p>
          <w:p w14:paraId="4E91D4BA">
            <w:pPr>
              <w:pStyle w:val="116"/>
              <w:spacing w:before="79" w:line="360" w:lineRule="auto"/>
              <w:ind w:left="125"/>
              <w:rPr>
                <w:rFonts w:hint="eastAsia" w:ascii="宋体" w:hAnsi="宋体" w:eastAsia="宋体" w:cs="宋体"/>
                <w:color w:val="auto"/>
                <w:sz w:val="21"/>
                <w:szCs w:val="21"/>
              </w:rPr>
            </w:pPr>
          </w:p>
          <w:p w14:paraId="253BD25D">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套</w:t>
            </w:r>
          </w:p>
        </w:tc>
        <w:tc>
          <w:tcPr>
            <w:tcW w:w="667" w:type="dxa"/>
            <w:shd w:val="clear" w:color="auto" w:fill="auto"/>
            <w:vAlign w:val="top"/>
          </w:tcPr>
          <w:p w14:paraId="024D7E5E">
            <w:pPr>
              <w:pStyle w:val="116"/>
              <w:spacing w:before="79" w:line="360" w:lineRule="auto"/>
              <w:ind w:left="125"/>
              <w:rPr>
                <w:rFonts w:hint="eastAsia" w:ascii="宋体" w:hAnsi="宋体" w:eastAsia="宋体" w:cs="宋体"/>
                <w:color w:val="auto"/>
                <w:sz w:val="21"/>
                <w:szCs w:val="21"/>
              </w:rPr>
            </w:pPr>
          </w:p>
          <w:p w14:paraId="011735DE">
            <w:pPr>
              <w:pStyle w:val="116"/>
              <w:spacing w:before="79" w:line="360" w:lineRule="auto"/>
              <w:ind w:left="125"/>
              <w:rPr>
                <w:rFonts w:hint="eastAsia" w:ascii="宋体" w:hAnsi="宋体" w:eastAsia="宋体" w:cs="宋体"/>
                <w:color w:val="auto"/>
                <w:sz w:val="21"/>
                <w:szCs w:val="21"/>
              </w:rPr>
            </w:pPr>
          </w:p>
          <w:p w14:paraId="55EB3DD2">
            <w:pPr>
              <w:pStyle w:val="116"/>
              <w:spacing w:before="79" w:line="360" w:lineRule="auto"/>
              <w:ind w:left="125"/>
              <w:rPr>
                <w:rFonts w:hint="eastAsia" w:ascii="宋体" w:hAnsi="宋体" w:eastAsia="宋体" w:cs="宋体"/>
                <w:color w:val="auto"/>
                <w:sz w:val="21"/>
                <w:szCs w:val="21"/>
              </w:rPr>
            </w:pPr>
          </w:p>
          <w:p w14:paraId="19E369BA">
            <w:pPr>
              <w:pStyle w:val="116"/>
              <w:spacing w:before="79" w:line="360" w:lineRule="auto"/>
              <w:ind w:left="125"/>
              <w:rPr>
                <w:rFonts w:hint="eastAsia" w:ascii="宋体" w:hAnsi="宋体" w:eastAsia="宋体" w:cs="宋体"/>
                <w:color w:val="auto"/>
                <w:sz w:val="21"/>
                <w:szCs w:val="21"/>
              </w:rPr>
            </w:pPr>
          </w:p>
          <w:p w14:paraId="5533D2A5">
            <w:pPr>
              <w:pStyle w:val="116"/>
              <w:spacing w:before="79" w:line="360" w:lineRule="auto"/>
              <w:ind w:left="125"/>
              <w:rPr>
                <w:rFonts w:hint="eastAsia" w:ascii="宋体" w:hAnsi="宋体" w:eastAsia="宋体" w:cs="宋体"/>
                <w:color w:val="auto"/>
                <w:sz w:val="21"/>
                <w:szCs w:val="21"/>
              </w:rPr>
            </w:pPr>
          </w:p>
          <w:p w14:paraId="3C0DC9F5">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1</w:t>
            </w:r>
          </w:p>
        </w:tc>
        <w:tc>
          <w:tcPr>
            <w:tcW w:w="8047" w:type="dxa"/>
            <w:shd w:val="clear" w:color="auto" w:fill="auto"/>
            <w:vAlign w:val="top"/>
          </w:tcPr>
          <w:p w14:paraId="0AF71E36">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1、目镜:高眼点大视野平场目镜PL10X/22mm，视度可调</w:t>
            </w:r>
          </w:p>
          <w:p w14:paraId="5B5F6010">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2、观察头:可调仰角三通观察头，倾角可调范围5°-45°，两档光路选择（100%双目或100%三目），瞳距调节范围50-76mm，固定式目镜筒，带目镜锁紧装置。</w:t>
            </w:r>
          </w:p>
          <w:p w14:paraId="39215A0D">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3、变倍筒组:连续变倍物镜0.63-8X，变倍比12.5：1，内置孔径光阑；带主要倍率定位机构，可手动解除；主要倍率刻度指示0.63X、0.8X、1X、1.25X、1.6X、2X、2.5X、3.2X、4X、5X、6.3X、8X。</w:t>
            </w:r>
          </w:p>
          <w:p w14:paraId="7CCF8F7F">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4、光学总放大倍率：6.3X-80X</w:t>
            </w:r>
          </w:p>
          <w:p w14:paraId="54559805">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5、主物镜：复消色差设计，1X主物镜，工作距离≥80mm。</w:t>
            </w:r>
          </w:p>
          <w:p w14:paraId="61A8C289">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6、调焦托架组：立臂式粗微调同轴调焦机构，托架镜体一体式，调焦行程50mm，微调精度0.002mm。</w:t>
            </w:r>
          </w:p>
          <w:p w14:paraId="24757F4C">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7、反射灯源：LED 环型灯（200 颗）</w:t>
            </w:r>
          </w:p>
          <w:p w14:paraId="4EB3C67E">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8、透射光源：外置式 5W LED光纤照明，配合带透射斜照明功能机构 ，反光镜可 360°旋转切换（反光面及漫反射面），可前置后置调节。</w:t>
            </w:r>
          </w:p>
          <w:p w14:paraId="2ACFE811">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、成像系统：≥2000万像素。传感器尺寸：≥1”。最大分辨率：≥@5440x3648，逐行扫描，具有自动曝光、自动白平衡功能；USB3.0纯数码输出。配套显微镜原厂图像分析软件。</w:t>
            </w:r>
          </w:p>
          <w:p w14:paraId="6B8112E3">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自动</w:t>
            </w:r>
            <w:r>
              <w:rPr>
                <w:rFonts w:hint="eastAsia" w:ascii="宋体" w:hAnsi="宋体" w:eastAsia="宋体" w:cs="宋体"/>
                <w:color w:val="auto"/>
                <w:sz w:val="21"/>
                <w:szCs w:val="21"/>
                <w:lang w:val="en-US" w:eastAsia="zh-CN"/>
              </w:rPr>
              <w:t>数据</w:t>
            </w:r>
            <w:r>
              <w:rPr>
                <w:rFonts w:hint="eastAsia" w:ascii="宋体" w:hAnsi="宋体" w:eastAsia="宋体" w:cs="宋体"/>
                <w:color w:val="auto"/>
                <w:sz w:val="21"/>
                <w:szCs w:val="21"/>
              </w:rPr>
              <w:t>生成：支持多格式导出（PDF、Excel等），包含标注图像、统计数据和分析图表，方便科研文档整理与分享。</w:t>
            </w:r>
          </w:p>
          <w:p w14:paraId="79EAC71C">
            <w:pPr>
              <w:pStyle w:val="116"/>
              <w:spacing w:before="79" w:line="360" w:lineRule="auto"/>
              <w:ind w:left="125" w:leftChars="0"/>
              <w:rPr>
                <w:rFonts w:hint="eastAsia" w:ascii="宋体" w:hAnsi="宋体" w:eastAsia="宋体" w:cs="宋体"/>
                <w:kern w:val="2"/>
                <w:sz w:val="21"/>
                <w:szCs w:val="21"/>
                <w:lang w:val="en-US" w:eastAsia="en-US"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1</w:t>
            </w:r>
            <w:r>
              <w:rPr>
                <w:rFonts w:hint="eastAsia" w:ascii="宋体" w:hAnsi="宋体" w:eastAsia="宋体" w:cs="宋体"/>
                <w:sz w:val="21"/>
                <w:szCs w:val="21"/>
              </w:rPr>
              <w:t>、配套工作站：配置不低于：处理器：I5-12400，运行内存：16G，内存：1TB SSD，Win10及以上操作系统，23.8寸高清显示器，配备全套键盘、鼠标。</w:t>
            </w:r>
          </w:p>
        </w:tc>
      </w:tr>
      <w:tr w14:paraId="2F43E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726" w:type="dxa"/>
            <w:shd w:val="clear" w:color="auto" w:fill="auto"/>
            <w:vAlign w:val="center"/>
          </w:tcPr>
          <w:p w14:paraId="3071C2F1">
            <w:pPr>
              <w:pStyle w:val="116"/>
              <w:spacing w:before="79" w:line="360" w:lineRule="auto"/>
              <w:ind w:left="125"/>
              <w:jc w:val="center"/>
              <w:rPr>
                <w:rFonts w:hint="eastAsia" w:ascii="宋体" w:hAnsi="宋体" w:eastAsia="宋体" w:cs="宋体"/>
                <w:color w:val="auto"/>
                <w:sz w:val="21"/>
                <w:szCs w:val="21"/>
              </w:rPr>
            </w:pPr>
          </w:p>
          <w:p w14:paraId="33F3A96A">
            <w:pPr>
              <w:pStyle w:val="116"/>
              <w:spacing w:before="79" w:line="360" w:lineRule="auto"/>
              <w:ind w:left="125"/>
              <w:jc w:val="center"/>
              <w:rPr>
                <w:rFonts w:hint="eastAsia" w:ascii="宋体" w:hAnsi="宋体" w:eastAsia="宋体" w:cs="宋体"/>
                <w:color w:val="auto"/>
                <w:sz w:val="21"/>
                <w:szCs w:val="21"/>
              </w:rPr>
            </w:pPr>
          </w:p>
          <w:p w14:paraId="1B756667">
            <w:pPr>
              <w:pStyle w:val="116"/>
              <w:spacing w:before="79" w:line="360" w:lineRule="auto"/>
              <w:ind w:left="125"/>
              <w:jc w:val="center"/>
              <w:rPr>
                <w:rFonts w:hint="eastAsia" w:ascii="宋体" w:hAnsi="宋体" w:eastAsia="宋体" w:cs="宋体"/>
                <w:color w:val="auto"/>
                <w:sz w:val="21"/>
                <w:szCs w:val="21"/>
              </w:rPr>
            </w:pPr>
          </w:p>
          <w:p w14:paraId="043C6B0B">
            <w:pPr>
              <w:pStyle w:val="116"/>
              <w:spacing w:before="79" w:line="360" w:lineRule="auto"/>
              <w:ind w:left="125"/>
              <w:jc w:val="center"/>
              <w:rPr>
                <w:rFonts w:hint="eastAsia" w:ascii="宋体" w:hAnsi="宋体" w:eastAsia="宋体" w:cs="宋体"/>
                <w:color w:val="auto"/>
                <w:sz w:val="21"/>
                <w:szCs w:val="21"/>
              </w:rPr>
            </w:pPr>
          </w:p>
          <w:p w14:paraId="4A66225A">
            <w:pPr>
              <w:pStyle w:val="116"/>
              <w:spacing w:before="79" w:line="360" w:lineRule="auto"/>
              <w:ind w:left="125"/>
              <w:jc w:val="center"/>
              <w:rPr>
                <w:rFonts w:hint="eastAsia" w:ascii="宋体" w:hAnsi="宋体" w:eastAsia="宋体" w:cs="宋体"/>
                <w:color w:val="auto"/>
                <w:sz w:val="21"/>
                <w:szCs w:val="21"/>
              </w:rPr>
            </w:pPr>
          </w:p>
          <w:p w14:paraId="73C972A8">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15</w:t>
            </w:r>
          </w:p>
        </w:tc>
        <w:tc>
          <w:tcPr>
            <w:tcW w:w="2024" w:type="dxa"/>
            <w:shd w:val="clear" w:color="auto" w:fill="auto"/>
            <w:vAlign w:val="center"/>
          </w:tcPr>
          <w:p w14:paraId="59A1EE30">
            <w:pPr>
              <w:pStyle w:val="116"/>
              <w:spacing w:before="79" w:line="360" w:lineRule="auto"/>
              <w:ind w:left="125"/>
              <w:jc w:val="center"/>
              <w:rPr>
                <w:rFonts w:hint="eastAsia" w:ascii="宋体" w:hAnsi="宋体" w:eastAsia="宋体" w:cs="宋体"/>
                <w:color w:val="auto"/>
                <w:sz w:val="21"/>
                <w:szCs w:val="21"/>
              </w:rPr>
            </w:pPr>
          </w:p>
          <w:p w14:paraId="519ABA95">
            <w:pPr>
              <w:pStyle w:val="116"/>
              <w:spacing w:before="79" w:line="360" w:lineRule="auto"/>
              <w:ind w:left="125"/>
              <w:jc w:val="center"/>
              <w:rPr>
                <w:rFonts w:hint="eastAsia" w:ascii="宋体" w:hAnsi="宋体" w:eastAsia="宋体" w:cs="宋体"/>
                <w:color w:val="auto"/>
                <w:sz w:val="21"/>
                <w:szCs w:val="21"/>
              </w:rPr>
            </w:pPr>
          </w:p>
          <w:p w14:paraId="1AA3F431">
            <w:pPr>
              <w:pStyle w:val="116"/>
              <w:spacing w:before="79" w:line="360" w:lineRule="auto"/>
              <w:ind w:left="125"/>
              <w:jc w:val="center"/>
              <w:rPr>
                <w:rFonts w:hint="eastAsia" w:ascii="宋体" w:hAnsi="宋体" w:eastAsia="宋体" w:cs="宋体"/>
                <w:color w:val="auto"/>
                <w:sz w:val="21"/>
                <w:szCs w:val="21"/>
              </w:rPr>
            </w:pPr>
          </w:p>
          <w:p w14:paraId="60D5D5E2">
            <w:pPr>
              <w:pStyle w:val="116"/>
              <w:spacing w:before="79" w:line="360" w:lineRule="auto"/>
              <w:ind w:left="125"/>
              <w:jc w:val="center"/>
              <w:rPr>
                <w:rFonts w:hint="eastAsia" w:ascii="宋体" w:hAnsi="宋体" w:eastAsia="宋体" w:cs="宋体"/>
                <w:color w:val="auto"/>
                <w:sz w:val="21"/>
                <w:szCs w:val="21"/>
              </w:rPr>
            </w:pPr>
          </w:p>
          <w:p w14:paraId="162800A1">
            <w:pPr>
              <w:pStyle w:val="116"/>
              <w:spacing w:before="79" w:line="360" w:lineRule="auto"/>
              <w:ind w:left="125" w:lef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全自动化高清成像显微镜</w:t>
            </w:r>
          </w:p>
        </w:tc>
        <w:tc>
          <w:tcPr>
            <w:tcW w:w="1424" w:type="dxa"/>
            <w:shd w:val="clear" w:color="auto" w:fill="auto"/>
            <w:vAlign w:val="center"/>
          </w:tcPr>
          <w:p w14:paraId="7B642028">
            <w:pPr>
              <w:pStyle w:val="116"/>
              <w:spacing w:before="79" w:line="360" w:lineRule="auto"/>
              <w:ind w:left="125"/>
              <w:jc w:val="center"/>
              <w:rPr>
                <w:rFonts w:hint="eastAsia" w:ascii="宋体" w:hAnsi="宋体" w:eastAsia="宋体" w:cs="宋体"/>
                <w:color w:val="auto"/>
                <w:sz w:val="21"/>
                <w:szCs w:val="21"/>
              </w:rPr>
            </w:pPr>
          </w:p>
          <w:p w14:paraId="1DADF133">
            <w:pPr>
              <w:pStyle w:val="116"/>
              <w:spacing w:before="79" w:line="360" w:lineRule="auto"/>
              <w:ind w:left="125"/>
              <w:jc w:val="center"/>
              <w:rPr>
                <w:rFonts w:hint="eastAsia" w:ascii="宋体" w:hAnsi="宋体" w:eastAsia="宋体" w:cs="宋体"/>
                <w:color w:val="auto"/>
                <w:sz w:val="21"/>
                <w:szCs w:val="21"/>
              </w:rPr>
            </w:pPr>
          </w:p>
          <w:p w14:paraId="5E4D94D3">
            <w:pPr>
              <w:pStyle w:val="116"/>
              <w:spacing w:before="79" w:line="360" w:lineRule="auto"/>
              <w:ind w:left="125"/>
              <w:jc w:val="center"/>
              <w:rPr>
                <w:rFonts w:hint="eastAsia" w:ascii="宋体" w:hAnsi="宋体" w:eastAsia="宋体" w:cs="宋体"/>
                <w:color w:val="auto"/>
                <w:sz w:val="21"/>
                <w:szCs w:val="21"/>
              </w:rPr>
            </w:pPr>
            <w:r>
              <w:rPr>
                <w:rFonts w:hint="eastAsia" w:ascii="宋体" w:hAnsi="宋体" w:eastAsia="宋体" w:cs="宋体"/>
                <w:color w:val="auto"/>
                <w:sz w:val="21"/>
                <w:szCs w:val="21"/>
              </w:rPr>
              <w:t>用于实验室</w:t>
            </w:r>
          </w:p>
          <w:p w14:paraId="2BE9A3E9">
            <w:pPr>
              <w:pStyle w:val="116"/>
              <w:spacing w:before="79" w:line="360" w:lineRule="auto"/>
              <w:ind w:left="125"/>
              <w:jc w:val="center"/>
              <w:rPr>
                <w:rFonts w:hint="eastAsia" w:ascii="宋体" w:hAnsi="宋体" w:eastAsia="宋体" w:cs="宋体"/>
                <w:color w:val="auto"/>
                <w:sz w:val="21"/>
                <w:szCs w:val="21"/>
              </w:rPr>
            </w:pPr>
            <w:r>
              <w:rPr>
                <w:rFonts w:hint="eastAsia" w:ascii="宋体" w:hAnsi="宋体" w:eastAsia="宋体" w:cs="宋体"/>
                <w:color w:val="auto"/>
                <w:sz w:val="21"/>
                <w:szCs w:val="21"/>
              </w:rPr>
              <w:t>围观生物全</w:t>
            </w:r>
          </w:p>
          <w:p w14:paraId="7993877F">
            <w:pPr>
              <w:pStyle w:val="116"/>
              <w:spacing w:before="79" w:line="360" w:lineRule="auto"/>
              <w:ind w:left="125"/>
              <w:jc w:val="center"/>
              <w:rPr>
                <w:rFonts w:hint="eastAsia" w:ascii="宋体" w:hAnsi="宋体" w:eastAsia="宋体" w:cs="宋体"/>
                <w:color w:val="auto"/>
                <w:sz w:val="21"/>
                <w:szCs w:val="21"/>
              </w:rPr>
            </w:pPr>
            <w:r>
              <w:rPr>
                <w:rFonts w:hint="eastAsia" w:ascii="宋体" w:hAnsi="宋体" w:eastAsia="宋体" w:cs="宋体"/>
                <w:color w:val="auto"/>
                <w:sz w:val="21"/>
                <w:szCs w:val="21"/>
              </w:rPr>
              <w:t>自动高清鉴</w:t>
            </w:r>
          </w:p>
          <w:p w14:paraId="73CC19FE">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定分类成像</w:t>
            </w:r>
          </w:p>
        </w:tc>
        <w:tc>
          <w:tcPr>
            <w:tcW w:w="775" w:type="dxa"/>
            <w:shd w:val="clear" w:color="auto" w:fill="auto"/>
            <w:vAlign w:val="center"/>
          </w:tcPr>
          <w:p w14:paraId="507BCCAF">
            <w:pPr>
              <w:pStyle w:val="116"/>
              <w:spacing w:before="79" w:line="360" w:lineRule="auto"/>
              <w:ind w:left="125"/>
              <w:jc w:val="center"/>
              <w:rPr>
                <w:rFonts w:hint="eastAsia" w:ascii="宋体" w:hAnsi="宋体" w:eastAsia="宋体" w:cs="宋体"/>
                <w:color w:val="auto"/>
                <w:sz w:val="21"/>
                <w:szCs w:val="21"/>
              </w:rPr>
            </w:pPr>
          </w:p>
          <w:p w14:paraId="6D9E9DB6">
            <w:pPr>
              <w:pStyle w:val="116"/>
              <w:spacing w:before="79" w:line="360" w:lineRule="auto"/>
              <w:ind w:left="125"/>
              <w:jc w:val="center"/>
              <w:rPr>
                <w:rFonts w:hint="eastAsia" w:ascii="宋体" w:hAnsi="宋体" w:eastAsia="宋体" w:cs="宋体"/>
                <w:color w:val="auto"/>
                <w:sz w:val="21"/>
                <w:szCs w:val="21"/>
              </w:rPr>
            </w:pPr>
          </w:p>
          <w:p w14:paraId="0CAB22AD">
            <w:pPr>
              <w:pStyle w:val="116"/>
              <w:spacing w:before="79" w:line="360" w:lineRule="auto"/>
              <w:ind w:left="125"/>
              <w:jc w:val="center"/>
              <w:rPr>
                <w:rFonts w:hint="eastAsia" w:ascii="宋体" w:hAnsi="宋体" w:eastAsia="宋体" w:cs="宋体"/>
                <w:color w:val="auto"/>
                <w:sz w:val="21"/>
                <w:szCs w:val="21"/>
              </w:rPr>
            </w:pPr>
          </w:p>
          <w:p w14:paraId="74BC2597">
            <w:pPr>
              <w:pStyle w:val="116"/>
              <w:spacing w:before="79" w:line="360" w:lineRule="auto"/>
              <w:ind w:left="125"/>
              <w:jc w:val="center"/>
              <w:rPr>
                <w:rFonts w:hint="eastAsia" w:ascii="宋体" w:hAnsi="宋体" w:eastAsia="宋体" w:cs="宋体"/>
                <w:color w:val="auto"/>
                <w:sz w:val="21"/>
                <w:szCs w:val="21"/>
              </w:rPr>
            </w:pPr>
          </w:p>
          <w:p w14:paraId="2CF1D1A1">
            <w:pPr>
              <w:pStyle w:val="116"/>
              <w:spacing w:before="79" w:line="360" w:lineRule="auto"/>
              <w:ind w:left="125"/>
              <w:jc w:val="center"/>
              <w:rPr>
                <w:rFonts w:hint="eastAsia" w:ascii="宋体" w:hAnsi="宋体" w:eastAsia="宋体" w:cs="宋体"/>
                <w:color w:val="auto"/>
                <w:sz w:val="21"/>
                <w:szCs w:val="21"/>
              </w:rPr>
            </w:pPr>
          </w:p>
          <w:p w14:paraId="58A973A6">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台</w:t>
            </w:r>
          </w:p>
        </w:tc>
        <w:tc>
          <w:tcPr>
            <w:tcW w:w="667" w:type="dxa"/>
            <w:shd w:val="clear" w:color="auto" w:fill="auto"/>
            <w:vAlign w:val="center"/>
          </w:tcPr>
          <w:p w14:paraId="5179B2E5">
            <w:pPr>
              <w:pStyle w:val="116"/>
              <w:spacing w:before="79" w:line="360" w:lineRule="auto"/>
              <w:ind w:left="125"/>
              <w:jc w:val="center"/>
              <w:rPr>
                <w:rFonts w:hint="eastAsia" w:ascii="宋体" w:hAnsi="宋体" w:eastAsia="宋体" w:cs="宋体"/>
                <w:color w:val="auto"/>
                <w:sz w:val="21"/>
                <w:szCs w:val="21"/>
              </w:rPr>
            </w:pPr>
          </w:p>
          <w:p w14:paraId="640DF696">
            <w:pPr>
              <w:pStyle w:val="116"/>
              <w:spacing w:before="79" w:line="360" w:lineRule="auto"/>
              <w:ind w:left="125"/>
              <w:jc w:val="center"/>
              <w:rPr>
                <w:rFonts w:hint="eastAsia" w:ascii="宋体" w:hAnsi="宋体" w:eastAsia="宋体" w:cs="宋体"/>
                <w:color w:val="auto"/>
                <w:sz w:val="21"/>
                <w:szCs w:val="21"/>
              </w:rPr>
            </w:pPr>
          </w:p>
          <w:p w14:paraId="5D96F477">
            <w:pPr>
              <w:pStyle w:val="116"/>
              <w:spacing w:before="79" w:line="360" w:lineRule="auto"/>
              <w:ind w:left="125"/>
              <w:jc w:val="center"/>
              <w:rPr>
                <w:rFonts w:hint="eastAsia" w:ascii="宋体" w:hAnsi="宋体" w:eastAsia="宋体" w:cs="宋体"/>
                <w:color w:val="auto"/>
                <w:sz w:val="21"/>
                <w:szCs w:val="21"/>
              </w:rPr>
            </w:pPr>
          </w:p>
          <w:p w14:paraId="037A0083">
            <w:pPr>
              <w:pStyle w:val="116"/>
              <w:spacing w:before="79" w:line="360" w:lineRule="auto"/>
              <w:ind w:left="125"/>
              <w:jc w:val="center"/>
              <w:rPr>
                <w:rFonts w:hint="eastAsia" w:ascii="宋体" w:hAnsi="宋体" w:eastAsia="宋体" w:cs="宋体"/>
                <w:color w:val="auto"/>
                <w:sz w:val="21"/>
                <w:szCs w:val="21"/>
              </w:rPr>
            </w:pPr>
          </w:p>
          <w:p w14:paraId="76353C22">
            <w:pPr>
              <w:pStyle w:val="116"/>
              <w:spacing w:before="79" w:line="360" w:lineRule="auto"/>
              <w:ind w:left="125"/>
              <w:jc w:val="center"/>
              <w:rPr>
                <w:rFonts w:hint="eastAsia" w:ascii="宋体" w:hAnsi="宋体" w:eastAsia="宋体" w:cs="宋体"/>
                <w:color w:val="auto"/>
                <w:sz w:val="21"/>
                <w:szCs w:val="21"/>
              </w:rPr>
            </w:pPr>
          </w:p>
          <w:p w14:paraId="59D2A67D">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1</w:t>
            </w:r>
          </w:p>
        </w:tc>
        <w:tc>
          <w:tcPr>
            <w:tcW w:w="8047" w:type="dxa"/>
            <w:shd w:val="clear" w:color="auto" w:fill="auto"/>
            <w:vAlign w:val="top"/>
          </w:tcPr>
          <w:p w14:paraId="0E6EF999">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观察筒：20°~45°可调倾角，瞳距调节范围：50~76 mm。</w:t>
            </w:r>
          </w:p>
          <w:p w14:paraId="5F3C9DEA">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目镜：高眼点大视野平场目镜PL10X/22 mm，视度可调。</w:t>
            </w:r>
          </w:p>
          <w:p w14:paraId="3EE40B84">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转换器：电动明场6孔转换器（带DIC插槽）。</w:t>
            </w:r>
          </w:p>
          <w:p w14:paraId="4B1E5976">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 xml:space="preserve">三层复合电动平台：平台尺寸≥350 mm×200 mm，平台行程≥114 mm ×75 mm，最大速度：≥100 mm/s。 </w:t>
            </w:r>
          </w:p>
          <w:p w14:paraId="11451D1D">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物镜：齐焦距离≤45 mm，FOV≥22 mm，色差校正范围400-1000nm；</w:t>
            </w:r>
          </w:p>
          <w:p w14:paraId="7E5E6E66">
            <w:pPr>
              <w:pStyle w:val="116"/>
              <w:spacing w:before="79" w:line="360" w:lineRule="auto"/>
              <w:ind w:left="125"/>
              <w:rPr>
                <w:rFonts w:hint="eastAsia" w:ascii="宋体" w:hAnsi="宋体" w:eastAsia="宋体" w:cs="宋体"/>
                <w:sz w:val="21"/>
                <w:szCs w:val="21"/>
                <w:lang w:eastAsia="zh-CN"/>
              </w:rPr>
            </w:pPr>
            <w:r>
              <w:rPr>
                <w:rFonts w:hint="eastAsia" w:ascii="宋体" w:hAnsi="宋体" w:eastAsia="宋体" w:cs="宋体"/>
                <w:sz w:val="21"/>
                <w:szCs w:val="21"/>
              </w:rPr>
              <w:t>复消色差物镜</w:t>
            </w:r>
            <w:r>
              <w:rPr>
                <w:rFonts w:hint="eastAsia" w:ascii="宋体" w:hAnsi="宋体" w:eastAsia="宋体" w:cs="宋体"/>
                <w:sz w:val="21"/>
                <w:szCs w:val="21"/>
                <w:lang w:eastAsia="zh-CN"/>
              </w:rPr>
              <w:t>：</w:t>
            </w:r>
          </w:p>
          <w:p w14:paraId="692CC77E">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4X/NA≥0.16，WD≥12.8 mm</w:t>
            </w:r>
          </w:p>
          <w:p w14:paraId="166D615B">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10X/NA≥0.4，WD≥3.1 mm</w:t>
            </w:r>
          </w:p>
          <w:p w14:paraId="5773120D">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60X/NA≥1.42，WD≥0.17 mm</w:t>
            </w:r>
          </w:p>
          <w:p w14:paraId="197FBC43">
            <w:pPr>
              <w:pStyle w:val="116"/>
              <w:spacing w:before="79" w:line="360" w:lineRule="auto"/>
              <w:ind w:left="125"/>
              <w:rPr>
                <w:rFonts w:hint="eastAsia" w:ascii="宋体" w:hAnsi="宋体" w:eastAsia="宋体" w:cs="宋体"/>
                <w:sz w:val="21"/>
                <w:szCs w:val="21"/>
                <w:lang w:eastAsia="zh-CN"/>
              </w:rPr>
            </w:pPr>
            <w:r>
              <w:rPr>
                <w:rFonts w:hint="eastAsia" w:ascii="宋体" w:hAnsi="宋体" w:eastAsia="宋体" w:cs="宋体"/>
                <w:sz w:val="21"/>
                <w:szCs w:val="21"/>
              </w:rPr>
              <w:t>覆盖差可调物镜</w:t>
            </w:r>
            <w:r>
              <w:rPr>
                <w:rFonts w:hint="eastAsia" w:ascii="宋体" w:hAnsi="宋体" w:eastAsia="宋体" w:cs="宋体"/>
                <w:sz w:val="21"/>
                <w:szCs w:val="21"/>
                <w:lang w:eastAsia="zh-CN"/>
              </w:rPr>
              <w:t>：</w:t>
            </w:r>
          </w:p>
          <w:p w14:paraId="7488BDA6">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20X/NA≥0.45，WD=6.5-7.6 mm，覆盖差0-2 mm</w:t>
            </w:r>
          </w:p>
          <w:p w14:paraId="3393C6F0">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40X/NA≥0.60，WD=2.85-4.05 mm，覆盖差0-2 mm</w:t>
            </w:r>
          </w:p>
          <w:p w14:paraId="544000C5">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聚光镜：电动7孔聚光镜，NA≥0.55，WD≥27 mm；标配电动孔径光阑、电动转盘、电动起偏镜；支持明场、相衬观察。具有孔径光阑、转盘、起偏镜电动控制按钮，电脑与按键双控制。</w:t>
            </w:r>
          </w:p>
          <w:p w14:paraId="37CEFA22">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倒置式机架：电动调焦机构，Z轴行程 ≥10.5 mm，调焦精度≤10 nm。具有前置数字化显示屏，实时显示物镜倍率、透射照明亮度、荧光波段、输出等多个参数，可触摸屏完成荧光、相衬、明场观察方式的切换。</w:t>
            </w:r>
          </w:p>
          <w:p w14:paraId="2E74B67B">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可倾斜透射照明支架，透射柯拉照明系统，聚光镜托架升降可调，行程不小于 65mm，带有4组滤色片安装位置。</w:t>
            </w:r>
          </w:p>
          <w:p w14:paraId="01620B5B">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10W冷色LED光源。</w:t>
            </w:r>
          </w:p>
          <w:p w14:paraId="7DE03D9A">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电动八孔荧光转盘系统；单层荧光转盘电动孔位≥8个，可实现双层孔位数≥ 16 个滤色块。</w:t>
            </w:r>
          </w:p>
          <w:p w14:paraId="3646D306">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 xml:space="preserve"> 荧光光源：长寿命LED光源，≥4波段。10.3 荧光滤色片组:四组，分别为：B：EX480/30，DI505DC，EM535/40；G：EX560/40，DI600DC，EM635/60；UV：EX375/28，DI415DC，EM460/50；R:EX620/50，DI655，EM690/50。 </w:t>
            </w:r>
          </w:p>
          <w:p w14:paraId="35B4BB0D">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 xml:space="preserve"> DIC组件：透射DIC插板组、检偏镜组。    </w:t>
            </w:r>
          </w:p>
          <w:p w14:paraId="1EDC635E">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1</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结构光光学切片系统：双光路，可高频正弦条纹调制图像与焦平面图像干涉，去除离焦背景影响，轴向最高分辨率≤600 nm，栅格尺寸：≤40 μm；通光范围：400-750 nm；实现高清晰度的3D图像构建。</w:t>
            </w:r>
          </w:p>
          <w:p w14:paraId="7CCBDC57">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 xml:space="preserve"> SCMOS背照式黑白相机：全局像素数：2048×2048，400万有效物理像素；像素尺寸：6.5 μm × 6.5 μm；量子效率：95% @ 600 nm；帧速：100fps @CameraLink, 40fps @ USB 3.0；</w:t>
            </w:r>
          </w:p>
          <w:p w14:paraId="765D8404">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en-US"/>
              </w:rPr>
              <w:t>★</w:t>
            </w:r>
            <w:r>
              <w:rPr>
                <w:rFonts w:hint="eastAsia" w:ascii="宋体" w:hAnsi="宋体" w:eastAsia="宋体" w:cs="宋体"/>
                <w:sz w:val="21"/>
                <w:szCs w:val="21"/>
              </w:rPr>
              <w:t>1</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操作软件：</w:t>
            </w:r>
          </w:p>
          <w:p w14:paraId="023AB8B9">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硬件控制：</w:t>
            </w:r>
          </w:p>
          <w:p w14:paraId="22FA941D">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图形化人机交互控制，自动化控制成像流程，控制电动载物台，电动调焦，电动光路调整，控制相机，支持其它外围设备控制。</w:t>
            </w:r>
          </w:p>
          <w:p w14:paraId="0499B482">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图像采集：</w:t>
            </w:r>
          </w:p>
          <w:p w14:paraId="64FB0E7C">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 xml:space="preserve">实时采集，曝光时间，增益，阈值，伽马值，图像像素数控制，x、y、z、λ、t多维采集，自定义xyz，xyt，xyλ，xyzt，xyλt，xyzλt多种采集模式。支持实时伪彩加注、实时光密度、大图拼接、实时多通道叠加等。    </w:t>
            </w:r>
          </w:p>
          <w:p w14:paraId="26A43DC1">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图像处理：</w:t>
            </w:r>
          </w:p>
          <w:p w14:paraId="562607ED">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3D重建及显示，共定位联动，图像翻转，去背景，动态图像生成，堆栈处理，ROI处理。</w:t>
            </w:r>
          </w:p>
          <w:p w14:paraId="1AD4A1C8">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图像分析：</w:t>
            </w:r>
          </w:p>
          <w:p w14:paraId="2CE09C64">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rPr>
              <w:t>周长，面积，圆整度，最高灰阶，最小灰阶等参数分析，共定位分析，表面分析，细胞计数，分布分析，蛋白追踪，亚群分析。</w:t>
            </w:r>
          </w:p>
          <w:p w14:paraId="422EC91E">
            <w:pPr>
              <w:pStyle w:val="116"/>
              <w:numPr>
                <w:ilvl w:val="0"/>
                <w:numId w:val="0"/>
              </w:numPr>
              <w:spacing w:before="79"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en-US"/>
              </w:rPr>
              <w:t>★</w:t>
            </w:r>
            <w:r>
              <w:rPr>
                <w:rFonts w:hint="eastAsia" w:ascii="宋体" w:hAnsi="宋体" w:eastAsia="宋体" w:cs="宋体"/>
                <w:sz w:val="21"/>
                <w:szCs w:val="21"/>
                <w:lang w:val="en-US" w:eastAsia="zh-CN"/>
              </w:rPr>
              <w:t>16、</w:t>
            </w:r>
            <w:r>
              <w:rPr>
                <w:rFonts w:hint="eastAsia" w:ascii="宋体" w:hAnsi="宋体" w:eastAsia="宋体" w:cs="宋体"/>
                <w:sz w:val="21"/>
                <w:szCs w:val="21"/>
              </w:rPr>
              <w:t>专业细胞分析软件智能图像识别模块</w:t>
            </w:r>
            <w:r>
              <w:rPr>
                <w:rFonts w:hint="eastAsia" w:ascii="宋体" w:hAnsi="宋体" w:eastAsia="宋体" w:cs="宋体"/>
                <w:sz w:val="21"/>
                <w:szCs w:val="21"/>
                <w:lang w:eastAsia="zh-CN"/>
              </w:rPr>
              <w:t>：</w:t>
            </w:r>
          </w:p>
          <w:p w14:paraId="29C11C0F">
            <w:pPr>
              <w:pStyle w:val="116"/>
              <w:spacing w:before="79" w:line="360" w:lineRule="auto"/>
              <w:ind w:left="125" w:firstLine="210" w:firstLineChars="100"/>
              <w:rPr>
                <w:rFonts w:hint="eastAsia" w:ascii="宋体" w:hAnsi="宋体" w:eastAsia="宋体" w:cs="宋体"/>
                <w:sz w:val="21"/>
                <w:szCs w:val="21"/>
              </w:rPr>
            </w:pPr>
            <w:r>
              <w:rPr>
                <w:rFonts w:hint="eastAsia" w:ascii="宋体" w:hAnsi="宋体" w:eastAsia="宋体" w:cs="宋体"/>
                <w:sz w:val="21"/>
                <w:szCs w:val="21"/>
              </w:rPr>
              <w:t>自动目标识别与精准轮廓标注：结合传统图像处理算法与深度学习模型，自动检测并标注细胞及其亚结构边界，适应不同类型、形态和对比度的细胞图像。</w:t>
            </w:r>
          </w:p>
          <w:p w14:paraId="3BB27EF2">
            <w:pPr>
              <w:pStyle w:val="116"/>
              <w:spacing w:before="79" w:line="360" w:lineRule="auto"/>
              <w:ind w:left="125" w:firstLine="420" w:firstLineChars="200"/>
              <w:rPr>
                <w:rFonts w:hint="eastAsia" w:ascii="宋体" w:hAnsi="宋体" w:eastAsia="宋体" w:cs="宋体"/>
                <w:sz w:val="21"/>
                <w:szCs w:val="21"/>
              </w:rPr>
            </w:pPr>
            <w:r>
              <w:rPr>
                <w:rFonts w:hint="eastAsia" w:ascii="宋体" w:hAnsi="宋体" w:eastAsia="宋体" w:cs="宋体"/>
                <w:sz w:val="21"/>
                <w:szCs w:val="21"/>
              </w:rPr>
              <w:t>机器学习模型：通过内置机器学习模块，对细胞或颗粒进行多类别分类和筛选，支持自定义训练与优化。</w:t>
            </w:r>
          </w:p>
          <w:p w14:paraId="5344FAD6">
            <w:pPr>
              <w:pStyle w:val="116"/>
              <w:spacing w:before="79" w:line="360" w:lineRule="auto"/>
              <w:ind w:left="125" w:firstLine="420" w:firstLineChars="200"/>
              <w:rPr>
                <w:rFonts w:hint="eastAsia" w:ascii="宋体" w:hAnsi="宋体" w:eastAsia="宋体" w:cs="宋体"/>
                <w:sz w:val="21"/>
                <w:szCs w:val="21"/>
              </w:rPr>
            </w:pPr>
            <w:r>
              <w:rPr>
                <w:rFonts w:hint="eastAsia" w:ascii="宋体" w:hAnsi="宋体" w:eastAsia="宋体" w:cs="宋体"/>
                <w:sz w:val="21"/>
                <w:szCs w:val="21"/>
              </w:rPr>
              <w:t>深度学习AI模型（需要硬件支持）：支持多细胞类型的泛化分割，极大提升复杂背景和细胞聚集区域的识别准确率。</w:t>
            </w:r>
          </w:p>
          <w:p w14:paraId="343E6604">
            <w:pPr>
              <w:pStyle w:val="116"/>
              <w:spacing w:before="79" w:line="360" w:lineRule="auto"/>
              <w:ind w:left="125"/>
              <w:rPr>
                <w:rFonts w:hint="eastAsia" w:ascii="宋体" w:hAnsi="宋体" w:eastAsia="宋体" w:cs="宋体"/>
                <w:sz w:val="21"/>
                <w:szCs w:val="21"/>
                <w:lang w:eastAsia="zh-CN"/>
              </w:rPr>
            </w:pPr>
            <w:r>
              <w:rPr>
                <w:rFonts w:hint="eastAsia" w:ascii="宋体" w:hAnsi="宋体" w:eastAsia="宋体" w:cs="宋体"/>
                <w:sz w:val="21"/>
                <w:szCs w:val="21"/>
                <w:lang w:val="en-US" w:eastAsia="zh-CN"/>
              </w:rPr>
              <w:t>17、</w:t>
            </w:r>
            <w:r>
              <w:rPr>
                <w:rFonts w:hint="eastAsia" w:ascii="宋体" w:hAnsi="宋体" w:eastAsia="宋体" w:cs="宋体"/>
                <w:sz w:val="21"/>
                <w:szCs w:val="21"/>
              </w:rPr>
              <w:t>高通量批量处理能力</w:t>
            </w:r>
            <w:r>
              <w:rPr>
                <w:rFonts w:hint="eastAsia" w:ascii="宋体" w:hAnsi="宋体" w:eastAsia="宋体" w:cs="宋体"/>
                <w:sz w:val="21"/>
                <w:szCs w:val="21"/>
                <w:lang w:eastAsia="zh-CN"/>
              </w:rPr>
              <w:t>：</w:t>
            </w:r>
          </w:p>
          <w:p w14:paraId="7C6CAD30">
            <w:pPr>
              <w:pStyle w:val="116"/>
              <w:spacing w:before="79" w:line="360" w:lineRule="auto"/>
              <w:ind w:left="210" w:leftChars="100" w:firstLine="210" w:firstLineChars="100"/>
              <w:rPr>
                <w:rFonts w:hint="eastAsia" w:ascii="宋体" w:hAnsi="宋体" w:eastAsia="宋体" w:cs="宋体"/>
                <w:sz w:val="21"/>
                <w:szCs w:val="21"/>
              </w:rPr>
            </w:pPr>
            <w:r>
              <w:rPr>
                <w:rFonts w:hint="eastAsia" w:ascii="宋体" w:hAnsi="宋体" w:eastAsia="宋体" w:cs="宋体"/>
                <w:sz w:val="21"/>
                <w:szCs w:val="21"/>
              </w:rPr>
              <w:t>一键批量导入与自动分析：支持同时处理数百至数千张显微图像，自动完成图像预处理、分割和定量测量，极大缩短实验周期。</w:t>
            </w:r>
          </w:p>
          <w:p w14:paraId="1FBCCC52">
            <w:pPr>
              <w:pStyle w:val="116"/>
              <w:spacing w:before="79" w:line="360" w:lineRule="auto"/>
              <w:ind w:left="125" w:leftChars="0" w:firstLine="294" w:firstLineChars="140"/>
              <w:rPr>
                <w:rFonts w:hint="eastAsia" w:ascii="宋体" w:hAnsi="宋体" w:eastAsia="宋体" w:cs="宋体"/>
                <w:sz w:val="21"/>
                <w:szCs w:val="21"/>
              </w:rPr>
            </w:pPr>
            <w:r>
              <w:rPr>
                <w:rFonts w:hint="eastAsia" w:ascii="宋体" w:hAnsi="宋体" w:eastAsia="宋体" w:cs="宋体"/>
                <w:sz w:val="21"/>
                <w:szCs w:val="21"/>
              </w:rPr>
              <w:t>统一数据汇总与多维统计分析：自动合并批量分析结果，计算面积、直径、强度、形态等丰富统计指标。内置统计功能支持最大值、最小值、平均值及范围区间颗粒数量的详细统计，并可按分组维度分类汇总。</w:t>
            </w:r>
          </w:p>
          <w:p w14:paraId="4903CBA5">
            <w:pPr>
              <w:pStyle w:val="116"/>
              <w:spacing w:before="79" w:line="360" w:lineRule="auto"/>
              <w:ind w:left="125"/>
              <w:rPr>
                <w:rFonts w:hint="eastAsia" w:ascii="宋体" w:hAnsi="宋体" w:eastAsia="宋体" w:cs="宋体"/>
                <w:sz w:val="21"/>
                <w:szCs w:val="21"/>
              </w:rPr>
            </w:pPr>
            <w:r>
              <w:rPr>
                <w:rFonts w:hint="eastAsia" w:ascii="宋体" w:hAnsi="宋体" w:eastAsia="宋体" w:cs="宋体"/>
                <w:sz w:val="21"/>
                <w:szCs w:val="21"/>
                <w:lang w:val="en-US" w:eastAsia="zh-CN"/>
              </w:rPr>
              <w:t>18、</w:t>
            </w:r>
            <w:r>
              <w:rPr>
                <w:rFonts w:hint="eastAsia" w:ascii="宋体" w:hAnsi="宋体" w:eastAsia="宋体" w:cs="宋体"/>
                <w:sz w:val="21"/>
                <w:szCs w:val="21"/>
              </w:rPr>
              <w:t>自动报告生成：支持多格式导出（PDF、Excel等），包含标注图像、统计数据和分析图表，方便科研文档整理与分享。</w:t>
            </w:r>
          </w:p>
          <w:p w14:paraId="4C850074">
            <w:pPr>
              <w:pStyle w:val="116"/>
              <w:spacing w:before="79" w:line="360" w:lineRule="auto"/>
              <w:ind w:left="125"/>
              <w:rPr>
                <w:rFonts w:hint="eastAsia" w:ascii="宋体" w:hAnsi="宋体" w:eastAsia="宋体" w:cs="宋体"/>
                <w:sz w:val="21"/>
                <w:szCs w:val="21"/>
                <w:lang w:eastAsia="zh-CN"/>
              </w:rPr>
            </w:pPr>
            <w:r>
              <w:rPr>
                <w:rFonts w:hint="eastAsia" w:ascii="宋体" w:hAnsi="宋体" w:eastAsia="宋体" w:cs="宋体"/>
                <w:sz w:val="21"/>
                <w:szCs w:val="21"/>
                <w:lang w:val="en-US" w:eastAsia="zh-CN"/>
              </w:rPr>
              <w:t>19</w:t>
            </w:r>
            <w:r>
              <w:rPr>
                <w:rFonts w:hint="eastAsia" w:ascii="宋体" w:hAnsi="宋体" w:eastAsia="宋体" w:cs="宋体"/>
                <w:sz w:val="21"/>
                <w:szCs w:val="21"/>
              </w:rPr>
              <w:t>丰富的内置测量模块</w:t>
            </w:r>
            <w:r>
              <w:rPr>
                <w:rFonts w:hint="eastAsia" w:ascii="宋体" w:hAnsi="宋体" w:eastAsia="宋体" w:cs="宋体"/>
                <w:sz w:val="21"/>
                <w:szCs w:val="21"/>
                <w:lang w:eastAsia="zh-CN"/>
              </w:rPr>
              <w:t>：</w:t>
            </w:r>
          </w:p>
          <w:p w14:paraId="419F38C7">
            <w:pPr>
              <w:pStyle w:val="116"/>
              <w:spacing w:before="79" w:line="360" w:lineRule="auto"/>
              <w:ind w:left="125" w:firstLine="420" w:firstLineChars="200"/>
              <w:rPr>
                <w:rFonts w:hint="eastAsia" w:ascii="宋体" w:hAnsi="宋体" w:eastAsia="宋体" w:cs="宋体"/>
                <w:sz w:val="21"/>
                <w:szCs w:val="21"/>
              </w:rPr>
            </w:pPr>
            <w:r>
              <w:rPr>
                <w:rFonts w:hint="eastAsia" w:ascii="宋体" w:hAnsi="宋体" w:eastAsia="宋体" w:cs="宋体"/>
                <w:sz w:val="21"/>
                <w:szCs w:val="21"/>
              </w:rPr>
              <w:t>图像级测量：面积占比、强度分布、图像质量评估、骨架结构提取等。</w:t>
            </w:r>
          </w:p>
          <w:p w14:paraId="3FF5DF34">
            <w:pPr>
              <w:pStyle w:val="116"/>
              <w:spacing w:before="79" w:line="360" w:lineRule="auto"/>
              <w:ind w:left="210" w:leftChars="100" w:firstLine="428" w:firstLineChars="204"/>
              <w:rPr>
                <w:rFonts w:hint="eastAsia" w:ascii="宋体" w:hAnsi="宋体" w:eastAsia="宋体" w:cs="宋体"/>
                <w:sz w:val="21"/>
                <w:szCs w:val="21"/>
              </w:rPr>
            </w:pPr>
            <w:r>
              <w:rPr>
                <w:rFonts w:hint="eastAsia" w:ascii="宋体" w:hAnsi="宋体" w:eastAsia="宋体" w:cs="宋体"/>
                <w:sz w:val="21"/>
                <w:szCs w:val="21"/>
              </w:rPr>
              <w:t>对象级测量：单细胞强度、形态参数（面积、周长、圆度、长宽比）、骨架结构及邻近关系等。</w:t>
            </w:r>
          </w:p>
          <w:p w14:paraId="057228DA">
            <w:pPr>
              <w:pStyle w:val="116"/>
              <w:spacing w:before="79" w:line="360" w:lineRule="auto"/>
              <w:ind w:left="125" w:firstLine="420" w:firstLineChars="200"/>
              <w:rPr>
                <w:rFonts w:hint="eastAsia" w:ascii="宋体" w:hAnsi="宋体" w:eastAsia="宋体" w:cs="宋体"/>
                <w:sz w:val="21"/>
                <w:szCs w:val="21"/>
              </w:rPr>
            </w:pPr>
            <w:r>
              <w:rPr>
                <w:rFonts w:hint="eastAsia" w:ascii="宋体" w:hAnsi="宋体" w:eastAsia="宋体" w:cs="宋体"/>
                <w:sz w:val="21"/>
                <w:szCs w:val="21"/>
              </w:rPr>
              <w:t>高级分析：共定位分析、颗粒度（纹理）分析、对象重叠及空间分布测量，满足复杂生物学研究需求。</w:t>
            </w:r>
          </w:p>
          <w:p w14:paraId="33C5368A">
            <w:pPr>
              <w:pStyle w:val="116"/>
              <w:spacing w:before="79" w:line="360" w:lineRule="auto"/>
              <w:ind w:left="125"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20</w:t>
            </w:r>
            <w:r>
              <w:rPr>
                <w:rFonts w:hint="eastAsia" w:ascii="宋体" w:hAnsi="宋体" w:eastAsia="宋体" w:cs="宋体"/>
                <w:sz w:val="21"/>
                <w:szCs w:val="21"/>
              </w:rPr>
              <w:t>、结构光模块、显微镜模块、软件需为同一制造商，保证后续升级维护的兼容性；软件支持Windows 10及以上操作系统；</w:t>
            </w:r>
          </w:p>
          <w:p w14:paraId="0CDA805F">
            <w:pPr>
              <w:pStyle w:val="116"/>
              <w:numPr>
                <w:ilvl w:val="0"/>
                <w:numId w:val="0"/>
              </w:numPr>
              <w:spacing w:before="79" w:line="360" w:lineRule="auto"/>
              <w:ind w:left="210" w:leftChars="0"/>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21、</w:t>
            </w:r>
            <w:r>
              <w:rPr>
                <w:rFonts w:hint="eastAsia" w:ascii="宋体" w:hAnsi="宋体" w:eastAsia="宋体" w:cs="宋体"/>
                <w:sz w:val="21"/>
                <w:szCs w:val="21"/>
              </w:rPr>
              <w:t>配套计算机</w:t>
            </w:r>
            <w:r>
              <w:rPr>
                <w:rFonts w:hint="eastAsia" w:ascii="宋体" w:hAnsi="宋体" w:eastAsia="宋体" w:cs="宋体"/>
                <w:sz w:val="21"/>
                <w:szCs w:val="21"/>
                <w:lang w:eastAsia="zh-CN"/>
              </w:rPr>
              <w:t>不低于</w:t>
            </w:r>
            <w:r>
              <w:rPr>
                <w:rFonts w:hint="eastAsia" w:ascii="宋体" w:hAnsi="宋体" w:eastAsia="宋体" w:cs="宋体"/>
                <w:sz w:val="21"/>
                <w:szCs w:val="21"/>
              </w:rPr>
              <w:t>：处理器: i7 13700、内存32GB DDR4 3200MHz、硬盘1TB SSD固态硬盘、</w:t>
            </w:r>
            <w:r>
              <w:rPr>
                <w:rFonts w:hint="eastAsia" w:ascii="宋体" w:hAnsi="宋体" w:eastAsia="宋体" w:cs="宋体"/>
                <w:sz w:val="21"/>
                <w:szCs w:val="21"/>
                <w:lang w:val="en-US" w:eastAsia="zh-CN"/>
              </w:rPr>
              <w:t xml:space="preserve"> 独立</w:t>
            </w:r>
            <w:r>
              <w:rPr>
                <w:rFonts w:hint="eastAsia" w:ascii="宋体" w:hAnsi="宋体" w:eastAsia="宋体" w:cs="宋体"/>
                <w:sz w:val="21"/>
                <w:szCs w:val="21"/>
              </w:rPr>
              <w:t>显卡:</w:t>
            </w:r>
            <w:r>
              <w:rPr>
                <w:rFonts w:hint="eastAsia" w:ascii="宋体" w:hAnsi="宋体" w:eastAsia="宋体" w:cs="宋体"/>
                <w:sz w:val="21"/>
                <w:szCs w:val="21"/>
                <w:lang w:val="en-US" w:eastAsia="zh-CN"/>
              </w:rPr>
              <w:t>8</w:t>
            </w:r>
            <w:r>
              <w:rPr>
                <w:rFonts w:hint="eastAsia" w:ascii="宋体" w:hAnsi="宋体" w:eastAsia="宋体" w:cs="宋体"/>
                <w:sz w:val="21"/>
                <w:szCs w:val="21"/>
              </w:rPr>
              <w:t>GB、34寸曲面液晶显示器、系统windows10。</w:t>
            </w:r>
          </w:p>
        </w:tc>
      </w:tr>
      <w:tr w14:paraId="62FDE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shd w:val="clear" w:color="auto" w:fill="auto"/>
            <w:vAlign w:val="center"/>
          </w:tcPr>
          <w:p w14:paraId="30588CC5">
            <w:pPr>
              <w:pStyle w:val="116"/>
              <w:spacing w:before="79" w:line="360" w:lineRule="auto"/>
              <w:ind w:left="125" w:leftChars="0"/>
              <w:jc w:val="center"/>
              <w:rPr>
                <w:rFonts w:hint="eastAsia" w:ascii="宋体" w:hAnsi="宋体" w:eastAsia="宋体" w:cs="宋体"/>
                <w:color w:val="000000" w:themeColor="text1"/>
                <w:kern w:val="2"/>
                <w:sz w:val="21"/>
                <w:szCs w:val="21"/>
                <w:lang w:val="en-US" w:eastAsia="en-US"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16</w:t>
            </w:r>
          </w:p>
        </w:tc>
        <w:tc>
          <w:tcPr>
            <w:tcW w:w="2024" w:type="dxa"/>
            <w:shd w:val="clear" w:color="auto" w:fill="auto"/>
            <w:vAlign w:val="center"/>
          </w:tcPr>
          <w:p w14:paraId="6B61D1FD">
            <w:pPr>
              <w:pStyle w:val="116"/>
              <w:spacing w:before="79" w:line="360" w:lineRule="auto"/>
              <w:ind w:left="125" w:leftChars="0"/>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两虫快速法淘洗设 备</w:t>
            </w:r>
            <w:r>
              <w:rPr>
                <w:rFonts w:hint="eastAsia" w:ascii="宋体" w:hAnsi="宋体" w:eastAsia="宋体" w:cs="宋体"/>
                <w:b/>
                <w:bCs/>
                <w:color w:val="000000" w:themeColor="text1"/>
                <w:sz w:val="21"/>
                <w:szCs w:val="21"/>
                <w:lang w:eastAsia="zh-CN"/>
                <w14:textFill>
                  <w14:solidFill>
                    <w14:schemeClr w14:val="tx1"/>
                  </w14:solidFill>
                </w14:textFill>
              </w:rPr>
              <w:t>（</w:t>
            </w:r>
            <w:r>
              <w:rPr>
                <w:rFonts w:hint="eastAsia" w:ascii="宋体" w:hAnsi="宋体" w:eastAsia="宋体" w:cs="宋体"/>
                <w:b/>
                <w:bCs/>
                <w:color w:val="000000" w:themeColor="text1"/>
                <w:sz w:val="21"/>
                <w:szCs w:val="21"/>
                <w:lang w:val="en-US" w:eastAsia="zh-CN"/>
                <w14:textFill>
                  <w14:solidFill>
                    <w14:schemeClr w14:val="tx1"/>
                  </w14:solidFill>
                </w14:textFill>
              </w:rPr>
              <w:t>核心产品</w:t>
            </w:r>
            <w:r>
              <w:rPr>
                <w:rFonts w:hint="eastAsia" w:ascii="宋体" w:hAnsi="宋体" w:eastAsia="宋体" w:cs="宋体"/>
                <w:b/>
                <w:bCs/>
                <w:color w:val="000000" w:themeColor="text1"/>
                <w:sz w:val="21"/>
                <w:szCs w:val="21"/>
                <w:lang w:eastAsia="zh-CN"/>
                <w14:textFill>
                  <w14:solidFill>
                    <w14:schemeClr w14:val="tx1"/>
                  </w14:solidFill>
                </w14:textFill>
              </w:rPr>
              <w:t>）</w:t>
            </w:r>
          </w:p>
        </w:tc>
        <w:tc>
          <w:tcPr>
            <w:tcW w:w="1424" w:type="dxa"/>
            <w:shd w:val="clear" w:color="auto" w:fill="auto"/>
            <w:vAlign w:val="center"/>
          </w:tcPr>
          <w:p w14:paraId="64B7C633">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用于实验室</w:t>
            </w:r>
          </w:p>
          <w:p w14:paraId="6553730D">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对水中贾第</w:t>
            </w:r>
          </w:p>
          <w:p w14:paraId="3E6BB1E7">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鞭毛虫和隐</w:t>
            </w:r>
          </w:p>
          <w:p w14:paraId="6896866E">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孢子虫的监</w:t>
            </w:r>
          </w:p>
          <w:p w14:paraId="2C78E7B9">
            <w:pPr>
              <w:pStyle w:val="116"/>
              <w:spacing w:before="79" w:line="360" w:lineRule="auto"/>
              <w:ind w:left="125" w:leftChars="0"/>
              <w:jc w:val="center"/>
              <w:rPr>
                <w:rFonts w:hint="eastAsia" w:ascii="宋体" w:hAnsi="宋体" w:eastAsia="宋体" w:cs="宋体"/>
                <w:color w:val="000000" w:themeColor="text1"/>
                <w:kern w:val="2"/>
                <w:sz w:val="21"/>
                <w:szCs w:val="21"/>
                <w:lang w:val="en-US" w:eastAsia="en-US"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测</w:t>
            </w:r>
          </w:p>
        </w:tc>
        <w:tc>
          <w:tcPr>
            <w:tcW w:w="775" w:type="dxa"/>
            <w:shd w:val="clear" w:color="auto" w:fill="auto"/>
            <w:vAlign w:val="center"/>
          </w:tcPr>
          <w:p w14:paraId="48094EF5">
            <w:pPr>
              <w:pStyle w:val="116"/>
              <w:spacing w:before="79" w:line="360" w:lineRule="auto"/>
              <w:ind w:left="125" w:leftChars="0"/>
              <w:jc w:val="center"/>
              <w:rPr>
                <w:rFonts w:hint="eastAsia" w:ascii="宋体" w:hAnsi="宋体" w:eastAsia="宋体" w:cs="宋体"/>
                <w:color w:val="000000" w:themeColor="text1"/>
                <w:kern w:val="2"/>
                <w:sz w:val="21"/>
                <w:szCs w:val="21"/>
                <w:lang w:val="en-US" w:eastAsia="en-US"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台</w:t>
            </w:r>
          </w:p>
        </w:tc>
        <w:tc>
          <w:tcPr>
            <w:tcW w:w="667" w:type="dxa"/>
            <w:shd w:val="clear" w:color="auto" w:fill="auto"/>
            <w:vAlign w:val="center"/>
          </w:tcPr>
          <w:p w14:paraId="4B703FF5">
            <w:pPr>
              <w:pStyle w:val="116"/>
              <w:spacing w:before="79" w:line="360" w:lineRule="auto"/>
              <w:ind w:left="125" w:leftChars="0"/>
              <w:jc w:val="center"/>
              <w:rPr>
                <w:rFonts w:hint="eastAsia" w:ascii="宋体" w:hAnsi="宋体" w:eastAsia="宋体" w:cs="宋体"/>
                <w:color w:val="000000" w:themeColor="text1"/>
                <w:kern w:val="2"/>
                <w:sz w:val="21"/>
                <w:szCs w:val="21"/>
                <w:lang w:val="en-US" w:eastAsia="en-US"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8047" w:type="dxa"/>
            <w:shd w:val="clear" w:color="auto" w:fill="auto"/>
            <w:vAlign w:val="top"/>
          </w:tcPr>
          <w:p w14:paraId="5708407F">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rPr>
              <w:t>贾第鞭毛虫</w:t>
            </w:r>
            <w:r>
              <w:rPr>
                <w:rFonts w:hint="eastAsia" w:ascii="宋体" w:hAnsi="宋体" w:eastAsia="宋体" w:cs="宋体"/>
                <w:bCs/>
                <w:color w:val="auto"/>
                <w:kern w:val="0"/>
                <w:sz w:val="21"/>
                <w:szCs w:val="21"/>
                <w:lang w:val="en-US" w:eastAsia="zh-CN"/>
              </w:rPr>
              <w:t>和</w:t>
            </w:r>
            <w:r>
              <w:rPr>
                <w:rFonts w:hint="eastAsia" w:ascii="宋体" w:hAnsi="宋体" w:eastAsia="宋体" w:cs="宋体"/>
                <w:bCs/>
                <w:color w:val="auto"/>
                <w:kern w:val="0"/>
                <w:sz w:val="21"/>
                <w:szCs w:val="21"/>
              </w:rPr>
              <w:t>隐孢子虫</w:t>
            </w:r>
            <w:r>
              <w:rPr>
                <w:rFonts w:hint="eastAsia" w:ascii="宋体" w:hAnsi="宋体" w:eastAsia="宋体" w:cs="宋体"/>
                <w:bCs/>
                <w:color w:val="auto"/>
                <w:kern w:val="0"/>
                <w:sz w:val="21"/>
                <w:szCs w:val="21"/>
                <w:lang w:val="en-US" w:eastAsia="zh-CN"/>
              </w:rPr>
              <w:t>检测系统：</w:t>
            </w:r>
          </w:p>
          <w:p w14:paraId="05D170B0">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一 用途</w:t>
            </w:r>
          </w:p>
          <w:p w14:paraId="2B13A32C">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sz w:val="21"/>
                <w:szCs w:val="21"/>
              </w:rPr>
            </w:pPr>
            <w:r>
              <w:rPr>
                <w:rFonts w:hint="eastAsia" w:ascii="宋体" w:hAnsi="宋体" w:eastAsia="宋体" w:cs="宋体"/>
                <w:color w:val="000000"/>
                <w:sz w:val="21"/>
                <w:szCs w:val="21"/>
                <w:highlight w:val="none"/>
              </w:rPr>
              <w:t>▲</w:t>
            </w:r>
            <w:r>
              <w:rPr>
                <w:rFonts w:hint="eastAsia" w:ascii="宋体" w:hAnsi="宋体" w:eastAsia="宋体" w:cs="宋体"/>
                <w:bCs/>
                <w:color w:val="auto"/>
                <w:kern w:val="0"/>
                <w:sz w:val="21"/>
                <w:szCs w:val="21"/>
                <w:lang w:val="en-US" w:eastAsia="zh-CN"/>
              </w:rPr>
              <w:t>1.</w:t>
            </w:r>
            <w:r>
              <w:rPr>
                <w:rFonts w:hint="eastAsia" w:ascii="宋体" w:hAnsi="宋体" w:eastAsia="宋体" w:cs="宋体"/>
                <w:bCs/>
                <w:color w:val="auto"/>
                <w:kern w:val="0"/>
                <w:sz w:val="21"/>
                <w:szCs w:val="21"/>
              </w:rPr>
              <w:t>主要用于生活饮用水贾第鞭毛虫</w:t>
            </w:r>
            <w:r>
              <w:rPr>
                <w:rFonts w:hint="eastAsia" w:ascii="宋体" w:hAnsi="宋体" w:eastAsia="宋体" w:cs="宋体"/>
                <w:bCs/>
                <w:color w:val="auto"/>
                <w:kern w:val="0"/>
                <w:sz w:val="21"/>
                <w:szCs w:val="21"/>
                <w:lang w:val="en-US" w:eastAsia="zh-CN"/>
              </w:rPr>
              <w:t>和</w:t>
            </w:r>
            <w:r>
              <w:rPr>
                <w:rFonts w:hint="eastAsia" w:ascii="宋体" w:hAnsi="宋体" w:eastAsia="宋体" w:cs="宋体"/>
                <w:bCs/>
                <w:color w:val="auto"/>
                <w:kern w:val="0"/>
                <w:sz w:val="21"/>
                <w:szCs w:val="21"/>
              </w:rPr>
              <w:t>隐孢子虫</w:t>
            </w:r>
            <w:r>
              <w:rPr>
                <w:rFonts w:hint="eastAsia" w:ascii="宋体" w:hAnsi="宋体" w:eastAsia="宋体" w:cs="宋体"/>
                <w:bCs/>
                <w:color w:val="auto"/>
                <w:kern w:val="0"/>
                <w:sz w:val="21"/>
                <w:szCs w:val="21"/>
                <w:lang w:eastAsia="zh-CN"/>
              </w:rPr>
              <w:t>的</w:t>
            </w:r>
            <w:r>
              <w:rPr>
                <w:rFonts w:hint="eastAsia" w:ascii="宋体" w:hAnsi="宋体" w:eastAsia="宋体" w:cs="宋体"/>
                <w:bCs/>
                <w:color w:val="auto"/>
                <w:kern w:val="0"/>
                <w:sz w:val="21"/>
                <w:szCs w:val="21"/>
                <w:lang w:val="en-US" w:eastAsia="zh-CN"/>
              </w:rPr>
              <w:t>检测</w:t>
            </w:r>
            <w:r>
              <w:rPr>
                <w:rFonts w:hint="eastAsia" w:ascii="宋体" w:hAnsi="宋体" w:eastAsia="宋体" w:cs="宋体"/>
                <w:bCs/>
                <w:color w:val="auto"/>
                <w:kern w:val="0"/>
                <w:sz w:val="21"/>
                <w:szCs w:val="21"/>
              </w:rPr>
              <w:t>。检测方法和原理需同时满足中华人民共和国国家标准</w:t>
            </w:r>
            <w:r>
              <w:rPr>
                <w:rFonts w:hint="eastAsia" w:ascii="宋体" w:hAnsi="宋体" w:eastAsia="宋体" w:cs="宋体"/>
                <w:sz w:val="21"/>
                <w:szCs w:val="21"/>
              </w:rPr>
              <w:t>《生活饮用水标准检验方法 微生物指标》（GB/T5750.12-2023）</w:t>
            </w:r>
            <w:r>
              <w:rPr>
                <w:rFonts w:hint="eastAsia" w:ascii="宋体" w:hAnsi="宋体" w:eastAsia="宋体" w:cs="宋体"/>
                <w:bCs/>
                <w:color w:val="auto"/>
                <w:kern w:val="0"/>
                <w:sz w:val="21"/>
                <w:szCs w:val="21"/>
              </w:rPr>
              <w:t>中规定的8.1免疫磁分离荧光抗体法检测方法和8.2滤膜浓缩/密度梯度分离荧光抗体法</w:t>
            </w:r>
            <w:r>
              <w:rPr>
                <w:rFonts w:hint="eastAsia" w:ascii="宋体" w:hAnsi="宋体" w:eastAsia="宋体" w:cs="宋体"/>
                <w:bCs/>
                <w:color w:val="auto"/>
                <w:kern w:val="0"/>
                <w:sz w:val="21"/>
                <w:szCs w:val="21"/>
                <w:lang w:val="en-US" w:eastAsia="zh-CN"/>
              </w:rPr>
              <w:t>的操作流程</w:t>
            </w:r>
            <w:r>
              <w:rPr>
                <w:rFonts w:hint="eastAsia" w:ascii="宋体" w:hAnsi="宋体" w:eastAsia="宋体" w:cs="宋体"/>
                <w:bCs/>
                <w:color w:val="auto"/>
                <w:kern w:val="0"/>
                <w:sz w:val="21"/>
                <w:szCs w:val="21"/>
                <w:lang w:eastAsia="zh-CN"/>
              </w:rPr>
              <w:t>（</w:t>
            </w:r>
            <w:r>
              <w:rPr>
                <w:rFonts w:hint="eastAsia" w:ascii="宋体" w:hAnsi="宋体" w:eastAsia="宋体" w:cs="宋体"/>
                <w:bCs/>
                <w:color w:val="auto"/>
                <w:kern w:val="0"/>
                <w:sz w:val="21"/>
                <w:szCs w:val="21"/>
              </w:rPr>
              <w:t>提供技术流程说明函予以说明</w:t>
            </w:r>
            <w:r>
              <w:rPr>
                <w:rFonts w:hint="eastAsia" w:ascii="宋体" w:hAnsi="宋体" w:eastAsia="宋体" w:cs="宋体"/>
                <w:bCs/>
                <w:color w:val="auto"/>
                <w:kern w:val="0"/>
                <w:sz w:val="21"/>
                <w:szCs w:val="21"/>
                <w:lang w:eastAsia="zh-CN"/>
              </w:rPr>
              <w:t>）</w:t>
            </w:r>
            <w:r>
              <w:rPr>
                <w:rFonts w:hint="eastAsia" w:ascii="宋体" w:hAnsi="宋体" w:eastAsia="宋体" w:cs="宋体"/>
                <w:bCs/>
                <w:color w:val="auto"/>
                <w:kern w:val="0"/>
                <w:sz w:val="21"/>
                <w:szCs w:val="21"/>
              </w:rPr>
              <w:t>。</w:t>
            </w:r>
          </w:p>
          <w:p w14:paraId="518ABC5E">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二 技术参数</w:t>
            </w:r>
          </w:p>
          <w:p w14:paraId="2CCBCA3D">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auto"/>
                <w:kern w:val="0"/>
                <w:sz w:val="21"/>
                <w:szCs w:val="21"/>
              </w:rPr>
            </w:pPr>
            <w:r>
              <w:rPr>
                <w:rFonts w:hint="eastAsia" w:ascii="宋体" w:hAnsi="宋体" w:eastAsia="宋体" w:cs="宋体"/>
                <w:color w:val="000000"/>
                <w:sz w:val="21"/>
                <w:szCs w:val="21"/>
                <w:highlight w:val="none"/>
              </w:rPr>
              <w:t>▲</w:t>
            </w:r>
            <w:r>
              <w:rPr>
                <w:rFonts w:hint="eastAsia" w:ascii="宋体" w:hAnsi="宋体" w:eastAsia="宋体" w:cs="宋体"/>
                <w:bCs/>
                <w:color w:val="auto"/>
                <w:kern w:val="0"/>
                <w:sz w:val="21"/>
                <w:szCs w:val="21"/>
                <w:lang w:val="en-US" w:eastAsia="zh-CN"/>
              </w:rPr>
              <w:t>1.</w:t>
            </w:r>
            <w:r>
              <w:rPr>
                <w:rFonts w:hint="eastAsia" w:ascii="宋体" w:hAnsi="宋体" w:eastAsia="宋体" w:cs="宋体"/>
                <w:bCs/>
                <w:color w:val="auto"/>
                <w:kern w:val="0"/>
                <w:sz w:val="21"/>
                <w:szCs w:val="21"/>
              </w:rPr>
              <w:t>系统组成：</w:t>
            </w:r>
          </w:p>
          <w:p w14:paraId="39C48349">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Cs/>
                <w:color w:val="auto"/>
                <w:kern w:val="0"/>
                <w:sz w:val="21"/>
                <w:szCs w:val="21"/>
                <w:lang w:val="en-US" w:eastAsia="zh-CN"/>
              </w:rPr>
              <w:t>淘洗/富集装置</w:t>
            </w:r>
            <w:r>
              <w:rPr>
                <w:rFonts w:hint="eastAsia" w:ascii="宋体" w:hAnsi="宋体" w:eastAsia="宋体" w:cs="宋体"/>
                <w:bCs/>
                <w:color w:val="auto"/>
                <w:kern w:val="0"/>
                <w:sz w:val="21"/>
                <w:szCs w:val="21"/>
              </w:rPr>
              <w:t>、高浊度样本沉淀装置</w:t>
            </w:r>
            <w:r>
              <w:rPr>
                <w:rFonts w:hint="eastAsia" w:ascii="宋体" w:hAnsi="宋体" w:eastAsia="宋体" w:cs="宋体"/>
                <w:bCs/>
                <w:color w:val="auto"/>
                <w:kern w:val="0"/>
                <w:sz w:val="21"/>
                <w:szCs w:val="21"/>
                <w:lang w:eastAsia="zh-CN"/>
              </w:rPr>
              <w:t>、</w:t>
            </w:r>
            <w:r>
              <w:rPr>
                <w:rFonts w:hint="eastAsia" w:ascii="宋体" w:hAnsi="宋体" w:eastAsia="宋体" w:cs="宋体"/>
                <w:bCs/>
                <w:color w:val="auto"/>
                <w:kern w:val="0"/>
                <w:sz w:val="21"/>
                <w:szCs w:val="21"/>
                <w:lang w:val="en-US" w:eastAsia="zh-CN"/>
              </w:rPr>
              <w:t>野外采样工具箱、</w:t>
            </w:r>
            <w:r>
              <w:rPr>
                <w:rFonts w:hint="eastAsia" w:ascii="宋体" w:hAnsi="宋体" w:eastAsia="宋体" w:cs="宋体"/>
                <w:bCs/>
                <w:color w:val="auto"/>
                <w:kern w:val="0"/>
                <w:sz w:val="21"/>
                <w:szCs w:val="21"/>
              </w:rPr>
              <w:t>离心机、免疫磁分离系统、</w:t>
            </w:r>
            <w:r>
              <w:rPr>
                <w:rFonts w:hint="eastAsia" w:ascii="宋体" w:hAnsi="宋体" w:eastAsia="宋体" w:cs="宋体"/>
                <w:bCs/>
                <w:color w:val="auto"/>
                <w:kern w:val="0"/>
                <w:sz w:val="21"/>
                <w:szCs w:val="21"/>
                <w:lang w:val="en-US" w:eastAsia="zh-CN"/>
              </w:rPr>
              <w:t>两虫自动识别显微镜</w:t>
            </w:r>
            <w:r>
              <w:rPr>
                <w:rFonts w:hint="eastAsia" w:ascii="宋体" w:hAnsi="宋体" w:eastAsia="宋体" w:cs="宋体"/>
                <w:bCs/>
                <w:color w:val="auto"/>
                <w:kern w:val="0"/>
                <w:sz w:val="21"/>
                <w:szCs w:val="21"/>
              </w:rPr>
              <w:t>。</w:t>
            </w:r>
            <w:r>
              <w:rPr>
                <w:rFonts w:hint="eastAsia" w:ascii="宋体" w:hAnsi="宋体" w:eastAsia="宋体" w:cs="宋体"/>
                <w:bCs/>
                <w:color w:val="auto"/>
                <w:kern w:val="0"/>
                <w:sz w:val="21"/>
                <w:szCs w:val="21"/>
                <w:highlight w:val="none"/>
              </w:rPr>
              <w:t>（提供产品说明书或彩页）</w:t>
            </w:r>
          </w:p>
          <w:p w14:paraId="3D88EB34">
            <w:pPr>
              <w:keepNext w:val="0"/>
              <w:keepLines w:val="0"/>
              <w:pageBreakBefore w:val="0"/>
              <w:widowControl w:val="0"/>
              <w:numPr>
                <w:ilvl w:val="0"/>
                <w:numId w:val="0"/>
              </w:numPr>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
                <w:sz w:val="21"/>
                <w:szCs w:val="21"/>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bCs/>
                <w:color w:val="auto"/>
                <w:kern w:val="0"/>
                <w:sz w:val="21"/>
                <w:szCs w:val="21"/>
                <w:highlight w:val="none"/>
              </w:rPr>
              <w:t>免疫磁分离荧光抗体法检测方法和滤膜浓缩/密度梯度分离荧光抗体法平均回收率</w:t>
            </w:r>
            <w:r>
              <w:rPr>
                <w:rFonts w:hint="eastAsia" w:ascii="宋体" w:hAnsi="宋体" w:eastAsia="宋体" w:cs="宋体"/>
                <w:bCs/>
                <w:color w:val="auto"/>
                <w:kern w:val="0"/>
                <w:sz w:val="21"/>
                <w:szCs w:val="21"/>
                <w:highlight w:val="none"/>
                <w:lang w:val="en-US" w:eastAsia="zh-CN"/>
              </w:rPr>
              <w:t>均应</w:t>
            </w:r>
            <w:r>
              <w:rPr>
                <w:rFonts w:hint="eastAsia" w:ascii="宋体" w:hAnsi="宋体" w:eastAsia="宋体" w:cs="宋体"/>
                <w:bCs/>
                <w:color w:val="auto"/>
                <w:kern w:val="0"/>
                <w:sz w:val="21"/>
                <w:szCs w:val="21"/>
                <w:highlight w:val="none"/>
              </w:rPr>
              <w:t>≧35%</w:t>
            </w:r>
            <w:r>
              <w:rPr>
                <w:rFonts w:hint="eastAsia" w:ascii="宋体" w:hAnsi="宋体" w:eastAsia="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lang w:eastAsia="zh-CN"/>
              </w:rPr>
              <w:t>提供</w:t>
            </w:r>
            <w:r>
              <w:rPr>
                <w:rFonts w:hint="eastAsia" w:ascii="宋体" w:hAnsi="宋体" w:eastAsia="宋体" w:cs="宋体"/>
                <w:bCs/>
                <w:color w:val="auto"/>
                <w:kern w:val="0"/>
                <w:sz w:val="21"/>
                <w:szCs w:val="21"/>
                <w:highlight w:val="none"/>
                <w:lang w:val="en-US" w:eastAsia="zh-CN"/>
              </w:rPr>
              <w:t>含CMA计量认证的</w:t>
            </w:r>
            <w:r>
              <w:rPr>
                <w:rFonts w:hint="eastAsia" w:ascii="宋体" w:hAnsi="宋体" w:eastAsia="宋体" w:cs="宋体"/>
                <w:bCs/>
                <w:color w:val="auto"/>
                <w:kern w:val="0"/>
                <w:sz w:val="21"/>
                <w:szCs w:val="21"/>
                <w:highlight w:val="none"/>
                <w:lang w:eastAsia="zh-CN"/>
              </w:rPr>
              <w:t>两虫回收率</w:t>
            </w:r>
            <w:r>
              <w:rPr>
                <w:rFonts w:hint="eastAsia" w:ascii="宋体" w:hAnsi="宋体" w:eastAsia="宋体" w:cs="宋体"/>
                <w:bCs/>
                <w:color w:val="auto"/>
                <w:kern w:val="0"/>
                <w:sz w:val="21"/>
                <w:szCs w:val="21"/>
                <w:highlight w:val="none"/>
                <w:lang w:val="en-US" w:eastAsia="zh-CN"/>
              </w:rPr>
              <w:t>检测</w:t>
            </w:r>
            <w:r>
              <w:rPr>
                <w:rFonts w:hint="eastAsia" w:ascii="宋体" w:hAnsi="宋体" w:eastAsia="宋体" w:cs="宋体"/>
                <w:bCs/>
                <w:color w:val="auto"/>
                <w:kern w:val="0"/>
                <w:sz w:val="21"/>
                <w:szCs w:val="21"/>
                <w:highlight w:val="none"/>
                <w:lang w:eastAsia="zh-CN"/>
              </w:rPr>
              <w:t>报告。</w:t>
            </w:r>
          </w:p>
          <w:p w14:paraId="7130265A">
            <w:pPr>
              <w:keepNext w:val="0"/>
              <w:keepLines w:val="0"/>
              <w:pageBreakBefore w:val="0"/>
              <w:widowControl w:val="0"/>
              <w:numPr>
                <w:ilvl w:val="0"/>
                <w:numId w:val="0"/>
              </w:numPr>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FF0000"/>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3.</w:t>
            </w:r>
            <w:r>
              <w:rPr>
                <w:rFonts w:hint="eastAsia" w:ascii="宋体" w:hAnsi="宋体" w:eastAsia="宋体" w:cs="宋体"/>
                <w:bCs/>
                <w:color w:val="auto"/>
                <w:kern w:val="0"/>
                <w:sz w:val="21"/>
                <w:szCs w:val="21"/>
                <w:highlight w:val="none"/>
              </w:rPr>
              <w:t>过滤/淘洗回收率：60-90%，稳定性：≧70%、相对标准差：≤20%。</w:t>
            </w:r>
          </w:p>
          <w:p w14:paraId="4DB22D94">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FF0000"/>
                <w:kern w:val="0"/>
                <w:sz w:val="21"/>
                <w:szCs w:val="21"/>
                <w:highlight w:val="none"/>
              </w:rPr>
            </w:pPr>
            <w:r>
              <w:rPr>
                <w:rFonts w:hint="eastAsia" w:ascii="宋体" w:hAnsi="宋体" w:eastAsia="宋体" w:cs="宋体"/>
                <w:bCs/>
                <w:color w:val="auto"/>
                <w:kern w:val="0"/>
                <w:sz w:val="21"/>
                <w:szCs w:val="21"/>
                <w:highlight w:val="none"/>
                <w:lang w:val="en-US" w:eastAsia="zh-CN"/>
              </w:rPr>
              <w:t>★4.</w:t>
            </w:r>
            <w:r>
              <w:rPr>
                <w:rFonts w:hint="eastAsia" w:ascii="宋体" w:hAnsi="宋体" w:eastAsia="宋体" w:cs="宋体"/>
                <w:bCs/>
                <w:color w:val="auto"/>
                <w:kern w:val="0"/>
                <w:sz w:val="21"/>
                <w:szCs w:val="21"/>
                <w:highlight w:val="none"/>
              </w:rPr>
              <w:t>免疫磁分离荧光抗体法：水样过滤采用符合国标</w:t>
            </w:r>
            <w:r>
              <w:rPr>
                <w:rFonts w:hint="eastAsia" w:ascii="宋体" w:hAnsi="宋体" w:eastAsia="宋体" w:cs="宋体"/>
                <w:sz w:val="21"/>
                <w:szCs w:val="21"/>
              </w:rPr>
              <w:t>《生活饮用水标准检验方法 微生物指标》（GB/T5750.12-2023）</w:t>
            </w:r>
            <w:r>
              <w:rPr>
                <w:rFonts w:hint="eastAsia" w:ascii="宋体" w:hAnsi="宋体" w:eastAsia="宋体" w:cs="宋体"/>
                <w:sz w:val="21"/>
                <w:szCs w:val="21"/>
                <w:lang w:val="en-US" w:eastAsia="zh-CN"/>
              </w:rPr>
              <w:t>中</w:t>
            </w:r>
            <w:r>
              <w:rPr>
                <w:rFonts w:hint="eastAsia" w:ascii="宋体" w:hAnsi="宋体" w:eastAsia="宋体" w:cs="宋体"/>
                <w:bCs/>
                <w:color w:val="auto"/>
                <w:kern w:val="0"/>
                <w:sz w:val="21"/>
                <w:szCs w:val="21"/>
                <w:highlight w:val="none"/>
                <w:lang w:val="en-US" w:eastAsia="zh-CN"/>
              </w:rPr>
              <w:t>的</w:t>
            </w:r>
            <w:r>
              <w:rPr>
                <w:rFonts w:hint="eastAsia" w:ascii="宋体" w:hAnsi="宋体" w:eastAsia="宋体" w:cs="宋体"/>
                <w:bCs/>
                <w:color w:val="auto"/>
                <w:kern w:val="0"/>
                <w:sz w:val="21"/>
                <w:szCs w:val="21"/>
                <w:highlight w:val="none"/>
              </w:rPr>
              <w:t>8.1.3.1.1滤囊过滤或8.1.3.1.2多孔海绵滤膜模块过滤内可处理高浊度</w:t>
            </w:r>
            <w:r>
              <w:rPr>
                <w:rFonts w:hint="eastAsia" w:ascii="宋体" w:hAnsi="宋体" w:eastAsia="宋体" w:cs="宋体"/>
                <w:bCs/>
                <w:color w:val="auto"/>
                <w:kern w:val="0"/>
                <w:sz w:val="21"/>
                <w:szCs w:val="21"/>
                <w:highlight w:val="none"/>
                <w:lang w:val="en-US" w:eastAsia="zh-CN"/>
              </w:rPr>
              <w:t>水</w:t>
            </w:r>
            <w:r>
              <w:rPr>
                <w:rFonts w:hint="eastAsia" w:ascii="宋体" w:hAnsi="宋体" w:eastAsia="宋体" w:cs="宋体"/>
                <w:bCs/>
                <w:color w:val="auto"/>
                <w:kern w:val="0"/>
                <w:sz w:val="21"/>
                <w:szCs w:val="21"/>
                <w:highlight w:val="none"/>
              </w:rPr>
              <w:t>源水</w:t>
            </w:r>
            <w:r>
              <w:rPr>
                <w:rFonts w:hint="eastAsia" w:ascii="宋体" w:hAnsi="宋体" w:eastAsia="宋体" w:cs="宋体"/>
                <w:bCs/>
                <w:color w:val="auto"/>
                <w:kern w:val="0"/>
                <w:sz w:val="21"/>
                <w:szCs w:val="21"/>
                <w:highlight w:val="none"/>
                <w:lang w:val="en-US" w:eastAsia="zh-CN"/>
              </w:rPr>
              <w:t>。可一次性处理单个样品≥100L的水样，富集时间≦50m</w:t>
            </w:r>
            <w:r>
              <w:rPr>
                <w:rFonts w:hint="eastAsia" w:ascii="宋体" w:hAnsi="宋体" w:eastAsia="宋体" w:cs="宋体"/>
                <w:bCs/>
                <w:color w:val="auto"/>
                <w:kern w:val="0"/>
                <w:sz w:val="21"/>
                <w:szCs w:val="21"/>
                <w:lang w:val="en-US" w:eastAsia="zh-CN"/>
              </w:rPr>
              <w:t>in。</w:t>
            </w:r>
          </w:p>
          <w:p w14:paraId="77096453">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highlight w:val="none"/>
                <w:lang w:val="en-US" w:eastAsia="zh-CN"/>
              </w:rPr>
              <w:t>5.</w:t>
            </w:r>
            <w:r>
              <w:rPr>
                <w:rFonts w:hint="eastAsia" w:ascii="宋体" w:hAnsi="宋体" w:eastAsia="宋体" w:cs="宋体"/>
                <w:bCs/>
                <w:color w:val="auto"/>
                <w:kern w:val="0"/>
                <w:sz w:val="21"/>
                <w:szCs w:val="21"/>
                <w:highlight w:val="none"/>
              </w:rPr>
              <w:t>滤膜浓缩/密度梯度分离荧光抗体法 ：采用符合国标</w:t>
            </w:r>
            <w:r>
              <w:rPr>
                <w:rFonts w:hint="eastAsia" w:ascii="宋体" w:hAnsi="宋体" w:eastAsia="宋体" w:cs="宋体"/>
                <w:sz w:val="21"/>
                <w:szCs w:val="21"/>
              </w:rPr>
              <w:t>《生活饮用水标准检验方法微生物指标》（GB/T5750.12-2023）</w:t>
            </w:r>
            <w:r>
              <w:rPr>
                <w:rFonts w:hint="eastAsia" w:ascii="宋体" w:hAnsi="宋体" w:eastAsia="宋体" w:cs="宋体"/>
                <w:bCs/>
                <w:color w:val="auto"/>
                <w:kern w:val="0"/>
                <w:sz w:val="21"/>
                <w:szCs w:val="21"/>
                <w:highlight w:val="none"/>
              </w:rPr>
              <w:t>要求的混合纤维素酯微孔滤膜孔径为1μm，直径142mm。</w:t>
            </w:r>
            <w:r>
              <w:rPr>
                <w:rFonts w:hint="eastAsia" w:ascii="宋体" w:hAnsi="宋体" w:eastAsia="宋体" w:cs="宋体"/>
                <w:bCs/>
                <w:color w:val="auto"/>
                <w:kern w:val="0"/>
                <w:sz w:val="21"/>
                <w:szCs w:val="21"/>
                <w:highlight w:val="none"/>
                <w:lang w:val="en-US" w:eastAsia="zh-CN"/>
              </w:rPr>
              <w:t>可一次性处理单个样本≥50L，富集时间≦30m</w:t>
            </w:r>
            <w:r>
              <w:rPr>
                <w:rFonts w:hint="eastAsia" w:ascii="宋体" w:hAnsi="宋体" w:eastAsia="宋体" w:cs="宋体"/>
                <w:bCs/>
                <w:color w:val="auto"/>
                <w:kern w:val="0"/>
                <w:sz w:val="21"/>
                <w:szCs w:val="21"/>
                <w:lang w:val="en-US" w:eastAsia="zh-CN"/>
              </w:rPr>
              <w:t>in。</w:t>
            </w:r>
          </w:p>
          <w:p w14:paraId="09C68245">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
                <w:sz w:val="21"/>
                <w:szCs w:val="21"/>
              </w:rPr>
              <w:t>★</w:t>
            </w:r>
            <w:r>
              <w:rPr>
                <w:rFonts w:hint="eastAsia" w:ascii="宋体" w:hAnsi="宋体" w:eastAsia="宋体" w:cs="宋体"/>
                <w:bCs/>
                <w:color w:val="auto"/>
                <w:kern w:val="0"/>
                <w:sz w:val="21"/>
                <w:szCs w:val="21"/>
                <w:lang w:val="en-US" w:eastAsia="zh-CN"/>
              </w:rPr>
              <w:t>6.淘洗/富集装置：</w:t>
            </w:r>
          </w:p>
          <w:p w14:paraId="7E5CD359">
            <w:pPr>
              <w:keepNext w:val="0"/>
              <w:keepLines w:val="0"/>
              <w:pageBreakBefore w:val="0"/>
              <w:widowControl w:val="0"/>
              <w:kinsoku/>
              <w:wordWrap/>
              <w:overflowPunct/>
              <w:topLinePunct w:val="0"/>
              <w:autoSpaceDE/>
              <w:autoSpaceDN/>
              <w:bidi w:val="0"/>
              <w:spacing w:line="360" w:lineRule="auto"/>
              <w:ind w:left="218" w:leftChars="104" w:firstLine="0" w:firstLineChars="0"/>
              <w:textAlignment w:val="auto"/>
              <w:rPr>
                <w:rFonts w:hint="eastAsia" w:ascii="宋体" w:hAnsi="宋体" w:eastAsia="宋体" w:cs="宋体"/>
                <w:bCs/>
                <w:color w:val="FF0000"/>
                <w:kern w:val="0"/>
                <w:sz w:val="21"/>
                <w:szCs w:val="21"/>
                <w:highlight w:val="none"/>
                <w:lang w:val="en-US" w:eastAsia="zh-CN"/>
              </w:rPr>
            </w:pPr>
            <w:r>
              <w:rPr>
                <w:rFonts w:hint="eastAsia" w:ascii="宋体" w:hAnsi="宋体" w:eastAsia="宋体" w:cs="宋体"/>
                <w:bCs/>
                <w:color w:val="auto"/>
                <w:kern w:val="0"/>
                <w:sz w:val="21"/>
                <w:szCs w:val="21"/>
              </w:rPr>
              <w:t>免疫磁分离荧光抗体法全自动快速淘洗装置可将富集、淘洗一机完成；支持客户定制化分析应用流程，快速淘洗装置膜过滤通道≧2个，可满足同时工作或单独工作模式，快速方法淘洗完成每个样品的总淘洗时间≤2分钟，传统方法完成每个样品的总淘洗时间≤20分钟，</w:t>
            </w:r>
            <w:r>
              <w:rPr>
                <w:rFonts w:hint="eastAsia" w:ascii="宋体" w:hAnsi="宋体" w:eastAsia="宋体" w:cs="宋体"/>
                <w:bCs/>
                <w:color w:val="auto"/>
                <w:kern w:val="0"/>
                <w:sz w:val="21"/>
                <w:szCs w:val="21"/>
                <w:lang w:val="en-US" w:eastAsia="zh-CN"/>
              </w:rPr>
              <w:t>含</w:t>
            </w:r>
            <w:r>
              <w:rPr>
                <w:rFonts w:hint="eastAsia" w:ascii="宋体" w:hAnsi="宋体" w:eastAsia="宋体" w:cs="宋体"/>
                <w:bCs/>
                <w:color w:val="auto"/>
                <w:kern w:val="0"/>
                <w:sz w:val="21"/>
                <w:szCs w:val="21"/>
              </w:rPr>
              <w:t>富集辅助</w:t>
            </w:r>
            <w:r>
              <w:rPr>
                <w:rFonts w:hint="eastAsia" w:ascii="宋体" w:hAnsi="宋体" w:eastAsia="宋体" w:cs="宋体"/>
                <w:bCs/>
                <w:color w:val="auto"/>
                <w:kern w:val="0"/>
                <w:sz w:val="21"/>
                <w:szCs w:val="21"/>
                <w:lang w:val="en-US" w:eastAsia="zh-CN"/>
              </w:rPr>
              <w:t>收集</w:t>
            </w:r>
            <w:r>
              <w:rPr>
                <w:rFonts w:hint="eastAsia" w:ascii="宋体" w:hAnsi="宋体" w:eastAsia="宋体" w:cs="宋体"/>
                <w:bCs/>
                <w:color w:val="auto"/>
                <w:kern w:val="0"/>
                <w:sz w:val="21"/>
                <w:szCs w:val="21"/>
              </w:rPr>
              <w:t>装置，</w:t>
            </w:r>
            <w:r>
              <w:rPr>
                <w:rFonts w:hint="eastAsia" w:ascii="宋体" w:hAnsi="宋体" w:eastAsia="宋体" w:cs="宋体"/>
                <w:bCs/>
                <w:color w:val="auto"/>
                <w:kern w:val="0"/>
                <w:sz w:val="21"/>
                <w:szCs w:val="21"/>
                <w:lang w:val="en-US" w:eastAsia="zh-CN"/>
              </w:rPr>
              <w:t>可处理浊度≥50NTU水样</w:t>
            </w:r>
            <w:r>
              <w:rPr>
                <w:rFonts w:hint="eastAsia" w:ascii="宋体" w:hAnsi="宋体" w:eastAsia="宋体" w:cs="宋体"/>
                <w:bCs/>
                <w:color w:val="auto"/>
                <w:kern w:val="0"/>
                <w:sz w:val="21"/>
                <w:szCs w:val="21"/>
              </w:rPr>
              <w:t>。</w:t>
            </w:r>
            <w:r>
              <w:rPr>
                <w:rFonts w:hint="eastAsia" w:ascii="宋体" w:hAnsi="宋体" w:eastAsia="宋体" w:cs="宋体"/>
                <w:bCs/>
                <w:color w:val="auto"/>
                <w:kern w:val="0"/>
                <w:sz w:val="21"/>
                <w:szCs w:val="21"/>
                <w:highlight w:val="none"/>
                <w:lang w:val="en-US" w:eastAsia="zh-CN"/>
              </w:rPr>
              <w:t>滤膜浓缩/密度梯度荧光抗体法全自动滤膜富集装置台式主机使用嵌入平板式过滤器（滤膜浓缩/密度梯度分离荧光抗体法）。触摸显示屏，可设置时间、振幅、流速、显示运行等工作状态</w:t>
            </w:r>
            <w:r>
              <w:rPr>
                <w:rFonts w:hint="eastAsia" w:ascii="宋体" w:hAnsi="宋体" w:eastAsia="宋体" w:cs="宋体"/>
                <w:bCs/>
                <w:color w:val="auto"/>
                <w:kern w:val="0"/>
                <w:sz w:val="21"/>
                <w:szCs w:val="21"/>
                <w:highlight w:val="none"/>
                <w:lang w:eastAsia="zh-CN"/>
              </w:rPr>
              <w:t>，</w:t>
            </w:r>
            <w:r>
              <w:rPr>
                <w:rFonts w:hint="eastAsia" w:ascii="宋体" w:hAnsi="宋体" w:eastAsia="宋体" w:cs="宋体"/>
                <w:bCs/>
                <w:color w:val="auto"/>
                <w:kern w:val="0"/>
                <w:sz w:val="21"/>
                <w:szCs w:val="21"/>
                <w:highlight w:val="none"/>
                <w:lang w:val="en-US" w:eastAsia="zh-CN"/>
              </w:rPr>
              <w:t>可处理浊度＜20NTU水样。</w:t>
            </w:r>
          </w:p>
          <w:p w14:paraId="301B6D3C">
            <w:pPr>
              <w:pStyle w:val="11"/>
              <w:spacing w:line="360" w:lineRule="auto"/>
              <w:rPr>
                <w:rFonts w:hint="eastAsia" w:ascii="宋体" w:hAnsi="宋体" w:eastAsia="宋体" w:cs="宋体"/>
                <w:sz w:val="21"/>
                <w:szCs w:val="21"/>
                <w:lang w:val="en-US" w:eastAsia="zh-CN"/>
              </w:rPr>
            </w:pPr>
            <w:r>
              <w:rPr>
                <w:rFonts w:hint="eastAsia" w:ascii="宋体" w:hAnsi="宋体" w:eastAsia="宋体" w:cs="宋体"/>
                <w:bCs/>
                <w:color w:val="auto"/>
                <w:kern w:val="0"/>
                <w:sz w:val="21"/>
                <w:szCs w:val="21"/>
                <w:highlight w:val="none"/>
                <w:lang w:val="en-US" w:eastAsia="zh-CN"/>
              </w:rPr>
              <w:t xml:space="preserve">  7. 高浊度样品沉淀装置：碳酸钙沉淀密度梯度法原理，可处理浊度≥20NTU水样。</w:t>
            </w:r>
          </w:p>
          <w:p w14:paraId="3558E512">
            <w:pPr>
              <w:keepNext w:val="0"/>
              <w:keepLines w:val="0"/>
              <w:pageBreakBefore w:val="0"/>
              <w:widowControl w:val="0"/>
              <w:numPr>
                <w:ilvl w:val="0"/>
                <w:numId w:val="0"/>
              </w:numPr>
              <w:kinsoku/>
              <w:wordWrap/>
              <w:overflowPunct/>
              <w:topLinePunct w:val="0"/>
              <w:autoSpaceDE/>
              <w:autoSpaceDN/>
              <w:bidi w:val="0"/>
              <w:spacing w:line="360" w:lineRule="auto"/>
              <w:ind w:left="210" w:leftChars="100" w:firstLine="0" w:firstLineChars="0"/>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highlight w:val="none"/>
                <w:lang w:val="en-US" w:eastAsia="zh-CN"/>
              </w:rPr>
              <w:t>8. 野外采样工具箱：</w:t>
            </w:r>
            <w:r>
              <w:rPr>
                <w:rFonts w:hint="eastAsia" w:ascii="宋体" w:hAnsi="宋体" w:eastAsia="宋体" w:cs="宋体"/>
                <w:bCs/>
                <w:color w:val="auto"/>
                <w:kern w:val="0"/>
                <w:sz w:val="21"/>
                <w:szCs w:val="21"/>
                <w:lang w:val="en-US" w:eastAsia="zh-CN"/>
              </w:rPr>
              <w:t>装置流速0.6-9L/min可调，</w:t>
            </w:r>
            <w:r>
              <w:rPr>
                <w:rFonts w:hint="eastAsia" w:ascii="宋体" w:hAnsi="宋体" w:eastAsia="宋体" w:cs="宋体"/>
                <w:bCs/>
                <w:color w:val="auto"/>
                <w:kern w:val="0"/>
                <w:sz w:val="21"/>
                <w:szCs w:val="21"/>
              </w:rPr>
              <w:t>流量计量程： 0.0-9.9L/Min</w:t>
            </w:r>
            <w:r>
              <w:rPr>
                <w:rFonts w:hint="eastAsia" w:ascii="宋体" w:hAnsi="宋体" w:eastAsia="宋体" w:cs="宋体"/>
                <w:bCs/>
                <w:color w:val="auto"/>
                <w:kern w:val="0"/>
                <w:sz w:val="21"/>
                <w:szCs w:val="21"/>
                <w:lang w:eastAsia="zh-CN"/>
              </w:rPr>
              <w:t>，可便携至野外应急采样使用，可车载，处理量设置范围：0-999L</w:t>
            </w:r>
          </w:p>
          <w:p w14:paraId="5D7061EB">
            <w:pPr>
              <w:keepNext w:val="0"/>
              <w:keepLines w:val="0"/>
              <w:pageBreakBefore w:val="0"/>
              <w:widowControl w:val="0"/>
              <w:kinsoku/>
              <w:wordWrap/>
              <w:overflowPunct/>
              <w:topLinePunct w:val="0"/>
              <w:autoSpaceDE/>
              <w:autoSpaceDN/>
              <w:bidi w:val="0"/>
              <w:spacing w:line="360" w:lineRule="auto"/>
              <w:ind w:left="210" w:leftChars="100" w:firstLine="0" w:firstLineChars="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lang w:val="en-US" w:eastAsia="zh-CN"/>
              </w:rPr>
              <w:t>9.配备专用</w:t>
            </w:r>
            <w:r>
              <w:rPr>
                <w:rFonts w:hint="eastAsia" w:ascii="宋体" w:hAnsi="宋体" w:eastAsia="宋体" w:cs="宋体"/>
                <w:bCs/>
                <w:color w:val="auto"/>
                <w:kern w:val="0"/>
                <w:sz w:val="21"/>
                <w:szCs w:val="21"/>
              </w:rPr>
              <w:t>离心机</w:t>
            </w:r>
            <w:r>
              <w:rPr>
                <w:rFonts w:hint="eastAsia" w:ascii="宋体" w:hAnsi="宋体" w:eastAsia="宋体" w:cs="宋体"/>
                <w:bCs/>
                <w:color w:val="auto"/>
                <w:kern w:val="0"/>
                <w:sz w:val="21"/>
                <w:szCs w:val="21"/>
                <w:lang w:eastAsia="zh-CN"/>
              </w:rPr>
              <w:t>：</w:t>
            </w:r>
            <w:r>
              <w:rPr>
                <w:rFonts w:hint="eastAsia" w:ascii="宋体" w:hAnsi="宋体" w:eastAsia="宋体" w:cs="宋体"/>
                <w:bCs/>
                <w:color w:val="auto"/>
                <w:kern w:val="0"/>
                <w:sz w:val="21"/>
                <w:szCs w:val="21"/>
                <w:lang w:val="en-US" w:eastAsia="zh-CN"/>
              </w:rPr>
              <w:t>离心机适配250ml、15ml锥形离心瓶及相关配件，悬式水平转头最大容量≥1000ml（可适配250mlx4或15mlx12），转速不低于4000rpm/分钟。用于隐孢子虫与贾第鞭毛虫快速检测系统中淘洗样品收集及离心，要求锥形离心瓶能与淘洗装置固定回收位置配套使用。</w:t>
            </w:r>
          </w:p>
          <w:p w14:paraId="064FA2C0">
            <w:pPr>
              <w:keepNext w:val="0"/>
              <w:keepLines w:val="0"/>
              <w:pageBreakBefore w:val="0"/>
              <w:widowControl w:val="0"/>
              <w:numPr>
                <w:ilvl w:val="0"/>
                <w:numId w:val="0"/>
              </w:numPr>
              <w:kinsoku/>
              <w:wordWrap/>
              <w:overflowPunct/>
              <w:topLinePunct w:val="0"/>
              <w:autoSpaceDE/>
              <w:autoSpaceDN/>
              <w:bidi w:val="0"/>
              <w:spacing w:line="360" w:lineRule="auto"/>
              <w:ind w:left="210" w:leftChars="100" w:firstLine="0" w:firstLineChars="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lang w:val="en-US" w:eastAsia="zh-CN"/>
              </w:rPr>
              <w:t>10.免疫磁分离系统：含磁分离 MPC-1 磁极、磁分离 MPC-S 磁极、侧平壁试管和免疫磁分离混合器四部分组成，其中含免疫磁分离混合器：旋转式，可放12个离心管，适合10ml侧平壁试管。</w:t>
            </w:r>
          </w:p>
          <w:p w14:paraId="4B087877">
            <w:pPr>
              <w:keepNext w:val="0"/>
              <w:keepLines w:val="0"/>
              <w:pageBreakBefore w:val="0"/>
              <w:widowControl w:val="0"/>
              <w:numPr>
                <w:ilvl w:val="0"/>
                <w:numId w:val="0"/>
              </w:numPr>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lang w:val="en-US" w:eastAsia="zh-CN"/>
              </w:rPr>
              <w:t>11.真空抽滤装置：适用于孔径3μm，直径25mm的醋酸纤维微孔滤膜进行样品过滤。</w:t>
            </w:r>
          </w:p>
          <w:p w14:paraId="0F1ACBEB">
            <w:pPr>
              <w:bidi w:val="0"/>
              <w:spacing w:line="360" w:lineRule="auto"/>
              <w:ind w:firstLine="211" w:firstLineChars="100"/>
              <w:rPr>
                <w:rFonts w:hint="eastAsia" w:ascii="宋体" w:hAnsi="宋体" w:eastAsia="宋体" w:cs="宋体"/>
                <w:sz w:val="21"/>
                <w:szCs w:val="21"/>
                <w:lang w:val="en-US" w:eastAsia="zh-CN"/>
              </w:rPr>
            </w:pPr>
            <w:r>
              <w:rPr>
                <w:rFonts w:hint="eastAsia" w:ascii="宋体" w:hAnsi="宋体" w:eastAsia="宋体" w:cs="宋体"/>
                <w:b/>
                <w:sz w:val="21"/>
                <w:szCs w:val="21"/>
              </w:rPr>
              <w:t>★</w:t>
            </w:r>
            <w:r>
              <w:rPr>
                <w:rFonts w:hint="eastAsia" w:ascii="宋体" w:hAnsi="宋体" w:eastAsia="宋体" w:cs="宋体"/>
                <w:bCs/>
                <w:color w:val="auto"/>
                <w:kern w:val="0"/>
                <w:sz w:val="21"/>
                <w:szCs w:val="21"/>
                <w:highlight w:val="none"/>
                <w:lang w:val="en-US" w:eastAsia="zh-CN"/>
              </w:rPr>
              <w:t>12.</w:t>
            </w:r>
            <w:r>
              <w:rPr>
                <w:rFonts w:hint="eastAsia" w:ascii="宋体" w:hAnsi="宋体" w:eastAsia="宋体" w:cs="宋体"/>
                <w:sz w:val="21"/>
                <w:szCs w:val="21"/>
                <w:lang w:val="en-US" w:eastAsia="zh-CN"/>
              </w:rPr>
              <w:t>两虫自动识别显微镜：</w:t>
            </w:r>
          </w:p>
          <w:p w14:paraId="17A48A5E">
            <w:pPr>
              <w:bidi w:val="0"/>
              <w:spacing w:line="360" w:lineRule="auto"/>
              <w:ind w:firstLine="210" w:firstLineChars="100"/>
              <w:rPr>
                <w:rFonts w:hint="eastAsia" w:ascii="宋体" w:hAnsi="宋体" w:eastAsia="宋体" w:cs="宋体"/>
                <w:bCs/>
                <w:color w:val="auto"/>
                <w:kern w:val="0"/>
                <w:sz w:val="21"/>
                <w:szCs w:val="21"/>
                <w:highlight w:val="none"/>
              </w:rPr>
            </w:pPr>
            <w:r>
              <w:rPr>
                <w:rFonts w:hint="eastAsia" w:ascii="宋体" w:hAnsi="宋体" w:eastAsia="宋体" w:cs="宋体"/>
                <w:sz w:val="21"/>
                <w:szCs w:val="21"/>
                <w:lang w:val="en-US" w:eastAsia="zh-CN"/>
              </w:rPr>
              <w:t>12.1</w:t>
            </w:r>
            <w:r>
              <w:rPr>
                <w:rFonts w:hint="eastAsia" w:ascii="宋体" w:hAnsi="宋体" w:eastAsia="宋体" w:cs="宋体"/>
                <w:bCs/>
                <w:color w:val="auto"/>
                <w:kern w:val="0"/>
                <w:sz w:val="21"/>
                <w:szCs w:val="21"/>
                <w:highlight w:val="none"/>
              </w:rPr>
              <w:t>光学系统：UIS无限远光学系统</w:t>
            </w:r>
          </w:p>
          <w:p w14:paraId="21D330ED">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FF0000"/>
                <w:kern w:val="0"/>
                <w:sz w:val="21"/>
                <w:szCs w:val="21"/>
                <w:highlight w:val="none"/>
                <w:lang w:val="en-US" w:eastAsia="zh-CN"/>
              </w:rPr>
            </w:pPr>
            <w:r>
              <w:rPr>
                <w:rFonts w:hint="eastAsia" w:ascii="宋体" w:hAnsi="宋体" w:eastAsia="宋体" w:cs="宋体"/>
                <w:color w:val="000000"/>
                <w:sz w:val="21"/>
                <w:szCs w:val="21"/>
                <w:highlight w:val="none"/>
                <w:lang w:val="en-US" w:eastAsia="zh-CN"/>
              </w:rPr>
              <w:t>12</w:t>
            </w:r>
            <w:r>
              <w:rPr>
                <w:rFonts w:hint="eastAsia" w:ascii="宋体" w:hAnsi="宋体" w:eastAsia="宋体" w:cs="宋体"/>
                <w:bCs/>
                <w:color w:val="auto"/>
                <w:kern w:val="0"/>
                <w:sz w:val="21"/>
                <w:szCs w:val="21"/>
                <w:highlight w:val="none"/>
                <w:lang w:val="en-US" w:eastAsia="zh-CN"/>
              </w:rPr>
              <w:t>.2具备FITC、DAPI、DIC三种光源</w:t>
            </w:r>
            <w:r>
              <w:rPr>
                <w:rFonts w:hint="eastAsia" w:ascii="宋体" w:hAnsi="宋体" w:eastAsia="宋体" w:cs="宋体"/>
                <w:bCs/>
                <w:color w:val="auto"/>
                <w:kern w:val="0"/>
                <w:sz w:val="21"/>
                <w:szCs w:val="21"/>
                <w:highlight w:val="none"/>
              </w:rPr>
              <w:t>观察方式</w:t>
            </w:r>
            <w:r>
              <w:rPr>
                <w:rFonts w:hint="eastAsia" w:ascii="宋体" w:hAnsi="宋体" w:eastAsia="宋体" w:cs="宋体"/>
                <w:bCs/>
                <w:color w:val="auto"/>
                <w:kern w:val="0"/>
                <w:sz w:val="21"/>
                <w:szCs w:val="21"/>
                <w:highlight w:val="none"/>
                <w:lang w:eastAsia="zh-CN"/>
              </w:rPr>
              <w:t>。</w:t>
            </w:r>
          </w:p>
          <w:p w14:paraId="370F64CE">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val="en-US" w:eastAsia="zh-CN"/>
              </w:rPr>
              <w:t>12.3</w:t>
            </w:r>
            <w:r>
              <w:rPr>
                <w:rFonts w:hint="eastAsia" w:ascii="宋体" w:hAnsi="宋体" w:eastAsia="宋体" w:cs="宋体"/>
                <w:bCs/>
                <w:color w:val="auto"/>
                <w:kern w:val="0"/>
                <w:sz w:val="21"/>
                <w:szCs w:val="21"/>
                <w:highlight w:val="none"/>
              </w:rPr>
              <w:t>放大倍数：</w:t>
            </w:r>
            <w:r>
              <w:rPr>
                <w:rFonts w:hint="eastAsia" w:ascii="宋体" w:hAnsi="宋体" w:eastAsia="宋体" w:cs="宋体"/>
                <w:bCs/>
                <w:color w:val="auto"/>
                <w:kern w:val="0"/>
                <w:sz w:val="21"/>
                <w:szCs w:val="21"/>
                <w:highlight w:val="none"/>
                <w:lang w:val="en-US" w:eastAsia="zh-CN"/>
              </w:rPr>
              <w:t>满足</w:t>
            </w:r>
            <w:r>
              <w:rPr>
                <w:rFonts w:hint="eastAsia" w:ascii="宋体" w:hAnsi="宋体" w:eastAsia="宋体" w:cs="宋体"/>
                <w:bCs/>
                <w:color w:val="auto"/>
                <w:kern w:val="0"/>
                <w:sz w:val="21"/>
                <w:szCs w:val="21"/>
                <w:highlight w:val="none"/>
              </w:rPr>
              <w:t>40X—1000X</w:t>
            </w:r>
          </w:p>
          <w:p w14:paraId="7C7B543B">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highlight w:val="none"/>
                <w:lang w:val="en-US" w:eastAsia="zh-CN"/>
              </w:rPr>
              <w:t>12.4</w:t>
            </w:r>
            <w:r>
              <w:rPr>
                <w:rFonts w:hint="eastAsia" w:ascii="宋体" w:hAnsi="宋体" w:eastAsia="宋体" w:cs="宋体"/>
                <w:bCs/>
                <w:color w:val="auto"/>
                <w:kern w:val="0"/>
                <w:sz w:val="21"/>
                <w:szCs w:val="21"/>
                <w:highlight w:val="none"/>
              </w:rPr>
              <w:t>目镜：超大视野目镜SW10X/22，</w:t>
            </w:r>
            <w:r>
              <w:rPr>
                <w:rFonts w:hint="eastAsia" w:ascii="宋体" w:hAnsi="宋体" w:eastAsia="宋体" w:cs="宋体"/>
                <w:bCs/>
                <w:color w:val="auto"/>
                <w:kern w:val="0"/>
                <w:sz w:val="21"/>
                <w:szCs w:val="21"/>
                <w:highlight w:val="none"/>
                <w:lang w:val="en-US" w:eastAsia="zh-CN"/>
              </w:rPr>
              <w:t>满足</w:t>
            </w:r>
            <w:r>
              <w:rPr>
                <w:rFonts w:hint="eastAsia" w:ascii="宋体" w:hAnsi="宋体" w:eastAsia="宋体" w:cs="宋体"/>
                <w:bCs/>
                <w:color w:val="auto"/>
                <w:kern w:val="0"/>
                <w:sz w:val="21"/>
                <w:szCs w:val="21"/>
                <w:highlight w:val="none"/>
              </w:rPr>
              <w:t>高眼点，-5～+5</w:t>
            </w:r>
            <w:r>
              <w:rPr>
                <w:rFonts w:hint="eastAsia" w:ascii="宋体" w:hAnsi="宋体" w:eastAsia="宋体" w:cs="宋体"/>
                <w:bCs/>
                <w:color w:val="auto"/>
                <w:kern w:val="0"/>
                <w:sz w:val="21"/>
                <w:szCs w:val="21"/>
              </w:rPr>
              <w:t xml:space="preserve">视度可调 </w:t>
            </w:r>
          </w:p>
          <w:p w14:paraId="33587550">
            <w:pPr>
              <w:keepNext w:val="0"/>
              <w:keepLines w:val="0"/>
              <w:pageBreakBefore w:val="0"/>
              <w:widowControl w:val="0"/>
              <w:kinsoku/>
              <w:wordWrap/>
              <w:overflowPunct/>
              <w:topLinePunct w:val="0"/>
              <w:autoSpaceDE/>
              <w:autoSpaceDN/>
              <w:bidi w:val="0"/>
              <w:spacing w:line="360" w:lineRule="auto"/>
              <w:ind w:left="210" w:leftChars="100" w:firstLine="0" w:firstLineChars="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val="en-US" w:eastAsia="zh-CN"/>
              </w:rPr>
              <w:t>12.5</w:t>
            </w:r>
            <w:r>
              <w:rPr>
                <w:rFonts w:hint="eastAsia" w:ascii="宋体" w:hAnsi="宋体" w:eastAsia="宋体" w:cs="宋体"/>
                <w:bCs/>
                <w:color w:val="auto"/>
                <w:kern w:val="0"/>
                <w:sz w:val="21"/>
                <w:szCs w:val="21"/>
              </w:rPr>
              <w:t>观察头：铰链式三目观察头</w:t>
            </w:r>
            <w:r>
              <w:rPr>
                <w:rFonts w:hint="eastAsia" w:ascii="宋体" w:hAnsi="宋体" w:eastAsia="宋体" w:cs="宋体"/>
                <w:bCs/>
                <w:color w:val="auto"/>
                <w:kern w:val="0"/>
                <w:sz w:val="21"/>
                <w:szCs w:val="21"/>
                <w:lang w:eastAsia="zh-CN"/>
              </w:rPr>
              <w:t>，</w:t>
            </w:r>
            <w:r>
              <w:rPr>
                <w:rFonts w:hint="eastAsia" w:ascii="宋体" w:hAnsi="宋体" w:eastAsia="宋体" w:cs="宋体"/>
                <w:bCs/>
                <w:color w:val="auto"/>
                <w:kern w:val="0"/>
                <w:sz w:val="21"/>
                <w:szCs w:val="21"/>
                <w:lang w:val="en-US" w:eastAsia="zh-CN"/>
              </w:rPr>
              <w:t>满足</w:t>
            </w:r>
            <w:r>
              <w:rPr>
                <w:rFonts w:hint="eastAsia" w:ascii="宋体" w:hAnsi="宋体" w:eastAsia="宋体" w:cs="宋体"/>
                <w:bCs/>
                <w:color w:val="auto"/>
                <w:kern w:val="0"/>
                <w:sz w:val="21"/>
                <w:szCs w:val="21"/>
              </w:rPr>
              <w:t>30°倾斜，固定视度，瞳距47-78mm，目视/数码三档分光比：100/0、20/80、0/100，能够满足不同的使用需求。</w:t>
            </w:r>
          </w:p>
          <w:p w14:paraId="1E493838">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val="en-US" w:eastAsia="zh-CN"/>
              </w:rPr>
              <w:t>12.6</w:t>
            </w:r>
            <w:r>
              <w:rPr>
                <w:rFonts w:hint="eastAsia" w:ascii="宋体" w:hAnsi="宋体" w:eastAsia="宋体" w:cs="宋体"/>
                <w:bCs/>
                <w:color w:val="auto"/>
                <w:kern w:val="0"/>
                <w:sz w:val="21"/>
                <w:szCs w:val="21"/>
              </w:rPr>
              <w:t>转换器：</w:t>
            </w:r>
            <w:r>
              <w:rPr>
                <w:rFonts w:hint="eastAsia" w:ascii="宋体" w:hAnsi="宋体" w:eastAsia="宋体" w:cs="宋体"/>
                <w:bCs/>
                <w:color w:val="auto"/>
                <w:kern w:val="0"/>
                <w:sz w:val="21"/>
                <w:szCs w:val="21"/>
                <w:lang w:val="en-US" w:eastAsia="zh-CN"/>
              </w:rPr>
              <w:t>具备</w:t>
            </w:r>
            <w:r>
              <w:rPr>
                <w:rFonts w:hint="eastAsia" w:ascii="宋体" w:hAnsi="宋体" w:eastAsia="宋体" w:cs="宋体"/>
                <w:bCs/>
                <w:color w:val="auto"/>
                <w:kern w:val="0"/>
                <w:sz w:val="21"/>
                <w:szCs w:val="21"/>
              </w:rPr>
              <w:t>控制内倾式内定位六孔转换器</w:t>
            </w:r>
          </w:p>
          <w:p w14:paraId="5C63DB5F">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lang w:val="en-US" w:eastAsia="zh-CN"/>
              </w:rPr>
              <w:t>12.7</w:t>
            </w:r>
            <w:r>
              <w:rPr>
                <w:rFonts w:hint="eastAsia" w:ascii="宋体" w:hAnsi="宋体" w:eastAsia="宋体" w:cs="宋体"/>
                <w:bCs/>
                <w:color w:val="auto"/>
                <w:kern w:val="0"/>
                <w:sz w:val="21"/>
                <w:szCs w:val="21"/>
              </w:rPr>
              <w:t>物镜：</w:t>
            </w:r>
            <w:r>
              <w:rPr>
                <w:rFonts w:hint="eastAsia" w:ascii="宋体" w:hAnsi="宋体" w:eastAsia="宋体" w:cs="宋体"/>
                <w:bCs/>
                <w:color w:val="auto"/>
                <w:kern w:val="0"/>
                <w:sz w:val="21"/>
                <w:szCs w:val="21"/>
                <w:lang w:val="en-US" w:eastAsia="zh-CN"/>
              </w:rPr>
              <w:t>具备</w:t>
            </w:r>
            <w:r>
              <w:rPr>
                <w:rFonts w:hint="eastAsia" w:ascii="宋体" w:hAnsi="宋体" w:eastAsia="宋体" w:cs="宋体"/>
                <w:bCs/>
                <w:color w:val="auto"/>
                <w:kern w:val="0"/>
                <w:sz w:val="21"/>
                <w:szCs w:val="21"/>
              </w:rPr>
              <w:t>无穷远平场半复消色差荧光专用物镜</w:t>
            </w:r>
            <w:r>
              <w:rPr>
                <w:rFonts w:hint="eastAsia" w:ascii="宋体" w:hAnsi="宋体" w:eastAsia="宋体" w:cs="宋体"/>
                <w:bCs/>
                <w:color w:val="auto"/>
                <w:kern w:val="0"/>
                <w:sz w:val="21"/>
                <w:szCs w:val="21"/>
                <w:lang w:eastAsia="zh-CN"/>
              </w:rPr>
              <w:t>，</w:t>
            </w:r>
            <w:r>
              <w:rPr>
                <w:rFonts w:hint="eastAsia" w:ascii="宋体" w:hAnsi="宋体" w:eastAsia="宋体" w:cs="宋体"/>
                <w:bCs/>
                <w:color w:val="auto"/>
                <w:kern w:val="0"/>
                <w:sz w:val="21"/>
                <w:szCs w:val="21"/>
                <w:lang w:val="en-US" w:eastAsia="zh-CN"/>
              </w:rPr>
              <w:t>满足</w:t>
            </w:r>
          </w:p>
          <w:p w14:paraId="64EEF50C">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4X               NA=0.13   WD=16.5</w:t>
            </w:r>
          </w:p>
          <w:p w14:paraId="1F5AB1C1">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20X              NA=0.5    WD=2.1</w:t>
            </w:r>
          </w:p>
          <w:p w14:paraId="7AE23E06">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40X（弹簧）      NA=0.75   WD=0.7</w:t>
            </w:r>
          </w:p>
          <w:p w14:paraId="568A2063">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rPr>
              <w:t>100X（弹簧、油） NA=1.3    WD=0.15</w:t>
            </w:r>
          </w:p>
          <w:p w14:paraId="21AF63E1">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val="en-US" w:eastAsia="zh-CN"/>
              </w:rPr>
              <w:t>12.8</w:t>
            </w:r>
            <w:r>
              <w:rPr>
                <w:rFonts w:hint="eastAsia" w:ascii="宋体" w:hAnsi="宋体" w:eastAsia="宋体" w:cs="宋体"/>
                <w:bCs/>
                <w:color w:val="auto"/>
                <w:kern w:val="0"/>
                <w:sz w:val="21"/>
                <w:szCs w:val="21"/>
              </w:rPr>
              <w:t>聚光镜：</w:t>
            </w:r>
            <w:r>
              <w:rPr>
                <w:rFonts w:hint="eastAsia" w:ascii="宋体" w:hAnsi="宋体" w:eastAsia="宋体" w:cs="宋体"/>
                <w:bCs/>
                <w:color w:val="auto"/>
                <w:kern w:val="0"/>
                <w:sz w:val="21"/>
                <w:szCs w:val="21"/>
                <w:lang w:val="en-US" w:eastAsia="zh-CN"/>
              </w:rPr>
              <w:t>满足</w:t>
            </w:r>
            <w:r>
              <w:rPr>
                <w:rFonts w:hint="eastAsia" w:ascii="宋体" w:hAnsi="宋体" w:eastAsia="宋体" w:cs="宋体"/>
                <w:bCs/>
                <w:color w:val="auto"/>
                <w:kern w:val="0"/>
                <w:sz w:val="21"/>
                <w:szCs w:val="21"/>
              </w:rPr>
              <w:t>N.A 0.9/0.25，齿轮齿条可调节升降。</w:t>
            </w:r>
          </w:p>
          <w:p w14:paraId="27120D9B">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val="en-US" w:eastAsia="zh-CN"/>
              </w:rPr>
              <w:t>12.9</w:t>
            </w:r>
            <w:r>
              <w:rPr>
                <w:rFonts w:hint="eastAsia" w:ascii="宋体" w:hAnsi="宋体" w:eastAsia="宋体" w:cs="宋体"/>
                <w:bCs/>
                <w:color w:val="auto"/>
                <w:kern w:val="0"/>
                <w:sz w:val="21"/>
                <w:szCs w:val="21"/>
              </w:rPr>
              <w:t>荧光垂直照明装置：转盘式六孔荧光滤光模块，能够同时对各种染色的标本进行成像，并在前端设置光闸，可以切断荧光照明，保护试样；</w:t>
            </w:r>
          </w:p>
          <w:p w14:paraId="53BF8955">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val="en-US" w:eastAsia="zh-CN"/>
              </w:rPr>
              <w:t xml:space="preserve">12.10 </w:t>
            </w:r>
            <w:r>
              <w:rPr>
                <w:rFonts w:hint="eastAsia" w:ascii="宋体" w:hAnsi="宋体" w:eastAsia="宋体" w:cs="宋体"/>
                <w:bCs/>
                <w:color w:val="auto"/>
                <w:kern w:val="0"/>
                <w:sz w:val="21"/>
                <w:szCs w:val="21"/>
              </w:rPr>
              <w:t>光源</w:t>
            </w:r>
            <w:r>
              <w:rPr>
                <w:rFonts w:hint="eastAsia" w:ascii="宋体" w:hAnsi="宋体" w:eastAsia="宋体" w:cs="宋体"/>
                <w:bCs/>
                <w:color w:val="auto"/>
                <w:kern w:val="0"/>
                <w:sz w:val="21"/>
                <w:szCs w:val="21"/>
                <w:lang w:val="en-US" w:eastAsia="zh-CN"/>
              </w:rPr>
              <w:t>采用</w:t>
            </w:r>
            <w:r>
              <w:rPr>
                <w:rFonts w:hint="eastAsia" w:ascii="宋体" w:hAnsi="宋体" w:eastAsia="宋体" w:cs="宋体"/>
                <w:bCs/>
                <w:color w:val="auto"/>
                <w:kern w:val="0"/>
                <w:sz w:val="21"/>
                <w:szCs w:val="21"/>
              </w:rPr>
              <w:t>超高压球型汞灯</w:t>
            </w:r>
          </w:p>
          <w:p w14:paraId="103FB088">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lang w:val="en-US" w:eastAsia="zh-CN"/>
              </w:rPr>
              <w:t xml:space="preserve">12.11 </w:t>
            </w:r>
            <w:r>
              <w:rPr>
                <w:rFonts w:hint="eastAsia" w:ascii="宋体" w:hAnsi="宋体" w:eastAsia="宋体" w:cs="宋体"/>
                <w:bCs/>
                <w:color w:val="auto"/>
                <w:kern w:val="0"/>
                <w:sz w:val="21"/>
                <w:szCs w:val="21"/>
              </w:rPr>
              <w:t>观察护目屏：</w:t>
            </w:r>
            <w:r>
              <w:rPr>
                <w:rFonts w:hint="eastAsia" w:ascii="宋体" w:hAnsi="宋体" w:eastAsia="宋体" w:cs="宋体"/>
                <w:bCs/>
                <w:color w:val="auto"/>
                <w:kern w:val="0"/>
                <w:sz w:val="21"/>
                <w:szCs w:val="21"/>
                <w:lang w:val="en-US" w:eastAsia="zh-CN"/>
              </w:rPr>
              <w:t>具备</w:t>
            </w:r>
            <w:r>
              <w:rPr>
                <w:rFonts w:hint="eastAsia" w:ascii="宋体" w:hAnsi="宋体" w:eastAsia="宋体" w:cs="宋体"/>
                <w:bCs/>
                <w:color w:val="auto"/>
                <w:kern w:val="0"/>
                <w:sz w:val="21"/>
                <w:szCs w:val="21"/>
                <w:highlight w:val="none"/>
              </w:rPr>
              <w:t>防紫外挡板</w:t>
            </w:r>
          </w:p>
          <w:p w14:paraId="599DAB68">
            <w:pPr>
              <w:keepNext w:val="0"/>
              <w:keepLines w:val="0"/>
              <w:pageBreakBefore w:val="0"/>
              <w:widowControl w:val="0"/>
              <w:kinsoku/>
              <w:wordWrap/>
              <w:overflowPunct/>
              <w:topLinePunct w:val="0"/>
              <w:autoSpaceDE/>
              <w:autoSpaceDN/>
              <w:bidi w:val="0"/>
              <w:spacing w:line="360" w:lineRule="auto"/>
              <w:ind w:left="210" w:leftChars="100" w:firstLine="0" w:firstLineChars="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val="en-US" w:eastAsia="zh-CN"/>
              </w:rPr>
              <w:t>12</w:t>
            </w:r>
            <w:r>
              <w:rPr>
                <w:rFonts w:hint="eastAsia" w:ascii="宋体" w:hAnsi="宋体" w:eastAsia="宋体" w:cs="宋体"/>
                <w:bCs/>
                <w:color w:val="auto"/>
                <w:kern w:val="0"/>
                <w:sz w:val="21"/>
                <w:szCs w:val="21"/>
                <w:highlight w:val="none"/>
              </w:rPr>
              <w:t>.1</w:t>
            </w:r>
            <w:r>
              <w:rPr>
                <w:rFonts w:hint="eastAsia" w:ascii="宋体" w:hAnsi="宋体" w:eastAsia="宋体" w:cs="宋体"/>
                <w:bCs/>
                <w:color w:val="auto"/>
                <w:kern w:val="0"/>
                <w:sz w:val="21"/>
                <w:szCs w:val="21"/>
                <w:highlight w:val="none"/>
                <w:lang w:val="en-US" w:eastAsia="zh-CN"/>
              </w:rPr>
              <w:t>2 具备</w:t>
            </w:r>
            <w:r>
              <w:rPr>
                <w:rFonts w:hint="eastAsia" w:ascii="宋体" w:hAnsi="宋体" w:eastAsia="宋体" w:cs="宋体"/>
                <w:bCs/>
                <w:color w:val="auto"/>
                <w:kern w:val="0"/>
                <w:sz w:val="21"/>
                <w:szCs w:val="21"/>
                <w:highlight w:val="none"/>
              </w:rPr>
              <w:t>高分辨率制冷彩色CCD相机，含2/3英寸摄像头，像素≧2000万；高分辨率制冷彩色CCD相机，含2/3英寸摄像头，像素≧2000万；</w:t>
            </w:r>
          </w:p>
          <w:p w14:paraId="49C31C29">
            <w:pPr>
              <w:keepNext w:val="0"/>
              <w:keepLines w:val="0"/>
              <w:pageBreakBefore w:val="0"/>
              <w:widowControl w:val="0"/>
              <w:kinsoku/>
              <w:wordWrap/>
              <w:overflowPunct/>
              <w:topLinePunct w:val="0"/>
              <w:autoSpaceDE/>
              <w:autoSpaceDN/>
              <w:bidi w:val="0"/>
              <w:spacing w:line="360" w:lineRule="auto"/>
              <w:ind w:left="210" w:leftChars="100" w:firstLine="0" w:firstLineChars="0"/>
              <w:textAlignment w:val="auto"/>
              <w:rPr>
                <w:rFonts w:hint="eastAsia" w:ascii="宋体" w:hAnsi="宋体" w:eastAsia="宋体" w:cs="宋体"/>
                <w:bCs/>
                <w:color w:val="auto"/>
                <w:kern w:val="0"/>
                <w:sz w:val="21"/>
                <w:szCs w:val="21"/>
                <w:highlight w:val="none"/>
                <w:u w:val="none"/>
                <w:lang w:val="en-US" w:eastAsia="zh-CN"/>
              </w:rPr>
            </w:pPr>
            <w:r>
              <w:rPr>
                <w:rFonts w:hint="eastAsia" w:ascii="宋体" w:hAnsi="宋体" w:eastAsia="宋体" w:cs="宋体"/>
                <w:bCs/>
                <w:color w:val="auto"/>
                <w:kern w:val="0"/>
                <w:sz w:val="21"/>
                <w:szCs w:val="21"/>
                <w:highlight w:val="none"/>
                <w:u w:val="none"/>
                <w:lang w:val="en-US" w:eastAsia="zh-CN"/>
              </w:rPr>
              <w:t>12.13贾第鞭毛虫隐孢子虫识别软件自动聚焦锁定特异性目标、非特异性目标。主机显示屏可一体化控制并操作。整机可通过软件平台实现序列扫描识别、连续扫描识别、实时扫描识别三种模式。软件最大扫描拍照速度可达到70ms/p。X轴Y轴Z轴均可操作移动；通讯接口USB2.0和RS232，提供相应产品软件著作权证书。</w:t>
            </w:r>
          </w:p>
          <w:p w14:paraId="24C4F498">
            <w:pPr>
              <w:keepNext w:val="0"/>
              <w:keepLines w:val="0"/>
              <w:pageBreakBefore w:val="0"/>
              <w:widowControl w:val="0"/>
              <w:kinsoku/>
              <w:wordWrap/>
              <w:overflowPunct/>
              <w:topLinePunct w:val="0"/>
              <w:autoSpaceDE/>
              <w:autoSpaceDN/>
              <w:bidi w:val="0"/>
              <w:spacing w:line="360" w:lineRule="auto"/>
              <w:ind w:firstLine="211" w:firstLineChars="100"/>
              <w:textAlignment w:val="auto"/>
              <w:rPr>
                <w:rFonts w:hint="eastAsia" w:ascii="宋体" w:hAnsi="宋体" w:eastAsia="宋体" w:cs="宋体"/>
                <w:bCs/>
                <w:color w:val="auto"/>
                <w:kern w:val="0"/>
                <w:sz w:val="21"/>
                <w:szCs w:val="21"/>
              </w:rPr>
            </w:pPr>
            <w:r>
              <w:rPr>
                <w:rFonts w:hint="eastAsia" w:ascii="宋体" w:hAnsi="宋体" w:eastAsia="宋体" w:cs="宋体"/>
                <w:b/>
                <w:sz w:val="21"/>
                <w:szCs w:val="21"/>
              </w:rPr>
              <w:t>★</w:t>
            </w:r>
            <w:r>
              <w:rPr>
                <w:rFonts w:hint="eastAsia" w:ascii="宋体" w:hAnsi="宋体" w:eastAsia="宋体" w:cs="宋体"/>
                <w:bCs/>
                <w:color w:val="auto"/>
                <w:kern w:val="0"/>
                <w:sz w:val="21"/>
                <w:szCs w:val="21"/>
              </w:rPr>
              <w:t>三</w:t>
            </w:r>
            <w:r>
              <w:rPr>
                <w:rFonts w:hint="eastAsia" w:ascii="宋体" w:hAnsi="宋体" w:eastAsia="宋体" w:cs="宋体"/>
                <w:bCs/>
                <w:color w:val="auto"/>
                <w:kern w:val="0"/>
                <w:sz w:val="21"/>
                <w:szCs w:val="21"/>
                <w:lang w:eastAsia="zh-CN"/>
              </w:rPr>
              <w:t>、</w:t>
            </w:r>
            <w:r>
              <w:rPr>
                <w:rFonts w:hint="eastAsia" w:ascii="宋体" w:hAnsi="宋体" w:eastAsia="宋体" w:cs="宋体"/>
                <w:bCs/>
                <w:color w:val="auto"/>
                <w:kern w:val="0"/>
                <w:sz w:val="21"/>
                <w:szCs w:val="21"/>
              </w:rPr>
              <w:t>配置</w:t>
            </w:r>
          </w:p>
          <w:p w14:paraId="3737E738">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u w:val="none"/>
              </w:rPr>
            </w:pPr>
            <w:r>
              <w:rPr>
                <w:rFonts w:hint="eastAsia" w:ascii="宋体" w:hAnsi="宋体" w:eastAsia="宋体" w:cs="宋体"/>
                <w:bCs/>
                <w:color w:val="auto"/>
                <w:kern w:val="0"/>
                <w:sz w:val="21"/>
                <w:szCs w:val="21"/>
                <w:u w:val="none"/>
                <w:lang w:val="en-US" w:eastAsia="zh-CN"/>
              </w:rPr>
              <w:t>1.</w:t>
            </w:r>
            <w:r>
              <w:rPr>
                <w:rFonts w:hint="eastAsia" w:ascii="宋体" w:hAnsi="宋体" w:eastAsia="宋体" w:cs="宋体"/>
                <w:bCs/>
                <w:color w:val="auto"/>
                <w:kern w:val="0"/>
                <w:sz w:val="21"/>
                <w:szCs w:val="21"/>
                <w:lang w:val="en-US" w:eastAsia="zh-CN"/>
              </w:rPr>
              <w:t xml:space="preserve">淘洗/富集装置               </w:t>
            </w:r>
            <w:r>
              <w:rPr>
                <w:rFonts w:hint="eastAsia" w:ascii="宋体" w:hAnsi="宋体" w:eastAsia="宋体" w:cs="宋体"/>
                <w:bCs/>
                <w:color w:val="auto"/>
                <w:kern w:val="0"/>
                <w:sz w:val="21"/>
                <w:szCs w:val="21"/>
                <w:u w:val="none"/>
              </w:rPr>
              <w:t xml:space="preserve">       </w:t>
            </w:r>
            <w:r>
              <w:rPr>
                <w:rFonts w:hint="eastAsia" w:ascii="宋体" w:hAnsi="宋体" w:eastAsia="宋体" w:cs="宋体"/>
                <w:bCs/>
                <w:color w:val="auto"/>
                <w:kern w:val="0"/>
                <w:sz w:val="21"/>
                <w:szCs w:val="21"/>
                <w:u w:val="none"/>
                <w:lang w:val="en-US" w:eastAsia="zh-CN"/>
              </w:rPr>
              <w:t xml:space="preserve">           </w:t>
            </w:r>
            <w:r>
              <w:rPr>
                <w:rFonts w:hint="eastAsia" w:ascii="宋体" w:hAnsi="宋体" w:eastAsia="宋体" w:cs="宋体"/>
                <w:bCs/>
                <w:color w:val="auto"/>
                <w:kern w:val="0"/>
                <w:sz w:val="21"/>
                <w:szCs w:val="21"/>
                <w:u w:val="none"/>
              </w:rPr>
              <w:t xml:space="preserve">  1</w:t>
            </w:r>
            <w:r>
              <w:rPr>
                <w:rFonts w:hint="eastAsia" w:ascii="宋体" w:hAnsi="宋体" w:eastAsia="宋体" w:cs="宋体"/>
                <w:bCs/>
                <w:color w:val="auto"/>
                <w:kern w:val="0"/>
                <w:sz w:val="21"/>
                <w:szCs w:val="21"/>
                <w:u w:val="none"/>
                <w:lang w:eastAsia="zh-CN"/>
              </w:rPr>
              <w:t>套</w:t>
            </w:r>
            <w:r>
              <w:rPr>
                <w:rFonts w:hint="eastAsia" w:ascii="宋体" w:hAnsi="宋体" w:eastAsia="宋体" w:cs="宋体"/>
                <w:bCs/>
                <w:color w:val="auto"/>
                <w:kern w:val="0"/>
                <w:sz w:val="21"/>
                <w:szCs w:val="21"/>
                <w:u w:val="none"/>
              </w:rPr>
              <w:t>；</w:t>
            </w:r>
          </w:p>
          <w:p w14:paraId="1A43E05E">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bCs/>
                <w:color w:val="auto"/>
                <w:kern w:val="0"/>
                <w:sz w:val="21"/>
                <w:szCs w:val="21"/>
                <w:u w:val="none"/>
                <w:lang w:val="en-US" w:eastAsia="zh-CN"/>
              </w:rPr>
              <w:t xml:space="preserve">  2.高浊度样本沉淀装置                              1台；</w:t>
            </w:r>
          </w:p>
          <w:p w14:paraId="21F0EBFF">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u w:val="none"/>
                <w:lang w:val="en-US" w:eastAsia="zh-CN"/>
              </w:rPr>
            </w:pPr>
            <w:r>
              <w:rPr>
                <w:rFonts w:hint="eastAsia" w:ascii="宋体" w:hAnsi="宋体" w:eastAsia="宋体" w:cs="宋体"/>
                <w:bCs/>
                <w:color w:val="auto"/>
                <w:kern w:val="0"/>
                <w:sz w:val="21"/>
                <w:szCs w:val="21"/>
                <w:u w:val="none"/>
                <w:lang w:val="en-US" w:eastAsia="zh-CN"/>
              </w:rPr>
              <w:t>3.野外采样工具箱                                  1套；</w:t>
            </w:r>
          </w:p>
          <w:p w14:paraId="70925F2E">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u w:val="none"/>
                <w:lang w:val="en-US" w:eastAsia="zh-CN"/>
              </w:rPr>
            </w:pPr>
            <w:r>
              <w:rPr>
                <w:rFonts w:hint="eastAsia" w:ascii="宋体" w:hAnsi="宋体" w:eastAsia="宋体" w:cs="宋体"/>
                <w:bCs/>
                <w:color w:val="auto"/>
                <w:kern w:val="0"/>
                <w:sz w:val="21"/>
                <w:szCs w:val="21"/>
                <w:u w:val="none"/>
                <w:lang w:val="en-US" w:eastAsia="zh-CN"/>
              </w:rPr>
              <w:t>4.平板过滤器                                      1个；</w:t>
            </w:r>
          </w:p>
          <w:p w14:paraId="083151AD">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u w:val="none"/>
                <w:lang w:val="en-US" w:eastAsia="zh-CN"/>
              </w:rPr>
            </w:pPr>
            <w:r>
              <w:rPr>
                <w:rFonts w:hint="eastAsia" w:ascii="宋体" w:hAnsi="宋体" w:eastAsia="宋体" w:cs="宋体"/>
                <w:bCs/>
                <w:color w:val="auto"/>
                <w:kern w:val="0"/>
                <w:sz w:val="21"/>
                <w:szCs w:val="21"/>
                <w:u w:val="none"/>
                <w:lang w:val="en-US" w:eastAsia="zh-CN"/>
              </w:rPr>
              <w:t>5.离心机                                          1台；</w:t>
            </w:r>
          </w:p>
          <w:p w14:paraId="064C9B4E">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u w:val="none"/>
                <w:lang w:val="en-US" w:eastAsia="zh-CN"/>
              </w:rPr>
            </w:pPr>
            <w:r>
              <w:rPr>
                <w:rFonts w:hint="eastAsia" w:ascii="宋体" w:hAnsi="宋体" w:eastAsia="宋体" w:cs="宋体"/>
                <w:bCs/>
                <w:color w:val="auto"/>
                <w:kern w:val="0"/>
                <w:sz w:val="21"/>
                <w:szCs w:val="21"/>
                <w:u w:val="none"/>
                <w:lang w:val="en-US" w:eastAsia="zh-CN"/>
              </w:rPr>
              <w:t>6.真空抽滤装置（适用于直径25mm 滤膜）             1台；</w:t>
            </w:r>
          </w:p>
          <w:p w14:paraId="2BB38972">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u w:val="none"/>
                <w:lang w:val="en-US" w:eastAsia="zh-CN"/>
              </w:rPr>
            </w:pPr>
            <w:r>
              <w:rPr>
                <w:rFonts w:hint="eastAsia" w:ascii="宋体" w:hAnsi="宋体" w:eastAsia="宋体" w:cs="宋体"/>
                <w:bCs/>
                <w:color w:val="auto"/>
                <w:kern w:val="0"/>
                <w:sz w:val="21"/>
                <w:szCs w:val="21"/>
                <w:u w:val="none"/>
                <w:lang w:val="en-US" w:eastAsia="zh-CN"/>
              </w:rPr>
              <w:t>7.涡旋混合器                                      1台；</w:t>
            </w:r>
          </w:p>
          <w:p w14:paraId="490A7412">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u w:val="none"/>
                <w:lang w:val="en-US" w:eastAsia="zh-CN"/>
              </w:rPr>
            </w:pPr>
            <w:r>
              <w:rPr>
                <w:rFonts w:hint="eastAsia" w:ascii="宋体" w:hAnsi="宋体" w:eastAsia="宋体" w:cs="宋体"/>
                <w:bCs/>
                <w:color w:val="auto"/>
                <w:kern w:val="0"/>
                <w:sz w:val="21"/>
                <w:szCs w:val="21"/>
                <w:u w:val="none"/>
                <w:lang w:val="en-US" w:eastAsia="zh-CN"/>
              </w:rPr>
              <w:t>8.免疫磁分离系统                                1套；</w:t>
            </w:r>
          </w:p>
          <w:p w14:paraId="2A3D05D3">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u w:val="none"/>
                <w:lang w:val="en-US" w:eastAsia="zh-CN"/>
              </w:rPr>
            </w:pPr>
            <w:r>
              <w:rPr>
                <w:rFonts w:hint="eastAsia" w:ascii="宋体" w:hAnsi="宋体" w:eastAsia="宋体" w:cs="宋体"/>
                <w:bCs/>
                <w:color w:val="auto"/>
                <w:kern w:val="0"/>
                <w:sz w:val="21"/>
                <w:szCs w:val="21"/>
                <w:u w:val="none"/>
                <w:lang w:val="en-US" w:eastAsia="zh-CN"/>
              </w:rPr>
              <w:t>9.</w:t>
            </w:r>
            <w:r>
              <w:rPr>
                <w:rFonts w:hint="eastAsia" w:ascii="宋体" w:hAnsi="宋体" w:eastAsia="宋体" w:cs="宋体"/>
                <w:sz w:val="21"/>
                <w:szCs w:val="21"/>
                <w:lang w:val="en-US" w:eastAsia="zh-CN"/>
              </w:rPr>
              <w:t>两虫自动识别显微镜</w:t>
            </w:r>
            <w:r>
              <w:rPr>
                <w:rFonts w:hint="eastAsia" w:ascii="宋体" w:hAnsi="宋体" w:eastAsia="宋体" w:cs="宋体"/>
                <w:bCs/>
                <w:color w:val="auto"/>
                <w:kern w:val="0"/>
                <w:sz w:val="21"/>
                <w:szCs w:val="21"/>
                <w:u w:val="none"/>
                <w:lang w:val="en-US" w:eastAsia="zh-CN"/>
              </w:rPr>
              <w:t xml:space="preserve">                              1套；</w:t>
            </w:r>
          </w:p>
          <w:p w14:paraId="54AFAE5E">
            <w:pPr>
              <w:keepNext w:val="0"/>
              <w:keepLines w:val="0"/>
              <w:pageBreakBefore w:val="0"/>
              <w:widowControl w:val="0"/>
              <w:tabs>
                <w:tab w:val="left" w:pos="6031"/>
              </w:tabs>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lang w:val="en-US" w:eastAsia="zh-CN"/>
              </w:rPr>
              <w:t>10.L型侧平壁试管                                 1</w:t>
            </w:r>
            <w:r>
              <w:rPr>
                <w:rFonts w:hint="eastAsia" w:ascii="宋体" w:hAnsi="宋体" w:eastAsia="宋体" w:cs="宋体"/>
                <w:bCs/>
                <w:color w:val="auto"/>
                <w:kern w:val="0"/>
                <w:sz w:val="21"/>
                <w:szCs w:val="21"/>
              </w:rPr>
              <w:t>盒</w:t>
            </w:r>
            <w:r>
              <w:rPr>
                <w:rFonts w:hint="eastAsia" w:ascii="宋体" w:hAnsi="宋体" w:eastAsia="宋体" w:cs="宋体"/>
                <w:bCs/>
                <w:color w:val="auto"/>
                <w:kern w:val="0"/>
                <w:sz w:val="21"/>
                <w:szCs w:val="21"/>
                <w:lang w:val="en-US" w:eastAsia="zh-CN"/>
              </w:rPr>
              <w:t xml:space="preserve"> ；</w:t>
            </w:r>
          </w:p>
          <w:p w14:paraId="7C85D446">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lang w:val="en-US" w:eastAsia="zh-CN"/>
              </w:rPr>
              <w:t>11.</w:t>
            </w:r>
            <w:r>
              <w:rPr>
                <w:rFonts w:hint="eastAsia" w:ascii="宋体" w:hAnsi="宋体" w:eastAsia="宋体" w:cs="宋体"/>
                <w:bCs/>
                <w:color w:val="auto"/>
                <w:kern w:val="0"/>
                <w:sz w:val="21"/>
                <w:szCs w:val="21"/>
              </w:rPr>
              <w:t xml:space="preserve">免疫磁分离淘洗套装检测试剂盒 </w:t>
            </w:r>
            <w:r>
              <w:rPr>
                <w:rFonts w:hint="eastAsia" w:ascii="宋体" w:hAnsi="宋体" w:eastAsia="宋体" w:cs="宋体"/>
                <w:bCs/>
                <w:color w:val="auto"/>
                <w:kern w:val="0"/>
                <w:sz w:val="21"/>
                <w:szCs w:val="21"/>
                <w:lang w:val="en-US" w:eastAsia="zh-CN"/>
              </w:rPr>
              <w:t xml:space="preserve"> 10次/盒         1</w:t>
            </w:r>
            <w:r>
              <w:rPr>
                <w:rFonts w:hint="eastAsia" w:ascii="宋体" w:hAnsi="宋体" w:eastAsia="宋体" w:cs="宋体"/>
                <w:bCs/>
                <w:color w:val="auto"/>
                <w:kern w:val="0"/>
                <w:sz w:val="21"/>
                <w:szCs w:val="21"/>
              </w:rPr>
              <w:t>盒</w:t>
            </w:r>
            <w:r>
              <w:rPr>
                <w:rFonts w:hint="eastAsia" w:ascii="宋体" w:hAnsi="宋体" w:eastAsia="宋体" w:cs="宋体"/>
                <w:bCs/>
                <w:color w:val="auto"/>
                <w:kern w:val="0"/>
                <w:sz w:val="21"/>
                <w:szCs w:val="21"/>
                <w:lang w:eastAsia="zh-CN"/>
              </w:rPr>
              <w:t>；</w:t>
            </w:r>
          </w:p>
          <w:p w14:paraId="6639D0ED">
            <w:pPr>
              <w:keepNext w:val="0"/>
              <w:keepLines w:val="0"/>
              <w:pageBreakBefore w:val="0"/>
              <w:widowControl w:val="0"/>
              <w:tabs>
                <w:tab w:val="left" w:pos="6031"/>
              </w:tabs>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val="en-US" w:eastAsia="zh-CN"/>
              </w:rPr>
              <w:t>12.</w:t>
            </w:r>
            <w:r>
              <w:rPr>
                <w:rFonts w:hint="eastAsia" w:ascii="宋体" w:hAnsi="宋体" w:eastAsia="宋体" w:cs="宋体"/>
                <w:bCs/>
                <w:color w:val="auto"/>
                <w:kern w:val="0"/>
                <w:sz w:val="21"/>
                <w:szCs w:val="21"/>
              </w:rPr>
              <w:t xml:space="preserve">两虫染色试剂盒  </w:t>
            </w:r>
            <w:r>
              <w:rPr>
                <w:rFonts w:hint="eastAsia" w:ascii="宋体" w:hAnsi="宋体" w:eastAsia="宋体" w:cs="宋体"/>
                <w:bCs/>
                <w:color w:val="auto"/>
                <w:kern w:val="0"/>
                <w:sz w:val="21"/>
                <w:szCs w:val="21"/>
                <w:lang w:val="en-US" w:eastAsia="zh-CN"/>
              </w:rPr>
              <w:t>20次/盒                       1</w:t>
            </w:r>
            <w:r>
              <w:rPr>
                <w:rFonts w:hint="eastAsia" w:ascii="宋体" w:hAnsi="宋体" w:eastAsia="宋体" w:cs="宋体"/>
                <w:bCs/>
                <w:color w:val="auto"/>
                <w:kern w:val="0"/>
                <w:sz w:val="21"/>
                <w:szCs w:val="21"/>
              </w:rPr>
              <w:t>盒</w:t>
            </w:r>
            <w:r>
              <w:rPr>
                <w:rFonts w:hint="eastAsia" w:ascii="宋体" w:hAnsi="宋体" w:eastAsia="宋体" w:cs="宋体"/>
                <w:bCs/>
                <w:color w:val="auto"/>
                <w:kern w:val="0"/>
                <w:sz w:val="21"/>
                <w:szCs w:val="21"/>
                <w:lang w:eastAsia="zh-CN"/>
              </w:rPr>
              <w:t>；</w:t>
            </w:r>
          </w:p>
          <w:p w14:paraId="41658253">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val="en-US" w:eastAsia="zh-CN"/>
              </w:rPr>
              <w:t>13.</w:t>
            </w:r>
            <w:r>
              <w:rPr>
                <w:rFonts w:hint="eastAsia" w:ascii="宋体" w:hAnsi="宋体" w:eastAsia="宋体" w:cs="宋体"/>
                <w:bCs/>
                <w:color w:val="auto"/>
                <w:kern w:val="0"/>
                <w:sz w:val="21"/>
                <w:szCs w:val="21"/>
              </w:rPr>
              <w:t xml:space="preserve">两虫免疫磁分离试剂盒 </w:t>
            </w:r>
            <w:r>
              <w:rPr>
                <w:rFonts w:hint="eastAsia" w:ascii="宋体" w:hAnsi="宋体" w:eastAsia="宋体" w:cs="宋体"/>
                <w:bCs/>
                <w:color w:val="auto"/>
                <w:kern w:val="0"/>
                <w:sz w:val="21"/>
                <w:szCs w:val="21"/>
                <w:lang w:val="en-US" w:eastAsia="zh-CN"/>
              </w:rPr>
              <w:t>10次/盒                  1</w:t>
            </w:r>
            <w:r>
              <w:rPr>
                <w:rFonts w:hint="eastAsia" w:ascii="宋体" w:hAnsi="宋体" w:eastAsia="宋体" w:cs="宋体"/>
                <w:bCs/>
                <w:color w:val="auto"/>
                <w:kern w:val="0"/>
                <w:sz w:val="21"/>
                <w:szCs w:val="21"/>
              </w:rPr>
              <w:t>盒</w:t>
            </w:r>
            <w:r>
              <w:rPr>
                <w:rFonts w:hint="eastAsia" w:ascii="宋体" w:hAnsi="宋体" w:eastAsia="宋体" w:cs="宋体"/>
                <w:bCs/>
                <w:color w:val="auto"/>
                <w:kern w:val="0"/>
                <w:sz w:val="21"/>
                <w:szCs w:val="21"/>
                <w:lang w:eastAsia="zh-CN"/>
              </w:rPr>
              <w:t>；</w:t>
            </w:r>
          </w:p>
          <w:p w14:paraId="1D6925B1">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val="en-US" w:eastAsia="zh-CN"/>
              </w:rPr>
              <w:t>14.</w:t>
            </w:r>
            <w:r>
              <w:rPr>
                <w:rFonts w:hint="eastAsia" w:ascii="宋体" w:hAnsi="宋体" w:eastAsia="宋体" w:cs="宋体"/>
                <w:bCs/>
                <w:color w:val="auto"/>
                <w:kern w:val="0"/>
                <w:sz w:val="21"/>
                <w:szCs w:val="21"/>
              </w:rPr>
              <w:t xml:space="preserve">免疫磁分离法专用井型载玻片 </w:t>
            </w:r>
            <w:r>
              <w:rPr>
                <w:rFonts w:hint="eastAsia" w:ascii="宋体" w:hAnsi="宋体" w:eastAsia="宋体" w:cs="宋体"/>
                <w:bCs/>
                <w:color w:val="auto"/>
                <w:kern w:val="0"/>
                <w:sz w:val="21"/>
                <w:szCs w:val="21"/>
                <w:lang w:val="en-US" w:eastAsia="zh-CN"/>
              </w:rPr>
              <w:t xml:space="preserve">                  </w:t>
            </w:r>
            <w:r>
              <w:rPr>
                <w:rFonts w:hint="eastAsia" w:ascii="宋体" w:hAnsi="宋体" w:eastAsia="宋体" w:cs="宋体"/>
                <w:bCs/>
                <w:color w:val="auto"/>
                <w:kern w:val="0"/>
                <w:sz w:val="21"/>
                <w:szCs w:val="21"/>
              </w:rPr>
              <w:t xml:space="preserve"> </w:t>
            </w:r>
            <w:r>
              <w:rPr>
                <w:rFonts w:hint="eastAsia" w:ascii="宋体" w:hAnsi="宋体" w:eastAsia="宋体" w:cs="宋体"/>
                <w:bCs/>
                <w:color w:val="auto"/>
                <w:kern w:val="0"/>
                <w:sz w:val="21"/>
                <w:szCs w:val="21"/>
                <w:lang w:val="en-US" w:eastAsia="zh-CN"/>
              </w:rPr>
              <w:t>1</w:t>
            </w:r>
            <w:r>
              <w:rPr>
                <w:rFonts w:hint="eastAsia" w:ascii="宋体" w:hAnsi="宋体" w:eastAsia="宋体" w:cs="宋体"/>
                <w:bCs/>
                <w:color w:val="auto"/>
                <w:kern w:val="0"/>
                <w:sz w:val="21"/>
                <w:szCs w:val="21"/>
              </w:rPr>
              <w:t>盒</w:t>
            </w:r>
            <w:r>
              <w:rPr>
                <w:rFonts w:hint="eastAsia" w:ascii="宋体" w:hAnsi="宋体" w:eastAsia="宋体" w:cs="宋体"/>
                <w:bCs/>
                <w:color w:val="auto"/>
                <w:kern w:val="0"/>
                <w:sz w:val="21"/>
                <w:szCs w:val="21"/>
                <w:lang w:eastAsia="zh-CN"/>
              </w:rPr>
              <w:t>；</w:t>
            </w:r>
          </w:p>
          <w:p w14:paraId="3A5E0093">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val="en-US" w:eastAsia="zh-CN"/>
              </w:rPr>
              <w:t>15.</w:t>
            </w:r>
            <w:r>
              <w:rPr>
                <w:rFonts w:hint="eastAsia" w:ascii="宋体" w:hAnsi="宋体" w:eastAsia="宋体" w:cs="宋体"/>
                <w:bCs/>
                <w:color w:val="auto"/>
                <w:kern w:val="0"/>
                <w:sz w:val="21"/>
                <w:szCs w:val="21"/>
              </w:rPr>
              <w:t xml:space="preserve">盖玻片 </w:t>
            </w:r>
            <w:r>
              <w:rPr>
                <w:rFonts w:hint="eastAsia" w:ascii="宋体" w:hAnsi="宋体" w:eastAsia="宋体" w:cs="宋体"/>
                <w:bCs/>
                <w:color w:val="auto"/>
                <w:kern w:val="0"/>
                <w:sz w:val="21"/>
                <w:szCs w:val="21"/>
                <w:lang w:val="en-US" w:eastAsia="zh-CN"/>
              </w:rPr>
              <w:t xml:space="preserve">                                      </w:t>
            </w:r>
            <w:r>
              <w:rPr>
                <w:rFonts w:hint="eastAsia" w:ascii="宋体" w:hAnsi="宋体" w:eastAsia="宋体" w:cs="宋体"/>
                <w:bCs/>
                <w:color w:val="auto"/>
                <w:kern w:val="0"/>
                <w:sz w:val="21"/>
                <w:szCs w:val="21"/>
              </w:rPr>
              <w:t xml:space="preserve"> </w:t>
            </w:r>
            <w:r>
              <w:rPr>
                <w:rFonts w:hint="eastAsia" w:ascii="宋体" w:hAnsi="宋体" w:eastAsia="宋体" w:cs="宋体"/>
                <w:bCs/>
                <w:color w:val="auto"/>
                <w:kern w:val="0"/>
                <w:sz w:val="21"/>
                <w:szCs w:val="21"/>
                <w:lang w:val="en-US" w:eastAsia="zh-CN"/>
              </w:rPr>
              <w:t>1</w:t>
            </w:r>
            <w:r>
              <w:rPr>
                <w:rFonts w:hint="eastAsia" w:ascii="宋体" w:hAnsi="宋体" w:eastAsia="宋体" w:cs="宋体"/>
                <w:bCs/>
                <w:color w:val="auto"/>
                <w:kern w:val="0"/>
                <w:sz w:val="21"/>
                <w:szCs w:val="21"/>
              </w:rPr>
              <w:t>盒</w:t>
            </w:r>
            <w:r>
              <w:rPr>
                <w:rFonts w:hint="eastAsia" w:ascii="宋体" w:hAnsi="宋体" w:eastAsia="宋体" w:cs="宋体"/>
                <w:bCs/>
                <w:color w:val="auto"/>
                <w:kern w:val="0"/>
                <w:sz w:val="21"/>
                <w:szCs w:val="21"/>
                <w:lang w:eastAsia="zh-CN"/>
              </w:rPr>
              <w:t>；</w:t>
            </w:r>
          </w:p>
          <w:p w14:paraId="6D795100">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lang w:val="en-US" w:eastAsia="zh-CN"/>
              </w:rPr>
            </w:pPr>
            <w:r>
              <w:rPr>
                <w:rFonts w:hint="eastAsia" w:ascii="宋体" w:hAnsi="宋体" w:eastAsia="宋体" w:cs="宋体"/>
                <w:bCs/>
                <w:color w:val="auto"/>
                <w:kern w:val="0"/>
                <w:sz w:val="21"/>
                <w:szCs w:val="21"/>
                <w:lang w:val="en-US" w:eastAsia="zh-CN"/>
              </w:rPr>
              <w:t>16.</w:t>
            </w:r>
            <w:r>
              <w:rPr>
                <w:rFonts w:hint="eastAsia" w:ascii="宋体" w:hAnsi="宋体" w:eastAsia="宋体" w:cs="宋体"/>
                <w:bCs/>
                <w:color w:val="auto"/>
                <w:kern w:val="0"/>
                <w:sz w:val="21"/>
                <w:szCs w:val="21"/>
              </w:rPr>
              <w:t>贾第鞭毛虫隐孢子虫质控样品</w:t>
            </w:r>
            <w:r>
              <w:rPr>
                <w:rFonts w:hint="eastAsia" w:ascii="宋体" w:hAnsi="宋体" w:eastAsia="宋体" w:cs="宋体"/>
                <w:bCs/>
                <w:color w:val="auto"/>
                <w:kern w:val="0"/>
                <w:sz w:val="21"/>
                <w:szCs w:val="21"/>
                <w:lang w:val="en-US" w:eastAsia="zh-CN"/>
              </w:rPr>
              <w:t xml:space="preserve"> 4支/盒            1盒；</w:t>
            </w:r>
          </w:p>
          <w:p w14:paraId="31F5B77F">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val="en-US" w:eastAsia="zh-CN"/>
              </w:rPr>
              <w:t>17.</w:t>
            </w:r>
            <w:r>
              <w:rPr>
                <w:rFonts w:hint="eastAsia" w:ascii="宋体" w:hAnsi="宋体" w:eastAsia="宋体" w:cs="宋体"/>
                <w:bCs/>
                <w:color w:val="auto"/>
                <w:kern w:val="0"/>
                <w:sz w:val="21"/>
                <w:szCs w:val="21"/>
              </w:rPr>
              <w:t>囊式过滤器</w:t>
            </w:r>
            <w:r>
              <w:rPr>
                <w:rFonts w:hint="eastAsia" w:ascii="宋体" w:hAnsi="宋体" w:eastAsia="宋体" w:cs="宋体"/>
                <w:bCs/>
                <w:color w:val="auto"/>
                <w:kern w:val="0"/>
                <w:sz w:val="21"/>
                <w:szCs w:val="21"/>
                <w:lang w:val="en-US" w:eastAsia="zh-CN"/>
              </w:rPr>
              <w:t xml:space="preserve"> 10个/盒                           1</w:t>
            </w:r>
            <w:r>
              <w:rPr>
                <w:rFonts w:hint="eastAsia" w:ascii="宋体" w:hAnsi="宋体" w:eastAsia="宋体" w:cs="宋体"/>
                <w:bCs/>
                <w:color w:val="auto"/>
                <w:kern w:val="0"/>
                <w:sz w:val="21"/>
                <w:szCs w:val="21"/>
              </w:rPr>
              <w:t>盒</w:t>
            </w:r>
            <w:r>
              <w:rPr>
                <w:rFonts w:hint="eastAsia" w:ascii="宋体" w:hAnsi="宋体" w:eastAsia="宋体" w:cs="宋体"/>
                <w:bCs/>
                <w:color w:val="auto"/>
                <w:kern w:val="0"/>
                <w:sz w:val="21"/>
                <w:szCs w:val="21"/>
                <w:lang w:eastAsia="zh-CN"/>
              </w:rPr>
              <w:t>；</w:t>
            </w:r>
          </w:p>
          <w:p w14:paraId="26F6FFF9">
            <w:pPr>
              <w:keepNext w:val="0"/>
              <w:keepLines w:val="0"/>
              <w:pageBreakBefore w:val="0"/>
              <w:widowControl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auto"/>
                <w:kern w:val="0"/>
                <w:sz w:val="21"/>
                <w:szCs w:val="21"/>
                <w:lang w:val="en-US" w:eastAsia="en-US"/>
              </w:rPr>
            </w:pPr>
            <w:r>
              <w:rPr>
                <w:rFonts w:hint="eastAsia" w:ascii="宋体" w:hAnsi="宋体" w:eastAsia="宋体" w:cs="宋体"/>
                <w:bCs/>
                <w:color w:val="auto"/>
                <w:kern w:val="0"/>
                <w:sz w:val="21"/>
                <w:szCs w:val="21"/>
                <w:lang w:val="en-US" w:eastAsia="zh-CN"/>
              </w:rPr>
              <w:t>18.</w:t>
            </w:r>
            <w:r>
              <w:rPr>
                <w:rFonts w:hint="eastAsia" w:ascii="宋体" w:hAnsi="宋体" w:eastAsia="宋体" w:cs="宋体"/>
                <w:bCs/>
                <w:color w:val="auto"/>
                <w:kern w:val="0"/>
                <w:sz w:val="21"/>
                <w:szCs w:val="21"/>
              </w:rPr>
              <w:t>滤膜浓缩/密度梯度分离荧光抗体法检测试剂盒</w:t>
            </w:r>
            <w:r>
              <w:rPr>
                <w:rFonts w:hint="eastAsia" w:ascii="宋体" w:hAnsi="宋体" w:eastAsia="宋体" w:cs="宋体"/>
                <w:bCs/>
                <w:color w:val="auto"/>
                <w:kern w:val="0"/>
                <w:sz w:val="21"/>
                <w:szCs w:val="21"/>
                <w:lang w:val="en-US" w:eastAsia="zh-CN"/>
              </w:rPr>
              <w:t xml:space="preserve">    </w:t>
            </w:r>
            <w:r>
              <w:rPr>
                <w:rFonts w:hint="eastAsia" w:ascii="宋体" w:hAnsi="宋体" w:eastAsia="宋体" w:cs="宋体"/>
                <w:bCs/>
                <w:color w:val="auto"/>
                <w:kern w:val="0"/>
                <w:sz w:val="21"/>
                <w:szCs w:val="21"/>
              </w:rPr>
              <w:t xml:space="preserve"> </w:t>
            </w:r>
            <w:r>
              <w:rPr>
                <w:rFonts w:hint="eastAsia" w:ascii="宋体" w:hAnsi="宋体" w:eastAsia="宋体" w:cs="宋体"/>
                <w:bCs/>
                <w:color w:val="auto"/>
                <w:kern w:val="0"/>
                <w:sz w:val="21"/>
                <w:szCs w:val="21"/>
                <w:lang w:val="en-US" w:eastAsia="zh-CN"/>
              </w:rPr>
              <w:t>1</w:t>
            </w:r>
            <w:r>
              <w:rPr>
                <w:rFonts w:hint="eastAsia" w:ascii="宋体" w:hAnsi="宋体" w:eastAsia="宋体" w:cs="宋体"/>
                <w:bCs/>
                <w:color w:val="auto"/>
                <w:kern w:val="0"/>
                <w:sz w:val="21"/>
                <w:szCs w:val="21"/>
              </w:rPr>
              <w:t>套</w:t>
            </w:r>
            <w:r>
              <w:rPr>
                <w:rFonts w:hint="eastAsia" w:ascii="宋体" w:hAnsi="宋体" w:eastAsia="宋体" w:cs="宋体"/>
                <w:bCs/>
                <w:color w:val="auto"/>
                <w:kern w:val="0"/>
                <w:sz w:val="21"/>
                <w:szCs w:val="21"/>
                <w:lang w:eastAsia="zh-CN"/>
              </w:rPr>
              <w:t>；</w:t>
            </w:r>
          </w:p>
        </w:tc>
      </w:tr>
      <w:tr w14:paraId="38481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shd w:val="clear" w:color="auto" w:fill="auto"/>
            <w:vAlign w:val="center"/>
          </w:tcPr>
          <w:p w14:paraId="190B4B66">
            <w:pPr>
              <w:pStyle w:val="116"/>
              <w:spacing w:before="79" w:line="360" w:lineRule="auto"/>
              <w:ind w:left="125"/>
              <w:jc w:val="center"/>
              <w:rPr>
                <w:rFonts w:hint="eastAsia" w:ascii="宋体" w:hAnsi="宋体" w:eastAsia="宋体" w:cs="宋体"/>
                <w:sz w:val="21"/>
                <w:szCs w:val="21"/>
              </w:rPr>
            </w:pPr>
          </w:p>
          <w:p w14:paraId="3F528FC6">
            <w:pPr>
              <w:pStyle w:val="116"/>
              <w:spacing w:before="79" w:line="360" w:lineRule="auto"/>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17</w:t>
            </w:r>
          </w:p>
        </w:tc>
        <w:tc>
          <w:tcPr>
            <w:tcW w:w="2024" w:type="dxa"/>
            <w:shd w:val="clear" w:color="auto" w:fill="auto"/>
            <w:vAlign w:val="center"/>
          </w:tcPr>
          <w:p w14:paraId="49A8A5DC">
            <w:pPr>
              <w:pStyle w:val="116"/>
              <w:spacing w:before="79" w:line="360" w:lineRule="auto"/>
              <w:ind w:left="125"/>
              <w:jc w:val="center"/>
              <w:rPr>
                <w:rFonts w:hint="eastAsia" w:ascii="宋体" w:hAnsi="宋体" w:eastAsia="宋体" w:cs="宋体"/>
                <w:sz w:val="21"/>
                <w:szCs w:val="21"/>
              </w:rPr>
            </w:pPr>
          </w:p>
          <w:p w14:paraId="1542AB72">
            <w:pPr>
              <w:pStyle w:val="116"/>
              <w:spacing w:before="79" w:line="360" w:lineRule="auto"/>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浮游植物浓缩沉降 器</w:t>
            </w:r>
          </w:p>
        </w:tc>
        <w:tc>
          <w:tcPr>
            <w:tcW w:w="1424" w:type="dxa"/>
            <w:shd w:val="clear" w:color="auto" w:fill="auto"/>
            <w:vAlign w:val="center"/>
          </w:tcPr>
          <w:p w14:paraId="3989E894">
            <w:pPr>
              <w:pStyle w:val="116"/>
              <w:spacing w:before="79" w:line="360" w:lineRule="auto"/>
              <w:jc w:val="center"/>
              <w:rPr>
                <w:rFonts w:hint="eastAsia" w:ascii="宋体" w:hAnsi="宋体" w:eastAsia="宋体" w:cs="宋体"/>
                <w:sz w:val="21"/>
                <w:szCs w:val="21"/>
              </w:rPr>
            </w:pPr>
            <w:r>
              <w:rPr>
                <w:rFonts w:hint="eastAsia" w:ascii="宋体" w:hAnsi="宋体" w:eastAsia="宋体" w:cs="宋体"/>
                <w:sz w:val="21"/>
                <w:szCs w:val="21"/>
              </w:rPr>
              <w:t>用于浮游植</w:t>
            </w:r>
          </w:p>
          <w:p w14:paraId="3D373C00">
            <w:pPr>
              <w:pStyle w:val="116"/>
              <w:spacing w:before="79" w:line="360" w:lineRule="auto"/>
              <w:ind w:left="125"/>
              <w:jc w:val="center"/>
              <w:rPr>
                <w:rFonts w:hint="eastAsia" w:ascii="宋体" w:hAnsi="宋体" w:eastAsia="宋体" w:cs="宋体"/>
                <w:sz w:val="21"/>
                <w:szCs w:val="21"/>
              </w:rPr>
            </w:pPr>
            <w:r>
              <w:rPr>
                <w:rFonts w:hint="eastAsia" w:ascii="宋体" w:hAnsi="宋体" w:eastAsia="宋体" w:cs="宋体"/>
                <w:sz w:val="21"/>
                <w:szCs w:val="21"/>
              </w:rPr>
              <w:t>物样品前处</w:t>
            </w:r>
          </w:p>
          <w:p w14:paraId="24393974">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理中的细胞 浓缩沉降</w:t>
            </w:r>
          </w:p>
        </w:tc>
        <w:tc>
          <w:tcPr>
            <w:tcW w:w="775" w:type="dxa"/>
            <w:shd w:val="clear" w:color="auto" w:fill="auto"/>
            <w:vAlign w:val="center"/>
          </w:tcPr>
          <w:p w14:paraId="58A92783">
            <w:pPr>
              <w:pStyle w:val="116"/>
              <w:spacing w:before="79" w:line="360" w:lineRule="auto"/>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台</w:t>
            </w:r>
          </w:p>
        </w:tc>
        <w:tc>
          <w:tcPr>
            <w:tcW w:w="667" w:type="dxa"/>
            <w:shd w:val="clear" w:color="auto" w:fill="auto"/>
            <w:vAlign w:val="center"/>
          </w:tcPr>
          <w:p w14:paraId="4E23D4F9">
            <w:pPr>
              <w:pStyle w:val="116"/>
              <w:spacing w:before="79" w:line="360" w:lineRule="auto"/>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1</w:t>
            </w:r>
          </w:p>
        </w:tc>
        <w:tc>
          <w:tcPr>
            <w:tcW w:w="8047" w:type="dxa"/>
            <w:shd w:val="clear" w:color="auto" w:fill="auto"/>
            <w:vAlign w:val="top"/>
          </w:tcPr>
          <w:p w14:paraId="5D744CA4">
            <w:pPr>
              <w:pStyle w:val="116"/>
              <w:spacing w:before="79" w:line="360" w:lineRule="auto"/>
              <w:ind w:left="125"/>
              <w:rPr>
                <w:rFonts w:hint="eastAsia" w:ascii="宋体" w:hAnsi="宋体" w:eastAsia="宋体" w:cs="宋体"/>
                <w:b/>
                <w:bCs/>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沉降架为不锈钢材质可拆卸</w:t>
            </w:r>
            <w:r>
              <w:rPr>
                <w:rFonts w:hint="eastAsia" w:ascii="宋体" w:hAnsi="宋体" w:eastAsia="宋体" w:cs="宋体"/>
                <w:color w:val="auto"/>
                <w:sz w:val="21"/>
                <w:szCs w:val="21"/>
                <w:lang w:val="en-US" w:eastAsia="zh-CN"/>
              </w:rPr>
              <w:t xml:space="preserve"> 4孔</w:t>
            </w:r>
          </w:p>
          <w:p w14:paraId="20996097">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沉降管为玻璃材质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分液漏斗配套抽滤配件。</w:t>
            </w:r>
          </w:p>
          <w:p w14:paraId="1F78E08B">
            <w:pPr>
              <w:pStyle w:val="116"/>
              <w:spacing w:before="79" w:line="360" w:lineRule="auto"/>
              <w:ind w:left="125"/>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可定量抽取上清液</w:t>
            </w:r>
          </w:p>
          <w:p w14:paraId="3081391C">
            <w:pPr>
              <w:pStyle w:val="116"/>
              <w:spacing w:before="79" w:line="360" w:lineRule="auto"/>
              <w:ind w:left="125"/>
              <w:rPr>
                <w:rFonts w:hint="eastAsia" w:ascii="宋体" w:hAnsi="宋体" w:eastAsia="宋体" w:cs="宋体"/>
                <w:kern w:val="2"/>
                <w:sz w:val="21"/>
                <w:szCs w:val="21"/>
                <w:lang w:val="en-US" w:eastAsia="en-US" w:bidi="ar-SA"/>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可用于浮游生物样品的沉降</w:t>
            </w:r>
          </w:p>
        </w:tc>
      </w:tr>
      <w:tr w14:paraId="57C3B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shd w:val="clear" w:color="auto" w:fill="auto"/>
            <w:vAlign w:val="center"/>
          </w:tcPr>
          <w:p w14:paraId="37EB6F29">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18</w:t>
            </w:r>
          </w:p>
        </w:tc>
        <w:tc>
          <w:tcPr>
            <w:tcW w:w="2024" w:type="dxa"/>
            <w:shd w:val="clear" w:color="auto" w:fill="auto"/>
            <w:vAlign w:val="center"/>
          </w:tcPr>
          <w:p w14:paraId="651D0D7B">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超声处理装置</w:t>
            </w:r>
          </w:p>
        </w:tc>
        <w:tc>
          <w:tcPr>
            <w:tcW w:w="1424" w:type="dxa"/>
            <w:shd w:val="clear" w:color="auto" w:fill="auto"/>
            <w:vAlign w:val="center"/>
          </w:tcPr>
          <w:p w14:paraId="537BEC03">
            <w:pPr>
              <w:pStyle w:val="116"/>
              <w:spacing w:before="79" w:line="360" w:lineRule="auto"/>
              <w:ind w:left="125"/>
              <w:jc w:val="center"/>
              <w:rPr>
                <w:rFonts w:hint="eastAsia" w:ascii="宋体" w:hAnsi="宋体" w:eastAsia="宋体" w:cs="宋体"/>
                <w:sz w:val="21"/>
                <w:szCs w:val="21"/>
              </w:rPr>
            </w:pPr>
            <w:r>
              <w:rPr>
                <w:rFonts w:hint="eastAsia" w:ascii="宋体" w:hAnsi="宋体" w:eastAsia="宋体" w:cs="宋体"/>
                <w:sz w:val="21"/>
                <w:szCs w:val="21"/>
              </w:rPr>
              <w:t>用于浮游植</w:t>
            </w:r>
          </w:p>
          <w:p w14:paraId="7FEC1925">
            <w:pPr>
              <w:pStyle w:val="116"/>
              <w:spacing w:before="79" w:line="360" w:lineRule="auto"/>
              <w:ind w:left="125"/>
              <w:jc w:val="center"/>
              <w:rPr>
                <w:rFonts w:hint="eastAsia" w:ascii="宋体" w:hAnsi="宋体" w:eastAsia="宋体" w:cs="宋体"/>
                <w:sz w:val="21"/>
                <w:szCs w:val="21"/>
              </w:rPr>
            </w:pPr>
            <w:r>
              <w:rPr>
                <w:rFonts w:hint="eastAsia" w:ascii="宋体" w:hAnsi="宋体" w:eastAsia="宋体" w:cs="宋体"/>
                <w:sz w:val="21"/>
                <w:szCs w:val="21"/>
              </w:rPr>
              <w:t>物样品前处</w:t>
            </w:r>
          </w:p>
          <w:p w14:paraId="46D72D38">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理中的细胞 分散</w:t>
            </w:r>
          </w:p>
        </w:tc>
        <w:tc>
          <w:tcPr>
            <w:tcW w:w="775" w:type="dxa"/>
            <w:shd w:val="clear" w:color="auto" w:fill="auto"/>
            <w:vAlign w:val="center"/>
          </w:tcPr>
          <w:p w14:paraId="68A0A2C7">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台</w:t>
            </w:r>
          </w:p>
        </w:tc>
        <w:tc>
          <w:tcPr>
            <w:tcW w:w="667" w:type="dxa"/>
            <w:shd w:val="clear" w:color="auto" w:fill="auto"/>
            <w:vAlign w:val="center"/>
          </w:tcPr>
          <w:p w14:paraId="22F1D0FE">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1</w:t>
            </w:r>
          </w:p>
        </w:tc>
        <w:tc>
          <w:tcPr>
            <w:tcW w:w="8047" w:type="dxa"/>
            <w:shd w:val="clear" w:color="auto" w:fill="auto"/>
            <w:vAlign w:val="top"/>
          </w:tcPr>
          <w:p w14:paraId="53CF79D7">
            <w:pPr>
              <w:numPr>
                <w:ilvl w:val="0"/>
                <w:numId w:val="0"/>
              </w:numPr>
              <w:spacing w:line="360" w:lineRule="auto"/>
              <w:ind w:left="122" w:leftChars="0"/>
              <w:rPr>
                <w:rFonts w:hint="eastAsia" w:ascii="宋体" w:hAnsi="宋体" w:eastAsia="宋体" w:cs="宋体"/>
                <w:color w:val="000000" w:themeColor="text1"/>
                <w:sz w:val="21"/>
                <w:szCs w:val="21"/>
                <w:u w:val="none"/>
                <w:lang w:eastAsia="zh-CN"/>
                <w14:textFill>
                  <w14:solidFill>
                    <w14:schemeClr w14:val="tx1"/>
                  </w14:solidFill>
                </w14:textFill>
              </w:rPr>
            </w:pPr>
            <w:r>
              <w:rPr>
                <w:rFonts w:hint="eastAsia" w:ascii="宋体" w:hAnsi="宋体" w:eastAsia="宋体" w:cs="宋体"/>
                <w:color w:val="000000" w:themeColor="text1"/>
                <w:sz w:val="21"/>
                <w:szCs w:val="21"/>
                <w:u w:val="none"/>
                <w:lang w:val="en-US" w:eastAsia="en-US"/>
                <w14:textFill>
                  <w14:solidFill>
                    <w14:schemeClr w14:val="tx1"/>
                  </w14:solidFill>
                </w14:textFill>
              </w:rPr>
              <w:t>★</w:t>
            </w:r>
            <w:r>
              <w:rPr>
                <w:rFonts w:hint="eastAsia" w:ascii="宋体" w:hAnsi="宋体" w:eastAsia="宋体" w:cs="宋体"/>
                <w:color w:val="000000" w:themeColor="text1"/>
                <w:sz w:val="21"/>
                <w:szCs w:val="21"/>
                <w:u w:val="none"/>
                <w:lang w:val="en-US" w:eastAsia="zh-CN"/>
                <w14:textFill>
                  <w14:solidFill>
                    <w14:schemeClr w14:val="tx1"/>
                  </w14:solidFill>
                </w14:textFill>
              </w:rPr>
              <w:t>1、</w:t>
            </w:r>
            <w:r>
              <w:rPr>
                <w:rFonts w:hint="eastAsia" w:ascii="宋体" w:hAnsi="宋体" w:eastAsia="宋体" w:cs="宋体"/>
                <w:color w:val="000000" w:themeColor="text1"/>
                <w:sz w:val="21"/>
                <w:szCs w:val="21"/>
                <w:u w:val="none"/>
                <w14:textFill>
                  <w14:solidFill>
                    <w14:schemeClr w14:val="tx1"/>
                  </w14:solidFill>
                </w14:textFill>
              </w:rPr>
              <w:t>真彩</w:t>
            </w:r>
            <w:r>
              <w:rPr>
                <w:rFonts w:hint="eastAsia" w:ascii="宋体" w:hAnsi="宋体" w:eastAsia="宋体" w:cs="宋体"/>
                <w:color w:val="000000" w:themeColor="text1"/>
                <w:sz w:val="21"/>
                <w:szCs w:val="21"/>
                <w:u w:val="none"/>
                <w:lang w:eastAsia="zh-CN"/>
                <w14:textFill>
                  <w14:solidFill>
                    <w14:schemeClr w14:val="tx1"/>
                  </w14:solidFill>
                </w14:textFill>
              </w:rPr>
              <w:t>不低于</w:t>
            </w:r>
            <w:r>
              <w:rPr>
                <w:rFonts w:hint="eastAsia" w:ascii="宋体" w:hAnsi="宋体" w:eastAsia="宋体" w:cs="宋体"/>
                <w:color w:val="000000" w:themeColor="text1"/>
                <w:sz w:val="21"/>
                <w:szCs w:val="21"/>
                <w:u w:val="none"/>
                <w14:textFill>
                  <w14:solidFill>
                    <w14:schemeClr w14:val="tx1"/>
                  </w14:solidFill>
                </w14:textFill>
              </w:rPr>
              <w:t>7寸触摸电容屏高清晰显示</w:t>
            </w:r>
            <w:r>
              <w:rPr>
                <w:rFonts w:hint="eastAsia" w:ascii="宋体" w:hAnsi="宋体" w:eastAsia="宋体" w:cs="宋体"/>
                <w:color w:val="000000" w:themeColor="text1"/>
                <w:sz w:val="21"/>
                <w:szCs w:val="21"/>
                <w:u w:val="none"/>
                <w:lang w:eastAsia="zh-CN"/>
                <w14:textFill>
                  <w14:solidFill>
                    <w14:schemeClr w14:val="tx1"/>
                  </w14:solidFill>
                </w14:textFill>
              </w:rPr>
              <w:t>，</w:t>
            </w:r>
            <w:r>
              <w:rPr>
                <w:rFonts w:hint="eastAsia" w:ascii="宋体" w:hAnsi="宋体" w:eastAsia="宋体" w:cs="宋体"/>
                <w:color w:val="000000" w:themeColor="text1"/>
                <w:sz w:val="21"/>
                <w:szCs w:val="21"/>
                <w:u w:val="none"/>
                <w14:textFill>
                  <w14:solidFill>
                    <w14:schemeClr w14:val="tx1"/>
                  </w14:solidFill>
                </w14:textFill>
              </w:rPr>
              <w:t>具有超温、过载和时间报警功能，设有用户密码保护功能，设有紫外灭菌和门锁功能；外置透明前门，内置LED灯高亮照明上下堆叠式设计</w:t>
            </w:r>
            <w:r>
              <w:rPr>
                <w:rFonts w:hint="eastAsia" w:ascii="宋体" w:hAnsi="宋体" w:eastAsia="宋体" w:cs="宋体"/>
                <w:color w:val="000000" w:themeColor="text1"/>
                <w:sz w:val="21"/>
                <w:szCs w:val="21"/>
                <w:u w:val="none"/>
                <w:lang w:eastAsia="zh-CN"/>
                <w14:textFill>
                  <w14:solidFill>
                    <w14:schemeClr w14:val="tx1"/>
                  </w14:solidFill>
                </w14:textFill>
              </w:rPr>
              <w:t>，</w:t>
            </w:r>
            <w:r>
              <w:rPr>
                <w:rFonts w:hint="eastAsia" w:ascii="宋体" w:hAnsi="宋体" w:eastAsia="宋体" w:cs="宋体"/>
                <w:color w:val="000000" w:themeColor="text1"/>
                <w:sz w:val="21"/>
                <w:szCs w:val="21"/>
                <w:u w:val="none"/>
                <w14:textFill>
                  <w14:solidFill>
                    <w14:schemeClr w14:val="tx1"/>
                  </w14:solidFill>
                </w14:textFill>
              </w:rPr>
              <w:t>智能储存，可创建并储存多达20组操作程序；电动升降座（配</w:t>
            </w:r>
            <w:r>
              <w:rPr>
                <w:rFonts w:hint="eastAsia" w:ascii="宋体" w:hAnsi="宋体" w:eastAsia="宋体" w:cs="宋体"/>
                <w:color w:val="000000" w:themeColor="text1"/>
                <w:sz w:val="21"/>
                <w:szCs w:val="21"/>
                <w:u w:val="none"/>
                <w:lang w:val="en-US" w:eastAsia="zh-CN"/>
                <w14:textFill>
                  <w14:solidFill>
                    <w14:schemeClr w14:val="tx1"/>
                  </w14:solidFill>
                </w14:textFill>
              </w:rPr>
              <w:t>红外</w:t>
            </w:r>
            <w:r>
              <w:rPr>
                <w:rFonts w:hint="eastAsia" w:ascii="宋体" w:hAnsi="宋体" w:eastAsia="宋体" w:cs="宋体"/>
                <w:color w:val="000000" w:themeColor="text1"/>
                <w:sz w:val="21"/>
                <w:szCs w:val="21"/>
                <w:u w:val="none"/>
                <w14:textFill>
                  <w14:solidFill>
                    <w14:schemeClr w14:val="tx1"/>
                  </w14:solidFill>
                </w14:textFill>
              </w:rPr>
              <w:t>遥控器）通过上下按键调节基座的位置，免去繁琐的人工操作</w:t>
            </w:r>
            <w:r>
              <w:rPr>
                <w:rFonts w:hint="eastAsia" w:ascii="宋体" w:hAnsi="宋体" w:eastAsia="宋体" w:cs="宋体"/>
                <w:color w:val="000000" w:themeColor="text1"/>
                <w:sz w:val="21"/>
                <w:szCs w:val="21"/>
                <w:u w:val="none"/>
                <w:lang w:eastAsia="zh-CN"/>
                <w14:textFill>
                  <w14:solidFill>
                    <w14:schemeClr w14:val="tx1"/>
                  </w14:solidFill>
                </w14:textFill>
              </w:rPr>
              <w:t>。</w:t>
            </w:r>
          </w:p>
          <w:p w14:paraId="2B56E7F6">
            <w:pPr>
              <w:numPr>
                <w:ilvl w:val="0"/>
                <w:numId w:val="0"/>
              </w:numPr>
              <w:spacing w:line="360" w:lineRule="auto"/>
              <w:ind w:left="122" w:leftChars="0"/>
              <w:rPr>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sz w:val="21"/>
                <w:szCs w:val="21"/>
                <w:lang w:val="en-US" w:eastAsia="en-US"/>
              </w:rPr>
              <w:t>★</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u w:val="none"/>
                <w14:textFill>
                  <w14:solidFill>
                    <w14:schemeClr w14:val="tx1"/>
                  </w14:solidFill>
                </w14:textFill>
              </w:rPr>
              <w:t>远程控制，上位机设有远程监控通讯接口，可实现网络控制和远程打印的功能；</w:t>
            </w:r>
            <w:r>
              <w:rPr>
                <w:rFonts w:hint="eastAsia" w:ascii="宋体" w:hAnsi="宋体" w:eastAsia="宋体" w:cs="宋体"/>
                <w:color w:val="000000" w:themeColor="text1"/>
                <w:sz w:val="21"/>
                <w:szCs w:val="21"/>
                <w:u w:val="none"/>
                <w:lang w:val="en-US" w:eastAsia="zh-CN"/>
                <w14:textFill>
                  <w14:solidFill>
                    <w14:schemeClr w14:val="tx1"/>
                  </w14:solidFill>
                </w14:textFill>
              </w:rPr>
              <w:t>本机</w:t>
            </w:r>
            <w:r>
              <w:rPr>
                <w:rFonts w:hint="eastAsia" w:ascii="宋体" w:hAnsi="宋体" w:eastAsia="宋体" w:cs="宋体"/>
                <w:color w:val="000000" w:themeColor="text1"/>
                <w:sz w:val="21"/>
                <w:szCs w:val="21"/>
                <w:u w:val="none"/>
                <w14:textFill>
                  <w14:solidFill>
                    <w14:schemeClr w14:val="tx1"/>
                  </w14:solidFill>
                </w14:textFill>
              </w:rPr>
              <w:t>处理范围广，不同型号仪器可适用于不同客户的需求，具有0.2-500ml（可选配多种变幅杆</w:t>
            </w:r>
            <w:r>
              <w:rPr>
                <w:rFonts w:hint="eastAsia" w:ascii="宋体" w:hAnsi="宋体" w:eastAsia="宋体" w:cs="宋体"/>
                <w:color w:val="000000" w:themeColor="text1"/>
                <w:kern w:val="0"/>
                <w:sz w:val="21"/>
                <w:szCs w:val="21"/>
                <w:u w:val="none"/>
                <w14:textFill>
                  <w14:solidFill>
                    <w14:schemeClr w14:val="tx1"/>
                  </w14:solidFill>
                </w14:textFill>
              </w:rPr>
              <w:t>Φ2、3、6、8、10、12(mm)）</w:t>
            </w:r>
            <w:r>
              <w:rPr>
                <w:rFonts w:hint="eastAsia" w:ascii="宋体" w:hAnsi="宋体" w:eastAsia="宋体" w:cs="宋体"/>
                <w:color w:val="000000" w:themeColor="text1"/>
                <w:sz w:val="21"/>
                <w:szCs w:val="21"/>
                <w:u w:val="none"/>
                <w14:textFill>
                  <w14:solidFill>
                    <w14:schemeClr w14:val="tx1"/>
                  </w14:solidFill>
                </w14:textFill>
              </w:rPr>
              <w:t>的破碎量</w:t>
            </w:r>
            <w:r>
              <w:rPr>
                <w:rFonts w:hint="eastAsia" w:ascii="宋体" w:hAnsi="宋体" w:eastAsia="宋体" w:cs="宋体"/>
                <w:color w:val="000000" w:themeColor="text1"/>
                <w:sz w:val="21"/>
                <w:szCs w:val="21"/>
                <w:u w:val="none"/>
                <w:lang w:eastAsia="zh-CN"/>
                <w14:textFill>
                  <w14:solidFill>
                    <w14:schemeClr w14:val="tx1"/>
                  </w14:solidFill>
                </w14:textFill>
              </w:rPr>
              <w:t>，</w:t>
            </w:r>
            <w:r>
              <w:rPr>
                <w:rFonts w:hint="eastAsia" w:ascii="宋体" w:hAnsi="宋体" w:eastAsia="宋体" w:cs="宋体"/>
                <w:color w:val="000000" w:themeColor="text1"/>
                <w:sz w:val="21"/>
                <w:szCs w:val="21"/>
                <w:u w:val="none"/>
                <w:lang w:val="en-US" w:eastAsia="zh-CN"/>
                <w14:textFill>
                  <w14:solidFill>
                    <w14:schemeClr w14:val="tx1"/>
                  </w14:solidFill>
                </w14:textFill>
              </w:rPr>
              <w:t>变幅杆采用TC4钛合金材质</w:t>
            </w:r>
            <w:r>
              <w:rPr>
                <w:rFonts w:hint="eastAsia" w:ascii="宋体" w:hAnsi="宋体" w:eastAsia="宋体" w:cs="宋体"/>
                <w:color w:val="000000" w:themeColor="text1"/>
                <w:sz w:val="21"/>
                <w:szCs w:val="21"/>
                <w:u w:val="none"/>
                <w14:textFill>
                  <w14:solidFill>
                    <w14:schemeClr w14:val="tx1"/>
                  </w14:solidFill>
                </w14:textFill>
              </w:rPr>
              <w:t>。</w:t>
            </w:r>
          </w:p>
          <w:p w14:paraId="325AF5CE">
            <w:pPr>
              <w:numPr>
                <w:ilvl w:val="0"/>
                <w:numId w:val="0"/>
              </w:numPr>
              <w:spacing w:line="360" w:lineRule="auto"/>
              <w:ind w:left="122" w:leftChars="0"/>
              <w:rPr>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kern w:val="0"/>
                <w:sz w:val="21"/>
                <w:szCs w:val="21"/>
                <w14:textFill>
                  <w14:solidFill>
                    <w14:schemeClr w14:val="tx1"/>
                  </w14:solidFill>
                </w14:textFill>
              </w:rPr>
              <w:t>功率</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6.5-</w:t>
            </w:r>
            <w:r>
              <w:rPr>
                <w:rFonts w:hint="eastAsia" w:ascii="宋体" w:hAnsi="宋体" w:eastAsia="宋体" w:cs="宋体"/>
                <w:color w:val="000000" w:themeColor="text1"/>
                <w:kern w:val="0"/>
                <w:sz w:val="21"/>
                <w:szCs w:val="21"/>
                <w:lang w:val="en-US" w:eastAsia="zh-CN"/>
                <w14:textFill>
                  <w14:solidFill>
                    <w14:schemeClr w14:val="tx1"/>
                  </w14:solidFill>
                </w14:textFill>
              </w:rPr>
              <w:t>6</w:t>
            </w:r>
            <w:r>
              <w:rPr>
                <w:rFonts w:hint="eastAsia" w:ascii="宋体" w:hAnsi="宋体" w:eastAsia="宋体" w:cs="宋体"/>
                <w:color w:val="000000" w:themeColor="text1"/>
                <w:kern w:val="0"/>
                <w:sz w:val="21"/>
                <w:szCs w:val="21"/>
                <w14:textFill>
                  <w14:solidFill>
                    <w14:schemeClr w14:val="tx1"/>
                  </w14:solidFill>
                </w14:textFill>
              </w:rPr>
              <w:t>50 w连续可调</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破碎容量(需选配相应的变幅杆)</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 xml:space="preserve"> 0.1-500 ml</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频率范围</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 xml:space="preserve"> 20-25 KHz</w:t>
            </w:r>
            <w:r>
              <w:rPr>
                <w:rFonts w:hint="eastAsia" w:ascii="宋体" w:hAnsi="宋体" w:eastAsia="宋体" w:cs="宋体"/>
                <w:color w:val="000000" w:themeColor="text1"/>
                <w:sz w:val="21"/>
                <w:szCs w:val="21"/>
                <w:u w:val="none"/>
                <w14:textFill>
                  <w14:solidFill>
                    <w14:schemeClr w14:val="tx1"/>
                  </w14:solidFill>
                </w14:textFill>
              </w:rPr>
              <w:t>。</w:t>
            </w:r>
          </w:p>
          <w:p w14:paraId="0707B9F8">
            <w:pPr>
              <w:spacing w:line="360" w:lineRule="auto"/>
              <w:ind w:left="210" w:hanging="210" w:hangingChars="1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lang w:val="en-US" w:eastAsia="zh-CN"/>
                <w14:textFill>
                  <w14:solidFill>
                    <w14:schemeClr w14:val="tx1"/>
                  </w14:solidFill>
                </w14:textFill>
              </w:rPr>
              <w:t xml:space="preserve"> 4、</w:t>
            </w:r>
            <w:r>
              <w:rPr>
                <w:rFonts w:hint="eastAsia" w:ascii="宋体" w:hAnsi="宋体" w:eastAsia="宋体" w:cs="宋体"/>
                <w:color w:val="000000" w:themeColor="text1"/>
                <w:kern w:val="0"/>
                <w:sz w:val="21"/>
                <w:szCs w:val="21"/>
                <w14:textFill>
                  <w14:solidFill>
                    <w14:schemeClr w14:val="tx1"/>
                  </w14:solidFill>
                </w14:textFill>
              </w:rPr>
              <w:t>单次超声时间</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0.1-99.9 S</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单次间隙时间</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0.1-99.9 S</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总时间（超声+间隙</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1-99H59M59 S</w:t>
            </w:r>
          </w:p>
          <w:p w14:paraId="241460AB">
            <w:pPr>
              <w:spacing w:line="360" w:lineRule="auto"/>
              <w:ind w:left="210" w:leftChars="100" w:firstLine="0" w:firstLineChars="0"/>
              <w:jc w:val="left"/>
              <w:rPr>
                <w:rFonts w:hint="eastAsia" w:ascii="宋体" w:hAnsi="宋体" w:eastAsia="宋体" w:cs="宋体"/>
                <w:color w:val="000000" w:themeColor="text1"/>
                <w:kern w:val="0"/>
                <w:sz w:val="21"/>
                <w:szCs w:val="21"/>
                <w:u w:val="none"/>
                <w:lang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5、</w:t>
            </w:r>
            <w:r>
              <w:rPr>
                <w:rFonts w:hint="eastAsia" w:ascii="宋体" w:hAnsi="宋体" w:eastAsia="宋体" w:cs="宋体"/>
                <w:color w:val="000000" w:themeColor="text1"/>
                <w:kern w:val="0"/>
                <w:sz w:val="21"/>
                <w:szCs w:val="21"/>
                <w14:textFill>
                  <w14:solidFill>
                    <w14:schemeClr w14:val="tx1"/>
                  </w14:solidFill>
                </w14:textFill>
              </w:rPr>
              <w:t>温控范围</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 xml:space="preserve"> 0-100 ℃（可选配低温恒温）</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报警功能</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温度、时间、过</w:t>
            </w:r>
            <w:r>
              <w:rPr>
                <w:rFonts w:hint="eastAsia" w:ascii="宋体" w:hAnsi="宋体" w:eastAsia="宋体" w:cs="宋体"/>
                <w:color w:val="000000" w:themeColor="text1"/>
                <w:kern w:val="0"/>
                <w:sz w:val="21"/>
                <w:szCs w:val="21"/>
                <w:u w:val="none"/>
                <w14:textFill>
                  <w14:solidFill>
                    <w14:schemeClr w14:val="tx1"/>
                  </w14:solidFill>
                </w14:textFill>
              </w:rPr>
              <w:t>载、空载、超温</w:t>
            </w:r>
            <w:r>
              <w:rPr>
                <w:rFonts w:hint="eastAsia" w:ascii="宋体" w:hAnsi="宋体" w:eastAsia="宋体" w:cs="宋体"/>
                <w:color w:val="000000" w:themeColor="text1"/>
                <w:kern w:val="0"/>
                <w:sz w:val="21"/>
                <w:szCs w:val="21"/>
                <w:u w:val="none"/>
                <w:lang w:eastAsia="zh-CN"/>
                <w14:textFill>
                  <w14:solidFill>
                    <w14:schemeClr w14:val="tx1"/>
                  </w14:solidFill>
                </w14:textFill>
              </w:rPr>
              <w:t>。</w:t>
            </w:r>
          </w:p>
          <w:p w14:paraId="19F2C0CA">
            <w:pPr>
              <w:spacing w:line="360" w:lineRule="auto"/>
              <w:ind w:firstLine="210" w:firstLineChars="100"/>
              <w:rPr>
                <w:rFonts w:hint="eastAsia" w:ascii="宋体" w:hAnsi="宋体" w:eastAsia="宋体" w:cs="宋体"/>
                <w:color w:val="000000" w:themeColor="text1"/>
                <w:kern w:val="0"/>
                <w:sz w:val="21"/>
                <w:szCs w:val="21"/>
                <w:u w:val="none"/>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w:t>
            </w:r>
            <w:r>
              <w:rPr>
                <w:rFonts w:hint="eastAsia" w:ascii="宋体" w:hAnsi="宋体" w:eastAsia="宋体" w:cs="宋体"/>
                <w:color w:val="000000" w:themeColor="text1"/>
                <w:kern w:val="0"/>
                <w:sz w:val="21"/>
                <w:szCs w:val="21"/>
                <w:u w:val="none"/>
                <w:lang w:val="en-US" w:eastAsia="zh-CN"/>
                <w14:textFill>
                  <w14:solidFill>
                    <w14:schemeClr w14:val="tx1"/>
                  </w14:solidFill>
                </w14:textFill>
              </w:rPr>
              <w:t>6、</w:t>
            </w:r>
            <w:r>
              <w:rPr>
                <w:rFonts w:hint="eastAsia" w:ascii="宋体" w:hAnsi="宋体" w:eastAsia="宋体" w:cs="宋体"/>
                <w:color w:val="000000" w:themeColor="text1"/>
                <w:kern w:val="0"/>
                <w:sz w:val="21"/>
                <w:szCs w:val="21"/>
                <w:u w:val="none"/>
                <w14:textFill>
                  <w14:solidFill>
                    <w14:schemeClr w14:val="tx1"/>
                  </w14:solidFill>
                </w14:textFill>
              </w:rPr>
              <w:t>随机变幅杆</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Φ6（mm）</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可选配变幅杆</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Φ2、3、6、8、10、12(mm)</w:t>
            </w:r>
          </w:p>
          <w:p w14:paraId="3781D50A">
            <w:pPr>
              <w:spacing w:line="360" w:lineRule="auto"/>
              <w:ind w:firstLine="210" w:firstLineChars="100"/>
              <w:rPr>
                <w:rFonts w:hint="eastAsia" w:ascii="宋体" w:hAnsi="宋体" w:eastAsia="宋体" w:cs="宋体"/>
                <w:color w:val="000000" w:themeColor="text1"/>
                <w:kern w:val="0"/>
                <w:sz w:val="21"/>
                <w:szCs w:val="21"/>
                <w:u w:val="none"/>
                <w14:textFill>
                  <w14:solidFill>
                    <w14:schemeClr w14:val="tx1"/>
                  </w14:solidFill>
                </w14:textFill>
              </w:rPr>
            </w:pPr>
            <w:r>
              <w:rPr>
                <w:rFonts w:hint="eastAsia" w:ascii="宋体" w:hAnsi="宋体" w:eastAsia="宋体" w:cs="宋体"/>
                <w:color w:val="000000" w:themeColor="text1"/>
                <w:kern w:val="0"/>
                <w:sz w:val="21"/>
                <w:szCs w:val="21"/>
                <w:u w:val="none"/>
                <w14:textFill>
                  <w14:solidFill>
                    <w14:schemeClr w14:val="tx1"/>
                  </w14:solidFill>
                </w14:textFill>
              </w:rPr>
              <w:t>数据储存</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20组</w:t>
            </w:r>
            <w:r>
              <w:rPr>
                <w:rFonts w:hint="eastAsia" w:ascii="宋体" w:hAnsi="宋体" w:eastAsia="宋体" w:cs="宋体"/>
                <w:color w:val="000000" w:themeColor="text1"/>
                <w:sz w:val="21"/>
                <w:szCs w:val="21"/>
                <w:u w:val="none"/>
                <w:lang w:eastAsia="zh-CN"/>
                <w14:textFill>
                  <w14:solidFill>
                    <w14:schemeClr w14:val="tx1"/>
                  </w14:solidFill>
                </w14:textFill>
              </w:rPr>
              <w:t>。</w:t>
            </w:r>
          </w:p>
          <w:p w14:paraId="08AA2015">
            <w:pPr>
              <w:spacing w:line="360" w:lineRule="auto"/>
              <w:ind w:firstLine="210" w:firstLineChars="100"/>
              <w:rPr>
                <w:rFonts w:hint="eastAsia" w:ascii="宋体" w:hAnsi="宋体" w:eastAsia="宋体" w:cs="宋体"/>
                <w:color w:val="000000" w:themeColor="text1"/>
                <w:kern w:val="0"/>
                <w:sz w:val="21"/>
                <w:szCs w:val="21"/>
                <w:u w:val="none"/>
                <w14:textFill>
                  <w14:solidFill>
                    <w14:schemeClr w14:val="tx1"/>
                  </w14:solidFill>
                </w14:textFill>
              </w:rPr>
            </w:pPr>
            <w:r>
              <w:rPr>
                <w:rFonts w:hint="eastAsia" w:ascii="宋体" w:hAnsi="宋体" w:eastAsia="宋体" w:cs="宋体"/>
                <w:color w:val="000000" w:themeColor="text1"/>
                <w:kern w:val="0"/>
                <w:sz w:val="21"/>
                <w:szCs w:val="21"/>
                <w:u w:val="none"/>
                <w:lang w:val="en-US" w:eastAsia="zh-CN"/>
                <w14:textFill>
                  <w14:solidFill>
                    <w14:schemeClr w14:val="tx1"/>
                  </w14:solidFill>
                </w14:textFill>
              </w:rPr>
              <w:t>7、</w:t>
            </w:r>
            <w:r>
              <w:rPr>
                <w:rFonts w:hint="eastAsia" w:ascii="宋体" w:hAnsi="宋体" w:eastAsia="宋体" w:cs="宋体"/>
                <w:color w:val="000000" w:themeColor="text1"/>
                <w:kern w:val="0"/>
                <w:sz w:val="21"/>
                <w:szCs w:val="21"/>
                <w:u w:val="none"/>
                <w14:textFill>
                  <w14:solidFill>
                    <w14:schemeClr w14:val="tx1"/>
                  </w14:solidFill>
                </w14:textFill>
              </w:rPr>
              <w:t>电源（可选配110V出口电源)</w:t>
            </w:r>
            <w:r>
              <w:rPr>
                <w:rFonts w:hint="eastAsia" w:ascii="宋体" w:hAnsi="宋体" w:eastAsia="宋体" w:cs="宋体"/>
                <w:color w:val="000000" w:themeColor="text1"/>
                <w:kern w:val="0"/>
                <w:sz w:val="21"/>
                <w:szCs w:val="21"/>
                <w:u w:val="none"/>
                <w14:textFill>
                  <w14:solidFill>
                    <w14:schemeClr w14:val="tx1"/>
                  </w14:solidFill>
                </w14:textFill>
              </w:rPr>
              <w:tab/>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 xml:space="preserve"> 110V</w:t>
            </w:r>
            <w:r>
              <w:rPr>
                <w:rFonts w:hint="eastAsia" w:ascii="宋体" w:hAnsi="宋体" w:eastAsia="宋体" w:cs="宋体"/>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220V</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 xml:space="preserve"> 50Hz</w:t>
            </w:r>
            <w:r>
              <w:rPr>
                <w:rFonts w:hint="eastAsia" w:ascii="宋体" w:hAnsi="宋体" w:eastAsia="宋体" w:cs="宋体"/>
                <w:color w:val="000000" w:themeColor="text1"/>
                <w:kern w:val="0"/>
                <w:sz w:val="21"/>
                <w:szCs w:val="21"/>
                <w:u w:val="none"/>
                <w:lang w:val="en-US"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60HZ</w:t>
            </w:r>
          </w:p>
          <w:p w14:paraId="2CCA7C0E">
            <w:pPr>
              <w:numPr>
                <w:ilvl w:val="0"/>
                <w:numId w:val="0"/>
              </w:numPr>
              <w:spacing w:line="360" w:lineRule="auto"/>
              <w:ind w:firstLine="210" w:firstLineChars="100"/>
              <w:rPr>
                <w:rFonts w:hint="eastAsia" w:ascii="宋体" w:hAnsi="宋体" w:eastAsia="宋体" w:cs="宋体"/>
                <w:color w:val="000000" w:themeColor="text1"/>
                <w:kern w:val="0"/>
                <w:sz w:val="21"/>
                <w:szCs w:val="21"/>
                <w:u w:val="none"/>
                <w14:textFill>
                  <w14:solidFill>
                    <w14:schemeClr w14:val="tx1"/>
                  </w14:solidFill>
                </w14:textFill>
              </w:rPr>
            </w:pPr>
            <w:r>
              <w:rPr>
                <w:rFonts w:hint="eastAsia" w:ascii="宋体" w:hAnsi="宋体" w:eastAsia="宋体" w:cs="宋体"/>
                <w:color w:val="000000" w:themeColor="text1"/>
                <w:kern w:val="0"/>
                <w:sz w:val="21"/>
                <w:szCs w:val="21"/>
                <w:u w:val="none"/>
                <w:lang w:val="en-US" w:eastAsia="zh-CN"/>
                <w14:textFill>
                  <w14:solidFill>
                    <w14:schemeClr w14:val="tx1"/>
                  </w14:solidFill>
                </w14:textFill>
              </w:rPr>
              <w:t>8、</w:t>
            </w:r>
            <w:r>
              <w:rPr>
                <w:rFonts w:hint="eastAsia" w:ascii="宋体" w:hAnsi="宋体" w:eastAsia="宋体" w:cs="宋体"/>
                <w:color w:val="000000" w:themeColor="text1"/>
                <w:kern w:val="0"/>
                <w:sz w:val="21"/>
                <w:szCs w:val="21"/>
                <w:u w:val="none"/>
                <w14:textFill>
                  <w14:solidFill>
                    <w14:schemeClr w14:val="tx1"/>
                  </w14:solidFill>
                </w14:textFill>
              </w:rPr>
              <w:t>控制方式</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单片机+TFT触控</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支持上下叠放功能（可节省空间）</w:t>
            </w:r>
          </w:p>
          <w:p w14:paraId="1BE40651">
            <w:pPr>
              <w:numPr>
                <w:ilvl w:val="0"/>
                <w:numId w:val="0"/>
              </w:numPr>
              <w:spacing w:line="360" w:lineRule="auto"/>
              <w:ind w:firstLine="210" w:firstLineChars="100"/>
              <w:rPr>
                <w:rFonts w:hint="eastAsia" w:ascii="宋体" w:hAnsi="宋体" w:eastAsia="宋体" w:cs="宋体"/>
                <w:color w:val="000000" w:themeColor="text1"/>
                <w:kern w:val="0"/>
                <w:sz w:val="21"/>
                <w:szCs w:val="21"/>
                <w:u w:val="none"/>
                <w14:textFill>
                  <w14:solidFill>
                    <w14:schemeClr w14:val="tx1"/>
                  </w14:solidFill>
                </w14:textFill>
              </w:rPr>
            </w:pPr>
            <w:r>
              <w:rPr>
                <w:rFonts w:hint="eastAsia" w:ascii="宋体" w:hAnsi="宋体" w:eastAsia="宋体" w:cs="宋体"/>
                <w:color w:val="000000" w:themeColor="text1"/>
                <w:kern w:val="0"/>
                <w:sz w:val="21"/>
                <w:szCs w:val="21"/>
                <w:u w:val="none"/>
                <w14:textFill>
                  <w14:solidFill>
                    <w14:schemeClr w14:val="tx1"/>
                  </w14:solidFill>
                </w14:textFill>
              </w:rPr>
              <w:t>工作语音报警和故障提示功能</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有超声功率模拟数据波形显示功能</w:t>
            </w:r>
            <w:r>
              <w:rPr>
                <w:rFonts w:hint="eastAsia" w:ascii="宋体" w:hAnsi="宋体" w:eastAsia="宋体" w:cs="宋体"/>
                <w:color w:val="000000" w:themeColor="text1"/>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ab/>
            </w:r>
            <w:r>
              <w:rPr>
                <w:rFonts w:hint="eastAsia" w:ascii="宋体" w:hAnsi="宋体" w:eastAsia="宋体" w:cs="宋体"/>
                <w:color w:val="000000" w:themeColor="text1"/>
                <w:kern w:val="0"/>
                <w:sz w:val="21"/>
                <w:szCs w:val="21"/>
                <w:u w:val="none"/>
                <w14:textFill>
                  <w14:solidFill>
                    <w14:schemeClr w14:val="tx1"/>
                  </w14:solidFill>
                </w14:textFill>
              </w:rPr>
              <w:t xml:space="preserve">   </w:t>
            </w:r>
          </w:p>
          <w:p w14:paraId="149AFBFA">
            <w:pPr>
              <w:spacing w:line="360" w:lineRule="auto"/>
              <w:ind w:firstLine="210" w:firstLineChars="100"/>
              <w:rPr>
                <w:rFonts w:hint="eastAsia" w:ascii="宋体" w:hAnsi="宋体" w:eastAsia="宋体" w:cs="宋体"/>
                <w:color w:val="000000" w:themeColor="text1"/>
                <w:kern w:val="0"/>
                <w:sz w:val="21"/>
                <w:szCs w:val="21"/>
                <w:u w:val="none"/>
                <w14:textFill>
                  <w14:solidFill>
                    <w14:schemeClr w14:val="tx1"/>
                  </w14:solidFill>
                </w14:textFill>
              </w:rPr>
            </w:pPr>
            <w:r>
              <w:rPr>
                <w:rFonts w:hint="eastAsia" w:ascii="宋体" w:hAnsi="宋体" w:eastAsia="宋体" w:cs="宋体"/>
                <w:color w:val="000000" w:themeColor="text1"/>
                <w:kern w:val="0"/>
                <w:sz w:val="21"/>
                <w:szCs w:val="21"/>
                <w:u w:val="none"/>
                <w14:textFill>
                  <w14:solidFill>
                    <w14:schemeClr w14:val="tx1"/>
                  </w14:solidFill>
                </w14:textFill>
              </w:rPr>
              <w:t>有超声时间脉宽数据波形显示功能</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有用户密码保护功能</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ab/>
            </w:r>
            <w:r>
              <w:rPr>
                <w:rFonts w:hint="eastAsia" w:ascii="宋体" w:hAnsi="宋体" w:eastAsia="宋体" w:cs="宋体"/>
                <w:color w:val="000000" w:themeColor="text1"/>
                <w:kern w:val="0"/>
                <w:sz w:val="21"/>
                <w:szCs w:val="21"/>
                <w:u w:val="none"/>
                <w14:textFill>
                  <w14:solidFill>
                    <w14:schemeClr w14:val="tx1"/>
                  </w14:solidFill>
                </w14:textFill>
              </w:rPr>
              <w:t xml:space="preserve">                </w:t>
            </w:r>
          </w:p>
          <w:p w14:paraId="629559D6">
            <w:pPr>
              <w:spacing w:line="360" w:lineRule="auto"/>
              <w:ind w:left="210" w:leftChars="100" w:firstLine="0" w:firstLineChars="0"/>
              <w:rPr>
                <w:rFonts w:hint="eastAsia" w:ascii="宋体" w:hAnsi="宋体" w:eastAsia="宋体" w:cs="宋体"/>
                <w:color w:val="000000" w:themeColor="text1"/>
                <w:sz w:val="21"/>
                <w:szCs w:val="21"/>
                <w:u w:val="none"/>
                <w:lang w:val="en-US" w:eastAsia="zh-CN"/>
                <w14:textFill>
                  <w14:solidFill>
                    <w14:schemeClr w14:val="tx1"/>
                  </w14:solidFill>
                </w14:textFill>
              </w:rPr>
            </w:pPr>
            <w:r>
              <w:rPr>
                <w:rFonts w:hint="eastAsia" w:ascii="宋体" w:hAnsi="宋体" w:eastAsia="宋体" w:cs="宋体"/>
                <w:color w:val="auto"/>
                <w:sz w:val="21"/>
                <w:szCs w:val="21"/>
                <w:u w:val="none"/>
              </w:rPr>
              <w:t>★</w:t>
            </w:r>
            <w:r>
              <w:rPr>
                <w:rFonts w:hint="eastAsia" w:ascii="宋体" w:hAnsi="宋体" w:eastAsia="宋体" w:cs="宋体"/>
                <w:b w:val="0"/>
                <w:bCs w:val="0"/>
                <w:color w:val="auto"/>
                <w:sz w:val="21"/>
                <w:szCs w:val="21"/>
                <w:u w:val="none"/>
                <w:lang w:val="en-US" w:eastAsia="zh-CN"/>
              </w:rPr>
              <w:t>9、</w:t>
            </w:r>
            <w:r>
              <w:rPr>
                <w:rFonts w:hint="eastAsia" w:ascii="宋体" w:hAnsi="宋体" w:eastAsia="宋体" w:cs="宋体"/>
                <w:color w:val="000000" w:themeColor="text1"/>
                <w:kern w:val="0"/>
                <w:sz w:val="21"/>
                <w:szCs w:val="21"/>
                <w:u w:val="none"/>
                <w14:textFill>
                  <w14:solidFill>
                    <w14:schemeClr w14:val="tx1"/>
                  </w14:solidFill>
                </w14:textFill>
              </w:rPr>
              <w:t>超声波主机材质</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 xml:space="preserve"> 铝合金+ABS塑料模具一次性成型</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隔音箱材质</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防腐板+ABS塑料模具一次性成型</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标配功能</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隔音箱高亮度照明或灭菌</w:t>
            </w:r>
            <w:r>
              <w:rPr>
                <w:rFonts w:hint="eastAsia" w:ascii="宋体" w:hAnsi="宋体" w:eastAsia="宋体" w:cs="宋体"/>
                <w:color w:val="000000" w:themeColor="text1"/>
                <w:kern w:val="0"/>
                <w:sz w:val="21"/>
                <w:szCs w:val="21"/>
                <w:u w:val="none"/>
                <w:lang w:eastAsia="zh-CN"/>
                <w14:textFill>
                  <w14:solidFill>
                    <w14:schemeClr w14:val="tx1"/>
                  </w14:solidFill>
                </w14:textFill>
              </w:rPr>
              <w:t>，</w:t>
            </w:r>
            <w:r>
              <w:rPr>
                <w:rFonts w:hint="eastAsia" w:ascii="宋体" w:hAnsi="宋体" w:eastAsia="宋体" w:cs="宋体"/>
                <w:color w:val="000000" w:themeColor="text1"/>
                <w:kern w:val="0"/>
                <w:sz w:val="21"/>
                <w:szCs w:val="21"/>
                <w:u w:val="none"/>
                <w14:textFill>
                  <w14:solidFill>
                    <w14:schemeClr w14:val="tx1"/>
                  </w14:solidFill>
                </w14:textFill>
              </w:rPr>
              <w:t>隔音箱遥控电动升降</w:t>
            </w:r>
            <w:r>
              <w:rPr>
                <w:rFonts w:hint="eastAsia" w:ascii="宋体" w:hAnsi="宋体" w:eastAsia="宋体" w:cs="宋体"/>
                <w:color w:val="000000" w:themeColor="text1"/>
                <w:sz w:val="21"/>
                <w:szCs w:val="21"/>
                <w:u w:val="none"/>
                <w:lang w:eastAsia="zh-CN"/>
                <w14:textFill>
                  <w14:solidFill>
                    <w14:schemeClr w14:val="tx1"/>
                  </w14:solidFill>
                </w14:textFill>
              </w:rPr>
              <w:t>。</w:t>
            </w:r>
          </w:p>
        </w:tc>
      </w:tr>
      <w:tr w14:paraId="7A51D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726" w:type="dxa"/>
            <w:shd w:val="clear" w:color="auto" w:fill="auto"/>
            <w:vAlign w:val="top"/>
          </w:tcPr>
          <w:p w14:paraId="0E76939C">
            <w:pPr>
              <w:pStyle w:val="116"/>
              <w:spacing w:before="79" w:line="360" w:lineRule="auto"/>
              <w:ind w:left="125"/>
              <w:rPr>
                <w:rFonts w:hint="eastAsia" w:ascii="宋体" w:hAnsi="宋体" w:eastAsia="宋体" w:cs="宋体"/>
                <w:sz w:val="21"/>
                <w:szCs w:val="21"/>
              </w:rPr>
            </w:pPr>
          </w:p>
          <w:p w14:paraId="08E40ED4">
            <w:pPr>
              <w:pStyle w:val="116"/>
              <w:spacing w:before="79" w:line="360" w:lineRule="auto"/>
              <w:ind w:left="125"/>
              <w:rPr>
                <w:rFonts w:hint="eastAsia" w:ascii="宋体" w:hAnsi="宋体" w:eastAsia="宋体" w:cs="宋体"/>
                <w:sz w:val="21"/>
                <w:szCs w:val="21"/>
              </w:rPr>
            </w:pPr>
          </w:p>
          <w:p w14:paraId="27601C27">
            <w:pPr>
              <w:pStyle w:val="116"/>
              <w:spacing w:before="79" w:line="360" w:lineRule="auto"/>
              <w:ind w:left="125"/>
              <w:rPr>
                <w:rFonts w:hint="eastAsia" w:ascii="宋体" w:hAnsi="宋体" w:eastAsia="宋体" w:cs="宋体"/>
                <w:sz w:val="21"/>
                <w:szCs w:val="21"/>
              </w:rPr>
            </w:pPr>
          </w:p>
          <w:p w14:paraId="7D5E9733">
            <w:pPr>
              <w:pStyle w:val="116"/>
              <w:spacing w:before="79" w:line="360" w:lineRule="auto"/>
              <w:ind w:left="125"/>
              <w:rPr>
                <w:rFonts w:hint="eastAsia" w:ascii="宋体" w:hAnsi="宋体" w:eastAsia="宋体" w:cs="宋体"/>
                <w:sz w:val="21"/>
                <w:szCs w:val="21"/>
              </w:rPr>
            </w:pPr>
          </w:p>
          <w:p w14:paraId="2853FFB1">
            <w:pPr>
              <w:pStyle w:val="116"/>
              <w:spacing w:before="79" w:line="360" w:lineRule="auto"/>
              <w:ind w:left="125" w:leftChars="0"/>
              <w:rPr>
                <w:rFonts w:hint="eastAsia" w:ascii="宋体" w:hAnsi="宋体" w:eastAsia="宋体" w:cs="宋体"/>
                <w:kern w:val="2"/>
                <w:sz w:val="21"/>
                <w:szCs w:val="21"/>
                <w:lang w:val="en-US" w:eastAsia="en-US" w:bidi="ar-SA"/>
              </w:rPr>
            </w:pPr>
            <w:r>
              <w:rPr>
                <w:rFonts w:hint="eastAsia" w:ascii="宋体" w:hAnsi="宋体" w:eastAsia="宋体" w:cs="宋体"/>
                <w:sz w:val="21"/>
                <w:szCs w:val="21"/>
              </w:rPr>
              <w:t>19</w:t>
            </w:r>
          </w:p>
        </w:tc>
        <w:tc>
          <w:tcPr>
            <w:tcW w:w="2024" w:type="dxa"/>
            <w:shd w:val="clear" w:color="auto" w:fill="auto"/>
            <w:vAlign w:val="top"/>
          </w:tcPr>
          <w:p w14:paraId="44A0E456">
            <w:pPr>
              <w:pStyle w:val="116"/>
              <w:spacing w:before="79" w:line="360" w:lineRule="auto"/>
              <w:ind w:left="125"/>
              <w:rPr>
                <w:rFonts w:hint="eastAsia" w:ascii="宋体" w:hAnsi="宋体" w:eastAsia="宋体" w:cs="宋体"/>
                <w:color w:val="auto"/>
                <w:sz w:val="21"/>
                <w:szCs w:val="21"/>
              </w:rPr>
            </w:pPr>
          </w:p>
          <w:p w14:paraId="74CD9AB6">
            <w:pPr>
              <w:pStyle w:val="116"/>
              <w:spacing w:before="79" w:line="360" w:lineRule="auto"/>
              <w:ind w:left="125"/>
              <w:rPr>
                <w:rFonts w:hint="eastAsia" w:ascii="宋体" w:hAnsi="宋体" w:eastAsia="宋体" w:cs="宋体"/>
                <w:color w:val="auto"/>
                <w:sz w:val="21"/>
                <w:szCs w:val="21"/>
              </w:rPr>
            </w:pPr>
          </w:p>
          <w:p w14:paraId="76435D8A">
            <w:pPr>
              <w:pStyle w:val="116"/>
              <w:spacing w:before="79" w:line="360" w:lineRule="auto"/>
              <w:ind w:left="125"/>
              <w:rPr>
                <w:rFonts w:hint="eastAsia" w:ascii="宋体" w:hAnsi="宋体" w:eastAsia="宋体" w:cs="宋体"/>
                <w:color w:val="auto"/>
                <w:sz w:val="21"/>
                <w:szCs w:val="21"/>
              </w:rPr>
            </w:pPr>
          </w:p>
          <w:p w14:paraId="204BE0A7">
            <w:pPr>
              <w:pStyle w:val="116"/>
              <w:spacing w:before="79" w:line="360" w:lineRule="auto"/>
              <w:ind w:left="125"/>
              <w:rPr>
                <w:rFonts w:hint="eastAsia" w:ascii="宋体" w:hAnsi="宋体" w:eastAsia="宋体" w:cs="宋体"/>
                <w:color w:val="auto"/>
                <w:sz w:val="21"/>
                <w:szCs w:val="21"/>
              </w:rPr>
            </w:pPr>
          </w:p>
          <w:p w14:paraId="651F0915">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微波消解仪</w:t>
            </w:r>
          </w:p>
        </w:tc>
        <w:tc>
          <w:tcPr>
            <w:tcW w:w="1424" w:type="dxa"/>
            <w:shd w:val="clear" w:color="auto" w:fill="auto"/>
            <w:vAlign w:val="top"/>
          </w:tcPr>
          <w:p w14:paraId="3EC9A637">
            <w:pPr>
              <w:pStyle w:val="116"/>
              <w:spacing w:before="79" w:line="360" w:lineRule="auto"/>
              <w:ind w:left="125"/>
              <w:rPr>
                <w:rFonts w:hint="eastAsia" w:ascii="宋体" w:hAnsi="宋体" w:eastAsia="宋体" w:cs="宋体"/>
                <w:color w:val="auto"/>
                <w:sz w:val="21"/>
                <w:szCs w:val="21"/>
              </w:rPr>
            </w:pPr>
          </w:p>
          <w:p w14:paraId="71135366">
            <w:pPr>
              <w:pStyle w:val="116"/>
              <w:spacing w:before="79" w:line="360" w:lineRule="auto"/>
              <w:ind w:left="125"/>
              <w:rPr>
                <w:rFonts w:hint="eastAsia" w:ascii="宋体" w:hAnsi="宋体" w:eastAsia="宋体" w:cs="宋体"/>
                <w:color w:val="auto"/>
                <w:sz w:val="21"/>
                <w:szCs w:val="21"/>
              </w:rPr>
            </w:pPr>
          </w:p>
          <w:p w14:paraId="77BB1130">
            <w:pPr>
              <w:pStyle w:val="116"/>
              <w:spacing w:before="79" w:line="360" w:lineRule="auto"/>
              <w:ind w:left="125"/>
              <w:rPr>
                <w:rFonts w:hint="eastAsia" w:ascii="宋体" w:hAnsi="宋体" w:eastAsia="宋体" w:cs="宋体"/>
                <w:color w:val="auto"/>
                <w:sz w:val="21"/>
                <w:szCs w:val="21"/>
              </w:rPr>
            </w:pPr>
          </w:p>
          <w:p w14:paraId="049F9461">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硅藻样品预 处理</w:t>
            </w:r>
          </w:p>
        </w:tc>
        <w:tc>
          <w:tcPr>
            <w:tcW w:w="775" w:type="dxa"/>
            <w:shd w:val="clear" w:color="auto" w:fill="auto"/>
            <w:vAlign w:val="top"/>
          </w:tcPr>
          <w:p w14:paraId="719272EA">
            <w:pPr>
              <w:pStyle w:val="116"/>
              <w:spacing w:before="79" w:line="360" w:lineRule="auto"/>
              <w:ind w:left="125"/>
              <w:rPr>
                <w:rFonts w:hint="eastAsia" w:ascii="宋体" w:hAnsi="宋体" w:eastAsia="宋体" w:cs="宋体"/>
                <w:color w:val="auto"/>
                <w:sz w:val="21"/>
                <w:szCs w:val="21"/>
              </w:rPr>
            </w:pPr>
          </w:p>
          <w:p w14:paraId="2439FD51">
            <w:pPr>
              <w:pStyle w:val="116"/>
              <w:spacing w:before="79" w:line="360" w:lineRule="auto"/>
              <w:ind w:left="125"/>
              <w:rPr>
                <w:rFonts w:hint="eastAsia" w:ascii="宋体" w:hAnsi="宋体" w:eastAsia="宋体" w:cs="宋体"/>
                <w:color w:val="auto"/>
                <w:sz w:val="21"/>
                <w:szCs w:val="21"/>
              </w:rPr>
            </w:pPr>
          </w:p>
          <w:p w14:paraId="78C30B51">
            <w:pPr>
              <w:pStyle w:val="116"/>
              <w:spacing w:before="79" w:line="360" w:lineRule="auto"/>
              <w:ind w:left="125"/>
              <w:rPr>
                <w:rFonts w:hint="eastAsia" w:ascii="宋体" w:hAnsi="宋体" w:eastAsia="宋体" w:cs="宋体"/>
                <w:color w:val="auto"/>
                <w:sz w:val="21"/>
                <w:szCs w:val="21"/>
              </w:rPr>
            </w:pPr>
          </w:p>
          <w:p w14:paraId="546E0109">
            <w:pPr>
              <w:pStyle w:val="116"/>
              <w:spacing w:before="79" w:line="360" w:lineRule="auto"/>
              <w:ind w:left="125"/>
              <w:rPr>
                <w:rFonts w:hint="eastAsia" w:ascii="宋体" w:hAnsi="宋体" w:eastAsia="宋体" w:cs="宋体"/>
                <w:color w:val="auto"/>
                <w:sz w:val="21"/>
                <w:szCs w:val="21"/>
              </w:rPr>
            </w:pPr>
          </w:p>
          <w:p w14:paraId="1C8D3287">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台</w:t>
            </w:r>
          </w:p>
        </w:tc>
        <w:tc>
          <w:tcPr>
            <w:tcW w:w="667" w:type="dxa"/>
            <w:shd w:val="clear" w:color="auto" w:fill="auto"/>
            <w:vAlign w:val="top"/>
          </w:tcPr>
          <w:p w14:paraId="247D220F">
            <w:pPr>
              <w:pStyle w:val="116"/>
              <w:spacing w:before="79" w:line="360" w:lineRule="auto"/>
              <w:ind w:left="125"/>
              <w:rPr>
                <w:rFonts w:hint="eastAsia" w:ascii="宋体" w:hAnsi="宋体" w:eastAsia="宋体" w:cs="宋体"/>
                <w:color w:val="auto"/>
                <w:sz w:val="21"/>
                <w:szCs w:val="21"/>
              </w:rPr>
            </w:pPr>
          </w:p>
          <w:p w14:paraId="2A6C8F17">
            <w:pPr>
              <w:pStyle w:val="116"/>
              <w:spacing w:before="79" w:line="360" w:lineRule="auto"/>
              <w:ind w:left="125"/>
              <w:rPr>
                <w:rFonts w:hint="eastAsia" w:ascii="宋体" w:hAnsi="宋体" w:eastAsia="宋体" w:cs="宋体"/>
                <w:color w:val="auto"/>
                <w:sz w:val="21"/>
                <w:szCs w:val="21"/>
              </w:rPr>
            </w:pPr>
          </w:p>
          <w:p w14:paraId="076BB848">
            <w:pPr>
              <w:pStyle w:val="116"/>
              <w:spacing w:before="79" w:line="360" w:lineRule="auto"/>
              <w:ind w:left="125"/>
              <w:rPr>
                <w:rFonts w:hint="eastAsia" w:ascii="宋体" w:hAnsi="宋体" w:eastAsia="宋体" w:cs="宋体"/>
                <w:color w:val="auto"/>
                <w:sz w:val="21"/>
                <w:szCs w:val="21"/>
              </w:rPr>
            </w:pPr>
          </w:p>
          <w:p w14:paraId="5FF2ABC5">
            <w:pPr>
              <w:pStyle w:val="116"/>
              <w:spacing w:before="79" w:line="360" w:lineRule="auto"/>
              <w:ind w:left="125"/>
              <w:rPr>
                <w:rFonts w:hint="eastAsia" w:ascii="宋体" w:hAnsi="宋体" w:eastAsia="宋体" w:cs="宋体"/>
                <w:color w:val="auto"/>
                <w:sz w:val="21"/>
                <w:szCs w:val="21"/>
              </w:rPr>
            </w:pPr>
          </w:p>
          <w:p w14:paraId="35438278">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1</w:t>
            </w:r>
          </w:p>
        </w:tc>
        <w:tc>
          <w:tcPr>
            <w:tcW w:w="8047" w:type="dxa"/>
            <w:shd w:val="clear" w:color="auto" w:fill="auto"/>
            <w:vAlign w:val="top"/>
          </w:tcPr>
          <w:p w14:paraId="6EC01F5D">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★1、主机：</w:t>
            </w:r>
          </w:p>
          <w:p w14:paraId="1D0AA723">
            <w:pPr>
              <w:spacing w:line="360" w:lineRule="auto"/>
              <w:ind w:left="218" w:leftChars="104"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双磁控管非脉冲变频控制系统双向二维排布，微波最大输出功率≥1800W。炉腔为316L材质不锈钢材质，体积≥60L，喷涂多层特氟龙涂层。安全门配备防爆可视窗，提供高强度的防爆能力的同时防止腔内微波泄露。具备机械和电子双重门锁，保证使用安全，具备感应自动开门功能。主机配备不低于7寸彩色触摸屏及不低于7寸彩色视频监控屏，可实时显示实验参数及温压变化曲线，又可同时清晰观察炉腔内部工作影像。灯光识别系统：具有≥4种颜色变化功能，可远距离通过可视窗观察灯光变化，掌握机器运行状态。炉腔配备大功率排风系统，风量可根据实验进程自动调整，采用腔内强制风冷/腔外自然风冷等冷却方式。</w:t>
            </w:r>
          </w:p>
          <w:p w14:paraId="2F92A1B4">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2、温度、压力控制系统：</w:t>
            </w:r>
          </w:p>
          <w:p w14:paraId="185CAA19">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全罐测温：采用非接触式中红外全罐测温技术，直接测量每个消解罐内样品溶液的温度，测温范围不小于60-400℃，检测精度±0.1℃；</w:t>
            </w:r>
          </w:p>
          <w:p w14:paraId="65C0FAB2">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全罐控压：具备弹性泄压自密封技术，无须任何消耗品，可在压力过高时及时释放多余压力并继续保持消解罐密封状态。</w:t>
            </w:r>
          </w:p>
          <w:p w14:paraId="7A762279">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配备COT实时异常监控系统，能够在任意消解罐出现异常时，自动报警并切断微波，多方位监控以确保仪器安全运行。</w:t>
            </w:r>
          </w:p>
          <w:p w14:paraId="30894125">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★3、消解转子系统：</w:t>
            </w:r>
          </w:p>
          <w:p w14:paraId="5710FD81">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外罐：应采用宇航复合纤维材质，耐压≥20Mpa。</w:t>
            </w:r>
          </w:p>
          <w:p w14:paraId="295ADD2F">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内罐：容积≥55mL，带有识别编码无需手写；内罐、内塞、盖子等应采用TFM或PFA材质，不得含有任何金属材质的零部件。批次处理量40位，转子应为上下双层结构，用于固定外罐，以保证运行过程安全。</w:t>
            </w:r>
          </w:p>
          <w:p w14:paraId="2A193CFC">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★4、 软件系统：</w:t>
            </w:r>
          </w:p>
          <w:p w14:paraId="47A79E7A">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内置专业应用方法库和视频培训教程，仪器可自动识别转子类型，自动判断消解罐位置并计数消解罐数量。可置顶最近用过的实验方法5个，可选择标准控制、功率控制、爬坡控制等不同升温模式，仪器内置温度、压力及微波功率校准程序。</w:t>
            </w:r>
          </w:p>
          <w:p w14:paraId="77669BC8">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★5、 配备专用工具车，用于升降、转移消解转子，转子的转运、装载和取出均无需手工操作。</w:t>
            </w:r>
          </w:p>
          <w:p w14:paraId="59C49054">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★6、配置要求：</w:t>
            </w:r>
          </w:p>
          <w:p w14:paraId="10BE2EAB">
            <w:pPr>
              <w:spacing w:line="360" w:lineRule="auto"/>
              <w:ind w:firstLine="210" w:firstLineChars="100"/>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微波消解仪主机（含软件操作系统和排风系统）1台；非接触式中红外温度传感器2套；40位消解转子系统1套：包含外罐、内罐、罐盖及内塞各40个；辅助工具：消解转子平移升降工具车1台，专用工具包1套，内罐杯架2套。</w:t>
            </w:r>
          </w:p>
        </w:tc>
      </w:tr>
      <w:tr w14:paraId="68B91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726" w:type="dxa"/>
            <w:shd w:val="clear" w:color="auto" w:fill="auto"/>
            <w:vAlign w:val="center"/>
          </w:tcPr>
          <w:p w14:paraId="71B1C4EC">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20</w:t>
            </w:r>
          </w:p>
        </w:tc>
        <w:tc>
          <w:tcPr>
            <w:tcW w:w="2024" w:type="dxa"/>
            <w:shd w:val="clear" w:color="auto" w:fill="auto"/>
            <w:vAlign w:val="center"/>
          </w:tcPr>
          <w:p w14:paraId="7025C9CD">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涡旋振荡器</w:t>
            </w:r>
          </w:p>
        </w:tc>
        <w:tc>
          <w:tcPr>
            <w:tcW w:w="1424" w:type="dxa"/>
            <w:shd w:val="clear" w:color="auto" w:fill="auto"/>
            <w:vAlign w:val="center"/>
          </w:tcPr>
          <w:p w14:paraId="25276A36">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藻类混匀处 理</w:t>
            </w:r>
          </w:p>
        </w:tc>
        <w:tc>
          <w:tcPr>
            <w:tcW w:w="775" w:type="dxa"/>
            <w:shd w:val="clear" w:color="auto" w:fill="auto"/>
            <w:vAlign w:val="center"/>
          </w:tcPr>
          <w:p w14:paraId="5E9A1CFA">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台</w:t>
            </w:r>
          </w:p>
        </w:tc>
        <w:tc>
          <w:tcPr>
            <w:tcW w:w="667" w:type="dxa"/>
            <w:shd w:val="clear" w:color="auto" w:fill="auto"/>
            <w:vAlign w:val="center"/>
          </w:tcPr>
          <w:p w14:paraId="05CE456A">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1</w:t>
            </w:r>
          </w:p>
        </w:tc>
        <w:tc>
          <w:tcPr>
            <w:tcW w:w="8047" w:type="dxa"/>
            <w:shd w:val="clear" w:color="auto" w:fill="auto"/>
            <w:vAlign w:val="top"/>
          </w:tcPr>
          <w:p w14:paraId="59C36E09">
            <w:pPr>
              <w:pStyle w:val="116"/>
              <w:spacing w:before="79" w:line="360" w:lineRule="auto"/>
              <w:ind w:left="125"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val="en-US" w:eastAsia="en-US"/>
              </w:rPr>
              <w:t>脉冲多管旋涡混匀仪采用微处理器控制，脉冲式的工作方式</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en-US"/>
              </w:rPr>
              <w:t>一键式旋钮操作模式，简单易用；最多可以一次处理50个试验样品，让实验高效快捷</w:t>
            </w:r>
            <w:r>
              <w:rPr>
                <w:rFonts w:hint="eastAsia" w:ascii="宋体" w:hAnsi="宋体" w:eastAsia="宋体" w:cs="宋体"/>
                <w:sz w:val="21"/>
                <w:szCs w:val="21"/>
                <w:lang w:val="en-US" w:eastAsia="zh-CN"/>
              </w:rPr>
              <w:t>。</w:t>
            </w:r>
          </w:p>
          <w:p w14:paraId="0C6196E3">
            <w:pPr>
              <w:pStyle w:val="116"/>
              <w:spacing w:before="79" w:line="360" w:lineRule="auto"/>
              <w:ind w:left="125"/>
              <w:rPr>
                <w:rFonts w:hint="eastAsia" w:ascii="宋体" w:hAnsi="宋体" w:eastAsia="宋体" w:cs="宋体"/>
                <w:sz w:val="21"/>
                <w:szCs w:val="21"/>
                <w:lang w:val="en-US" w:eastAsia="en-US"/>
              </w:rPr>
            </w:pPr>
            <w:r>
              <w:rPr>
                <w:rFonts w:hint="eastAsia" w:ascii="宋体" w:hAnsi="宋体" w:eastAsia="宋体" w:cs="宋体"/>
                <w:sz w:val="21"/>
                <w:szCs w:val="21"/>
                <w:lang w:val="en-US" w:eastAsia="en-US"/>
              </w:rPr>
              <w:t>▲</w:t>
            </w:r>
            <w:r>
              <w:rPr>
                <w:rFonts w:hint="eastAsia" w:ascii="宋体" w:hAnsi="宋体" w:eastAsia="宋体" w:cs="宋体"/>
                <w:sz w:val="21"/>
                <w:szCs w:val="21"/>
                <w:lang w:val="en-US" w:eastAsia="zh-CN"/>
              </w:rPr>
              <w:t>2、</w:t>
            </w:r>
            <w:r>
              <w:rPr>
                <w:rFonts w:hint="eastAsia" w:ascii="宋体" w:hAnsi="宋体" w:eastAsia="宋体" w:cs="宋体"/>
                <w:sz w:val="21"/>
                <w:szCs w:val="21"/>
                <w:lang w:val="en-US" w:eastAsia="en-US"/>
              </w:rPr>
              <w:t>1min~99h59min范围内任意设定时间，运行结束后自动发出提示音</w:t>
            </w:r>
            <w:r>
              <w:rPr>
                <w:rFonts w:hint="eastAsia" w:ascii="宋体" w:hAnsi="宋体" w:eastAsia="宋体" w:cs="宋体"/>
                <w:sz w:val="21"/>
                <w:szCs w:val="21"/>
                <w:lang w:val="en-US" w:eastAsia="zh-CN"/>
              </w:rPr>
              <w:t>。</w:t>
            </w:r>
          </w:p>
          <w:p w14:paraId="6BD4C7D5">
            <w:pPr>
              <w:pStyle w:val="116"/>
              <w:spacing w:before="79" w:line="360" w:lineRule="auto"/>
              <w:ind w:left="12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val="en-US" w:eastAsia="en-US"/>
              </w:rPr>
              <w:t>多种海绵试管架可选，用途广泛；软启动，加速均匀，有效避免样品飞溅</w:t>
            </w:r>
            <w:r>
              <w:rPr>
                <w:rFonts w:hint="eastAsia" w:ascii="宋体" w:hAnsi="宋体" w:eastAsia="宋体" w:cs="宋体"/>
                <w:sz w:val="21"/>
                <w:szCs w:val="21"/>
                <w:lang w:val="en-US" w:eastAsia="zh-CN"/>
              </w:rPr>
              <w:t>。</w:t>
            </w:r>
          </w:p>
          <w:p w14:paraId="3EC96708">
            <w:pPr>
              <w:pStyle w:val="116"/>
              <w:spacing w:before="79" w:line="360" w:lineRule="auto"/>
              <w:ind w:left="12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val="en-US" w:eastAsia="en-US"/>
              </w:rPr>
              <w:t>直流无刷电机驱动，速度精确，长寿命，免保养；操作面板简洁，微处理量精确控制，LED实时显示速度和时间</w:t>
            </w:r>
            <w:r>
              <w:rPr>
                <w:rFonts w:hint="eastAsia" w:ascii="宋体" w:hAnsi="宋体" w:eastAsia="宋体" w:cs="宋体"/>
                <w:sz w:val="21"/>
                <w:szCs w:val="21"/>
                <w:lang w:val="en-US" w:eastAsia="zh-CN"/>
              </w:rPr>
              <w:t>。</w:t>
            </w:r>
          </w:p>
          <w:p w14:paraId="592FBAC7">
            <w:pPr>
              <w:pStyle w:val="116"/>
              <w:spacing w:before="79" w:line="360" w:lineRule="auto"/>
              <w:ind w:left="12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val="en-US" w:eastAsia="en-US"/>
              </w:rPr>
              <w:t>人性化的程序设计，内置点动和定时两种操作模式</w:t>
            </w:r>
            <w:r>
              <w:rPr>
                <w:rFonts w:hint="eastAsia" w:ascii="宋体" w:hAnsi="宋体" w:eastAsia="宋体" w:cs="宋体"/>
                <w:sz w:val="21"/>
                <w:szCs w:val="21"/>
                <w:lang w:val="en-US" w:eastAsia="zh-CN"/>
              </w:rPr>
              <w:t>。</w:t>
            </w:r>
          </w:p>
          <w:p w14:paraId="41963813">
            <w:pPr>
              <w:pStyle w:val="116"/>
              <w:spacing w:before="79" w:line="360" w:lineRule="auto"/>
              <w:ind w:left="125"/>
              <w:rPr>
                <w:rFonts w:hint="eastAsia" w:ascii="宋体" w:hAnsi="宋体" w:eastAsia="宋体" w:cs="宋体"/>
                <w:sz w:val="21"/>
                <w:szCs w:val="21"/>
                <w:lang w:val="en-US" w:eastAsia="zh-CN"/>
              </w:rPr>
            </w:pPr>
            <w:r>
              <w:rPr>
                <w:rFonts w:hint="eastAsia" w:ascii="宋体" w:hAnsi="宋体" w:eastAsia="宋体" w:cs="宋体"/>
                <w:sz w:val="21"/>
                <w:szCs w:val="21"/>
                <w:lang w:val="en-US" w:eastAsia="en-US"/>
              </w:rPr>
              <w:t>▲</w:t>
            </w:r>
            <w:r>
              <w:rPr>
                <w:rFonts w:hint="eastAsia" w:ascii="宋体" w:hAnsi="宋体" w:eastAsia="宋体" w:cs="宋体"/>
                <w:sz w:val="21"/>
                <w:szCs w:val="21"/>
                <w:lang w:val="en-US" w:eastAsia="zh-CN"/>
              </w:rPr>
              <w:t>6、转速：</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100-2500rpm；振幅</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4mm水平回转。</w:t>
            </w:r>
          </w:p>
          <w:p w14:paraId="351A4AB2">
            <w:pPr>
              <w:pStyle w:val="116"/>
              <w:spacing w:before="79" w:line="360" w:lineRule="auto"/>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7、样本容量：适用范围22-25mm适用25ml试管，适用范围14-17mm适用（15ml试管），适用范围9~13mm适用（2ml-5ml试管），适用范围18~21mm适用20ml试管，适用范围φ26-32mm适用（50ml试管）也可定制模块规格。</w:t>
            </w:r>
          </w:p>
          <w:p w14:paraId="44D774B9">
            <w:pPr>
              <w:pStyle w:val="116"/>
              <w:spacing w:before="79" w:line="360" w:lineRule="auto"/>
              <w:ind w:left="12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8、输入功率≤70W（节能环保）最大载重5.5kg</w:t>
            </w:r>
          </w:p>
          <w:p w14:paraId="4964B6B1">
            <w:pPr>
              <w:pStyle w:val="116"/>
              <w:spacing w:before="79" w:line="360" w:lineRule="auto"/>
              <w:ind w:left="125"/>
              <w:rPr>
                <w:rFonts w:hint="eastAsia" w:ascii="宋体" w:hAnsi="宋体" w:eastAsia="宋体" w:cs="宋体"/>
                <w:color w:val="376092" w:themeColor="accent1" w:themeShade="BF"/>
                <w:kern w:val="2"/>
                <w:sz w:val="21"/>
                <w:szCs w:val="21"/>
                <w:lang w:val="en-US" w:eastAsia="zh-CN" w:bidi="ar-SA"/>
              </w:rPr>
            </w:pPr>
            <w:r>
              <w:rPr>
                <w:rFonts w:hint="eastAsia" w:ascii="宋体" w:hAnsi="宋体" w:eastAsia="宋体" w:cs="宋体"/>
                <w:sz w:val="21"/>
                <w:szCs w:val="21"/>
                <w:lang w:val="en-US" w:eastAsia="zh-CN"/>
              </w:rPr>
              <w:t>9、外形尺寸</w:t>
            </w:r>
            <w:r>
              <w:rPr>
                <w:rFonts w:hint="eastAsia" w:ascii="宋体" w:hAnsi="宋体" w:eastAsia="宋体" w:cs="宋体"/>
                <w:sz w:val="21"/>
                <w:szCs w:val="21"/>
              </w:rPr>
              <w:t>≥</w:t>
            </w:r>
            <w:r>
              <w:rPr>
                <w:rFonts w:hint="eastAsia" w:ascii="宋体" w:hAnsi="宋体" w:eastAsia="宋体" w:cs="宋体"/>
                <w:sz w:val="21"/>
                <w:szCs w:val="21"/>
                <w:lang w:val="en-US" w:eastAsia="zh-CN"/>
              </w:rPr>
              <w:t>410*276*432mm，重量≤20kg。</w:t>
            </w:r>
          </w:p>
        </w:tc>
      </w:tr>
      <w:tr w14:paraId="607EB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26" w:type="dxa"/>
            <w:shd w:val="clear" w:color="auto" w:fill="auto"/>
            <w:vAlign w:val="center"/>
          </w:tcPr>
          <w:p w14:paraId="36AF1ED3">
            <w:pPr>
              <w:pStyle w:val="116"/>
              <w:spacing w:before="79" w:line="360" w:lineRule="auto"/>
              <w:jc w:val="both"/>
              <w:rPr>
                <w:rFonts w:hint="eastAsia" w:ascii="宋体" w:hAnsi="宋体" w:eastAsia="宋体" w:cs="宋体"/>
                <w:sz w:val="21"/>
                <w:szCs w:val="21"/>
              </w:rPr>
            </w:pPr>
          </w:p>
          <w:p w14:paraId="6999B0D3">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21</w:t>
            </w:r>
          </w:p>
        </w:tc>
        <w:tc>
          <w:tcPr>
            <w:tcW w:w="2024" w:type="dxa"/>
            <w:shd w:val="clear" w:color="auto" w:fill="auto"/>
            <w:vAlign w:val="center"/>
          </w:tcPr>
          <w:p w14:paraId="59862739">
            <w:pPr>
              <w:pStyle w:val="116"/>
              <w:spacing w:before="79" w:line="360" w:lineRule="auto"/>
              <w:ind w:left="125"/>
              <w:jc w:val="center"/>
              <w:rPr>
                <w:rFonts w:hint="eastAsia" w:ascii="宋体" w:hAnsi="宋体" w:eastAsia="宋体" w:cs="宋体"/>
                <w:sz w:val="21"/>
                <w:szCs w:val="21"/>
              </w:rPr>
            </w:pPr>
          </w:p>
          <w:p w14:paraId="1D649614">
            <w:pPr>
              <w:pStyle w:val="116"/>
              <w:spacing w:before="79" w:line="360" w:lineRule="auto"/>
              <w:ind w:left="125" w:leftChars="0"/>
              <w:jc w:val="center"/>
              <w:rPr>
                <w:rFonts w:hint="eastAsia" w:ascii="宋体" w:hAnsi="宋体" w:eastAsia="宋体" w:cs="宋体"/>
                <w:sz w:val="21"/>
                <w:szCs w:val="21"/>
              </w:rPr>
            </w:pPr>
            <w:r>
              <w:rPr>
                <w:rFonts w:hint="eastAsia" w:ascii="宋体" w:hAnsi="宋体" w:eastAsia="宋体" w:cs="宋体"/>
                <w:sz w:val="21"/>
                <w:szCs w:val="21"/>
              </w:rPr>
              <w:t>超声波清洗器</w:t>
            </w:r>
          </w:p>
          <w:p w14:paraId="2FF0EA33">
            <w:pPr>
              <w:pStyle w:val="116"/>
              <w:spacing w:before="79" w:line="360" w:lineRule="auto"/>
              <w:jc w:val="both"/>
              <w:rPr>
                <w:rFonts w:hint="eastAsia" w:ascii="宋体" w:hAnsi="宋体" w:eastAsia="宋体" w:cs="宋体"/>
                <w:sz w:val="21"/>
                <w:szCs w:val="21"/>
                <w:lang w:val="en-US" w:eastAsia="zh-CN"/>
              </w:rPr>
            </w:pPr>
          </w:p>
        </w:tc>
        <w:tc>
          <w:tcPr>
            <w:tcW w:w="1424" w:type="dxa"/>
            <w:shd w:val="clear" w:color="auto" w:fill="auto"/>
            <w:vAlign w:val="center"/>
          </w:tcPr>
          <w:p w14:paraId="0A48C84D">
            <w:pPr>
              <w:pStyle w:val="116"/>
              <w:spacing w:before="79" w:line="360" w:lineRule="auto"/>
              <w:ind w:left="125"/>
              <w:jc w:val="center"/>
              <w:rPr>
                <w:rFonts w:hint="eastAsia" w:ascii="宋体" w:hAnsi="宋体" w:eastAsia="宋体" w:cs="宋体"/>
                <w:sz w:val="21"/>
                <w:szCs w:val="21"/>
              </w:rPr>
            </w:pPr>
            <w:r>
              <w:rPr>
                <w:rFonts w:hint="eastAsia" w:ascii="宋体" w:hAnsi="宋体" w:eastAsia="宋体" w:cs="宋体"/>
                <w:sz w:val="21"/>
                <w:szCs w:val="21"/>
              </w:rPr>
              <w:t>用于实验器</w:t>
            </w:r>
          </w:p>
          <w:p w14:paraId="1C988762">
            <w:pPr>
              <w:pStyle w:val="116"/>
              <w:spacing w:before="79" w:line="360" w:lineRule="auto"/>
              <w:ind w:left="125"/>
              <w:jc w:val="center"/>
              <w:rPr>
                <w:rFonts w:hint="eastAsia" w:ascii="宋体" w:hAnsi="宋体" w:eastAsia="宋体" w:cs="宋体"/>
                <w:sz w:val="21"/>
                <w:szCs w:val="21"/>
              </w:rPr>
            </w:pPr>
            <w:r>
              <w:rPr>
                <w:rFonts w:hint="eastAsia" w:ascii="宋体" w:hAnsi="宋体" w:eastAsia="宋体" w:cs="宋体"/>
                <w:sz w:val="21"/>
                <w:szCs w:val="21"/>
              </w:rPr>
              <w:t>皿清洗以及</w:t>
            </w:r>
          </w:p>
          <w:p w14:paraId="129692D5">
            <w:pPr>
              <w:pStyle w:val="116"/>
              <w:spacing w:before="79" w:line="360" w:lineRule="auto"/>
              <w:ind w:left="125"/>
              <w:jc w:val="center"/>
              <w:rPr>
                <w:rFonts w:hint="eastAsia" w:ascii="宋体" w:hAnsi="宋体" w:eastAsia="宋体" w:cs="宋体"/>
                <w:sz w:val="21"/>
                <w:szCs w:val="21"/>
              </w:rPr>
            </w:pPr>
            <w:r>
              <w:rPr>
                <w:rFonts w:hint="eastAsia" w:ascii="宋体" w:hAnsi="宋体" w:eastAsia="宋体" w:cs="宋体"/>
                <w:sz w:val="21"/>
                <w:szCs w:val="21"/>
              </w:rPr>
              <w:t>超声波萃取</w:t>
            </w:r>
          </w:p>
          <w:p w14:paraId="68860589">
            <w:pPr>
              <w:pStyle w:val="116"/>
              <w:spacing w:before="79" w:line="360" w:lineRule="auto"/>
              <w:ind w:left="125" w:leftChars="0"/>
              <w:jc w:val="left"/>
              <w:rPr>
                <w:rFonts w:hint="eastAsia" w:ascii="宋体" w:hAnsi="宋体" w:eastAsia="宋体" w:cs="宋体"/>
                <w:kern w:val="2"/>
                <w:sz w:val="21"/>
                <w:szCs w:val="21"/>
                <w:lang w:val="en-US" w:eastAsia="en-US" w:bidi="ar-SA"/>
              </w:rPr>
            </w:pPr>
            <w:r>
              <w:rPr>
                <w:rFonts w:hint="eastAsia" w:ascii="宋体" w:hAnsi="宋体" w:eastAsia="宋体" w:cs="宋体"/>
                <w:sz w:val="21"/>
                <w:szCs w:val="21"/>
              </w:rPr>
              <w:t>等前处理环 节</w:t>
            </w:r>
          </w:p>
        </w:tc>
        <w:tc>
          <w:tcPr>
            <w:tcW w:w="775" w:type="dxa"/>
            <w:shd w:val="clear" w:color="auto" w:fill="auto"/>
            <w:vAlign w:val="center"/>
          </w:tcPr>
          <w:p w14:paraId="6B9842C1">
            <w:pPr>
              <w:pStyle w:val="116"/>
              <w:spacing w:before="79" w:line="360" w:lineRule="auto"/>
              <w:ind w:left="125"/>
              <w:jc w:val="center"/>
              <w:rPr>
                <w:rFonts w:hint="eastAsia" w:ascii="宋体" w:hAnsi="宋体" w:eastAsia="宋体" w:cs="宋体"/>
                <w:sz w:val="21"/>
                <w:szCs w:val="21"/>
              </w:rPr>
            </w:pPr>
          </w:p>
          <w:p w14:paraId="1F85A927">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台</w:t>
            </w:r>
          </w:p>
        </w:tc>
        <w:tc>
          <w:tcPr>
            <w:tcW w:w="667" w:type="dxa"/>
            <w:shd w:val="clear" w:color="auto" w:fill="auto"/>
            <w:vAlign w:val="center"/>
          </w:tcPr>
          <w:p w14:paraId="000D4A44">
            <w:pPr>
              <w:pStyle w:val="116"/>
              <w:spacing w:before="79" w:line="360" w:lineRule="auto"/>
              <w:ind w:left="125"/>
              <w:jc w:val="center"/>
              <w:rPr>
                <w:rFonts w:hint="eastAsia" w:ascii="宋体" w:hAnsi="宋体" w:eastAsia="宋体" w:cs="宋体"/>
                <w:sz w:val="21"/>
                <w:szCs w:val="21"/>
              </w:rPr>
            </w:pPr>
          </w:p>
          <w:p w14:paraId="6C4F297C">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1</w:t>
            </w:r>
          </w:p>
        </w:tc>
        <w:tc>
          <w:tcPr>
            <w:tcW w:w="8047" w:type="dxa"/>
            <w:shd w:val="clear" w:color="auto" w:fill="auto"/>
            <w:vAlign w:val="top"/>
          </w:tcPr>
          <w:p w14:paraId="5DB70B44">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1.清洗槽容量：内槽尺寸（长×宽×高）mm：≥</w:t>
            </w:r>
            <w:r>
              <w:rPr>
                <w:rFonts w:hint="eastAsia" w:ascii="宋体" w:hAnsi="宋体" w:eastAsia="宋体" w:cs="宋体"/>
                <w:sz w:val="21"/>
                <w:szCs w:val="21"/>
                <w:lang w:val="en-US" w:eastAsia="zh-CN"/>
              </w:rPr>
              <w:t>5</w:t>
            </w:r>
            <w:r>
              <w:rPr>
                <w:rFonts w:hint="eastAsia" w:ascii="宋体" w:hAnsi="宋体" w:eastAsia="宋体" w:cs="宋体"/>
                <w:sz w:val="21"/>
                <w:szCs w:val="21"/>
              </w:rPr>
              <w:t>00×</w:t>
            </w:r>
            <w:r>
              <w:rPr>
                <w:rFonts w:hint="eastAsia" w:ascii="宋体" w:hAnsi="宋体" w:eastAsia="宋体" w:cs="宋体"/>
                <w:sz w:val="21"/>
                <w:szCs w:val="21"/>
                <w:lang w:val="en-US" w:eastAsia="zh-CN"/>
              </w:rPr>
              <w:t>4</w:t>
            </w:r>
            <w:r>
              <w:rPr>
                <w:rFonts w:hint="eastAsia" w:ascii="宋体" w:hAnsi="宋体" w:eastAsia="宋体" w:cs="宋体"/>
                <w:sz w:val="21"/>
                <w:szCs w:val="21"/>
              </w:rPr>
              <w:t>00×</w:t>
            </w:r>
            <w:r>
              <w:rPr>
                <w:rFonts w:hint="eastAsia" w:ascii="宋体" w:hAnsi="宋体" w:eastAsia="宋体" w:cs="宋体"/>
                <w:sz w:val="21"/>
                <w:szCs w:val="21"/>
                <w:lang w:val="en-US" w:eastAsia="zh-CN"/>
              </w:rPr>
              <w:t>3</w:t>
            </w:r>
            <w:r>
              <w:rPr>
                <w:rFonts w:hint="eastAsia" w:ascii="宋体" w:hAnsi="宋体" w:eastAsia="宋体" w:cs="宋体"/>
                <w:sz w:val="21"/>
                <w:szCs w:val="21"/>
              </w:rPr>
              <w:t xml:space="preserve">00，有效容积：≥ </w:t>
            </w:r>
            <w:r>
              <w:rPr>
                <w:rFonts w:hint="eastAsia" w:ascii="宋体" w:hAnsi="宋体" w:eastAsia="宋体" w:cs="宋体"/>
                <w:sz w:val="21"/>
                <w:szCs w:val="21"/>
                <w:lang w:val="en-US" w:eastAsia="zh-CN"/>
              </w:rPr>
              <w:t>60</w:t>
            </w:r>
            <w:r>
              <w:rPr>
                <w:rFonts w:hint="eastAsia" w:ascii="宋体" w:hAnsi="宋体" w:eastAsia="宋体" w:cs="宋体"/>
                <w:sz w:val="21"/>
                <w:szCs w:val="21"/>
              </w:rPr>
              <w:t>L</w:t>
            </w:r>
          </w:p>
          <w:p w14:paraId="37EF8AEB">
            <w:pPr>
              <w:spacing w:line="360" w:lineRule="auto"/>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rPr>
              <w:t>2.超声波频率：频率范围：</w:t>
            </w:r>
            <w:r>
              <w:rPr>
                <w:rFonts w:hint="eastAsia" w:ascii="宋体" w:hAnsi="宋体" w:eastAsia="宋体" w:cs="宋体"/>
                <w:sz w:val="21"/>
                <w:szCs w:val="21"/>
                <w:lang w:val="en-US" w:eastAsia="zh-CN"/>
              </w:rPr>
              <w:t>28</w:t>
            </w:r>
            <w:r>
              <w:rPr>
                <w:rFonts w:hint="eastAsia" w:ascii="宋体" w:hAnsi="宋体" w:eastAsia="宋体" w:cs="宋体"/>
                <w:sz w:val="21"/>
                <w:szCs w:val="21"/>
              </w:rPr>
              <w:t>kHz</w:t>
            </w:r>
            <w:r>
              <w:rPr>
                <w:rFonts w:hint="eastAsia" w:ascii="宋体" w:hAnsi="宋体" w:eastAsia="宋体" w:cs="宋体"/>
                <w:sz w:val="21"/>
                <w:szCs w:val="21"/>
                <w:lang w:val="en-US" w:eastAsia="zh-CN"/>
              </w:rPr>
              <w:t>或40KHz</w:t>
            </w:r>
          </w:p>
          <w:p w14:paraId="5E8B251F">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3.超声波功率</w:t>
            </w:r>
          </w:p>
          <w:p w14:paraId="200FF07E">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额定功率：</w:t>
            </w:r>
            <w:r>
              <w:rPr>
                <w:rFonts w:hint="eastAsia" w:ascii="宋体" w:hAnsi="宋体" w:eastAsia="宋体" w:cs="宋体"/>
                <w:sz w:val="21"/>
                <w:szCs w:val="21"/>
                <w:lang w:val="en-US" w:eastAsia="zh-CN"/>
              </w:rPr>
              <w:t>10</w:t>
            </w:r>
            <w:r>
              <w:rPr>
                <w:rFonts w:hint="eastAsia" w:ascii="宋体" w:hAnsi="宋体" w:eastAsia="宋体" w:cs="宋体"/>
                <w:sz w:val="21"/>
                <w:szCs w:val="21"/>
              </w:rPr>
              <w:t>00W</w:t>
            </w:r>
          </w:p>
          <w:p w14:paraId="26618FF6">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4.加热功能</w:t>
            </w:r>
          </w:p>
          <w:p w14:paraId="48778814">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加热功率：</w:t>
            </w:r>
            <w:r>
              <w:rPr>
                <w:rFonts w:hint="eastAsia" w:ascii="宋体" w:hAnsi="宋体" w:eastAsia="宋体" w:cs="宋体"/>
                <w:sz w:val="21"/>
                <w:szCs w:val="21"/>
                <w:lang w:val="en-US" w:eastAsia="zh-CN"/>
              </w:rPr>
              <w:t>3</w:t>
            </w:r>
            <w:r>
              <w:rPr>
                <w:rFonts w:hint="eastAsia" w:ascii="宋体" w:hAnsi="宋体" w:eastAsia="宋体" w:cs="宋体"/>
                <w:sz w:val="21"/>
                <w:szCs w:val="21"/>
              </w:rPr>
              <w:t>000W</w:t>
            </w:r>
          </w:p>
          <w:p w14:paraId="6020F59F">
            <w:pPr>
              <w:spacing w:line="360" w:lineRule="auto"/>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rPr>
              <w:t>温度范围：室温至80°C</w:t>
            </w:r>
            <w:r>
              <w:rPr>
                <w:rFonts w:hint="eastAsia" w:ascii="宋体" w:hAnsi="宋体" w:eastAsia="宋体" w:cs="宋体"/>
                <w:sz w:val="21"/>
                <w:szCs w:val="21"/>
                <w:lang w:val="en-US" w:eastAsia="zh-CN"/>
              </w:rPr>
              <w:t>数码显示</w:t>
            </w:r>
          </w:p>
          <w:p w14:paraId="3297E36A">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★温度控制精度：±2°C</w:t>
            </w:r>
          </w:p>
          <w:p w14:paraId="2BEF997E">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5.时间控制</w:t>
            </w:r>
          </w:p>
          <w:p w14:paraId="3579C7A4">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清洗时间范围：1-99 分钟（</w:t>
            </w:r>
            <w:r>
              <w:rPr>
                <w:rFonts w:hint="eastAsia" w:ascii="宋体" w:hAnsi="宋体" w:eastAsia="宋体" w:cs="宋体"/>
                <w:sz w:val="21"/>
                <w:szCs w:val="21"/>
                <w:lang w:val="en-US" w:eastAsia="zh-CN"/>
              </w:rPr>
              <w:t>倒计时显示</w:t>
            </w:r>
            <w:r>
              <w:rPr>
                <w:rFonts w:hint="eastAsia" w:ascii="宋体" w:hAnsi="宋体" w:eastAsia="宋体" w:cs="宋体"/>
                <w:sz w:val="21"/>
                <w:szCs w:val="21"/>
              </w:rPr>
              <w:t>）</w:t>
            </w:r>
          </w:p>
          <w:p w14:paraId="5D6FE9CE">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支持定时功能</w:t>
            </w:r>
          </w:p>
          <w:p w14:paraId="33BD765A">
            <w:pPr>
              <w:spacing w:line="360" w:lineRule="auto"/>
              <w:ind w:firstLine="210" w:firstLineChars="100"/>
              <w:rPr>
                <w:rFonts w:hint="eastAsia" w:ascii="宋体" w:hAnsi="宋体" w:eastAsia="宋体" w:cs="宋体"/>
                <w:sz w:val="21"/>
                <w:szCs w:val="21"/>
                <w:lang w:eastAsia="zh-CN"/>
              </w:rPr>
            </w:pPr>
            <w:r>
              <w:rPr>
                <w:rFonts w:hint="eastAsia" w:ascii="宋体" w:hAnsi="宋体" w:eastAsia="宋体" w:cs="宋体"/>
                <w:sz w:val="21"/>
                <w:szCs w:val="21"/>
              </w:rPr>
              <w:t>6.材质与结构</w:t>
            </w:r>
            <w:r>
              <w:rPr>
                <w:rFonts w:hint="eastAsia" w:ascii="宋体" w:hAnsi="宋体" w:eastAsia="宋体" w:cs="宋体"/>
                <w:sz w:val="21"/>
                <w:szCs w:val="21"/>
                <w:lang w:eastAsia="zh-CN"/>
              </w:rPr>
              <w:t>：</w:t>
            </w:r>
          </w:p>
          <w:p w14:paraId="12B4A71A">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内槽材质：优质不锈钢（SUS304）</w:t>
            </w:r>
          </w:p>
          <w:p w14:paraId="0F2AE76C">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外壳材质：优质不锈钢（SUS304）</w:t>
            </w:r>
          </w:p>
          <w:p w14:paraId="01A8FFB4">
            <w:pPr>
              <w:spacing w:line="360" w:lineRule="auto"/>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配置</w:t>
            </w:r>
            <w:r>
              <w:rPr>
                <w:rFonts w:hint="eastAsia" w:ascii="宋体" w:hAnsi="宋体" w:eastAsia="宋体" w:cs="宋体"/>
                <w:sz w:val="21"/>
                <w:szCs w:val="21"/>
              </w:rPr>
              <w:t>优质不锈钢（SUS304）</w:t>
            </w:r>
            <w:r>
              <w:rPr>
                <w:rFonts w:hint="eastAsia" w:ascii="宋体" w:hAnsi="宋体" w:eastAsia="宋体" w:cs="宋体"/>
                <w:sz w:val="21"/>
                <w:szCs w:val="21"/>
                <w:lang w:val="en-US" w:eastAsia="zh-CN"/>
              </w:rPr>
              <w:t>降音盖，不锈钢网篮</w:t>
            </w:r>
          </w:p>
          <w:p w14:paraId="31A4DC6C">
            <w:pPr>
              <w:spacing w:line="360" w:lineRule="auto"/>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rPr>
              <w:t>排水方式：</w:t>
            </w:r>
            <w:r>
              <w:rPr>
                <w:rFonts w:hint="eastAsia" w:ascii="宋体" w:hAnsi="宋体" w:eastAsia="宋体" w:cs="宋体"/>
                <w:sz w:val="21"/>
                <w:szCs w:val="21"/>
                <w:lang w:val="en-US" w:eastAsia="zh-CN"/>
              </w:rPr>
              <w:t>球型</w:t>
            </w:r>
            <w:r>
              <w:rPr>
                <w:rFonts w:hint="eastAsia" w:ascii="宋体" w:hAnsi="宋体" w:eastAsia="宋体" w:cs="宋体"/>
                <w:sz w:val="21"/>
                <w:szCs w:val="21"/>
              </w:rPr>
              <w:t>阀</w:t>
            </w:r>
            <w:r>
              <w:rPr>
                <w:rFonts w:hint="eastAsia" w:ascii="宋体" w:hAnsi="宋体" w:eastAsia="宋体" w:cs="宋体"/>
                <w:sz w:val="21"/>
                <w:szCs w:val="21"/>
                <w:lang w:val="en-US" w:eastAsia="zh-CN"/>
              </w:rPr>
              <w:t>手动</w:t>
            </w:r>
          </w:p>
          <w:p w14:paraId="7265BEFB">
            <w:pPr>
              <w:numPr>
                <w:ilvl w:val="0"/>
                <w:numId w:val="0"/>
              </w:num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超声波发生器</w:t>
            </w:r>
          </w:p>
          <w:p w14:paraId="002F4861">
            <w:pPr>
              <w:numPr>
                <w:ilvl w:val="0"/>
                <w:numId w:val="0"/>
              </w:numPr>
              <w:spacing w:line="360" w:lineRule="auto"/>
              <w:ind w:firstLine="210" w:firstLineChars="100"/>
              <w:rPr>
                <w:rFonts w:hint="eastAsia" w:ascii="宋体" w:hAnsi="宋体" w:eastAsia="宋体" w:cs="宋体"/>
                <w:sz w:val="21"/>
                <w:szCs w:val="21"/>
              </w:rPr>
            </w:pPr>
            <w:r>
              <w:rPr>
                <w:rFonts w:hint="eastAsia" w:ascii="宋体" w:hAnsi="宋体" w:eastAsia="宋体" w:cs="宋体"/>
                <w:color w:val="000000"/>
                <w:sz w:val="21"/>
                <w:szCs w:val="21"/>
              </w:rPr>
              <w:t>操作程序</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单片机软件</w:t>
            </w:r>
          </w:p>
          <w:p w14:paraId="3D4500CC">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★发生器类型：数字式超声波发生器</w:t>
            </w:r>
          </w:p>
          <w:p w14:paraId="5C367175">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保护功能：过载保护、过热保护</w:t>
            </w:r>
          </w:p>
          <w:p w14:paraId="613C2F7F">
            <w:pPr>
              <w:spacing w:line="360" w:lineRule="auto"/>
              <w:ind w:firstLine="420" w:firstLineChars="200"/>
              <w:rPr>
                <w:rFonts w:hint="eastAsia" w:ascii="宋体" w:hAnsi="宋体" w:eastAsia="宋体" w:cs="宋体"/>
                <w:sz w:val="21"/>
                <w:szCs w:val="21"/>
              </w:rPr>
            </w:pPr>
            <w:r>
              <w:rPr>
                <w:rFonts w:hint="eastAsia" w:ascii="宋体" w:hAnsi="宋体" w:eastAsia="宋体" w:cs="宋体"/>
                <w:color w:val="000000"/>
                <w:sz w:val="21"/>
                <w:szCs w:val="21"/>
              </w:rPr>
              <w:t xml:space="preserve">工作参数断电记忆功能 </w:t>
            </w:r>
          </w:p>
          <w:p w14:paraId="0C3CE76E">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 xml:space="preserve">8 </w:t>
            </w:r>
            <w:r>
              <w:rPr>
                <w:rFonts w:hint="eastAsia" w:ascii="宋体" w:hAnsi="宋体" w:eastAsia="宋体" w:cs="宋体"/>
                <w:sz w:val="21"/>
                <w:szCs w:val="21"/>
              </w:rPr>
              <w:t>.电源要求</w:t>
            </w:r>
          </w:p>
          <w:p w14:paraId="33A023D8">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电源电压：AC 220V ± 10%</w:t>
            </w:r>
          </w:p>
          <w:p w14:paraId="4755A742">
            <w:pPr>
              <w:spacing w:line="360" w:lineRule="auto"/>
              <w:ind w:firstLine="210" w:firstLineChars="100"/>
              <w:rPr>
                <w:rFonts w:hint="eastAsia" w:ascii="宋体" w:hAnsi="宋体" w:eastAsia="宋体" w:cs="宋体"/>
                <w:kern w:val="2"/>
                <w:sz w:val="21"/>
                <w:szCs w:val="21"/>
                <w:lang w:val="en-US" w:eastAsia="en-US" w:bidi="ar-SA"/>
              </w:rPr>
            </w:pPr>
            <w:r>
              <w:rPr>
                <w:rFonts w:hint="eastAsia" w:ascii="宋体" w:hAnsi="宋体" w:eastAsia="宋体" w:cs="宋体"/>
                <w:sz w:val="21"/>
                <w:szCs w:val="21"/>
              </w:rPr>
              <w:t>电源频率：50/60Hz</w:t>
            </w:r>
          </w:p>
        </w:tc>
      </w:tr>
      <w:tr w14:paraId="5B47C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26" w:type="dxa"/>
            <w:shd w:val="clear" w:color="auto" w:fill="auto"/>
            <w:vAlign w:val="top"/>
          </w:tcPr>
          <w:p w14:paraId="46AA8A4C">
            <w:pPr>
              <w:pStyle w:val="116"/>
              <w:spacing w:before="79" w:line="360" w:lineRule="auto"/>
              <w:ind w:left="125"/>
              <w:jc w:val="center"/>
              <w:rPr>
                <w:rFonts w:hint="eastAsia" w:ascii="宋体" w:hAnsi="宋体" w:eastAsia="宋体" w:cs="宋体"/>
                <w:color w:val="auto"/>
                <w:sz w:val="21"/>
                <w:szCs w:val="21"/>
              </w:rPr>
            </w:pPr>
          </w:p>
          <w:p w14:paraId="137A737A">
            <w:pPr>
              <w:pStyle w:val="116"/>
              <w:spacing w:before="79" w:line="360" w:lineRule="auto"/>
              <w:ind w:left="125"/>
              <w:jc w:val="center"/>
              <w:rPr>
                <w:rFonts w:hint="eastAsia" w:ascii="宋体" w:hAnsi="宋体" w:eastAsia="宋体" w:cs="宋体"/>
                <w:color w:val="auto"/>
                <w:sz w:val="21"/>
                <w:szCs w:val="21"/>
              </w:rPr>
            </w:pPr>
          </w:p>
          <w:p w14:paraId="7334E45B">
            <w:pPr>
              <w:pStyle w:val="116"/>
              <w:spacing w:before="79" w:line="360" w:lineRule="auto"/>
              <w:ind w:left="125"/>
              <w:jc w:val="center"/>
              <w:rPr>
                <w:rFonts w:hint="eastAsia" w:ascii="宋体" w:hAnsi="宋体" w:eastAsia="宋体" w:cs="宋体"/>
                <w:color w:val="auto"/>
                <w:sz w:val="21"/>
                <w:szCs w:val="21"/>
              </w:rPr>
            </w:pPr>
          </w:p>
          <w:p w14:paraId="0493363A">
            <w:pPr>
              <w:pStyle w:val="116"/>
              <w:spacing w:before="79" w:line="360" w:lineRule="auto"/>
              <w:ind w:left="125"/>
              <w:jc w:val="center"/>
              <w:rPr>
                <w:rFonts w:hint="eastAsia" w:ascii="宋体" w:hAnsi="宋体" w:eastAsia="宋体" w:cs="宋体"/>
                <w:color w:val="auto"/>
                <w:sz w:val="21"/>
                <w:szCs w:val="21"/>
              </w:rPr>
            </w:pPr>
          </w:p>
          <w:p w14:paraId="2614FC60">
            <w:pPr>
              <w:pStyle w:val="116"/>
              <w:spacing w:before="79" w:line="360" w:lineRule="auto"/>
              <w:ind w:firstLine="210" w:firstLineChars="100"/>
              <w:jc w:val="both"/>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22</w:t>
            </w:r>
          </w:p>
        </w:tc>
        <w:tc>
          <w:tcPr>
            <w:tcW w:w="2024" w:type="dxa"/>
            <w:shd w:val="clear" w:color="auto" w:fill="auto"/>
            <w:vAlign w:val="top"/>
          </w:tcPr>
          <w:p w14:paraId="56F64EA9">
            <w:pPr>
              <w:pStyle w:val="116"/>
              <w:spacing w:before="79" w:line="360" w:lineRule="auto"/>
              <w:ind w:left="125"/>
              <w:jc w:val="center"/>
              <w:rPr>
                <w:rFonts w:hint="eastAsia" w:ascii="宋体" w:hAnsi="宋体" w:eastAsia="宋体" w:cs="宋体"/>
                <w:color w:val="auto"/>
                <w:sz w:val="21"/>
                <w:szCs w:val="21"/>
              </w:rPr>
            </w:pPr>
          </w:p>
          <w:p w14:paraId="74D3ACA1">
            <w:pPr>
              <w:pStyle w:val="116"/>
              <w:spacing w:before="79" w:line="360" w:lineRule="auto"/>
              <w:ind w:left="125"/>
              <w:jc w:val="center"/>
              <w:rPr>
                <w:rFonts w:hint="eastAsia" w:ascii="宋体" w:hAnsi="宋体" w:eastAsia="宋体" w:cs="宋体"/>
                <w:color w:val="auto"/>
                <w:sz w:val="21"/>
                <w:szCs w:val="21"/>
              </w:rPr>
            </w:pPr>
          </w:p>
          <w:p w14:paraId="24BCB20C">
            <w:pPr>
              <w:pStyle w:val="116"/>
              <w:spacing w:before="79" w:line="360" w:lineRule="auto"/>
              <w:ind w:left="125"/>
              <w:jc w:val="center"/>
              <w:rPr>
                <w:rFonts w:hint="eastAsia" w:ascii="宋体" w:hAnsi="宋体" w:eastAsia="宋体" w:cs="宋体"/>
                <w:color w:val="auto"/>
                <w:sz w:val="21"/>
                <w:szCs w:val="21"/>
              </w:rPr>
            </w:pPr>
          </w:p>
          <w:p w14:paraId="380B9BFD">
            <w:pPr>
              <w:pStyle w:val="116"/>
              <w:spacing w:before="79" w:line="360" w:lineRule="auto"/>
              <w:ind w:left="125"/>
              <w:jc w:val="center"/>
              <w:rPr>
                <w:rFonts w:hint="eastAsia" w:ascii="宋体" w:hAnsi="宋体" w:eastAsia="宋体" w:cs="宋体"/>
                <w:color w:val="auto"/>
                <w:sz w:val="21"/>
                <w:szCs w:val="21"/>
              </w:rPr>
            </w:pPr>
          </w:p>
          <w:p w14:paraId="2DEC9F03">
            <w:pPr>
              <w:pStyle w:val="116"/>
              <w:spacing w:before="79" w:line="360" w:lineRule="auto"/>
              <w:ind w:firstLine="420" w:firstLineChars="200"/>
              <w:jc w:val="both"/>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流式细胞仪</w:t>
            </w:r>
          </w:p>
        </w:tc>
        <w:tc>
          <w:tcPr>
            <w:tcW w:w="1424" w:type="dxa"/>
            <w:shd w:val="clear" w:color="auto" w:fill="auto"/>
            <w:vAlign w:val="top"/>
          </w:tcPr>
          <w:p w14:paraId="3F95D4CF">
            <w:pPr>
              <w:pStyle w:val="116"/>
              <w:spacing w:before="79" w:line="360" w:lineRule="auto"/>
              <w:ind w:left="125" w:leftChars="0"/>
              <w:rPr>
                <w:rFonts w:hint="eastAsia" w:ascii="宋体" w:hAnsi="宋体" w:eastAsia="宋体" w:cs="宋体"/>
                <w:color w:val="auto"/>
                <w:sz w:val="21"/>
                <w:szCs w:val="21"/>
              </w:rPr>
            </w:pPr>
          </w:p>
          <w:p w14:paraId="13F977BE">
            <w:pPr>
              <w:pStyle w:val="116"/>
              <w:spacing w:before="79" w:line="360" w:lineRule="auto"/>
              <w:ind w:left="125" w:leftChars="0"/>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用于实验室  对水生生物、 微生物细 胞 进行分选、自 动分析等监  测研究工作</w:t>
            </w:r>
          </w:p>
        </w:tc>
        <w:tc>
          <w:tcPr>
            <w:tcW w:w="775" w:type="dxa"/>
            <w:shd w:val="clear" w:color="auto" w:fill="auto"/>
            <w:vAlign w:val="top"/>
          </w:tcPr>
          <w:p w14:paraId="081D231E">
            <w:pPr>
              <w:pStyle w:val="116"/>
              <w:spacing w:before="79" w:line="360" w:lineRule="auto"/>
              <w:ind w:left="125"/>
              <w:jc w:val="center"/>
              <w:rPr>
                <w:rFonts w:hint="eastAsia" w:ascii="宋体" w:hAnsi="宋体" w:eastAsia="宋体" w:cs="宋体"/>
                <w:color w:val="auto"/>
                <w:sz w:val="21"/>
                <w:szCs w:val="21"/>
              </w:rPr>
            </w:pPr>
          </w:p>
          <w:p w14:paraId="11860D3F">
            <w:pPr>
              <w:pStyle w:val="116"/>
              <w:spacing w:before="79" w:line="360" w:lineRule="auto"/>
              <w:ind w:left="125"/>
              <w:jc w:val="center"/>
              <w:rPr>
                <w:rFonts w:hint="eastAsia" w:ascii="宋体" w:hAnsi="宋体" w:eastAsia="宋体" w:cs="宋体"/>
                <w:color w:val="auto"/>
                <w:sz w:val="21"/>
                <w:szCs w:val="21"/>
              </w:rPr>
            </w:pPr>
          </w:p>
          <w:p w14:paraId="6151B811">
            <w:pPr>
              <w:pStyle w:val="116"/>
              <w:spacing w:before="79" w:line="360" w:lineRule="auto"/>
              <w:ind w:left="125"/>
              <w:jc w:val="center"/>
              <w:rPr>
                <w:rFonts w:hint="eastAsia" w:ascii="宋体" w:hAnsi="宋体" w:eastAsia="宋体" w:cs="宋体"/>
                <w:color w:val="auto"/>
                <w:sz w:val="21"/>
                <w:szCs w:val="21"/>
              </w:rPr>
            </w:pPr>
          </w:p>
          <w:p w14:paraId="2CE4CB6C">
            <w:pPr>
              <w:pStyle w:val="116"/>
              <w:spacing w:before="79" w:line="360" w:lineRule="auto"/>
              <w:ind w:left="125"/>
              <w:jc w:val="center"/>
              <w:rPr>
                <w:rFonts w:hint="eastAsia" w:ascii="宋体" w:hAnsi="宋体" w:eastAsia="宋体" w:cs="宋体"/>
                <w:color w:val="auto"/>
                <w:sz w:val="21"/>
                <w:szCs w:val="21"/>
              </w:rPr>
            </w:pPr>
          </w:p>
          <w:p w14:paraId="3CB23A4D">
            <w:pPr>
              <w:pStyle w:val="116"/>
              <w:spacing w:before="79" w:line="360" w:lineRule="auto"/>
              <w:ind w:firstLine="210" w:firstLineChars="100"/>
              <w:jc w:val="both"/>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台</w:t>
            </w:r>
          </w:p>
        </w:tc>
        <w:tc>
          <w:tcPr>
            <w:tcW w:w="667" w:type="dxa"/>
            <w:shd w:val="clear" w:color="auto" w:fill="auto"/>
            <w:vAlign w:val="top"/>
          </w:tcPr>
          <w:p w14:paraId="0B7B4932">
            <w:pPr>
              <w:pStyle w:val="116"/>
              <w:spacing w:before="79" w:line="360" w:lineRule="auto"/>
              <w:ind w:left="125"/>
              <w:jc w:val="center"/>
              <w:rPr>
                <w:rFonts w:hint="eastAsia" w:ascii="宋体" w:hAnsi="宋体" w:eastAsia="宋体" w:cs="宋体"/>
                <w:color w:val="auto"/>
                <w:sz w:val="21"/>
                <w:szCs w:val="21"/>
              </w:rPr>
            </w:pPr>
          </w:p>
          <w:p w14:paraId="43154146">
            <w:pPr>
              <w:pStyle w:val="116"/>
              <w:spacing w:before="79" w:line="360" w:lineRule="auto"/>
              <w:ind w:left="125"/>
              <w:jc w:val="center"/>
              <w:rPr>
                <w:rFonts w:hint="eastAsia" w:ascii="宋体" w:hAnsi="宋体" w:eastAsia="宋体" w:cs="宋体"/>
                <w:color w:val="auto"/>
                <w:sz w:val="21"/>
                <w:szCs w:val="21"/>
              </w:rPr>
            </w:pPr>
          </w:p>
          <w:p w14:paraId="1ACE3B52">
            <w:pPr>
              <w:pStyle w:val="116"/>
              <w:spacing w:before="79" w:line="360" w:lineRule="auto"/>
              <w:ind w:left="125"/>
              <w:jc w:val="center"/>
              <w:rPr>
                <w:rFonts w:hint="eastAsia" w:ascii="宋体" w:hAnsi="宋体" w:eastAsia="宋体" w:cs="宋体"/>
                <w:color w:val="auto"/>
                <w:sz w:val="21"/>
                <w:szCs w:val="21"/>
              </w:rPr>
            </w:pPr>
          </w:p>
          <w:p w14:paraId="523C4595">
            <w:pPr>
              <w:pStyle w:val="116"/>
              <w:spacing w:before="79" w:line="360" w:lineRule="auto"/>
              <w:ind w:left="125"/>
              <w:jc w:val="center"/>
              <w:rPr>
                <w:rFonts w:hint="eastAsia" w:ascii="宋体" w:hAnsi="宋体" w:eastAsia="宋体" w:cs="宋体"/>
                <w:color w:val="auto"/>
                <w:sz w:val="21"/>
                <w:szCs w:val="21"/>
              </w:rPr>
            </w:pPr>
          </w:p>
          <w:p w14:paraId="102CB950">
            <w:pPr>
              <w:pStyle w:val="116"/>
              <w:spacing w:before="79" w:line="360" w:lineRule="auto"/>
              <w:ind w:firstLine="210" w:firstLineChars="100"/>
              <w:jc w:val="both"/>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1</w:t>
            </w:r>
          </w:p>
        </w:tc>
        <w:tc>
          <w:tcPr>
            <w:tcW w:w="8047" w:type="dxa"/>
            <w:shd w:val="clear" w:color="auto" w:fill="auto"/>
            <w:vAlign w:val="top"/>
          </w:tcPr>
          <w:p w14:paraId="2A9E486A">
            <w:pPr>
              <w:spacing w:line="360" w:lineRule="auto"/>
              <w:ind w:left="210" w:hanging="210" w:hangingChars="100"/>
              <w:rPr>
                <w:rFonts w:hint="eastAsia" w:ascii="宋体" w:hAnsi="宋体" w:eastAsia="宋体" w:cs="宋体"/>
                <w:color w:val="auto"/>
                <w:sz w:val="21"/>
                <w:szCs w:val="21"/>
                <w:lang w:val="en-US" w:eastAsia="zh-CN"/>
              </w:rPr>
            </w:pPr>
            <w:r>
              <w:rPr>
                <w:rFonts w:hint="eastAsia" w:ascii="宋体" w:hAnsi="宋体" w:eastAsia="宋体" w:cs="宋体"/>
                <w:sz w:val="21"/>
                <w:szCs w:val="21"/>
              </w:rPr>
              <w:t> </w:t>
            </w:r>
            <w:r>
              <w:rPr>
                <w:rFonts w:hint="eastAsia" w:ascii="宋体" w:hAnsi="宋体" w:eastAsia="宋体" w:cs="宋体"/>
                <w:sz w:val="21"/>
                <w:szCs w:val="21"/>
                <w:lang w:val="en-US" w:eastAsia="zh-CN"/>
              </w:rPr>
              <w:t xml:space="preserve"> </w:t>
            </w:r>
            <w:r>
              <w:rPr>
                <w:rFonts w:hint="eastAsia" w:ascii="宋体" w:hAnsi="宋体" w:eastAsia="宋体" w:cs="宋体"/>
                <w:color w:val="auto"/>
                <w:sz w:val="21"/>
                <w:szCs w:val="21"/>
                <w:highlight w:val="none"/>
              </w:rPr>
              <w:t>▲</w:t>
            </w:r>
            <w:r>
              <w:rPr>
                <w:rFonts w:hint="eastAsia" w:ascii="宋体" w:hAnsi="宋体" w:eastAsia="宋体" w:cs="宋体"/>
                <w:sz w:val="21"/>
                <w:szCs w:val="21"/>
              </w:rPr>
              <w:t>1.激光器：</w:t>
            </w:r>
            <w:r>
              <w:rPr>
                <w:rFonts w:hint="eastAsia" w:ascii="宋体" w:hAnsi="宋体" w:eastAsia="宋体" w:cs="宋体"/>
                <w:sz w:val="21"/>
                <w:szCs w:val="21"/>
                <w:lang w:val="en-US" w:eastAsia="zh-CN"/>
              </w:rPr>
              <w:t>≥</w:t>
            </w:r>
            <w:r>
              <w:rPr>
                <w:rFonts w:hint="eastAsia" w:ascii="宋体" w:hAnsi="宋体" w:eastAsia="宋体" w:cs="宋体"/>
                <w:sz w:val="21"/>
                <w:szCs w:val="21"/>
              </w:rPr>
              <w:t>2根半导体固态激光器，分别是488nm（蓝色）激光器；</w:t>
            </w:r>
            <w:r>
              <w:rPr>
                <w:rFonts w:hint="eastAsia" w:ascii="宋体" w:hAnsi="宋体" w:eastAsia="宋体" w:cs="宋体"/>
                <w:sz w:val="21"/>
                <w:szCs w:val="21"/>
                <w:lang w:val="en-US" w:eastAsia="zh-CN"/>
              </w:rPr>
              <w:t>405</w:t>
            </w:r>
            <w:r>
              <w:rPr>
                <w:rFonts w:hint="eastAsia" w:ascii="宋体" w:hAnsi="宋体" w:eastAsia="宋体" w:cs="宋体"/>
                <w:sz w:val="21"/>
                <w:szCs w:val="21"/>
              </w:rPr>
              <w:t>nm（红色）激光器。所有激光器采用空间分隔独立激发模式。</w:t>
            </w:r>
            <w:r>
              <w:rPr>
                <w:rFonts w:hint="eastAsia" w:ascii="宋体" w:hAnsi="宋体" w:eastAsia="宋体" w:cs="宋体"/>
                <w:color w:val="auto"/>
                <w:sz w:val="21"/>
                <w:szCs w:val="21"/>
                <w:lang w:eastAsia="zh-CN"/>
              </w:rPr>
              <w:t>（提供彩页或者技术白皮书等证明材料）</w:t>
            </w:r>
          </w:p>
          <w:p w14:paraId="75B7622C">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rPr>
              <w:t>★2. 激光器功率自动调控：自动对激光输出功率进行实时监测和调节，精准控制激光功率在±0.5mw范围内变化。</w:t>
            </w:r>
          </w:p>
          <w:p w14:paraId="25AAEF2E">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★3. 检测器：采用雪崩式二极管（APD）检测器。</w:t>
            </w:r>
          </w:p>
          <w:p w14:paraId="31978BCA">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rPr>
              <w:t>4. 检测通道：散射光2个，包括前向角（FSC）1个和侧向角（SSC）1个；荧光检测通道11个，可原位升级</w:t>
            </w:r>
            <w:r>
              <w:rPr>
                <w:rFonts w:hint="eastAsia" w:ascii="宋体" w:hAnsi="宋体" w:eastAsia="宋体" w:cs="宋体"/>
                <w:sz w:val="21"/>
                <w:szCs w:val="21"/>
                <w:lang w:val="en-US" w:eastAsia="zh-CN"/>
              </w:rPr>
              <w:t>638</w:t>
            </w:r>
            <w:r>
              <w:rPr>
                <w:rFonts w:hint="eastAsia" w:ascii="宋体" w:hAnsi="宋体" w:eastAsia="宋体" w:cs="宋体"/>
                <w:sz w:val="21"/>
                <w:szCs w:val="21"/>
              </w:rPr>
              <w:t>nm（紫色）激光器，可至3激光14色荧光检测。</w:t>
            </w:r>
          </w:p>
          <w:p w14:paraId="29B10FE1">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rPr>
              <w:t>★5. 光学系统恒温控制：采用激光器和检测器光学系统双温控设计。通过TEC温控技术可以实现对全光路高精度的温度控制，精确控温到25±0.3℃。</w:t>
            </w:r>
          </w:p>
          <w:p w14:paraId="377D5EDD">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6.散射光检出限：前向角散射光（FSC）≤0.5 μm；侧向角散射光（SSC）≤0.</w:t>
            </w:r>
            <w:r>
              <w:rPr>
                <w:rFonts w:hint="eastAsia" w:ascii="宋体" w:hAnsi="宋体" w:eastAsia="宋体" w:cs="宋体"/>
                <w:sz w:val="21"/>
                <w:szCs w:val="21"/>
                <w:lang w:val="en-US" w:eastAsia="zh-CN"/>
              </w:rPr>
              <w:t>2</w:t>
            </w:r>
            <w:r>
              <w:rPr>
                <w:rFonts w:hint="eastAsia" w:ascii="宋体" w:hAnsi="宋体" w:eastAsia="宋体" w:cs="宋体"/>
                <w:sz w:val="21"/>
                <w:szCs w:val="21"/>
              </w:rPr>
              <w:t>μm</w:t>
            </w:r>
          </w:p>
          <w:p w14:paraId="501F03EC">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.检测颗粒范围：0.</w:t>
            </w:r>
            <w:r>
              <w:rPr>
                <w:rFonts w:hint="eastAsia" w:ascii="宋体" w:hAnsi="宋体" w:eastAsia="宋体" w:cs="宋体"/>
                <w:sz w:val="21"/>
                <w:szCs w:val="21"/>
                <w:lang w:val="en-US" w:eastAsia="zh-CN"/>
              </w:rPr>
              <w:t>2</w:t>
            </w:r>
            <w:r>
              <w:rPr>
                <w:rFonts w:hint="eastAsia" w:ascii="宋体" w:hAnsi="宋体" w:eastAsia="宋体" w:cs="宋体"/>
                <w:sz w:val="21"/>
                <w:szCs w:val="21"/>
              </w:rPr>
              <w:t>μm - 50 μm。</w:t>
            </w:r>
          </w:p>
          <w:p w14:paraId="6EB615C8">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 荧光检测灵敏度：FITC ≤50 MESF；PE ≤30 MESF；APC ≤30 MESF；</w:t>
            </w:r>
          </w:p>
          <w:p w14:paraId="5FA326D3">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.荧光分辨率：全峰宽变异系数CV ≤ </w:t>
            </w:r>
            <w:r>
              <w:rPr>
                <w:rFonts w:hint="eastAsia" w:ascii="宋体" w:hAnsi="宋体" w:eastAsia="宋体" w:cs="宋体"/>
                <w:sz w:val="21"/>
                <w:szCs w:val="21"/>
                <w:lang w:val="en-US" w:eastAsia="zh-CN"/>
              </w:rPr>
              <w:t>3</w:t>
            </w:r>
            <w:r>
              <w:rPr>
                <w:rFonts w:hint="eastAsia" w:ascii="宋体" w:hAnsi="宋体" w:eastAsia="宋体" w:cs="宋体"/>
                <w:sz w:val="21"/>
                <w:szCs w:val="21"/>
              </w:rPr>
              <w:t>% 。</w:t>
            </w:r>
          </w:p>
          <w:p w14:paraId="5D3C0CC1">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 数据信号分辨率和信号精度：≥22bit信号精度。</w:t>
            </w:r>
          </w:p>
          <w:p w14:paraId="7529160A">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 检测速度：</w:t>
            </w:r>
            <w:r>
              <w:rPr>
                <w:rFonts w:hint="eastAsia" w:ascii="宋体" w:hAnsi="宋体" w:eastAsia="宋体" w:cs="宋体"/>
                <w:sz w:val="21"/>
                <w:szCs w:val="21"/>
                <w:lang w:val="en-US" w:eastAsia="zh-CN"/>
              </w:rPr>
              <w:t>≥</w:t>
            </w:r>
            <w:r>
              <w:rPr>
                <w:rFonts w:hint="eastAsia" w:ascii="宋体" w:hAnsi="宋体" w:eastAsia="宋体" w:cs="宋体"/>
                <w:sz w:val="21"/>
                <w:szCs w:val="21"/>
              </w:rPr>
              <w:t>50,000事件/秒。</w:t>
            </w:r>
          </w:p>
          <w:p w14:paraId="1592A0EB">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2. 两种测量模式：双驱动液流系统，一机支持定量吸入和持续上吸双测量模式。定量吸入模式采用非蠕动泵驱动上样。持续上吸模式采用真空负压方式连续采集样本。</w:t>
            </w:r>
          </w:p>
          <w:p w14:paraId="148B2EDA">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3. 样本流速：具有三个预设流速分别低速10 μL/min，中速60 μL/min，高速 120 μL/min调节。同时支持10-120 μL/min流速范围内连续调节。</w:t>
            </w:r>
          </w:p>
          <w:p w14:paraId="135A000C">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4. 绝对计数功能：同时兼体积法绝对计数和微球法绝对计数</w:t>
            </w:r>
          </w:p>
          <w:p w14:paraId="6656C6C5">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5. 携带污染率：≤ 0.0</w:t>
            </w:r>
            <w:r>
              <w:rPr>
                <w:rFonts w:hint="eastAsia" w:ascii="宋体" w:hAnsi="宋体" w:eastAsia="宋体" w:cs="宋体"/>
                <w:sz w:val="21"/>
                <w:szCs w:val="21"/>
                <w:lang w:val="en-US" w:eastAsia="zh-CN"/>
              </w:rPr>
              <w:t>6</w:t>
            </w:r>
            <w:r>
              <w:rPr>
                <w:rFonts w:hint="eastAsia" w:ascii="宋体" w:hAnsi="宋体" w:eastAsia="宋体" w:cs="宋体"/>
                <w:sz w:val="21"/>
                <w:szCs w:val="21"/>
              </w:rPr>
              <w:t>%</w:t>
            </w:r>
          </w:p>
          <w:p w14:paraId="0554FFFB">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16</w:t>
            </w:r>
            <w:r>
              <w:rPr>
                <w:rFonts w:hint="eastAsia" w:ascii="宋体" w:hAnsi="宋体" w:eastAsia="宋体" w:cs="宋体"/>
                <w:sz w:val="21"/>
                <w:szCs w:val="21"/>
              </w:rPr>
              <w:t>. 配备多功能全自动进样系统：可实现一键自由切换管式与孔板自动上样，兼容多种上样方式和上样管，包括40孔流式管（(12 x 75 mm ）、40孔EP管（1.5 mL and 2 mL ）、96孔板（U底、V底、平底）的高通量自动上样及单管（流式管、EP管）自动上样。</w:t>
            </w:r>
          </w:p>
          <w:p w14:paraId="0DF2964F">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17</w:t>
            </w:r>
            <w:r>
              <w:rPr>
                <w:rFonts w:hint="eastAsia" w:ascii="宋体" w:hAnsi="宋体" w:eastAsia="宋体" w:cs="宋体"/>
                <w:sz w:val="21"/>
                <w:szCs w:val="21"/>
              </w:rPr>
              <w:t>. 混匀方式：采用单管搅拌独立混匀方式。可根据样本类型的差异，可设定不同混匀力度和时间。智能识别检测试管底部，防止撞针。</w:t>
            </w:r>
          </w:p>
          <w:p w14:paraId="2FCE644D">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18.</w:t>
            </w:r>
            <w:r>
              <w:rPr>
                <w:rFonts w:hint="eastAsia" w:ascii="宋体" w:hAnsi="宋体" w:eastAsia="宋体" w:cs="宋体"/>
                <w:sz w:val="21"/>
                <w:szCs w:val="21"/>
              </w:rPr>
              <w:t>智能化系统</w:t>
            </w:r>
            <w:r>
              <w:rPr>
                <w:rFonts w:hint="eastAsia" w:ascii="宋体" w:hAnsi="宋体" w:eastAsia="宋体" w:cs="宋体"/>
                <w:sz w:val="21"/>
                <w:szCs w:val="21"/>
                <w:lang w:eastAsia="zh-CN"/>
              </w:rPr>
              <w:t>：</w:t>
            </w:r>
            <w:r>
              <w:rPr>
                <w:rFonts w:hint="eastAsia" w:ascii="宋体" w:hAnsi="宋体" w:eastAsia="宋体" w:cs="宋体"/>
                <w:sz w:val="21"/>
                <w:szCs w:val="21"/>
              </w:rPr>
              <w:t>一键式开/关机</w:t>
            </w:r>
            <w:r>
              <w:rPr>
                <w:rFonts w:hint="eastAsia" w:ascii="宋体" w:hAnsi="宋体" w:eastAsia="宋体" w:cs="宋体"/>
                <w:sz w:val="21"/>
                <w:szCs w:val="21"/>
                <w:lang w:eastAsia="zh-CN"/>
              </w:rPr>
              <w:t>，</w:t>
            </w:r>
            <w:r>
              <w:rPr>
                <w:rFonts w:hint="eastAsia" w:ascii="宋体" w:hAnsi="宋体" w:eastAsia="宋体" w:cs="宋体"/>
                <w:sz w:val="21"/>
                <w:szCs w:val="21"/>
              </w:rPr>
              <w:t>自动完成自检、液路初始化、排气泡和激光器稳定</w:t>
            </w:r>
            <w:r>
              <w:rPr>
                <w:rFonts w:hint="eastAsia" w:ascii="宋体" w:hAnsi="宋体" w:eastAsia="宋体" w:cs="宋体"/>
                <w:sz w:val="21"/>
                <w:szCs w:val="21"/>
                <w:lang w:eastAsia="zh-CN"/>
              </w:rPr>
              <w:t>；</w:t>
            </w:r>
            <w:r>
              <w:rPr>
                <w:rFonts w:hint="eastAsia" w:ascii="宋体" w:hAnsi="宋体" w:eastAsia="宋体" w:cs="宋体"/>
                <w:sz w:val="21"/>
                <w:szCs w:val="21"/>
              </w:rPr>
              <w:t> 一键关机：一键关机自动执行液流清洗维护。</w:t>
            </w:r>
          </w:p>
          <w:p w14:paraId="57C39EFF">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19</w:t>
            </w:r>
            <w:r>
              <w:rPr>
                <w:rFonts w:hint="eastAsia" w:ascii="宋体" w:hAnsi="宋体" w:eastAsia="宋体" w:cs="宋体"/>
                <w:sz w:val="21"/>
                <w:szCs w:val="21"/>
              </w:rPr>
              <w:t>.智能维护：自动实现从检测、清洗到断电关机无缝连接</w:t>
            </w:r>
            <w:r>
              <w:rPr>
                <w:rFonts w:hint="eastAsia" w:ascii="宋体" w:hAnsi="宋体" w:eastAsia="宋体" w:cs="宋体"/>
                <w:sz w:val="21"/>
                <w:szCs w:val="21"/>
                <w:lang w:eastAsia="zh-CN"/>
              </w:rPr>
              <w:t>；</w:t>
            </w:r>
            <w:r>
              <w:rPr>
                <w:rFonts w:hint="eastAsia" w:ascii="宋体" w:hAnsi="宋体" w:eastAsia="宋体" w:cs="宋体"/>
                <w:sz w:val="21"/>
                <w:szCs w:val="21"/>
              </w:rPr>
              <w:t>维护一键式完成：使用过程种需要的维护都可以一键式自动完成，无需其他任何手动操作即可完成。</w:t>
            </w:r>
          </w:p>
          <w:p w14:paraId="3F0BB760">
            <w:pPr>
              <w:spacing w:line="360" w:lineRule="auto"/>
              <w:ind w:left="210" w:leftChars="10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20</w:t>
            </w:r>
            <w:r>
              <w:rPr>
                <w:rFonts w:hint="eastAsia" w:ascii="宋体" w:hAnsi="宋体" w:eastAsia="宋体" w:cs="宋体"/>
                <w:sz w:val="21"/>
                <w:szCs w:val="21"/>
              </w:rPr>
              <w:t>. 软件系统</w:t>
            </w:r>
            <w:r>
              <w:rPr>
                <w:rFonts w:hint="eastAsia" w:ascii="宋体" w:hAnsi="宋体" w:eastAsia="宋体" w:cs="宋体"/>
                <w:sz w:val="21"/>
                <w:szCs w:val="21"/>
                <w:lang w:eastAsia="zh-CN"/>
              </w:rPr>
              <w:t>：</w:t>
            </w:r>
            <w:r>
              <w:rPr>
                <w:rFonts w:hint="eastAsia" w:ascii="宋体" w:hAnsi="宋体" w:eastAsia="宋体" w:cs="宋体"/>
                <w:sz w:val="21"/>
                <w:szCs w:val="21"/>
              </w:rPr>
              <w:t>中文、英文双语言</w:t>
            </w:r>
            <w:r>
              <w:rPr>
                <w:rFonts w:hint="eastAsia" w:ascii="宋体" w:hAnsi="宋体" w:eastAsia="宋体" w:cs="宋体"/>
                <w:sz w:val="21"/>
                <w:szCs w:val="21"/>
                <w:lang w:eastAsia="zh-CN"/>
              </w:rPr>
              <w:t>；</w:t>
            </w:r>
            <w:r>
              <w:rPr>
                <w:rFonts w:hint="eastAsia" w:ascii="宋体" w:hAnsi="宋体" w:eastAsia="宋体" w:cs="宋体"/>
                <w:sz w:val="21"/>
                <w:szCs w:val="21"/>
              </w:rPr>
              <w:t>内置细胞周期拟合和细胞因子分析功能，无需借助第三方软件</w:t>
            </w:r>
          </w:p>
          <w:p w14:paraId="1993292B">
            <w:pPr>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sz w:val="21"/>
                <w:szCs w:val="21"/>
              </w:rPr>
              <w:t>. 支持边检测的同时分析数据：采集样本时，软件支持同时分析已经采集完成的样本</w:t>
            </w:r>
          </w:p>
          <w:p w14:paraId="63530455">
            <w:pPr>
              <w:spacing w:line="360" w:lineRule="auto"/>
              <w:ind w:firstLine="210" w:firstLineChars="100"/>
              <w:rPr>
                <w:rFonts w:hint="eastAsia" w:ascii="宋体" w:hAnsi="宋体" w:eastAsia="宋体" w:cs="宋体"/>
                <w:color w:val="auto"/>
                <w:kern w:val="2"/>
                <w:sz w:val="21"/>
                <w:szCs w:val="21"/>
                <w:lang w:val="en-US" w:eastAsia="en-US" w:bidi="ar-SA"/>
              </w:rPr>
            </w:pPr>
            <w:r>
              <w:rPr>
                <w:rFonts w:hint="eastAsia" w:ascii="宋体" w:hAnsi="宋体" w:eastAsia="宋体" w:cs="宋体"/>
                <w:sz w:val="21"/>
                <w:szCs w:val="21"/>
                <w:lang w:val="en-US" w:eastAsia="zh-CN"/>
              </w:rPr>
              <w:t>22.</w:t>
            </w:r>
            <w:r>
              <w:rPr>
                <w:rFonts w:hint="eastAsia" w:ascii="宋体" w:hAnsi="宋体" w:eastAsia="宋体" w:cs="宋体"/>
                <w:sz w:val="21"/>
                <w:szCs w:val="21"/>
              </w:rPr>
              <w:t> 内置荧光强度质控：通过荧光强度质控完成仪器之间项目结果的标准化。</w:t>
            </w:r>
          </w:p>
        </w:tc>
      </w:tr>
      <w:tr w14:paraId="467ED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 w:hRule="atLeast"/>
        </w:trPr>
        <w:tc>
          <w:tcPr>
            <w:tcW w:w="726" w:type="dxa"/>
            <w:shd w:val="clear" w:color="auto" w:fill="auto"/>
            <w:vAlign w:val="center"/>
          </w:tcPr>
          <w:p w14:paraId="71B090C2">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p>
          <w:p w14:paraId="76100A57">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p>
          <w:p w14:paraId="2EF58A02">
            <w:pPr>
              <w:pStyle w:val="116"/>
              <w:spacing w:before="79" w:line="360" w:lineRule="auto"/>
              <w:jc w:val="center"/>
              <w:rPr>
                <w:rFonts w:hint="eastAsia" w:ascii="宋体" w:hAnsi="宋体" w:eastAsia="宋体" w:cs="宋体"/>
                <w:color w:val="000000" w:themeColor="text1"/>
                <w:kern w:val="2"/>
                <w:sz w:val="21"/>
                <w:szCs w:val="21"/>
                <w:lang w:val="en-US" w:eastAsia="en-US"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23</w:t>
            </w:r>
          </w:p>
        </w:tc>
        <w:tc>
          <w:tcPr>
            <w:tcW w:w="2024" w:type="dxa"/>
            <w:shd w:val="clear" w:color="auto" w:fill="auto"/>
            <w:vAlign w:val="center"/>
          </w:tcPr>
          <w:p w14:paraId="4F907149">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p>
          <w:p w14:paraId="0D172146">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p>
          <w:p w14:paraId="2493DF04">
            <w:pPr>
              <w:pStyle w:val="116"/>
              <w:spacing w:before="79" w:line="360" w:lineRule="auto"/>
              <w:ind w:left="125" w:leftChars="0"/>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藻类人工智能分析仪</w:t>
            </w:r>
            <w:r>
              <w:rPr>
                <w:rFonts w:hint="eastAsia" w:ascii="宋体" w:hAnsi="宋体" w:eastAsia="宋体" w:cs="宋体"/>
                <w:b/>
                <w:bCs/>
                <w:color w:val="000000" w:themeColor="text1"/>
                <w:sz w:val="21"/>
                <w:szCs w:val="21"/>
                <w:lang w:eastAsia="zh-CN"/>
                <w14:textFill>
                  <w14:solidFill>
                    <w14:schemeClr w14:val="tx1"/>
                  </w14:solidFill>
                </w14:textFill>
              </w:rPr>
              <w:t>（</w:t>
            </w:r>
            <w:r>
              <w:rPr>
                <w:rFonts w:hint="eastAsia" w:ascii="宋体" w:hAnsi="宋体" w:eastAsia="宋体" w:cs="宋体"/>
                <w:b/>
                <w:bCs/>
                <w:color w:val="000000" w:themeColor="text1"/>
                <w:sz w:val="21"/>
                <w:szCs w:val="21"/>
                <w:lang w:val="en-US" w:eastAsia="zh-CN"/>
                <w14:textFill>
                  <w14:solidFill>
                    <w14:schemeClr w14:val="tx1"/>
                  </w14:solidFill>
                </w14:textFill>
              </w:rPr>
              <w:t>核心产品</w:t>
            </w:r>
            <w:r>
              <w:rPr>
                <w:rFonts w:hint="eastAsia" w:ascii="宋体" w:hAnsi="宋体" w:eastAsia="宋体" w:cs="宋体"/>
                <w:b/>
                <w:bCs/>
                <w:color w:val="000000" w:themeColor="text1"/>
                <w:sz w:val="21"/>
                <w:szCs w:val="21"/>
                <w:lang w:eastAsia="zh-CN"/>
                <w14:textFill>
                  <w14:solidFill>
                    <w14:schemeClr w14:val="tx1"/>
                  </w14:solidFill>
                </w14:textFill>
              </w:rPr>
              <w:t>）</w:t>
            </w:r>
          </w:p>
        </w:tc>
        <w:tc>
          <w:tcPr>
            <w:tcW w:w="1424" w:type="dxa"/>
            <w:shd w:val="clear" w:color="auto" w:fill="auto"/>
            <w:vAlign w:val="center"/>
          </w:tcPr>
          <w:p w14:paraId="7127BD7C">
            <w:pPr>
              <w:pStyle w:val="116"/>
              <w:spacing w:before="79" w:line="360" w:lineRule="auto"/>
              <w:ind w:left="125" w:leftChars="0"/>
              <w:jc w:val="center"/>
              <w:rPr>
                <w:rFonts w:hint="eastAsia" w:ascii="宋体" w:hAnsi="宋体" w:eastAsia="宋体" w:cs="宋体"/>
                <w:color w:val="000000" w:themeColor="text1"/>
                <w:kern w:val="2"/>
                <w:sz w:val="21"/>
                <w:szCs w:val="21"/>
                <w:lang w:val="en-US" w:eastAsia="en-US"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主要用于对  水体中浮游  植物的自动  分类计数、大小测量、种类分类以及生物量测定等</w:t>
            </w:r>
          </w:p>
        </w:tc>
        <w:tc>
          <w:tcPr>
            <w:tcW w:w="775" w:type="dxa"/>
            <w:shd w:val="clear" w:color="auto" w:fill="auto"/>
            <w:vAlign w:val="center"/>
          </w:tcPr>
          <w:p w14:paraId="0D256381">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p>
          <w:p w14:paraId="22B63085">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p>
          <w:p w14:paraId="7BA69D4C">
            <w:pPr>
              <w:pStyle w:val="116"/>
              <w:spacing w:before="79" w:line="360" w:lineRule="auto"/>
              <w:jc w:val="center"/>
              <w:rPr>
                <w:rFonts w:hint="eastAsia" w:ascii="宋体" w:hAnsi="宋体" w:eastAsia="宋体" w:cs="宋体"/>
                <w:color w:val="000000" w:themeColor="text1"/>
                <w:kern w:val="2"/>
                <w:sz w:val="21"/>
                <w:szCs w:val="21"/>
                <w:lang w:val="en-US" w:eastAsia="en-US"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台</w:t>
            </w:r>
          </w:p>
        </w:tc>
        <w:tc>
          <w:tcPr>
            <w:tcW w:w="667" w:type="dxa"/>
            <w:shd w:val="clear" w:color="auto" w:fill="auto"/>
            <w:vAlign w:val="center"/>
          </w:tcPr>
          <w:p w14:paraId="4FC27B50">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p>
          <w:p w14:paraId="3E0AEE47">
            <w:pPr>
              <w:pStyle w:val="116"/>
              <w:spacing w:before="79" w:line="360" w:lineRule="auto"/>
              <w:ind w:left="125"/>
              <w:jc w:val="center"/>
              <w:rPr>
                <w:rFonts w:hint="eastAsia" w:ascii="宋体" w:hAnsi="宋体" w:eastAsia="宋体" w:cs="宋体"/>
                <w:color w:val="000000" w:themeColor="text1"/>
                <w:sz w:val="21"/>
                <w:szCs w:val="21"/>
                <w14:textFill>
                  <w14:solidFill>
                    <w14:schemeClr w14:val="tx1"/>
                  </w14:solidFill>
                </w14:textFill>
              </w:rPr>
            </w:pPr>
          </w:p>
          <w:p w14:paraId="4F76D075">
            <w:pPr>
              <w:pStyle w:val="116"/>
              <w:spacing w:before="79" w:line="360" w:lineRule="auto"/>
              <w:jc w:val="center"/>
              <w:rPr>
                <w:rFonts w:hint="eastAsia" w:ascii="宋体" w:hAnsi="宋体" w:eastAsia="宋体" w:cs="宋体"/>
                <w:color w:val="000000" w:themeColor="text1"/>
                <w:kern w:val="2"/>
                <w:sz w:val="21"/>
                <w:szCs w:val="21"/>
                <w:lang w:val="en-US" w:eastAsia="en-US"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8047" w:type="dxa"/>
            <w:shd w:val="clear" w:color="auto" w:fill="auto"/>
            <w:vAlign w:val="top"/>
          </w:tcPr>
          <w:p w14:paraId="51C51CB6">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20" w:after="0" w:line="360" w:lineRule="auto"/>
              <w:ind w:left="-420" w:leftChars="0" w:right="0" w:rightChars="0" w:firstLine="420" w:firstLineChars="0"/>
              <w:jc w:val="both"/>
              <w:rPr>
                <w:rFonts w:hint="eastAsia" w:ascii="宋体" w:hAnsi="宋体" w:eastAsia="宋体" w:cs="宋体"/>
                <w:b/>
                <w:bCs/>
                <w:color w:val="000000"/>
                <w:sz w:val="21"/>
                <w:szCs w:val="21"/>
                <w:lang w:val="en-US" w:eastAsia="zh-CN"/>
              </w:rPr>
            </w:pPr>
            <w:r>
              <w:rPr>
                <w:rFonts w:hint="eastAsia" w:ascii="宋体" w:hAnsi="宋体" w:eastAsia="宋体" w:cs="宋体"/>
                <w:b/>
                <w:bCs/>
                <w:color w:val="000000"/>
                <w:kern w:val="2"/>
                <w:sz w:val="21"/>
                <w:szCs w:val="21"/>
                <w:lang w:val="en-US" w:eastAsia="zh-CN" w:bidi="ar-SA"/>
              </w:rPr>
              <w:t>一、</w:t>
            </w:r>
            <w:r>
              <w:rPr>
                <w:rFonts w:hint="eastAsia" w:ascii="宋体" w:hAnsi="宋体" w:eastAsia="宋体" w:cs="宋体"/>
                <w:b/>
                <w:bCs/>
                <w:color w:val="000000"/>
                <w:sz w:val="21"/>
                <w:szCs w:val="21"/>
                <w:lang w:val="en-US" w:eastAsia="zh-CN"/>
              </w:rPr>
              <w:t>总体要求</w:t>
            </w:r>
          </w:p>
          <w:p w14:paraId="634065A0">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1.要求参照以下标准规范：</w:t>
            </w:r>
          </w:p>
          <w:p w14:paraId="647CFBDD">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《水和废水监测分析方法》（第四版）</w:t>
            </w:r>
          </w:p>
          <w:p w14:paraId="37E72EB0">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《水质 浮游植物的测定 0.1ml计数框-显微镜计数法》（HJ 1216-2021）</w:t>
            </w:r>
          </w:p>
          <w:p w14:paraId="348808A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《淡水浮游生物调查技术规范》（SC/T 9402-2010）</w:t>
            </w:r>
          </w:p>
          <w:p w14:paraId="238411EF">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《水质 浮游植物的测定 滤膜-显微镜计数法》（HJ 1215-2021）</w:t>
            </w:r>
          </w:p>
          <w:p w14:paraId="15A6CA8D">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《水生态监测技术指南 河流水生生物监测与评价（试行）》（HJ 1295-2023）</w:t>
            </w:r>
          </w:p>
          <w:p w14:paraId="3126D111">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《水生态监测技术指南 湖泊和水库水生生物监测与评价（试行）》（HJ 1296-2023）</w:t>
            </w:r>
          </w:p>
          <w:p w14:paraId="6054A1A9">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20" w:after="0" w:line="360" w:lineRule="auto"/>
              <w:ind w:left="-420" w:leftChars="0" w:right="0" w:rightChars="0" w:firstLine="420" w:firstLineChars="0"/>
              <w:jc w:val="both"/>
              <w:rPr>
                <w:rFonts w:hint="eastAsia" w:ascii="宋体" w:hAnsi="宋体" w:eastAsia="宋体" w:cs="宋体"/>
                <w:b/>
                <w:bCs/>
                <w:color w:val="000000"/>
                <w:sz w:val="21"/>
                <w:szCs w:val="21"/>
                <w:lang w:val="en-US" w:eastAsia="zh-CN"/>
              </w:rPr>
            </w:pPr>
            <w:r>
              <w:rPr>
                <w:rFonts w:hint="eastAsia" w:ascii="宋体" w:hAnsi="宋体" w:eastAsia="宋体" w:cs="宋体"/>
                <w:b/>
                <w:bCs/>
                <w:color w:val="000000"/>
                <w:kern w:val="2"/>
                <w:sz w:val="21"/>
                <w:szCs w:val="21"/>
                <w:lang w:val="en-US" w:eastAsia="zh-CN" w:bidi="ar-SA"/>
              </w:rPr>
              <w:t>二、</w:t>
            </w:r>
            <w:r>
              <w:rPr>
                <w:rFonts w:hint="eastAsia" w:ascii="宋体" w:hAnsi="宋体" w:eastAsia="宋体" w:cs="宋体"/>
                <w:b/>
                <w:bCs/>
                <w:color w:val="000000"/>
                <w:sz w:val="21"/>
                <w:szCs w:val="21"/>
                <w:lang w:val="en-US" w:eastAsia="zh-CN"/>
              </w:rPr>
              <w:t>功能要求</w:t>
            </w:r>
          </w:p>
          <w:p w14:paraId="33420FA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显微扫描主机：一体化全自动集成装置，非显微镜组装款，所有精密部件均内置于主机箱内，易于维护，确保系统的扫描精度及长时间运行的稳定性。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提供检测报告和实机照片</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7FC3335A">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检测通量：每次可放置3张玻片，0.1 mL规格样品每次可检测6个。</w:t>
            </w:r>
          </w:p>
          <w:p w14:paraId="301BFF9B">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计数框尺寸：0.1 mL，面积20 × 20 mm。</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提供检测报告</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4C5D441B">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扫描平台：</w:t>
            </w:r>
            <w:bookmarkStart w:id="865" w:name="OLE_LINK28"/>
            <w:bookmarkStart w:id="866" w:name="OLE_LINK2"/>
            <w:r>
              <w:rPr>
                <w:rFonts w:hint="eastAsia" w:ascii="宋体" w:hAnsi="宋体" w:eastAsia="宋体" w:cs="宋体"/>
                <w:color w:val="auto"/>
                <w:sz w:val="21"/>
                <w:szCs w:val="21"/>
                <w:highlight w:val="none"/>
              </w:rPr>
              <w:t>高精度直线电机X-Y扫描平台，高精度光栅反馈XYZ轴（位移分辨率不大于0.1 μm）。</w:t>
            </w:r>
          </w:p>
          <w:bookmarkEnd w:id="865"/>
          <w:bookmarkEnd w:id="866"/>
          <w:p w14:paraId="152866CF">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显微物镜：20</w:t>
            </w:r>
            <w:bookmarkStart w:id="867" w:name="OLE_LINK1"/>
            <w:r>
              <w:rPr>
                <w:rFonts w:hint="eastAsia" w:ascii="宋体" w:hAnsi="宋体" w:eastAsia="宋体" w:cs="宋体"/>
                <w:color w:val="auto"/>
                <w:sz w:val="21"/>
                <w:szCs w:val="21"/>
                <w:highlight w:val="none"/>
              </w:rPr>
              <w:t>×</w:t>
            </w:r>
            <w:bookmarkEnd w:id="867"/>
            <w:r>
              <w:rPr>
                <w:rFonts w:hint="eastAsia" w:ascii="宋体" w:hAnsi="宋体" w:eastAsia="宋体" w:cs="宋体"/>
                <w:color w:val="auto"/>
                <w:sz w:val="21"/>
                <w:szCs w:val="21"/>
                <w:highlight w:val="none"/>
              </w:rPr>
              <w:t>、40×物镜。</w:t>
            </w:r>
          </w:p>
          <w:p w14:paraId="5BFE1953">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rPr>
              <w:t>显微成像光路：F150成像光路，可软件调整明场LED亮度，非成品显微镜改造。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提供检测报告</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38295F48">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rPr>
              <w:t>相机：医疗级相机。</w:t>
            </w:r>
          </w:p>
          <w:p w14:paraId="011F22A5">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sz w:val="21"/>
                <w:szCs w:val="21"/>
                <w:highlight w:val="none"/>
              </w:rPr>
              <w:t>多层扫描：多景深连续自动扫描，层间距可在0.1 μm-10 μm内自定义，层数可在液面有效深度内自定义，自动生成单层图片及融合不同焦平面的图片，获取全景深、高清晰图像，解决藻细胞分布在不同液层造成的局部模糊问题。多景深扫描融合支持全片扫描融合及自定义选取视野融合两种方式。</w:t>
            </w:r>
          </w:p>
          <w:p w14:paraId="39231346">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sz w:val="21"/>
                <w:szCs w:val="21"/>
                <w:highlight w:val="none"/>
              </w:rPr>
              <w:t>指定视野拍照：提供最多400个视野的自动对焦拍照。</w:t>
            </w:r>
          </w:p>
          <w:p w14:paraId="349403DB">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rPr>
              <w:t>扫描后图像支持全画幅图片的浏览器浏览，支持无级缩放、无级拖动，支持扫描过程中其他全画幅图像同步浏览。浏览时可选择任意位置， 移动扫描平台至该图像位置对应的实际位置，并进行实时浏览，方便用户复核。</w:t>
            </w:r>
          </w:p>
          <w:p w14:paraId="67F9310E">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11.</w:t>
            </w:r>
            <w:r>
              <w:rPr>
                <w:rFonts w:hint="eastAsia" w:ascii="宋体" w:hAnsi="宋体" w:eastAsia="宋体" w:cs="宋体"/>
                <w:color w:val="auto"/>
                <w:sz w:val="21"/>
                <w:szCs w:val="21"/>
                <w:highlight w:val="none"/>
              </w:rPr>
              <w:t>提供计数框任意区域实时浏览。</w:t>
            </w:r>
          </w:p>
          <w:p w14:paraId="24DB46F2">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12.</w:t>
            </w:r>
            <w:bookmarkStart w:id="868" w:name="OLE_LINK27"/>
            <w:r>
              <w:rPr>
                <w:rFonts w:hint="eastAsia" w:ascii="宋体" w:hAnsi="宋体" w:eastAsia="宋体" w:cs="宋体"/>
                <w:color w:val="auto"/>
                <w:sz w:val="21"/>
                <w:szCs w:val="21"/>
                <w:highlight w:val="none"/>
              </w:rPr>
              <w:t>能够进行0.1 mL计数框全片（20 × 20 mm）连续扫描拍照，</w:t>
            </w:r>
            <w:bookmarkStart w:id="869" w:name="OLE_LINK5"/>
            <w:r>
              <w:rPr>
                <w:rFonts w:hint="eastAsia" w:ascii="宋体" w:hAnsi="宋体" w:eastAsia="宋体" w:cs="宋体"/>
                <w:color w:val="auto"/>
                <w:sz w:val="21"/>
                <w:szCs w:val="21"/>
                <w:highlight w:val="none"/>
              </w:rPr>
              <w:t>20倍物镜</w:t>
            </w:r>
            <w:bookmarkEnd w:id="869"/>
            <w:r>
              <w:rPr>
                <w:rFonts w:hint="eastAsia" w:ascii="宋体" w:hAnsi="宋体" w:eastAsia="宋体" w:cs="宋体"/>
                <w:color w:val="auto"/>
                <w:sz w:val="21"/>
                <w:szCs w:val="21"/>
                <w:highlight w:val="none"/>
              </w:rPr>
              <w:t>下，全片扫描时间不超过5 min/样品</w:t>
            </w:r>
            <w:bookmarkEnd w:id="868"/>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提供软件截图</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43692F09">
            <w:pPr>
              <w:widowControl/>
              <w:numPr>
                <w:ilvl w:val="0"/>
                <w:numId w:val="0"/>
              </w:numPr>
              <w:shd w:val="clea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13.</w:t>
            </w:r>
            <w:r>
              <w:rPr>
                <w:rFonts w:hint="eastAsia" w:ascii="宋体" w:hAnsi="宋体" w:eastAsia="宋体" w:cs="宋体"/>
                <w:color w:val="auto"/>
                <w:sz w:val="21"/>
                <w:szCs w:val="21"/>
                <w:highlight w:val="none"/>
              </w:rPr>
              <w:t>提供20 × 20 mm扫描区域拼接图像的全景浏览单个视野的全部图像，实现对样本的电子化存档和溯源。</w:t>
            </w:r>
          </w:p>
          <w:p w14:paraId="4FB41867">
            <w:pPr>
              <w:widowControl/>
              <w:spacing w:line="360" w:lineRule="auto"/>
              <w:ind w:right="332" w:rightChars="158"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自动拼接大图：</w:t>
            </w:r>
            <w:bookmarkStart w:id="870" w:name="OLE_LINK18"/>
            <w:bookmarkStart w:id="871" w:name="OLE_LINK3"/>
          </w:p>
          <w:bookmarkEnd w:id="870"/>
          <w:bookmarkEnd w:id="871"/>
          <w:p w14:paraId="60850729">
            <w:pPr>
              <w:widowControl/>
              <w:spacing w:line="360" w:lineRule="auto"/>
              <w:ind w:left="42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20倍物镜下，</w:t>
            </w:r>
            <w:bookmarkStart w:id="872" w:name="OLE_LINK7"/>
            <w:bookmarkStart w:id="873" w:name="OLE_LINK4"/>
            <w:r>
              <w:rPr>
                <w:rFonts w:hint="eastAsia" w:ascii="宋体" w:hAnsi="宋体" w:eastAsia="宋体" w:cs="宋体"/>
                <w:color w:val="auto"/>
                <w:sz w:val="21"/>
                <w:szCs w:val="21"/>
                <w:highlight w:val="none"/>
              </w:rPr>
              <w:t>自动生成20 × 20 mm</w:t>
            </w:r>
            <w:bookmarkEnd w:id="872"/>
            <w:r>
              <w:rPr>
                <w:rFonts w:hint="eastAsia" w:ascii="宋体" w:hAnsi="宋体" w:eastAsia="宋体" w:cs="宋体"/>
                <w:color w:val="auto"/>
                <w:sz w:val="21"/>
                <w:szCs w:val="21"/>
                <w:highlight w:val="none"/>
              </w:rPr>
              <w:t>扫描区域内不少于</w:t>
            </w:r>
            <w:bookmarkEnd w:id="873"/>
            <w:r>
              <w:rPr>
                <w:rFonts w:hint="eastAsia" w:ascii="宋体" w:hAnsi="宋体" w:eastAsia="宋体" w:cs="宋体"/>
                <w:color w:val="auto"/>
                <w:sz w:val="21"/>
                <w:szCs w:val="21"/>
                <w:highlight w:val="none"/>
              </w:rPr>
              <w:t>3400张</w:t>
            </w:r>
            <w:bookmarkStart w:id="874" w:name="OLE_LINK14"/>
            <w:r>
              <w:rPr>
                <w:rFonts w:hint="eastAsia" w:ascii="宋体" w:hAnsi="宋体" w:eastAsia="宋体" w:cs="宋体"/>
                <w:color w:val="auto"/>
                <w:sz w:val="21"/>
                <w:szCs w:val="21"/>
                <w:highlight w:val="none"/>
              </w:rPr>
              <w:t>视野图拼接</w:t>
            </w:r>
            <w:bookmarkStart w:id="875" w:name="OLE_LINK6"/>
            <w:r>
              <w:rPr>
                <w:rFonts w:hint="eastAsia" w:ascii="宋体" w:hAnsi="宋体" w:eastAsia="宋体" w:cs="宋体"/>
                <w:color w:val="auto"/>
                <w:sz w:val="21"/>
                <w:szCs w:val="21"/>
                <w:highlight w:val="none"/>
              </w:rPr>
              <w:t>的单张大图，大图像素不低于70亿像素，支持全景浏览拼接大图及单个视野的全部图像，可实现对样本的电子化存档和溯源</w:t>
            </w:r>
            <w:bookmarkEnd w:id="874"/>
            <w:r>
              <w:rPr>
                <w:rFonts w:hint="eastAsia" w:ascii="宋体" w:hAnsi="宋体" w:eastAsia="宋体" w:cs="宋体"/>
                <w:color w:val="auto"/>
                <w:sz w:val="21"/>
                <w:szCs w:val="21"/>
                <w:highlight w:val="none"/>
              </w:rPr>
              <w:t>；</w:t>
            </w:r>
          </w:p>
          <w:bookmarkEnd w:id="875"/>
          <w:p w14:paraId="284D66F9">
            <w:pPr>
              <w:widowControl/>
              <w:spacing w:line="360" w:lineRule="auto"/>
              <w:ind w:left="42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40倍物镜下，</w:t>
            </w:r>
            <w:bookmarkStart w:id="876" w:name="OLE_LINK15"/>
            <w:r>
              <w:rPr>
                <w:rFonts w:hint="eastAsia" w:ascii="宋体" w:hAnsi="宋体" w:eastAsia="宋体" w:cs="宋体"/>
                <w:color w:val="auto"/>
                <w:sz w:val="21"/>
                <w:szCs w:val="21"/>
                <w:highlight w:val="none"/>
              </w:rPr>
              <w:t>自动生成20 × 20 mm扫描区域内不少于6000张视野图拼接的单张大图，大图像素不低于300亿像素，支持全景浏览拼接大图及单个视野的全部图像，可实现对样本的电子化存档和溯源。</w:t>
            </w:r>
            <w:bookmarkEnd w:id="876"/>
          </w:p>
          <w:p w14:paraId="42F3B5DB">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14.</w:t>
            </w:r>
            <w:r>
              <w:rPr>
                <w:rFonts w:hint="eastAsia" w:ascii="宋体" w:hAnsi="宋体" w:eastAsia="宋体" w:cs="宋体"/>
                <w:color w:val="auto"/>
                <w:sz w:val="21"/>
                <w:szCs w:val="21"/>
                <w:highlight w:val="none"/>
              </w:rPr>
              <w:t>计数方式包括全片（20 × 20 mm）计数方式、随机视野计数方式、对角线计数方式、行格计数方式。</w:t>
            </w:r>
          </w:p>
          <w:p w14:paraId="2293C35F">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15.</w:t>
            </w:r>
            <w:r>
              <w:rPr>
                <w:rFonts w:hint="eastAsia" w:ascii="宋体" w:hAnsi="宋体" w:eastAsia="宋体" w:cs="宋体"/>
                <w:color w:val="auto"/>
                <w:sz w:val="21"/>
                <w:szCs w:val="21"/>
                <w:highlight w:val="none"/>
              </w:rPr>
              <w:t>随机视野法的视野数为100个时，分析时间不超过30s。</w:t>
            </w:r>
          </w:p>
          <w:p w14:paraId="62B23D0A">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16.</w:t>
            </w:r>
            <w:r>
              <w:rPr>
                <w:rFonts w:hint="eastAsia" w:ascii="宋体" w:hAnsi="宋体" w:eastAsia="宋体" w:cs="宋体"/>
                <w:color w:val="auto"/>
                <w:sz w:val="21"/>
                <w:szCs w:val="21"/>
                <w:highlight w:val="none"/>
              </w:rPr>
              <w:t>物种鉴别方式：基于深度学习人工智能算法的物种识别。</w:t>
            </w:r>
          </w:p>
          <w:p w14:paraId="142C7A03">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17.</w:t>
            </w:r>
            <w:r>
              <w:rPr>
                <w:rFonts w:hint="eastAsia" w:ascii="宋体" w:hAnsi="宋体" w:eastAsia="宋体" w:cs="宋体"/>
                <w:color w:val="auto"/>
                <w:sz w:val="21"/>
                <w:szCs w:val="21"/>
                <w:highlight w:val="none"/>
              </w:rPr>
              <w:t>复杂样品识别方法：包含低密度、中密度、高密度、杂质多等不同样品的识别算法。</w:t>
            </w:r>
          </w:p>
          <w:p w14:paraId="510C8558">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18.</w:t>
            </w:r>
            <w:r>
              <w:rPr>
                <w:rFonts w:hint="eastAsia" w:ascii="宋体" w:hAnsi="宋体" w:eastAsia="宋体" w:cs="宋体"/>
                <w:color w:val="auto"/>
                <w:sz w:val="21"/>
                <w:szCs w:val="21"/>
                <w:highlight w:val="none"/>
              </w:rPr>
              <w:t>可自动识别藻类物种：不少于180个，数据库中优势物种识别率不低于95%，计数准确率＞85%；</w:t>
            </w:r>
          </w:p>
          <w:p w14:paraId="43E17AB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bookmarkStart w:id="877" w:name="OLE_LINK19"/>
            <w:bookmarkStart w:id="878" w:name="OLE_LINK12"/>
            <w:bookmarkStart w:id="879" w:name="OLE_LINK13"/>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19.</w:t>
            </w:r>
            <w:r>
              <w:rPr>
                <w:rFonts w:hint="eastAsia" w:ascii="宋体" w:hAnsi="宋体" w:eastAsia="宋体" w:cs="宋体"/>
                <w:color w:val="auto"/>
                <w:sz w:val="21"/>
                <w:szCs w:val="21"/>
                <w:highlight w:val="none"/>
              </w:rPr>
              <w:t>批量分析</w:t>
            </w:r>
            <w:bookmarkEnd w:id="877"/>
            <w:r>
              <w:rPr>
                <w:rFonts w:hint="eastAsia" w:ascii="宋体" w:hAnsi="宋体" w:eastAsia="宋体" w:cs="宋体"/>
                <w:color w:val="auto"/>
                <w:sz w:val="21"/>
                <w:szCs w:val="21"/>
                <w:highlight w:val="none"/>
              </w:rPr>
              <w:t>：</w:t>
            </w:r>
            <w:bookmarkStart w:id="880" w:name="OLE_LINK20"/>
            <w:r>
              <w:rPr>
                <w:rFonts w:hint="eastAsia" w:ascii="宋体" w:hAnsi="宋体" w:eastAsia="宋体" w:cs="宋体"/>
                <w:color w:val="auto"/>
                <w:sz w:val="21"/>
                <w:szCs w:val="21"/>
                <w:highlight w:val="none"/>
              </w:rPr>
              <w:t>将样品按所需分析方法添加至分析列表，可一键化对全部样品进行批量分析</w:t>
            </w:r>
            <w:bookmarkEnd w:id="880"/>
            <w:r>
              <w:rPr>
                <w:rFonts w:hint="eastAsia" w:ascii="宋体" w:hAnsi="宋体" w:eastAsia="宋体" w:cs="宋体"/>
                <w:color w:val="auto"/>
                <w:sz w:val="21"/>
                <w:szCs w:val="21"/>
                <w:highlight w:val="none"/>
              </w:rPr>
              <w:t>，提高效率。</w:t>
            </w:r>
          </w:p>
          <w:p w14:paraId="74C91158">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20.</w:t>
            </w:r>
            <w:r>
              <w:rPr>
                <w:rFonts w:hint="eastAsia" w:ascii="宋体" w:hAnsi="宋体" w:eastAsia="宋体" w:cs="宋体"/>
                <w:color w:val="auto"/>
                <w:sz w:val="21"/>
                <w:szCs w:val="21"/>
                <w:highlight w:val="none"/>
              </w:rPr>
              <w:t>分析结果：提供每一个分析视野图片中物种的名称、细胞数、位置信息；汇总识别出物种的中文名、拉丁名、物种分类地位、藻密度、生物量。</w:t>
            </w:r>
          </w:p>
          <w:p w14:paraId="3CCE8803">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21.</w:t>
            </w:r>
            <w:r>
              <w:rPr>
                <w:rFonts w:hint="eastAsia" w:ascii="宋体" w:hAnsi="宋体" w:eastAsia="宋体" w:cs="宋体"/>
                <w:color w:val="auto"/>
                <w:sz w:val="21"/>
                <w:szCs w:val="21"/>
                <w:highlight w:val="none"/>
              </w:rPr>
              <w:t>可在拼接大图上以识别框形式，显示全部可识别物种的位置、名称、细胞数。</w:t>
            </w:r>
          </w:p>
          <w:bookmarkEnd w:id="878"/>
          <w:p w14:paraId="2458567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22.</w:t>
            </w:r>
            <w:r>
              <w:rPr>
                <w:rFonts w:hint="eastAsia" w:ascii="宋体" w:hAnsi="宋体" w:eastAsia="宋体" w:cs="宋体"/>
                <w:color w:val="auto"/>
                <w:sz w:val="21"/>
                <w:szCs w:val="21"/>
                <w:highlight w:val="none"/>
              </w:rPr>
              <w:t>统计物种平均单细胞长度、单细胞宽度、单细胞高度、单细胞直径、单细胞面积、单细胞体积、细胞</w:t>
            </w:r>
            <w:bookmarkStart w:id="881" w:name="OLE_LINK21"/>
            <w:r>
              <w:rPr>
                <w:rFonts w:hint="eastAsia" w:ascii="宋体" w:hAnsi="宋体" w:eastAsia="宋体" w:cs="宋体"/>
                <w:color w:val="auto"/>
                <w:sz w:val="21"/>
                <w:szCs w:val="21"/>
                <w:highlight w:val="none"/>
              </w:rPr>
              <w:t>密度、生物量</w:t>
            </w:r>
            <w:bookmarkEnd w:id="881"/>
            <w:r>
              <w:rPr>
                <w:rFonts w:hint="eastAsia" w:ascii="宋体" w:hAnsi="宋体" w:eastAsia="宋体" w:cs="宋体"/>
                <w:color w:val="auto"/>
                <w:sz w:val="21"/>
                <w:szCs w:val="21"/>
                <w:highlight w:val="none"/>
              </w:rPr>
              <w:t>等，并通过图表方式展示样品的物种多样性；计算Shannon-Wiener指数、Margalef丰富度指数、Pielou均匀度指数、Simpson生态优势度指数及水质评价。</w:t>
            </w:r>
          </w:p>
          <w:bookmarkEnd w:id="879"/>
          <w:p w14:paraId="4D6E02AC">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23.</w:t>
            </w:r>
            <w:r>
              <w:rPr>
                <w:rFonts w:hint="eastAsia" w:ascii="宋体" w:hAnsi="宋体" w:eastAsia="宋体" w:cs="宋体"/>
                <w:color w:val="auto"/>
                <w:sz w:val="21"/>
                <w:szCs w:val="21"/>
                <w:highlight w:val="none"/>
              </w:rPr>
              <w:t>数据人工核查：结合识别图像信息，用户可增加、删减、修改识别物种信息，并实时更新样品分析结果，实现人工数据核查。</w:t>
            </w:r>
          </w:p>
          <w:p w14:paraId="76A0E008">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24.</w:t>
            </w:r>
            <w:r>
              <w:rPr>
                <w:rFonts w:hint="eastAsia" w:ascii="宋体" w:hAnsi="宋体" w:eastAsia="宋体" w:cs="宋体"/>
                <w:color w:val="auto"/>
                <w:sz w:val="21"/>
                <w:szCs w:val="21"/>
                <w:highlight w:val="none"/>
              </w:rPr>
              <w:t>平行样分析：对于同一样品的两次扫描分析结果，可自动计算物种计数与细胞密度的平均值。</w:t>
            </w:r>
          </w:p>
          <w:p w14:paraId="2D7972C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bookmarkStart w:id="882" w:name="OLE_LINK22"/>
            <w:r>
              <w:rPr>
                <w:rFonts w:hint="eastAsia" w:ascii="宋体" w:hAnsi="宋体" w:eastAsia="宋体" w:cs="宋体"/>
                <w:color w:val="auto"/>
                <w:kern w:val="2"/>
                <w:sz w:val="21"/>
                <w:szCs w:val="21"/>
                <w:highlight w:val="none"/>
                <w:lang w:val="en-US" w:eastAsia="zh-CN" w:bidi="ar-SA"/>
              </w:rPr>
              <w:t>25.</w:t>
            </w:r>
            <w:r>
              <w:rPr>
                <w:rFonts w:hint="eastAsia" w:ascii="宋体" w:hAnsi="宋体" w:eastAsia="宋体" w:cs="宋体"/>
                <w:color w:val="auto"/>
                <w:sz w:val="21"/>
                <w:szCs w:val="21"/>
                <w:highlight w:val="none"/>
              </w:rPr>
              <w:t>历史数据分析</w:t>
            </w:r>
            <w:bookmarkEnd w:id="882"/>
            <w:r>
              <w:rPr>
                <w:rFonts w:hint="eastAsia" w:ascii="宋体" w:hAnsi="宋体" w:eastAsia="宋体" w:cs="宋体"/>
                <w:color w:val="auto"/>
                <w:sz w:val="21"/>
                <w:szCs w:val="21"/>
                <w:highlight w:val="none"/>
              </w:rPr>
              <w:t>：</w:t>
            </w:r>
            <w:bookmarkStart w:id="883" w:name="OLE_LINK23"/>
            <w:r>
              <w:rPr>
                <w:rFonts w:hint="eastAsia" w:ascii="宋体" w:hAnsi="宋体" w:eastAsia="宋体" w:cs="宋体"/>
                <w:color w:val="auto"/>
                <w:sz w:val="21"/>
                <w:szCs w:val="21"/>
                <w:highlight w:val="none"/>
              </w:rPr>
              <w:t>自动保存历史分析数据，支持对历史数据再次分析与校验，软件自动记录和归档修订记录</w:t>
            </w:r>
            <w:bookmarkEnd w:id="883"/>
            <w:r>
              <w:rPr>
                <w:rFonts w:hint="eastAsia" w:ascii="宋体" w:hAnsi="宋体" w:eastAsia="宋体" w:cs="宋体"/>
                <w:color w:val="auto"/>
                <w:sz w:val="21"/>
                <w:szCs w:val="21"/>
                <w:highlight w:val="none"/>
              </w:rPr>
              <w:t>。</w:t>
            </w:r>
          </w:p>
          <w:p w14:paraId="4A13CEE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26.</w:t>
            </w:r>
            <w:r>
              <w:rPr>
                <w:rFonts w:hint="eastAsia" w:ascii="宋体" w:hAnsi="宋体" w:eastAsia="宋体" w:cs="宋体"/>
                <w:color w:val="auto"/>
                <w:sz w:val="21"/>
                <w:szCs w:val="21"/>
                <w:highlight w:val="none"/>
              </w:rPr>
              <w:t>物种定位搜索：搜索物种名称，可查看包含此物种的全部视野图片，实现物种定位。</w:t>
            </w:r>
          </w:p>
          <w:p w14:paraId="308D85F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27.</w:t>
            </w:r>
            <w:r>
              <w:rPr>
                <w:rFonts w:hint="eastAsia" w:ascii="宋体" w:hAnsi="宋体" w:eastAsia="宋体" w:cs="宋体"/>
                <w:color w:val="auto"/>
                <w:sz w:val="21"/>
                <w:szCs w:val="21"/>
                <w:highlight w:val="none"/>
              </w:rPr>
              <w:t>一键导出数据统计表、原始记录表、优势种报表、评价指数报表，支持用户二次编辑，可个性化根据客户个性化需求调整或定制报表格式。</w:t>
            </w:r>
          </w:p>
          <w:p w14:paraId="515CBC1A">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bookmarkStart w:id="884" w:name="OLE_LINK24"/>
            <w:bookmarkStart w:id="885" w:name="OLE_LINK9"/>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28.</w:t>
            </w:r>
            <w:r>
              <w:rPr>
                <w:rFonts w:hint="eastAsia" w:ascii="宋体" w:hAnsi="宋体" w:eastAsia="宋体" w:cs="宋体"/>
                <w:color w:val="auto"/>
                <w:sz w:val="21"/>
                <w:szCs w:val="21"/>
                <w:highlight w:val="none"/>
              </w:rPr>
              <w:t>数据汇总分析</w:t>
            </w:r>
            <w:bookmarkEnd w:id="884"/>
            <w:r>
              <w:rPr>
                <w:rFonts w:hint="eastAsia" w:ascii="宋体" w:hAnsi="宋体" w:eastAsia="宋体" w:cs="宋体"/>
                <w:color w:val="auto"/>
                <w:sz w:val="21"/>
                <w:szCs w:val="21"/>
                <w:highlight w:val="none"/>
              </w:rPr>
              <w:t>：</w:t>
            </w:r>
            <w:bookmarkStart w:id="886" w:name="OLE_LINK25"/>
            <w:r>
              <w:rPr>
                <w:rFonts w:hint="eastAsia" w:ascii="宋体" w:hAnsi="宋体" w:eastAsia="宋体" w:cs="宋体"/>
                <w:color w:val="auto"/>
                <w:sz w:val="21"/>
                <w:szCs w:val="21"/>
                <w:highlight w:val="none"/>
              </w:rPr>
              <w:t>可选择多条历史数据，汇总分析并导出比对报表，实现多样本比对分析</w:t>
            </w:r>
            <w:bookmarkEnd w:id="885"/>
            <w:bookmarkEnd w:id="886"/>
            <w:r>
              <w:rPr>
                <w:rFonts w:hint="eastAsia" w:ascii="宋体" w:hAnsi="宋体" w:eastAsia="宋体" w:cs="宋体"/>
                <w:color w:val="auto"/>
                <w:sz w:val="21"/>
                <w:szCs w:val="21"/>
                <w:highlight w:val="none"/>
              </w:rPr>
              <w:t>。</w:t>
            </w:r>
          </w:p>
          <w:p w14:paraId="5B87642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29.</w:t>
            </w:r>
            <w:r>
              <w:rPr>
                <w:rFonts w:hint="eastAsia" w:ascii="宋体" w:hAnsi="宋体" w:eastAsia="宋体" w:cs="宋体"/>
                <w:color w:val="auto"/>
                <w:sz w:val="21"/>
                <w:szCs w:val="21"/>
                <w:highlight w:val="none"/>
              </w:rPr>
              <w:t>图片数据库：获得权威数据库授权和支撑。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提供授权证书及数据库截图</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65DA8BE4">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w:t>
            </w:r>
            <w:r>
              <w:rPr>
                <w:rFonts w:hint="eastAsia" w:ascii="宋体" w:hAnsi="宋体" w:eastAsia="宋体" w:cs="宋体"/>
                <w:color w:val="auto"/>
                <w:sz w:val="21"/>
                <w:szCs w:val="21"/>
                <w:highlight w:val="none"/>
                <w:lang w:val="en-US" w:eastAsia="zh-CN"/>
              </w:rPr>
              <w:t>数据分析工作站：</w:t>
            </w:r>
            <w:r>
              <w:rPr>
                <w:rFonts w:hint="eastAsia" w:ascii="宋体" w:hAnsi="宋体" w:eastAsia="宋体" w:cs="宋体"/>
                <w:color w:val="auto"/>
                <w:kern w:val="2"/>
                <w:sz w:val="21"/>
                <w:szCs w:val="21"/>
                <w:highlight w:val="none"/>
                <w:lang w:val="en-US" w:eastAsia="zh-CN" w:bidi="ar-SA"/>
              </w:rPr>
              <w:t>CPU：14代i7及以上处理器，≥10核，内存≥32G；</w:t>
            </w:r>
          </w:p>
          <w:p w14:paraId="2DDA96AF">
            <w:pPr>
              <w:pStyle w:val="92"/>
              <w:numPr>
                <w:ilvl w:val="0"/>
                <w:numId w:val="0"/>
              </w:numPr>
              <w:spacing w:line="360" w:lineRule="auto"/>
              <w:ind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硬盘（ssd）：≥2TGB，网卡：集成10/100/1000M以太网卡，接口：≥4个USB3.0接口、1个串口，WINDOWS 10或更高操作系统，独立显卡；</w:t>
            </w:r>
          </w:p>
          <w:p w14:paraId="7370787B">
            <w:pPr>
              <w:pStyle w:val="92"/>
              <w:numPr>
                <w:ilvl w:val="0"/>
                <w:numId w:val="0"/>
              </w:numPr>
              <w:spacing w:line="360" w:lineRule="auto"/>
              <w:ind w:left="63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31.</w:t>
            </w:r>
            <w:r>
              <w:rPr>
                <w:rFonts w:hint="eastAsia" w:ascii="宋体" w:hAnsi="宋体" w:eastAsia="宋体" w:cs="宋体"/>
                <w:color w:val="auto"/>
                <w:sz w:val="21"/>
                <w:szCs w:val="21"/>
                <w:highlight w:val="none"/>
                <w:lang w:val="en-US" w:eastAsia="zh-CN"/>
              </w:rPr>
              <w:t>液晶显示器：≥27英寸，分辨率≥2560*1080，刷新率≥180Hz；</w:t>
            </w:r>
          </w:p>
          <w:p w14:paraId="665F6BD4">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32.载玻片（样品池）：材质：石英玻璃；尺寸：76mm*25mm；样品池尺寸：20mm*20mm；</w:t>
            </w:r>
          </w:p>
          <w:p w14:paraId="7BF2EBAE">
            <w:pPr>
              <w:spacing w:line="360" w:lineRule="auto"/>
              <w:ind w:firstLine="210" w:firstLineChars="100"/>
              <w:rPr>
                <w:rFonts w:hint="eastAsia" w:ascii="宋体" w:hAnsi="宋体" w:eastAsia="宋体" w:cs="宋体"/>
                <w:sz w:val="21"/>
                <w:szCs w:val="21"/>
              </w:rPr>
            </w:pPr>
            <w:r>
              <w:rPr>
                <w:rFonts w:hint="eastAsia" w:ascii="宋体" w:hAnsi="宋体" w:eastAsia="宋体" w:cs="宋体"/>
                <w:color w:val="auto"/>
                <w:kern w:val="2"/>
                <w:sz w:val="21"/>
                <w:szCs w:val="21"/>
                <w:highlight w:val="none"/>
                <w:lang w:val="en-US" w:eastAsia="zh-CN" w:bidi="ar-SA"/>
              </w:rPr>
              <w:t>33.盖玻片：材质：石英玻璃；尺寸：22mm*22mm*0.15mm</w:t>
            </w:r>
          </w:p>
          <w:p w14:paraId="6DA67C15">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三、配置清单</w:t>
            </w:r>
          </w:p>
          <w:p w14:paraId="4AC0B6F6">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1.全自动显微扫描主机1台；</w:t>
            </w:r>
          </w:p>
          <w:p w14:paraId="5382D93A">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2.20倍显微扫描物镜一组；</w:t>
            </w:r>
          </w:p>
          <w:p w14:paraId="3B3B1625">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3.40倍显微扫描物镜一组；</w:t>
            </w:r>
          </w:p>
          <w:p w14:paraId="514B1945">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4.数据分析工作站 1台；</w:t>
            </w:r>
          </w:p>
          <w:p w14:paraId="3018FA21">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5.液晶显示器 1台（配套鼠标、键盘1套）；</w:t>
            </w:r>
          </w:p>
          <w:p w14:paraId="4764B0EA">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6.样品托盘1套；</w:t>
            </w:r>
          </w:p>
          <w:p w14:paraId="5238A542">
            <w:pPr>
              <w:pStyle w:val="92"/>
              <w:numPr>
                <w:ilvl w:val="0"/>
                <w:numId w:val="0"/>
              </w:numPr>
              <w:spacing w:line="360" w:lineRule="auto"/>
              <w:ind w:left="635" w:leftChars="0" w:hanging="425"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7.藻类样载玻片（样品池）/盖玻片10套；</w:t>
            </w:r>
          </w:p>
          <w:p w14:paraId="7F6B3486">
            <w:pPr>
              <w:pStyle w:val="92"/>
              <w:numPr>
                <w:ilvl w:val="0"/>
                <w:numId w:val="0"/>
              </w:numPr>
              <w:spacing w:line="360" w:lineRule="auto"/>
              <w:ind w:left="635" w:leftChars="0" w:hanging="425"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8.设备同品牌藻类数据分析软件1套</w:t>
            </w:r>
          </w:p>
        </w:tc>
      </w:tr>
      <w:tr w14:paraId="35208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26" w:type="dxa"/>
            <w:shd w:val="clear" w:color="auto" w:fill="auto"/>
            <w:vAlign w:val="center"/>
          </w:tcPr>
          <w:p w14:paraId="2F23EAA4">
            <w:pPr>
              <w:pStyle w:val="116"/>
              <w:spacing w:before="79" w:line="360" w:lineRule="auto"/>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24</w:t>
            </w:r>
          </w:p>
        </w:tc>
        <w:tc>
          <w:tcPr>
            <w:tcW w:w="2024" w:type="dxa"/>
            <w:shd w:val="clear" w:color="auto" w:fill="auto"/>
            <w:vAlign w:val="center"/>
          </w:tcPr>
          <w:p w14:paraId="79071553">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浮游动物自动分析 仪</w:t>
            </w:r>
          </w:p>
        </w:tc>
        <w:tc>
          <w:tcPr>
            <w:tcW w:w="1424" w:type="dxa"/>
            <w:shd w:val="clear" w:color="auto" w:fill="auto"/>
            <w:vAlign w:val="center"/>
          </w:tcPr>
          <w:p w14:paraId="5D0D7FBC">
            <w:pPr>
              <w:pStyle w:val="116"/>
              <w:spacing w:before="79" w:line="360" w:lineRule="auto"/>
              <w:ind w:left="125" w:leftChars="0"/>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主要用于对  水体中浮游  动物的自动  分类计数、大小测量、种类分类以 及生物量测定等</w:t>
            </w:r>
          </w:p>
        </w:tc>
        <w:tc>
          <w:tcPr>
            <w:tcW w:w="775" w:type="dxa"/>
            <w:shd w:val="clear" w:color="auto" w:fill="auto"/>
            <w:vAlign w:val="center"/>
          </w:tcPr>
          <w:p w14:paraId="120BE7E1">
            <w:pPr>
              <w:pStyle w:val="116"/>
              <w:spacing w:before="79" w:line="360" w:lineRule="auto"/>
              <w:jc w:val="center"/>
              <w:rPr>
                <w:rFonts w:hint="eastAsia" w:ascii="宋体" w:hAnsi="宋体" w:eastAsia="宋体" w:cs="宋体"/>
                <w:color w:val="auto"/>
                <w:kern w:val="2"/>
                <w:sz w:val="21"/>
                <w:szCs w:val="21"/>
                <w:lang w:val="en-US" w:eastAsia="en-US" w:bidi="ar-SA"/>
              </w:rPr>
            </w:pPr>
            <w:r>
              <w:rPr>
                <w:rFonts w:hint="eastAsia" w:ascii="宋体" w:hAnsi="宋体" w:eastAsia="宋体" w:cs="宋体"/>
                <w:color w:val="auto"/>
                <w:sz w:val="21"/>
                <w:szCs w:val="21"/>
              </w:rPr>
              <w:t>套（系 统）</w:t>
            </w:r>
          </w:p>
        </w:tc>
        <w:tc>
          <w:tcPr>
            <w:tcW w:w="667" w:type="dxa"/>
            <w:shd w:val="clear" w:color="auto" w:fill="auto"/>
            <w:vAlign w:val="center"/>
          </w:tcPr>
          <w:p w14:paraId="01F5BD3C">
            <w:pPr>
              <w:pStyle w:val="116"/>
              <w:spacing w:before="79" w:line="360" w:lineRule="auto"/>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1</w:t>
            </w:r>
          </w:p>
        </w:tc>
        <w:tc>
          <w:tcPr>
            <w:tcW w:w="8047" w:type="dxa"/>
            <w:shd w:val="clear" w:color="auto" w:fill="auto"/>
            <w:vAlign w:val="top"/>
          </w:tcPr>
          <w:p w14:paraId="387E2B79">
            <w:pPr>
              <w:numPr>
                <w:ilvl w:val="0"/>
                <w:numId w:val="0"/>
              </w:numPr>
              <w:pBdr>
                <w:top w:val="none" w:color="000000" w:sz="0" w:space="0"/>
                <w:left w:val="none" w:color="000000" w:sz="0" w:space="0"/>
                <w:bottom w:val="none" w:color="000000" w:sz="0" w:space="0"/>
                <w:right w:val="none" w:color="000000" w:sz="0" w:space="0"/>
              </w:pBdr>
              <w:spacing w:before="220" w:after="0" w:line="360" w:lineRule="auto"/>
              <w:ind w:leftChars="0" w:right="0" w:rightChars="0"/>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auto"/>
                <w:sz w:val="21"/>
                <w:szCs w:val="21"/>
                <w:highlight w:val="none"/>
                <w:lang w:val="en-US" w:eastAsia="zh-CN"/>
              </w:rPr>
              <w:t>、软件功能要求</w:t>
            </w:r>
          </w:p>
          <w:p w14:paraId="387A2052">
            <w:pPr>
              <w:widowControl/>
              <w:numPr>
                <w:ilvl w:val="0"/>
                <w:numId w:val="0"/>
              </w:numPr>
              <w:spacing w:line="360" w:lineRule="auto"/>
              <w:ind w:left="210" w:leftChars="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1.样品分析</w:t>
            </w:r>
            <w:r>
              <w:rPr>
                <w:rFonts w:hint="eastAsia" w:ascii="宋体" w:hAnsi="宋体" w:eastAsia="宋体" w:cs="宋体"/>
                <w:color w:val="auto"/>
                <w:sz w:val="21"/>
                <w:szCs w:val="21"/>
                <w:highlight w:val="none"/>
              </w:rPr>
              <w:t>通量：1 mL与5 mL样品每次可</w:t>
            </w:r>
            <w:r>
              <w:rPr>
                <w:rFonts w:hint="eastAsia" w:ascii="宋体" w:hAnsi="宋体" w:eastAsia="宋体" w:cs="宋体"/>
                <w:color w:val="auto"/>
                <w:sz w:val="21"/>
                <w:szCs w:val="21"/>
                <w:highlight w:val="none"/>
                <w:lang w:val="en-US" w:eastAsia="zh-CN"/>
              </w:rPr>
              <w:t>分析数量≥</w:t>
            </w:r>
            <w:r>
              <w:rPr>
                <w:rFonts w:hint="eastAsia" w:ascii="宋体" w:hAnsi="宋体" w:eastAsia="宋体" w:cs="宋体"/>
                <w:color w:val="auto"/>
                <w:sz w:val="21"/>
                <w:szCs w:val="21"/>
                <w:highlight w:val="none"/>
              </w:rPr>
              <w:t>3个。</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提供检测报告</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404CB097">
            <w:pPr>
              <w:widowControl/>
              <w:numPr>
                <w:ilvl w:val="0"/>
                <w:numId w:val="0"/>
              </w:numPr>
              <w:spacing w:line="360" w:lineRule="auto"/>
              <w:ind w:left="210" w:leftChars="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2.分析软件适配</w:t>
            </w:r>
            <w:r>
              <w:rPr>
                <w:rFonts w:hint="eastAsia" w:ascii="宋体" w:hAnsi="宋体" w:eastAsia="宋体" w:cs="宋体"/>
                <w:color w:val="auto"/>
                <w:sz w:val="21"/>
                <w:szCs w:val="21"/>
                <w:highlight w:val="none"/>
              </w:rPr>
              <w:t>计数框尺寸：1 mL，面积50 × 20 mm；5 mL，面积50 × 20 mm。</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提供检测报告</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20014F7E">
            <w:pPr>
              <w:widowControl/>
              <w:numPr>
                <w:ilvl w:val="0"/>
                <w:numId w:val="0"/>
              </w:numPr>
              <w:spacing w:line="360" w:lineRule="auto"/>
              <w:ind w:left="210" w:leftChars="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多层扫描：多景深连续自动扫描，层间距可在0.1 μm-10 μm内自定义，层数可在液面有效深度内自定义，自动生成单层图片及融合不同焦平面的图片，获取全景深、高清晰图像，解决</w:t>
            </w:r>
            <w:r>
              <w:rPr>
                <w:rFonts w:hint="eastAsia" w:ascii="宋体" w:hAnsi="宋体" w:eastAsia="宋体" w:cs="宋体"/>
                <w:color w:val="auto"/>
                <w:sz w:val="21"/>
                <w:szCs w:val="21"/>
                <w:highlight w:val="none"/>
                <w:lang w:val="en-US" w:eastAsia="zh-CN"/>
              </w:rPr>
              <w:t>浮游动物</w:t>
            </w:r>
            <w:r>
              <w:rPr>
                <w:rFonts w:hint="eastAsia" w:ascii="宋体" w:hAnsi="宋体" w:eastAsia="宋体" w:cs="宋体"/>
                <w:color w:val="auto"/>
                <w:sz w:val="21"/>
                <w:szCs w:val="21"/>
                <w:highlight w:val="none"/>
              </w:rPr>
              <w:t>分布在不同液层造成的局部模糊问题。多景深扫描融合支持全片扫描融合及自定义选取视野融合两种方式。</w:t>
            </w:r>
          </w:p>
          <w:p w14:paraId="6663D412">
            <w:pPr>
              <w:widowControl/>
              <w:numPr>
                <w:ilvl w:val="0"/>
                <w:numId w:val="0"/>
              </w:numPr>
              <w:spacing w:line="360" w:lineRule="auto"/>
              <w:ind w:left="210" w:leftChars="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指定视野拍照：提供</w:t>
            </w:r>
            <w:r>
              <w:rPr>
                <w:rFonts w:hint="eastAsia" w:ascii="宋体" w:hAnsi="宋体" w:eastAsia="宋体" w:cs="宋体"/>
                <w:spacing w:val="-2"/>
                <w:sz w:val="21"/>
                <w:szCs w:val="21"/>
                <w:lang w:val="en-US" w:eastAsia="zh-CN"/>
              </w:rPr>
              <w:t>不少于</w:t>
            </w:r>
            <w:r>
              <w:rPr>
                <w:rFonts w:hint="eastAsia" w:ascii="宋体" w:hAnsi="宋体" w:eastAsia="宋体" w:cs="宋体"/>
                <w:color w:val="auto"/>
                <w:sz w:val="21"/>
                <w:szCs w:val="21"/>
                <w:highlight w:val="none"/>
              </w:rPr>
              <w:t>400个视野的自动对焦拍照。</w:t>
            </w:r>
          </w:p>
          <w:p w14:paraId="55FEA5AA">
            <w:pPr>
              <w:widowControl/>
              <w:numPr>
                <w:ilvl w:val="0"/>
                <w:numId w:val="0"/>
              </w:numPr>
              <w:spacing w:line="360" w:lineRule="auto"/>
              <w:ind w:left="210" w:leftChars="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扫描后图像支持全画幅图片的浏览器浏览，支持无级缩放、无级拖动，支持扫描过程中其他全画幅图像同步浏览。浏览时可选择任意位置， 移动扫描平台至该图像位置对应的实际位置，并进行实时浏览，方便用户复核。</w:t>
            </w:r>
          </w:p>
          <w:p w14:paraId="61317C5B">
            <w:pPr>
              <w:widowControl/>
              <w:numPr>
                <w:ilvl w:val="0"/>
                <w:numId w:val="0"/>
              </w:numPr>
              <w:spacing w:line="360" w:lineRule="auto"/>
              <w:ind w:left="210" w:leftChars="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提供计数框任意区域实时浏览。</w:t>
            </w:r>
          </w:p>
          <w:p w14:paraId="00F3D2B1">
            <w:pPr>
              <w:widowControl/>
              <w:numPr>
                <w:ilvl w:val="0"/>
                <w:numId w:val="0"/>
              </w:numPr>
              <w:spacing w:line="360" w:lineRule="auto"/>
              <w:ind w:left="210" w:leftChars="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w:t>
            </w:r>
            <w:bookmarkStart w:id="887" w:name="OLE_LINK30"/>
            <w:r>
              <w:rPr>
                <w:rFonts w:hint="eastAsia" w:ascii="宋体" w:hAnsi="宋体" w:eastAsia="宋体" w:cs="宋体"/>
                <w:color w:val="auto"/>
                <w:sz w:val="21"/>
                <w:szCs w:val="21"/>
                <w:highlight w:val="none"/>
              </w:rPr>
              <w:t>能够进行1 mL计数框全片（50 × 20 mm）连续扫描拍照，10倍物镜下，全片扫描时间不超过5 min/样品；</w:t>
            </w:r>
            <w:bookmarkEnd w:id="887"/>
            <w:r>
              <w:rPr>
                <w:rFonts w:hint="eastAsia" w:ascii="宋体" w:hAnsi="宋体" w:eastAsia="宋体" w:cs="宋体"/>
                <w:color w:val="auto"/>
                <w:sz w:val="21"/>
                <w:szCs w:val="21"/>
                <w:highlight w:val="none"/>
              </w:rPr>
              <w:t>能够进行5 mL计数框全片（50 × 20 mm）连续扫描拍照，4倍物镜下，全片扫描时间不超过5 min/样品。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提供软件截图</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799719CD">
            <w:pPr>
              <w:widowControl/>
              <w:numPr>
                <w:ilvl w:val="0"/>
                <w:numId w:val="0"/>
              </w:numPr>
              <w:spacing w:line="360" w:lineRule="auto"/>
              <w:ind w:left="210" w:leftChars="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提供50 × 20 mm扫描区域拼接图像的全景浏览单个视野的全部图像，实现对样本的电子化存档和溯源。</w:t>
            </w:r>
          </w:p>
          <w:p w14:paraId="74E3B194">
            <w:pPr>
              <w:widowControl/>
              <w:spacing w:line="360" w:lineRule="auto"/>
              <w:ind w:right="332" w:rightChars="158"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自动拼接大图：</w:t>
            </w:r>
          </w:p>
          <w:p w14:paraId="61ACE50A">
            <w:pPr>
              <w:widowControl/>
              <w:spacing w:line="360" w:lineRule="auto"/>
              <w:ind w:left="420" w:right="332" w:rightChars="158"/>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4倍物镜下，自动生成50 × 20 mm扫描区域内不少于300张视野图拼接的单张大图，大图像素不低于10亿像素，支持全景浏览拼接大图及单个视野的全部图像，可实现对样本的电子化存档和溯源；10倍物镜下，自动生成50 × 20 mm扫描区域内不少于1000张视野图拼接的单张大图，大图像素不低于60亿像素，支持全景浏览拼接大图及单个视野的全部图像，可实现对样本的电子化存档和溯源；</w:t>
            </w:r>
          </w:p>
          <w:p w14:paraId="60F395DB">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sz w:val="21"/>
                <w:szCs w:val="21"/>
                <w:highlight w:val="none"/>
              </w:rPr>
              <w:t>计数方式</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rPr>
              <w:t xml:space="preserve">全片（50 × 20 mm）计数方式。 </w:t>
            </w:r>
          </w:p>
          <w:p w14:paraId="53AAAF19">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rPr>
              <w:t>物种鉴别方式：基于深度学习人工智能算法的物种识别。</w:t>
            </w:r>
          </w:p>
          <w:p w14:paraId="7DC0BFC8">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11.</w:t>
            </w:r>
            <w:r>
              <w:rPr>
                <w:rFonts w:hint="eastAsia" w:ascii="宋体" w:hAnsi="宋体" w:eastAsia="宋体" w:cs="宋体"/>
                <w:color w:val="auto"/>
                <w:sz w:val="21"/>
                <w:szCs w:val="21"/>
                <w:highlight w:val="none"/>
              </w:rPr>
              <w:t>可自动识别动物物种：不少于</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0个，数据库中优势物种识别率不低于95%，计数准确率＞85%。</w:t>
            </w:r>
          </w:p>
          <w:p w14:paraId="3E1EC266">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12.</w:t>
            </w:r>
            <w:r>
              <w:rPr>
                <w:rFonts w:hint="eastAsia" w:ascii="宋体" w:hAnsi="宋体" w:eastAsia="宋体" w:cs="宋体"/>
                <w:color w:val="auto"/>
                <w:sz w:val="21"/>
                <w:szCs w:val="21"/>
                <w:highlight w:val="none"/>
              </w:rPr>
              <w:t>批量分析：将样品按所需分析方法添加至分析列表，可一键化对全部样品进行批量分析，提高效率。</w:t>
            </w:r>
          </w:p>
          <w:p w14:paraId="62D46FD0">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13.</w:t>
            </w:r>
            <w:r>
              <w:rPr>
                <w:rFonts w:hint="eastAsia" w:ascii="宋体" w:hAnsi="宋体" w:eastAsia="宋体" w:cs="宋体"/>
                <w:color w:val="auto"/>
                <w:sz w:val="21"/>
                <w:szCs w:val="21"/>
                <w:highlight w:val="none"/>
              </w:rPr>
              <w:t>分析结果：提供每一个分析视野图片中物种的名称、细胞数、位置信息；汇总识别出物种的中文名、拉丁名、物种分类地位、密度、生物量。</w:t>
            </w:r>
          </w:p>
          <w:p w14:paraId="76F619FD">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14.</w:t>
            </w:r>
            <w:r>
              <w:rPr>
                <w:rFonts w:hint="eastAsia" w:ascii="宋体" w:hAnsi="宋体" w:eastAsia="宋体" w:cs="宋体"/>
                <w:color w:val="auto"/>
                <w:sz w:val="21"/>
                <w:szCs w:val="21"/>
                <w:highlight w:val="none"/>
              </w:rPr>
              <w:t>可在拼接大图上以识别框形式，显示全部可识别物种的位置、名称、细胞数。</w:t>
            </w:r>
          </w:p>
          <w:p w14:paraId="58074D53">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15.</w:t>
            </w:r>
            <w:r>
              <w:rPr>
                <w:rFonts w:hint="eastAsia" w:ascii="宋体" w:hAnsi="宋体" w:eastAsia="宋体" w:cs="宋体"/>
                <w:color w:val="auto"/>
                <w:sz w:val="21"/>
                <w:szCs w:val="21"/>
                <w:highlight w:val="none"/>
              </w:rPr>
              <w:t>统计物种平均单细胞长度、单细胞宽度、单细胞高度、单细胞直径、单细胞面积、单细胞体积、细胞密度、生物量等，并通过图表方式展示样品的物种多样性；计算Shannon-Wiener指数、Margalef丰富度指数、Pielou均匀度指数、Simpson生态优势度指数及水质评价。</w:t>
            </w:r>
          </w:p>
          <w:p w14:paraId="7DBAF6ED">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16.</w:t>
            </w:r>
            <w:r>
              <w:rPr>
                <w:rFonts w:hint="eastAsia" w:ascii="宋体" w:hAnsi="宋体" w:eastAsia="宋体" w:cs="宋体"/>
                <w:color w:val="auto"/>
                <w:sz w:val="21"/>
                <w:szCs w:val="21"/>
                <w:highlight w:val="none"/>
              </w:rPr>
              <w:t>数据人工核查：结合识别图像信息，用户可增加、删减、修改识别物种信息，并实时更新样品分析结果，实现人工数据核查。</w:t>
            </w:r>
          </w:p>
          <w:p w14:paraId="152CBEC8">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17.</w:t>
            </w:r>
            <w:r>
              <w:rPr>
                <w:rFonts w:hint="eastAsia" w:ascii="宋体" w:hAnsi="宋体" w:eastAsia="宋体" w:cs="宋体"/>
                <w:color w:val="auto"/>
                <w:sz w:val="21"/>
                <w:szCs w:val="21"/>
                <w:highlight w:val="none"/>
              </w:rPr>
              <w:t>平行样分析：对于同一样品的两次扫描分析结果，可自动计算物种计数与细胞密度的平均值。</w:t>
            </w:r>
          </w:p>
          <w:p w14:paraId="5D5864D8">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18.</w:t>
            </w:r>
            <w:r>
              <w:rPr>
                <w:rFonts w:hint="eastAsia" w:ascii="宋体" w:hAnsi="宋体" w:eastAsia="宋体" w:cs="宋体"/>
                <w:color w:val="auto"/>
                <w:sz w:val="21"/>
                <w:szCs w:val="21"/>
                <w:highlight w:val="none"/>
              </w:rPr>
              <w:t>历史数据分析：自动保存历史分析数据，支持对历史数据再次分析与校验，软件自动记录和归档修订记录。</w:t>
            </w:r>
          </w:p>
          <w:p w14:paraId="3D4B8E04">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19.</w:t>
            </w:r>
            <w:r>
              <w:rPr>
                <w:rFonts w:hint="eastAsia" w:ascii="宋体" w:hAnsi="宋体" w:eastAsia="宋体" w:cs="宋体"/>
                <w:color w:val="auto"/>
                <w:sz w:val="21"/>
                <w:szCs w:val="21"/>
                <w:highlight w:val="none"/>
              </w:rPr>
              <w:t>物种定位搜索：搜索物种名称，可查看包含此物种的全部视野图片，实现物种定位。</w:t>
            </w:r>
          </w:p>
          <w:p w14:paraId="6621F592">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20.</w:t>
            </w:r>
            <w:r>
              <w:rPr>
                <w:rFonts w:hint="eastAsia" w:ascii="宋体" w:hAnsi="宋体" w:eastAsia="宋体" w:cs="宋体"/>
                <w:color w:val="auto"/>
                <w:sz w:val="21"/>
                <w:szCs w:val="21"/>
                <w:highlight w:val="none"/>
              </w:rPr>
              <w:t>一键导出数据统计表、原始记录表、优势种报表、评价指数报表，支持用户二次编辑，可个性化根据客户个性化需求调整或定制报表格式。</w:t>
            </w:r>
          </w:p>
          <w:p w14:paraId="63816362">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21.</w:t>
            </w:r>
            <w:r>
              <w:rPr>
                <w:rFonts w:hint="eastAsia" w:ascii="宋体" w:hAnsi="宋体" w:eastAsia="宋体" w:cs="宋体"/>
                <w:color w:val="auto"/>
                <w:sz w:val="21"/>
                <w:szCs w:val="21"/>
                <w:highlight w:val="none"/>
              </w:rPr>
              <w:t>数据汇总分析：可选择多条历史数据，汇总分析并导出比对报表，实现多样本比对分析。</w:t>
            </w:r>
          </w:p>
          <w:p w14:paraId="38C10F3E">
            <w:pPr>
              <w:widowControl/>
              <w:numPr>
                <w:ilvl w:val="0"/>
                <w:numId w:val="0"/>
              </w:numPr>
              <w:spacing w:line="360" w:lineRule="auto"/>
              <w:ind w:left="635" w:leftChars="0" w:right="332" w:rightChars="158"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22.</w:t>
            </w:r>
            <w:r>
              <w:rPr>
                <w:rFonts w:hint="eastAsia" w:ascii="宋体" w:hAnsi="宋体" w:eastAsia="宋体" w:cs="宋体"/>
                <w:color w:val="auto"/>
                <w:sz w:val="21"/>
                <w:szCs w:val="21"/>
                <w:highlight w:val="none"/>
              </w:rPr>
              <w:t>图片数据库：获得权威数据库授权和支撑。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授权证书及数据库截图</w:t>
            </w:r>
            <w:r>
              <w:rPr>
                <w:rFonts w:hint="eastAsia" w:ascii="宋体" w:hAnsi="宋体" w:eastAsia="宋体" w:cs="宋体"/>
                <w:color w:val="auto"/>
                <w:sz w:val="21"/>
                <w:szCs w:val="21"/>
                <w:highlight w:val="none"/>
              </w:rPr>
              <w:t>作为佐证</w:t>
            </w:r>
            <w:r>
              <w:rPr>
                <w:rFonts w:hint="eastAsia" w:ascii="宋体" w:hAnsi="宋体" w:eastAsia="宋体" w:cs="宋体"/>
                <w:color w:val="auto"/>
                <w:sz w:val="21"/>
                <w:szCs w:val="21"/>
                <w:highlight w:val="none"/>
                <w:lang w:eastAsia="zh-CN"/>
              </w:rPr>
              <w:t>）</w:t>
            </w:r>
          </w:p>
          <w:p w14:paraId="440EFBE8">
            <w:pPr>
              <w:numPr>
                <w:ilvl w:val="0"/>
                <w:numId w:val="0"/>
              </w:numPr>
              <w:pBdr>
                <w:top w:val="none" w:color="000000" w:sz="0" w:space="0"/>
                <w:left w:val="none" w:color="000000" w:sz="0" w:space="0"/>
                <w:bottom w:val="none" w:color="000000" w:sz="0" w:space="0"/>
                <w:right w:val="none" w:color="000000" w:sz="0" w:space="0"/>
              </w:pBdr>
              <w:spacing w:before="220" w:after="0" w:line="360" w:lineRule="auto"/>
              <w:ind w:leftChars="0" w:right="0" w:rightChars="0" w:firstLine="211" w:firstLineChars="100"/>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二、硬件配置要求</w:t>
            </w:r>
          </w:p>
          <w:p w14:paraId="4B55225B">
            <w:pPr>
              <w:pStyle w:val="92"/>
              <w:numPr>
                <w:ilvl w:val="0"/>
                <w:numId w:val="15"/>
              </w:numPr>
              <w:spacing w:line="360" w:lineRule="auto"/>
              <w:ind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显微扫描物镜倍数：4倍、10倍；</w:t>
            </w:r>
          </w:p>
          <w:p w14:paraId="3C71EC96">
            <w:pPr>
              <w:pStyle w:val="92"/>
              <w:numPr>
                <w:ilvl w:val="0"/>
                <w:numId w:val="15"/>
              </w:numPr>
              <w:spacing w:line="360" w:lineRule="auto"/>
              <w:ind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数据分析工作站：</w:t>
            </w:r>
            <w:r>
              <w:rPr>
                <w:rFonts w:hint="eastAsia" w:ascii="宋体" w:hAnsi="宋体" w:eastAsia="宋体" w:cs="宋体"/>
                <w:color w:val="auto"/>
                <w:kern w:val="2"/>
                <w:sz w:val="21"/>
                <w:szCs w:val="21"/>
                <w:highlight w:val="none"/>
                <w:lang w:val="en-US" w:eastAsia="zh-CN" w:bidi="ar-SA"/>
              </w:rPr>
              <w:t>CPU：14代i7及以上处理器，≥10核，内存≥32G；</w:t>
            </w:r>
          </w:p>
          <w:p w14:paraId="192E3258">
            <w:pPr>
              <w:pStyle w:val="92"/>
              <w:numPr>
                <w:ilvl w:val="0"/>
                <w:numId w:val="0"/>
              </w:numPr>
              <w:spacing w:line="360" w:lineRule="auto"/>
              <w:ind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硬盘（ssd）：≥2TGB，网卡：集成10/100/1000M以太网卡，接口：≥4个USB3.0接口、1个串口，WINDOWS 10或更高操作系统，独立显卡；</w:t>
            </w:r>
          </w:p>
          <w:p w14:paraId="36FF460D">
            <w:pPr>
              <w:pStyle w:val="92"/>
              <w:numPr>
                <w:ilvl w:val="0"/>
                <w:numId w:val="15"/>
              </w:numPr>
              <w:spacing w:line="360" w:lineRule="auto"/>
              <w:ind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液晶显示器：≥27英寸，分辨率≥2560*1080，刷新率180Hz；</w:t>
            </w:r>
          </w:p>
          <w:p w14:paraId="3D6558D6">
            <w:pPr>
              <w:pStyle w:val="92"/>
              <w:numPr>
                <w:ilvl w:val="0"/>
                <w:numId w:val="15"/>
              </w:numPr>
              <w:spacing w:line="360" w:lineRule="auto"/>
              <w:ind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载玻片（样品池）：材质：石英玻璃；尺寸：76mm*25mm；样品池尺寸：</w:t>
            </w:r>
            <w:r>
              <w:rPr>
                <w:rFonts w:hint="eastAsia" w:ascii="宋体" w:hAnsi="宋体" w:eastAsia="宋体" w:cs="宋体"/>
                <w:color w:val="auto"/>
                <w:sz w:val="21"/>
                <w:szCs w:val="21"/>
                <w:highlight w:val="none"/>
              </w:rPr>
              <w:t>50</w:t>
            </w:r>
            <w:r>
              <w:rPr>
                <w:rFonts w:hint="eastAsia" w:ascii="宋体" w:hAnsi="宋体" w:eastAsia="宋体" w:cs="宋体"/>
                <w:color w:val="auto"/>
                <w:sz w:val="21"/>
                <w:szCs w:val="21"/>
                <w:highlight w:val="none"/>
                <w:lang w:val="en-US" w:eastAsia="zh-CN"/>
              </w:rPr>
              <w:t>mm*</w:t>
            </w:r>
            <w:r>
              <w:rPr>
                <w:rFonts w:hint="eastAsia" w:ascii="宋体" w:hAnsi="宋体" w:eastAsia="宋体" w:cs="宋体"/>
                <w:color w:val="auto"/>
                <w:sz w:val="21"/>
                <w:szCs w:val="21"/>
                <w:highlight w:val="none"/>
              </w:rPr>
              <w:t>20mm</w:t>
            </w:r>
            <w:r>
              <w:rPr>
                <w:rFonts w:hint="eastAsia" w:ascii="宋体" w:hAnsi="宋体" w:eastAsia="宋体" w:cs="宋体"/>
                <w:color w:val="auto"/>
                <w:sz w:val="21"/>
                <w:szCs w:val="21"/>
                <w:highlight w:val="none"/>
                <w:lang w:eastAsia="zh-CN"/>
              </w:rPr>
              <w:t>；</w:t>
            </w:r>
          </w:p>
          <w:p w14:paraId="5145CB21">
            <w:pPr>
              <w:pStyle w:val="92"/>
              <w:numPr>
                <w:ilvl w:val="0"/>
                <w:numId w:val="15"/>
              </w:numPr>
              <w:spacing w:line="360" w:lineRule="auto"/>
              <w:ind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盖玻片：材质：石英玻璃；尺寸：25mm*55mm*0.15mm；</w:t>
            </w:r>
          </w:p>
        </w:tc>
      </w:tr>
      <w:tr w14:paraId="35D8E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726" w:type="dxa"/>
            <w:shd w:val="clear" w:color="auto" w:fill="auto"/>
            <w:vAlign w:val="center"/>
          </w:tcPr>
          <w:p w14:paraId="3AA56271">
            <w:pPr>
              <w:pStyle w:val="116"/>
              <w:spacing w:before="79"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25</w:t>
            </w:r>
          </w:p>
        </w:tc>
        <w:tc>
          <w:tcPr>
            <w:tcW w:w="2024" w:type="dxa"/>
            <w:shd w:val="clear" w:color="auto" w:fill="auto"/>
            <w:vAlign w:val="center"/>
          </w:tcPr>
          <w:p w14:paraId="42E18096">
            <w:pPr>
              <w:pStyle w:val="116"/>
              <w:spacing w:before="79" w:line="360" w:lineRule="auto"/>
              <w:ind w:left="125"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7"/>
                <w:sz w:val="21"/>
                <w:szCs w:val="21"/>
              </w:rPr>
              <w:t>便携式浮游生物自</w:t>
            </w:r>
            <w:r>
              <w:rPr>
                <w:rFonts w:hint="eastAsia" w:ascii="宋体" w:hAnsi="宋体" w:eastAsia="宋体" w:cs="宋体"/>
                <w:spacing w:val="5"/>
                <w:sz w:val="21"/>
                <w:szCs w:val="21"/>
              </w:rPr>
              <w:t>动监测仪</w:t>
            </w:r>
          </w:p>
        </w:tc>
        <w:tc>
          <w:tcPr>
            <w:tcW w:w="1424" w:type="dxa"/>
            <w:shd w:val="clear" w:color="auto" w:fill="auto"/>
            <w:vAlign w:val="center"/>
          </w:tcPr>
          <w:p w14:paraId="08A3CEEA">
            <w:pPr>
              <w:pStyle w:val="116"/>
              <w:spacing w:before="65" w:line="360" w:lineRule="auto"/>
              <w:ind w:left="117" w:leftChars="0"/>
              <w:rPr>
                <w:rFonts w:hint="eastAsia" w:ascii="宋体" w:hAnsi="宋体" w:eastAsia="宋体" w:cs="宋体"/>
                <w:kern w:val="2"/>
                <w:sz w:val="21"/>
                <w:szCs w:val="21"/>
                <w:lang w:val="en-US" w:eastAsia="en-US" w:bidi="ar-SA"/>
              </w:rPr>
            </w:pPr>
            <w:r>
              <w:rPr>
                <w:rFonts w:hint="eastAsia" w:ascii="宋体" w:hAnsi="宋体" w:eastAsia="宋体" w:cs="宋体"/>
                <w:spacing w:val="7"/>
                <w:sz w:val="21"/>
                <w:szCs w:val="21"/>
              </w:rPr>
              <w:t>用于对水</w:t>
            </w:r>
            <w:r>
              <w:rPr>
                <w:rFonts w:hint="eastAsia" w:ascii="宋体" w:hAnsi="宋体" w:eastAsia="宋体" w:cs="宋体"/>
                <w:spacing w:val="1"/>
                <w:sz w:val="21"/>
                <w:szCs w:val="21"/>
              </w:rPr>
              <w:t>中浮游生物</w:t>
            </w:r>
            <w:r>
              <w:rPr>
                <w:rFonts w:hint="eastAsia" w:ascii="宋体" w:hAnsi="宋体" w:eastAsia="宋体" w:cs="宋体"/>
                <w:spacing w:val="2"/>
                <w:sz w:val="21"/>
                <w:szCs w:val="21"/>
              </w:rPr>
              <w:t xml:space="preserve"> 的快速分</w:t>
            </w:r>
            <w:r>
              <w:rPr>
                <w:rFonts w:hint="eastAsia" w:ascii="宋体" w:hAnsi="宋体" w:eastAsia="宋体" w:cs="宋体"/>
                <w:sz w:val="21"/>
                <w:szCs w:val="21"/>
              </w:rPr>
              <w:t>类</w:t>
            </w:r>
            <w:r>
              <w:rPr>
                <w:rFonts w:hint="eastAsia" w:ascii="宋体" w:hAnsi="宋体" w:eastAsia="宋体" w:cs="宋体"/>
                <w:spacing w:val="37"/>
                <w:sz w:val="21"/>
                <w:szCs w:val="21"/>
              </w:rPr>
              <w:t xml:space="preserve"> </w:t>
            </w:r>
            <w:r>
              <w:rPr>
                <w:rFonts w:hint="eastAsia" w:ascii="宋体" w:hAnsi="宋体" w:eastAsia="宋体" w:cs="宋体"/>
                <w:sz w:val="21"/>
                <w:szCs w:val="21"/>
              </w:rPr>
              <w:t>、计数等</w:t>
            </w:r>
          </w:p>
        </w:tc>
        <w:tc>
          <w:tcPr>
            <w:tcW w:w="775" w:type="dxa"/>
            <w:shd w:val="clear" w:color="auto" w:fill="auto"/>
            <w:vAlign w:val="top"/>
          </w:tcPr>
          <w:p w14:paraId="5C70B5D5">
            <w:pPr>
              <w:spacing w:line="360" w:lineRule="auto"/>
              <w:rPr>
                <w:rFonts w:hint="eastAsia" w:ascii="宋体" w:hAnsi="宋体" w:eastAsia="宋体" w:cs="宋体"/>
                <w:sz w:val="21"/>
                <w:szCs w:val="21"/>
              </w:rPr>
            </w:pPr>
          </w:p>
          <w:p w14:paraId="1051ED36">
            <w:pPr>
              <w:spacing w:line="360" w:lineRule="auto"/>
              <w:rPr>
                <w:rFonts w:hint="eastAsia" w:ascii="宋体" w:hAnsi="宋体" w:eastAsia="宋体" w:cs="宋体"/>
                <w:sz w:val="21"/>
                <w:szCs w:val="21"/>
              </w:rPr>
            </w:pPr>
          </w:p>
          <w:p w14:paraId="2A4100FB">
            <w:pPr>
              <w:spacing w:line="360" w:lineRule="auto"/>
              <w:rPr>
                <w:rFonts w:hint="eastAsia" w:ascii="宋体" w:hAnsi="宋体" w:eastAsia="宋体" w:cs="宋体"/>
                <w:sz w:val="21"/>
                <w:szCs w:val="21"/>
              </w:rPr>
            </w:pPr>
          </w:p>
          <w:p w14:paraId="64A0E961">
            <w:pPr>
              <w:spacing w:line="360" w:lineRule="auto"/>
              <w:rPr>
                <w:rFonts w:hint="eastAsia" w:ascii="宋体" w:hAnsi="宋体" w:eastAsia="宋体" w:cs="宋体"/>
                <w:sz w:val="21"/>
                <w:szCs w:val="21"/>
              </w:rPr>
            </w:pPr>
          </w:p>
          <w:p w14:paraId="58AF3949">
            <w:pPr>
              <w:spacing w:line="360" w:lineRule="auto"/>
              <w:rPr>
                <w:rFonts w:hint="eastAsia" w:ascii="宋体" w:hAnsi="宋体" w:eastAsia="宋体" w:cs="宋体"/>
                <w:sz w:val="21"/>
                <w:szCs w:val="21"/>
              </w:rPr>
            </w:pPr>
          </w:p>
          <w:p w14:paraId="4C8F3EBE">
            <w:pPr>
              <w:spacing w:line="360" w:lineRule="auto"/>
              <w:rPr>
                <w:rFonts w:hint="eastAsia" w:ascii="宋体" w:hAnsi="宋体" w:eastAsia="宋体" w:cs="宋体"/>
                <w:sz w:val="21"/>
                <w:szCs w:val="21"/>
              </w:rPr>
            </w:pPr>
          </w:p>
          <w:p w14:paraId="4DC057DC">
            <w:pPr>
              <w:pStyle w:val="116"/>
              <w:spacing w:before="65" w:line="360" w:lineRule="auto"/>
              <w:ind w:left="139" w:leftChars="0"/>
              <w:rPr>
                <w:rFonts w:hint="eastAsia" w:ascii="宋体" w:hAnsi="宋体" w:eastAsia="宋体" w:cs="宋体"/>
                <w:sz w:val="21"/>
                <w:szCs w:val="21"/>
              </w:rPr>
            </w:pPr>
          </w:p>
          <w:p w14:paraId="5EC015FF">
            <w:pPr>
              <w:pStyle w:val="116"/>
              <w:spacing w:before="65" w:line="360" w:lineRule="auto"/>
              <w:ind w:firstLine="210" w:firstLineChars="100"/>
              <w:rPr>
                <w:rFonts w:hint="eastAsia" w:ascii="宋体" w:hAnsi="宋体" w:eastAsia="宋体" w:cs="宋体"/>
                <w:kern w:val="2"/>
                <w:sz w:val="21"/>
                <w:szCs w:val="21"/>
                <w:lang w:val="en-US" w:eastAsia="en-US" w:bidi="ar-SA"/>
              </w:rPr>
            </w:pPr>
            <w:r>
              <w:rPr>
                <w:rFonts w:hint="eastAsia" w:ascii="宋体" w:hAnsi="宋体" w:eastAsia="宋体" w:cs="宋体"/>
                <w:sz w:val="21"/>
                <w:szCs w:val="21"/>
              </w:rPr>
              <w:t>台</w:t>
            </w:r>
          </w:p>
        </w:tc>
        <w:tc>
          <w:tcPr>
            <w:tcW w:w="667" w:type="dxa"/>
            <w:shd w:val="clear" w:color="auto" w:fill="auto"/>
            <w:vAlign w:val="top"/>
          </w:tcPr>
          <w:p w14:paraId="74187DF2">
            <w:pPr>
              <w:spacing w:line="360" w:lineRule="auto"/>
              <w:rPr>
                <w:rFonts w:hint="eastAsia" w:ascii="宋体" w:hAnsi="宋体" w:eastAsia="宋体" w:cs="宋体"/>
                <w:sz w:val="21"/>
                <w:szCs w:val="21"/>
              </w:rPr>
            </w:pPr>
          </w:p>
          <w:p w14:paraId="69C2958B">
            <w:pPr>
              <w:spacing w:line="360" w:lineRule="auto"/>
              <w:rPr>
                <w:rFonts w:hint="eastAsia" w:ascii="宋体" w:hAnsi="宋体" w:eastAsia="宋体" w:cs="宋体"/>
                <w:sz w:val="21"/>
                <w:szCs w:val="21"/>
              </w:rPr>
            </w:pPr>
          </w:p>
          <w:p w14:paraId="7C604E2C">
            <w:pPr>
              <w:spacing w:line="360" w:lineRule="auto"/>
              <w:rPr>
                <w:rFonts w:hint="eastAsia" w:ascii="宋体" w:hAnsi="宋体" w:eastAsia="宋体" w:cs="宋体"/>
                <w:sz w:val="21"/>
                <w:szCs w:val="21"/>
              </w:rPr>
            </w:pPr>
          </w:p>
          <w:p w14:paraId="1D7A020E">
            <w:pPr>
              <w:spacing w:line="360" w:lineRule="auto"/>
              <w:rPr>
                <w:rFonts w:hint="eastAsia" w:ascii="宋体" w:hAnsi="宋体" w:eastAsia="宋体" w:cs="宋体"/>
                <w:sz w:val="21"/>
                <w:szCs w:val="21"/>
              </w:rPr>
            </w:pPr>
          </w:p>
          <w:p w14:paraId="1EE7B2C4">
            <w:pPr>
              <w:spacing w:line="360" w:lineRule="auto"/>
              <w:rPr>
                <w:rFonts w:hint="eastAsia" w:ascii="宋体" w:hAnsi="宋体" w:eastAsia="宋体" w:cs="宋体"/>
                <w:sz w:val="21"/>
                <w:szCs w:val="21"/>
              </w:rPr>
            </w:pPr>
          </w:p>
          <w:p w14:paraId="7FB1DEF6">
            <w:pPr>
              <w:spacing w:line="360" w:lineRule="auto"/>
              <w:rPr>
                <w:rFonts w:hint="eastAsia" w:ascii="宋体" w:hAnsi="宋体" w:eastAsia="宋体" w:cs="宋体"/>
                <w:sz w:val="21"/>
                <w:szCs w:val="21"/>
              </w:rPr>
            </w:pPr>
          </w:p>
          <w:p w14:paraId="5B3C85C7">
            <w:pPr>
              <w:pStyle w:val="116"/>
              <w:spacing w:before="65" w:line="360" w:lineRule="auto"/>
              <w:ind w:left="128" w:leftChars="0"/>
              <w:rPr>
                <w:rFonts w:hint="eastAsia" w:ascii="宋体" w:hAnsi="宋体" w:eastAsia="宋体" w:cs="宋体"/>
                <w:position w:val="1"/>
                <w:sz w:val="21"/>
                <w:szCs w:val="21"/>
              </w:rPr>
            </w:pPr>
          </w:p>
          <w:p w14:paraId="256329A2">
            <w:pPr>
              <w:pStyle w:val="116"/>
              <w:spacing w:before="65" w:line="360" w:lineRule="auto"/>
              <w:ind w:left="128" w:leftChars="0"/>
              <w:rPr>
                <w:rFonts w:hint="eastAsia" w:ascii="宋体" w:hAnsi="宋体" w:eastAsia="宋体" w:cs="宋体"/>
                <w:kern w:val="2"/>
                <w:sz w:val="21"/>
                <w:szCs w:val="21"/>
                <w:lang w:val="en-US" w:eastAsia="en-US" w:bidi="ar-SA"/>
              </w:rPr>
            </w:pPr>
            <w:r>
              <w:rPr>
                <w:rFonts w:hint="eastAsia" w:ascii="宋体" w:hAnsi="宋体" w:eastAsia="宋体" w:cs="宋体"/>
                <w:position w:val="1"/>
                <w:sz w:val="21"/>
                <w:szCs w:val="21"/>
              </w:rPr>
              <w:t>1</w:t>
            </w:r>
          </w:p>
        </w:tc>
        <w:tc>
          <w:tcPr>
            <w:tcW w:w="8047" w:type="dxa"/>
            <w:shd w:val="clear" w:color="auto" w:fill="auto"/>
            <w:vAlign w:val="top"/>
          </w:tcPr>
          <w:p w14:paraId="3455591C">
            <w:pPr>
              <w:pStyle w:val="11"/>
              <w:keepNext w:val="0"/>
              <w:keepLines w:val="0"/>
              <w:pageBreakBefore w:val="0"/>
              <w:widowControl w:val="0"/>
              <w:kinsoku/>
              <w:wordWrap/>
              <w:overflowPunct/>
              <w:topLinePunct w:val="0"/>
              <w:autoSpaceDE/>
              <w:autoSpaceDN/>
              <w:bidi w:val="0"/>
              <w:adjustRightInd/>
              <w:snapToGrid/>
              <w:spacing w:line="360" w:lineRule="auto"/>
              <w:ind w:left="413" w:leftChars="112" w:hanging="178" w:hangingChars="92"/>
              <w:textAlignment w:val="auto"/>
              <w:rPr>
                <w:rFonts w:hint="eastAsia" w:ascii="宋体" w:hAnsi="宋体" w:eastAsia="宋体" w:cs="宋体"/>
                <w:sz w:val="21"/>
                <w:szCs w:val="21"/>
              </w:rPr>
            </w:pPr>
            <w:r>
              <w:rPr>
                <w:rFonts w:hint="eastAsia" w:ascii="宋体" w:hAnsi="宋体" w:eastAsia="宋体" w:cs="宋体"/>
                <w:spacing w:val="-8"/>
                <w:sz w:val="21"/>
                <w:szCs w:val="21"/>
              </w:rPr>
              <w:t>★1.</w:t>
            </w:r>
            <w:r>
              <w:rPr>
                <w:rFonts w:hint="eastAsia" w:ascii="宋体" w:hAnsi="宋体" w:eastAsia="宋体" w:cs="宋体"/>
                <w:spacing w:val="-8"/>
                <w:sz w:val="21"/>
                <w:szCs w:val="21"/>
                <w:lang w:val="en-US" w:eastAsia="zh-CN"/>
              </w:rPr>
              <w:t>测量</w:t>
            </w:r>
            <w:r>
              <w:rPr>
                <w:rFonts w:hint="eastAsia" w:ascii="宋体" w:hAnsi="宋体" w:eastAsia="宋体" w:cs="宋体"/>
                <w:spacing w:val="-8"/>
                <w:sz w:val="21"/>
                <w:szCs w:val="21"/>
              </w:rPr>
              <w:t>参数：总叶绿素</w:t>
            </w:r>
            <w:r>
              <w:rPr>
                <w:rFonts w:hint="eastAsia" w:ascii="宋体" w:hAnsi="宋体" w:eastAsia="宋体" w:cs="宋体"/>
                <w:spacing w:val="-50"/>
                <w:sz w:val="21"/>
                <w:szCs w:val="21"/>
              </w:rPr>
              <w:t xml:space="preserve"> </w:t>
            </w:r>
            <w:r>
              <w:rPr>
                <w:rFonts w:hint="eastAsia" w:ascii="宋体" w:hAnsi="宋体" w:eastAsia="宋体" w:cs="宋体"/>
                <w:spacing w:val="-8"/>
                <w:sz w:val="21"/>
                <w:szCs w:val="21"/>
              </w:rPr>
              <w:t>a</w:t>
            </w:r>
            <w:r>
              <w:rPr>
                <w:rFonts w:hint="eastAsia" w:ascii="宋体" w:hAnsi="宋体" w:eastAsia="宋体" w:cs="宋体"/>
                <w:spacing w:val="-50"/>
                <w:sz w:val="21"/>
                <w:szCs w:val="21"/>
              </w:rPr>
              <w:t xml:space="preserve"> </w:t>
            </w:r>
            <w:r>
              <w:rPr>
                <w:rFonts w:hint="eastAsia" w:ascii="宋体" w:hAnsi="宋体" w:eastAsia="宋体" w:cs="宋体"/>
                <w:spacing w:val="-8"/>
                <w:sz w:val="21"/>
                <w:szCs w:val="21"/>
              </w:rPr>
              <w:t>浓度、蓝藻叶绿素a</w:t>
            </w:r>
            <w:r>
              <w:rPr>
                <w:rFonts w:hint="eastAsia" w:ascii="宋体" w:hAnsi="宋体" w:eastAsia="宋体" w:cs="宋体"/>
                <w:spacing w:val="-31"/>
                <w:sz w:val="21"/>
                <w:szCs w:val="21"/>
              </w:rPr>
              <w:t xml:space="preserve"> </w:t>
            </w:r>
            <w:r>
              <w:rPr>
                <w:rFonts w:hint="eastAsia" w:ascii="宋体" w:hAnsi="宋体" w:eastAsia="宋体" w:cs="宋体"/>
                <w:spacing w:val="-8"/>
                <w:sz w:val="21"/>
                <w:szCs w:val="21"/>
              </w:rPr>
              <w:t>的浓度、总藻密度、蓝藻密度、浊度、</w:t>
            </w:r>
            <w:r>
              <w:rPr>
                <w:rFonts w:hint="eastAsia" w:ascii="宋体" w:hAnsi="宋体" w:eastAsia="宋体" w:cs="宋体"/>
                <w:sz w:val="21"/>
                <w:szCs w:val="21"/>
              </w:rPr>
              <w:t xml:space="preserve"> </w:t>
            </w:r>
            <w:r>
              <w:rPr>
                <w:rFonts w:hint="eastAsia" w:ascii="宋体" w:hAnsi="宋体" w:eastAsia="宋体" w:cs="宋体"/>
                <w:spacing w:val="-2"/>
                <w:sz w:val="21"/>
                <w:szCs w:val="21"/>
              </w:rPr>
              <w:t>地理位置信息</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lang w:val="en-US" w:eastAsia="zh-CN"/>
              </w:rPr>
              <w:t>北斗）</w:t>
            </w:r>
            <w:r>
              <w:rPr>
                <w:rFonts w:hint="eastAsia" w:ascii="宋体" w:hAnsi="宋体" w:eastAsia="宋体" w:cs="宋体"/>
                <w:spacing w:val="-2"/>
                <w:sz w:val="21"/>
                <w:szCs w:val="21"/>
              </w:rPr>
              <w:t>；</w:t>
            </w:r>
          </w:p>
          <w:p w14:paraId="1F104EB5">
            <w:pPr>
              <w:pStyle w:val="11"/>
              <w:keepNext w:val="0"/>
              <w:keepLines w:val="0"/>
              <w:pageBreakBefore w:val="0"/>
              <w:widowControl w:val="0"/>
              <w:kinsoku/>
              <w:wordWrap/>
              <w:overflowPunct/>
              <w:topLinePunct w:val="0"/>
              <w:autoSpaceDE/>
              <w:autoSpaceDN/>
              <w:bidi w:val="0"/>
              <w:adjustRightInd/>
              <w:snapToGrid/>
              <w:spacing w:line="360" w:lineRule="auto"/>
              <w:ind w:left="12" w:firstLine="206" w:firstLineChars="100"/>
              <w:textAlignment w:val="auto"/>
              <w:rPr>
                <w:rFonts w:hint="eastAsia" w:ascii="宋体" w:hAnsi="宋体" w:eastAsia="宋体" w:cs="宋体"/>
                <w:sz w:val="21"/>
                <w:szCs w:val="21"/>
              </w:rPr>
            </w:pPr>
            <w:r>
              <w:rPr>
                <w:rFonts w:hint="eastAsia" w:ascii="宋体" w:hAnsi="宋体" w:eastAsia="宋体" w:cs="宋体"/>
                <w:spacing w:val="-2"/>
                <w:sz w:val="21"/>
                <w:szCs w:val="21"/>
              </w:rPr>
              <w:t>2.检测技术：荧光法；</w:t>
            </w:r>
          </w:p>
          <w:p w14:paraId="2CA70320">
            <w:pPr>
              <w:pStyle w:val="11"/>
              <w:keepNext w:val="0"/>
              <w:keepLines w:val="0"/>
              <w:pageBreakBefore w:val="0"/>
              <w:widowControl w:val="0"/>
              <w:kinsoku/>
              <w:wordWrap/>
              <w:overflowPunct/>
              <w:topLinePunct w:val="0"/>
              <w:autoSpaceDE/>
              <w:autoSpaceDN/>
              <w:bidi w:val="0"/>
              <w:adjustRightInd/>
              <w:snapToGrid/>
              <w:spacing w:line="360" w:lineRule="auto"/>
              <w:ind w:left="14" w:firstLine="208" w:firstLineChars="100"/>
              <w:textAlignment w:val="auto"/>
              <w:rPr>
                <w:rFonts w:hint="eastAsia" w:ascii="宋体" w:hAnsi="宋体" w:eastAsia="宋体" w:cs="宋体"/>
                <w:sz w:val="21"/>
                <w:szCs w:val="21"/>
              </w:rPr>
            </w:pPr>
            <w:r>
              <w:rPr>
                <w:rFonts w:hint="eastAsia" w:ascii="宋体" w:hAnsi="宋体" w:eastAsia="宋体" w:cs="宋体"/>
                <w:spacing w:val="-1"/>
                <w:sz w:val="21"/>
                <w:szCs w:val="21"/>
              </w:rPr>
              <w:t>★3.测量范围：0-500μg/L chl-a；0-5×10</w:t>
            </w:r>
            <w:r>
              <w:rPr>
                <w:rFonts w:hint="eastAsia" w:ascii="宋体" w:hAnsi="宋体" w:eastAsia="宋体" w:cs="宋体"/>
                <w:spacing w:val="-1"/>
                <w:sz w:val="21"/>
                <w:szCs w:val="21"/>
                <w:vertAlign w:val="superscript"/>
                <w:lang w:val="en-US" w:eastAsia="zh-CN"/>
              </w:rPr>
              <w:t>8</w:t>
            </w:r>
            <w:r>
              <w:rPr>
                <w:rFonts w:hint="eastAsia" w:ascii="宋体" w:hAnsi="宋体" w:eastAsia="宋体" w:cs="宋体"/>
                <w:spacing w:val="-1"/>
                <w:sz w:val="21"/>
                <w:szCs w:val="21"/>
              </w:rPr>
              <w:t>藻密度（纯藻标定</w:t>
            </w:r>
            <w:r>
              <w:rPr>
                <w:rFonts w:hint="eastAsia" w:ascii="宋体" w:hAnsi="宋体" w:eastAsia="宋体" w:cs="宋体"/>
                <w:sz w:val="21"/>
                <w:szCs w:val="21"/>
              </w:rPr>
              <w:t>）；</w:t>
            </w:r>
          </w:p>
          <w:p w14:paraId="6B19A7C5">
            <w:pPr>
              <w:pStyle w:val="11"/>
              <w:keepNext w:val="0"/>
              <w:keepLines w:val="0"/>
              <w:pageBreakBefore w:val="0"/>
              <w:widowControl w:val="0"/>
              <w:kinsoku/>
              <w:wordWrap/>
              <w:overflowPunct/>
              <w:topLinePunct w:val="0"/>
              <w:autoSpaceDE/>
              <w:autoSpaceDN/>
              <w:bidi w:val="0"/>
              <w:adjustRightInd/>
              <w:snapToGrid/>
              <w:spacing w:line="360" w:lineRule="auto"/>
              <w:ind w:left="14" w:firstLine="206" w:firstLineChars="100"/>
              <w:textAlignment w:val="auto"/>
              <w:rPr>
                <w:rFonts w:hint="eastAsia" w:ascii="宋体" w:hAnsi="宋体" w:eastAsia="宋体" w:cs="宋体"/>
                <w:sz w:val="21"/>
                <w:szCs w:val="21"/>
              </w:rPr>
            </w:pPr>
            <w:r>
              <w:rPr>
                <w:rFonts w:hint="eastAsia" w:ascii="宋体" w:hAnsi="宋体" w:eastAsia="宋体" w:cs="宋体"/>
                <w:spacing w:val="-2"/>
                <w:sz w:val="21"/>
                <w:szCs w:val="21"/>
                <w:lang w:val="en-US" w:eastAsia="zh-CN"/>
              </w:rPr>
              <w:t>4</w:t>
            </w:r>
            <w:r>
              <w:rPr>
                <w:rFonts w:hint="eastAsia" w:ascii="宋体" w:hAnsi="宋体" w:eastAsia="宋体" w:cs="宋体"/>
                <w:spacing w:val="-2"/>
                <w:sz w:val="21"/>
                <w:szCs w:val="21"/>
              </w:rPr>
              <w:t>.分辨率：0.1μg/L chl-a；</w:t>
            </w:r>
          </w:p>
          <w:p w14:paraId="6D013B33">
            <w:pPr>
              <w:pStyle w:val="11"/>
              <w:keepNext w:val="0"/>
              <w:keepLines w:val="0"/>
              <w:pageBreakBefore w:val="0"/>
              <w:widowControl w:val="0"/>
              <w:kinsoku/>
              <w:wordWrap/>
              <w:overflowPunct/>
              <w:topLinePunct w:val="0"/>
              <w:autoSpaceDE/>
              <w:autoSpaceDN/>
              <w:bidi w:val="0"/>
              <w:adjustRightInd/>
              <w:snapToGrid/>
              <w:spacing w:line="360" w:lineRule="auto"/>
              <w:ind w:left="11" w:firstLine="208" w:firstLineChars="100"/>
              <w:textAlignment w:val="auto"/>
              <w:rPr>
                <w:rFonts w:hint="eastAsia" w:ascii="宋体" w:hAnsi="宋体" w:eastAsia="宋体" w:cs="宋体"/>
                <w:sz w:val="21"/>
                <w:szCs w:val="21"/>
              </w:rPr>
            </w:pPr>
            <w:r>
              <w:rPr>
                <w:rFonts w:hint="eastAsia" w:ascii="宋体" w:hAnsi="宋体" w:eastAsia="宋体" w:cs="宋体"/>
                <w:spacing w:val="-1"/>
                <w:sz w:val="21"/>
                <w:szCs w:val="21"/>
                <w:lang w:val="en-US" w:eastAsia="zh-CN"/>
              </w:rPr>
              <w:t>5</w:t>
            </w:r>
            <w:r>
              <w:rPr>
                <w:rFonts w:hint="eastAsia" w:ascii="宋体" w:hAnsi="宋体" w:eastAsia="宋体" w:cs="宋体"/>
                <w:spacing w:val="-1"/>
                <w:sz w:val="21"/>
                <w:szCs w:val="21"/>
              </w:rPr>
              <w:t>.检出限：0.1μg/L chl-a；</w:t>
            </w:r>
          </w:p>
          <w:p w14:paraId="38333F87">
            <w:pPr>
              <w:pStyle w:val="11"/>
              <w:keepNext w:val="0"/>
              <w:keepLines w:val="0"/>
              <w:pageBreakBefore w:val="0"/>
              <w:widowControl w:val="0"/>
              <w:kinsoku/>
              <w:wordWrap/>
              <w:overflowPunct/>
              <w:topLinePunct w:val="0"/>
              <w:autoSpaceDE/>
              <w:autoSpaceDN/>
              <w:bidi w:val="0"/>
              <w:adjustRightInd/>
              <w:snapToGrid/>
              <w:spacing w:line="360" w:lineRule="auto"/>
              <w:ind w:left="15" w:firstLine="198" w:firstLineChars="100"/>
              <w:textAlignment w:val="auto"/>
              <w:rPr>
                <w:rFonts w:hint="eastAsia" w:ascii="宋体" w:hAnsi="宋体" w:eastAsia="宋体" w:cs="宋体"/>
                <w:sz w:val="21"/>
                <w:szCs w:val="21"/>
              </w:rPr>
            </w:pPr>
            <w:r>
              <w:rPr>
                <w:rFonts w:hint="eastAsia" w:ascii="宋体" w:hAnsi="宋体" w:eastAsia="宋体" w:cs="宋体"/>
                <w:spacing w:val="-6"/>
                <w:sz w:val="21"/>
                <w:szCs w:val="21"/>
                <w:lang w:val="en-US" w:eastAsia="zh-CN"/>
              </w:rPr>
              <w:t>6</w:t>
            </w:r>
            <w:r>
              <w:rPr>
                <w:rFonts w:hint="eastAsia" w:ascii="宋体" w:hAnsi="宋体" w:eastAsia="宋体" w:cs="宋体"/>
                <w:spacing w:val="-6"/>
                <w:sz w:val="21"/>
                <w:szCs w:val="21"/>
              </w:rPr>
              <w:t>.重复性：</w:t>
            </w:r>
            <w:r>
              <w:rPr>
                <w:rFonts w:hint="eastAsia" w:ascii="宋体" w:hAnsi="宋体" w:eastAsia="宋体" w:cs="宋体"/>
                <w:spacing w:val="-87"/>
                <w:sz w:val="21"/>
                <w:szCs w:val="21"/>
              </w:rPr>
              <w:t xml:space="preserve"> </w:t>
            </w:r>
            <w:r>
              <w:rPr>
                <w:rFonts w:hint="eastAsia" w:ascii="宋体" w:hAnsi="宋体" w:eastAsia="宋体" w:cs="宋体"/>
                <w:spacing w:val="-6"/>
                <w:sz w:val="21"/>
                <w:szCs w:val="21"/>
              </w:rPr>
              <w:t>≥99%；</w:t>
            </w:r>
          </w:p>
          <w:p w14:paraId="64E2F46B">
            <w:pPr>
              <w:pStyle w:val="11"/>
              <w:keepNext w:val="0"/>
              <w:keepLines w:val="0"/>
              <w:pageBreakBefore w:val="0"/>
              <w:widowControl w:val="0"/>
              <w:kinsoku/>
              <w:wordWrap/>
              <w:overflowPunct/>
              <w:topLinePunct w:val="0"/>
              <w:autoSpaceDE/>
              <w:autoSpaceDN/>
              <w:bidi w:val="0"/>
              <w:adjustRightInd/>
              <w:snapToGrid/>
              <w:spacing w:line="360" w:lineRule="auto"/>
              <w:ind w:left="10" w:firstLine="198" w:firstLineChars="100"/>
              <w:textAlignment w:val="auto"/>
              <w:rPr>
                <w:rFonts w:hint="eastAsia" w:ascii="宋体" w:hAnsi="宋体" w:eastAsia="宋体" w:cs="宋体"/>
                <w:sz w:val="21"/>
                <w:szCs w:val="21"/>
              </w:rPr>
            </w:pPr>
            <w:r>
              <w:rPr>
                <w:rFonts w:hint="eastAsia" w:ascii="宋体" w:hAnsi="宋体" w:eastAsia="宋体" w:cs="宋体"/>
                <w:spacing w:val="-6"/>
                <w:sz w:val="21"/>
                <w:szCs w:val="21"/>
                <w:lang w:val="en-US" w:eastAsia="zh-CN"/>
              </w:rPr>
              <w:t>7</w:t>
            </w:r>
            <w:r>
              <w:rPr>
                <w:rFonts w:hint="eastAsia" w:ascii="宋体" w:hAnsi="宋体" w:eastAsia="宋体" w:cs="宋体"/>
                <w:spacing w:val="-6"/>
                <w:sz w:val="21"/>
                <w:szCs w:val="21"/>
              </w:rPr>
              <w:t>.线性：</w:t>
            </w:r>
            <w:r>
              <w:rPr>
                <w:rFonts w:hint="eastAsia" w:ascii="宋体" w:hAnsi="宋体" w:eastAsia="宋体" w:cs="宋体"/>
                <w:spacing w:val="-87"/>
                <w:sz w:val="21"/>
                <w:szCs w:val="21"/>
              </w:rPr>
              <w:t xml:space="preserve"> </w:t>
            </w:r>
            <w:r>
              <w:rPr>
                <w:rFonts w:hint="eastAsia" w:ascii="宋体" w:hAnsi="宋体" w:eastAsia="宋体" w:cs="宋体"/>
                <w:spacing w:val="-6"/>
                <w:sz w:val="21"/>
                <w:szCs w:val="21"/>
              </w:rPr>
              <w:t>≥0.95；</w:t>
            </w:r>
          </w:p>
          <w:p w14:paraId="3931F892">
            <w:pPr>
              <w:pStyle w:val="11"/>
              <w:keepNext w:val="0"/>
              <w:keepLines w:val="0"/>
              <w:pageBreakBefore w:val="0"/>
              <w:widowControl w:val="0"/>
              <w:kinsoku/>
              <w:wordWrap/>
              <w:overflowPunct/>
              <w:topLinePunct w:val="0"/>
              <w:autoSpaceDE/>
              <w:autoSpaceDN/>
              <w:bidi w:val="0"/>
              <w:adjustRightInd/>
              <w:snapToGrid/>
              <w:spacing w:line="360" w:lineRule="auto"/>
              <w:ind w:left="10" w:firstLine="206" w:firstLineChars="100"/>
              <w:textAlignment w:val="auto"/>
              <w:rPr>
                <w:rFonts w:hint="eastAsia" w:ascii="宋体" w:hAnsi="宋体" w:eastAsia="宋体" w:cs="宋体"/>
                <w:sz w:val="21"/>
                <w:szCs w:val="21"/>
              </w:rPr>
            </w:pPr>
            <w:r>
              <w:rPr>
                <w:rFonts w:hint="eastAsia" w:ascii="宋体" w:hAnsi="宋体" w:eastAsia="宋体" w:cs="宋体"/>
                <w:spacing w:val="-2"/>
                <w:sz w:val="21"/>
                <w:szCs w:val="21"/>
                <w:lang w:val="en-US" w:eastAsia="zh-CN"/>
              </w:rPr>
              <w:t>8</w:t>
            </w:r>
            <w:r>
              <w:rPr>
                <w:rFonts w:hint="eastAsia" w:ascii="宋体" w:hAnsi="宋体" w:eastAsia="宋体" w:cs="宋体"/>
                <w:spacing w:val="-2"/>
                <w:sz w:val="21"/>
                <w:szCs w:val="21"/>
              </w:rPr>
              <w:t>.温度范围：0-35℃;</w:t>
            </w:r>
          </w:p>
          <w:p w14:paraId="142B3217">
            <w:pPr>
              <w:pStyle w:val="11"/>
              <w:keepNext w:val="0"/>
              <w:keepLines w:val="0"/>
              <w:pageBreakBefore w:val="0"/>
              <w:widowControl w:val="0"/>
              <w:kinsoku/>
              <w:wordWrap/>
              <w:overflowPunct/>
              <w:topLinePunct w:val="0"/>
              <w:autoSpaceDE/>
              <w:autoSpaceDN/>
              <w:bidi w:val="0"/>
              <w:adjustRightInd/>
              <w:snapToGrid/>
              <w:spacing w:line="360" w:lineRule="auto"/>
              <w:ind w:left="27" w:firstLine="204" w:firstLineChars="100"/>
              <w:textAlignment w:val="auto"/>
              <w:rPr>
                <w:rFonts w:hint="eastAsia" w:ascii="宋体" w:hAnsi="宋体" w:eastAsia="宋体" w:cs="宋体"/>
                <w:sz w:val="21"/>
                <w:szCs w:val="21"/>
              </w:rPr>
            </w:pPr>
            <w:r>
              <w:rPr>
                <w:rFonts w:hint="eastAsia" w:ascii="宋体" w:hAnsi="宋体" w:eastAsia="宋体" w:cs="宋体"/>
                <w:spacing w:val="-3"/>
                <w:sz w:val="21"/>
                <w:szCs w:val="21"/>
              </w:rPr>
              <w:t>★</w:t>
            </w:r>
            <w:r>
              <w:rPr>
                <w:rFonts w:hint="eastAsia" w:ascii="宋体" w:hAnsi="宋体" w:eastAsia="宋体" w:cs="宋体"/>
                <w:spacing w:val="-3"/>
                <w:sz w:val="21"/>
                <w:szCs w:val="21"/>
                <w:lang w:val="en-US" w:eastAsia="zh-CN"/>
              </w:rPr>
              <w:t>9</w:t>
            </w:r>
            <w:r>
              <w:rPr>
                <w:rFonts w:hint="eastAsia" w:ascii="宋体" w:hAnsi="宋体" w:eastAsia="宋体" w:cs="宋体"/>
                <w:spacing w:val="-3"/>
                <w:sz w:val="21"/>
                <w:szCs w:val="21"/>
              </w:rPr>
              <w:t>.浊度补偿范围：0-200FTU；</w:t>
            </w:r>
          </w:p>
          <w:p w14:paraId="2C8DC0B8">
            <w:pPr>
              <w:pStyle w:val="11"/>
              <w:keepNext w:val="0"/>
              <w:keepLines w:val="0"/>
              <w:pageBreakBefore w:val="0"/>
              <w:widowControl w:val="0"/>
              <w:kinsoku/>
              <w:wordWrap/>
              <w:overflowPunct/>
              <w:topLinePunct w:val="0"/>
              <w:autoSpaceDE/>
              <w:autoSpaceDN/>
              <w:bidi w:val="0"/>
              <w:adjustRightInd/>
              <w:snapToGrid/>
              <w:spacing w:line="360" w:lineRule="auto"/>
              <w:ind w:left="26" w:firstLine="204" w:firstLineChars="100"/>
              <w:textAlignment w:val="auto"/>
              <w:rPr>
                <w:rFonts w:hint="eastAsia" w:ascii="宋体" w:hAnsi="宋体" w:eastAsia="宋体" w:cs="宋体"/>
                <w:sz w:val="21"/>
                <w:szCs w:val="21"/>
              </w:rPr>
            </w:pPr>
            <w:r>
              <w:rPr>
                <w:rFonts w:hint="eastAsia" w:ascii="宋体" w:hAnsi="宋体" w:eastAsia="宋体" w:cs="宋体"/>
                <w:spacing w:val="-3"/>
                <w:sz w:val="21"/>
                <w:szCs w:val="21"/>
                <w:lang w:val="en-US" w:eastAsia="zh-CN"/>
              </w:rPr>
              <w:t>10</w:t>
            </w:r>
            <w:r>
              <w:rPr>
                <w:rFonts w:hint="eastAsia" w:ascii="宋体" w:hAnsi="宋体" w:eastAsia="宋体" w:cs="宋体"/>
                <w:spacing w:val="-3"/>
                <w:sz w:val="21"/>
                <w:szCs w:val="21"/>
              </w:rPr>
              <w:t>.</w:t>
            </w:r>
            <w:r>
              <w:rPr>
                <w:rFonts w:hint="eastAsia" w:ascii="宋体" w:hAnsi="宋体" w:eastAsia="宋体" w:cs="宋体"/>
                <w:spacing w:val="-30"/>
                <w:sz w:val="21"/>
                <w:szCs w:val="21"/>
              </w:rPr>
              <w:t xml:space="preserve"> </w:t>
            </w:r>
            <w:r>
              <w:rPr>
                <w:rFonts w:hint="eastAsia" w:ascii="宋体" w:hAnsi="宋体" w:eastAsia="宋体" w:cs="宋体"/>
                <w:spacing w:val="-3"/>
                <w:sz w:val="21"/>
                <w:szCs w:val="21"/>
              </w:rPr>
              <w:t>激发光源：470nm, 525nm</w:t>
            </w:r>
            <w:r>
              <w:rPr>
                <w:rFonts w:hint="eastAsia" w:ascii="宋体" w:hAnsi="宋体" w:eastAsia="宋体" w:cs="宋体"/>
                <w:spacing w:val="-24"/>
                <w:sz w:val="21"/>
                <w:szCs w:val="21"/>
              </w:rPr>
              <w:t xml:space="preserve"> </w:t>
            </w:r>
            <w:r>
              <w:rPr>
                <w:rFonts w:hint="eastAsia" w:ascii="宋体" w:hAnsi="宋体" w:eastAsia="宋体" w:cs="宋体"/>
                <w:spacing w:val="-3"/>
                <w:sz w:val="21"/>
                <w:szCs w:val="21"/>
              </w:rPr>
              <w:t>以及 610nm；</w:t>
            </w:r>
          </w:p>
          <w:p w14:paraId="0E015A14">
            <w:pPr>
              <w:pStyle w:val="11"/>
              <w:keepNext w:val="0"/>
              <w:keepLines w:val="0"/>
              <w:pageBreakBefore w:val="0"/>
              <w:widowControl w:val="0"/>
              <w:kinsoku/>
              <w:wordWrap/>
              <w:overflowPunct/>
              <w:topLinePunct w:val="0"/>
              <w:autoSpaceDE/>
              <w:autoSpaceDN/>
              <w:bidi w:val="0"/>
              <w:adjustRightInd/>
              <w:snapToGrid/>
              <w:spacing w:line="360" w:lineRule="auto"/>
              <w:ind w:left="26" w:firstLine="204" w:firstLineChars="100"/>
              <w:textAlignment w:val="auto"/>
              <w:rPr>
                <w:rFonts w:hint="eastAsia" w:ascii="宋体" w:hAnsi="宋体" w:eastAsia="宋体" w:cs="宋体"/>
                <w:sz w:val="21"/>
                <w:szCs w:val="21"/>
              </w:rPr>
            </w:pPr>
            <w:r>
              <w:rPr>
                <w:rFonts w:hint="eastAsia" w:ascii="宋体" w:hAnsi="宋体" w:eastAsia="宋体" w:cs="宋体"/>
                <w:spacing w:val="-3"/>
                <w:sz w:val="21"/>
                <w:szCs w:val="21"/>
              </w:rPr>
              <w:t>1</w:t>
            </w:r>
            <w:r>
              <w:rPr>
                <w:rFonts w:hint="eastAsia" w:ascii="宋体" w:hAnsi="宋体" w:eastAsia="宋体" w:cs="宋体"/>
                <w:spacing w:val="-3"/>
                <w:sz w:val="21"/>
                <w:szCs w:val="21"/>
                <w:lang w:val="en-US" w:eastAsia="zh-CN"/>
              </w:rPr>
              <w:t>1</w:t>
            </w:r>
            <w:r>
              <w:rPr>
                <w:rFonts w:hint="eastAsia" w:ascii="宋体" w:hAnsi="宋体" w:eastAsia="宋体" w:cs="宋体"/>
                <w:spacing w:val="-3"/>
                <w:sz w:val="21"/>
                <w:szCs w:val="21"/>
              </w:rPr>
              <w:t>.</w:t>
            </w:r>
            <w:r>
              <w:rPr>
                <w:rFonts w:hint="eastAsia" w:ascii="宋体" w:hAnsi="宋体" w:eastAsia="宋体" w:cs="宋体"/>
                <w:spacing w:val="-39"/>
                <w:sz w:val="21"/>
                <w:szCs w:val="21"/>
              </w:rPr>
              <w:t xml:space="preserve"> </w:t>
            </w:r>
            <w:r>
              <w:rPr>
                <w:rFonts w:hint="eastAsia" w:ascii="宋体" w:hAnsi="宋体" w:eastAsia="宋体" w:cs="宋体"/>
                <w:spacing w:val="-3"/>
                <w:sz w:val="21"/>
                <w:szCs w:val="21"/>
              </w:rPr>
              <w:t>工作电源：12V DC；</w:t>
            </w:r>
          </w:p>
          <w:p w14:paraId="19BDB8E3">
            <w:pPr>
              <w:pStyle w:val="11"/>
              <w:keepNext w:val="0"/>
              <w:keepLines w:val="0"/>
              <w:pageBreakBefore w:val="0"/>
              <w:widowControl w:val="0"/>
              <w:kinsoku/>
              <w:wordWrap/>
              <w:overflowPunct/>
              <w:topLinePunct w:val="0"/>
              <w:autoSpaceDE/>
              <w:autoSpaceDN/>
              <w:bidi w:val="0"/>
              <w:adjustRightInd/>
              <w:snapToGrid/>
              <w:spacing w:line="360" w:lineRule="auto"/>
              <w:ind w:left="26" w:firstLine="200" w:firstLineChars="100"/>
              <w:textAlignment w:val="auto"/>
              <w:rPr>
                <w:rFonts w:hint="eastAsia" w:ascii="宋体" w:hAnsi="宋体" w:eastAsia="宋体" w:cs="宋体"/>
                <w:sz w:val="21"/>
                <w:szCs w:val="21"/>
              </w:rPr>
            </w:pPr>
            <w:r>
              <w:rPr>
                <w:rFonts w:hint="eastAsia" w:ascii="宋体" w:hAnsi="宋体" w:eastAsia="宋体" w:cs="宋体"/>
                <w:spacing w:val="-5"/>
                <w:sz w:val="21"/>
                <w:szCs w:val="21"/>
              </w:rPr>
              <w:t>1</w:t>
            </w:r>
            <w:r>
              <w:rPr>
                <w:rFonts w:hint="eastAsia" w:ascii="宋体" w:hAnsi="宋体" w:eastAsia="宋体" w:cs="宋体"/>
                <w:spacing w:val="-5"/>
                <w:sz w:val="21"/>
                <w:szCs w:val="21"/>
                <w:lang w:val="en-US" w:eastAsia="zh-CN"/>
              </w:rPr>
              <w:t>2</w:t>
            </w:r>
            <w:r>
              <w:rPr>
                <w:rFonts w:hint="eastAsia" w:ascii="宋体" w:hAnsi="宋体" w:eastAsia="宋体" w:cs="宋体"/>
                <w:spacing w:val="-5"/>
                <w:sz w:val="21"/>
                <w:szCs w:val="21"/>
              </w:rPr>
              <w:t>.</w:t>
            </w:r>
            <w:r>
              <w:rPr>
                <w:rFonts w:hint="eastAsia" w:ascii="宋体" w:hAnsi="宋体" w:eastAsia="宋体" w:cs="宋体"/>
                <w:spacing w:val="-41"/>
                <w:sz w:val="21"/>
                <w:szCs w:val="21"/>
              </w:rPr>
              <w:t xml:space="preserve"> </w:t>
            </w:r>
            <w:r>
              <w:rPr>
                <w:rFonts w:hint="eastAsia" w:ascii="宋体" w:hAnsi="宋体" w:eastAsia="宋体" w:cs="宋体"/>
                <w:spacing w:val="-5"/>
                <w:sz w:val="21"/>
                <w:szCs w:val="21"/>
              </w:rPr>
              <w:t>最大功率：小于</w:t>
            </w:r>
            <w:r>
              <w:rPr>
                <w:rFonts w:hint="eastAsia" w:ascii="宋体" w:hAnsi="宋体" w:eastAsia="宋体" w:cs="宋体"/>
                <w:spacing w:val="-33"/>
                <w:sz w:val="21"/>
                <w:szCs w:val="21"/>
              </w:rPr>
              <w:t xml:space="preserve"> </w:t>
            </w:r>
            <w:r>
              <w:rPr>
                <w:rFonts w:hint="eastAsia" w:ascii="宋体" w:hAnsi="宋体" w:eastAsia="宋体" w:cs="宋体"/>
                <w:spacing w:val="-5"/>
                <w:sz w:val="21"/>
                <w:szCs w:val="21"/>
              </w:rPr>
              <w:t>10W；</w:t>
            </w:r>
          </w:p>
          <w:p w14:paraId="4B49EA57">
            <w:pPr>
              <w:pStyle w:val="11"/>
              <w:keepNext w:val="0"/>
              <w:keepLines w:val="0"/>
              <w:pageBreakBefore w:val="0"/>
              <w:widowControl w:val="0"/>
              <w:kinsoku/>
              <w:wordWrap/>
              <w:overflowPunct/>
              <w:topLinePunct w:val="0"/>
              <w:autoSpaceDE/>
              <w:autoSpaceDN/>
              <w:bidi w:val="0"/>
              <w:adjustRightInd/>
              <w:snapToGrid/>
              <w:spacing w:line="360" w:lineRule="auto"/>
              <w:ind w:left="26" w:firstLine="206" w:firstLineChars="100"/>
              <w:textAlignment w:val="auto"/>
              <w:rPr>
                <w:rFonts w:hint="eastAsia" w:ascii="宋体" w:hAnsi="宋体" w:eastAsia="宋体" w:cs="宋体"/>
                <w:sz w:val="21"/>
                <w:szCs w:val="21"/>
              </w:rPr>
            </w:pPr>
            <w:r>
              <w:rPr>
                <w:rFonts w:hint="eastAsia" w:ascii="宋体" w:hAnsi="宋体" w:eastAsia="宋体" w:cs="宋体"/>
                <w:spacing w:val="-2"/>
                <w:sz w:val="21"/>
                <w:szCs w:val="21"/>
              </w:rPr>
              <w:t>★1</w:t>
            </w:r>
            <w:r>
              <w:rPr>
                <w:rFonts w:hint="eastAsia" w:ascii="宋体" w:hAnsi="宋体" w:eastAsia="宋体" w:cs="宋体"/>
                <w:spacing w:val="-2"/>
                <w:sz w:val="21"/>
                <w:szCs w:val="21"/>
                <w:lang w:val="en-US" w:eastAsia="zh-CN"/>
              </w:rPr>
              <w:t>3</w:t>
            </w:r>
            <w:r>
              <w:rPr>
                <w:rFonts w:hint="eastAsia" w:ascii="宋体" w:hAnsi="宋体" w:eastAsia="宋体" w:cs="宋体"/>
                <w:spacing w:val="-2"/>
                <w:sz w:val="21"/>
                <w:szCs w:val="21"/>
              </w:rPr>
              <w:t>.</w:t>
            </w:r>
            <w:r>
              <w:rPr>
                <w:rFonts w:hint="eastAsia" w:ascii="宋体" w:hAnsi="宋体" w:eastAsia="宋体" w:cs="宋体"/>
                <w:spacing w:val="-38"/>
                <w:sz w:val="21"/>
                <w:szCs w:val="21"/>
              </w:rPr>
              <w:t xml:space="preserve"> </w:t>
            </w:r>
            <w:r>
              <w:rPr>
                <w:rFonts w:hint="eastAsia" w:ascii="宋体" w:hAnsi="宋体" w:eastAsia="宋体" w:cs="宋体"/>
                <w:spacing w:val="-2"/>
                <w:sz w:val="21"/>
                <w:szCs w:val="21"/>
              </w:rPr>
              <w:t>显示单元：显示、操作、传输单元一体化；</w:t>
            </w:r>
          </w:p>
          <w:p w14:paraId="37743A56">
            <w:pPr>
              <w:pStyle w:val="11"/>
              <w:keepNext w:val="0"/>
              <w:keepLines w:val="0"/>
              <w:pageBreakBefore w:val="0"/>
              <w:widowControl w:val="0"/>
              <w:kinsoku/>
              <w:wordWrap/>
              <w:overflowPunct/>
              <w:topLinePunct w:val="0"/>
              <w:autoSpaceDE/>
              <w:autoSpaceDN/>
              <w:bidi w:val="0"/>
              <w:adjustRightInd/>
              <w:snapToGrid/>
              <w:spacing w:line="360" w:lineRule="auto"/>
              <w:ind w:left="11" w:firstLine="206" w:firstLineChars="100"/>
              <w:textAlignment w:val="auto"/>
              <w:rPr>
                <w:rFonts w:hint="eastAsia" w:ascii="宋体" w:hAnsi="宋体" w:eastAsia="宋体" w:cs="宋体"/>
                <w:sz w:val="21"/>
                <w:szCs w:val="21"/>
              </w:rPr>
            </w:pPr>
            <w:r>
              <w:rPr>
                <w:rFonts w:hint="eastAsia" w:ascii="宋体" w:hAnsi="宋体" w:eastAsia="宋体" w:cs="宋体"/>
                <w:spacing w:val="-2"/>
                <w:sz w:val="21"/>
                <w:szCs w:val="21"/>
                <w:lang w:val="en-US" w:eastAsia="zh-CN"/>
              </w:rPr>
              <w:t>14</w:t>
            </w:r>
            <w:r>
              <w:rPr>
                <w:rFonts w:hint="eastAsia" w:ascii="宋体" w:hAnsi="宋体" w:eastAsia="宋体" w:cs="宋体"/>
                <w:spacing w:val="-2"/>
                <w:sz w:val="21"/>
                <w:szCs w:val="21"/>
              </w:rPr>
              <w:t>.</w:t>
            </w:r>
            <w:r>
              <w:rPr>
                <w:rFonts w:hint="eastAsia" w:ascii="宋体" w:hAnsi="宋体" w:eastAsia="宋体" w:cs="宋体"/>
                <w:spacing w:val="-39"/>
                <w:sz w:val="21"/>
                <w:szCs w:val="21"/>
              </w:rPr>
              <w:t xml:space="preserve"> </w:t>
            </w:r>
            <w:r>
              <w:rPr>
                <w:rFonts w:hint="eastAsia" w:ascii="宋体" w:hAnsi="宋体" w:eastAsia="宋体" w:cs="宋体"/>
                <w:spacing w:val="-2"/>
                <w:sz w:val="21"/>
                <w:szCs w:val="21"/>
              </w:rPr>
              <w:t>通讯接口：RS232</w:t>
            </w:r>
            <w:r>
              <w:rPr>
                <w:rFonts w:hint="eastAsia" w:ascii="宋体" w:hAnsi="宋体" w:eastAsia="宋体" w:cs="宋体"/>
                <w:spacing w:val="-50"/>
                <w:sz w:val="21"/>
                <w:szCs w:val="21"/>
              </w:rPr>
              <w:t xml:space="preserve"> </w:t>
            </w:r>
            <w:r>
              <w:rPr>
                <w:rFonts w:hint="eastAsia" w:ascii="宋体" w:hAnsi="宋体" w:eastAsia="宋体" w:cs="宋体"/>
                <w:spacing w:val="-2"/>
                <w:sz w:val="21"/>
                <w:szCs w:val="21"/>
              </w:rPr>
              <w:t>通讯协议、USB</w:t>
            </w:r>
            <w:r>
              <w:rPr>
                <w:rFonts w:hint="eastAsia" w:ascii="宋体" w:hAnsi="宋体" w:eastAsia="宋体" w:cs="宋体"/>
                <w:spacing w:val="-52"/>
                <w:sz w:val="21"/>
                <w:szCs w:val="21"/>
              </w:rPr>
              <w:t xml:space="preserve"> </w:t>
            </w:r>
            <w:r>
              <w:rPr>
                <w:rFonts w:hint="eastAsia" w:ascii="宋体" w:hAnsi="宋体" w:eastAsia="宋体" w:cs="宋体"/>
                <w:spacing w:val="-2"/>
                <w:sz w:val="21"/>
                <w:szCs w:val="21"/>
              </w:rPr>
              <w:t>接口；</w:t>
            </w:r>
          </w:p>
          <w:p w14:paraId="0B211FA7">
            <w:pPr>
              <w:pStyle w:val="11"/>
              <w:keepNext w:val="0"/>
              <w:keepLines w:val="0"/>
              <w:pageBreakBefore w:val="0"/>
              <w:widowControl w:val="0"/>
              <w:kinsoku/>
              <w:wordWrap/>
              <w:overflowPunct/>
              <w:topLinePunct w:val="0"/>
              <w:autoSpaceDE/>
              <w:autoSpaceDN/>
              <w:bidi w:val="0"/>
              <w:adjustRightInd/>
              <w:snapToGrid/>
              <w:spacing w:line="360" w:lineRule="auto"/>
              <w:ind w:left="11" w:firstLine="202" w:firstLineChars="100"/>
              <w:textAlignment w:val="auto"/>
              <w:rPr>
                <w:rFonts w:hint="eastAsia" w:ascii="宋体" w:hAnsi="宋体" w:eastAsia="宋体" w:cs="宋体"/>
                <w:sz w:val="21"/>
                <w:szCs w:val="21"/>
              </w:rPr>
            </w:pPr>
            <w:r>
              <w:rPr>
                <w:rFonts w:hint="eastAsia" w:ascii="宋体" w:hAnsi="宋体" w:eastAsia="宋体" w:cs="宋体"/>
                <w:spacing w:val="-4"/>
                <w:sz w:val="21"/>
                <w:szCs w:val="21"/>
                <w:lang w:val="en-US" w:eastAsia="zh-CN"/>
              </w:rPr>
              <w:t>15</w:t>
            </w:r>
            <w:r>
              <w:rPr>
                <w:rFonts w:hint="eastAsia" w:ascii="宋体" w:hAnsi="宋体" w:eastAsia="宋体" w:cs="宋体"/>
                <w:spacing w:val="-4"/>
                <w:sz w:val="21"/>
                <w:szCs w:val="21"/>
              </w:rPr>
              <w:t>.</w:t>
            </w:r>
            <w:r>
              <w:rPr>
                <w:rFonts w:hint="eastAsia" w:ascii="宋体" w:hAnsi="宋体" w:eastAsia="宋体" w:cs="宋体"/>
                <w:spacing w:val="-38"/>
                <w:sz w:val="21"/>
                <w:szCs w:val="21"/>
              </w:rPr>
              <w:t xml:space="preserve"> </w:t>
            </w:r>
            <w:r>
              <w:rPr>
                <w:rFonts w:hint="eastAsia" w:ascii="宋体" w:hAnsi="宋体" w:eastAsia="宋体" w:cs="宋体"/>
                <w:spacing w:val="-4"/>
                <w:sz w:val="21"/>
                <w:szCs w:val="21"/>
              </w:rPr>
              <w:t>数据存储：</w:t>
            </w:r>
            <w:r>
              <w:rPr>
                <w:rFonts w:hint="eastAsia" w:ascii="宋体" w:hAnsi="宋体" w:eastAsia="宋体" w:cs="宋体"/>
                <w:spacing w:val="-71"/>
                <w:sz w:val="21"/>
                <w:szCs w:val="21"/>
              </w:rPr>
              <w:t xml:space="preserve"> </w:t>
            </w:r>
            <w:r>
              <w:rPr>
                <w:rFonts w:hint="eastAsia" w:ascii="宋体" w:hAnsi="宋体" w:eastAsia="宋体" w:cs="宋体"/>
                <w:spacing w:val="-4"/>
                <w:sz w:val="21"/>
                <w:szCs w:val="21"/>
              </w:rPr>
              <w:t>自容（约</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2000</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组）、专用软件存储；</w:t>
            </w:r>
          </w:p>
          <w:p w14:paraId="027D9F26">
            <w:pPr>
              <w:pStyle w:val="11"/>
              <w:keepNext w:val="0"/>
              <w:keepLines w:val="0"/>
              <w:pageBreakBefore w:val="0"/>
              <w:widowControl w:val="0"/>
              <w:kinsoku/>
              <w:wordWrap/>
              <w:overflowPunct/>
              <w:topLinePunct w:val="0"/>
              <w:autoSpaceDE/>
              <w:autoSpaceDN/>
              <w:bidi w:val="0"/>
              <w:adjustRightInd/>
              <w:snapToGrid/>
              <w:spacing w:line="360" w:lineRule="auto"/>
              <w:ind w:left="11" w:firstLine="206" w:firstLineChars="100"/>
              <w:textAlignment w:val="auto"/>
              <w:rPr>
                <w:rFonts w:hint="eastAsia" w:ascii="宋体" w:hAnsi="宋体" w:eastAsia="宋体" w:cs="宋体"/>
                <w:spacing w:val="-2"/>
                <w:sz w:val="21"/>
                <w:szCs w:val="21"/>
              </w:rPr>
            </w:pPr>
            <w:r>
              <w:rPr>
                <w:rFonts w:hint="eastAsia" w:ascii="宋体" w:hAnsi="宋体" w:eastAsia="宋体" w:cs="宋体"/>
                <w:spacing w:val="-2"/>
                <w:sz w:val="21"/>
                <w:szCs w:val="21"/>
                <w:lang w:val="en-US" w:eastAsia="zh-CN"/>
              </w:rPr>
              <w:t>16</w:t>
            </w:r>
            <w:r>
              <w:rPr>
                <w:rFonts w:hint="eastAsia" w:ascii="宋体" w:hAnsi="宋体" w:eastAsia="宋体" w:cs="宋体"/>
                <w:spacing w:val="-2"/>
                <w:sz w:val="21"/>
                <w:szCs w:val="21"/>
              </w:rPr>
              <w:t>.</w:t>
            </w:r>
            <w:r>
              <w:rPr>
                <w:rFonts w:hint="eastAsia" w:ascii="宋体" w:hAnsi="宋体" w:eastAsia="宋体" w:cs="宋体"/>
                <w:spacing w:val="-41"/>
                <w:sz w:val="21"/>
                <w:szCs w:val="21"/>
              </w:rPr>
              <w:t xml:space="preserve"> </w:t>
            </w:r>
            <w:r>
              <w:rPr>
                <w:rFonts w:hint="eastAsia" w:ascii="宋体" w:hAnsi="宋体" w:eastAsia="宋体" w:cs="宋体"/>
                <w:spacing w:val="-2"/>
                <w:sz w:val="21"/>
                <w:szCs w:val="21"/>
              </w:rPr>
              <w:t>产品重量：≤1.</w:t>
            </w:r>
            <w:r>
              <w:rPr>
                <w:rFonts w:hint="eastAsia" w:ascii="宋体" w:hAnsi="宋体" w:eastAsia="宋体" w:cs="宋体"/>
                <w:spacing w:val="-2"/>
                <w:sz w:val="21"/>
                <w:szCs w:val="21"/>
                <w:lang w:val="en-US" w:eastAsia="zh-CN"/>
              </w:rPr>
              <w:t>5</w:t>
            </w:r>
            <w:r>
              <w:rPr>
                <w:rFonts w:hint="eastAsia" w:ascii="宋体" w:hAnsi="宋体" w:eastAsia="宋体" w:cs="宋体"/>
                <w:spacing w:val="-2"/>
                <w:sz w:val="21"/>
                <w:szCs w:val="21"/>
              </w:rPr>
              <w:t>kg；</w:t>
            </w:r>
          </w:p>
          <w:p w14:paraId="4B81276E">
            <w:pPr>
              <w:pStyle w:val="11"/>
              <w:keepNext w:val="0"/>
              <w:keepLines w:val="0"/>
              <w:pageBreakBefore w:val="0"/>
              <w:widowControl w:val="0"/>
              <w:kinsoku/>
              <w:wordWrap/>
              <w:overflowPunct/>
              <w:topLinePunct w:val="0"/>
              <w:autoSpaceDE/>
              <w:autoSpaceDN/>
              <w:bidi w:val="0"/>
              <w:adjustRightInd/>
              <w:snapToGrid/>
              <w:spacing w:line="360" w:lineRule="auto"/>
              <w:ind w:left="413" w:leftChars="112" w:hanging="178" w:hangingChars="92"/>
              <w:textAlignment w:val="auto"/>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17.设备标准配置清单：</w:t>
            </w:r>
          </w:p>
          <w:p w14:paraId="010E1712">
            <w:pPr>
              <w:pStyle w:val="11"/>
              <w:keepNext w:val="0"/>
              <w:keepLines w:val="0"/>
              <w:pageBreakBefore w:val="0"/>
              <w:widowControl w:val="0"/>
              <w:kinsoku/>
              <w:wordWrap/>
              <w:overflowPunct/>
              <w:topLinePunct w:val="0"/>
              <w:autoSpaceDE/>
              <w:autoSpaceDN/>
              <w:bidi w:val="0"/>
              <w:adjustRightInd/>
              <w:snapToGrid/>
              <w:spacing w:line="360" w:lineRule="auto"/>
              <w:ind w:left="413" w:leftChars="112" w:hanging="178" w:hangingChars="92"/>
              <w:textAlignment w:val="auto"/>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手持式叶绿素测定仪（ATo）  1 台；用于浅滩测量附件  1 个；转运箱  1 个；</w:t>
            </w:r>
          </w:p>
          <w:p w14:paraId="5E968175">
            <w:pPr>
              <w:pStyle w:val="11"/>
              <w:keepNext w:val="0"/>
              <w:keepLines w:val="0"/>
              <w:pageBreakBefore w:val="0"/>
              <w:widowControl w:val="0"/>
              <w:kinsoku/>
              <w:wordWrap/>
              <w:overflowPunct/>
              <w:topLinePunct w:val="0"/>
              <w:autoSpaceDE/>
              <w:autoSpaceDN/>
              <w:bidi w:val="0"/>
              <w:adjustRightInd/>
              <w:snapToGrid/>
              <w:spacing w:line="360" w:lineRule="auto"/>
              <w:ind w:left="413" w:leftChars="112" w:hanging="178" w:hangingChars="92"/>
              <w:textAlignment w:val="auto"/>
              <w:rPr>
                <w:rFonts w:hint="eastAsia" w:ascii="宋体" w:hAnsi="宋体" w:eastAsia="宋体" w:cs="宋体"/>
                <w:color w:val="auto"/>
                <w:spacing w:val="-8"/>
                <w:sz w:val="21"/>
                <w:szCs w:val="21"/>
                <w:lang w:val="en-US" w:eastAsia="zh-CN"/>
              </w:rPr>
            </w:pPr>
            <w:r>
              <w:rPr>
                <w:rFonts w:hint="eastAsia" w:ascii="宋体" w:hAnsi="宋体" w:eastAsia="宋体" w:cs="宋体"/>
                <w:color w:val="auto"/>
                <w:spacing w:val="-8"/>
                <w:sz w:val="21"/>
                <w:szCs w:val="21"/>
                <w:lang w:val="en-US" w:eastAsia="zh-CN"/>
              </w:rPr>
              <w:t>手绳  1 个；数据线缆  1 根；USB 接口  1 个；电源适配器  1 个；磁性触笔  1 个；</w:t>
            </w:r>
          </w:p>
          <w:p w14:paraId="6318AEB8">
            <w:pPr>
              <w:pStyle w:val="11"/>
              <w:keepNext w:val="0"/>
              <w:keepLines w:val="0"/>
              <w:pageBreakBefore w:val="0"/>
              <w:widowControl w:val="0"/>
              <w:kinsoku/>
              <w:wordWrap/>
              <w:overflowPunct/>
              <w:topLinePunct w:val="0"/>
              <w:autoSpaceDE/>
              <w:autoSpaceDN/>
              <w:bidi w:val="0"/>
              <w:adjustRightInd/>
              <w:snapToGrid/>
              <w:spacing w:line="360" w:lineRule="auto"/>
              <w:ind w:left="413" w:leftChars="112" w:hanging="178" w:hangingChars="92"/>
              <w:textAlignment w:val="auto"/>
              <w:rPr>
                <w:rFonts w:hint="eastAsia" w:ascii="宋体" w:hAnsi="宋体" w:eastAsia="宋体" w:cs="宋体"/>
                <w:sz w:val="21"/>
                <w:szCs w:val="21"/>
                <w:lang w:val="en-US" w:eastAsia="zh-CN"/>
              </w:rPr>
            </w:pPr>
            <w:r>
              <w:rPr>
                <w:rFonts w:hint="eastAsia" w:ascii="宋体" w:hAnsi="宋体" w:eastAsia="宋体" w:cs="宋体"/>
                <w:color w:val="auto"/>
                <w:spacing w:val="-8"/>
                <w:sz w:val="21"/>
                <w:szCs w:val="21"/>
                <w:lang w:val="en-US" w:eastAsia="zh-CN"/>
              </w:rPr>
              <w:t>清洁布  1 块；用户手册及光盘  1 套；</w:t>
            </w:r>
          </w:p>
        </w:tc>
      </w:tr>
    </w:tbl>
    <w:p w14:paraId="367CBB66">
      <w:pPr>
        <w:rPr>
          <w:rFonts w:hint="eastAsia"/>
          <w:color w:val="000000" w:themeColor="text1"/>
          <w14:textFill>
            <w14:solidFill>
              <w14:schemeClr w14:val="tx1"/>
            </w14:solidFill>
          </w14:textFill>
        </w:rPr>
      </w:pPr>
    </w:p>
    <w:p w14:paraId="1539E445">
      <w:pPr>
        <w:rPr>
          <w:rFonts w:hint="eastAsia"/>
          <w:color w:val="000000" w:themeColor="text1"/>
          <w14:textFill>
            <w14:solidFill>
              <w14:schemeClr w14:val="tx1"/>
            </w14:solidFill>
          </w14:textFill>
        </w:rPr>
      </w:pPr>
      <w:bookmarkStart w:id="888" w:name="_Toc2255"/>
    </w:p>
    <w:p w14:paraId="3A078614">
      <w:pPr>
        <w:keepNext w:val="0"/>
        <w:keepLines w:val="0"/>
        <w:pageBreakBefore w:val="0"/>
        <w:widowControl w:val="0"/>
        <w:kinsoku/>
        <w:wordWrap/>
        <w:overflowPunct/>
        <w:topLinePunct w:val="0"/>
        <w:autoSpaceDE w:val="0"/>
        <w:autoSpaceDN w:val="0"/>
        <w:bidi w:val="0"/>
        <w:adjustRightInd w:val="0"/>
        <w:snapToGrid/>
        <w:spacing w:line="480" w:lineRule="auto"/>
        <w:textAlignment w:val="auto"/>
        <w:rPr>
          <w:rFonts w:ascii="宋体" w:hAnsi="宋体"/>
          <w:b/>
          <w:bCs/>
          <w:color w:val="000000"/>
          <w:sz w:val="24"/>
          <w:szCs w:val="24"/>
        </w:rPr>
      </w:pPr>
      <w:r>
        <w:rPr>
          <w:rFonts w:hint="eastAsia" w:ascii="宋体" w:hAnsi="宋体"/>
          <w:b/>
          <w:bCs/>
          <w:color w:val="000000"/>
          <w:sz w:val="24"/>
          <w:szCs w:val="24"/>
        </w:rPr>
        <w:t>其它</w:t>
      </w:r>
      <w:r>
        <w:rPr>
          <w:rFonts w:ascii="宋体" w:hAnsi="宋体"/>
          <w:b/>
          <w:bCs/>
          <w:color w:val="000000"/>
          <w:sz w:val="24"/>
          <w:szCs w:val="24"/>
        </w:rPr>
        <w:t>要求</w:t>
      </w:r>
    </w:p>
    <w:p w14:paraId="661D72EC">
      <w:pPr>
        <w:keepNext w:val="0"/>
        <w:keepLines w:val="0"/>
        <w:pageBreakBefore w:val="0"/>
        <w:widowControl w:val="0"/>
        <w:kinsoku/>
        <w:wordWrap/>
        <w:overflowPunct/>
        <w:topLinePunct w:val="0"/>
        <w:autoSpaceDE w:val="0"/>
        <w:autoSpaceDN w:val="0"/>
        <w:bidi w:val="0"/>
        <w:adjustRightInd w:val="0"/>
        <w:snapToGrid/>
        <w:spacing w:line="480" w:lineRule="auto"/>
        <w:ind w:firstLine="480" w:firstLineChars="200"/>
        <w:textAlignment w:val="auto"/>
        <w:rPr>
          <w:rFonts w:hint="default" w:ascii="宋体" w:hAnsi="宋体" w:eastAsia="宋体"/>
          <w:bCs/>
          <w:color w:val="000000"/>
          <w:sz w:val="24"/>
          <w:szCs w:val="24"/>
          <w:lang w:val="en-US" w:eastAsia="zh-CN"/>
        </w:rPr>
      </w:pPr>
      <w:r>
        <w:rPr>
          <w:rFonts w:hint="eastAsia" w:ascii="宋体" w:hAnsi="宋体"/>
          <w:bCs/>
          <w:color w:val="000000"/>
          <w:sz w:val="24"/>
          <w:szCs w:val="24"/>
        </w:rPr>
        <w:t>1、交货</w:t>
      </w:r>
      <w:r>
        <w:rPr>
          <w:rFonts w:hint="eastAsia" w:ascii="宋体" w:hAnsi="宋体"/>
          <w:bCs/>
          <w:color w:val="000000"/>
          <w:sz w:val="24"/>
          <w:szCs w:val="24"/>
          <w:lang w:val="en-US" w:eastAsia="zh-CN"/>
        </w:rPr>
        <w:t>地点及时间</w:t>
      </w:r>
      <w:r>
        <w:rPr>
          <w:rFonts w:hint="eastAsia" w:ascii="宋体" w:hAnsi="宋体"/>
          <w:bCs/>
          <w:color w:val="000000"/>
          <w:sz w:val="24"/>
          <w:szCs w:val="24"/>
        </w:rPr>
        <w:t>：甲方</w:t>
      </w:r>
      <w:r>
        <w:rPr>
          <w:rFonts w:ascii="宋体" w:hAnsi="宋体"/>
          <w:bCs/>
          <w:color w:val="000000"/>
          <w:sz w:val="24"/>
          <w:szCs w:val="24"/>
        </w:rPr>
        <w:t>指定地点</w:t>
      </w:r>
      <w:r>
        <w:rPr>
          <w:rFonts w:hint="eastAsia" w:ascii="宋体" w:hAnsi="宋体"/>
          <w:bCs/>
          <w:color w:val="000000"/>
          <w:sz w:val="24"/>
          <w:szCs w:val="24"/>
          <w:lang w:eastAsia="zh-CN"/>
        </w:rPr>
        <w:t>，</w:t>
      </w:r>
      <w:r>
        <w:rPr>
          <w:rFonts w:hint="eastAsia" w:ascii="宋体" w:hAnsi="宋体"/>
          <w:bCs/>
          <w:color w:val="000000"/>
          <w:sz w:val="24"/>
          <w:szCs w:val="24"/>
          <w:lang w:val="en-US" w:eastAsia="zh-CN"/>
        </w:rPr>
        <w:t>期限1个月。</w:t>
      </w:r>
    </w:p>
    <w:p w14:paraId="005FCF9C">
      <w:pPr>
        <w:keepNext w:val="0"/>
        <w:keepLines w:val="0"/>
        <w:pageBreakBefore w:val="0"/>
        <w:widowControl w:val="0"/>
        <w:kinsoku/>
        <w:wordWrap/>
        <w:overflowPunct/>
        <w:topLinePunct w:val="0"/>
        <w:autoSpaceDE w:val="0"/>
        <w:autoSpaceDN w:val="0"/>
        <w:bidi w:val="0"/>
        <w:adjustRightInd w:val="0"/>
        <w:snapToGrid/>
        <w:spacing w:line="480" w:lineRule="auto"/>
        <w:ind w:firstLine="480" w:firstLineChars="200"/>
        <w:textAlignment w:val="auto"/>
        <w:rPr>
          <w:rFonts w:hint="eastAsia" w:ascii="宋体" w:hAnsi="宋体" w:eastAsia="宋体"/>
          <w:bCs/>
          <w:color w:val="000000"/>
          <w:sz w:val="24"/>
          <w:szCs w:val="24"/>
          <w:lang w:eastAsia="zh-CN"/>
        </w:rPr>
      </w:pPr>
      <w:r>
        <w:rPr>
          <w:rFonts w:hint="eastAsia" w:ascii="宋体" w:hAnsi="宋体"/>
          <w:bCs/>
          <w:color w:val="000000"/>
          <w:sz w:val="24"/>
          <w:szCs w:val="24"/>
        </w:rPr>
        <w:t>2、质保期</w:t>
      </w:r>
      <w:r>
        <w:rPr>
          <w:rFonts w:ascii="宋体" w:hAnsi="宋体"/>
          <w:bCs/>
          <w:color w:val="000000"/>
          <w:sz w:val="24"/>
          <w:szCs w:val="24"/>
        </w:rPr>
        <w:t>：</w:t>
      </w:r>
      <w:r>
        <w:rPr>
          <w:rFonts w:hint="eastAsia" w:ascii="宋体" w:hAnsi="宋体"/>
          <w:bCs/>
          <w:color w:val="000000"/>
          <w:sz w:val="24"/>
          <w:szCs w:val="24"/>
        </w:rPr>
        <w:t>自</w:t>
      </w:r>
      <w:r>
        <w:rPr>
          <w:rFonts w:ascii="宋体" w:hAnsi="宋体"/>
          <w:bCs/>
          <w:color w:val="000000"/>
          <w:sz w:val="24"/>
          <w:szCs w:val="24"/>
        </w:rPr>
        <w:t>验收合格后</w:t>
      </w:r>
      <w:r>
        <w:rPr>
          <w:rFonts w:hint="eastAsia" w:ascii="宋体" w:hAnsi="宋体"/>
          <w:bCs/>
          <w:color w:val="000000"/>
          <w:sz w:val="24"/>
          <w:szCs w:val="24"/>
          <w:u w:val="single"/>
        </w:rPr>
        <w:t xml:space="preserve">   </w:t>
      </w:r>
      <w:r>
        <w:rPr>
          <w:rFonts w:ascii="宋体" w:hAnsi="宋体"/>
          <w:bCs/>
          <w:color w:val="000000"/>
          <w:sz w:val="24"/>
          <w:szCs w:val="24"/>
          <w:u w:val="single"/>
        </w:rPr>
        <w:t>1</w:t>
      </w:r>
      <w:r>
        <w:rPr>
          <w:rFonts w:hint="eastAsia" w:ascii="宋体" w:hAnsi="宋体"/>
          <w:bCs/>
          <w:color w:val="000000"/>
          <w:sz w:val="24"/>
          <w:szCs w:val="24"/>
          <w:u w:val="single"/>
        </w:rPr>
        <w:t xml:space="preserve">   </w:t>
      </w:r>
      <w:r>
        <w:rPr>
          <w:rFonts w:hint="eastAsia" w:ascii="宋体" w:hAnsi="宋体"/>
          <w:bCs/>
          <w:color w:val="000000"/>
          <w:sz w:val="24"/>
          <w:szCs w:val="24"/>
        </w:rPr>
        <w:t>年</w:t>
      </w:r>
      <w:r>
        <w:rPr>
          <w:rFonts w:hint="eastAsia" w:ascii="宋体" w:hAnsi="宋体"/>
          <w:bCs/>
          <w:color w:val="000000"/>
          <w:sz w:val="24"/>
          <w:szCs w:val="24"/>
          <w:lang w:eastAsia="zh-CN"/>
        </w:rPr>
        <w:t>。</w:t>
      </w:r>
    </w:p>
    <w:p w14:paraId="2B019F15">
      <w:pPr>
        <w:keepNext w:val="0"/>
        <w:keepLines w:val="0"/>
        <w:pageBreakBefore w:val="0"/>
        <w:widowControl w:val="0"/>
        <w:kinsoku/>
        <w:wordWrap/>
        <w:overflowPunct/>
        <w:topLinePunct w:val="0"/>
        <w:autoSpaceDE w:val="0"/>
        <w:autoSpaceDN w:val="0"/>
        <w:bidi w:val="0"/>
        <w:adjustRightInd w:val="0"/>
        <w:snapToGrid/>
        <w:spacing w:line="480" w:lineRule="auto"/>
        <w:ind w:firstLine="480" w:firstLineChars="200"/>
        <w:textAlignment w:val="auto"/>
        <w:rPr>
          <w:rFonts w:hint="eastAsia" w:ascii="宋体" w:hAnsi="宋体"/>
          <w:bCs/>
          <w:color w:val="000000"/>
          <w:sz w:val="24"/>
          <w:szCs w:val="24"/>
        </w:rPr>
      </w:pPr>
      <w:r>
        <w:rPr>
          <w:rFonts w:hint="eastAsia" w:ascii="宋体" w:hAnsi="宋体"/>
          <w:bCs/>
          <w:color w:val="000000"/>
          <w:sz w:val="24"/>
          <w:szCs w:val="24"/>
        </w:rPr>
        <w:t>3、</w:t>
      </w:r>
      <w:r>
        <w:rPr>
          <w:rFonts w:ascii="宋体" w:hAnsi="宋体"/>
          <w:bCs/>
          <w:color w:val="000000"/>
          <w:sz w:val="24"/>
          <w:szCs w:val="24"/>
        </w:rPr>
        <w:t>验收要求</w:t>
      </w:r>
      <w:r>
        <w:rPr>
          <w:rFonts w:hint="eastAsia" w:ascii="宋体" w:hAnsi="宋体"/>
          <w:bCs/>
          <w:color w:val="000000"/>
          <w:sz w:val="24"/>
          <w:szCs w:val="24"/>
        </w:rPr>
        <w:t>：甲方在收到货后，应及时对产品数量、型号、规格进行核对、检验，如发现有不符合采购技术参数及仪器性能所规定要求的，乙方应及时更换符合采购技术要求的设备并承担相应责任。</w:t>
      </w:r>
    </w:p>
    <w:p w14:paraId="2126F53C">
      <w:pPr>
        <w:keepNext w:val="0"/>
        <w:keepLines w:val="0"/>
        <w:pageBreakBefore w:val="0"/>
        <w:widowControl w:val="0"/>
        <w:kinsoku/>
        <w:wordWrap/>
        <w:overflowPunct/>
        <w:topLinePunct w:val="0"/>
        <w:autoSpaceDE w:val="0"/>
        <w:autoSpaceDN w:val="0"/>
        <w:bidi w:val="0"/>
        <w:adjustRightInd w:val="0"/>
        <w:snapToGrid/>
        <w:spacing w:line="480" w:lineRule="auto"/>
        <w:ind w:firstLine="480" w:firstLineChars="200"/>
        <w:textAlignment w:val="auto"/>
        <w:rPr>
          <w:rFonts w:hint="eastAsia" w:ascii="宋体" w:hAnsi="宋体" w:eastAsia="宋体" w:cs="Times New Roman"/>
          <w:bCs/>
          <w:color w:val="000000"/>
          <w:sz w:val="24"/>
          <w:szCs w:val="24"/>
        </w:rPr>
      </w:pPr>
      <w:r>
        <w:rPr>
          <w:rFonts w:hint="eastAsia" w:ascii="宋体" w:hAnsi="宋体" w:eastAsia="宋体" w:cs="Times New Roman"/>
          <w:bCs/>
          <w:color w:val="000000"/>
          <w:sz w:val="24"/>
          <w:szCs w:val="24"/>
          <w:lang w:val="en-US" w:eastAsia="zh-CN"/>
        </w:rPr>
        <w:t>4、</w:t>
      </w:r>
      <w:r>
        <w:rPr>
          <w:rFonts w:hint="eastAsia" w:ascii="宋体" w:hAnsi="宋体" w:eastAsia="宋体" w:cs="Times New Roman"/>
          <w:bCs/>
          <w:color w:val="000000"/>
          <w:sz w:val="24"/>
          <w:szCs w:val="24"/>
        </w:rPr>
        <w:t>售后服务要求：</w:t>
      </w:r>
    </w:p>
    <w:p w14:paraId="5123A6D1">
      <w:pPr>
        <w:keepNext w:val="0"/>
        <w:keepLines w:val="0"/>
        <w:pageBreakBefore w:val="0"/>
        <w:widowControl w:val="0"/>
        <w:kinsoku/>
        <w:wordWrap/>
        <w:overflowPunct/>
        <w:topLinePunct w:val="0"/>
        <w:autoSpaceDE w:val="0"/>
        <w:autoSpaceDN w:val="0"/>
        <w:bidi w:val="0"/>
        <w:adjustRightInd w:val="0"/>
        <w:snapToGrid/>
        <w:spacing w:line="480" w:lineRule="auto"/>
        <w:ind w:firstLine="480" w:firstLineChars="200"/>
        <w:textAlignment w:val="auto"/>
        <w:rPr>
          <w:rFonts w:hint="eastAsia" w:ascii="宋体" w:hAnsi="宋体" w:eastAsia="宋体" w:cs="Times New Roman"/>
          <w:bCs/>
          <w:color w:val="000000"/>
          <w:sz w:val="24"/>
          <w:szCs w:val="24"/>
          <w:lang w:eastAsia="zh-CN"/>
        </w:rPr>
      </w:pPr>
      <w:r>
        <w:rPr>
          <w:rFonts w:hint="eastAsia" w:ascii="宋体" w:hAnsi="宋体" w:eastAsia="宋体" w:cs="Times New Roman"/>
          <w:bCs/>
          <w:color w:val="000000"/>
          <w:sz w:val="24"/>
          <w:szCs w:val="24"/>
          <w:lang w:eastAsia="zh-CN"/>
        </w:rPr>
        <w:t>（</w:t>
      </w:r>
      <w:r>
        <w:rPr>
          <w:rFonts w:hint="eastAsia" w:ascii="宋体" w:hAnsi="宋体" w:eastAsia="宋体" w:cs="Times New Roman"/>
          <w:bCs/>
          <w:color w:val="000000"/>
          <w:sz w:val="24"/>
          <w:szCs w:val="24"/>
          <w:lang w:val="en-US" w:eastAsia="zh-CN"/>
        </w:rPr>
        <w:t>1</w:t>
      </w:r>
      <w:r>
        <w:rPr>
          <w:rFonts w:hint="eastAsia" w:ascii="宋体" w:hAnsi="宋体" w:eastAsia="宋体" w:cs="Times New Roman"/>
          <w:bCs/>
          <w:color w:val="000000"/>
          <w:sz w:val="24"/>
          <w:szCs w:val="24"/>
          <w:lang w:eastAsia="zh-CN"/>
        </w:rPr>
        <w:t>）乙方需要提供设备安装调试及培训服务。</w:t>
      </w:r>
    </w:p>
    <w:p w14:paraId="12A26A79">
      <w:pPr>
        <w:keepNext w:val="0"/>
        <w:keepLines w:val="0"/>
        <w:pageBreakBefore w:val="0"/>
        <w:widowControl w:val="0"/>
        <w:kinsoku/>
        <w:wordWrap/>
        <w:overflowPunct/>
        <w:topLinePunct w:val="0"/>
        <w:bidi w:val="0"/>
        <w:snapToGrid/>
        <w:spacing w:line="480" w:lineRule="auto"/>
        <w:ind w:firstLine="480" w:firstLineChars="200"/>
        <w:textAlignment w:val="auto"/>
        <w:rPr>
          <w:rFonts w:hint="eastAsia" w:eastAsia="宋体"/>
          <w:color w:val="000000" w:themeColor="text1"/>
          <w:lang w:eastAsia="zh-CN"/>
          <w14:textFill>
            <w14:solidFill>
              <w14:schemeClr w14:val="tx1"/>
            </w14:solidFill>
          </w14:textFill>
        </w:rPr>
        <w:sectPr>
          <w:pgSz w:w="16838" w:h="11906" w:orient="landscape"/>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eastAsia="宋体" w:cs="Times New Roman"/>
          <w:bCs/>
          <w:color w:val="000000"/>
          <w:sz w:val="24"/>
          <w:szCs w:val="24"/>
          <w:lang w:eastAsia="zh-CN"/>
        </w:rPr>
        <w:t>（</w:t>
      </w:r>
      <w:r>
        <w:rPr>
          <w:rFonts w:hint="eastAsia" w:ascii="宋体" w:hAnsi="宋体" w:eastAsia="宋体" w:cs="Times New Roman"/>
          <w:bCs/>
          <w:color w:val="000000"/>
          <w:sz w:val="24"/>
          <w:szCs w:val="24"/>
          <w:lang w:val="en-US" w:eastAsia="zh-CN"/>
        </w:rPr>
        <w:t>2</w:t>
      </w:r>
      <w:r>
        <w:rPr>
          <w:rFonts w:hint="eastAsia" w:ascii="宋体" w:hAnsi="宋体" w:eastAsia="宋体" w:cs="Times New Roman"/>
          <w:bCs/>
          <w:color w:val="000000"/>
          <w:sz w:val="24"/>
          <w:szCs w:val="24"/>
          <w:lang w:eastAsia="zh-CN"/>
        </w:rPr>
        <w:t>）</w:t>
      </w:r>
      <w:r>
        <w:rPr>
          <w:rFonts w:hint="eastAsia" w:ascii="宋体" w:hAnsi="宋体" w:eastAsia="宋体" w:cs="Times New Roman"/>
          <w:bCs/>
          <w:color w:val="000000"/>
          <w:sz w:val="24"/>
          <w:szCs w:val="24"/>
        </w:rPr>
        <w:t>设备提供方需提供上门服务及24小时随时响应</w:t>
      </w:r>
      <w:r>
        <w:rPr>
          <w:rFonts w:hint="eastAsia" w:ascii="宋体" w:hAnsi="宋体" w:eastAsia="宋体" w:cs="Times New Roman"/>
          <w:bCs/>
          <w:color w:val="000000"/>
          <w:sz w:val="24"/>
          <w:szCs w:val="24"/>
          <w:lang w:eastAsia="zh-CN"/>
        </w:rPr>
        <w:t>。</w:t>
      </w:r>
    </w:p>
    <w:p w14:paraId="192B4BA5">
      <w:pPr>
        <w:pStyle w:val="2"/>
        <w:bidi w:val="0"/>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第七章 投标文件格式</w:t>
      </w:r>
      <w:bookmarkEnd w:id="855"/>
      <w:bookmarkEnd w:id="856"/>
      <w:bookmarkEnd w:id="857"/>
      <w:bookmarkEnd w:id="858"/>
      <w:bookmarkEnd w:id="859"/>
      <w:bookmarkEnd w:id="860"/>
      <w:bookmarkEnd w:id="861"/>
      <w:bookmarkEnd w:id="862"/>
      <w:bookmarkEnd w:id="863"/>
      <w:bookmarkEnd w:id="864"/>
      <w:bookmarkEnd w:id="888"/>
    </w:p>
    <w:p w14:paraId="5E5F8858">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1.投标文件格式由本章目录所列第1部分至第</w:t>
      </w:r>
      <w:r>
        <w:rPr>
          <w:rFonts w:hint="eastAsia" w:ascii="宋体" w:hAnsi="宋体" w:cs="宋体"/>
          <w:color w:val="000000" w:themeColor="text1"/>
          <w:sz w:val="28"/>
          <w:szCs w:val="28"/>
          <w:lang w:val="en-US" w:eastAsia="zh-CN"/>
          <w14:textFill>
            <w14:solidFill>
              <w14:schemeClr w14:val="tx1"/>
            </w14:solidFill>
          </w14:textFill>
        </w:rPr>
        <w:t>9</w:t>
      </w:r>
      <w:r>
        <w:rPr>
          <w:rFonts w:hint="eastAsia" w:ascii="宋体" w:hAnsi="宋体" w:cs="宋体"/>
          <w:color w:val="000000" w:themeColor="text1"/>
          <w:sz w:val="28"/>
          <w:szCs w:val="28"/>
          <w14:textFill>
            <w14:solidFill>
              <w14:schemeClr w14:val="tx1"/>
            </w14:solidFill>
          </w14:textFill>
        </w:rPr>
        <w:t>部分构成。</w:t>
      </w:r>
    </w:p>
    <w:p w14:paraId="2ABD2B48">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2.供应商应认真审阅本章内容，并参照格式要求编制投标文件。凡未按格式要求编制投标文件而造成的不利后果，由供应商自行承担。</w:t>
      </w:r>
    </w:p>
    <w:p w14:paraId="7F96CF49">
      <w:pPr>
        <w:spacing w:line="440" w:lineRule="exact"/>
        <w:ind w:firstLine="560" w:firstLineChars="200"/>
        <w:rPr>
          <w:rFonts w:hint="eastAsia" w:ascii="宋体" w:hAnsi="宋体" w:cs="宋体"/>
          <w:color w:val="000000" w:themeColor="text1"/>
          <w:sz w:val="28"/>
          <w:szCs w:val="28"/>
          <w14:textFill>
            <w14:solidFill>
              <w14:schemeClr w14:val="tx1"/>
            </w14:solidFill>
          </w14:textFill>
        </w:rPr>
      </w:pPr>
    </w:p>
    <w:p w14:paraId="1363CECA">
      <w:pPr>
        <w:spacing w:line="440" w:lineRule="exact"/>
        <w:ind w:firstLine="560" w:firstLineChars="200"/>
        <w:rPr>
          <w:rFonts w:hint="eastAsia" w:ascii="宋体" w:hAnsi="宋体" w:cs="宋体"/>
          <w:color w:val="000000" w:themeColor="text1"/>
          <w:sz w:val="28"/>
          <w:szCs w:val="28"/>
          <w14:textFill>
            <w14:solidFill>
              <w14:schemeClr w14:val="tx1"/>
            </w14:solidFill>
          </w14:textFill>
        </w:rPr>
      </w:pPr>
    </w:p>
    <w:p w14:paraId="733F2502">
      <w:pPr>
        <w:spacing w:line="440" w:lineRule="exact"/>
        <w:ind w:firstLine="560" w:firstLineChars="200"/>
        <w:rPr>
          <w:rFonts w:hint="eastAsia" w:ascii="宋体" w:hAnsi="宋体" w:cs="宋体"/>
          <w:color w:val="000000" w:themeColor="text1"/>
          <w:sz w:val="28"/>
          <w:szCs w:val="28"/>
          <w14:textFill>
            <w14:solidFill>
              <w14:schemeClr w14:val="tx1"/>
            </w14:solidFill>
          </w14:textFill>
        </w:rPr>
      </w:pPr>
    </w:p>
    <w:p w14:paraId="48163476">
      <w:pPr>
        <w:spacing w:line="440" w:lineRule="exact"/>
        <w:ind w:firstLine="560" w:firstLineChars="200"/>
        <w:rPr>
          <w:rFonts w:hint="eastAsia" w:ascii="宋体" w:hAnsi="宋体" w:cs="宋体"/>
          <w:color w:val="000000" w:themeColor="text1"/>
          <w:sz w:val="28"/>
          <w:szCs w:val="28"/>
          <w14:textFill>
            <w14:solidFill>
              <w14:schemeClr w14:val="tx1"/>
            </w14:solidFill>
          </w14:textFill>
        </w:rPr>
      </w:pPr>
    </w:p>
    <w:p w14:paraId="550AF4F6">
      <w:pPr>
        <w:spacing w:line="440" w:lineRule="exact"/>
        <w:ind w:firstLine="560" w:firstLineChars="200"/>
        <w:rPr>
          <w:rFonts w:hint="eastAsia" w:ascii="宋体" w:hAnsi="宋体" w:cs="宋体"/>
          <w:color w:val="000000" w:themeColor="text1"/>
          <w:sz w:val="28"/>
          <w:szCs w:val="28"/>
          <w14:textFill>
            <w14:solidFill>
              <w14:schemeClr w14:val="tx1"/>
            </w14:solidFill>
          </w14:textFill>
        </w:rPr>
      </w:pPr>
    </w:p>
    <w:p w14:paraId="4F1D0C41">
      <w:pPr>
        <w:spacing w:line="440" w:lineRule="exact"/>
        <w:ind w:firstLine="560" w:firstLineChars="200"/>
        <w:rPr>
          <w:rFonts w:hint="eastAsia" w:ascii="宋体" w:hAnsi="宋体" w:cs="宋体"/>
          <w:color w:val="000000" w:themeColor="text1"/>
          <w:sz w:val="28"/>
          <w:szCs w:val="28"/>
          <w14:textFill>
            <w14:solidFill>
              <w14:schemeClr w14:val="tx1"/>
            </w14:solidFill>
          </w14:textFill>
        </w:rPr>
      </w:pPr>
    </w:p>
    <w:p w14:paraId="5F4A91E5">
      <w:pPr>
        <w:spacing w:line="440" w:lineRule="exact"/>
        <w:ind w:firstLine="560" w:firstLineChars="200"/>
        <w:rPr>
          <w:rFonts w:hint="eastAsia" w:ascii="宋体" w:hAnsi="宋体" w:cs="宋体"/>
          <w:color w:val="000000" w:themeColor="text1"/>
          <w:sz w:val="28"/>
          <w:szCs w:val="28"/>
          <w14:textFill>
            <w14:solidFill>
              <w14:schemeClr w14:val="tx1"/>
            </w14:solidFill>
          </w14:textFill>
        </w:rPr>
      </w:pPr>
    </w:p>
    <w:p w14:paraId="7FF8B0D4">
      <w:pPr>
        <w:jc w:val="right"/>
        <w:rPr>
          <w:rFonts w:hint="eastAsia" w:ascii="宋体" w:hAnsi="宋体" w:cs="宋体"/>
          <w:color w:val="000000" w:themeColor="text1"/>
          <w:sz w:val="32"/>
          <w:szCs w:val="32"/>
          <w14:textFill>
            <w14:solidFill>
              <w14:schemeClr w14:val="tx1"/>
            </w14:solidFill>
          </w14:textFill>
        </w:rPr>
      </w:pPr>
    </w:p>
    <w:p w14:paraId="07517129">
      <w:pPr>
        <w:jc w:val="right"/>
        <w:rPr>
          <w:rFonts w:hint="eastAsia" w:ascii="宋体" w:hAnsi="宋体" w:cs="宋体"/>
          <w:color w:val="000000" w:themeColor="text1"/>
          <w:sz w:val="32"/>
          <w:szCs w:val="32"/>
          <w14:textFill>
            <w14:solidFill>
              <w14:schemeClr w14:val="tx1"/>
            </w14:solidFill>
          </w14:textFill>
        </w:rPr>
      </w:pPr>
    </w:p>
    <w:p w14:paraId="6234C10A">
      <w:pPr>
        <w:jc w:val="right"/>
        <w:rPr>
          <w:rFonts w:hint="eastAsia" w:ascii="宋体" w:hAnsi="宋体" w:cs="宋体"/>
          <w:color w:val="000000" w:themeColor="text1"/>
          <w:sz w:val="32"/>
          <w:szCs w:val="32"/>
          <w14:textFill>
            <w14:solidFill>
              <w14:schemeClr w14:val="tx1"/>
            </w14:solidFill>
          </w14:textFill>
        </w:rPr>
      </w:pPr>
    </w:p>
    <w:p w14:paraId="5557BF71">
      <w:pPr>
        <w:jc w:val="right"/>
        <w:rPr>
          <w:rFonts w:hint="eastAsia" w:ascii="宋体" w:hAnsi="宋体" w:cs="宋体"/>
          <w:color w:val="000000" w:themeColor="text1"/>
          <w:sz w:val="32"/>
          <w:szCs w:val="32"/>
          <w14:textFill>
            <w14:solidFill>
              <w14:schemeClr w14:val="tx1"/>
            </w14:solidFill>
          </w14:textFill>
        </w:rPr>
      </w:pPr>
    </w:p>
    <w:p w14:paraId="6E6F0716">
      <w:pPr>
        <w:jc w:val="right"/>
        <w:rPr>
          <w:rFonts w:hint="eastAsia" w:ascii="宋体" w:hAnsi="宋体" w:cs="宋体"/>
          <w:color w:val="000000" w:themeColor="text1"/>
          <w:sz w:val="32"/>
          <w:szCs w:val="32"/>
          <w14:textFill>
            <w14:solidFill>
              <w14:schemeClr w14:val="tx1"/>
            </w14:solidFill>
          </w14:textFill>
        </w:rPr>
      </w:pPr>
    </w:p>
    <w:p w14:paraId="20105C9B">
      <w:pPr>
        <w:jc w:val="right"/>
        <w:rPr>
          <w:rFonts w:hint="eastAsia" w:ascii="宋体" w:hAnsi="宋体" w:cs="宋体"/>
          <w:color w:val="000000" w:themeColor="text1"/>
          <w:sz w:val="32"/>
          <w:szCs w:val="32"/>
          <w14:textFill>
            <w14:solidFill>
              <w14:schemeClr w14:val="tx1"/>
            </w14:solidFill>
          </w14:textFill>
        </w:rPr>
      </w:pPr>
    </w:p>
    <w:p w14:paraId="2968528F">
      <w:pPr>
        <w:jc w:val="right"/>
        <w:rPr>
          <w:rFonts w:hint="eastAsia" w:ascii="宋体" w:hAnsi="宋体" w:cs="宋体"/>
          <w:color w:val="000000" w:themeColor="text1"/>
          <w:sz w:val="32"/>
          <w:szCs w:val="32"/>
          <w14:textFill>
            <w14:solidFill>
              <w14:schemeClr w14:val="tx1"/>
            </w14:solidFill>
          </w14:textFill>
        </w:rPr>
      </w:pPr>
    </w:p>
    <w:p w14:paraId="36D2D7C9">
      <w:pPr>
        <w:jc w:val="right"/>
        <w:rPr>
          <w:rFonts w:hint="eastAsia" w:ascii="宋体" w:hAnsi="宋体" w:cs="宋体"/>
          <w:color w:val="000000" w:themeColor="text1"/>
          <w:sz w:val="32"/>
          <w:szCs w:val="32"/>
          <w14:textFill>
            <w14:solidFill>
              <w14:schemeClr w14:val="tx1"/>
            </w14:solidFill>
          </w14:textFill>
        </w:rPr>
      </w:pPr>
    </w:p>
    <w:p w14:paraId="6EA74D9D">
      <w:pPr>
        <w:jc w:val="right"/>
        <w:rPr>
          <w:rFonts w:hint="eastAsia" w:ascii="宋体" w:hAnsi="宋体" w:cs="宋体"/>
          <w:color w:val="000000" w:themeColor="text1"/>
          <w:sz w:val="32"/>
          <w:szCs w:val="32"/>
          <w14:textFill>
            <w14:solidFill>
              <w14:schemeClr w14:val="tx1"/>
            </w14:solidFill>
          </w14:textFill>
        </w:rPr>
      </w:pPr>
    </w:p>
    <w:p w14:paraId="37DC23DA">
      <w:pPr>
        <w:jc w:val="right"/>
        <w:rPr>
          <w:rFonts w:hint="eastAsia" w:ascii="宋体" w:hAnsi="宋体" w:cs="宋体"/>
          <w:color w:val="000000" w:themeColor="text1"/>
          <w:sz w:val="32"/>
          <w:szCs w:val="32"/>
          <w14:textFill>
            <w14:solidFill>
              <w14:schemeClr w14:val="tx1"/>
            </w14:solidFill>
          </w14:textFill>
        </w:rPr>
      </w:pPr>
    </w:p>
    <w:p w14:paraId="1308F7B0">
      <w:pPr>
        <w:jc w:val="right"/>
        <w:rPr>
          <w:rFonts w:hint="eastAsia" w:ascii="宋体" w:hAnsi="宋体" w:cs="宋体"/>
          <w:color w:val="000000" w:themeColor="text1"/>
          <w:sz w:val="32"/>
          <w:szCs w:val="32"/>
          <w14:textFill>
            <w14:solidFill>
              <w14:schemeClr w14:val="tx1"/>
            </w14:solidFill>
          </w14:textFill>
        </w:rPr>
      </w:pPr>
    </w:p>
    <w:p w14:paraId="1261E733">
      <w:pPr>
        <w:rPr>
          <w:rFonts w:hint="eastAsia" w:ascii="宋体" w:hAnsi="宋体" w:cs="宋体"/>
          <w:color w:val="000000" w:themeColor="text1"/>
          <w:sz w:val="32"/>
          <w:szCs w:val="32"/>
          <w14:textFill>
            <w14:solidFill>
              <w14:schemeClr w14:val="tx1"/>
            </w14:solidFill>
          </w14:textFill>
        </w:rPr>
      </w:pPr>
    </w:p>
    <w:p w14:paraId="498E2A16">
      <w:pPr>
        <w:jc w:val="right"/>
        <w:rPr>
          <w:rFonts w:hint="eastAsia" w:ascii="宋体" w:hAnsi="宋体" w:cs="宋体"/>
          <w:color w:val="000000" w:themeColor="text1"/>
          <w:sz w:val="32"/>
          <w:szCs w:val="32"/>
          <w14:textFill>
            <w14:solidFill>
              <w14:schemeClr w14:val="tx1"/>
            </w14:solidFill>
          </w14:textFill>
        </w:rPr>
      </w:pPr>
    </w:p>
    <w:p w14:paraId="4864D9B4">
      <w:pPr>
        <w:jc w:val="center"/>
        <w:rPr>
          <w:rFonts w:hint="eastAsia" w:ascii="宋体" w:hAnsi="宋体" w:cs="宋体"/>
          <w:b/>
          <w:bCs/>
          <w:color w:val="000000" w:themeColor="text1"/>
          <w:spacing w:val="4"/>
          <w:sz w:val="28"/>
          <w:szCs w:val="28"/>
          <w14:textFill>
            <w14:solidFill>
              <w14:schemeClr w14:val="tx1"/>
            </w14:solidFill>
          </w14:textFill>
        </w:rPr>
      </w:pPr>
      <w:r>
        <w:rPr>
          <w:rFonts w:hint="eastAsia" w:ascii="宋体" w:hAnsi="宋体" w:cs="宋体"/>
          <w:b/>
          <w:bCs/>
          <w:color w:val="000000" w:themeColor="text1"/>
          <w:spacing w:val="4"/>
          <w:sz w:val="28"/>
          <w:szCs w:val="28"/>
          <w14:textFill>
            <w14:solidFill>
              <w14:schemeClr w14:val="tx1"/>
            </w14:solidFill>
          </w14:textFill>
        </w:rPr>
        <w:t xml:space="preserve">                                           </w:t>
      </w:r>
    </w:p>
    <w:p w14:paraId="7ECC0A70">
      <w:pPr>
        <w:jc w:val="center"/>
        <w:rPr>
          <w:rFonts w:hint="eastAsia" w:ascii="宋体" w:hAnsi="宋体" w:cs="宋体"/>
          <w:b/>
          <w:bCs/>
          <w:color w:val="000000" w:themeColor="text1"/>
          <w:spacing w:val="4"/>
          <w:sz w:val="28"/>
          <w:szCs w:val="28"/>
          <w14:textFill>
            <w14:solidFill>
              <w14:schemeClr w14:val="tx1"/>
            </w14:solidFill>
          </w14:textFill>
        </w:rPr>
      </w:pPr>
      <w:r>
        <w:rPr>
          <w:rFonts w:hint="eastAsia" w:ascii="宋体" w:hAnsi="宋体" w:cs="宋体"/>
          <w:b/>
          <w:bCs/>
          <w:color w:val="000000" w:themeColor="text1"/>
          <w:spacing w:val="4"/>
          <w:sz w:val="28"/>
          <w:szCs w:val="28"/>
          <w14:textFill>
            <w14:solidFill>
              <w14:schemeClr w14:val="tx1"/>
            </w14:solidFill>
          </w14:textFill>
        </w:rPr>
        <w:t xml:space="preserve">            </w:t>
      </w:r>
    </w:p>
    <w:p w14:paraId="4403F0D1">
      <w:pPr>
        <w:jc w:val="center"/>
        <w:rPr>
          <w:rFonts w:hint="eastAsia" w:ascii="宋体" w:hAnsi="宋体" w:cs="宋体"/>
          <w:b/>
          <w:bCs/>
          <w:color w:val="000000" w:themeColor="text1"/>
          <w:spacing w:val="4"/>
          <w:sz w:val="28"/>
          <w:szCs w:val="28"/>
          <w14:textFill>
            <w14:solidFill>
              <w14:schemeClr w14:val="tx1"/>
            </w14:solidFill>
          </w14:textFill>
        </w:rPr>
      </w:pPr>
    </w:p>
    <w:p w14:paraId="1267AF26">
      <w:pPr>
        <w:jc w:val="both"/>
        <w:outlineLvl w:val="0"/>
        <w:rPr>
          <w:rFonts w:hint="eastAsia" w:ascii="宋体" w:hAnsi="宋体" w:cs="宋体"/>
          <w:b/>
          <w:bCs/>
          <w:color w:val="000000" w:themeColor="text1"/>
          <w:spacing w:val="4"/>
          <w:sz w:val="28"/>
          <w:szCs w:val="28"/>
          <w14:textFill>
            <w14:solidFill>
              <w14:schemeClr w14:val="tx1"/>
            </w14:solidFill>
          </w14:textFill>
        </w:rPr>
      </w:pPr>
      <w:r>
        <w:rPr>
          <w:rFonts w:hint="eastAsia" w:ascii="宋体" w:hAnsi="宋体" w:cs="宋体"/>
          <w:b/>
          <w:bCs/>
          <w:color w:val="000000" w:themeColor="text1"/>
          <w:spacing w:val="4"/>
          <w:sz w:val="28"/>
          <w:szCs w:val="28"/>
          <w14:textFill>
            <w14:solidFill>
              <w14:schemeClr w14:val="tx1"/>
            </w14:solidFill>
          </w14:textFill>
        </w:rPr>
        <w:t xml:space="preserve">                                               </w:t>
      </w:r>
    </w:p>
    <w:p w14:paraId="13054BEC">
      <w:pPr>
        <w:ind w:firstLine="6938" w:firstLineChars="2400"/>
        <w:jc w:val="both"/>
        <w:outlineLvl w:val="0"/>
        <w:rPr>
          <w:rFonts w:hint="eastAsia"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pacing w:val="4"/>
          <w:sz w:val="28"/>
          <w:szCs w:val="28"/>
          <w14:textFill>
            <w14:solidFill>
              <w14:schemeClr w14:val="tx1"/>
            </w14:solidFill>
          </w14:textFill>
        </w:rPr>
        <w:t xml:space="preserve"> </w:t>
      </w:r>
    </w:p>
    <w:p w14:paraId="6CC2AA65">
      <w:pPr>
        <w:tabs>
          <w:tab w:val="center" w:pos="4698"/>
        </w:tabs>
        <w:spacing w:line="360" w:lineRule="auto"/>
        <w:outlineLvl w:val="0"/>
        <w:rPr>
          <w:rFonts w:ascii="宋体" w:hAnsi="宋体" w:cs="宋体"/>
          <w:b/>
          <w:bCs/>
          <w:color w:val="000000" w:themeColor="text1"/>
          <w:sz w:val="30"/>
          <w:szCs w:val="30"/>
          <w14:textFill>
            <w14:solidFill>
              <w14:schemeClr w14:val="tx1"/>
            </w14:solidFill>
          </w14:textFill>
        </w:rPr>
      </w:pPr>
      <w:bookmarkStart w:id="889" w:name="_Toc19191"/>
      <w:bookmarkStart w:id="890" w:name="_Toc16098"/>
      <w:bookmarkStart w:id="891" w:name="_Toc11924"/>
      <w:bookmarkStart w:id="892" w:name="_Toc2518"/>
      <w:bookmarkStart w:id="893" w:name="_Toc8114"/>
      <w:bookmarkStart w:id="894" w:name="_Toc30729"/>
      <w:bookmarkStart w:id="895" w:name="_Toc11980"/>
      <w:bookmarkStart w:id="896" w:name="_Toc32216"/>
      <w:r>
        <w:rPr>
          <w:rFonts w:hint="eastAsia" w:ascii="宋体" w:hAnsi="宋体" w:cs="宋体"/>
          <w:b/>
          <w:bCs/>
          <w:color w:val="000000" w:themeColor="text1"/>
          <w:sz w:val="30"/>
          <w:szCs w:val="30"/>
          <w:lang w:val="zh-CN"/>
          <w14:textFill>
            <w14:solidFill>
              <w14:schemeClr w14:val="tx1"/>
            </w14:solidFill>
          </w14:textFill>
        </w:rPr>
        <w:t>项目编号：</w:t>
      </w:r>
      <w:bookmarkEnd w:id="889"/>
      <w:bookmarkEnd w:id="890"/>
      <w:bookmarkEnd w:id="891"/>
      <w:bookmarkEnd w:id="892"/>
      <w:bookmarkEnd w:id="893"/>
      <w:bookmarkEnd w:id="894"/>
      <w:bookmarkEnd w:id="895"/>
      <w:bookmarkEnd w:id="896"/>
      <w:r>
        <w:rPr>
          <w:rFonts w:hint="eastAsia" w:ascii="宋体" w:hAnsi="宋体" w:cs="宋体"/>
          <w:b/>
          <w:bCs/>
          <w:color w:val="000000" w:themeColor="text1"/>
          <w:sz w:val="30"/>
          <w:szCs w:val="30"/>
          <w:lang w:val="zh-CN"/>
          <w14:textFill>
            <w14:solidFill>
              <w14:schemeClr w14:val="tx1"/>
            </w14:solidFill>
          </w14:textFill>
        </w:rPr>
        <w:t>SXCY2025-55</w:t>
      </w:r>
    </w:p>
    <w:p w14:paraId="6B3398B6">
      <w:pPr>
        <w:tabs>
          <w:tab w:val="center" w:pos="4698"/>
        </w:tabs>
        <w:spacing w:line="360" w:lineRule="auto"/>
        <w:rPr>
          <w:rFonts w:hint="eastAsia" w:ascii="宋体" w:hAnsi="宋体" w:cs="宋体"/>
          <w:b/>
          <w:bCs/>
          <w:color w:val="000000" w:themeColor="text1"/>
          <w:sz w:val="30"/>
          <w:szCs w:val="30"/>
          <w:lang w:val="zh-CN"/>
          <w14:textFill>
            <w14:solidFill>
              <w14:schemeClr w14:val="tx1"/>
            </w14:solidFill>
          </w14:textFill>
        </w:rPr>
      </w:pPr>
    </w:p>
    <w:p w14:paraId="11B096D9">
      <w:pPr>
        <w:pStyle w:val="11"/>
        <w:rPr>
          <w:rFonts w:hint="eastAsia"/>
          <w:color w:val="000000" w:themeColor="text1"/>
          <w:lang w:val="zh-CN"/>
          <w14:textFill>
            <w14:solidFill>
              <w14:schemeClr w14:val="tx1"/>
            </w14:solidFill>
          </w14:textFill>
        </w:rPr>
      </w:pPr>
    </w:p>
    <w:p w14:paraId="5DB9BD3A">
      <w:pPr>
        <w:pStyle w:val="11"/>
        <w:rPr>
          <w:rFonts w:hint="eastAsia"/>
          <w:color w:val="000000" w:themeColor="text1"/>
          <w:lang w:val="zh-CN"/>
          <w14:textFill>
            <w14:solidFill>
              <w14:schemeClr w14:val="tx1"/>
            </w14:solidFill>
          </w14:textFill>
        </w:rPr>
      </w:pPr>
    </w:p>
    <w:p w14:paraId="2EED3E9A">
      <w:pPr>
        <w:tabs>
          <w:tab w:val="center" w:pos="4698"/>
        </w:tabs>
        <w:spacing w:line="360" w:lineRule="auto"/>
        <w:rPr>
          <w:rFonts w:hint="eastAsia" w:ascii="宋体" w:hAnsi="宋体" w:cs="宋体"/>
          <w:color w:val="000000" w:themeColor="text1"/>
          <w:sz w:val="36"/>
          <w:szCs w:val="36"/>
          <w14:textFill>
            <w14:solidFill>
              <w14:schemeClr w14:val="tx1"/>
            </w14:solidFill>
          </w14:textFill>
        </w:rPr>
      </w:pPr>
    </w:p>
    <w:p w14:paraId="3F6EBB38">
      <w:pPr>
        <w:tabs>
          <w:tab w:val="left" w:pos="5670"/>
        </w:tabs>
        <w:autoSpaceDE w:val="0"/>
        <w:autoSpaceDN w:val="0"/>
        <w:adjustRightInd w:val="0"/>
        <w:snapToGrid w:val="0"/>
        <w:spacing w:line="360" w:lineRule="auto"/>
        <w:jc w:val="center"/>
        <w:rPr>
          <w:rFonts w:hint="eastAsia" w:ascii="宋体" w:hAnsi="宋体" w:cs="宋体"/>
          <w:b/>
          <w:bCs/>
          <w:color w:val="000000" w:themeColor="text1"/>
          <w:sz w:val="44"/>
          <w:szCs w:val="44"/>
          <w:lang w:val="zh-CN" w:eastAsia="zh-CN"/>
          <w14:textFill>
            <w14:solidFill>
              <w14:schemeClr w14:val="tx1"/>
            </w14:solidFill>
          </w14:textFill>
        </w:rPr>
      </w:pPr>
      <w:r>
        <w:rPr>
          <w:rFonts w:hint="eastAsia" w:ascii="宋体" w:hAnsi="宋体" w:cs="宋体"/>
          <w:b/>
          <w:bCs/>
          <w:color w:val="000000" w:themeColor="text1"/>
          <w:sz w:val="44"/>
          <w:szCs w:val="44"/>
          <w:lang w:val="zh-CN" w:eastAsia="zh-CN"/>
          <w14:textFill>
            <w14:solidFill>
              <w14:schemeClr w14:val="tx1"/>
            </w14:solidFill>
          </w14:textFill>
        </w:rPr>
        <w:t>延安市生态环境局延安市水生态监测能力</w:t>
      </w:r>
    </w:p>
    <w:p w14:paraId="637B3A89">
      <w:pPr>
        <w:tabs>
          <w:tab w:val="left" w:pos="5670"/>
        </w:tabs>
        <w:autoSpaceDE w:val="0"/>
        <w:autoSpaceDN w:val="0"/>
        <w:adjustRightInd w:val="0"/>
        <w:snapToGrid w:val="0"/>
        <w:spacing w:line="360" w:lineRule="auto"/>
        <w:jc w:val="center"/>
        <w:rPr>
          <w:rFonts w:hint="eastAsia" w:ascii="宋体" w:hAnsi="宋体" w:eastAsia="宋体" w:cs="宋体"/>
          <w:b/>
          <w:bCs/>
          <w:color w:val="000000" w:themeColor="text1"/>
          <w:sz w:val="44"/>
          <w:szCs w:val="44"/>
          <w:lang w:val="zh-CN" w:eastAsia="zh-CN"/>
          <w14:textFill>
            <w14:solidFill>
              <w14:schemeClr w14:val="tx1"/>
            </w14:solidFill>
          </w14:textFill>
        </w:rPr>
      </w:pPr>
      <w:r>
        <w:rPr>
          <w:rFonts w:hint="eastAsia" w:ascii="宋体" w:hAnsi="宋体" w:cs="宋体"/>
          <w:b/>
          <w:bCs/>
          <w:color w:val="000000" w:themeColor="text1"/>
          <w:sz w:val="44"/>
          <w:szCs w:val="44"/>
          <w:lang w:val="zh-CN" w:eastAsia="zh-CN"/>
          <w14:textFill>
            <w14:solidFill>
              <w14:schemeClr w14:val="tx1"/>
            </w14:solidFill>
          </w14:textFill>
        </w:rPr>
        <w:t>提升项目</w:t>
      </w:r>
    </w:p>
    <w:p w14:paraId="22F32007">
      <w:pPr>
        <w:pStyle w:val="8"/>
        <w:rPr>
          <w:rFonts w:hint="eastAsia" w:cs="宋体"/>
          <w:b/>
          <w:bCs/>
          <w:color w:val="000000" w:themeColor="text1"/>
          <w:sz w:val="52"/>
          <w:szCs w:val="52"/>
          <w:lang w:eastAsia="zh-CN"/>
          <w14:textFill>
            <w14:solidFill>
              <w14:schemeClr w14:val="tx1"/>
            </w14:solidFill>
          </w14:textFill>
        </w:rPr>
      </w:pPr>
    </w:p>
    <w:p w14:paraId="4AAD146C">
      <w:pPr>
        <w:pStyle w:val="24"/>
        <w:rPr>
          <w:rFonts w:hint="eastAsia" w:cs="宋体"/>
          <w:b/>
          <w:bCs/>
          <w:color w:val="000000" w:themeColor="text1"/>
          <w:sz w:val="52"/>
          <w:szCs w:val="52"/>
          <w:lang w:eastAsia="zh-CN"/>
          <w14:textFill>
            <w14:solidFill>
              <w14:schemeClr w14:val="tx1"/>
            </w14:solidFill>
          </w14:textFill>
        </w:rPr>
      </w:pPr>
    </w:p>
    <w:p w14:paraId="25C1E593">
      <w:pPr>
        <w:rPr>
          <w:rFonts w:hint="eastAsia" w:cs="宋体"/>
          <w:b/>
          <w:bCs/>
          <w:color w:val="000000" w:themeColor="text1"/>
          <w:sz w:val="52"/>
          <w:szCs w:val="52"/>
          <w:lang w:eastAsia="zh-CN"/>
          <w14:textFill>
            <w14:solidFill>
              <w14:schemeClr w14:val="tx1"/>
            </w14:solidFill>
          </w14:textFill>
        </w:rPr>
      </w:pPr>
    </w:p>
    <w:p w14:paraId="0814B761">
      <w:pPr>
        <w:pStyle w:val="11"/>
        <w:rPr>
          <w:rFonts w:hint="eastAsia"/>
          <w:color w:val="000000" w:themeColor="text1"/>
          <w:lang w:eastAsia="zh-CN"/>
          <w14:textFill>
            <w14:solidFill>
              <w14:schemeClr w14:val="tx1"/>
            </w14:solidFill>
          </w14:textFill>
        </w:rPr>
      </w:pPr>
    </w:p>
    <w:p w14:paraId="563CDC32">
      <w:pPr>
        <w:rPr>
          <w:rFonts w:hint="eastAsia"/>
          <w:color w:val="000000" w:themeColor="text1"/>
          <w:lang w:eastAsia="zh-CN"/>
          <w14:textFill>
            <w14:solidFill>
              <w14:schemeClr w14:val="tx1"/>
            </w14:solidFill>
          </w14:textFill>
        </w:rPr>
      </w:pPr>
    </w:p>
    <w:p w14:paraId="4956D668">
      <w:pPr>
        <w:rPr>
          <w:rFonts w:hint="eastAsia"/>
          <w:color w:val="000000" w:themeColor="text1"/>
          <w:lang w:val="zh-CN"/>
          <w14:textFill>
            <w14:solidFill>
              <w14:schemeClr w14:val="tx1"/>
            </w14:solidFill>
          </w14:textFill>
        </w:rPr>
      </w:pPr>
    </w:p>
    <w:p w14:paraId="7686D176">
      <w:pPr>
        <w:tabs>
          <w:tab w:val="left" w:pos="5670"/>
        </w:tabs>
        <w:autoSpaceDE w:val="0"/>
        <w:autoSpaceDN w:val="0"/>
        <w:adjustRightInd w:val="0"/>
        <w:snapToGrid w:val="0"/>
        <w:spacing w:line="360" w:lineRule="auto"/>
        <w:jc w:val="center"/>
        <w:rPr>
          <w:rFonts w:hint="eastAsia" w:ascii="宋体" w:hAnsi="宋体" w:cs="宋体"/>
          <w:b/>
          <w:bCs/>
          <w:color w:val="000000" w:themeColor="text1"/>
          <w:sz w:val="56"/>
          <w:szCs w:val="56"/>
          <w:lang w:val="zh-CN"/>
          <w14:textFill>
            <w14:solidFill>
              <w14:schemeClr w14:val="tx1"/>
            </w14:solidFill>
          </w14:textFill>
        </w:rPr>
      </w:pPr>
      <w:r>
        <w:rPr>
          <w:rFonts w:hint="eastAsia" w:ascii="宋体" w:hAnsi="宋体" w:cs="宋体"/>
          <w:b/>
          <w:bCs/>
          <w:color w:val="000000" w:themeColor="text1"/>
          <w:sz w:val="56"/>
          <w:szCs w:val="56"/>
          <w:lang w:val="zh-CN"/>
          <w14:textFill>
            <w14:solidFill>
              <w14:schemeClr w14:val="tx1"/>
            </w14:solidFill>
          </w14:textFill>
        </w:rPr>
        <w:t>投标文件</w:t>
      </w:r>
    </w:p>
    <w:p w14:paraId="61CDE928">
      <w:pPr>
        <w:tabs>
          <w:tab w:val="center" w:pos="4698"/>
        </w:tabs>
        <w:spacing w:line="360" w:lineRule="auto"/>
        <w:rPr>
          <w:rFonts w:hint="eastAsia" w:ascii="宋体" w:hAnsi="宋体" w:cs="宋体"/>
          <w:color w:val="000000" w:themeColor="text1"/>
          <w:sz w:val="30"/>
          <w:szCs w:val="30"/>
          <w14:textFill>
            <w14:solidFill>
              <w14:schemeClr w14:val="tx1"/>
            </w14:solidFill>
          </w14:textFill>
        </w:rPr>
      </w:pPr>
    </w:p>
    <w:p w14:paraId="3637D8D7">
      <w:pPr>
        <w:pStyle w:val="81"/>
        <w:rPr>
          <w:rFonts w:hint="eastAsia"/>
          <w:color w:val="000000" w:themeColor="text1"/>
          <w14:textFill>
            <w14:solidFill>
              <w14:schemeClr w14:val="tx1"/>
            </w14:solidFill>
          </w14:textFill>
        </w:rPr>
      </w:pPr>
    </w:p>
    <w:p w14:paraId="228B8531">
      <w:pPr>
        <w:pStyle w:val="81"/>
        <w:rPr>
          <w:rFonts w:hint="eastAsia"/>
          <w:color w:val="000000" w:themeColor="text1"/>
          <w14:textFill>
            <w14:solidFill>
              <w14:schemeClr w14:val="tx1"/>
            </w14:solidFill>
          </w14:textFill>
        </w:rPr>
      </w:pPr>
    </w:p>
    <w:p w14:paraId="5F4E1946">
      <w:pPr>
        <w:pStyle w:val="11"/>
        <w:rPr>
          <w:rFonts w:hint="eastAsia" w:ascii="宋体" w:hAnsi="宋体" w:cs="宋体"/>
          <w:color w:val="000000" w:themeColor="text1"/>
          <w14:textFill>
            <w14:solidFill>
              <w14:schemeClr w14:val="tx1"/>
            </w14:solidFill>
          </w14:textFill>
        </w:rPr>
      </w:pPr>
    </w:p>
    <w:p w14:paraId="28CDAABA">
      <w:pPr>
        <w:rPr>
          <w:rFonts w:hint="eastAsia" w:ascii="宋体" w:hAnsi="宋体" w:cs="宋体"/>
          <w:color w:val="000000" w:themeColor="text1"/>
          <w14:textFill>
            <w14:solidFill>
              <w14:schemeClr w14:val="tx1"/>
            </w14:solidFill>
          </w14:textFill>
        </w:rPr>
      </w:pPr>
    </w:p>
    <w:p w14:paraId="784D3206">
      <w:pPr>
        <w:rPr>
          <w:rFonts w:hint="eastAsia" w:ascii="宋体" w:hAnsi="宋体" w:cs="宋体"/>
          <w:color w:val="000000" w:themeColor="text1"/>
          <w:sz w:val="28"/>
          <w:szCs w:val="28"/>
          <w14:textFill>
            <w14:solidFill>
              <w14:schemeClr w14:val="tx1"/>
            </w14:solidFill>
          </w14:textFill>
        </w:rPr>
      </w:pPr>
    </w:p>
    <w:p w14:paraId="1CD3DBF7">
      <w:pPr>
        <w:keepNext w:val="0"/>
        <w:keepLines w:val="0"/>
        <w:pageBreakBefore w:val="0"/>
        <w:widowControl w:val="0"/>
        <w:kinsoku/>
        <w:wordWrap/>
        <w:overflowPunct/>
        <w:topLinePunct w:val="0"/>
        <w:autoSpaceDE/>
        <w:autoSpaceDN/>
        <w:bidi w:val="0"/>
        <w:adjustRightInd/>
        <w:snapToGrid/>
        <w:spacing w:line="480" w:lineRule="auto"/>
        <w:ind w:firstLine="1124" w:firstLineChars="400"/>
        <w:textAlignment w:val="auto"/>
        <w:outlineLvl w:val="0"/>
        <w:rPr>
          <w:rFonts w:hint="eastAsia" w:ascii="宋体" w:hAnsi="宋体" w:cs="宋体"/>
          <w:b/>
          <w:color w:val="000000" w:themeColor="text1"/>
          <w:sz w:val="28"/>
          <w:szCs w:val="28"/>
          <w:u w:val="single"/>
          <w14:textFill>
            <w14:solidFill>
              <w14:schemeClr w14:val="tx1"/>
            </w14:solidFill>
          </w14:textFill>
        </w:rPr>
      </w:pPr>
      <w:bookmarkStart w:id="897" w:name="_Toc20039"/>
      <w:bookmarkStart w:id="898" w:name="_Toc12328"/>
      <w:bookmarkStart w:id="899" w:name="_Toc25034"/>
      <w:bookmarkStart w:id="900" w:name="_Toc31983"/>
      <w:bookmarkStart w:id="901" w:name="_Toc26575"/>
      <w:bookmarkStart w:id="902" w:name="_Toc6619"/>
      <w:bookmarkStart w:id="903" w:name="_Toc13959"/>
      <w:bookmarkStart w:id="904" w:name="_Toc12193"/>
      <w:bookmarkStart w:id="905" w:name="_Hlk519177560"/>
      <w:r>
        <w:rPr>
          <w:rFonts w:hint="eastAsia" w:ascii="宋体" w:hAnsi="宋体" w:cs="宋体"/>
          <w:b/>
          <w:color w:val="000000" w:themeColor="text1"/>
          <w:sz w:val="28"/>
          <w:szCs w:val="28"/>
          <w14:textFill>
            <w14:solidFill>
              <w14:schemeClr w14:val="tx1"/>
            </w14:solidFill>
          </w14:textFill>
        </w:rPr>
        <w:t>投标人：</w:t>
      </w:r>
      <w:r>
        <w:rPr>
          <w:rFonts w:hint="eastAsia" w:ascii="宋体" w:hAnsi="宋体" w:cs="宋体"/>
          <w:bCs/>
          <w:color w:val="000000" w:themeColor="text1"/>
          <w:sz w:val="28"/>
          <w:szCs w:val="28"/>
          <w:u w:val="single"/>
          <w14:textFill>
            <w14:solidFill>
              <w14:schemeClr w14:val="tx1"/>
            </w14:solidFill>
          </w14:textFill>
        </w:rPr>
        <w:t xml:space="preserve">   </w:t>
      </w:r>
      <w:r>
        <w:rPr>
          <w:rFonts w:hint="eastAsia" w:ascii="宋体" w:hAnsi="宋体" w:cs="宋体"/>
          <w:b/>
          <w:bCs w:val="0"/>
          <w:color w:val="000000" w:themeColor="text1"/>
          <w:sz w:val="28"/>
          <w:szCs w:val="28"/>
          <w:u w:val="single"/>
          <w14:textFill>
            <w14:solidFill>
              <w14:schemeClr w14:val="tx1"/>
            </w14:solidFill>
          </w14:textFill>
        </w:rPr>
        <w:t xml:space="preserve">（单位全称）  </w:t>
      </w:r>
      <w:r>
        <w:rPr>
          <w:rFonts w:hint="eastAsia" w:ascii="宋体" w:hAnsi="宋体" w:cs="宋体"/>
          <w:b/>
          <w:color w:val="000000" w:themeColor="text1"/>
          <w:sz w:val="28"/>
          <w:szCs w:val="28"/>
          <w14:textFill>
            <w14:solidFill>
              <w14:schemeClr w14:val="tx1"/>
            </w14:solidFill>
          </w14:textFill>
        </w:rPr>
        <w:t>（盖单位公章）</w:t>
      </w:r>
      <w:bookmarkEnd w:id="897"/>
      <w:bookmarkEnd w:id="898"/>
      <w:bookmarkEnd w:id="899"/>
      <w:bookmarkEnd w:id="900"/>
      <w:bookmarkEnd w:id="901"/>
      <w:bookmarkEnd w:id="902"/>
      <w:bookmarkEnd w:id="903"/>
      <w:bookmarkEnd w:id="904"/>
    </w:p>
    <w:p w14:paraId="2218EA37">
      <w:pPr>
        <w:keepNext w:val="0"/>
        <w:keepLines w:val="0"/>
        <w:pageBreakBefore w:val="0"/>
        <w:widowControl w:val="0"/>
        <w:kinsoku/>
        <w:wordWrap/>
        <w:overflowPunct/>
        <w:topLinePunct w:val="0"/>
        <w:autoSpaceDE/>
        <w:autoSpaceDN/>
        <w:bidi w:val="0"/>
        <w:adjustRightInd/>
        <w:snapToGrid/>
        <w:spacing w:line="480" w:lineRule="auto"/>
        <w:ind w:firstLine="1124" w:firstLineChars="400"/>
        <w:textAlignment w:val="auto"/>
        <w:outlineLvl w:val="0"/>
        <w:rPr>
          <w:rFonts w:hint="eastAsia" w:ascii="宋体" w:hAnsi="宋体" w:cs="宋体"/>
          <w:b/>
          <w:color w:val="000000" w:themeColor="text1"/>
          <w:sz w:val="28"/>
          <w:szCs w:val="28"/>
          <w14:textFill>
            <w14:solidFill>
              <w14:schemeClr w14:val="tx1"/>
            </w14:solidFill>
          </w14:textFill>
        </w:rPr>
      </w:pPr>
      <w:bookmarkStart w:id="906" w:name="_Toc13879"/>
      <w:bookmarkStart w:id="907" w:name="_Toc12443"/>
      <w:bookmarkStart w:id="908" w:name="_Toc2875"/>
      <w:bookmarkStart w:id="909" w:name="_Toc1582"/>
      <w:bookmarkStart w:id="910" w:name="_Toc343512253"/>
      <w:bookmarkStart w:id="911" w:name="_Toc9955"/>
      <w:bookmarkStart w:id="912" w:name="_Toc24127"/>
      <w:bookmarkStart w:id="913" w:name="_Toc23903"/>
      <w:bookmarkStart w:id="914" w:name="_Toc7290"/>
      <w:r>
        <w:rPr>
          <w:rFonts w:hint="eastAsia" w:ascii="宋体" w:hAnsi="宋体" w:cs="宋体"/>
          <w:b/>
          <w:color w:val="000000" w:themeColor="text1"/>
          <w:sz w:val="28"/>
          <w:szCs w:val="28"/>
          <w14:textFill>
            <w14:solidFill>
              <w14:schemeClr w14:val="tx1"/>
            </w14:solidFill>
          </w14:textFill>
        </w:rPr>
        <w:t>法定代表人：</w:t>
      </w:r>
      <w:r>
        <w:rPr>
          <w:rFonts w:hint="eastAsia" w:ascii="宋体" w:hAnsi="宋体" w:cs="宋体"/>
          <w:bCs/>
          <w:color w:val="000000" w:themeColor="text1"/>
          <w:sz w:val="28"/>
          <w:szCs w:val="28"/>
          <w:u w:val="single"/>
          <w14:textFill>
            <w14:solidFill>
              <w14:schemeClr w14:val="tx1"/>
            </w14:solidFill>
          </w14:textFill>
        </w:rPr>
        <w:t xml:space="preserve">        </w:t>
      </w:r>
      <w:r>
        <w:rPr>
          <w:rFonts w:hint="eastAsia" w:ascii="宋体" w:hAnsi="宋体" w:cs="宋体"/>
          <w:b/>
          <w:color w:val="000000" w:themeColor="text1"/>
          <w:sz w:val="28"/>
          <w:szCs w:val="28"/>
          <w14:textFill>
            <w14:solidFill>
              <w14:schemeClr w14:val="tx1"/>
            </w14:solidFill>
          </w14:textFill>
        </w:rPr>
        <w:t>（签字或法人印鉴）</w:t>
      </w:r>
      <w:bookmarkEnd w:id="906"/>
      <w:bookmarkEnd w:id="907"/>
      <w:bookmarkEnd w:id="908"/>
      <w:bookmarkEnd w:id="909"/>
      <w:bookmarkEnd w:id="910"/>
      <w:bookmarkEnd w:id="911"/>
      <w:bookmarkEnd w:id="912"/>
      <w:bookmarkEnd w:id="913"/>
      <w:bookmarkEnd w:id="914"/>
    </w:p>
    <w:p w14:paraId="0CDD2298">
      <w:pPr>
        <w:keepNext w:val="0"/>
        <w:keepLines w:val="0"/>
        <w:pageBreakBefore w:val="0"/>
        <w:widowControl w:val="0"/>
        <w:kinsoku/>
        <w:wordWrap/>
        <w:overflowPunct/>
        <w:topLinePunct w:val="0"/>
        <w:autoSpaceDE/>
        <w:autoSpaceDN/>
        <w:bidi w:val="0"/>
        <w:adjustRightInd/>
        <w:snapToGrid/>
        <w:spacing w:line="480" w:lineRule="auto"/>
        <w:ind w:firstLine="1124" w:firstLineChars="400"/>
        <w:textAlignment w:val="auto"/>
        <w:outlineLvl w:val="0"/>
        <w:rPr>
          <w:rFonts w:hint="eastAsia" w:ascii="宋体" w:hAnsi="宋体" w:cs="宋体"/>
          <w:b/>
          <w:color w:val="000000" w:themeColor="text1"/>
          <w:sz w:val="28"/>
          <w:szCs w:val="28"/>
          <w14:textFill>
            <w14:solidFill>
              <w14:schemeClr w14:val="tx1"/>
            </w14:solidFill>
          </w14:textFill>
        </w:rPr>
      </w:pPr>
      <w:bookmarkStart w:id="915" w:name="_Toc28259"/>
      <w:bookmarkStart w:id="916" w:name="_Toc18563"/>
      <w:bookmarkStart w:id="917" w:name="_Toc11005"/>
      <w:bookmarkStart w:id="918" w:name="_Toc29467"/>
      <w:bookmarkStart w:id="919" w:name="_Toc1301"/>
      <w:bookmarkStart w:id="920" w:name="_Toc27789"/>
      <w:bookmarkStart w:id="921" w:name="_Toc23630"/>
      <w:bookmarkStart w:id="922" w:name="_Toc9488"/>
      <w:r>
        <w:rPr>
          <w:rFonts w:hint="eastAsia" w:ascii="宋体" w:hAnsi="宋体" w:cs="宋体"/>
          <w:b/>
          <w:color w:val="000000" w:themeColor="text1"/>
          <w:sz w:val="28"/>
          <w:szCs w:val="28"/>
          <w14:textFill>
            <w14:solidFill>
              <w14:schemeClr w14:val="tx1"/>
            </w14:solidFill>
          </w14:textFill>
        </w:rPr>
        <w:t>委托代理人：</w:t>
      </w:r>
      <w:r>
        <w:rPr>
          <w:rFonts w:hint="eastAsia" w:ascii="宋体" w:hAnsi="宋体" w:cs="宋体"/>
          <w:bCs/>
          <w:color w:val="000000" w:themeColor="text1"/>
          <w:sz w:val="28"/>
          <w:szCs w:val="28"/>
          <w:u w:val="single"/>
          <w14:textFill>
            <w14:solidFill>
              <w14:schemeClr w14:val="tx1"/>
            </w14:solidFill>
          </w14:textFill>
        </w:rPr>
        <w:t xml:space="preserve">        </w:t>
      </w:r>
      <w:r>
        <w:rPr>
          <w:rFonts w:hint="eastAsia" w:ascii="宋体" w:hAnsi="宋体" w:cs="宋体"/>
          <w:b/>
          <w:color w:val="000000" w:themeColor="text1"/>
          <w:sz w:val="28"/>
          <w:szCs w:val="28"/>
          <w14:textFill>
            <w14:solidFill>
              <w14:schemeClr w14:val="tx1"/>
            </w14:solidFill>
          </w14:textFill>
        </w:rPr>
        <w:t>（签字）</w:t>
      </w:r>
      <w:bookmarkEnd w:id="915"/>
      <w:bookmarkEnd w:id="916"/>
      <w:bookmarkEnd w:id="917"/>
      <w:bookmarkEnd w:id="918"/>
      <w:bookmarkEnd w:id="919"/>
      <w:bookmarkEnd w:id="920"/>
      <w:bookmarkEnd w:id="921"/>
      <w:bookmarkEnd w:id="922"/>
    </w:p>
    <w:p w14:paraId="7DBCE2E0">
      <w:pPr>
        <w:keepNext w:val="0"/>
        <w:keepLines w:val="0"/>
        <w:pageBreakBefore w:val="0"/>
        <w:widowControl w:val="0"/>
        <w:kinsoku/>
        <w:wordWrap/>
        <w:overflowPunct/>
        <w:topLinePunct w:val="0"/>
        <w:autoSpaceDE/>
        <w:autoSpaceDN/>
        <w:bidi w:val="0"/>
        <w:adjustRightInd/>
        <w:snapToGrid/>
        <w:spacing w:line="480" w:lineRule="auto"/>
        <w:ind w:firstLine="1405" w:firstLineChars="500"/>
        <w:jc w:val="both"/>
        <w:textAlignment w:val="auto"/>
        <w:rPr>
          <w:rFonts w:hint="eastAsia" w:ascii="宋体" w:hAnsi="宋体" w:cs="宋体"/>
          <w:b/>
          <w:color w:val="000000" w:themeColor="text1"/>
          <w:sz w:val="28"/>
          <w:szCs w:val="28"/>
          <w14:textFill>
            <w14:solidFill>
              <w14:schemeClr w14:val="tx1"/>
            </w14:solidFill>
          </w14:textFill>
        </w:rPr>
      </w:pPr>
      <w:bookmarkStart w:id="923" w:name="_Toc343512254"/>
      <w:r>
        <w:rPr>
          <w:rFonts w:hint="eastAsia" w:ascii="宋体" w:hAnsi="宋体" w:cs="宋体"/>
          <w:b/>
          <w:color w:val="000000" w:themeColor="text1"/>
          <w:sz w:val="28"/>
          <w:szCs w:val="28"/>
          <w14:textFill>
            <w14:solidFill>
              <w14:schemeClr w14:val="tx1"/>
            </w14:solidFill>
          </w14:textFill>
        </w:rPr>
        <w:t xml:space="preserve">  年    月    日</w:t>
      </w:r>
      <w:bookmarkEnd w:id="923"/>
    </w:p>
    <w:bookmarkEnd w:id="905"/>
    <w:p w14:paraId="25E8323C">
      <w:pPr>
        <w:spacing w:line="360" w:lineRule="auto"/>
        <w:ind w:firstLine="855"/>
        <w:rPr>
          <w:rFonts w:hint="eastAsia" w:ascii="宋体" w:hAnsi="宋体" w:cs="宋体"/>
          <w:color w:val="000000" w:themeColor="text1"/>
          <w:sz w:val="28"/>
          <w14:textFill>
            <w14:solidFill>
              <w14:schemeClr w14:val="tx1"/>
            </w14:solidFill>
          </w14:textFill>
        </w:rPr>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5FB97A9A">
      <w:pPr>
        <w:spacing w:line="360" w:lineRule="auto"/>
        <w:jc w:val="center"/>
        <w:rPr>
          <w:rFonts w:hint="eastAsia" w:ascii="宋体" w:hAnsi="宋体" w:cs="宋体"/>
          <w:b/>
          <w:color w:val="000000" w:themeColor="text1"/>
          <w:sz w:val="44"/>
          <w:szCs w:val="44"/>
          <w14:textFill>
            <w14:solidFill>
              <w14:schemeClr w14:val="tx1"/>
            </w14:solidFill>
          </w14:textFill>
        </w:rPr>
      </w:pPr>
      <w:bookmarkStart w:id="924" w:name="_Toc152045787"/>
      <w:bookmarkStart w:id="925" w:name="_Toc152042576"/>
      <w:bookmarkStart w:id="926" w:name="_Toc247085873"/>
      <w:bookmarkStart w:id="927" w:name="_Toc144974856"/>
      <w:bookmarkStart w:id="928" w:name="_Toc246996355"/>
      <w:bookmarkStart w:id="929" w:name="_Toc179632807"/>
      <w:bookmarkStart w:id="930" w:name="_Toc246997098"/>
      <w:bookmarkStart w:id="931" w:name="_Toc343512255"/>
      <w:bookmarkStart w:id="932" w:name="_Toc132684575"/>
      <w:bookmarkStart w:id="933" w:name="_Toc145989459"/>
      <w:bookmarkStart w:id="934" w:name="_Toc169940965"/>
      <w:r>
        <w:rPr>
          <w:rFonts w:hint="eastAsia" w:ascii="宋体" w:hAnsi="宋体" w:cs="宋体"/>
          <w:b/>
          <w:color w:val="000000" w:themeColor="text1"/>
          <w:sz w:val="44"/>
          <w:szCs w:val="44"/>
          <w14:textFill>
            <w14:solidFill>
              <w14:schemeClr w14:val="tx1"/>
            </w14:solidFill>
          </w14:textFill>
        </w:rPr>
        <w:t>目    录</w:t>
      </w:r>
      <w:bookmarkEnd w:id="924"/>
      <w:bookmarkEnd w:id="925"/>
      <w:bookmarkEnd w:id="926"/>
      <w:bookmarkEnd w:id="927"/>
      <w:bookmarkEnd w:id="928"/>
      <w:bookmarkEnd w:id="929"/>
      <w:bookmarkEnd w:id="930"/>
      <w:bookmarkEnd w:id="931"/>
    </w:p>
    <w:p w14:paraId="40109799">
      <w:pPr>
        <w:spacing w:line="360" w:lineRule="auto"/>
        <w:ind w:firstLine="643" w:firstLineChars="200"/>
        <w:rPr>
          <w:rFonts w:hint="eastAsia" w:ascii="宋体" w:hAnsi="宋体" w:cs="宋体"/>
          <w:b/>
          <w:color w:val="000000" w:themeColor="text1"/>
          <w:sz w:val="32"/>
          <w:szCs w:val="32"/>
          <w14:textFill>
            <w14:solidFill>
              <w14:schemeClr w14:val="tx1"/>
            </w14:solidFill>
          </w14:textFill>
        </w:rPr>
      </w:pPr>
    </w:p>
    <w:p w14:paraId="1C407E4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562" w:firstLineChars="200"/>
        <w:textAlignment w:val="auto"/>
        <w:rPr>
          <w:rFonts w:hint="eastAsia" w:ascii="宋体" w:hAnsi="宋体" w:cs="宋体"/>
          <w:b/>
          <w:color w:val="000000" w:themeColor="text1"/>
          <w:sz w:val="28"/>
          <w:szCs w:val="28"/>
          <w14:textFill>
            <w14:solidFill>
              <w14:schemeClr w14:val="tx1"/>
            </w14:solidFill>
          </w14:textFill>
        </w:rPr>
      </w:pPr>
      <w:bookmarkStart w:id="935" w:name="_Toc343512258"/>
      <w:r>
        <w:rPr>
          <w:rFonts w:hint="eastAsia" w:ascii="宋体" w:hAnsi="宋体" w:cs="宋体"/>
          <w:b/>
          <w:color w:val="000000" w:themeColor="text1"/>
          <w:sz w:val="28"/>
          <w:szCs w:val="28"/>
          <w:lang w:val="en-US" w:eastAsia="zh-CN"/>
          <w14:textFill>
            <w14:solidFill>
              <w14:schemeClr w14:val="tx1"/>
            </w14:solidFill>
          </w14:textFill>
        </w:rPr>
        <w:t>一、</w:t>
      </w:r>
      <w:r>
        <w:rPr>
          <w:rFonts w:hint="eastAsia" w:ascii="宋体" w:hAnsi="宋体" w:cs="宋体"/>
          <w:b/>
          <w:color w:val="000000" w:themeColor="text1"/>
          <w:sz w:val="28"/>
          <w:szCs w:val="28"/>
          <w14:textFill>
            <w14:solidFill>
              <w14:schemeClr w14:val="tx1"/>
            </w14:solidFill>
          </w14:textFill>
        </w:rPr>
        <w:t>资格证明文件</w:t>
      </w:r>
    </w:p>
    <w:bookmarkEnd w:id="935"/>
    <w:p w14:paraId="65DB0C98">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二</w:t>
      </w:r>
      <w:r>
        <w:rPr>
          <w:rFonts w:hint="eastAsia" w:ascii="宋体" w:hAnsi="宋体" w:cs="宋体"/>
          <w:b/>
          <w:color w:val="000000" w:themeColor="text1"/>
          <w:sz w:val="28"/>
          <w:szCs w:val="28"/>
          <w14:textFill>
            <w14:solidFill>
              <w14:schemeClr w14:val="tx1"/>
            </w14:solidFill>
          </w14:textFill>
        </w:rPr>
        <w:t>、投标函</w:t>
      </w:r>
    </w:p>
    <w:p w14:paraId="5F1EFF47">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cs="宋体"/>
          <w:b/>
          <w:color w:val="000000" w:themeColor="text1"/>
          <w:sz w:val="28"/>
          <w:szCs w:val="28"/>
          <w:lang w:eastAsia="zh-CN"/>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三、</w:t>
      </w:r>
      <w:r>
        <w:rPr>
          <w:rFonts w:hint="eastAsia" w:ascii="宋体" w:hAnsi="宋体" w:cs="宋体"/>
          <w:b/>
          <w:color w:val="000000" w:themeColor="text1"/>
          <w:sz w:val="28"/>
          <w:szCs w:val="28"/>
          <w:lang w:eastAsia="zh-CN"/>
          <w14:textFill>
            <w14:solidFill>
              <w14:schemeClr w14:val="tx1"/>
            </w14:solidFill>
          </w14:textFill>
        </w:rPr>
        <w:t>投标报价一览表</w:t>
      </w:r>
    </w:p>
    <w:p w14:paraId="4201EE97">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color w:val="000000" w:themeColor="text1"/>
          <w:sz w:val="28"/>
          <w:szCs w:val="28"/>
          <w:lang w:eastAsia="zh-CN"/>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四、</w:t>
      </w:r>
      <w:r>
        <w:rPr>
          <w:rFonts w:hint="eastAsia" w:ascii="宋体" w:hAnsi="宋体" w:eastAsia="宋体" w:cs="宋体"/>
          <w:b/>
          <w:color w:val="000000" w:themeColor="text1"/>
          <w:sz w:val="28"/>
          <w:szCs w:val="28"/>
          <w:lang w:eastAsia="zh-CN"/>
          <w14:textFill>
            <w14:solidFill>
              <w14:schemeClr w14:val="tx1"/>
            </w14:solidFill>
          </w14:textFill>
        </w:rPr>
        <w:t xml:space="preserve"> </w:t>
      </w:r>
      <w:r>
        <w:rPr>
          <w:rFonts w:hint="eastAsia" w:ascii="宋体" w:hAnsi="宋体" w:eastAsia="宋体" w:cs="宋体"/>
          <w:b/>
          <w:color w:val="000000" w:themeColor="text1"/>
          <w:sz w:val="28"/>
          <w:szCs w:val="28"/>
          <w:lang w:val="en-US" w:eastAsia="zh-CN"/>
          <w14:textFill>
            <w14:solidFill>
              <w14:schemeClr w14:val="tx1"/>
            </w14:solidFill>
          </w14:textFill>
        </w:rPr>
        <w:t>投标</w:t>
      </w:r>
      <w:r>
        <w:rPr>
          <w:rFonts w:hint="eastAsia" w:ascii="宋体" w:hAnsi="宋体" w:eastAsia="宋体" w:cs="宋体"/>
          <w:b/>
          <w:color w:val="000000" w:themeColor="text1"/>
          <w:sz w:val="28"/>
          <w:szCs w:val="28"/>
          <w:lang w:eastAsia="zh-CN"/>
          <w14:textFill>
            <w14:solidFill>
              <w14:schemeClr w14:val="tx1"/>
            </w14:solidFill>
          </w14:textFill>
        </w:rPr>
        <w:t>分项报价表</w:t>
      </w:r>
    </w:p>
    <w:p w14:paraId="4A6F95CF">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color w:val="000000" w:themeColor="text1"/>
          <w:sz w:val="28"/>
          <w:szCs w:val="28"/>
          <w:lang w:eastAsia="zh-CN"/>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五、</w:t>
      </w:r>
      <w:r>
        <w:rPr>
          <w:rFonts w:hint="eastAsia" w:ascii="宋体" w:hAnsi="宋体" w:eastAsia="宋体" w:cs="宋体"/>
          <w:b/>
          <w:color w:val="000000" w:themeColor="text1"/>
          <w:sz w:val="28"/>
          <w:szCs w:val="28"/>
          <w:lang w:eastAsia="zh-CN"/>
          <w14:textFill>
            <w14:solidFill>
              <w14:schemeClr w14:val="tx1"/>
            </w14:solidFill>
          </w14:textFill>
        </w:rPr>
        <w:t>偏离表</w:t>
      </w:r>
    </w:p>
    <w:p w14:paraId="49DE0B30">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六</w:t>
      </w:r>
      <w:r>
        <w:rPr>
          <w:rFonts w:hint="eastAsia" w:ascii="宋体" w:hAnsi="宋体" w:cs="宋体"/>
          <w:b/>
          <w:color w:val="000000" w:themeColor="text1"/>
          <w:sz w:val="28"/>
          <w:szCs w:val="28"/>
          <w14:textFill>
            <w14:solidFill>
              <w14:schemeClr w14:val="tx1"/>
            </w14:solidFill>
          </w14:textFill>
        </w:rPr>
        <w:t>、陕西省政府采购供应商拒绝政府采购领域商业贿赂承诺书</w:t>
      </w:r>
    </w:p>
    <w:p w14:paraId="50573997">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七</w:t>
      </w:r>
      <w:r>
        <w:rPr>
          <w:rFonts w:hint="eastAsia" w:ascii="宋体" w:hAnsi="宋体" w:cs="宋体"/>
          <w:b/>
          <w:color w:val="000000" w:themeColor="text1"/>
          <w:sz w:val="28"/>
          <w:szCs w:val="28"/>
          <w14:textFill>
            <w14:solidFill>
              <w14:schemeClr w14:val="tx1"/>
            </w14:solidFill>
          </w14:textFill>
        </w:rPr>
        <w:t>、技术部分响应内容</w:t>
      </w:r>
    </w:p>
    <w:p w14:paraId="22523A7C">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八</w:t>
      </w:r>
      <w:r>
        <w:rPr>
          <w:rFonts w:hint="eastAsia" w:ascii="宋体" w:hAnsi="宋体" w:cs="宋体"/>
          <w:b/>
          <w:color w:val="000000" w:themeColor="text1"/>
          <w:sz w:val="28"/>
          <w:szCs w:val="28"/>
          <w14:textFill>
            <w14:solidFill>
              <w14:schemeClr w14:val="tx1"/>
            </w14:solidFill>
          </w14:textFill>
        </w:rPr>
        <w:t>、商务部分响应内容</w:t>
      </w:r>
    </w:p>
    <w:p w14:paraId="66DDA2DF">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九</w:t>
      </w:r>
      <w:r>
        <w:rPr>
          <w:rFonts w:hint="eastAsia" w:ascii="宋体" w:hAnsi="宋体" w:cs="宋体"/>
          <w:b/>
          <w:color w:val="000000" w:themeColor="text1"/>
          <w:sz w:val="28"/>
          <w:szCs w:val="28"/>
          <w14:textFill>
            <w14:solidFill>
              <w14:schemeClr w14:val="tx1"/>
            </w14:solidFill>
          </w14:textFill>
        </w:rPr>
        <w:t>、其他资料</w:t>
      </w:r>
    </w:p>
    <w:p w14:paraId="1D51A844">
      <w:pPr>
        <w:pStyle w:val="16"/>
        <w:spacing w:line="360" w:lineRule="auto"/>
        <w:rPr>
          <w:rFonts w:hint="eastAsia" w:hAnsi="宋体"/>
          <w:b/>
          <w:color w:val="000000" w:themeColor="text1"/>
          <w:sz w:val="28"/>
          <w:szCs w:val="28"/>
          <w14:textFill>
            <w14:solidFill>
              <w14:schemeClr w14:val="tx1"/>
            </w14:solidFill>
          </w14:textFill>
        </w:rPr>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p>
    <w:bookmarkEnd w:id="932"/>
    <w:bookmarkEnd w:id="933"/>
    <w:bookmarkEnd w:id="934"/>
    <w:p w14:paraId="3DFFC03D">
      <w:pPr>
        <w:numPr>
          <w:ilvl w:val="0"/>
          <w:numId w:val="16"/>
        </w:numPr>
        <w:spacing w:line="360" w:lineRule="auto"/>
        <w:jc w:val="center"/>
        <w:outlineLvl w:val="1"/>
        <w:rPr>
          <w:rFonts w:hint="eastAsia" w:ascii="宋体" w:hAnsi="宋体" w:cs="宋体"/>
          <w:b/>
          <w:color w:val="000000" w:themeColor="text1"/>
          <w:sz w:val="28"/>
          <w:szCs w:val="28"/>
          <w14:textFill>
            <w14:solidFill>
              <w14:schemeClr w14:val="tx1"/>
            </w14:solidFill>
          </w14:textFill>
        </w:rPr>
      </w:pPr>
      <w:bookmarkStart w:id="936" w:name="_Toc246997115"/>
      <w:bookmarkStart w:id="937" w:name="_Toc144974875"/>
      <w:bookmarkStart w:id="938" w:name="_Toc179632827"/>
      <w:bookmarkStart w:id="939" w:name="_Toc394320941"/>
      <w:bookmarkStart w:id="940" w:name="_Toc152045807"/>
      <w:bookmarkStart w:id="941" w:name="_Toc343512414"/>
      <w:bookmarkStart w:id="942" w:name="_Toc152042596"/>
      <w:bookmarkStart w:id="943" w:name="_Toc246996372"/>
      <w:bookmarkStart w:id="944" w:name="_Toc247085890"/>
      <w:bookmarkStart w:id="945" w:name="_Toc361406472"/>
      <w:bookmarkStart w:id="946" w:name="_Toc397585273"/>
      <w:bookmarkStart w:id="947" w:name="_Toc395711854"/>
      <w:bookmarkStart w:id="948" w:name="_Toc490171582"/>
      <w:bookmarkStart w:id="949" w:name="_Toc361406466"/>
      <w:bookmarkStart w:id="950" w:name="_Toc456197116"/>
      <w:bookmarkStart w:id="951" w:name="_Toc394320935"/>
      <w:bookmarkStart w:id="952" w:name="_Toc397410506"/>
      <w:bookmarkStart w:id="953" w:name="_Toc397410693"/>
      <w:bookmarkStart w:id="954" w:name="_Toc522893843"/>
      <w:r>
        <w:rPr>
          <w:rFonts w:hint="eastAsia" w:ascii="宋体" w:hAnsi="宋体" w:cs="宋体"/>
          <w:b/>
          <w:color w:val="000000" w:themeColor="text1"/>
          <w:sz w:val="28"/>
          <w:szCs w:val="28"/>
          <w14:textFill>
            <w14:solidFill>
              <w14:schemeClr w14:val="tx1"/>
            </w14:solidFill>
          </w14:textFill>
        </w:rPr>
        <w:t>资格证明文件</w:t>
      </w:r>
    </w:p>
    <w:p w14:paraId="425CFC66">
      <w:pPr>
        <w:pStyle w:val="11"/>
        <w:numPr>
          <w:ilvl w:val="0"/>
          <w:numId w:val="0"/>
        </w:numPr>
        <w:rPr>
          <w:rFonts w:hint="eastAsia"/>
          <w:color w:val="000000" w:themeColor="text1"/>
          <w14:textFill>
            <w14:solidFill>
              <w14:schemeClr w14:val="tx1"/>
            </w14:solidFill>
          </w14:textFill>
        </w:rPr>
      </w:pPr>
    </w:p>
    <w:bookmarkEnd w:id="936"/>
    <w:bookmarkEnd w:id="937"/>
    <w:bookmarkEnd w:id="938"/>
    <w:bookmarkEnd w:id="939"/>
    <w:bookmarkEnd w:id="940"/>
    <w:bookmarkEnd w:id="941"/>
    <w:bookmarkEnd w:id="942"/>
    <w:bookmarkEnd w:id="943"/>
    <w:bookmarkEnd w:id="944"/>
    <w:bookmarkEnd w:id="945"/>
    <w:p w14:paraId="6956CB8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（1）基本资格条件：</w:t>
      </w:r>
    </w:p>
    <w:p w14:paraId="0B1B3A7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符合《中华人民共和国政府采购法》第二十二条的规定；</w:t>
      </w:r>
    </w:p>
    <w:p w14:paraId="559D6507">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（2）特定资格条件：</w:t>
      </w:r>
    </w:p>
    <w:p w14:paraId="2439F84C">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1.具有独立承担民事责任能力的法人、其他组织或自然人，并出具合法有效的营业执照或事业单位法人证书等国家规定的相关证明，自然人参与的提供其身份证明；</w:t>
      </w:r>
    </w:p>
    <w:p w14:paraId="6C116BC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 xml:space="preserve">2.银行开户许可证或开户行基本信息； </w:t>
      </w:r>
    </w:p>
    <w:p w14:paraId="6AC8143C">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3.法定代表人授权委托书及被授权人身份证（法定代表人直接参加时，只须出示法定代表人身份证)；</w:t>
      </w:r>
    </w:p>
    <w:p w14:paraId="78E20D4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4.提供参加政府采购活动前3年内经营活动中没有重大违法记录声明；</w:t>
      </w:r>
    </w:p>
    <w:p w14:paraId="3A7DFA58">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5.税收缴纳证明：自2025年3月1日以来已缴纳的至少一个月的纳税证明或完税证明，纳税证明或完税证明上应有代收机构或税务机关的公章。依法免税的供应商应提供相关文件证明；</w:t>
      </w:r>
    </w:p>
    <w:p w14:paraId="508E199C">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6.社会保障资金缴纳证明：自2025年3月1日以来已缴存的至少一个月的社会保障资金缴存单据或社保机构开具的社会保险参保缴费情况证明，依法不需要缴纳社会保障资金的供应商应提供相关文件证明；</w:t>
      </w:r>
    </w:p>
    <w:p w14:paraId="2F418DF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7.财务状况报告：提供2023或2024年度经审计的财务报告（至少包括审计报告、资产负债表和利润表，成立时间至提交投标文件截止时间不足一年的可提供成立后任意时段的资产负债表）或其开标前三个月内基本存款账户开户银行出具的资信证明；</w:t>
      </w:r>
    </w:p>
    <w:p w14:paraId="73F25ED7">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8.根据财政部《关于在政府采购活动中查询及使用信用记录有关问题的通知》（财库〔2016〕125号）要求，供应商不得被列入【信用中国（https://www.creditchina.gov.cn/xinxigongshi/）】“重大税收违法失信主体名单”，【中国执行信息公开网（https://zxgk.court.gov.cn/）】“失信被执行人”，【中国政府采购网（www.ccgp.gov.cn）】“政府采购严重违法失信行为记录名单”；</w:t>
      </w:r>
    </w:p>
    <w:p w14:paraId="438B521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9.提供投标保证金的银行转账或电汇凭证并确保投标文件递交截止时间前到达采购文件指定账户；</w:t>
      </w:r>
    </w:p>
    <w:p w14:paraId="469F67F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Cs/>
          <w:color w:val="000000" w:themeColor="text1"/>
          <w:sz w:val="24"/>
          <w:szCs w:val="24"/>
          <w:lang w:val="en-US" w:eastAsia="zh-CN"/>
          <w14:textFill>
            <w14:solidFill>
              <w14:schemeClr w14:val="tx1"/>
            </w14:solidFill>
          </w14:textFill>
        </w:rPr>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eastAsia="宋体" w:cs="宋体"/>
          <w:bCs/>
          <w:color w:val="000000" w:themeColor="text1"/>
          <w:sz w:val="24"/>
          <w:szCs w:val="24"/>
          <w:lang w:val="en-US" w:eastAsia="zh-CN"/>
          <w14:textFill>
            <w14:solidFill>
              <w14:schemeClr w14:val="tx1"/>
            </w14:solidFill>
          </w14:textFill>
        </w:rPr>
        <w:t>10.本项目不接受联合体投标。</w:t>
      </w:r>
    </w:p>
    <w:p w14:paraId="1CD1D555">
      <w:pPr>
        <w:widowControl/>
        <w:spacing w:line="360" w:lineRule="auto"/>
        <w:jc w:val="left"/>
        <w:rPr>
          <w:rFonts w:hint="eastAsia" w:ascii="宋体" w:hAnsi="宋体" w:eastAsia="宋体" w:cs="宋体"/>
          <w:b/>
          <w:color w:val="000000" w:themeColor="text1"/>
          <w:sz w:val="24"/>
          <w:lang w:eastAsia="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附件</w:t>
      </w:r>
      <w:r>
        <w:rPr>
          <w:rFonts w:hint="eastAsia" w:ascii="宋体" w:hAnsi="宋体" w:cs="宋体"/>
          <w:b/>
          <w:color w:val="000000" w:themeColor="text1"/>
          <w:sz w:val="24"/>
          <w:lang w:val="en-US" w:eastAsia="zh-CN"/>
          <w14:textFill>
            <w14:solidFill>
              <w14:schemeClr w14:val="tx1"/>
            </w14:solidFill>
          </w14:textFill>
        </w:rPr>
        <w:t>1</w:t>
      </w:r>
    </w:p>
    <w:tbl>
      <w:tblPr>
        <w:tblStyle w:val="35"/>
        <w:tblpPr w:leftFromText="180" w:rightFromText="180" w:vertAnchor="text" w:horzAnchor="page" w:tblpX="1187" w:tblpY="10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2240"/>
        <w:gridCol w:w="2950"/>
        <w:gridCol w:w="1039"/>
        <w:gridCol w:w="2151"/>
      </w:tblGrid>
      <w:tr w14:paraId="4C9D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9200" w:type="dxa"/>
            <w:gridSpan w:val="5"/>
            <w:noWrap w:val="0"/>
            <w:vAlign w:val="top"/>
          </w:tcPr>
          <w:p w14:paraId="3022977A">
            <w:pPr>
              <w:tabs>
                <w:tab w:val="left" w:pos="1260"/>
              </w:tabs>
              <w:spacing w:line="440" w:lineRule="exac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致：陕西宸永项目管理有限公司</w:t>
            </w:r>
          </w:p>
        </w:tc>
      </w:tr>
      <w:tr w14:paraId="41E4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20" w:type="dxa"/>
            <w:vMerge w:val="restart"/>
            <w:noWrap w:val="0"/>
            <w:vAlign w:val="center"/>
          </w:tcPr>
          <w:p w14:paraId="2E77A545">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企</w:t>
            </w:r>
          </w:p>
          <w:p w14:paraId="000893F1">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业</w:t>
            </w:r>
          </w:p>
          <w:p w14:paraId="729FD871">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w:t>
            </w:r>
          </w:p>
          <w:p w14:paraId="4846DD41">
            <w:pPr>
              <w:tabs>
                <w:tab w:val="left" w:pos="1260"/>
              </w:tabs>
              <w:spacing w:line="440" w:lineRule="exact"/>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人</w:t>
            </w:r>
          </w:p>
        </w:tc>
        <w:tc>
          <w:tcPr>
            <w:tcW w:w="2240" w:type="dxa"/>
            <w:noWrap w:val="0"/>
            <w:vAlign w:val="center"/>
          </w:tcPr>
          <w:p w14:paraId="45172E2B">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企业名称</w:t>
            </w:r>
          </w:p>
        </w:tc>
        <w:tc>
          <w:tcPr>
            <w:tcW w:w="6140" w:type="dxa"/>
            <w:gridSpan w:val="3"/>
            <w:noWrap w:val="0"/>
            <w:vAlign w:val="top"/>
          </w:tcPr>
          <w:p w14:paraId="44A417AA">
            <w:pPr>
              <w:tabs>
                <w:tab w:val="left" w:pos="1260"/>
              </w:tabs>
              <w:spacing w:line="440" w:lineRule="exact"/>
              <w:rPr>
                <w:rFonts w:hint="eastAsia" w:ascii="宋体" w:hAnsi="宋体" w:eastAsia="宋体" w:cs="宋体"/>
                <w:bCs/>
                <w:color w:val="000000" w:themeColor="text1"/>
                <w:sz w:val="24"/>
                <w14:textFill>
                  <w14:solidFill>
                    <w14:schemeClr w14:val="tx1"/>
                  </w14:solidFill>
                </w14:textFill>
              </w:rPr>
            </w:pPr>
          </w:p>
        </w:tc>
      </w:tr>
      <w:tr w14:paraId="5F4D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0" w:type="dxa"/>
            <w:vMerge w:val="continue"/>
            <w:noWrap w:val="0"/>
            <w:vAlign w:val="top"/>
          </w:tcPr>
          <w:p w14:paraId="3A7F5F2E">
            <w:pPr>
              <w:rPr>
                <w:rFonts w:hint="eastAsia" w:ascii="宋体" w:hAnsi="宋体" w:eastAsia="宋体" w:cs="宋体"/>
                <w:color w:val="000000" w:themeColor="text1"/>
                <w:sz w:val="24"/>
                <w14:textFill>
                  <w14:solidFill>
                    <w14:schemeClr w14:val="tx1"/>
                  </w14:solidFill>
                </w14:textFill>
              </w:rPr>
            </w:pPr>
          </w:p>
        </w:tc>
        <w:tc>
          <w:tcPr>
            <w:tcW w:w="2240" w:type="dxa"/>
            <w:noWrap w:val="0"/>
            <w:vAlign w:val="center"/>
          </w:tcPr>
          <w:p w14:paraId="2EBE9CEB">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法定地址</w:t>
            </w:r>
          </w:p>
        </w:tc>
        <w:tc>
          <w:tcPr>
            <w:tcW w:w="6140" w:type="dxa"/>
            <w:gridSpan w:val="3"/>
            <w:noWrap w:val="0"/>
            <w:vAlign w:val="top"/>
          </w:tcPr>
          <w:p w14:paraId="5DA6396D">
            <w:pPr>
              <w:tabs>
                <w:tab w:val="left" w:pos="1260"/>
              </w:tabs>
              <w:spacing w:line="440" w:lineRule="exact"/>
              <w:rPr>
                <w:rFonts w:hint="eastAsia" w:ascii="宋体" w:hAnsi="宋体" w:eastAsia="宋体" w:cs="宋体"/>
                <w:bCs/>
                <w:color w:val="000000" w:themeColor="text1"/>
                <w:sz w:val="24"/>
                <w14:textFill>
                  <w14:solidFill>
                    <w14:schemeClr w14:val="tx1"/>
                  </w14:solidFill>
                </w14:textFill>
              </w:rPr>
            </w:pPr>
          </w:p>
        </w:tc>
      </w:tr>
      <w:tr w14:paraId="6296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20" w:type="dxa"/>
            <w:vMerge w:val="continue"/>
            <w:noWrap w:val="0"/>
            <w:vAlign w:val="top"/>
          </w:tcPr>
          <w:p w14:paraId="1B028951">
            <w:pPr>
              <w:rPr>
                <w:rFonts w:hint="eastAsia" w:ascii="宋体" w:hAnsi="宋体" w:eastAsia="宋体" w:cs="宋体"/>
                <w:color w:val="000000" w:themeColor="text1"/>
                <w:sz w:val="24"/>
                <w14:textFill>
                  <w14:solidFill>
                    <w14:schemeClr w14:val="tx1"/>
                  </w14:solidFill>
                </w14:textFill>
              </w:rPr>
            </w:pPr>
          </w:p>
        </w:tc>
        <w:tc>
          <w:tcPr>
            <w:tcW w:w="2240" w:type="dxa"/>
            <w:noWrap w:val="0"/>
            <w:vAlign w:val="center"/>
          </w:tcPr>
          <w:p w14:paraId="73ACC7F2">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邮政编码</w:t>
            </w:r>
          </w:p>
        </w:tc>
        <w:tc>
          <w:tcPr>
            <w:tcW w:w="6140" w:type="dxa"/>
            <w:gridSpan w:val="3"/>
            <w:noWrap w:val="0"/>
            <w:vAlign w:val="top"/>
          </w:tcPr>
          <w:p w14:paraId="763788F6">
            <w:pPr>
              <w:tabs>
                <w:tab w:val="left" w:pos="1260"/>
              </w:tabs>
              <w:spacing w:line="440" w:lineRule="exact"/>
              <w:rPr>
                <w:rFonts w:hint="eastAsia" w:ascii="宋体" w:hAnsi="宋体" w:eastAsia="宋体" w:cs="宋体"/>
                <w:bCs/>
                <w:color w:val="000000" w:themeColor="text1"/>
                <w:sz w:val="24"/>
                <w14:textFill>
                  <w14:solidFill>
                    <w14:schemeClr w14:val="tx1"/>
                  </w14:solidFill>
                </w14:textFill>
              </w:rPr>
            </w:pPr>
          </w:p>
        </w:tc>
      </w:tr>
      <w:tr w14:paraId="41B0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20" w:type="dxa"/>
            <w:vMerge w:val="continue"/>
            <w:noWrap w:val="0"/>
            <w:vAlign w:val="top"/>
          </w:tcPr>
          <w:p w14:paraId="641E6BF7">
            <w:pPr>
              <w:rPr>
                <w:rFonts w:hint="eastAsia" w:ascii="宋体" w:hAnsi="宋体" w:eastAsia="宋体" w:cs="宋体"/>
                <w:color w:val="000000" w:themeColor="text1"/>
                <w:sz w:val="24"/>
                <w14:textFill>
                  <w14:solidFill>
                    <w14:schemeClr w14:val="tx1"/>
                  </w14:solidFill>
                </w14:textFill>
              </w:rPr>
            </w:pPr>
          </w:p>
        </w:tc>
        <w:tc>
          <w:tcPr>
            <w:tcW w:w="2240" w:type="dxa"/>
            <w:noWrap w:val="0"/>
            <w:vAlign w:val="center"/>
          </w:tcPr>
          <w:p w14:paraId="03B24026">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网    址</w:t>
            </w:r>
          </w:p>
        </w:tc>
        <w:tc>
          <w:tcPr>
            <w:tcW w:w="6140" w:type="dxa"/>
            <w:gridSpan w:val="3"/>
            <w:noWrap w:val="0"/>
            <w:vAlign w:val="top"/>
          </w:tcPr>
          <w:p w14:paraId="43689A79">
            <w:pPr>
              <w:tabs>
                <w:tab w:val="left" w:pos="1260"/>
              </w:tabs>
              <w:spacing w:line="440" w:lineRule="exact"/>
              <w:rPr>
                <w:rFonts w:hint="eastAsia" w:ascii="宋体" w:hAnsi="宋体" w:eastAsia="宋体" w:cs="宋体"/>
                <w:bCs/>
                <w:color w:val="000000" w:themeColor="text1"/>
                <w:sz w:val="24"/>
                <w14:textFill>
                  <w14:solidFill>
                    <w14:schemeClr w14:val="tx1"/>
                  </w14:solidFill>
                </w14:textFill>
              </w:rPr>
            </w:pPr>
          </w:p>
        </w:tc>
      </w:tr>
      <w:tr w14:paraId="58B1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20" w:type="dxa"/>
            <w:vMerge w:val="continue"/>
            <w:noWrap w:val="0"/>
            <w:vAlign w:val="top"/>
          </w:tcPr>
          <w:p w14:paraId="2CDCFA10">
            <w:pPr>
              <w:rPr>
                <w:rFonts w:hint="eastAsia" w:ascii="宋体" w:hAnsi="宋体" w:eastAsia="宋体" w:cs="宋体"/>
                <w:color w:val="000000" w:themeColor="text1"/>
                <w:sz w:val="24"/>
                <w14:textFill>
                  <w14:solidFill>
                    <w14:schemeClr w14:val="tx1"/>
                  </w14:solidFill>
                </w14:textFill>
              </w:rPr>
            </w:pPr>
          </w:p>
        </w:tc>
        <w:tc>
          <w:tcPr>
            <w:tcW w:w="2240" w:type="dxa"/>
            <w:noWrap w:val="0"/>
            <w:vAlign w:val="top"/>
          </w:tcPr>
          <w:p w14:paraId="2B3B1D31">
            <w:pPr>
              <w:tabs>
                <w:tab w:val="left" w:pos="1260"/>
              </w:tabs>
              <w:spacing w:line="440" w:lineRule="exact"/>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工商登记机关</w:t>
            </w:r>
          </w:p>
        </w:tc>
        <w:tc>
          <w:tcPr>
            <w:tcW w:w="6140" w:type="dxa"/>
            <w:gridSpan w:val="3"/>
            <w:noWrap w:val="0"/>
            <w:vAlign w:val="top"/>
          </w:tcPr>
          <w:p w14:paraId="1140E3EA">
            <w:pPr>
              <w:tabs>
                <w:tab w:val="left" w:pos="1260"/>
              </w:tabs>
              <w:spacing w:line="440" w:lineRule="exact"/>
              <w:rPr>
                <w:rFonts w:hint="eastAsia" w:ascii="宋体" w:hAnsi="宋体" w:eastAsia="宋体" w:cs="宋体"/>
                <w:bCs/>
                <w:color w:val="000000" w:themeColor="text1"/>
                <w:sz w:val="24"/>
                <w14:textFill>
                  <w14:solidFill>
                    <w14:schemeClr w14:val="tx1"/>
                  </w14:solidFill>
                </w14:textFill>
              </w:rPr>
            </w:pPr>
          </w:p>
        </w:tc>
      </w:tr>
      <w:tr w14:paraId="0F47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820" w:type="dxa"/>
            <w:vMerge w:val="continue"/>
            <w:noWrap w:val="0"/>
            <w:vAlign w:val="top"/>
          </w:tcPr>
          <w:p w14:paraId="377782CC">
            <w:pPr>
              <w:rPr>
                <w:rFonts w:hint="eastAsia" w:ascii="宋体" w:hAnsi="宋体" w:eastAsia="宋体" w:cs="宋体"/>
                <w:color w:val="000000" w:themeColor="text1"/>
                <w:sz w:val="24"/>
                <w14:textFill>
                  <w14:solidFill>
                    <w14:schemeClr w14:val="tx1"/>
                  </w14:solidFill>
                </w14:textFill>
              </w:rPr>
            </w:pPr>
          </w:p>
        </w:tc>
        <w:tc>
          <w:tcPr>
            <w:tcW w:w="2240" w:type="dxa"/>
            <w:noWrap w:val="0"/>
            <w:vAlign w:val="center"/>
          </w:tcPr>
          <w:p w14:paraId="16F647DF">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税务登记机关</w:t>
            </w:r>
          </w:p>
        </w:tc>
        <w:tc>
          <w:tcPr>
            <w:tcW w:w="6140" w:type="dxa"/>
            <w:gridSpan w:val="3"/>
            <w:noWrap w:val="0"/>
            <w:vAlign w:val="top"/>
          </w:tcPr>
          <w:p w14:paraId="7D48A253">
            <w:pPr>
              <w:tabs>
                <w:tab w:val="left" w:pos="1260"/>
              </w:tabs>
              <w:spacing w:line="440" w:lineRule="exact"/>
              <w:rPr>
                <w:rFonts w:hint="eastAsia" w:ascii="宋体" w:hAnsi="宋体" w:eastAsia="宋体" w:cs="宋体"/>
                <w:color w:val="000000" w:themeColor="text1"/>
                <w:sz w:val="24"/>
                <w14:textFill>
                  <w14:solidFill>
                    <w14:schemeClr w14:val="tx1"/>
                  </w14:solidFill>
                </w14:textFill>
              </w:rPr>
            </w:pPr>
          </w:p>
        </w:tc>
      </w:tr>
      <w:tr w14:paraId="600F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820" w:type="dxa"/>
            <w:vMerge w:val="continue"/>
            <w:noWrap w:val="0"/>
            <w:vAlign w:val="top"/>
          </w:tcPr>
          <w:p w14:paraId="700742F7">
            <w:pPr>
              <w:rPr>
                <w:rFonts w:hint="eastAsia" w:ascii="宋体" w:hAnsi="宋体" w:eastAsia="宋体" w:cs="宋体"/>
                <w:color w:val="000000" w:themeColor="text1"/>
                <w:sz w:val="24"/>
                <w14:textFill>
                  <w14:solidFill>
                    <w14:schemeClr w14:val="tx1"/>
                  </w14:solidFill>
                </w14:textFill>
              </w:rPr>
            </w:pPr>
          </w:p>
        </w:tc>
        <w:tc>
          <w:tcPr>
            <w:tcW w:w="2240" w:type="dxa"/>
            <w:noWrap w:val="0"/>
            <w:vAlign w:val="top"/>
          </w:tcPr>
          <w:p w14:paraId="35CFE6AF">
            <w:pPr>
              <w:tabs>
                <w:tab w:val="left" w:pos="1260"/>
              </w:tabs>
              <w:spacing w:line="440" w:lineRule="exac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机构代码证号（统一社会信用代码）</w:t>
            </w:r>
          </w:p>
        </w:tc>
        <w:tc>
          <w:tcPr>
            <w:tcW w:w="6140" w:type="dxa"/>
            <w:gridSpan w:val="3"/>
            <w:noWrap w:val="0"/>
            <w:vAlign w:val="top"/>
          </w:tcPr>
          <w:p w14:paraId="33D32907">
            <w:pPr>
              <w:tabs>
                <w:tab w:val="left" w:pos="1260"/>
              </w:tabs>
              <w:spacing w:line="440" w:lineRule="exact"/>
              <w:rPr>
                <w:rFonts w:hint="eastAsia" w:ascii="宋体" w:hAnsi="宋体" w:eastAsia="宋体" w:cs="宋体"/>
                <w:bCs/>
                <w:color w:val="000000" w:themeColor="text1"/>
                <w:sz w:val="24"/>
                <w14:textFill>
                  <w14:solidFill>
                    <w14:schemeClr w14:val="tx1"/>
                  </w14:solidFill>
                </w14:textFill>
              </w:rPr>
            </w:pPr>
          </w:p>
        </w:tc>
      </w:tr>
      <w:tr w14:paraId="1863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820" w:type="dxa"/>
            <w:vMerge w:val="restart"/>
            <w:noWrap w:val="0"/>
            <w:vAlign w:val="center"/>
          </w:tcPr>
          <w:p w14:paraId="6D278963">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  定</w:t>
            </w:r>
          </w:p>
          <w:p w14:paraId="6967B100">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代</w:t>
            </w:r>
          </w:p>
          <w:p w14:paraId="6746651E">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表</w:t>
            </w:r>
          </w:p>
          <w:p w14:paraId="332E7DCA">
            <w:pPr>
              <w:tabs>
                <w:tab w:val="left" w:pos="1260"/>
              </w:tabs>
              <w:spacing w:line="440" w:lineRule="exact"/>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人</w:t>
            </w:r>
          </w:p>
        </w:tc>
        <w:tc>
          <w:tcPr>
            <w:tcW w:w="2240" w:type="dxa"/>
            <w:noWrap w:val="0"/>
            <w:vAlign w:val="center"/>
          </w:tcPr>
          <w:p w14:paraId="28E24122">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姓    名</w:t>
            </w:r>
          </w:p>
        </w:tc>
        <w:tc>
          <w:tcPr>
            <w:tcW w:w="2950" w:type="dxa"/>
            <w:noWrap w:val="0"/>
            <w:vAlign w:val="center"/>
          </w:tcPr>
          <w:p w14:paraId="58650F53">
            <w:pPr>
              <w:tabs>
                <w:tab w:val="left" w:pos="1260"/>
              </w:tabs>
              <w:spacing w:line="440" w:lineRule="exact"/>
              <w:rPr>
                <w:rFonts w:hint="eastAsia" w:ascii="宋体" w:hAnsi="宋体" w:eastAsia="宋体" w:cs="宋体"/>
                <w:color w:val="000000" w:themeColor="text1"/>
                <w:sz w:val="24"/>
                <w14:textFill>
                  <w14:solidFill>
                    <w14:schemeClr w14:val="tx1"/>
                  </w14:solidFill>
                </w14:textFill>
              </w:rPr>
            </w:pPr>
          </w:p>
        </w:tc>
        <w:tc>
          <w:tcPr>
            <w:tcW w:w="1039" w:type="dxa"/>
            <w:noWrap w:val="0"/>
            <w:vAlign w:val="center"/>
          </w:tcPr>
          <w:p w14:paraId="53044B17">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性  别</w:t>
            </w:r>
          </w:p>
        </w:tc>
        <w:tc>
          <w:tcPr>
            <w:tcW w:w="2151" w:type="dxa"/>
            <w:noWrap w:val="0"/>
            <w:vAlign w:val="top"/>
          </w:tcPr>
          <w:p w14:paraId="5DBC8508">
            <w:pPr>
              <w:tabs>
                <w:tab w:val="left" w:pos="1260"/>
              </w:tabs>
              <w:spacing w:line="440" w:lineRule="exact"/>
              <w:rPr>
                <w:rFonts w:hint="eastAsia" w:ascii="宋体" w:hAnsi="宋体" w:eastAsia="宋体" w:cs="宋体"/>
                <w:color w:val="000000" w:themeColor="text1"/>
                <w:sz w:val="24"/>
                <w14:textFill>
                  <w14:solidFill>
                    <w14:schemeClr w14:val="tx1"/>
                  </w14:solidFill>
                </w14:textFill>
              </w:rPr>
            </w:pPr>
          </w:p>
        </w:tc>
      </w:tr>
      <w:tr w14:paraId="249D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820" w:type="dxa"/>
            <w:vMerge w:val="continue"/>
            <w:noWrap w:val="0"/>
            <w:vAlign w:val="top"/>
          </w:tcPr>
          <w:p w14:paraId="205FC1EE">
            <w:pPr>
              <w:rPr>
                <w:rFonts w:hint="eastAsia" w:ascii="宋体" w:hAnsi="宋体" w:eastAsia="宋体" w:cs="宋体"/>
                <w:color w:val="000000" w:themeColor="text1"/>
                <w:sz w:val="24"/>
                <w14:textFill>
                  <w14:solidFill>
                    <w14:schemeClr w14:val="tx1"/>
                  </w14:solidFill>
                </w14:textFill>
              </w:rPr>
            </w:pPr>
          </w:p>
        </w:tc>
        <w:tc>
          <w:tcPr>
            <w:tcW w:w="2240" w:type="dxa"/>
            <w:noWrap w:val="0"/>
            <w:vAlign w:val="center"/>
          </w:tcPr>
          <w:p w14:paraId="652A4ABA">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职    务</w:t>
            </w:r>
          </w:p>
        </w:tc>
        <w:tc>
          <w:tcPr>
            <w:tcW w:w="2950" w:type="dxa"/>
            <w:noWrap w:val="0"/>
            <w:vAlign w:val="top"/>
          </w:tcPr>
          <w:p w14:paraId="61CC14DE">
            <w:pPr>
              <w:tabs>
                <w:tab w:val="left" w:pos="1260"/>
              </w:tabs>
              <w:spacing w:line="440" w:lineRule="exact"/>
              <w:rPr>
                <w:rFonts w:hint="eastAsia" w:ascii="宋体" w:hAnsi="宋体" w:eastAsia="宋体" w:cs="宋体"/>
                <w:color w:val="000000" w:themeColor="text1"/>
                <w:sz w:val="24"/>
                <w14:textFill>
                  <w14:solidFill>
                    <w14:schemeClr w14:val="tx1"/>
                  </w14:solidFill>
                </w14:textFill>
              </w:rPr>
            </w:pPr>
          </w:p>
        </w:tc>
        <w:tc>
          <w:tcPr>
            <w:tcW w:w="1039" w:type="dxa"/>
            <w:noWrap w:val="0"/>
            <w:vAlign w:val="center"/>
          </w:tcPr>
          <w:p w14:paraId="3E8CDBD8">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w:t>
            </w:r>
          </w:p>
          <w:p w14:paraId="4DF2BB8B">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电话</w:t>
            </w:r>
          </w:p>
        </w:tc>
        <w:tc>
          <w:tcPr>
            <w:tcW w:w="2151" w:type="dxa"/>
            <w:noWrap w:val="0"/>
            <w:vAlign w:val="top"/>
          </w:tcPr>
          <w:p w14:paraId="0300AEA0">
            <w:pPr>
              <w:tabs>
                <w:tab w:val="left" w:pos="1260"/>
              </w:tabs>
              <w:spacing w:line="440" w:lineRule="exact"/>
              <w:rPr>
                <w:rFonts w:hint="eastAsia" w:ascii="宋体" w:hAnsi="宋体" w:eastAsia="宋体" w:cs="宋体"/>
                <w:color w:val="000000" w:themeColor="text1"/>
                <w:sz w:val="24"/>
                <w14:textFill>
                  <w14:solidFill>
                    <w14:schemeClr w14:val="tx1"/>
                  </w14:solidFill>
                </w14:textFill>
              </w:rPr>
            </w:pPr>
          </w:p>
        </w:tc>
      </w:tr>
      <w:tr w14:paraId="741F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20" w:type="dxa"/>
            <w:vMerge w:val="continue"/>
            <w:noWrap w:val="0"/>
            <w:vAlign w:val="top"/>
          </w:tcPr>
          <w:p w14:paraId="7A37C299">
            <w:pPr>
              <w:rPr>
                <w:rFonts w:hint="eastAsia" w:ascii="宋体" w:hAnsi="宋体" w:eastAsia="宋体" w:cs="宋体"/>
                <w:color w:val="000000" w:themeColor="text1"/>
                <w:sz w:val="24"/>
                <w14:textFill>
                  <w14:solidFill>
                    <w14:schemeClr w14:val="tx1"/>
                  </w14:solidFill>
                </w14:textFill>
              </w:rPr>
            </w:pPr>
          </w:p>
        </w:tc>
        <w:tc>
          <w:tcPr>
            <w:tcW w:w="2240" w:type="dxa"/>
            <w:noWrap w:val="0"/>
            <w:vAlign w:val="center"/>
          </w:tcPr>
          <w:p w14:paraId="61399804">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传    真</w:t>
            </w:r>
          </w:p>
        </w:tc>
        <w:tc>
          <w:tcPr>
            <w:tcW w:w="6140" w:type="dxa"/>
            <w:gridSpan w:val="3"/>
            <w:noWrap w:val="0"/>
            <w:vAlign w:val="top"/>
          </w:tcPr>
          <w:p w14:paraId="1FF69759">
            <w:pPr>
              <w:tabs>
                <w:tab w:val="left" w:pos="1260"/>
              </w:tabs>
              <w:spacing w:line="440" w:lineRule="exact"/>
              <w:rPr>
                <w:rFonts w:hint="eastAsia" w:ascii="宋体" w:hAnsi="宋体" w:eastAsia="宋体" w:cs="宋体"/>
                <w:color w:val="000000" w:themeColor="text1"/>
                <w:sz w:val="24"/>
                <w14:textFill>
                  <w14:solidFill>
                    <w14:schemeClr w14:val="tx1"/>
                  </w14:solidFill>
                </w14:textFill>
              </w:rPr>
            </w:pPr>
          </w:p>
        </w:tc>
      </w:tr>
      <w:tr w14:paraId="6023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trPr>
        <w:tc>
          <w:tcPr>
            <w:tcW w:w="820" w:type="dxa"/>
            <w:vMerge w:val="restart"/>
            <w:noWrap w:val="0"/>
            <w:vAlign w:val="center"/>
          </w:tcPr>
          <w:p w14:paraId="6A95BE3A">
            <w:pPr>
              <w:tabs>
                <w:tab w:val="left" w:pos="1260"/>
              </w:tabs>
              <w:spacing w:line="30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法定代表人身份证复印件</w:t>
            </w:r>
          </w:p>
        </w:tc>
        <w:tc>
          <w:tcPr>
            <w:tcW w:w="5190" w:type="dxa"/>
            <w:gridSpan w:val="2"/>
            <w:vMerge w:val="restart"/>
            <w:noWrap w:val="0"/>
            <w:vAlign w:val="center"/>
          </w:tcPr>
          <w:p w14:paraId="034298DD">
            <w:pPr>
              <w:tabs>
                <w:tab w:val="left" w:pos="1260"/>
              </w:tabs>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（正反面粘贴处）</w:t>
            </w:r>
          </w:p>
        </w:tc>
        <w:tc>
          <w:tcPr>
            <w:tcW w:w="3190" w:type="dxa"/>
            <w:gridSpan w:val="2"/>
            <w:noWrap w:val="0"/>
            <w:vAlign w:val="center"/>
          </w:tcPr>
          <w:p w14:paraId="6CFB129A">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法定代表人签字或盖章</w:t>
            </w:r>
          </w:p>
        </w:tc>
      </w:tr>
      <w:tr w14:paraId="1809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trPr>
        <w:tc>
          <w:tcPr>
            <w:tcW w:w="820" w:type="dxa"/>
            <w:vMerge w:val="continue"/>
            <w:noWrap w:val="0"/>
            <w:vAlign w:val="top"/>
          </w:tcPr>
          <w:p w14:paraId="6C0D5A92">
            <w:pPr>
              <w:rPr>
                <w:rFonts w:hint="eastAsia" w:ascii="宋体" w:hAnsi="宋体" w:eastAsia="宋体" w:cs="宋体"/>
                <w:color w:val="000000" w:themeColor="text1"/>
                <w:sz w:val="24"/>
                <w14:textFill>
                  <w14:solidFill>
                    <w14:schemeClr w14:val="tx1"/>
                  </w14:solidFill>
                </w14:textFill>
              </w:rPr>
            </w:pPr>
          </w:p>
        </w:tc>
        <w:tc>
          <w:tcPr>
            <w:tcW w:w="5190" w:type="dxa"/>
            <w:gridSpan w:val="2"/>
            <w:vMerge w:val="continue"/>
            <w:noWrap w:val="0"/>
            <w:vAlign w:val="top"/>
          </w:tcPr>
          <w:p w14:paraId="47D8DB77">
            <w:pPr>
              <w:rPr>
                <w:rFonts w:hint="eastAsia" w:ascii="宋体" w:hAnsi="宋体" w:eastAsia="宋体" w:cs="宋体"/>
                <w:color w:val="000000" w:themeColor="text1"/>
                <w:sz w:val="24"/>
                <w14:textFill>
                  <w14:solidFill>
                    <w14:schemeClr w14:val="tx1"/>
                  </w14:solidFill>
                </w14:textFill>
              </w:rPr>
            </w:pPr>
          </w:p>
        </w:tc>
        <w:tc>
          <w:tcPr>
            <w:tcW w:w="3190" w:type="dxa"/>
            <w:gridSpan w:val="2"/>
            <w:noWrap w:val="0"/>
            <w:vAlign w:val="center"/>
          </w:tcPr>
          <w:p w14:paraId="5798C78C">
            <w:pPr>
              <w:tabs>
                <w:tab w:val="left" w:pos="1260"/>
              </w:tabs>
              <w:spacing w:line="440" w:lineRule="exact"/>
              <w:ind w:firstLine="459"/>
              <w:jc w:val="center"/>
              <w:rPr>
                <w:rFonts w:hint="eastAsia" w:ascii="宋体" w:hAnsi="宋体" w:eastAsia="宋体" w:cs="宋体"/>
                <w:color w:val="000000" w:themeColor="text1"/>
                <w:sz w:val="24"/>
                <w14:textFill>
                  <w14:solidFill>
                    <w14:schemeClr w14:val="tx1"/>
                  </w14:solidFill>
                </w14:textFill>
              </w:rPr>
            </w:pPr>
          </w:p>
          <w:p w14:paraId="6B60E795">
            <w:pPr>
              <w:tabs>
                <w:tab w:val="left" w:pos="1260"/>
              </w:tabs>
              <w:spacing w:line="44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（企业公章）</w:t>
            </w:r>
          </w:p>
          <w:p w14:paraId="77647AFF">
            <w:pPr>
              <w:tabs>
                <w:tab w:val="left" w:pos="1260"/>
              </w:tabs>
              <w:spacing w:line="440" w:lineRule="exact"/>
              <w:ind w:firstLine="459"/>
              <w:jc w:val="center"/>
              <w:rPr>
                <w:rFonts w:hint="eastAsia" w:ascii="宋体" w:hAnsi="宋体" w:eastAsia="宋体" w:cs="宋体"/>
                <w:color w:val="000000" w:themeColor="text1"/>
                <w:sz w:val="24"/>
                <w14:textFill>
                  <w14:solidFill>
                    <w14:schemeClr w14:val="tx1"/>
                  </w14:solidFill>
                </w14:textFill>
              </w:rPr>
            </w:pPr>
          </w:p>
          <w:p w14:paraId="2358C5E6">
            <w:pPr>
              <w:tabs>
                <w:tab w:val="left" w:pos="1260"/>
              </w:tabs>
              <w:spacing w:line="440" w:lineRule="exact"/>
              <w:ind w:right="280" w:firstLine="459"/>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年   月   日</w:t>
            </w:r>
          </w:p>
        </w:tc>
      </w:tr>
    </w:tbl>
    <w:p w14:paraId="4B6E2C99">
      <w:pPr>
        <w:jc w:val="center"/>
        <w:rPr>
          <w:rFonts w:hint="eastAsia" w:ascii="宋体" w:hAnsi="宋体" w:cs="宋体"/>
          <w:b/>
          <w:bCs/>
          <w:color w:val="000000" w:themeColor="text1"/>
          <w:sz w:val="28"/>
          <w:szCs w:val="36"/>
          <w14:textFill>
            <w14:solidFill>
              <w14:schemeClr w14:val="tx1"/>
            </w14:solidFill>
          </w14:textFill>
        </w:rPr>
      </w:pPr>
      <w:r>
        <w:rPr>
          <w:rFonts w:hint="eastAsia" w:ascii="宋体" w:hAnsi="宋体" w:cs="宋体"/>
          <w:b/>
          <w:bCs/>
          <w:color w:val="000000" w:themeColor="text1"/>
          <w:sz w:val="28"/>
          <w:szCs w:val="36"/>
          <w14:textFill>
            <w14:solidFill>
              <w14:schemeClr w14:val="tx1"/>
            </w14:solidFill>
          </w14:textFill>
        </w:rPr>
        <w:t>法定代表人身份证明书</w:t>
      </w:r>
    </w:p>
    <w:p w14:paraId="7826B506">
      <w:pPr>
        <w:widowControl/>
        <w:spacing w:line="360" w:lineRule="auto"/>
        <w:jc w:val="left"/>
        <w:rPr>
          <w:rFonts w:hint="eastAsia" w:ascii="宋体" w:hAnsi="宋体" w:eastAsia="宋体" w:cs="宋体"/>
          <w:b/>
          <w:color w:val="000000" w:themeColor="text1"/>
          <w:sz w:val="24"/>
          <w:lang w:eastAsia="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br w:type="page"/>
      </w:r>
      <w:r>
        <w:rPr>
          <w:rFonts w:hint="eastAsia" w:ascii="宋体" w:hAnsi="宋体" w:cs="宋体"/>
          <w:b/>
          <w:color w:val="000000" w:themeColor="text1"/>
          <w:sz w:val="24"/>
          <w14:textFill>
            <w14:solidFill>
              <w14:schemeClr w14:val="tx1"/>
            </w14:solidFill>
          </w14:textFill>
        </w:rPr>
        <w:t>附件</w:t>
      </w:r>
      <w:r>
        <w:rPr>
          <w:rFonts w:hint="eastAsia" w:ascii="宋体" w:hAnsi="宋体" w:cs="宋体"/>
          <w:b/>
          <w:color w:val="000000" w:themeColor="text1"/>
          <w:sz w:val="24"/>
          <w:lang w:val="en-US" w:eastAsia="zh-CN"/>
          <w14:textFill>
            <w14:solidFill>
              <w14:schemeClr w14:val="tx1"/>
            </w14:solidFill>
          </w14:textFill>
        </w:rPr>
        <w:t>2</w:t>
      </w:r>
    </w:p>
    <w:p w14:paraId="1030868C">
      <w:pPr>
        <w:widowControl/>
        <w:spacing w:line="360" w:lineRule="auto"/>
        <w:jc w:val="center"/>
        <w:rPr>
          <w:rFonts w:ascii="宋体" w:hAnsi="宋体" w:cs="宋体"/>
          <w:b/>
          <w:color w:val="000000" w:themeColor="text1"/>
          <w:sz w:val="28"/>
          <w:szCs w:val="28"/>
          <w14:textFill>
            <w14:solidFill>
              <w14:schemeClr w14:val="tx1"/>
            </w14:solidFill>
          </w14:textFill>
        </w:rPr>
      </w:pPr>
      <w:r>
        <w:rPr>
          <w:rFonts w:ascii="宋体" w:hAnsi="宋体" w:cs="宋体"/>
          <w:b/>
          <w:color w:val="000000" w:themeColor="text1"/>
          <w:sz w:val="28"/>
          <w:szCs w:val="28"/>
          <w14:textFill>
            <w14:solidFill>
              <w14:schemeClr w14:val="tx1"/>
            </w14:solidFill>
          </w14:textFill>
        </w:rPr>
        <w:t>法定代表人授权委托书</w:t>
      </w:r>
    </w:p>
    <w:tbl>
      <w:tblPr>
        <w:tblStyle w:val="35"/>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2145"/>
        <w:gridCol w:w="10"/>
        <w:gridCol w:w="1649"/>
        <w:gridCol w:w="311"/>
        <w:gridCol w:w="2156"/>
        <w:gridCol w:w="2370"/>
      </w:tblGrid>
      <w:tr w14:paraId="4264F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460" w:type="dxa"/>
            <w:gridSpan w:val="7"/>
            <w:noWrap w:val="0"/>
            <w:vAlign w:val="center"/>
          </w:tcPr>
          <w:p w14:paraId="673F94FE">
            <w:pPr>
              <w:tabs>
                <w:tab w:val="left" w:pos="1260"/>
              </w:tabs>
              <w:spacing w:line="360" w:lineRule="auto"/>
              <w:ind w:firstLine="134" w:firstLineChars="56"/>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致：</w:t>
            </w:r>
            <w:r>
              <w:rPr>
                <w:rFonts w:hint="eastAsia" w:ascii="宋体" w:hAnsi="宋体" w:eastAsia="宋体" w:cs="宋体"/>
                <w:color w:val="000000" w:themeColor="text1"/>
                <w:sz w:val="24"/>
                <w:szCs w:val="24"/>
                <w:lang w:eastAsia="zh-CN"/>
                <w14:textFill>
                  <w14:solidFill>
                    <w14:schemeClr w14:val="tx1"/>
                  </w14:solidFill>
                </w14:textFill>
              </w:rPr>
              <w:t>陕西宸永项目管理有限公司</w:t>
            </w:r>
          </w:p>
        </w:tc>
      </w:tr>
      <w:tr w14:paraId="6AA4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819" w:type="dxa"/>
            <w:vMerge w:val="restart"/>
            <w:noWrap w:val="0"/>
            <w:vAlign w:val="center"/>
          </w:tcPr>
          <w:p w14:paraId="71917475">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被授权人</w:t>
            </w:r>
          </w:p>
        </w:tc>
        <w:tc>
          <w:tcPr>
            <w:tcW w:w="2155" w:type="dxa"/>
            <w:gridSpan w:val="2"/>
            <w:noWrap w:val="0"/>
            <w:vAlign w:val="center"/>
          </w:tcPr>
          <w:p w14:paraId="2A7DD5BE">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姓    名</w:t>
            </w:r>
          </w:p>
        </w:tc>
        <w:tc>
          <w:tcPr>
            <w:tcW w:w="1960" w:type="dxa"/>
            <w:gridSpan w:val="2"/>
            <w:noWrap w:val="0"/>
            <w:vAlign w:val="top"/>
          </w:tcPr>
          <w:p w14:paraId="34D21FD4">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56" w:type="dxa"/>
            <w:noWrap w:val="0"/>
            <w:vAlign w:val="top"/>
          </w:tcPr>
          <w:p w14:paraId="3B08F798">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性    别</w:t>
            </w:r>
          </w:p>
        </w:tc>
        <w:tc>
          <w:tcPr>
            <w:tcW w:w="2370" w:type="dxa"/>
            <w:noWrap w:val="0"/>
            <w:vAlign w:val="top"/>
          </w:tcPr>
          <w:p w14:paraId="4F3A9011">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r>
      <w:tr w14:paraId="559B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819" w:type="dxa"/>
            <w:vMerge w:val="continue"/>
            <w:noWrap w:val="0"/>
            <w:vAlign w:val="center"/>
          </w:tcPr>
          <w:p w14:paraId="5F4D26C9">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55" w:type="dxa"/>
            <w:gridSpan w:val="2"/>
            <w:noWrap w:val="0"/>
            <w:vAlign w:val="center"/>
          </w:tcPr>
          <w:p w14:paraId="1C67A274">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职    务</w:t>
            </w:r>
          </w:p>
        </w:tc>
        <w:tc>
          <w:tcPr>
            <w:tcW w:w="1960" w:type="dxa"/>
            <w:gridSpan w:val="2"/>
            <w:noWrap w:val="0"/>
            <w:vAlign w:val="top"/>
          </w:tcPr>
          <w:p w14:paraId="44C053F4">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56" w:type="dxa"/>
            <w:noWrap w:val="0"/>
            <w:vAlign w:val="top"/>
          </w:tcPr>
          <w:p w14:paraId="682A0BAA">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手机号码</w:t>
            </w:r>
          </w:p>
        </w:tc>
        <w:tc>
          <w:tcPr>
            <w:tcW w:w="2370" w:type="dxa"/>
            <w:noWrap w:val="0"/>
            <w:vAlign w:val="top"/>
          </w:tcPr>
          <w:p w14:paraId="1FEF9709">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r>
      <w:tr w14:paraId="17D5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819" w:type="dxa"/>
            <w:vMerge w:val="continue"/>
            <w:noWrap w:val="0"/>
            <w:vAlign w:val="center"/>
          </w:tcPr>
          <w:p w14:paraId="52F87E6C">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55" w:type="dxa"/>
            <w:gridSpan w:val="2"/>
            <w:noWrap w:val="0"/>
            <w:vAlign w:val="center"/>
          </w:tcPr>
          <w:p w14:paraId="22D5EEEF">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联系电话</w:t>
            </w:r>
          </w:p>
        </w:tc>
        <w:tc>
          <w:tcPr>
            <w:tcW w:w="1960" w:type="dxa"/>
            <w:gridSpan w:val="2"/>
            <w:noWrap w:val="0"/>
            <w:vAlign w:val="top"/>
          </w:tcPr>
          <w:p w14:paraId="2BDE4CAC">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56" w:type="dxa"/>
            <w:noWrap w:val="0"/>
            <w:vAlign w:val="top"/>
          </w:tcPr>
          <w:p w14:paraId="6D39E216">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图文传真</w:t>
            </w:r>
          </w:p>
        </w:tc>
        <w:tc>
          <w:tcPr>
            <w:tcW w:w="2370" w:type="dxa"/>
            <w:noWrap w:val="0"/>
            <w:vAlign w:val="top"/>
          </w:tcPr>
          <w:p w14:paraId="1F0AB3C0">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r>
      <w:tr w14:paraId="719F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819" w:type="dxa"/>
            <w:vMerge w:val="continue"/>
            <w:noWrap w:val="0"/>
            <w:vAlign w:val="center"/>
          </w:tcPr>
          <w:p w14:paraId="1EFFBC9C">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55" w:type="dxa"/>
            <w:gridSpan w:val="2"/>
            <w:noWrap w:val="0"/>
            <w:vAlign w:val="center"/>
          </w:tcPr>
          <w:p w14:paraId="3082BBC8">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通讯地址</w:t>
            </w:r>
          </w:p>
        </w:tc>
        <w:tc>
          <w:tcPr>
            <w:tcW w:w="6486" w:type="dxa"/>
            <w:gridSpan w:val="4"/>
            <w:noWrap w:val="0"/>
            <w:vAlign w:val="top"/>
          </w:tcPr>
          <w:p w14:paraId="65239AC5">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r>
      <w:tr w14:paraId="7018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819" w:type="dxa"/>
            <w:vMerge w:val="continue"/>
            <w:noWrap w:val="0"/>
            <w:vAlign w:val="center"/>
          </w:tcPr>
          <w:p w14:paraId="7AC899AD">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55" w:type="dxa"/>
            <w:gridSpan w:val="2"/>
            <w:noWrap w:val="0"/>
            <w:vAlign w:val="center"/>
          </w:tcPr>
          <w:p w14:paraId="4F223F4D">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网    址</w:t>
            </w:r>
          </w:p>
        </w:tc>
        <w:tc>
          <w:tcPr>
            <w:tcW w:w="6486" w:type="dxa"/>
            <w:gridSpan w:val="4"/>
            <w:noWrap w:val="0"/>
            <w:vAlign w:val="top"/>
          </w:tcPr>
          <w:p w14:paraId="1459DB18">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r>
      <w:tr w14:paraId="3BB1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819" w:type="dxa"/>
            <w:vMerge w:val="restart"/>
            <w:noWrap w:val="0"/>
            <w:vAlign w:val="center"/>
          </w:tcPr>
          <w:p w14:paraId="309464F3">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被授权项目与内容</w:t>
            </w:r>
          </w:p>
        </w:tc>
        <w:tc>
          <w:tcPr>
            <w:tcW w:w="2145" w:type="dxa"/>
            <w:noWrap w:val="0"/>
            <w:vAlign w:val="center"/>
          </w:tcPr>
          <w:p w14:paraId="7CB94DA0">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项目名称</w:t>
            </w:r>
          </w:p>
        </w:tc>
        <w:tc>
          <w:tcPr>
            <w:tcW w:w="6496" w:type="dxa"/>
            <w:gridSpan w:val="5"/>
            <w:noWrap w:val="0"/>
            <w:vAlign w:val="top"/>
          </w:tcPr>
          <w:p w14:paraId="53C005D7">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r>
      <w:tr w14:paraId="0304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819" w:type="dxa"/>
            <w:vMerge w:val="continue"/>
            <w:noWrap w:val="0"/>
            <w:vAlign w:val="center"/>
          </w:tcPr>
          <w:p w14:paraId="4B04EE2F">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45" w:type="dxa"/>
            <w:noWrap w:val="0"/>
            <w:vAlign w:val="center"/>
          </w:tcPr>
          <w:p w14:paraId="7D4038E0">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文件编号</w:t>
            </w:r>
          </w:p>
        </w:tc>
        <w:tc>
          <w:tcPr>
            <w:tcW w:w="6496" w:type="dxa"/>
            <w:gridSpan w:val="5"/>
            <w:noWrap w:val="0"/>
            <w:vAlign w:val="top"/>
          </w:tcPr>
          <w:p w14:paraId="6CD0BFF5">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r>
      <w:tr w14:paraId="3BA6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1" w:hRule="atLeast"/>
          <w:jc w:val="center"/>
        </w:trPr>
        <w:tc>
          <w:tcPr>
            <w:tcW w:w="819" w:type="dxa"/>
            <w:vMerge w:val="continue"/>
            <w:noWrap w:val="0"/>
            <w:vAlign w:val="center"/>
          </w:tcPr>
          <w:p w14:paraId="75C07F37">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45" w:type="dxa"/>
            <w:noWrap w:val="0"/>
            <w:vAlign w:val="center"/>
          </w:tcPr>
          <w:p w14:paraId="40A598D9">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授权范围</w:t>
            </w:r>
          </w:p>
        </w:tc>
        <w:tc>
          <w:tcPr>
            <w:tcW w:w="6496" w:type="dxa"/>
            <w:gridSpan w:val="5"/>
            <w:noWrap w:val="0"/>
            <w:vAlign w:val="center"/>
          </w:tcPr>
          <w:p w14:paraId="66899EA2">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全权办理本采购项目的</w:t>
            </w:r>
            <w:r>
              <w:rPr>
                <w:rFonts w:hint="eastAsia" w:ascii="宋体" w:hAnsi="宋体" w:eastAsia="宋体" w:cs="宋体"/>
                <w:color w:val="000000" w:themeColor="text1"/>
                <w:sz w:val="24"/>
                <w:szCs w:val="24"/>
                <w:lang w:val="en-US" w:eastAsia="zh-CN"/>
                <w14:textFill>
                  <w14:solidFill>
                    <w14:schemeClr w14:val="tx1"/>
                  </w14:solidFill>
                </w14:textFill>
              </w:rPr>
              <w:t>投标</w:t>
            </w:r>
            <w:r>
              <w:rPr>
                <w:rFonts w:ascii="宋体" w:hAnsi="宋体" w:eastAsia="宋体" w:cs="宋体"/>
                <w:color w:val="000000" w:themeColor="text1"/>
                <w:sz w:val="24"/>
                <w:szCs w:val="24"/>
                <w14:textFill>
                  <w14:solidFill>
                    <w14:schemeClr w14:val="tx1"/>
                  </w14:solidFill>
                </w14:textFill>
              </w:rPr>
              <w:t>、联系、洽谈、签约、执行等具体事务，签署全部有关的文件、文书、协议及合同。</w:t>
            </w:r>
          </w:p>
        </w:tc>
      </w:tr>
      <w:tr w14:paraId="5097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jc w:val="center"/>
        </w:trPr>
        <w:tc>
          <w:tcPr>
            <w:tcW w:w="819" w:type="dxa"/>
            <w:vMerge w:val="continue"/>
            <w:noWrap w:val="0"/>
            <w:vAlign w:val="center"/>
          </w:tcPr>
          <w:p w14:paraId="74E04555">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45" w:type="dxa"/>
            <w:noWrap w:val="0"/>
            <w:vAlign w:val="center"/>
          </w:tcPr>
          <w:p w14:paraId="5D9D26C5">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法律责任</w:t>
            </w:r>
          </w:p>
        </w:tc>
        <w:tc>
          <w:tcPr>
            <w:tcW w:w="6496" w:type="dxa"/>
            <w:gridSpan w:val="5"/>
            <w:noWrap w:val="0"/>
            <w:vAlign w:val="center"/>
          </w:tcPr>
          <w:p w14:paraId="4A5E31B7">
            <w:pPr>
              <w:tabs>
                <w:tab w:val="left" w:pos="1260"/>
              </w:tabs>
              <w:spacing w:line="360" w:lineRule="auto"/>
              <w:rPr>
                <w:rFonts w:ascii="宋体" w:hAnsi="宋体" w:eastAsia="宋体" w:cs="宋体"/>
                <w:color w:val="000000" w:themeColor="text1"/>
                <w:spacing w:val="-10"/>
                <w:sz w:val="24"/>
                <w:szCs w:val="24"/>
                <w14:textFill>
                  <w14:solidFill>
                    <w14:schemeClr w14:val="tx1"/>
                  </w14:solidFill>
                </w14:textFill>
              </w:rPr>
            </w:pPr>
            <w:r>
              <w:rPr>
                <w:rFonts w:ascii="宋体" w:hAnsi="宋体" w:eastAsia="宋体" w:cs="宋体"/>
                <w:color w:val="000000" w:themeColor="text1"/>
                <w:spacing w:val="-10"/>
                <w:sz w:val="24"/>
                <w:szCs w:val="24"/>
                <w14:textFill>
                  <w14:solidFill>
                    <w14:schemeClr w14:val="tx1"/>
                  </w14:solidFill>
                </w14:textFill>
              </w:rPr>
              <w:t>本公司对被授权人在本项目中的签名承担全部法律责任。</w:t>
            </w:r>
          </w:p>
        </w:tc>
      </w:tr>
      <w:tr w14:paraId="0053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819" w:type="dxa"/>
            <w:vMerge w:val="continue"/>
            <w:noWrap w:val="0"/>
            <w:vAlign w:val="center"/>
          </w:tcPr>
          <w:p w14:paraId="43467668">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p>
        </w:tc>
        <w:tc>
          <w:tcPr>
            <w:tcW w:w="2145" w:type="dxa"/>
            <w:noWrap w:val="0"/>
            <w:vAlign w:val="center"/>
          </w:tcPr>
          <w:p w14:paraId="5115E34F">
            <w:pPr>
              <w:tabs>
                <w:tab w:val="left" w:pos="1260"/>
              </w:tabs>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授权期限</w:t>
            </w:r>
          </w:p>
        </w:tc>
        <w:tc>
          <w:tcPr>
            <w:tcW w:w="6496" w:type="dxa"/>
            <w:gridSpan w:val="5"/>
            <w:noWrap w:val="0"/>
            <w:vAlign w:val="center"/>
          </w:tcPr>
          <w:p w14:paraId="15F38478">
            <w:pPr>
              <w:tabs>
                <w:tab w:val="left" w:pos="1260"/>
              </w:tabs>
              <w:spacing w:line="360" w:lineRule="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自本委托书签署之日起至投标有效期期满</w:t>
            </w:r>
          </w:p>
        </w:tc>
      </w:tr>
      <w:tr w14:paraId="49E5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7" w:hRule="atLeast"/>
          <w:jc w:val="center"/>
        </w:trPr>
        <w:tc>
          <w:tcPr>
            <w:tcW w:w="4623" w:type="dxa"/>
            <w:gridSpan w:val="4"/>
            <w:noWrap w:val="0"/>
            <w:vAlign w:val="center"/>
          </w:tcPr>
          <w:p w14:paraId="22AB5B92">
            <w:pPr>
              <w:tabs>
                <w:tab w:val="left" w:pos="1260"/>
              </w:tabs>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法定代表人</w:t>
            </w:r>
            <w:r>
              <w:rPr>
                <w:rFonts w:ascii="宋体" w:hAnsi="宋体" w:eastAsia="宋体" w:cs="宋体"/>
                <w:color w:val="000000" w:themeColor="text1"/>
                <w:sz w:val="24"/>
                <w:szCs w:val="24"/>
                <w14:textFill>
                  <w14:solidFill>
                    <w14:schemeClr w14:val="tx1"/>
                  </w14:solidFill>
                </w14:textFill>
              </w:rPr>
              <w:t>身份证复印件</w:t>
            </w:r>
          </w:p>
          <w:p w14:paraId="76F1CE67">
            <w:pPr>
              <w:tabs>
                <w:tab w:val="left" w:pos="1260"/>
              </w:tabs>
              <w:spacing w:line="36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（正反面粘贴处）</w:t>
            </w:r>
          </w:p>
        </w:tc>
        <w:tc>
          <w:tcPr>
            <w:tcW w:w="4837" w:type="dxa"/>
            <w:gridSpan w:val="3"/>
            <w:noWrap w:val="0"/>
            <w:vAlign w:val="center"/>
          </w:tcPr>
          <w:p w14:paraId="766644A1">
            <w:pPr>
              <w:tabs>
                <w:tab w:val="left" w:pos="1260"/>
              </w:tabs>
              <w:spacing w:line="360" w:lineRule="auto"/>
              <w:jc w:val="center"/>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被授权人身份证复印件</w:t>
            </w:r>
          </w:p>
          <w:p w14:paraId="3A2AA121">
            <w:pPr>
              <w:tabs>
                <w:tab w:val="left" w:pos="1260"/>
              </w:tabs>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（正反面粘贴处）</w:t>
            </w:r>
          </w:p>
        </w:tc>
      </w:tr>
      <w:tr w14:paraId="13F6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jc w:val="center"/>
        </w:trPr>
        <w:tc>
          <w:tcPr>
            <w:tcW w:w="4623" w:type="dxa"/>
            <w:gridSpan w:val="4"/>
            <w:noWrap w:val="0"/>
            <w:vAlign w:val="center"/>
          </w:tcPr>
          <w:p w14:paraId="1508E837">
            <w:pPr>
              <w:tabs>
                <w:tab w:val="left" w:pos="1260"/>
              </w:tabs>
              <w:spacing w:line="360" w:lineRule="auto"/>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法定代表人签字或盖章</w:t>
            </w:r>
            <w:r>
              <w:rPr>
                <w:rFonts w:hint="eastAsia" w:ascii="宋体" w:hAnsi="宋体" w:eastAsia="宋体" w:cs="宋体"/>
                <w:color w:val="000000" w:themeColor="text1"/>
                <w:sz w:val="24"/>
                <w:lang w:eastAsia="zh-CN"/>
                <w14:textFill>
                  <w14:solidFill>
                    <w14:schemeClr w14:val="tx1"/>
                  </w14:solidFill>
                </w14:textFill>
              </w:rPr>
              <w:t>：</w:t>
            </w:r>
          </w:p>
        </w:tc>
        <w:tc>
          <w:tcPr>
            <w:tcW w:w="4837" w:type="dxa"/>
            <w:gridSpan w:val="3"/>
            <w:noWrap w:val="0"/>
            <w:vAlign w:val="center"/>
          </w:tcPr>
          <w:p w14:paraId="6A87ACBE">
            <w:pPr>
              <w:tabs>
                <w:tab w:val="left" w:pos="1260"/>
              </w:tabs>
              <w:spacing w:line="360" w:lineRule="auto"/>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被授权人签字或盖章</w:t>
            </w:r>
            <w:r>
              <w:rPr>
                <w:rFonts w:hint="eastAsia" w:ascii="宋体" w:hAnsi="宋体" w:eastAsia="宋体" w:cs="宋体"/>
                <w:color w:val="000000" w:themeColor="text1"/>
                <w:sz w:val="24"/>
                <w:lang w:eastAsia="zh-CN"/>
                <w14:textFill>
                  <w14:solidFill>
                    <w14:schemeClr w14:val="tx1"/>
                  </w14:solidFill>
                </w14:textFill>
              </w:rPr>
              <w:t>：</w:t>
            </w:r>
          </w:p>
        </w:tc>
      </w:tr>
      <w:tr w14:paraId="74A8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jc w:val="center"/>
        </w:trPr>
        <w:tc>
          <w:tcPr>
            <w:tcW w:w="9460" w:type="dxa"/>
            <w:gridSpan w:val="7"/>
            <w:noWrap w:val="0"/>
            <w:vAlign w:val="center"/>
          </w:tcPr>
          <w:p w14:paraId="7D182D4A">
            <w:pPr>
              <w:spacing w:line="360" w:lineRule="auto"/>
              <w:rPr>
                <w:rFonts w:hint="default"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b w:val="0"/>
                <w:bCs/>
                <w:color w:val="000000" w:themeColor="text1"/>
                <w:sz w:val="24"/>
                <w:szCs w:val="24"/>
                <w14:textFill>
                  <w14:solidFill>
                    <w14:schemeClr w14:val="tx1"/>
                  </w14:solidFill>
                </w14:textFill>
              </w:rPr>
              <w:t>投标人：</w:t>
            </w:r>
            <w:r>
              <w:rPr>
                <w:rFonts w:hint="eastAsia" w:ascii="宋体" w:hAnsi="宋体" w:eastAsia="宋体" w:cs="宋体"/>
                <w:b w:val="0"/>
                <w:bCs/>
                <w:color w:val="000000" w:themeColor="text1"/>
                <w:sz w:val="24"/>
                <w:szCs w:val="24"/>
                <w:u w:val="single"/>
                <w14:textFill>
                  <w14:solidFill>
                    <w14:schemeClr w14:val="tx1"/>
                  </w14:solidFill>
                </w14:textFill>
              </w:rPr>
              <w:t xml:space="preserve">    </w:t>
            </w:r>
            <w:r>
              <w:rPr>
                <w:rFonts w:hint="eastAsia" w:ascii="宋体" w:hAnsi="宋体" w:eastAsia="宋体" w:cs="宋体"/>
                <w:b w:val="0"/>
                <w:bCs/>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u w:val="single"/>
                <w14:textFill>
                  <w14:solidFill>
                    <w14:schemeClr w14:val="tx1"/>
                  </w14:solidFill>
                </w14:textFill>
              </w:rPr>
              <w:t xml:space="preserve">   </w:t>
            </w:r>
            <w:r>
              <w:rPr>
                <w:rFonts w:hint="eastAsia" w:ascii="宋体" w:hAnsi="宋体" w:eastAsia="宋体" w:cs="宋体"/>
                <w:b w:val="0"/>
                <w:bCs/>
                <w:color w:val="000000" w:themeColor="text1"/>
                <w:sz w:val="24"/>
                <w:szCs w:val="24"/>
                <w14:textFill>
                  <w14:solidFill>
                    <w14:schemeClr w14:val="tx1"/>
                  </w14:solidFill>
                </w14:textFill>
              </w:rPr>
              <w:t>（盖章）</w:t>
            </w:r>
            <w:r>
              <w:rPr>
                <w:rFonts w:hint="eastAsia" w:ascii="宋体" w:hAnsi="宋体" w:eastAsia="宋体" w:cs="宋体"/>
                <w:b w:val="0"/>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14:textFill>
                  <w14:solidFill>
                    <w14:schemeClr w14:val="tx1"/>
                  </w14:solidFill>
                </w14:textFill>
              </w:rPr>
              <w:t>日期：  年  月  日</w:t>
            </w:r>
          </w:p>
        </w:tc>
      </w:tr>
    </w:tbl>
    <w:p w14:paraId="3C3A8A13">
      <w:pPr>
        <w:spacing w:line="360" w:lineRule="auto"/>
        <w:jc w:val="left"/>
        <w:rPr>
          <w:rFonts w:hint="eastAsia" w:ascii="宋体" w:hAnsi="宋体" w:cs="宋体"/>
          <w:b/>
          <w:color w:val="000000" w:themeColor="text1"/>
          <w:sz w:val="24"/>
          <w:szCs w:val="22"/>
          <w14:textFill>
            <w14:solidFill>
              <w14:schemeClr w14:val="tx1"/>
            </w14:solidFill>
          </w14:textFill>
        </w:rPr>
      </w:pPr>
    </w:p>
    <w:p w14:paraId="3E39AAD0">
      <w:pPr>
        <w:spacing w:line="360" w:lineRule="auto"/>
        <w:jc w:val="left"/>
        <w:rPr>
          <w:rFonts w:hint="eastAsia" w:ascii="宋体" w:hAnsi="宋体" w:eastAsia="宋体" w:cs="宋体"/>
          <w:b/>
          <w:color w:val="000000" w:themeColor="text1"/>
          <w:sz w:val="24"/>
          <w:szCs w:val="22"/>
          <w:lang w:eastAsia="zh-CN"/>
          <w14:textFill>
            <w14:solidFill>
              <w14:schemeClr w14:val="tx1"/>
            </w14:solidFill>
          </w14:textFill>
        </w:rPr>
      </w:pPr>
      <w:r>
        <w:rPr>
          <w:rFonts w:hint="eastAsia" w:ascii="宋体" w:hAnsi="宋体" w:cs="宋体"/>
          <w:b/>
          <w:color w:val="000000" w:themeColor="text1"/>
          <w:sz w:val="24"/>
          <w:szCs w:val="22"/>
          <w14:textFill>
            <w14:solidFill>
              <w14:schemeClr w14:val="tx1"/>
            </w14:solidFill>
          </w14:textFill>
        </w:rPr>
        <w:t>附件</w:t>
      </w:r>
      <w:r>
        <w:rPr>
          <w:rFonts w:hint="eastAsia" w:ascii="宋体" w:hAnsi="宋体" w:cs="宋体"/>
          <w:b/>
          <w:color w:val="000000" w:themeColor="text1"/>
          <w:sz w:val="24"/>
          <w:szCs w:val="22"/>
          <w:lang w:val="en-US" w:eastAsia="zh-CN"/>
          <w14:textFill>
            <w14:solidFill>
              <w14:schemeClr w14:val="tx1"/>
            </w14:solidFill>
          </w14:textFill>
        </w:rPr>
        <w:t>3</w:t>
      </w:r>
    </w:p>
    <w:p w14:paraId="38C38674">
      <w:pPr>
        <w:pStyle w:val="33"/>
        <w:spacing w:line="360" w:lineRule="auto"/>
        <w:ind w:firstLine="440"/>
        <w:rPr>
          <w:rFonts w:hint="eastAsia" w:ascii="宋体" w:hAnsi="宋体" w:cs="宋体"/>
          <w:color w:val="000000" w:themeColor="text1"/>
          <w:sz w:val="44"/>
          <w:szCs w:val="44"/>
          <w14:textFill>
            <w14:solidFill>
              <w14:schemeClr w14:val="tx1"/>
            </w14:solidFill>
          </w14:textFill>
        </w:rPr>
      </w:pPr>
    </w:p>
    <w:p w14:paraId="60ECF7D2">
      <w:pPr>
        <w:pStyle w:val="33"/>
        <w:spacing w:line="360" w:lineRule="auto"/>
        <w:ind w:firstLine="442"/>
        <w:jc w:val="center"/>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《中华人民共和国政府采购法》第二十二条的书面承诺函</w:t>
      </w:r>
    </w:p>
    <w:p w14:paraId="7E06FA1B">
      <w:pPr>
        <w:pStyle w:val="33"/>
        <w:spacing w:line="360" w:lineRule="auto"/>
        <w:ind w:firstLine="240"/>
        <w:rPr>
          <w:rFonts w:hint="eastAsia" w:ascii="仿宋" w:hAnsi="仿宋" w:eastAsia="仿宋" w:cs="仿宋"/>
          <w:color w:val="000000" w:themeColor="text1"/>
          <w:sz w:val="24"/>
          <w:szCs w:val="24"/>
          <w14:textFill>
            <w14:solidFill>
              <w14:schemeClr w14:val="tx1"/>
            </w14:solidFill>
          </w14:textFill>
        </w:rPr>
      </w:pPr>
    </w:p>
    <w:p w14:paraId="2EC3A10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致：</w:t>
      </w:r>
      <w:r>
        <w:rPr>
          <w:rFonts w:hint="eastAsia" w:ascii="宋体" w:hAnsi="宋体" w:cs="宋体"/>
          <w:color w:val="000000" w:themeColor="text1"/>
          <w:sz w:val="24"/>
          <w:szCs w:val="24"/>
          <w:u w:val="single"/>
          <w14:textFill>
            <w14:solidFill>
              <w14:schemeClr w14:val="tx1"/>
            </w14:solidFill>
          </w14:textFill>
        </w:rPr>
        <w:t>（采购人名称）</w:t>
      </w:r>
    </w:p>
    <w:p w14:paraId="1284DFFA">
      <w:pPr>
        <w:pStyle w:val="33"/>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我单位作为参加</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采购项目的</w:t>
      </w:r>
      <w:r>
        <w:rPr>
          <w:rFonts w:hint="eastAsia" w:cs="宋体"/>
          <w:color w:val="000000" w:themeColor="text1"/>
          <w:sz w:val="24"/>
          <w:szCs w:val="24"/>
          <w14:textFill>
            <w14:solidFill>
              <w14:schemeClr w14:val="tx1"/>
            </w14:solidFill>
          </w14:textFill>
        </w:rPr>
        <w:t>投标</w:t>
      </w:r>
      <w:r>
        <w:rPr>
          <w:rFonts w:hint="eastAsia" w:ascii="宋体" w:hAnsi="宋体" w:cs="宋体"/>
          <w:color w:val="000000" w:themeColor="text1"/>
          <w:sz w:val="24"/>
          <w:szCs w:val="24"/>
          <w14:textFill>
            <w14:solidFill>
              <w14:schemeClr w14:val="tx1"/>
            </w14:solidFill>
          </w14:textFill>
        </w:rPr>
        <w:t xml:space="preserve">单位，现郑重承诺我单位具备《中华人民共和国政府采购法》第二十二条供应商参加政府采购活动的基本资格条件： </w:t>
      </w:r>
    </w:p>
    <w:p w14:paraId="37E5265B">
      <w:pPr>
        <w:pStyle w:val="33"/>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（一）我单位具有独立承担民事责任的能力； </w:t>
      </w:r>
    </w:p>
    <w:p w14:paraId="7A89CF06">
      <w:pPr>
        <w:pStyle w:val="33"/>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（二）我单位具有良好的商业信誉和健全的财务会计制度；</w:t>
      </w:r>
    </w:p>
    <w:p w14:paraId="3349EF9C">
      <w:pPr>
        <w:pStyle w:val="33"/>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（三）我单位具有履行合同所必需的设备和专业技术能力； </w:t>
      </w:r>
    </w:p>
    <w:p w14:paraId="50AA7000">
      <w:pPr>
        <w:pStyle w:val="33"/>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（四）我单位有依法缴纳税收和社会保障资金的良好记录； </w:t>
      </w:r>
    </w:p>
    <w:p w14:paraId="61050FA8">
      <w:pPr>
        <w:pStyle w:val="33"/>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（五）我单位参加政府采购活动前三年内，在经营活动中没有重大违法记录； </w:t>
      </w:r>
    </w:p>
    <w:p w14:paraId="29BD53C6">
      <w:pPr>
        <w:pStyle w:val="33"/>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（六）我单位满足法律、行政法规规定的其他条件。</w:t>
      </w:r>
    </w:p>
    <w:p w14:paraId="3E9F8DD3">
      <w:pPr>
        <w:pStyle w:val="33"/>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p>
    <w:p w14:paraId="10B5F824">
      <w:pPr>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106FAF7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35DE8D8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462276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3DB8E8C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370E126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07BDDC08">
      <w:pPr>
        <w:spacing w:line="360" w:lineRule="auto"/>
        <w:ind w:firstLine="562" w:firstLineChars="200"/>
        <w:rPr>
          <w:rFonts w:hint="eastAsia" w:ascii="宋体" w:hAnsi="宋体" w:cs="宋体"/>
          <w:b/>
          <w:color w:val="000000" w:themeColor="text1"/>
          <w:sz w:val="28"/>
          <w:szCs w:val="28"/>
          <w14:textFill>
            <w14:solidFill>
              <w14:schemeClr w14:val="tx1"/>
            </w14:solidFill>
          </w14:textFill>
        </w:rPr>
      </w:pPr>
    </w:p>
    <w:p w14:paraId="0A97FC5D">
      <w:pPr>
        <w:spacing w:line="360" w:lineRule="auto"/>
        <w:jc w:val="left"/>
        <w:rPr>
          <w:rFonts w:hint="eastAsia" w:ascii="宋体" w:hAnsi="宋体" w:cs="宋体"/>
          <w:b/>
          <w:color w:val="000000" w:themeColor="text1"/>
          <w:sz w:val="24"/>
          <w14:textFill>
            <w14:solidFill>
              <w14:schemeClr w14:val="tx1"/>
            </w14:solidFill>
          </w14:textFill>
        </w:rPr>
      </w:pPr>
    </w:p>
    <w:p w14:paraId="678F4C30">
      <w:pPr>
        <w:spacing w:line="360" w:lineRule="auto"/>
        <w:jc w:val="left"/>
        <w:rPr>
          <w:rFonts w:hint="eastAsia" w:ascii="宋体" w:hAnsi="宋体" w:cs="宋体"/>
          <w:b/>
          <w:color w:val="000000" w:themeColor="text1"/>
          <w:sz w:val="24"/>
          <w14:textFill>
            <w14:solidFill>
              <w14:schemeClr w14:val="tx1"/>
            </w14:solidFill>
          </w14:textFill>
        </w:rPr>
      </w:pPr>
    </w:p>
    <w:p w14:paraId="0E3B4C30">
      <w:pPr>
        <w:spacing w:line="360" w:lineRule="auto"/>
        <w:jc w:val="left"/>
        <w:rPr>
          <w:rFonts w:hint="eastAsia" w:ascii="宋体" w:hAnsi="宋体" w:cs="宋体"/>
          <w:b/>
          <w:color w:val="000000" w:themeColor="text1"/>
          <w:sz w:val="24"/>
          <w14:textFill>
            <w14:solidFill>
              <w14:schemeClr w14:val="tx1"/>
            </w14:solidFill>
          </w14:textFill>
        </w:rPr>
      </w:pPr>
    </w:p>
    <w:p w14:paraId="0E575C10">
      <w:pPr>
        <w:spacing w:line="360" w:lineRule="auto"/>
        <w:jc w:val="left"/>
        <w:rPr>
          <w:rFonts w:hint="eastAsia" w:ascii="宋体" w:hAnsi="宋体" w:cs="宋体"/>
          <w:b/>
          <w:color w:val="000000" w:themeColor="text1"/>
          <w:sz w:val="24"/>
          <w14:textFill>
            <w14:solidFill>
              <w14:schemeClr w14:val="tx1"/>
            </w14:solidFill>
          </w14:textFill>
        </w:rPr>
      </w:pPr>
    </w:p>
    <w:p w14:paraId="2D00AAC1">
      <w:pPr>
        <w:spacing w:line="360" w:lineRule="auto"/>
        <w:jc w:val="left"/>
        <w:rPr>
          <w:rFonts w:hint="eastAsia" w:ascii="宋体" w:hAnsi="宋体" w:eastAsia="宋体" w:cs="宋体"/>
          <w:b/>
          <w:color w:val="000000" w:themeColor="text1"/>
          <w:sz w:val="24"/>
          <w:lang w:eastAsia="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附件</w:t>
      </w:r>
      <w:r>
        <w:rPr>
          <w:rFonts w:hint="eastAsia" w:ascii="宋体" w:hAnsi="宋体" w:cs="宋体"/>
          <w:b/>
          <w:color w:val="000000" w:themeColor="text1"/>
          <w:sz w:val="24"/>
          <w:lang w:val="en-US" w:eastAsia="zh-CN"/>
          <w14:textFill>
            <w14:solidFill>
              <w14:schemeClr w14:val="tx1"/>
            </w14:solidFill>
          </w14:textFill>
        </w:rPr>
        <w:t>4</w:t>
      </w:r>
    </w:p>
    <w:p w14:paraId="63E333AD">
      <w:pPr>
        <w:spacing w:line="360" w:lineRule="auto"/>
        <w:jc w:val="center"/>
        <w:rPr>
          <w:rFonts w:hint="eastAsia" w:ascii="宋体" w:hAnsi="宋体" w:cs="宋体"/>
          <w:b/>
          <w:color w:val="000000" w:themeColor="text1"/>
          <w:sz w:val="44"/>
          <w:szCs w:val="44"/>
          <w14:textFill>
            <w14:solidFill>
              <w14:schemeClr w14:val="tx1"/>
            </w14:solidFill>
          </w14:textFill>
        </w:rPr>
      </w:pPr>
    </w:p>
    <w:p w14:paraId="55828403">
      <w:pPr>
        <w:spacing w:line="360" w:lineRule="auto"/>
        <w:jc w:val="center"/>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参加本项目活动前3年内在经营活动中</w:t>
      </w:r>
      <w:r>
        <w:rPr>
          <w:rFonts w:hint="eastAsia" w:ascii="宋体" w:hAnsi="宋体" w:cs="宋体"/>
          <w:b/>
          <w:color w:val="000000" w:themeColor="text1"/>
          <w:sz w:val="28"/>
          <w:szCs w:val="28"/>
          <w:lang w:eastAsia="zh-CN"/>
          <w14:textFill>
            <w14:solidFill>
              <w14:schemeClr w14:val="tx1"/>
            </w14:solidFill>
          </w14:textFill>
        </w:rPr>
        <w:t>没有</w:t>
      </w:r>
      <w:r>
        <w:rPr>
          <w:rFonts w:hint="eastAsia" w:ascii="宋体" w:hAnsi="宋体" w:cs="宋体"/>
          <w:b/>
          <w:color w:val="000000" w:themeColor="text1"/>
          <w:sz w:val="28"/>
          <w:szCs w:val="28"/>
          <w14:textFill>
            <w14:solidFill>
              <w14:schemeClr w14:val="tx1"/>
            </w14:solidFill>
          </w14:textFill>
        </w:rPr>
        <w:t>重大违法记录的书面声明</w:t>
      </w:r>
    </w:p>
    <w:p w14:paraId="7F47D704">
      <w:pPr>
        <w:spacing w:line="360" w:lineRule="auto"/>
        <w:jc w:val="center"/>
        <w:rPr>
          <w:rFonts w:hint="eastAsia" w:ascii="宋体" w:hAnsi="宋体" w:cs="宋体"/>
          <w:b/>
          <w:color w:val="000000" w:themeColor="text1"/>
          <w:sz w:val="44"/>
          <w:szCs w:val="44"/>
          <w14:textFill>
            <w14:solidFill>
              <w14:schemeClr w14:val="tx1"/>
            </w14:solidFill>
          </w14:textFill>
        </w:rPr>
      </w:pPr>
    </w:p>
    <w:p w14:paraId="4FE7E53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致：</w:t>
      </w:r>
      <w:r>
        <w:rPr>
          <w:rFonts w:hint="eastAsia" w:ascii="宋体" w:hAnsi="宋体" w:cs="宋体"/>
          <w:color w:val="000000" w:themeColor="text1"/>
          <w:sz w:val="24"/>
          <w:szCs w:val="24"/>
          <w:u w:val="single"/>
          <w14:textFill>
            <w14:solidFill>
              <w14:schemeClr w14:val="tx1"/>
            </w14:solidFill>
          </w14:textFill>
        </w:rPr>
        <w:t>（采购人名称）</w:t>
      </w:r>
    </w:p>
    <w:p w14:paraId="0D38B0DA">
      <w:pPr>
        <w:keepNext w:val="0"/>
        <w:keepLines w:val="0"/>
        <w:pageBreakBefore w:val="0"/>
        <w:widowControl w:val="0"/>
        <w:kinsoku/>
        <w:wordWrap/>
        <w:overflowPunct/>
        <w:topLinePunct w:val="0"/>
        <w:autoSpaceDE/>
        <w:autoSpaceDN/>
        <w:bidi w:val="0"/>
        <w:adjustRightInd/>
        <w:snapToGrid/>
        <w:spacing w:line="480" w:lineRule="auto"/>
        <w:ind w:firstLine="480"/>
        <w:jc w:val="left"/>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我单位</w:t>
      </w:r>
      <w:r>
        <w:rPr>
          <w:rFonts w:hint="eastAsia" w:ascii="宋体" w:hAnsi="宋体" w:cs="宋体"/>
          <w:color w:val="000000" w:themeColor="text1"/>
          <w:sz w:val="24"/>
          <w:szCs w:val="24"/>
          <w:u w:val="single"/>
          <w14:textFill>
            <w14:solidFill>
              <w14:schemeClr w14:val="tx1"/>
            </w14:solidFill>
          </w14:textFill>
        </w:rPr>
        <w:t>（投标人名称）</w:t>
      </w:r>
      <w:r>
        <w:rPr>
          <w:rFonts w:hint="eastAsia" w:ascii="宋体" w:hAnsi="宋体" w:cs="宋体"/>
          <w:color w:val="000000" w:themeColor="text1"/>
          <w:sz w:val="24"/>
          <w:szCs w:val="24"/>
          <w14:textFill>
            <w14:solidFill>
              <w14:schemeClr w14:val="tx1"/>
            </w14:solidFill>
          </w14:textFill>
        </w:rPr>
        <w:t>参加本项目活动前3年内，在经营活动中</w:t>
      </w:r>
      <w:r>
        <w:rPr>
          <w:rFonts w:hint="eastAsia" w:ascii="宋体" w:hAnsi="宋体" w:cs="宋体"/>
          <w:color w:val="000000" w:themeColor="text1"/>
          <w:sz w:val="24"/>
          <w:szCs w:val="24"/>
          <w:lang w:eastAsia="zh-CN"/>
          <w14:textFill>
            <w14:solidFill>
              <w14:schemeClr w14:val="tx1"/>
            </w14:solidFill>
          </w14:textFill>
        </w:rPr>
        <w:t>没有</w:t>
      </w:r>
      <w:r>
        <w:rPr>
          <w:rFonts w:hint="eastAsia" w:ascii="宋体" w:hAnsi="宋体" w:cs="宋体"/>
          <w:color w:val="000000" w:themeColor="text1"/>
          <w:sz w:val="24"/>
          <w:szCs w:val="24"/>
          <w14:textFill>
            <w14:solidFill>
              <w14:schemeClr w14:val="tx1"/>
            </w14:solidFill>
          </w14:textFill>
        </w:rPr>
        <w:t>重大违法记录，特此声明。</w:t>
      </w:r>
    </w:p>
    <w:p w14:paraId="5FAD288C">
      <w:pPr>
        <w:keepNext w:val="0"/>
        <w:keepLines w:val="0"/>
        <w:pageBreakBefore w:val="0"/>
        <w:widowControl w:val="0"/>
        <w:kinsoku/>
        <w:wordWrap/>
        <w:overflowPunct/>
        <w:topLinePunct w:val="0"/>
        <w:autoSpaceDE/>
        <w:autoSpaceDN/>
        <w:bidi w:val="0"/>
        <w:adjustRightInd/>
        <w:snapToGrid/>
        <w:spacing w:line="480" w:lineRule="auto"/>
        <w:ind w:firstLine="480"/>
        <w:jc w:val="left"/>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若采购人在本项目招标采购过程中发现我单位参加本项目活动前3年内，在经营活动中存在重大违法记录，我单位将无条件地退出本项目的招标、投标活动，并承担因此引起的一切后果。</w:t>
      </w:r>
    </w:p>
    <w:p w14:paraId="3F9CD73C">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00" w:themeColor="text1"/>
          <w:sz w:val="24"/>
          <w:szCs w:val="24"/>
          <w14:textFill>
            <w14:solidFill>
              <w14:schemeClr w14:val="tx1"/>
            </w14:solidFill>
          </w14:textFill>
        </w:rPr>
      </w:pPr>
    </w:p>
    <w:p w14:paraId="3B222FA1">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00" w:themeColor="text1"/>
          <w:sz w:val="24"/>
          <w:szCs w:val="24"/>
          <w14:textFill>
            <w14:solidFill>
              <w14:schemeClr w14:val="tx1"/>
            </w14:solidFill>
          </w14:textFill>
        </w:rPr>
      </w:pPr>
    </w:p>
    <w:p w14:paraId="31ECCD7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76C68C3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5445CFB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51A24D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5D676CE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56761024">
      <w:pPr>
        <w:spacing w:line="360" w:lineRule="auto"/>
        <w:jc w:val="left"/>
        <w:rPr>
          <w:rFonts w:hint="eastAsia" w:ascii="宋体" w:hAnsi="宋体" w:cs="宋体"/>
          <w:color w:val="000000" w:themeColor="text1"/>
          <w:sz w:val="24"/>
          <w14:textFill>
            <w14:solidFill>
              <w14:schemeClr w14:val="tx1"/>
            </w14:solidFill>
          </w14:textFill>
        </w:rPr>
      </w:pPr>
    </w:p>
    <w:p w14:paraId="60033434">
      <w:pPr>
        <w:spacing w:line="360" w:lineRule="auto"/>
        <w:jc w:val="left"/>
        <w:rPr>
          <w:rFonts w:hint="eastAsia" w:ascii="宋体" w:hAnsi="宋体" w:cs="宋体"/>
          <w:color w:val="000000" w:themeColor="text1"/>
          <w:sz w:val="24"/>
          <w14:textFill>
            <w14:solidFill>
              <w14:schemeClr w14:val="tx1"/>
            </w14:solidFill>
          </w14:textFill>
        </w:rPr>
      </w:pPr>
    </w:p>
    <w:p w14:paraId="530221D7">
      <w:pPr>
        <w:spacing w:line="360" w:lineRule="auto"/>
        <w:jc w:val="left"/>
        <w:rPr>
          <w:rFonts w:hint="eastAsia" w:ascii="宋体" w:hAnsi="宋体" w:cs="宋体"/>
          <w:color w:val="000000" w:themeColor="text1"/>
          <w:sz w:val="24"/>
          <w14:textFill>
            <w14:solidFill>
              <w14:schemeClr w14:val="tx1"/>
            </w14:solidFill>
          </w14:textFill>
        </w:rPr>
      </w:pPr>
    </w:p>
    <w:p w14:paraId="5F92DBC8">
      <w:pPr>
        <w:spacing w:line="360" w:lineRule="auto"/>
        <w:jc w:val="left"/>
        <w:rPr>
          <w:rFonts w:hint="eastAsia" w:ascii="宋体" w:hAnsi="宋体" w:cs="宋体"/>
          <w:color w:val="000000" w:themeColor="text1"/>
          <w:sz w:val="24"/>
          <w14:textFill>
            <w14:solidFill>
              <w14:schemeClr w14:val="tx1"/>
            </w14:solidFill>
          </w14:textFill>
        </w:rPr>
      </w:pPr>
    </w:p>
    <w:p w14:paraId="6C4E9A02">
      <w:pPr>
        <w:spacing w:line="360" w:lineRule="auto"/>
        <w:jc w:val="left"/>
        <w:rPr>
          <w:rFonts w:hint="eastAsia" w:ascii="宋体" w:hAnsi="宋体" w:cs="宋体"/>
          <w:color w:val="000000" w:themeColor="text1"/>
          <w:sz w:val="24"/>
          <w14:textFill>
            <w14:solidFill>
              <w14:schemeClr w14:val="tx1"/>
            </w14:solidFill>
          </w14:textFill>
        </w:rPr>
      </w:pPr>
    </w:p>
    <w:p w14:paraId="3E7F0F88">
      <w:pPr>
        <w:spacing w:line="360" w:lineRule="auto"/>
        <w:jc w:val="left"/>
        <w:rPr>
          <w:rFonts w:hint="eastAsia" w:ascii="宋体" w:hAnsi="宋体" w:cs="宋体"/>
          <w:color w:val="000000" w:themeColor="text1"/>
          <w:sz w:val="24"/>
          <w14:textFill>
            <w14:solidFill>
              <w14:schemeClr w14:val="tx1"/>
            </w14:solidFill>
          </w14:textFill>
        </w:rPr>
      </w:pPr>
    </w:p>
    <w:p w14:paraId="48EE823E">
      <w:pPr>
        <w:spacing w:line="360" w:lineRule="auto"/>
        <w:jc w:val="left"/>
        <w:rPr>
          <w:rFonts w:hint="eastAsia" w:ascii="宋体" w:hAnsi="宋体" w:cs="宋体"/>
          <w:color w:val="000000" w:themeColor="text1"/>
          <w:sz w:val="24"/>
          <w14:textFill>
            <w14:solidFill>
              <w14:schemeClr w14:val="tx1"/>
            </w14:solidFill>
          </w14:textFill>
        </w:rPr>
      </w:pPr>
    </w:p>
    <w:p w14:paraId="692934ED">
      <w:pPr>
        <w:spacing w:line="360" w:lineRule="auto"/>
        <w:jc w:val="left"/>
        <w:rPr>
          <w:rFonts w:hint="eastAsia" w:ascii="宋体" w:hAnsi="宋体" w:cs="宋体"/>
          <w:b/>
          <w:color w:val="000000" w:themeColor="text1"/>
          <w:sz w:val="24"/>
          <w14:textFill>
            <w14:solidFill>
              <w14:schemeClr w14:val="tx1"/>
            </w14:solidFill>
          </w14:textFill>
        </w:rPr>
      </w:pPr>
    </w:p>
    <w:p w14:paraId="5952591C">
      <w:pPr>
        <w:spacing w:line="360" w:lineRule="auto"/>
        <w:jc w:val="left"/>
        <w:rPr>
          <w:rFonts w:hint="eastAsia" w:ascii="宋体" w:hAnsi="宋体" w:eastAsia="宋体" w:cs="宋体"/>
          <w:b/>
          <w:color w:val="000000" w:themeColor="text1"/>
          <w:sz w:val="24"/>
          <w:lang w:val="en-US" w:eastAsia="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附件</w:t>
      </w:r>
      <w:r>
        <w:rPr>
          <w:rFonts w:hint="eastAsia" w:ascii="宋体" w:hAnsi="宋体" w:cs="宋体"/>
          <w:b/>
          <w:color w:val="000000" w:themeColor="text1"/>
          <w:sz w:val="24"/>
          <w:lang w:val="en-US" w:eastAsia="zh-CN"/>
          <w14:textFill>
            <w14:solidFill>
              <w14:schemeClr w14:val="tx1"/>
            </w14:solidFill>
          </w14:textFill>
        </w:rPr>
        <w:t>5</w:t>
      </w:r>
    </w:p>
    <w:p w14:paraId="574781C2">
      <w:pPr>
        <w:spacing w:line="360" w:lineRule="auto"/>
        <w:jc w:val="center"/>
        <w:rPr>
          <w:rFonts w:hint="eastAsia" w:ascii="宋体" w:hAnsi="宋体" w:cs="宋体"/>
          <w:b/>
          <w:color w:val="000000" w:themeColor="text1"/>
          <w:sz w:val="44"/>
          <w:szCs w:val="44"/>
          <w14:textFill>
            <w14:solidFill>
              <w14:schemeClr w14:val="tx1"/>
            </w14:solidFill>
          </w14:textFill>
        </w:rPr>
      </w:pPr>
    </w:p>
    <w:p w14:paraId="3B3802E3">
      <w:pPr>
        <w:spacing w:line="360" w:lineRule="auto"/>
        <w:jc w:val="center"/>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非联合体投标声明</w:t>
      </w:r>
    </w:p>
    <w:p w14:paraId="51E42792">
      <w:pPr>
        <w:spacing w:line="360" w:lineRule="auto"/>
        <w:jc w:val="center"/>
        <w:rPr>
          <w:rFonts w:hint="eastAsia" w:ascii="宋体" w:hAnsi="宋体" w:cs="宋体"/>
          <w:b/>
          <w:color w:val="000000" w:themeColor="text1"/>
          <w:sz w:val="44"/>
          <w:szCs w:val="44"/>
          <w14:textFill>
            <w14:solidFill>
              <w14:schemeClr w14:val="tx1"/>
            </w14:solidFill>
          </w14:textFill>
        </w:rPr>
      </w:pPr>
    </w:p>
    <w:p w14:paraId="48A188CC">
      <w:pPr>
        <w:keepNext w:val="0"/>
        <w:keepLines w:val="0"/>
        <w:pageBreakBefore w:val="0"/>
        <w:kinsoku/>
        <w:wordWrap/>
        <w:overflowPunct/>
        <w:topLinePunct w:val="0"/>
        <w:autoSpaceDE/>
        <w:autoSpaceDN/>
        <w:bidi w:val="0"/>
        <w:adjustRightInd/>
        <w:snapToGrid/>
        <w:spacing w:line="480" w:lineRule="auto"/>
        <w:jc w:val="left"/>
        <w:textAlignment w:val="auto"/>
        <w:rPr>
          <w:rFonts w:hint="eastAsia" w:ascii="宋体" w:hAnsi="宋体" w:cs="宋体"/>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致：</w:t>
      </w:r>
      <w:r>
        <w:rPr>
          <w:rFonts w:hint="eastAsia" w:ascii="宋体" w:hAnsi="宋体" w:cs="宋体"/>
          <w:color w:val="000000" w:themeColor="text1"/>
          <w:sz w:val="24"/>
          <w:szCs w:val="24"/>
          <w:u w:val="single"/>
          <w14:textFill>
            <w14:solidFill>
              <w14:schemeClr w14:val="tx1"/>
            </w14:solidFill>
          </w14:textFill>
        </w:rPr>
        <w:t>（采购人名称）</w:t>
      </w:r>
    </w:p>
    <w:p w14:paraId="404ABBAF">
      <w:pPr>
        <w:keepNext w:val="0"/>
        <w:keepLines w:val="0"/>
        <w:pageBreakBefore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我公司收到贵单位</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采购项目公开招标（项目编号：</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）的招标文件，经详细研究，我们决定参加该项目的投标活动。为此，我方郑重声明以下内容，并负法律责任。</w:t>
      </w:r>
    </w:p>
    <w:p w14:paraId="2919956D">
      <w:pPr>
        <w:keepNext w:val="0"/>
        <w:keepLines w:val="0"/>
        <w:pageBreakBefore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1.本项目我公司以自己的名义参加投标，不存在联合体投标的情况。</w:t>
      </w:r>
    </w:p>
    <w:p w14:paraId="6F3AB7F7">
      <w:pPr>
        <w:pStyle w:val="32"/>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2.我公司愿按《中华人民共和国</w:t>
      </w:r>
      <w:r>
        <w:rPr>
          <w:rFonts w:hint="eastAsia"/>
          <w:color w:val="000000" w:themeColor="text1"/>
          <w:sz w:val="24"/>
          <w:szCs w:val="24"/>
          <w:lang w:val="en-US" w:eastAsia="zh-CN"/>
          <w14:textFill>
            <w14:solidFill>
              <w14:schemeClr w14:val="tx1"/>
            </w14:solidFill>
          </w14:textFill>
        </w:rPr>
        <w:t>民法典</w:t>
      </w:r>
      <w:r>
        <w:rPr>
          <w:rFonts w:hint="eastAsia"/>
          <w:color w:val="000000" w:themeColor="text1"/>
          <w:sz w:val="24"/>
          <w:szCs w:val="24"/>
          <w14:textFill>
            <w14:solidFill>
              <w14:schemeClr w14:val="tx1"/>
            </w14:solidFill>
          </w14:textFill>
        </w:rPr>
        <w:t>》履行自己的全部责任。</w:t>
      </w:r>
    </w:p>
    <w:p w14:paraId="7C5FC9D8">
      <w:pPr>
        <w:pStyle w:val="32"/>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特此声明。</w:t>
      </w:r>
    </w:p>
    <w:p w14:paraId="7EA03E9C">
      <w:pPr>
        <w:pStyle w:val="32"/>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color w:val="000000" w:themeColor="text1"/>
          <w:sz w:val="24"/>
          <w:szCs w:val="24"/>
          <w14:textFill>
            <w14:solidFill>
              <w14:schemeClr w14:val="tx1"/>
            </w14:solidFill>
          </w14:textFill>
        </w:rPr>
      </w:pPr>
    </w:p>
    <w:p w14:paraId="10C521E8">
      <w:pPr>
        <w:pStyle w:val="32"/>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480" w:firstLineChars="200"/>
        <w:textAlignment w:val="auto"/>
        <w:rPr>
          <w:rFonts w:hint="eastAsia"/>
          <w:color w:val="000000" w:themeColor="text1"/>
          <w:sz w:val="24"/>
          <w:szCs w:val="24"/>
          <w14:textFill>
            <w14:solidFill>
              <w14:schemeClr w14:val="tx1"/>
            </w14:solidFill>
          </w14:textFill>
        </w:rPr>
      </w:pPr>
    </w:p>
    <w:p w14:paraId="1A3D8E0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23C711A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7696FA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68ACBCA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4DFD237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42CF444C">
      <w:pPr>
        <w:keepNext w:val="0"/>
        <w:keepLines w:val="0"/>
        <w:pageBreakBefore w:val="0"/>
        <w:kinsoku/>
        <w:wordWrap/>
        <w:overflowPunct/>
        <w:topLinePunct w:val="0"/>
        <w:autoSpaceDE/>
        <w:autoSpaceDN/>
        <w:bidi w:val="0"/>
        <w:adjustRightInd/>
        <w:snapToGrid/>
        <w:spacing w:line="480" w:lineRule="auto"/>
        <w:ind w:right="540" w:rightChars="257"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4BEA2466">
      <w:pPr>
        <w:spacing w:line="360" w:lineRule="auto"/>
        <w:rPr>
          <w:rFonts w:hint="eastAsia" w:ascii="宋体" w:hAnsi="宋体" w:cs="宋体"/>
          <w:color w:val="000000" w:themeColor="text1"/>
          <w:sz w:val="24"/>
          <w14:textFill>
            <w14:solidFill>
              <w14:schemeClr w14:val="tx1"/>
            </w14:solidFill>
          </w14:textFill>
        </w:rPr>
      </w:pPr>
    </w:p>
    <w:p w14:paraId="14E66024">
      <w:pPr>
        <w:widowControl/>
        <w:spacing w:line="360" w:lineRule="auto"/>
        <w:jc w:val="left"/>
        <w:rPr>
          <w:rFonts w:hint="eastAsia" w:ascii="宋体" w:hAnsi="宋体" w:cs="宋体"/>
          <w:b/>
          <w:color w:val="000000" w:themeColor="text1"/>
          <w:sz w:val="36"/>
          <w:szCs w:val="36"/>
          <w14:textFill>
            <w14:solidFill>
              <w14:schemeClr w14:val="tx1"/>
            </w14:solidFill>
          </w14:textFill>
        </w:rPr>
      </w:pPr>
    </w:p>
    <w:p w14:paraId="57ED3246">
      <w:pPr>
        <w:pStyle w:val="11"/>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36"/>
          <w:szCs w:val="36"/>
          <w14:textFill>
            <w14:solidFill>
              <w14:schemeClr w14:val="tx1"/>
            </w14:solidFill>
          </w14:textFill>
        </w:rPr>
        <w:br w:type="page"/>
      </w:r>
      <w:r>
        <w:rPr>
          <w:rFonts w:hint="eastAsia" w:ascii="宋体" w:hAnsi="宋体" w:eastAsia="宋体" w:cs="宋体"/>
          <w:b/>
          <w:color w:val="000000" w:themeColor="text1"/>
          <w:sz w:val="24"/>
          <w14:textFill>
            <w14:solidFill>
              <w14:schemeClr w14:val="tx1"/>
            </w14:solidFill>
          </w14:textFill>
        </w:rPr>
        <w:t>附件6</w:t>
      </w:r>
    </w:p>
    <w:p w14:paraId="4600C789">
      <w:pPr>
        <w:rPr>
          <w:rFonts w:ascii="宋体" w:hAnsi="宋体" w:cs="宋体"/>
          <w:b/>
          <w:color w:val="000000" w:themeColor="text1"/>
          <w:sz w:val="24"/>
          <w14:textFill>
            <w14:solidFill>
              <w14:schemeClr w14:val="tx1"/>
            </w14:solidFill>
          </w14:textFill>
        </w:rPr>
      </w:pPr>
    </w:p>
    <w:p w14:paraId="0064527F">
      <w:pPr>
        <w:jc w:val="center"/>
        <w:rPr>
          <w:b/>
          <w:bCs/>
          <w:color w:val="000000" w:themeColor="text1"/>
          <w:sz w:val="28"/>
          <w:szCs w:val="22"/>
          <w14:textFill>
            <w14:solidFill>
              <w14:schemeClr w14:val="tx1"/>
            </w14:solidFill>
          </w14:textFill>
        </w:rPr>
      </w:pPr>
      <w:r>
        <w:rPr>
          <w:b/>
          <w:bCs/>
          <w:color w:val="000000" w:themeColor="text1"/>
          <w:sz w:val="28"/>
          <w:szCs w:val="22"/>
          <w14:textFill>
            <w14:solidFill>
              <w14:schemeClr w14:val="tx1"/>
            </w14:solidFill>
          </w14:textFill>
        </w:rPr>
        <w:t>控股管理关系承诺书</w:t>
      </w:r>
    </w:p>
    <w:p w14:paraId="67EEAC01">
      <w:pPr>
        <w:jc w:val="center"/>
        <w:rPr>
          <w:color w:val="000000" w:themeColor="text1"/>
          <w14:textFill>
            <w14:solidFill>
              <w14:schemeClr w14:val="tx1"/>
            </w14:solidFill>
          </w14:textFill>
        </w:rPr>
      </w:pPr>
    </w:p>
    <w:p w14:paraId="6790A248">
      <w:pPr>
        <w:spacing w:line="700" w:lineRule="exact"/>
        <w:jc w:val="left"/>
        <w:rPr>
          <w:rFonts w:ascii="宋体" w:hAnsi="宋体" w:cs="宋体"/>
          <w:color w:val="000000" w:themeColor="text1"/>
          <w:sz w:val="24"/>
          <w:szCs w:val="24"/>
          <w:u w:val="single"/>
          <w14:textFill>
            <w14:solidFill>
              <w14:schemeClr w14:val="tx1"/>
            </w14:solidFill>
          </w14:textFill>
        </w:rPr>
      </w:pPr>
      <w:r>
        <w:rPr>
          <w:rFonts w:ascii="宋体" w:hAnsi="宋体" w:cs="宋体"/>
          <w:color w:val="000000" w:themeColor="text1"/>
          <w:sz w:val="24"/>
          <w:szCs w:val="24"/>
          <w14:textFill>
            <w14:solidFill>
              <w14:schemeClr w14:val="tx1"/>
            </w14:solidFill>
          </w14:textFill>
        </w:rPr>
        <w:t>致：</w:t>
      </w:r>
      <w:r>
        <w:rPr>
          <w:rFonts w:ascii="宋体" w:hAnsi="宋体" w:cs="宋体"/>
          <w:color w:val="000000" w:themeColor="text1"/>
          <w:sz w:val="24"/>
          <w:szCs w:val="24"/>
          <w:u w:val="single"/>
          <w14:textFill>
            <w14:solidFill>
              <w14:schemeClr w14:val="tx1"/>
            </w14:solidFill>
          </w14:textFill>
        </w:rPr>
        <w:t xml:space="preserve">  （采购人名称）</w:t>
      </w:r>
    </w:p>
    <w:p w14:paraId="0AF0EEE0">
      <w:pPr>
        <w:spacing w:line="700" w:lineRule="exact"/>
        <w:ind w:firstLine="480" w:firstLineChars="200"/>
        <w:jc w:val="left"/>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我公司参加贵单位组织的</w:t>
      </w:r>
      <w:r>
        <w:rPr>
          <w:rFonts w:ascii="宋体" w:hAnsi="宋体" w:cs="宋体"/>
          <w:color w:val="000000" w:themeColor="text1"/>
          <w:sz w:val="24"/>
          <w:szCs w:val="24"/>
          <w:u w:val="single"/>
          <w14:textFill>
            <w14:solidFill>
              <w14:schemeClr w14:val="tx1"/>
            </w14:solidFill>
          </w14:textFill>
        </w:rPr>
        <w:t xml:space="preserve">   （项目名称） </w:t>
      </w:r>
      <w:r>
        <w:rPr>
          <w:rFonts w:ascii="宋体" w:hAnsi="宋体" w:cs="宋体"/>
          <w:color w:val="000000" w:themeColor="text1"/>
          <w:sz w:val="24"/>
          <w:szCs w:val="24"/>
          <w14:textFill>
            <w14:solidFill>
              <w14:schemeClr w14:val="tx1"/>
            </w14:solidFill>
          </w14:textFill>
        </w:rPr>
        <w:t>（项目编号：</w:t>
      </w:r>
      <w:r>
        <w:rPr>
          <w:rFonts w:ascii="宋体" w:hAnsi="宋体" w:cs="宋体"/>
          <w:color w:val="000000" w:themeColor="text1"/>
          <w:sz w:val="24"/>
          <w:szCs w:val="24"/>
          <w:u w:val="single"/>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）的投标，现我公司向贵单位承诺：</w:t>
      </w:r>
    </w:p>
    <w:p w14:paraId="114B15CD">
      <w:pPr>
        <w:spacing w:line="700" w:lineRule="exact"/>
        <w:ind w:firstLine="480" w:firstLineChars="200"/>
        <w:jc w:val="left"/>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我公司郑重承诺，我公司参加此次项目的投标，不存在单位负责人为同一人或直接控股、管理关系。如有虚假或隐瞒，我公司愿承担一切后果。</w:t>
      </w:r>
    </w:p>
    <w:p w14:paraId="278E8CB8">
      <w:pPr>
        <w:spacing w:line="700" w:lineRule="exact"/>
        <w:jc w:val="left"/>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特此声明！</w:t>
      </w:r>
    </w:p>
    <w:p w14:paraId="42E723DC">
      <w:pPr>
        <w:spacing w:line="700" w:lineRule="exact"/>
        <w:ind w:firstLine="3614" w:firstLineChars="1500"/>
        <w:rPr>
          <w:rFonts w:ascii="宋体" w:hAnsi="宋体" w:cs="宋体"/>
          <w:b/>
          <w:color w:val="000000" w:themeColor="text1"/>
          <w:sz w:val="24"/>
          <w:szCs w:val="24"/>
          <w14:textFill>
            <w14:solidFill>
              <w14:schemeClr w14:val="tx1"/>
            </w14:solidFill>
          </w14:textFill>
        </w:rPr>
      </w:pPr>
    </w:p>
    <w:p w14:paraId="3DDC2947">
      <w:pPr>
        <w:spacing w:line="700" w:lineRule="exact"/>
        <w:ind w:firstLine="3614" w:firstLineChars="1500"/>
        <w:rPr>
          <w:rFonts w:ascii="宋体" w:hAnsi="宋体" w:cs="宋体"/>
          <w:b/>
          <w:color w:val="000000" w:themeColor="text1"/>
          <w:sz w:val="24"/>
          <w:szCs w:val="24"/>
          <w14:textFill>
            <w14:solidFill>
              <w14:schemeClr w14:val="tx1"/>
            </w14:solidFill>
          </w14:textFill>
        </w:rPr>
      </w:pPr>
    </w:p>
    <w:p w14:paraId="7AB2D67D">
      <w:pPr>
        <w:spacing w:line="700" w:lineRule="exact"/>
        <w:ind w:firstLine="3614" w:firstLineChars="1500"/>
        <w:rPr>
          <w:rFonts w:ascii="宋体" w:hAnsi="宋体" w:cs="宋体"/>
          <w:b/>
          <w:color w:val="000000" w:themeColor="text1"/>
          <w:sz w:val="24"/>
          <w:szCs w:val="24"/>
          <w14:textFill>
            <w14:solidFill>
              <w14:schemeClr w14:val="tx1"/>
            </w14:solidFill>
          </w14:textFill>
        </w:rPr>
      </w:pPr>
    </w:p>
    <w:p w14:paraId="7C16B2D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08ADBA0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7704FF0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0D886A6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750A152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37B20C17">
      <w:pPr>
        <w:keepNext w:val="0"/>
        <w:keepLines w:val="0"/>
        <w:pageBreakBefore w:val="0"/>
        <w:kinsoku/>
        <w:wordWrap/>
        <w:overflowPunct/>
        <w:topLinePunct w:val="0"/>
        <w:autoSpaceDE/>
        <w:autoSpaceDN/>
        <w:bidi w:val="0"/>
        <w:adjustRightInd/>
        <w:snapToGrid/>
        <w:spacing w:line="540" w:lineRule="exact"/>
        <w:jc w:val="center"/>
        <w:textAlignment w:val="auto"/>
        <w:outlineLvl w:val="1"/>
        <w:rPr>
          <w:rFonts w:hint="eastAsia" w:ascii="宋体" w:hAnsi="宋体" w:cs="宋体"/>
          <w:b/>
          <w:color w:val="000000" w:themeColor="text1"/>
          <w:sz w:val="28"/>
          <w:szCs w:val="28"/>
          <w:lang w:val="en-US" w:eastAsia="zh-CN"/>
          <w14:textFill>
            <w14:solidFill>
              <w14:schemeClr w14:val="tx1"/>
            </w14:solidFill>
          </w14:textFill>
        </w:rPr>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7F24E647">
      <w:pPr>
        <w:keepNext w:val="0"/>
        <w:keepLines w:val="0"/>
        <w:pageBreakBefore w:val="0"/>
        <w:kinsoku/>
        <w:wordWrap/>
        <w:overflowPunct/>
        <w:topLinePunct w:val="0"/>
        <w:autoSpaceDE/>
        <w:autoSpaceDN/>
        <w:bidi w:val="0"/>
        <w:adjustRightInd/>
        <w:snapToGrid/>
        <w:spacing w:line="540" w:lineRule="exact"/>
        <w:jc w:val="center"/>
        <w:textAlignment w:val="auto"/>
        <w:outlineLvl w:val="1"/>
        <w:rPr>
          <w:rFonts w:hint="eastAsia" w:ascii="宋体" w:hAnsi="宋体" w:cs="宋体"/>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二</w:t>
      </w:r>
      <w:r>
        <w:rPr>
          <w:rFonts w:hint="eastAsia" w:ascii="宋体" w:hAnsi="宋体" w:cs="宋体"/>
          <w:b/>
          <w:color w:val="000000" w:themeColor="text1"/>
          <w:sz w:val="28"/>
          <w:szCs w:val="28"/>
          <w14:textFill>
            <w14:solidFill>
              <w14:schemeClr w14:val="tx1"/>
            </w14:solidFill>
          </w14:textFill>
        </w:rPr>
        <w:t>、投标函</w:t>
      </w:r>
      <w:bookmarkEnd w:id="946"/>
      <w:bookmarkEnd w:id="947"/>
      <w:bookmarkEnd w:id="948"/>
      <w:bookmarkEnd w:id="949"/>
      <w:bookmarkEnd w:id="950"/>
      <w:bookmarkEnd w:id="951"/>
      <w:bookmarkEnd w:id="952"/>
      <w:bookmarkEnd w:id="953"/>
      <w:bookmarkEnd w:id="954"/>
    </w:p>
    <w:p w14:paraId="136F9A2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致：</w:t>
      </w:r>
      <w:r>
        <w:rPr>
          <w:rFonts w:hint="eastAsia" w:ascii="宋体" w:hAnsi="宋体" w:eastAsia="宋体" w:cs="宋体"/>
          <w:color w:val="000000" w:themeColor="text1"/>
          <w:sz w:val="24"/>
          <w:szCs w:val="24"/>
          <w:u w:val="single"/>
          <w14:textFill>
            <w14:solidFill>
              <w14:schemeClr w14:val="tx1"/>
            </w14:solidFill>
          </w14:textFill>
        </w:rPr>
        <w:t>（采购人）</w:t>
      </w:r>
    </w:p>
    <w:p w14:paraId="49780F0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根据已收到的</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招标文件，遵照《中华人民共和国</w:t>
      </w:r>
      <w:r>
        <w:rPr>
          <w:rFonts w:hint="eastAsia" w:ascii="宋体" w:hAnsi="宋体" w:cs="宋体"/>
          <w:color w:val="000000" w:themeColor="text1"/>
          <w:sz w:val="24"/>
          <w:szCs w:val="24"/>
          <w:lang w:val="en-US" w:eastAsia="zh-CN"/>
          <w14:textFill>
            <w14:solidFill>
              <w14:schemeClr w14:val="tx1"/>
            </w14:solidFill>
          </w14:textFill>
        </w:rPr>
        <w:t>政府采购法</w:t>
      </w:r>
      <w:r>
        <w:rPr>
          <w:rFonts w:hint="eastAsia" w:ascii="宋体" w:hAnsi="宋体" w:eastAsia="宋体" w:cs="宋体"/>
          <w:color w:val="000000" w:themeColor="text1"/>
          <w:sz w:val="24"/>
          <w:szCs w:val="24"/>
          <w14:textFill>
            <w14:solidFill>
              <w14:schemeClr w14:val="tx1"/>
            </w14:solidFill>
          </w14:textFill>
        </w:rPr>
        <w:t>》等有关规定，经仔细研究本项目招标文件、答疑纪要、合同条款及其他有关文件后，我方愿提供</w:t>
      </w:r>
      <w:r>
        <w:rPr>
          <w:rFonts w:hint="eastAsia" w:ascii="宋体" w:hAnsi="宋体" w:cs="宋体"/>
          <w:color w:val="000000" w:themeColor="text1"/>
          <w:sz w:val="24"/>
          <w:szCs w:val="24"/>
          <w:lang w:eastAsia="zh-CN"/>
          <w14:textFill>
            <w14:solidFill>
              <w14:schemeClr w14:val="tx1"/>
            </w14:solidFill>
          </w14:textFill>
        </w:rPr>
        <w:t>延安市生态环境局延安市水生态监测能力提升项目</w:t>
      </w:r>
      <w:r>
        <w:rPr>
          <w:rFonts w:hint="eastAsia" w:ascii="宋体" w:hAnsi="宋体" w:eastAsia="宋体" w:cs="宋体"/>
          <w:color w:val="000000" w:themeColor="text1"/>
          <w:sz w:val="24"/>
          <w:szCs w:val="24"/>
          <w14:textFill>
            <w14:solidFill>
              <w14:schemeClr w14:val="tx1"/>
            </w14:solidFill>
          </w14:textFill>
        </w:rPr>
        <w:t>的投标报价为：</w:t>
      </w:r>
    </w:p>
    <w:p w14:paraId="541C564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大写：人民币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元</w:t>
      </w:r>
    </w:p>
    <w:p w14:paraId="4A722E5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小写：¥</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元</w:t>
      </w:r>
    </w:p>
    <w:p w14:paraId="5856B78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2、我方已详细审核全部招标文件及有关附件、招标答疑纪要、补遗书等文件。</w:t>
      </w:r>
    </w:p>
    <w:p w14:paraId="7E3674F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3、该报价是完成本招标文件规定的、所需的一切费用，投标报价不低于社会平均水平（成本价）。</w:t>
      </w:r>
    </w:p>
    <w:p w14:paraId="435EC88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4、一旦我方中标，我方保证</w:t>
      </w:r>
      <w:r>
        <w:rPr>
          <w:rFonts w:hint="eastAsia" w:ascii="宋体" w:hAnsi="宋体" w:eastAsia="宋体" w:cs="宋体"/>
          <w:color w:val="000000" w:themeColor="text1"/>
          <w:sz w:val="24"/>
          <w:szCs w:val="24"/>
          <w:lang w:val="en-US" w:eastAsia="zh-CN"/>
          <w14:textFill>
            <w14:solidFill>
              <w14:schemeClr w14:val="tx1"/>
            </w14:solidFill>
          </w14:textFill>
        </w:rPr>
        <w:t>供货期</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质保期：</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w:t>
      </w:r>
    </w:p>
    <w:p w14:paraId="1F8953E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5、我单位保证按国家法律、法规规定提供服务。</w:t>
      </w:r>
    </w:p>
    <w:p w14:paraId="5E61914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6、除非另外达成协议并生效，你方的中标通知书和本投标文件将构成约束我们双方的合同。</w:t>
      </w:r>
    </w:p>
    <w:p w14:paraId="358E0F6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7、我方的投标文件在</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年 月 日--  年  月   日</w:t>
      </w:r>
      <w:r>
        <w:rPr>
          <w:rFonts w:hint="eastAsia" w:ascii="宋体" w:hAnsi="宋体" w:eastAsia="宋体" w:cs="宋体"/>
          <w:color w:val="000000" w:themeColor="text1"/>
          <w:sz w:val="24"/>
          <w:szCs w:val="24"/>
          <w14:textFill>
            <w14:solidFill>
              <w14:schemeClr w14:val="tx1"/>
            </w14:solidFill>
          </w14:textFill>
        </w:rPr>
        <w:t>内有效，在投标有效期内不修改或撤回投标文件。</w:t>
      </w:r>
    </w:p>
    <w:p w14:paraId="64F2FDA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8、我方理解你方及采购代理机构，我方不要求你方及采购代理机构对未中标原因做任何解释，也不退回投标文件。</w:t>
      </w:r>
    </w:p>
    <w:p w14:paraId="5CD092F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955" w:name="_Toc169940967"/>
      <w:bookmarkStart w:id="956" w:name="_Toc132684577"/>
      <w:bookmarkStart w:id="957" w:name="_Toc102490217"/>
      <w:bookmarkStart w:id="958" w:name="_Toc145989461"/>
      <w:r>
        <w:rPr>
          <w:rFonts w:hint="eastAsia" w:ascii="宋体" w:hAnsi="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、如果因我方原因放弃中标，我方承诺，除采购人有权没收投标保证金外，还承担因下个中标候选</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中标给采购人带来的经济损失。</w:t>
      </w:r>
    </w:p>
    <w:p w14:paraId="61A81E6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0B1BA62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09EA881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4D1AA8E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37E9C76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01D5C71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51CC6930">
      <w:pPr>
        <w:spacing w:line="360" w:lineRule="auto"/>
        <w:rPr>
          <w:rFonts w:hint="eastAsia" w:ascii="宋体" w:hAnsi="宋体" w:cs="宋体"/>
          <w:b/>
          <w:color w:val="000000" w:themeColor="text1"/>
          <w:sz w:val="28"/>
          <w:szCs w:val="28"/>
          <w:u w:val="single"/>
          <w14:textFill>
            <w14:solidFill>
              <w14:schemeClr w14:val="tx1"/>
            </w14:solidFill>
          </w14:textFill>
        </w:rPr>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451291E8">
      <w:pPr>
        <w:numPr>
          <w:ilvl w:val="0"/>
          <w:numId w:val="0"/>
        </w:numPr>
        <w:adjustRightInd w:val="0"/>
        <w:snapToGrid w:val="0"/>
        <w:spacing w:line="360" w:lineRule="auto"/>
        <w:jc w:val="center"/>
        <w:outlineLvl w:val="1"/>
        <w:rPr>
          <w:rFonts w:hint="eastAsia" w:ascii="宋体" w:hAnsi="宋体" w:cs="宋体"/>
          <w:b/>
          <w:color w:val="000000" w:themeColor="text1"/>
          <w:sz w:val="28"/>
          <w:szCs w:val="28"/>
          <w14:textFill>
            <w14:solidFill>
              <w14:schemeClr w14:val="tx1"/>
            </w14:solidFill>
          </w14:textFill>
        </w:rPr>
      </w:pPr>
      <w:bookmarkStart w:id="959" w:name="_Toc456197117"/>
      <w:bookmarkStart w:id="960" w:name="_Toc394320936"/>
      <w:bookmarkStart w:id="961" w:name="_Toc397410507"/>
      <w:bookmarkStart w:id="962" w:name="_Toc395711855"/>
      <w:bookmarkStart w:id="963" w:name="_Toc397585274"/>
      <w:bookmarkStart w:id="964" w:name="_Toc361237718"/>
      <w:bookmarkStart w:id="965" w:name="_Toc361406467"/>
      <w:bookmarkStart w:id="966" w:name="_Toc522893844"/>
      <w:bookmarkStart w:id="967" w:name="_Toc490171583"/>
      <w:bookmarkStart w:id="968" w:name="_Toc397410694"/>
      <w:r>
        <w:rPr>
          <w:rFonts w:hint="eastAsia" w:ascii="宋体" w:hAnsi="宋体" w:cs="宋体"/>
          <w:b/>
          <w:color w:val="000000" w:themeColor="text1"/>
          <w:sz w:val="28"/>
          <w:szCs w:val="28"/>
          <w:lang w:val="en-US" w:eastAsia="zh-CN"/>
          <w14:textFill>
            <w14:solidFill>
              <w14:schemeClr w14:val="tx1"/>
            </w14:solidFill>
          </w14:textFill>
        </w:rPr>
        <w:t>三、</w:t>
      </w:r>
      <w:r>
        <w:rPr>
          <w:rFonts w:hint="eastAsia" w:ascii="宋体" w:hAnsi="宋体" w:cs="宋体"/>
          <w:b/>
          <w:color w:val="000000" w:themeColor="text1"/>
          <w:sz w:val="28"/>
          <w:szCs w:val="28"/>
          <w14:textFill>
            <w14:solidFill>
              <w14:schemeClr w14:val="tx1"/>
            </w14:solidFill>
          </w14:textFill>
        </w:rPr>
        <w:t>投标报价一览表</w:t>
      </w:r>
      <w:bookmarkEnd w:id="959"/>
      <w:bookmarkEnd w:id="960"/>
      <w:bookmarkEnd w:id="961"/>
      <w:bookmarkEnd w:id="962"/>
      <w:bookmarkEnd w:id="963"/>
      <w:bookmarkEnd w:id="964"/>
      <w:bookmarkEnd w:id="965"/>
      <w:bookmarkEnd w:id="966"/>
      <w:bookmarkEnd w:id="967"/>
      <w:bookmarkEnd w:id="968"/>
    </w:p>
    <w:p w14:paraId="26B920CB">
      <w:pPr>
        <w:pStyle w:val="12"/>
        <w:numPr>
          <w:ilvl w:val="0"/>
          <w:numId w:val="0"/>
        </w:numPr>
        <w:jc w:val="center"/>
        <w:rPr>
          <w:rFonts w:hint="eastAsia"/>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（唱标报告）</w:t>
      </w:r>
    </w:p>
    <w:p w14:paraId="5BE542D3">
      <w:pPr>
        <w:autoSpaceDE w:val="0"/>
        <w:autoSpaceDN w:val="0"/>
        <w:adjustRightInd w:val="0"/>
        <w:spacing w:line="360" w:lineRule="auto"/>
        <w:ind w:right="420"/>
        <w:jc w:val="center"/>
        <w:rPr>
          <w:rFonts w:hint="eastAsia" w:ascii="宋体" w:hAnsi="宋体" w:cs="宋体"/>
          <w:b/>
          <w:color w:val="000000" w:themeColor="text1"/>
          <w:szCs w:val="21"/>
          <w14:textFill>
            <w14:solidFill>
              <w14:schemeClr w14:val="tx1"/>
            </w14:solidFill>
          </w14:textFill>
        </w:rPr>
      </w:pPr>
    </w:p>
    <w:tbl>
      <w:tblPr>
        <w:tblStyle w:val="35"/>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080"/>
      </w:tblGrid>
      <w:tr w14:paraId="6F42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60" w:type="dxa"/>
            <w:noWrap w:val="0"/>
            <w:vAlign w:val="center"/>
          </w:tcPr>
          <w:p w14:paraId="5C53066C">
            <w:pPr>
              <w:autoSpaceDE w:val="0"/>
              <w:autoSpaceDN w:val="0"/>
              <w:adjustRightInd w:val="0"/>
              <w:spacing w:line="360" w:lineRule="auto"/>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项目名称</w:t>
            </w:r>
          </w:p>
        </w:tc>
        <w:tc>
          <w:tcPr>
            <w:tcW w:w="8080" w:type="dxa"/>
            <w:noWrap w:val="0"/>
            <w:vAlign w:val="center"/>
          </w:tcPr>
          <w:p w14:paraId="751AB828">
            <w:pPr>
              <w:autoSpaceDE w:val="0"/>
              <w:autoSpaceDN w:val="0"/>
              <w:adjustRightInd w:val="0"/>
              <w:spacing w:line="360" w:lineRule="auto"/>
              <w:ind w:left="420" w:hanging="420"/>
              <w:jc w:val="center"/>
              <w:rPr>
                <w:rFonts w:hint="eastAsia" w:ascii="宋体" w:hAnsi="宋体" w:eastAsia="宋体" w:cs="宋体"/>
                <w:b/>
                <w:color w:val="000000" w:themeColor="text1"/>
                <w:sz w:val="24"/>
                <w:lang w:eastAsia="zh-CN"/>
                <w14:textFill>
                  <w14:solidFill>
                    <w14:schemeClr w14:val="tx1"/>
                  </w14:solidFill>
                </w14:textFill>
              </w:rPr>
            </w:pPr>
            <w:r>
              <w:rPr>
                <w:rFonts w:hint="eastAsia" w:ascii="宋体" w:hAnsi="宋体" w:cs="宋体"/>
                <w:b/>
                <w:color w:val="000000" w:themeColor="text1"/>
                <w:sz w:val="24"/>
                <w:lang w:eastAsia="zh-CN"/>
                <w14:textFill>
                  <w14:solidFill>
                    <w14:schemeClr w14:val="tx1"/>
                  </w14:solidFill>
                </w14:textFill>
              </w:rPr>
              <w:t>延安市生态环境局延安市水生态监测能力提升项目</w:t>
            </w:r>
          </w:p>
        </w:tc>
      </w:tr>
      <w:tr w14:paraId="5A2E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60" w:type="dxa"/>
            <w:noWrap w:val="0"/>
            <w:vAlign w:val="center"/>
          </w:tcPr>
          <w:p w14:paraId="7AACD96D">
            <w:pPr>
              <w:autoSpaceDE w:val="0"/>
              <w:autoSpaceDN w:val="0"/>
              <w:adjustRightInd w:val="0"/>
              <w:spacing w:line="360" w:lineRule="auto"/>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项目编号</w:t>
            </w:r>
          </w:p>
        </w:tc>
        <w:tc>
          <w:tcPr>
            <w:tcW w:w="8080" w:type="dxa"/>
            <w:noWrap w:val="0"/>
            <w:vAlign w:val="center"/>
          </w:tcPr>
          <w:p w14:paraId="3EA9B26E">
            <w:pPr>
              <w:autoSpaceDE w:val="0"/>
              <w:autoSpaceDN w:val="0"/>
              <w:adjustRightInd w:val="0"/>
              <w:spacing w:line="360" w:lineRule="auto"/>
              <w:jc w:val="center"/>
              <w:rPr>
                <w:rFonts w:hint="eastAsia" w:ascii="宋体" w:hAnsi="宋体" w:eastAsia="宋体" w:cs="宋体"/>
                <w:b/>
                <w:color w:val="000000" w:themeColor="text1"/>
                <w:sz w:val="24"/>
                <w:lang w:eastAsia="zh-CN"/>
                <w14:textFill>
                  <w14:solidFill>
                    <w14:schemeClr w14:val="tx1"/>
                  </w14:solidFill>
                </w14:textFill>
              </w:rPr>
            </w:pPr>
            <w:r>
              <w:rPr>
                <w:rFonts w:hint="eastAsia" w:ascii="宋体" w:hAnsi="宋体" w:cs="宋体"/>
                <w:b/>
                <w:color w:val="000000" w:themeColor="text1"/>
                <w:sz w:val="24"/>
                <w:lang w:eastAsia="zh-CN"/>
                <w14:textFill>
                  <w14:solidFill>
                    <w14:schemeClr w14:val="tx1"/>
                  </w14:solidFill>
                </w14:textFill>
              </w:rPr>
              <w:t>SXCY2025-55</w:t>
            </w:r>
          </w:p>
        </w:tc>
      </w:tr>
      <w:tr w14:paraId="174B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60" w:type="dxa"/>
            <w:noWrap w:val="0"/>
            <w:vAlign w:val="center"/>
          </w:tcPr>
          <w:p w14:paraId="48CF7C26">
            <w:pPr>
              <w:autoSpaceDE w:val="0"/>
              <w:autoSpaceDN w:val="0"/>
              <w:adjustRightInd w:val="0"/>
              <w:spacing w:line="360" w:lineRule="auto"/>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投标人名称</w:t>
            </w:r>
          </w:p>
        </w:tc>
        <w:tc>
          <w:tcPr>
            <w:tcW w:w="8080" w:type="dxa"/>
            <w:noWrap w:val="0"/>
            <w:vAlign w:val="center"/>
          </w:tcPr>
          <w:p w14:paraId="45DC134B">
            <w:pPr>
              <w:autoSpaceDE w:val="0"/>
              <w:autoSpaceDN w:val="0"/>
              <w:adjustRightInd w:val="0"/>
              <w:spacing w:line="360" w:lineRule="auto"/>
              <w:jc w:val="center"/>
              <w:rPr>
                <w:rFonts w:hint="eastAsia" w:ascii="宋体" w:hAnsi="宋体" w:eastAsia="宋体" w:cs="宋体"/>
                <w:b/>
                <w:bCs/>
                <w:color w:val="000000" w:themeColor="text1"/>
                <w:sz w:val="24"/>
                <w14:textFill>
                  <w14:solidFill>
                    <w14:schemeClr w14:val="tx1"/>
                  </w14:solidFill>
                </w14:textFill>
              </w:rPr>
            </w:pPr>
          </w:p>
        </w:tc>
      </w:tr>
      <w:tr w14:paraId="2FDB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60" w:type="dxa"/>
            <w:vMerge w:val="restart"/>
            <w:noWrap w:val="0"/>
            <w:vAlign w:val="center"/>
          </w:tcPr>
          <w:p w14:paraId="7E51C689">
            <w:pPr>
              <w:autoSpaceDE w:val="0"/>
              <w:autoSpaceDN w:val="0"/>
              <w:adjustRightInd w:val="0"/>
              <w:spacing w:line="360" w:lineRule="auto"/>
              <w:jc w:val="center"/>
              <w:rPr>
                <w:rFonts w:hint="default" w:eastAsia="宋体" w:cs="Times New Roman"/>
                <w:color w:val="000000" w:themeColor="text1"/>
                <w:lang w:val="en-US" w:eastAsia="zh-CN"/>
                <w14:textFill>
                  <w14:solidFill>
                    <w14:schemeClr w14:val="tx1"/>
                  </w14:solidFill>
                </w14:textFill>
              </w:rPr>
            </w:pPr>
            <w:r>
              <w:rPr>
                <w:rFonts w:hint="eastAsia" w:ascii="宋体" w:hAnsi="宋体" w:eastAsia="宋体" w:cs="宋体"/>
                <w:b/>
                <w:bCs/>
                <w:color w:val="000000" w:themeColor="text1"/>
                <w:sz w:val="24"/>
                <w:lang w:val="en-US" w:eastAsia="zh-CN"/>
                <w14:textFill>
                  <w14:solidFill>
                    <w14:schemeClr w14:val="tx1"/>
                  </w14:solidFill>
                </w14:textFill>
              </w:rPr>
              <w:t>投标报价</w:t>
            </w:r>
          </w:p>
        </w:tc>
        <w:tc>
          <w:tcPr>
            <w:tcW w:w="8080" w:type="dxa"/>
            <w:noWrap w:val="0"/>
            <w:vAlign w:val="center"/>
          </w:tcPr>
          <w:p w14:paraId="5407C2C2">
            <w:pPr>
              <w:autoSpaceDE w:val="0"/>
              <w:autoSpaceDN w:val="0"/>
              <w:adjustRightInd w:val="0"/>
              <w:spacing w:line="360" w:lineRule="auto"/>
              <w:rPr>
                <w:rFonts w:hint="eastAsia" w:ascii="宋体" w:hAnsi="宋体" w:eastAsia="宋体" w:cs="宋体"/>
                <w:b/>
                <w:color w:val="000000" w:themeColor="text1"/>
                <w:kern w:val="2"/>
                <w:sz w:val="24"/>
                <w:lang w:val="en-US" w:eastAsia="zh-CN" w:bidi="ar-SA"/>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大写：人民币</w:t>
            </w:r>
            <w:r>
              <w:rPr>
                <w:rFonts w:hint="eastAsia" w:ascii="宋体" w:hAnsi="宋体" w:eastAsia="宋体" w:cs="宋体"/>
                <w:b/>
                <w:color w:val="000000" w:themeColor="text1"/>
                <w:sz w:val="24"/>
                <w:u w:val="single"/>
                <w14:textFill>
                  <w14:solidFill>
                    <w14:schemeClr w14:val="tx1"/>
                  </w14:solidFill>
                </w14:textFill>
              </w:rPr>
              <w:t xml:space="preserve">                 </w:t>
            </w:r>
            <w:r>
              <w:rPr>
                <w:rFonts w:hint="eastAsia" w:ascii="宋体" w:hAnsi="宋体" w:eastAsia="宋体" w:cs="宋体"/>
                <w:b/>
                <w:color w:val="000000" w:themeColor="text1"/>
                <w:sz w:val="24"/>
                <w14:textFill>
                  <w14:solidFill>
                    <w14:schemeClr w14:val="tx1"/>
                  </w14:solidFill>
                </w14:textFill>
              </w:rPr>
              <w:t>元</w:t>
            </w:r>
          </w:p>
        </w:tc>
      </w:tr>
      <w:tr w14:paraId="2B8F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60" w:type="dxa"/>
            <w:vMerge w:val="continue"/>
            <w:noWrap w:val="0"/>
            <w:vAlign w:val="center"/>
          </w:tcPr>
          <w:p w14:paraId="00ED636B">
            <w:pPr>
              <w:autoSpaceDE w:val="0"/>
              <w:autoSpaceDN w:val="0"/>
              <w:adjustRightInd w:val="0"/>
              <w:spacing w:line="360" w:lineRule="auto"/>
              <w:jc w:val="center"/>
              <w:rPr>
                <w:rFonts w:hint="eastAsia" w:eastAsia="宋体" w:cs="Times New Roman"/>
                <w:b/>
                <w:bCs/>
                <w:color w:val="000000" w:themeColor="text1"/>
                <w:lang w:val="en-US" w:eastAsia="zh-CN"/>
                <w14:textFill>
                  <w14:solidFill>
                    <w14:schemeClr w14:val="tx1"/>
                  </w14:solidFill>
                </w14:textFill>
              </w:rPr>
            </w:pPr>
          </w:p>
        </w:tc>
        <w:tc>
          <w:tcPr>
            <w:tcW w:w="8080" w:type="dxa"/>
            <w:noWrap w:val="0"/>
            <w:vAlign w:val="center"/>
          </w:tcPr>
          <w:p w14:paraId="598C1BB0">
            <w:pPr>
              <w:autoSpaceDE w:val="0"/>
              <w:autoSpaceDN w:val="0"/>
              <w:adjustRightInd w:val="0"/>
              <w:spacing w:line="360" w:lineRule="auto"/>
              <w:rPr>
                <w:rFonts w:hint="eastAsia" w:ascii="宋体" w:hAnsi="宋体" w:eastAsia="宋体" w:cs="宋体"/>
                <w:b/>
                <w:color w:val="000000" w:themeColor="text1"/>
                <w:kern w:val="2"/>
                <w:sz w:val="24"/>
                <w:lang w:val="en-US" w:eastAsia="zh-CN" w:bidi="ar-SA"/>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小写：¥</w:t>
            </w:r>
            <w:r>
              <w:rPr>
                <w:rFonts w:hint="eastAsia" w:ascii="宋体" w:hAnsi="宋体" w:eastAsia="宋体" w:cs="宋体"/>
                <w:b/>
                <w:color w:val="000000" w:themeColor="text1"/>
                <w:sz w:val="24"/>
                <w:u w:val="single"/>
                <w14:textFill>
                  <w14:solidFill>
                    <w14:schemeClr w14:val="tx1"/>
                  </w14:solidFill>
                </w14:textFill>
              </w:rPr>
              <w:t xml:space="preserve">                      </w:t>
            </w:r>
            <w:r>
              <w:rPr>
                <w:rFonts w:hint="eastAsia" w:ascii="宋体" w:hAnsi="宋体" w:eastAsia="宋体" w:cs="宋体"/>
                <w:b/>
                <w:color w:val="000000" w:themeColor="text1"/>
                <w:sz w:val="24"/>
                <w14:textFill>
                  <w14:solidFill>
                    <w14:schemeClr w14:val="tx1"/>
                  </w14:solidFill>
                </w14:textFill>
              </w:rPr>
              <w:t>元</w:t>
            </w:r>
          </w:p>
        </w:tc>
      </w:tr>
      <w:tr w14:paraId="36C7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60" w:type="dxa"/>
            <w:noWrap w:val="0"/>
            <w:vAlign w:val="center"/>
          </w:tcPr>
          <w:p w14:paraId="6A976ED8">
            <w:pPr>
              <w:autoSpaceDE w:val="0"/>
              <w:autoSpaceDN w:val="0"/>
              <w:adjustRightInd w:val="0"/>
              <w:spacing w:line="360" w:lineRule="auto"/>
              <w:jc w:val="center"/>
              <w:rPr>
                <w:rFonts w:hint="eastAsia" w:ascii="宋体" w:hAnsi="宋体" w:eastAsia="宋体" w:cs="宋体"/>
                <w:b/>
                <w:bCs/>
                <w:color w:val="000000" w:themeColor="text1"/>
                <w:sz w:val="24"/>
                <w:lang w:eastAsia="zh-CN"/>
                <w14:textFill>
                  <w14:solidFill>
                    <w14:schemeClr w14:val="tx1"/>
                  </w14:solidFill>
                </w14:textFill>
              </w:rPr>
            </w:pPr>
            <w:r>
              <w:rPr>
                <w:rFonts w:hint="eastAsia" w:ascii="宋体" w:hAnsi="宋体" w:eastAsia="宋体" w:cs="宋体"/>
                <w:b/>
                <w:bCs/>
                <w:color w:val="000000" w:themeColor="text1"/>
                <w:sz w:val="24"/>
                <w:lang w:val="en-US" w:eastAsia="zh-CN"/>
                <w14:textFill>
                  <w14:solidFill>
                    <w14:schemeClr w14:val="tx1"/>
                  </w14:solidFill>
                </w14:textFill>
              </w:rPr>
              <w:t>供货期</w:t>
            </w:r>
          </w:p>
        </w:tc>
        <w:tc>
          <w:tcPr>
            <w:tcW w:w="8080" w:type="dxa"/>
            <w:noWrap w:val="0"/>
            <w:vAlign w:val="center"/>
          </w:tcPr>
          <w:p w14:paraId="5BD9F819">
            <w:pPr>
              <w:autoSpaceDE w:val="0"/>
              <w:autoSpaceDN w:val="0"/>
              <w:adjustRightInd w:val="0"/>
              <w:spacing w:line="360" w:lineRule="auto"/>
              <w:rPr>
                <w:rFonts w:hint="eastAsia" w:ascii="宋体" w:hAnsi="宋体" w:eastAsia="宋体" w:cs="宋体"/>
                <w:b/>
                <w:bCs/>
                <w:color w:val="000000" w:themeColor="text1"/>
                <w:sz w:val="24"/>
                <w14:textFill>
                  <w14:solidFill>
                    <w14:schemeClr w14:val="tx1"/>
                  </w14:solidFill>
                </w14:textFill>
              </w:rPr>
            </w:pPr>
          </w:p>
        </w:tc>
      </w:tr>
      <w:tr w14:paraId="6F96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60" w:type="dxa"/>
            <w:noWrap w:val="0"/>
            <w:vAlign w:val="center"/>
          </w:tcPr>
          <w:p w14:paraId="03CAAA82">
            <w:pPr>
              <w:autoSpaceDE w:val="0"/>
              <w:autoSpaceDN w:val="0"/>
              <w:adjustRightInd w:val="0"/>
              <w:spacing w:line="360" w:lineRule="auto"/>
              <w:jc w:val="center"/>
              <w:rPr>
                <w:rFonts w:hint="default" w:ascii="宋体" w:hAnsi="宋体" w:eastAsia="宋体" w:cs="宋体"/>
                <w:b/>
                <w:bCs/>
                <w:color w:val="000000" w:themeColor="text1"/>
                <w:sz w:val="24"/>
                <w:lang w:val="en-US" w:eastAsia="zh-CN"/>
                <w14:textFill>
                  <w14:solidFill>
                    <w14:schemeClr w14:val="tx1"/>
                  </w14:solidFill>
                </w14:textFill>
              </w:rPr>
            </w:pPr>
            <w:r>
              <w:rPr>
                <w:rFonts w:hint="eastAsia" w:ascii="宋体" w:hAnsi="宋体" w:eastAsia="宋体" w:cs="宋体"/>
                <w:b/>
                <w:bCs/>
                <w:color w:val="000000" w:themeColor="text1"/>
                <w:sz w:val="24"/>
                <w:lang w:val="en-US" w:eastAsia="zh-CN"/>
                <w14:textFill>
                  <w14:solidFill>
                    <w14:schemeClr w14:val="tx1"/>
                  </w14:solidFill>
                </w14:textFill>
              </w:rPr>
              <w:t>质保期</w:t>
            </w:r>
          </w:p>
        </w:tc>
        <w:tc>
          <w:tcPr>
            <w:tcW w:w="8080" w:type="dxa"/>
            <w:noWrap w:val="0"/>
            <w:vAlign w:val="center"/>
          </w:tcPr>
          <w:p w14:paraId="4FDF8B6B">
            <w:pPr>
              <w:autoSpaceDE w:val="0"/>
              <w:autoSpaceDN w:val="0"/>
              <w:adjustRightInd w:val="0"/>
              <w:spacing w:line="360" w:lineRule="auto"/>
              <w:rPr>
                <w:rFonts w:hint="eastAsia" w:ascii="宋体" w:hAnsi="宋体" w:eastAsia="宋体" w:cs="宋体"/>
                <w:b/>
                <w:bCs/>
                <w:color w:val="000000" w:themeColor="text1"/>
                <w:sz w:val="24"/>
                <w14:textFill>
                  <w14:solidFill>
                    <w14:schemeClr w14:val="tx1"/>
                  </w14:solidFill>
                </w14:textFill>
              </w:rPr>
            </w:pPr>
          </w:p>
        </w:tc>
      </w:tr>
      <w:tr w14:paraId="4B90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60" w:type="dxa"/>
            <w:noWrap w:val="0"/>
            <w:vAlign w:val="center"/>
          </w:tcPr>
          <w:p w14:paraId="2FEC4427">
            <w:pPr>
              <w:autoSpaceDE w:val="0"/>
              <w:autoSpaceDN w:val="0"/>
              <w:adjustRightInd w:val="0"/>
              <w:spacing w:line="360" w:lineRule="auto"/>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备注</w:t>
            </w:r>
          </w:p>
        </w:tc>
        <w:tc>
          <w:tcPr>
            <w:tcW w:w="8080" w:type="dxa"/>
            <w:noWrap w:val="0"/>
            <w:vAlign w:val="center"/>
          </w:tcPr>
          <w:p w14:paraId="75E6824C">
            <w:pPr>
              <w:autoSpaceDE w:val="0"/>
              <w:autoSpaceDN w:val="0"/>
              <w:adjustRightInd w:val="0"/>
              <w:spacing w:line="360" w:lineRule="auto"/>
              <w:rPr>
                <w:rFonts w:hint="eastAsia" w:ascii="宋体" w:hAnsi="宋体" w:eastAsia="宋体" w:cs="宋体"/>
                <w:b/>
                <w:bCs/>
                <w:color w:val="000000" w:themeColor="text1"/>
                <w:sz w:val="24"/>
                <w14:textFill>
                  <w14:solidFill>
                    <w14:schemeClr w14:val="tx1"/>
                  </w14:solidFill>
                </w14:textFill>
              </w:rPr>
            </w:pPr>
          </w:p>
        </w:tc>
      </w:tr>
    </w:tbl>
    <w:p w14:paraId="4F69755B">
      <w:pPr>
        <w:pStyle w:val="32"/>
        <w:spacing w:before="0" w:beforeAutospacing="0" w:after="0" w:afterAutospacing="0" w:line="360" w:lineRule="auto"/>
        <w:jc w:val="both"/>
        <w:rPr>
          <w:rFonts w:hint="eastAsia"/>
          <w:color w:val="000000" w:themeColor="text1"/>
          <w:szCs w:val="24"/>
          <w14:textFill>
            <w14:solidFill>
              <w14:schemeClr w14:val="tx1"/>
            </w14:solidFill>
          </w14:textFill>
        </w:rPr>
      </w:pPr>
    </w:p>
    <w:p w14:paraId="63BDE921">
      <w:pPr>
        <w:keepNext w:val="0"/>
        <w:keepLines w:val="0"/>
        <w:pageBreakBefore w:val="0"/>
        <w:kinsoku/>
        <w:wordWrap/>
        <w:overflowPunct/>
        <w:topLinePunct w:val="0"/>
        <w:autoSpaceDE/>
        <w:autoSpaceDN/>
        <w:bidi w:val="0"/>
        <w:adjustRightInd/>
        <w:spacing w:line="480" w:lineRule="auto"/>
        <w:textAlignment w:val="auto"/>
        <w:outlineLvl w:val="0"/>
        <w:rPr>
          <w:rFonts w:hint="eastAsia" w:ascii="宋体" w:hAnsi="宋体" w:cs="宋体"/>
          <w:color w:val="000000" w:themeColor="text1"/>
          <w:sz w:val="24"/>
          <w:szCs w:val="24"/>
          <w14:textFill>
            <w14:solidFill>
              <w14:schemeClr w14:val="tx1"/>
            </w14:solidFill>
          </w14:textFill>
        </w:rPr>
      </w:pPr>
      <w:bookmarkStart w:id="969" w:name="_Toc31079"/>
      <w:bookmarkStart w:id="970" w:name="_Toc26274"/>
      <w:bookmarkStart w:id="971" w:name="_Toc27744"/>
      <w:bookmarkStart w:id="972" w:name="_Toc28797"/>
      <w:bookmarkStart w:id="973" w:name="_Toc30993"/>
      <w:bookmarkStart w:id="974" w:name="_Toc620"/>
      <w:bookmarkStart w:id="975" w:name="_Toc13127"/>
      <w:bookmarkStart w:id="976" w:name="_Toc9681"/>
      <w:r>
        <w:rPr>
          <w:rFonts w:hint="eastAsia" w:ascii="宋体" w:hAnsi="宋体" w:cs="宋体"/>
          <w:color w:val="000000" w:themeColor="text1"/>
          <w:sz w:val="24"/>
          <w:szCs w:val="24"/>
          <w14:textFill>
            <w14:solidFill>
              <w14:schemeClr w14:val="tx1"/>
            </w14:solidFill>
          </w14:textFill>
        </w:rPr>
        <w:t>注：以上表内报价内容以元为单位，保留小数点后两位。</w:t>
      </w:r>
      <w:bookmarkEnd w:id="969"/>
      <w:bookmarkEnd w:id="970"/>
      <w:bookmarkEnd w:id="971"/>
      <w:bookmarkEnd w:id="972"/>
      <w:bookmarkEnd w:id="973"/>
      <w:bookmarkEnd w:id="974"/>
      <w:bookmarkEnd w:id="975"/>
      <w:bookmarkEnd w:id="976"/>
    </w:p>
    <w:p w14:paraId="12C8D4DC">
      <w:pPr>
        <w:pStyle w:val="32"/>
        <w:keepNext w:val="0"/>
        <w:keepLines w:val="0"/>
        <w:pageBreakBefore w:val="0"/>
        <w:kinsoku/>
        <w:wordWrap/>
        <w:overflowPunct/>
        <w:topLinePunct w:val="0"/>
        <w:autoSpaceDE/>
        <w:autoSpaceDN/>
        <w:bidi w:val="0"/>
        <w:adjustRightInd/>
        <w:spacing w:before="0" w:beforeAutospacing="0" w:after="0" w:afterAutospacing="0" w:line="480" w:lineRule="auto"/>
        <w:jc w:val="both"/>
        <w:textAlignment w:val="auto"/>
        <w:rPr>
          <w:rFonts w:hint="eastAsia"/>
          <w:color w:val="000000" w:themeColor="text1"/>
          <w:sz w:val="24"/>
          <w:szCs w:val="24"/>
          <w14:textFill>
            <w14:solidFill>
              <w14:schemeClr w14:val="tx1"/>
            </w14:solidFill>
          </w14:textFill>
        </w:rPr>
      </w:pPr>
    </w:p>
    <w:p w14:paraId="0C91E4D5">
      <w:pPr>
        <w:pStyle w:val="21"/>
        <w:keepNext w:val="0"/>
        <w:keepLines w:val="0"/>
        <w:pageBreakBefore w:val="0"/>
        <w:kinsoku/>
        <w:wordWrap/>
        <w:overflowPunct/>
        <w:topLinePunct w:val="0"/>
        <w:autoSpaceDE/>
        <w:autoSpaceDN/>
        <w:bidi w:val="0"/>
        <w:adjustRightInd/>
        <w:spacing w:line="480" w:lineRule="auto"/>
        <w:textAlignment w:val="auto"/>
        <w:rPr>
          <w:rFonts w:hint="eastAsia"/>
          <w:color w:val="000000" w:themeColor="text1"/>
          <w:sz w:val="24"/>
          <w:szCs w:val="24"/>
          <w14:textFill>
            <w14:solidFill>
              <w14:schemeClr w14:val="tx1"/>
            </w14:solidFill>
          </w14:textFill>
        </w:rPr>
      </w:pPr>
    </w:p>
    <w:p w14:paraId="54BC2E4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3202794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31E8E33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194A7F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27CF2D4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090FB458">
      <w:pPr>
        <w:spacing w:line="360" w:lineRule="auto"/>
        <w:rPr>
          <w:rFonts w:hint="eastAsia" w:ascii="宋体" w:hAnsi="宋体" w:cs="宋体"/>
          <w:b/>
          <w:color w:val="000000" w:themeColor="text1"/>
          <w:sz w:val="28"/>
          <w:szCs w:val="28"/>
          <w14:textFill>
            <w14:solidFill>
              <w14:schemeClr w14:val="tx1"/>
            </w14:solidFill>
          </w14:textFill>
        </w:rPr>
      </w:pPr>
    </w:p>
    <w:p w14:paraId="311B6F9E">
      <w:pPr>
        <w:pStyle w:val="13"/>
        <w:ind w:left="1470" w:right="1470"/>
        <w:rPr>
          <w:rFonts w:hint="eastAsia"/>
          <w:color w:val="000000" w:themeColor="text1"/>
          <w14:textFill>
            <w14:solidFill>
              <w14:schemeClr w14:val="tx1"/>
            </w14:solidFill>
          </w14:textFill>
        </w:rPr>
      </w:pPr>
    </w:p>
    <w:p w14:paraId="5BC14BB6">
      <w:pPr>
        <w:pStyle w:val="13"/>
        <w:ind w:left="0" w:leftChars="0" w:right="1470" w:firstLine="0" w:firstLineChars="0"/>
        <w:rPr>
          <w:rFonts w:hint="eastAsia"/>
          <w:color w:val="000000" w:themeColor="text1"/>
          <w14:textFill>
            <w14:solidFill>
              <w14:schemeClr w14:val="tx1"/>
            </w14:solidFill>
          </w14:textFill>
        </w:rPr>
      </w:pPr>
    </w:p>
    <w:p w14:paraId="479DF98E">
      <w:pPr>
        <w:spacing w:line="360" w:lineRule="auto"/>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四、</w:t>
      </w:r>
      <w:r>
        <w:rPr>
          <w:rFonts w:hint="eastAsia" w:ascii="宋体" w:hAnsi="宋体" w:eastAsia="宋体" w:cs="宋体"/>
          <w:b/>
          <w:color w:val="000000" w:themeColor="text1"/>
          <w:sz w:val="28"/>
          <w:szCs w:val="28"/>
          <w14:textFill>
            <w14:solidFill>
              <w14:schemeClr w14:val="tx1"/>
            </w14:solidFill>
          </w14:textFill>
        </w:rPr>
        <w:t xml:space="preserve"> </w:t>
      </w:r>
      <w:r>
        <w:rPr>
          <w:rFonts w:hint="eastAsia" w:ascii="宋体" w:hAnsi="宋体" w:eastAsia="宋体" w:cs="宋体"/>
          <w:b/>
          <w:color w:val="000000" w:themeColor="text1"/>
          <w:sz w:val="28"/>
          <w:szCs w:val="28"/>
          <w:lang w:val="en-US" w:eastAsia="zh-CN"/>
          <w14:textFill>
            <w14:solidFill>
              <w14:schemeClr w14:val="tx1"/>
            </w14:solidFill>
          </w14:textFill>
        </w:rPr>
        <w:t>投标</w:t>
      </w:r>
      <w:r>
        <w:rPr>
          <w:rFonts w:hint="eastAsia" w:ascii="宋体" w:hAnsi="宋体" w:eastAsia="宋体" w:cs="宋体"/>
          <w:b/>
          <w:color w:val="000000" w:themeColor="text1"/>
          <w:sz w:val="28"/>
          <w:szCs w:val="28"/>
          <w14:textFill>
            <w14:solidFill>
              <w14:schemeClr w14:val="tx1"/>
            </w14:solidFill>
          </w14:textFill>
        </w:rPr>
        <w:t>分项报价表</w:t>
      </w:r>
    </w:p>
    <w:tbl>
      <w:tblPr>
        <w:tblStyle w:val="35"/>
        <w:tblpPr w:leftFromText="180" w:rightFromText="180" w:vertAnchor="text" w:horzAnchor="page" w:tblpXSpec="center" w:tblpY="535"/>
        <w:tblOverlap w:val="never"/>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1"/>
        <w:gridCol w:w="1143"/>
        <w:gridCol w:w="861"/>
        <w:gridCol w:w="1198"/>
        <w:gridCol w:w="891"/>
        <w:gridCol w:w="1008"/>
        <w:gridCol w:w="1138"/>
        <w:gridCol w:w="1138"/>
        <w:gridCol w:w="1138"/>
      </w:tblGrid>
      <w:tr w14:paraId="3B52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exact"/>
          <w:jc w:val="center"/>
        </w:trPr>
        <w:tc>
          <w:tcPr>
            <w:tcW w:w="721" w:type="dxa"/>
            <w:tcBorders>
              <w:top w:val="single" w:color="000000" w:sz="2" w:space="0"/>
              <w:left w:val="single" w:color="000000" w:sz="2" w:space="0"/>
              <w:bottom w:val="single" w:color="000000" w:sz="2" w:space="0"/>
              <w:right w:val="single" w:color="000000" w:sz="2" w:space="0"/>
            </w:tcBorders>
            <w:noWrap w:val="0"/>
            <w:vAlign w:val="top"/>
          </w:tcPr>
          <w:p w14:paraId="2B911053">
            <w:pPr>
              <w:pageBreakBefore w:val="0"/>
              <w:wordWrap/>
              <w:topLinePunct w:val="0"/>
              <w:bidi w:val="0"/>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序号</w:t>
            </w:r>
          </w:p>
        </w:tc>
        <w:tc>
          <w:tcPr>
            <w:tcW w:w="1143" w:type="dxa"/>
            <w:tcBorders>
              <w:top w:val="single" w:color="000000" w:sz="2" w:space="0"/>
              <w:left w:val="single" w:color="auto" w:sz="4" w:space="0"/>
              <w:bottom w:val="single" w:color="000000" w:sz="2" w:space="0"/>
              <w:right w:val="single" w:color="000000" w:sz="2" w:space="0"/>
            </w:tcBorders>
            <w:noWrap w:val="0"/>
            <w:vAlign w:val="top"/>
          </w:tcPr>
          <w:p w14:paraId="71E6EDBD">
            <w:pPr>
              <w:pageBreakBefore w:val="0"/>
              <w:wordWrap/>
              <w:topLinePunct w:val="0"/>
              <w:bidi w:val="0"/>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标的</w:t>
            </w:r>
            <w:r>
              <w:rPr>
                <w:rFonts w:hint="eastAsia" w:ascii="宋体" w:hAnsi="宋体" w:eastAsia="宋体" w:cs="宋体"/>
                <w:color w:val="000000" w:themeColor="text1"/>
                <w:sz w:val="24"/>
                <w:szCs w:val="24"/>
                <w14:textFill>
                  <w14:solidFill>
                    <w14:schemeClr w14:val="tx1"/>
                  </w14:solidFill>
                </w14:textFill>
              </w:rPr>
              <w:t>名称</w:t>
            </w:r>
          </w:p>
        </w:tc>
        <w:tc>
          <w:tcPr>
            <w:tcW w:w="861" w:type="dxa"/>
            <w:tcBorders>
              <w:top w:val="single" w:color="000000" w:sz="2" w:space="0"/>
              <w:left w:val="single" w:color="auto" w:sz="4" w:space="0"/>
              <w:bottom w:val="single" w:color="000000" w:sz="2" w:space="0"/>
              <w:right w:val="single" w:color="auto" w:sz="4" w:space="0"/>
            </w:tcBorders>
            <w:noWrap w:val="0"/>
            <w:vAlign w:val="top"/>
          </w:tcPr>
          <w:p w14:paraId="3B6011BA">
            <w:pPr>
              <w:pageBreakBefore w:val="0"/>
              <w:wordWrap/>
              <w:topLinePunct w:val="0"/>
              <w:bidi w:val="0"/>
              <w:spacing w:line="360" w:lineRule="auto"/>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品牌</w:t>
            </w:r>
          </w:p>
        </w:tc>
        <w:tc>
          <w:tcPr>
            <w:tcW w:w="1198" w:type="dxa"/>
            <w:tcBorders>
              <w:top w:val="single" w:color="000000" w:sz="2" w:space="0"/>
              <w:left w:val="single" w:color="auto" w:sz="4" w:space="0"/>
              <w:bottom w:val="single" w:color="000000" w:sz="2" w:space="0"/>
              <w:right w:val="single" w:color="000000" w:sz="2" w:space="0"/>
            </w:tcBorders>
            <w:noWrap w:val="0"/>
            <w:vAlign w:val="top"/>
          </w:tcPr>
          <w:p w14:paraId="1DCE5A9D">
            <w:pPr>
              <w:pageBreakBefore w:val="0"/>
              <w:wordWrap/>
              <w:topLinePunct w:val="0"/>
              <w:bidi w:val="0"/>
              <w:spacing w:line="360" w:lineRule="auto"/>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生产厂家</w:t>
            </w:r>
          </w:p>
        </w:tc>
        <w:tc>
          <w:tcPr>
            <w:tcW w:w="891" w:type="dxa"/>
            <w:tcBorders>
              <w:top w:val="single" w:color="000000" w:sz="2" w:space="0"/>
              <w:left w:val="single" w:color="auto" w:sz="4" w:space="0"/>
              <w:bottom w:val="single" w:color="000000" w:sz="2" w:space="0"/>
              <w:right w:val="single" w:color="000000" w:sz="2" w:space="0"/>
            </w:tcBorders>
            <w:noWrap w:val="0"/>
            <w:vAlign w:val="top"/>
          </w:tcPr>
          <w:p w14:paraId="3E80E96F">
            <w:pPr>
              <w:pageBreakBefore w:val="0"/>
              <w:wordWrap/>
              <w:topLinePunct w:val="0"/>
              <w:bidi w:val="0"/>
              <w:spacing w:line="360" w:lineRule="auto"/>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型号</w:t>
            </w:r>
          </w:p>
        </w:tc>
        <w:tc>
          <w:tcPr>
            <w:tcW w:w="1008" w:type="dxa"/>
            <w:tcBorders>
              <w:top w:val="single" w:color="000000" w:sz="2" w:space="0"/>
              <w:left w:val="single" w:color="auto" w:sz="4" w:space="0"/>
              <w:bottom w:val="single" w:color="000000" w:sz="2" w:space="0"/>
              <w:right w:val="single" w:color="000000" w:sz="2" w:space="0"/>
            </w:tcBorders>
            <w:noWrap w:val="0"/>
            <w:vAlign w:val="top"/>
          </w:tcPr>
          <w:p w14:paraId="1F0A974F">
            <w:pPr>
              <w:pageBreakBefore w:val="0"/>
              <w:wordWrap/>
              <w:topLinePunct w:val="0"/>
              <w:bidi w:val="0"/>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数量</w:t>
            </w:r>
          </w:p>
        </w:tc>
        <w:tc>
          <w:tcPr>
            <w:tcW w:w="1138" w:type="dxa"/>
            <w:tcBorders>
              <w:top w:val="single" w:color="000000" w:sz="2" w:space="0"/>
              <w:left w:val="single" w:color="auto" w:sz="4" w:space="0"/>
              <w:bottom w:val="single" w:color="000000" w:sz="2" w:space="0"/>
              <w:right w:val="single" w:color="000000" w:sz="2" w:space="0"/>
            </w:tcBorders>
            <w:noWrap w:val="0"/>
            <w:vAlign w:val="top"/>
          </w:tcPr>
          <w:p w14:paraId="5F51A1E2">
            <w:pPr>
              <w:pageBreakBefore w:val="0"/>
              <w:wordWrap/>
              <w:topLinePunct w:val="0"/>
              <w:bidi w:val="0"/>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单位</w:t>
            </w:r>
          </w:p>
        </w:tc>
        <w:tc>
          <w:tcPr>
            <w:tcW w:w="1138" w:type="dxa"/>
            <w:tcBorders>
              <w:top w:val="single" w:color="000000" w:sz="2" w:space="0"/>
              <w:left w:val="single" w:color="auto" w:sz="4" w:space="0"/>
              <w:bottom w:val="single" w:color="000000" w:sz="2" w:space="0"/>
              <w:right w:val="single" w:color="000000" w:sz="2" w:space="0"/>
            </w:tcBorders>
            <w:noWrap w:val="0"/>
            <w:vAlign w:val="top"/>
          </w:tcPr>
          <w:p w14:paraId="54270C47">
            <w:pPr>
              <w:pageBreakBefore w:val="0"/>
              <w:wordWrap/>
              <w:topLinePunct w:val="0"/>
              <w:bidi w:val="0"/>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单价</w:t>
            </w:r>
            <w:r>
              <w:rPr>
                <w:rFonts w:hint="eastAsia" w:ascii="宋体" w:hAnsi="宋体" w:eastAsia="宋体" w:cs="宋体"/>
                <w:color w:val="000000" w:themeColor="text1"/>
                <w:sz w:val="24"/>
                <w:szCs w:val="24"/>
                <w:lang w:eastAsia="zh-CN"/>
                <w14:textFill>
                  <w14:solidFill>
                    <w14:schemeClr w14:val="tx1"/>
                  </w14:solidFill>
                </w14:textFill>
              </w:rPr>
              <w:t>（元）</w:t>
            </w:r>
          </w:p>
        </w:tc>
        <w:tc>
          <w:tcPr>
            <w:tcW w:w="1138" w:type="dxa"/>
            <w:tcBorders>
              <w:top w:val="single" w:color="000000" w:sz="2" w:space="0"/>
              <w:left w:val="single" w:color="auto" w:sz="4" w:space="0"/>
              <w:bottom w:val="single" w:color="000000" w:sz="2" w:space="0"/>
              <w:right w:val="single" w:color="000000" w:sz="2" w:space="0"/>
            </w:tcBorders>
            <w:noWrap w:val="0"/>
            <w:vAlign w:val="top"/>
          </w:tcPr>
          <w:p w14:paraId="7D8E21C6">
            <w:pPr>
              <w:pageBreakBefore w:val="0"/>
              <w:wordWrap/>
              <w:topLinePunct w:val="0"/>
              <w:bidi w:val="0"/>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总价</w:t>
            </w:r>
            <w:r>
              <w:rPr>
                <w:rFonts w:hint="eastAsia" w:ascii="宋体" w:hAnsi="宋体" w:eastAsia="宋体" w:cs="宋体"/>
                <w:color w:val="000000" w:themeColor="text1"/>
                <w:sz w:val="24"/>
                <w:szCs w:val="24"/>
                <w:lang w:eastAsia="zh-CN"/>
                <w14:textFill>
                  <w14:solidFill>
                    <w14:schemeClr w14:val="tx1"/>
                  </w14:solidFill>
                </w14:textFill>
              </w:rPr>
              <w:t>（元）</w:t>
            </w:r>
          </w:p>
        </w:tc>
      </w:tr>
      <w:tr w14:paraId="691E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exact"/>
          <w:jc w:val="center"/>
        </w:trPr>
        <w:tc>
          <w:tcPr>
            <w:tcW w:w="721" w:type="dxa"/>
            <w:tcBorders>
              <w:top w:val="single" w:color="auto" w:sz="4" w:space="0"/>
              <w:left w:val="single" w:color="000000" w:sz="2" w:space="0"/>
              <w:bottom w:val="single" w:color="000000" w:sz="2" w:space="0"/>
              <w:right w:val="single" w:color="000000" w:sz="2" w:space="0"/>
            </w:tcBorders>
            <w:noWrap w:val="0"/>
            <w:vAlign w:val="top"/>
          </w:tcPr>
          <w:p w14:paraId="1624DE3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000000" w:sz="2" w:space="0"/>
              <w:right w:val="single" w:color="000000" w:sz="2" w:space="0"/>
            </w:tcBorders>
            <w:noWrap w:val="0"/>
            <w:vAlign w:val="top"/>
          </w:tcPr>
          <w:p w14:paraId="08CA2293">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000000" w:sz="2" w:space="0"/>
              <w:right w:val="single" w:color="auto" w:sz="4" w:space="0"/>
            </w:tcBorders>
            <w:noWrap w:val="0"/>
            <w:vAlign w:val="top"/>
          </w:tcPr>
          <w:p w14:paraId="61A0775A">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000000" w:sz="2" w:space="0"/>
              <w:right w:val="single" w:color="000000" w:sz="2" w:space="0"/>
            </w:tcBorders>
            <w:noWrap w:val="0"/>
            <w:vAlign w:val="top"/>
          </w:tcPr>
          <w:p w14:paraId="4AFA5A4B">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000000" w:sz="2" w:space="0"/>
              <w:right w:val="single" w:color="000000" w:sz="2" w:space="0"/>
            </w:tcBorders>
            <w:noWrap w:val="0"/>
            <w:vAlign w:val="top"/>
          </w:tcPr>
          <w:p w14:paraId="25F0906C">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000000" w:sz="2" w:space="0"/>
              <w:right w:val="single" w:color="000000" w:sz="2" w:space="0"/>
            </w:tcBorders>
            <w:noWrap w:val="0"/>
            <w:vAlign w:val="top"/>
          </w:tcPr>
          <w:p w14:paraId="4685699E">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7FEB9FB3">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28F29B3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59A8622B">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4FF6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exact"/>
          <w:jc w:val="center"/>
        </w:trPr>
        <w:tc>
          <w:tcPr>
            <w:tcW w:w="721" w:type="dxa"/>
            <w:tcBorders>
              <w:top w:val="single" w:color="auto" w:sz="4" w:space="0"/>
              <w:left w:val="single" w:color="000000" w:sz="2" w:space="0"/>
              <w:bottom w:val="single" w:color="000000" w:sz="2" w:space="0"/>
              <w:right w:val="single" w:color="000000" w:sz="2" w:space="0"/>
            </w:tcBorders>
            <w:noWrap w:val="0"/>
            <w:vAlign w:val="top"/>
          </w:tcPr>
          <w:p w14:paraId="26A98A5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000000" w:sz="2" w:space="0"/>
              <w:right w:val="single" w:color="000000" w:sz="2" w:space="0"/>
            </w:tcBorders>
            <w:noWrap w:val="0"/>
            <w:vAlign w:val="top"/>
          </w:tcPr>
          <w:p w14:paraId="16417063">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000000" w:sz="2" w:space="0"/>
              <w:right w:val="single" w:color="auto" w:sz="4" w:space="0"/>
            </w:tcBorders>
            <w:noWrap w:val="0"/>
            <w:vAlign w:val="top"/>
          </w:tcPr>
          <w:p w14:paraId="2AB53659">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000000" w:sz="2" w:space="0"/>
              <w:right w:val="single" w:color="000000" w:sz="2" w:space="0"/>
            </w:tcBorders>
            <w:noWrap w:val="0"/>
            <w:vAlign w:val="top"/>
          </w:tcPr>
          <w:p w14:paraId="401ACAE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000000" w:sz="2" w:space="0"/>
              <w:right w:val="single" w:color="000000" w:sz="2" w:space="0"/>
            </w:tcBorders>
            <w:noWrap w:val="0"/>
            <w:vAlign w:val="top"/>
          </w:tcPr>
          <w:p w14:paraId="5618D3DC">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000000" w:sz="2" w:space="0"/>
              <w:right w:val="single" w:color="000000" w:sz="2" w:space="0"/>
            </w:tcBorders>
            <w:noWrap w:val="0"/>
            <w:vAlign w:val="top"/>
          </w:tcPr>
          <w:p w14:paraId="67CC211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486C1E1C">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1A408629">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3609500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3FF8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exact"/>
          <w:jc w:val="center"/>
        </w:trPr>
        <w:tc>
          <w:tcPr>
            <w:tcW w:w="721" w:type="dxa"/>
            <w:tcBorders>
              <w:top w:val="single" w:color="auto" w:sz="4" w:space="0"/>
              <w:left w:val="single" w:color="000000" w:sz="2" w:space="0"/>
              <w:bottom w:val="single" w:color="000000" w:sz="2" w:space="0"/>
              <w:right w:val="single" w:color="000000" w:sz="2" w:space="0"/>
            </w:tcBorders>
            <w:noWrap w:val="0"/>
            <w:vAlign w:val="top"/>
          </w:tcPr>
          <w:p w14:paraId="799B54E2">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000000" w:sz="2" w:space="0"/>
              <w:right w:val="single" w:color="000000" w:sz="2" w:space="0"/>
            </w:tcBorders>
            <w:noWrap w:val="0"/>
            <w:vAlign w:val="top"/>
          </w:tcPr>
          <w:p w14:paraId="4EB88A1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000000" w:sz="2" w:space="0"/>
              <w:right w:val="single" w:color="auto" w:sz="4" w:space="0"/>
            </w:tcBorders>
            <w:noWrap w:val="0"/>
            <w:vAlign w:val="top"/>
          </w:tcPr>
          <w:p w14:paraId="378D7B23">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000000" w:sz="2" w:space="0"/>
              <w:right w:val="single" w:color="000000" w:sz="2" w:space="0"/>
            </w:tcBorders>
            <w:noWrap w:val="0"/>
            <w:vAlign w:val="top"/>
          </w:tcPr>
          <w:p w14:paraId="63242309">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000000" w:sz="2" w:space="0"/>
              <w:right w:val="single" w:color="000000" w:sz="2" w:space="0"/>
            </w:tcBorders>
            <w:noWrap w:val="0"/>
            <w:vAlign w:val="top"/>
          </w:tcPr>
          <w:p w14:paraId="22840CDE">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000000" w:sz="2" w:space="0"/>
              <w:right w:val="single" w:color="000000" w:sz="2" w:space="0"/>
            </w:tcBorders>
            <w:noWrap w:val="0"/>
            <w:vAlign w:val="top"/>
          </w:tcPr>
          <w:p w14:paraId="0FD3B86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3861385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48E7570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6D9D492E">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0441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exact"/>
          <w:jc w:val="center"/>
        </w:trPr>
        <w:tc>
          <w:tcPr>
            <w:tcW w:w="721" w:type="dxa"/>
            <w:tcBorders>
              <w:top w:val="single" w:color="auto" w:sz="4" w:space="0"/>
              <w:left w:val="single" w:color="000000" w:sz="2" w:space="0"/>
              <w:bottom w:val="single" w:color="000000" w:sz="2" w:space="0"/>
              <w:right w:val="single" w:color="000000" w:sz="2" w:space="0"/>
            </w:tcBorders>
            <w:noWrap w:val="0"/>
            <w:vAlign w:val="top"/>
          </w:tcPr>
          <w:p w14:paraId="65B43D4B">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000000" w:sz="2" w:space="0"/>
              <w:right w:val="single" w:color="000000" w:sz="2" w:space="0"/>
            </w:tcBorders>
            <w:noWrap w:val="0"/>
            <w:vAlign w:val="top"/>
          </w:tcPr>
          <w:p w14:paraId="0086197A">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000000" w:sz="2" w:space="0"/>
              <w:right w:val="single" w:color="auto" w:sz="4" w:space="0"/>
            </w:tcBorders>
            <w:noWrap w:val="0"/>
            <w:vAlign w:val="top"/>
          </w:tcPr>
          <w:p w14:paraId="2C7B395C">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000000" w:sz="2" w:space="0"/>
              <w:right w:val="single" w:color="000000" w:sz="2" w:space="0"/>
            </w:tcBorders>
            <w:noWrap w:val="0"/>
            <w:vAlign w:val="top"/>
          </w:tcPr>
          <w:p w14:paraId="6731D69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000000" w:sz="2" w:space="0"/>
              <w:right w:val="single" w:color="000000" w:sz="2" w:space="0"/>
            </w:tcBorders>
            <w:noWrap w:val="0"/>
            <w:vAlign w:val="top"/>
          </w:tcPr>
          <w:p w14:paraId="1F6FFC2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000000" w:sz="2" w:space="0"/>
              <w:right w:val="single" w:color="000000" w:sz="2" w:space="0"/>
            </w:tcBorders>
            <w:noWrap w:val="0"/>
            <w:vAlign w:val="top"/>
          </w:tcPr>
          <w:p w14:paraId="02B799C5">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50A989C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459A8D6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1437614F">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2C3F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exact"/>
          <w:jc w:val="center"/>
        </w:trPr>
        <w:tc>
          <w:tcPr>
            <w:tcW w:w="721" w:type="dxa"/>
            <w:tcBorders>
              <w:top w:val="single" w:color="auto" w:sz="4" w:space="0"/>
              <w:left w:val="single" w:color="000000" w:sz="2" w:space="0"/>
              <w:bottom w:val="single" w:color="000000" w:sz="2" w:space="0"/>
              <w:right w:val="single" w:color="000000" w:sz="2" w:space="0"/>
            </w:tcBorders>
            <w:noWrap w:val="0"/>
            <w:vAlign w:val="top"/>
          </w:tcPr>
          <w:p w14:paraId="4E02DCDC">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000000" w:sz="2" w:space="0"/>
              <w:right w:val="single" w:color="000000" w:sz="2" w:space="0"/>
            </w:tcBorders>
            <w:noWrap w:val="0"/>
            <w:vAlign w:val="top"/>
          </w:tcPr>
          <w:p w14:paraId="709CE648">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000000" w:sz="2" w:space="0"/>
              <w:right w:val="single" w:color="auto" w:sz="4" w:space="0"/>
            </w:tcBorders>
            <w:noWrap w:val="0"/>
            <w:vAlign w:val="top"/>
          </w:tcPr>
          <w:p w14:paraId="4CCB407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000000" w:sz="2" w:space="0"/>
              <w:right w:val="single" w:color="000000" w:sz="2" w:space="0"/>
            </w:tcBorders>
            <w:noWrap w:val="0"/>
            <w:vAlign w:val="top"/>
          </w:tcPr>
          <w:p w14:paraId="0EAB1DD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000000" w:sz="2" w:space="0"/>
              <w:right w:val="single" w:color="000000" w:sz="2" w:space="0"/>
            </w:tcBorders>
            <w:noWrap w:val="0"/>
            <w:vAlign w:val="top"/>
          </w:tcPr>
          <w:p w14:paraId="3D3B5A2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000000" w:sz="2" w:space="0"/>
              <w:right w:val="single" w:color="000000" w:sz="2" w:space="0"/>
            </w:tcBorders>
            <w:noWrap w:val="0"/>
            <w:vAlign w:val="top"/>
          </w:tcPr>
          <w:p w14:paraId="600B318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6974A3BC">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2F8917C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6BF4380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7124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exact"/>
          <w:jc w:val="center"/>
        </w:trPr>
        <w:tc>
          <w:tcPr>
            <w:tcW w:w="721" w:type="dxa"/>
            <w:tcBorders>
              <w:top w:val="single" w:color="auto" w:sz="4" w:space="0"/>
              <w:left w:val="single" w:color="000000" w:sz="2" w:space="0"/>
              <w:bottom w:val="single" w:color="000000" w:sz="2" w:space="0"/>
              <w:right w:val="single" w:color="000000" w:sz="2" w:space="0"/>
            </w:tcBorders>
            <w:noWrap w:val="0"/>
            <w:vAlign w:val="top"/>
          </w:tcPr>
          <w:p w14:paraId="4A182D95">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000000" w:sz="2" w:space="0"/>
              <w:right w:val="single" w:color="000000" w:sz="2" w:space="0"/>
            </w:tcBorders>
            <w:noWrap w:val="0"/>
            <w:vAlign w:val="top"/>
          </w:tcPr>
          <w:p w14:paraId="453EBDDF">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000000" w:sz="2" w:space="0"/>
              <w:right w:val="single" w:color="auto" w:sz="4" w:space="0"/>
            </w:tcBorders>
            <w:noWrap w:val="0"/>
            <w:vAlign w:val="top"/>
          </w:tcPr>
          <w:p w14:paraId="0623278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000000" w:sz="2" w:space="0"/>
              <w:right w:val="single" w:color="000000" w:sz="2" w:space="0"/>
            </w:tcBorders>
            <w:noWrap w:val="0"/>
            <w:vAlign w:val="top"/>
          </w:tcPr>
          <w:p w14:paraId="257BF8AB">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000000" w:sz="2" w:space="0"/>
              <w:right w:val="single" w:color="000000" w:sz="2" w:space="0"/>
            </w:tcBorders>
            <w:noWrap w:val="0"/>
            <w:vAlign w:val="top"/>
          </w:tcPr>
          <w:p w14:paraId="7A86394E">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000000" w:sz="2" w:space="0"/>
              <w:right w:val="single" w:color="000000" w:sz="2" w:space="0"/>
            </w:tcBorders>
            <w:noWrap w:val="0"/>
            <w:vAlign w:val="top"/>
          </w:tcPr>
          <w:p w14:paraId="1D519E76">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6EFF5B6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390F56A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54FB5EC8">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28CC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exact"/>
          <w:jc w:val="center"/>
        </w:trPr>
        <w:tc>
          <w:tcPr>
            <w:tcW w:w="721" w:type="dxa"/>
            <w:tcBorders>
              <w:top w:val="single" w:color="auto" w:sz="4" w:space="0"/>
              <w:left w:val="single" w:color="000000" w:sz="2" w:space="0"/>
              <w:bottom w:val="single" w:color="000000" w:sz="2" w:space="0"/>
              <w:right w:val="single" w:color="000000" w:sz="2" w:space="0"/>
            </w:tcBorders>
            <w:noWrap w:val="0"/>
            <w:vAlign w:val="top"/>
          </w:tcPr>
          <w:p w14:paraId="18BF6C43">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000000" w:sz="2" w:space="0"/>
              <w:right w:val="single" w:color="000000" w:sz="2" w:space="0"/>
            </w:tcBorders>
            <w:noWrap w:val="0"/>
            <w:vAlign w:val="top"/>
          </w:tcPr>
          <w:p w14:paraId="0F38E57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000000" w:sz="2" w:space="0"/>
              <w:right w:val="single" w:color="auto" w:sz="4" w:space="0"/>
            </w:tcBorders>
            <w:noWrap w:val="0"/>
            <w:vAlign w:val="top"/>
          </w:tcPr>
          <w:p w14:paraId="4EC0844F">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000000" w:sz="2" w:space="0"/>
              <w:right w:val="single" w:color="000000" w:sz="2" w:space="0"/>
            </w:tcBorders>
            <w:noWrap w:val="0"/>
            <w:vAlign w:val="top"/>
          </w:tcPr>
          <w:p w14:paraId="5F362552">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000000" w:sz="2" w:space="0"/>
              <w:right w:val="single" w:color="000000" w:sz="2" w:space="0"/>
            </w:tcBorders>
            <w:noWrap w:val="0"/>
            <w:vAlign w:val="top"/>
          </w:tcPr>
          <w:p w14:paraId="3CB0ADA2">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000000" w:sz="2" w:space="0"/>
              <w:right w:val="single" w:color="000000" w:sz="2" w:space="0"/>
            </w:tcBorders>
            <w:noWrap w:val="0"/>
            <w:vAlign w:val="top"/>
          </w:tcPr>
          <w:p w14:paraId="314B3D8A">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4D6D936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1F3E175A">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44FB3345">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5F2B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8" w:hRule="exact"/>
          <w:jc w:val="center"/>
        </w:trPr>
        <w:tc>
          <w:tcPr>
            <w:tcW w:w="721" w:type="dxa"/>
            <w:tcBorders>
              <w:top w:val="single" w:color="auto" w:sz="4" w:space="0"/>
              <w:left w:val="single" w:color="000000" w:sz="2" w:space="0"/>
              <w:bottom w:val="single" w:color="auto" w:sz="4" w:space="0"/>
              <w:right w:val="single" w:color="000000" w:sz="2" w:space="0"/>
            </w:tcBorders>
            <w:noWrap w:val="0"/>
            <w:vAlign w:val="top"/>
          </w:tcPr>
          <w:p w14:paraId="174FC024">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auto" w:sz="4" w:space="0"/>
              <w:right w:val="single" w:color="000000" w:sz="2" w:space="0"/>
            </w:tcBorders>
            <w:noWrap w:val="0"/>
            <w:vAlign w:val="top"/>
          </w:tcPr>
          <w:p w14:paraId="67B20803">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auto" w:sz="4" w:space="0"/>
              <w:right w:val="single" w:color="auto" w:sz="4" w:space="0"/>
            </w:tcBorders>
            <w:noWrap w:val="0"/>
            <w:vAlign w:val="top"/>
          </w:tcPr>
          <w:p w14:paraId="1877D83C">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auto" w:sz="4" w:space="0"/>
              <w:right w:val="single" w:color="000000" w:sz="2" w:space="0"/>
            </w:tcBorders>
            <w:noWrap w:val="0"/>
            <w:vAlign w:val="top"/>
          </w:tcPr>
          <w:p w14:paraId="2E9B7CEB">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auto" w:sz="4" w:space="0"/>
              <w:right w:val="single" w:color="000000" w:sz="2" w:space="0"/>
            </w:tcBorders>
            <w:noWrap w:val="0"/>
            <w:vAlign w:val="top"/>
          </w:tcPr>
          <w:p w14:paraId="5FA112DA">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auto" w:sz="4" w:space="0"/>
              <w:right w:val="single" w:color="000000" w:sz="2" w:space="0"/>
            </w:tcBorders>
            <w:noWrap w:val="0"/>
            <w:vAlign w:val="top"/>
          </w:tcPr>
          <w:p w14:paraId="2BAD7A12">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1F22B23C">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7C12291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0224BB6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436F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8" w:hRule="exact"/>
          <w:jc w:val="center"/>
        </w:trPr>
        <w:tc>
          <w:tcPr>
            <w:tcW w:w="721" w:type="dxa"/>
            <w:tcBorders>
              <w:top w:val="single" w:color="auto" w:sz="4" w:space="0"/>
              <w:left w:val="single" w:color="000000" w:sz="2" w:space="0"/>
              <w:bottom w:val="single" w:color="auto" w:sz="4" w:space="0"/>
              <w:right w:val="single" w:color="000000" w:sz="2" w:space="0"/>
            </w:tcBorders>
            <w:noWrap w:val="0"/>
            <w:vAlign w:val="top"/>
          </w:tcPr>
          <w:p w14:paraId="00C1E1A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auto" w:sz="4" w:space="0"/>
              <w:right w:val="single" w:color="000000" w:sz="2" w:space="0"/>
            </w:tcBorders>
            <w:noWrap w:val="0"/>
            <w:vAlign w:val="top"/>
          </w:tcPr>
          <w:p w14:paraId="6EDA9B39">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auto" w:sz="4" w:space="0"/>
              <w:right w:val="single" w:color="auto" w:sz="4" w:space="0"/>
            </w:tcBorders>
            <w:noWrap w:val="0"/>
            <w:vAlign w:val="top"/>
          </w:tcPr>
          <w:p w14:paraId="10D45B07">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auto" w:sz="4" w:space="0"/>
              <w:right w:val="single" w:color="000000" w:sz="2" w:space="0"/>
            </w:tcBorders>
            <w:noWrap w:val="0"/>
            <w:vAlign w:val="top"/>
          </w:tcPr>
          <w:p w14:paraId="37833812">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auto" w:sz="4" w:space="0"/>
              <w:right w:val="single" w:color="000000" w:sz="2" w:space="0"/>
            </w:tcBorders>
            <w:noWrap w:val="0"/>
            <w:vAlign w:val="top"/>
          </w:tcPr>
          <w:p w14:paraId="7212A9B4">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auto" w:sz="4" w:space="0"/>
              <w:right w:val="single" w:color="000000" w:sz="2" w:space="0"/>
            </w:tcBorders>
            <w:noWrap w:val="0"/>
            <w:vAlign w:val="top"/>
          </w:tcPr>
          <w:p w14:paraId="3305BEAE">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4A79EDB8">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6CF64DC5">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5EBE8A3A">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7FB8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8" w:hRule="exact"/>
          <w:jc w:val="center"/>
        </w:trPr>
        <w:tc>
          <w:tcPr>
            <w:tcW w:w="721" w:type="dxa"/>
            <w:tcBorders>
              <w:top w:val="single" w:color="auto" w:sz="4" w:space="0"/>
              <w:left w:val="single" w:color="000000" w:sz="2" w:space="0"/>
              <w:bottom w:val="single" w:color="auto" w:sz="4" w:space="0"/>
              <w:right w:val="single" w:color="000000" w:sz="2" w:space="0"/>
            </w:tcBorders>
            <w:noWrap w:val="0"/>
            <w:vAlign w:val="top"/>
          </w:tcPr>
          <w:p w14:paraId="7B1D21FE">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auto" w:sz="4" w:space="0"/>
              <w:right w:val="single" w:color="000000" w:sz="2" w:space="0"/>
            </w:tcBorders>
            <w:noWrap w:val="0"/>
            <w:vAlign w:val="top"/>
          </w:tcPr>
          <w:p w14:paraId="2496C3C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auto" w:sz="4" w:space="0"/>
              <w:right w:val="single" w:color="auto" w:sz="4" w:space="0"/>
            </w:tcBorders>
            <w:noWrap w:val="0"/>
            <w:vAlign w:val="top"/>
          </w:tcPr>
          <w:p w14:paraId="13A90BE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auto" w:sz="4" w:space="0"/>
              <w:right w:val="single" w:color="000000" w:sz="2" w:space="0"/>
            </w:tcBorders>
            <w:noWrap w:val="0"/>
            <w:vAlign w:val="top"/>
          </w:tcPr>
          <w:p w14:paraId="2C900613">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auto" w:sz="4" w:space="0"/>
              <w:right w:val="single" w:color="000000" w:sz="2" w:space="0"/>
            </w:tcBorders>
            <w:noWrap w:val="0"/>
            <w:vAlign w:val="top"/>
          </w:tcPr>
          <w:p w14:paraId="521E78E5">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auto" w:sz="4" w:space="0"/>
              <w:right w:val="single" w:color="000000" w:sz="2" w:space="0"/>
            </w:tcBorders>
            <w:noWrap w:val="0"/>
            <w:vAlign w:val="top"/>
          </w:tcPr>
          <w:p w14:paraId="76B4C5B5">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4D5D703D">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39C0CA91">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000000" w:sz="2" w:space="0"/>
            </w:tcBorders>
            <w:noWrap w:val="0"/>
            <w:vAlign w:val="top"/>
          </w:tcPr>
          <w:p w14:paraId="014B40C5">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r w14:paraId="1CD7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8" w:hRule="exact"/>
          <w:jc w:val="center"/>
        </w:trPr>
        <w:tc>
          <w:tcPr>
            <w:tcW w:w="721" w:type="dxa"/>
            <w:tcBorders>
              <w:top w:val="single" w:color="auto" w:sz="4" w:space="0"/>
              <w:left w:val="single" w:color="000000" w:sz="2" w:space="0"/>
              <w:bottom w:val="single" w:color="000000" w:sz="2" w:space="0"/>
              <w:right w:val="single" w:color="000000" w:sz="2" w:space="0"/>
            </w:tcBorders>
            <w:noWrap w:val="0"/>
            <w:vAlign w:val="top"/>
          </w:tcPr>
          <w:p w14:paraId="5E56EAD3">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43" w:type="dxa"/>
            <w:tcBorders>
              <w:top w:val="single" w:color="auto" w:sz="4" w:space="0"/>
              <w:left w:val="single" w:color="auto" w:sz="4" w:space="0"/>
              <w:bottom w:val="single" w:color="000000" w:sz="2" w:space="0"/>
              <w:right w:val="single" w:color="000000" w:sz="2" w:space="0"/>
            </w:tcBorders>
            <w:noWrap w:val="0"/>
            <w:vAlign w:val="top"/>
          </w:tcPr>
          <w:p w14:paraId="1B7D147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61" w:type="dxa"/>
            <w:tcBorders>
              <w:top w:val="single" w:color="auto" w:sz="4" w:space="0"/>
              <w:left w:val="single" w:color="auto" w:sz="4" w:space="0"/>
              <w:bottom w:val="single" w:color="000000" w:sz="2" w:space="0"/>
              <w:right w:val="single" w:color="auto" w:sz="4" w:space="0"/>
            </w:tcBorders>
            <w:noWrap w:val="0"/>
            <w:vAlign w:val="top"/>
          </w:tcPr>
          <w:p w14:paraId="3F58525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98" w:type="dxa"/>
            <w:tcBorders>
              <w:top w:val="single" w:color="auto" w:sz="4" w:space="0"/>
              <w:left w:val="single" w:color="auto" w:sz="4" w:space="0"/>
              <w:bottom w:val="single" w:color="000000" w:sz="2" w:space="0"/>
              <w:right w:val="single" w:color="000000" w:sz="2" w:space="0"/>
            </w:tcBorders>
            <w:noWrap w:val="0"/>
            <w:vAlign w:val="top"/>
          </w:tcPr>
          <w:p w14:paraId="40C3ABA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891" w:type="dxa"/>
            <w:tcBorders>
              <w:top w:val="single" w:color="auto" w:sz="4" w:space="0"/>
              <w:left w:val="single" w:color="auto" w:sz="4" w:space="0"/>
              <w:bottom w:val="single" w:color="000000" w:sz="2" w:space="0"/>
              <w:right w:val="single" w:color="000000" w:sz="2" w:space="0"/>
            </w:tcBorders>
            <w:noWrap w:val="0"/>
            <w:vAlign w:val="top"/>
          </w:tcPr>
          <w:p w14:paraId="716EFF28">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008" w:type="dxa"/>
            <w:tcBorders>
              <w:top w:val="single" w:color="auto" w:sz="4" w:space="0"/>
              <w:left w:val="single" w:color="auto" w:sz="4" w:space="0"/>
              <w:bottom w:val="single" w:color="000000" w:sz="2" w:space="0"/>
              <w:right w:val="single" w:color="000000" w:sz="2" w:space="0"/>
            </w:tcBorders>
            <w:noWrap w:val="0"/>
            <w:vAlign w:val="top"/>
          </w:tcPr>
          <w:p w14:paraId="7B68759F">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7EE215F0">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6CF09438">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c>
          <w:tcPr>
            <w:tcW w:w="1138" w:type="dxa"/>
            <w:tcBorders>
              <w:top w:val="single" w:color="auto" w:sz="4" w:space="0"/>
              <w:left w:val="single" w:color="auto" w:sz="4" w:space="0"/>
              <w:bottom w:val="single" w:color="000000" w:sz="2" w:space="0"/>
              <w:right w:val="single" w:color="000000" w:sz="2" w:space="0"/>
            </w:tcBorders>
            <w:noWrap w:val="0"/>
            <w:vAlign w:val="top"/>
          </w:tcPr>
          <w:p w14:paraId="4C396FE5">
            <w:pPr>
              <w:pageBreakBefore w:val="0"/>
              <w:wordWrap/>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p>
        </w:tc>
      </w:tr>
    </w:tbl>
    <w:p w14:paraId="74C7A333">
      <w:pPr>
        <w:adjustRightInd w:val="0"/>
        <w:snapToGrid w:val="0"/>
        <w:spacing w:line="360" w:lineRule="auto"/>
        <w:rPr>
          <w:rFonts w:hint="eastAsia" w:ascii="宋体" w:hAnsi="宋体" w:eastAsia="宋体" w:cs="宋体"/>
          <w:bCs/>
          <w:color w:val="000000" w:themeColor="text1"/>
          <w:sz w:val="24"/>
          <w:szCs w:val="24"/>
          <w14:textFill>
            <w14:solidFill>
              <w14:schemeClr w14:val="tx1"/>
            </w14:solidFill>
          </w14:textFill>
        </w:rPr>
      </w:pPr>
    </w:p>
    <w:p w14:paraId="3B8CF3C3">
      <w:pPr>
        <w:pStyle w:val="20"/>
        <w:rPr>
          <w:rFonts w:hint="eastAsia" w:ascii="宋体" w:hAnsi="宋体" w:eastAsia="宋体" w:cs="宋体"/>
          <w:bCs/>
          <w:color w:val="000000" w:themeColor="text1"/>
          <w:sz w:val="24"/>
          <w:szCs w:val="24"/>
          <w14:textFill>
            <w14:solidFill>
              <w14:schemeClr w14:val="tx1"/>
            </w14:solidFill>
          </w14:textFill>
        </w:rPr>
      </w:pPr>
    </w:p>
    <w:p w14:paraId="40CE2D39">
      <w:pPr>
        <w:pStyle w:val="20"/>
        <w:rPr>
          <w:rFonts w:hint="eastAsia" w:ascii="宋体" w:hAnsi="宋体" w:eastAsia="宋体" w:cs="宋体"/>
          <w:bCs/>
          <w:color w:val="000000" w:themeColor="text1"/>
          <w:sz w:val="24"/>
          <w:szCs w:val="24"/>
          <w14:textFill>
            <w14:solidFill>
              <w14:schemeClr w14:val="tx1"/>
            </w14:solidFill>
          </w14:textFill>
        </w:rPr>
      </w:pPr>
    </w:p>
    <w:p w14:paraId="6F7A36A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257AEF8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0D3494C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17355DC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5E76040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7C84F80D">
      <w:pPr>
        <w:pStyle w:val="11"/>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color w:val="000000" w:themeColor="text1"/>
          <w:sz w:val="24"/>
          <w:szCs w:val="24"/>
          <w14:textFill>
            <w14:solidFill>
              <w14:schemeClr w14:val="tx1"/>
            </w14:solidFill>
          </w14:textFill>
        </w:rPr>
      </w:pPr>
    </w:p>
    <w:p w14:paraId="5D68DFD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color w:val="000000" w:themeColor="text1"/>
          <w:sz w:val="24"/>
          <w:szCs w:val="24"/>
          <w:lang w:val="en-US" w:eastAsia="zh-CN"/>
          <w14:textFill>
            <w14:solidFill>
              <w14:schemeClr w14:val="tx1"/>
            </w14:solidFill>
          </w14:textFill>
        </w:rPr>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eastAsia="宋体" w:cs="宋体"/>
          <w:b/>
          <w:bCs/>
          <w:color w:val="000000" w:themeColor="text1"/>
          <w:sz w:val="24"/>
          <w:szCs w:val="24"/>
          <w14:textFill>
            <w14:solidFill>
              <w14:schemeClr w14:val="tx1"/>
            </w14:solidFill>
          </w14:textFill>
        </w:rPr>
        <w:t>注：表格中的“总价”与“投标报价一览表”中的“</w:t>
      </w:r>
      <w:r>
        <w:rPr>
          <w:rFonts w:hint="eastAsia" w:ascii="宋体" w:hAnsi="宋体" w:eastAsia="宋体" w:cs="宋体"/>
          <w:b/>
          <w:bCs/>
          <w:color w:val="000000" w:themeColor="text1"/>
          <w:sz w:val="24"/>
          <w:szCs w:val="24"/>
          <w:lang w:val="en-US" w:eastAsia="zh-CN"/>
          <w14:textFill>
            <w14:solidFill>
              <w14:schemeClr w14:val="tx1"/>
            </w14:solidFill>
          </w14:textFill>
        </w:rPr>
        <w:t>投标</w:t>
      </w:r>
      <w:r>
        <w:rPr>
          <w:rFonts w:hint="eastAsia" w:ascii="宋体" w:hAnsi="宋体" w:eastAsia="宋体" w:cs="宋体"/>
          <w:b/>
          <w:bCs/>
          <w:color w:val="000000" w:themeColor="text1"/>
          <w:sz w:val="24"/>
          <w:szCs w:val="24"/>
          <w14:textFill>
            <w14:solidFill>
              <w14:schemeClr w14:val="tx1"/>
            </w14:solidFill>
          </w14:textFill>
        </w:rPr>
        <w:t>报价”一致</w:t>
      </w:r>
      <w:r>
        <w:rPr>
          <w:rFonts w:hint="eastAsia" w:ascii="宋体" w:hAnsi="宋体" w:eastAsia="宋体" w:cs="宋体"/>
          <w:b/>
          <w:bCs/>
          <w:color w:val="000000" w:themeColor="text1"/>
          <w:sz w:val="24"/>
          <w:szCs w:val="24"/>
          <w:lang w:eastAsia="zh-CN"/>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p>
    <w:p w14:paraId="1FD7CD00">
      <w:pPr>
        <w:keepNext w:val="0"/>
        <w:keepLines w:val="0"/>
        <w:pageBreakBefore w:val="0"/>
        <w:widowControl w:val="0"/>
        <w:tabs>
          <w:tab w:val="left" w:pos="5110"/>
        </w:tabs>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000000" w:themeColor="text1"/>
          <w:sz w:val="28"/>
          <w:szCs w:val="28"/>
          <w:u w:val="none"/>
          <w14:textFill>
            <w14:solidFill>
              <w14:schemeClr w14:val="tx1"/>
            </w14:solidFill>
          </w14:textFill>
        </w:rPr>
      </w:pPr>
      <w:r>
        <w:rPr>
          <w:rFonts w:hint="eastAsia" w:ascii="宋体" w:hAnsi="宋体" w:eastAsia="宋体" w:cs="宋体"/>
          <w:b/>
          <w:bCs/>
          <w:color w:val="000000" w:themeColor="text1"/>
          <w:sz w:val="28"/>
          <w:szCs w:val="28"/>
          <w:u w:val="none"/>
          <w:lang w:val="en-US" w:eastAsia="zh-CN"/>
          <w14:textFill>
            <w14:solidFill>
              <w14:schemeClr w14:val="tx1"/>
            </w14:solidFill>
          </w14:textFill>
        </w:rPr>
        <w:t>五、</w:t>
      </w:r>
      <w:r>
        <w:rPr>
          <w:rFonts w:hint="eastAsia" w:ascii="宋体" w:hAnsi="宋体" w:eastAsia="宋体" w:cs="宋体"/>
          <w:b/>
          <w:bCs/>
          <w:color w:val="000000" w:themeColor="text1"/>
          <w:sz w:val="28"/>
          <w:szCs w:val="28"/>
          <w:u w:val="none"/>
          <w14:textFill>
            <w14:solidFill>
              <w14:schemeClr w14:val="tx1"/>
            </w14:solidFill>
          </w14:textFill>
        </w:rPr>
        <w:t>偏离表</w:t>
      </w:r>
    </w:p>
    <w:p w14:paraId="0EB51DA6">
      <w:pPr>
        <w:adjustRightInd w:val="0"/>
        <w:spacing w:line="360" w:lineRule="auto"/>
        <w:rPr>
          <w:rFonts w:hint="eastAsia" w:ascii="宋体" w:hAnsi="宋体" w:eastAsia="宋体" w:cs="宋体"/>
          <w:color w:val="000000" w:themeColor="text1"/>
          <w:sz w:val="28"/>
          <w:szCs w:val="28"/>
          <w14:textFill>
            <w14:solidFill>
              <w14:schemeClr w14:val="tx1"/>
            </w14:solidFill>
          </w14:textFill>
        </w:rPr>
      </w:pPr>
    </w:p>
    <w:p w14:paraId="670E3774">
      <w:pPr>
        <w:adjustRightInd w:val="0"/>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1.技术规范偏离表</w:t>
      </w:r>
    </w:p>
    <w:tbl>
      <w:tblPr>
        <w:tblStyle w:val="35"/>
        <w:tblW w:w="0" w:type="auto"/>
        <w:jc w:val="center"/>
        <w:tblBorders>
          <w:top w:val="double" w:color="auto" w:sz="6" w:space="0"/>
          <w:left w:val="double" w:color="auto" w:sz="6" w:space="0"/>
          <w:bottom w:val="double" w:color="auto" w:sz="6" w:space="0"/>
          <w:right w:val="double" w:color="auto" w:sz="6" w:space="0"/>
          <w:insideH w:val="none" w:color="auto" w:sz="0" w:space="0"/>
          <w:insideV w:val="none" w:color="auto" w:sz="0" w:space="0"/>
        </w:tblBorders>
        <w:tblLayout w:type="fixed"/>
        <w:tblCellMar>
          <w:top w:w="0" w:type="dxa"/>
          <w:left w:w="28" w:type="dxa"/>
          <w:bottom w:w="0" w:type="dxa"/>
          <w:right w:w="28" w:type="dxa"/>
        </w:tblCellMar>
      </w:tblPr>
      <w:tblGrid>
        <w:gridCol w:w="648"/>
        <w:gridCol w:w="3367"/>
        <w:gridCol w:w="3368"/>
        <w:gridCol w:w="776"/>
        <w:gridCol w:w="777"/>
      </w:tblGrid>
      <w:tr w14:paraId="6F0DABA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28" w:type="dxa"/>
            <w:bottom w:w="0" w:type="dxa"/>
            <w:right w:w="28" w:type="dxa"/>
          </w:tblCellMar>
        </w:tblPrEx>
        <w:trPr>
          <w:trHeight w:val="777" w:hRule="atLeast"/>
          <w:jc w:val="center"/>
        </w:trPr>
        <w:tc>
          <w:tcPr>
            <w:tcW w:w="648" w:type="dxa"/>
            <w:vMerge w:val="restart"/>
            <w:tcBorders>
              <w:top w:val="double" w:color="auto" w:sz="6" w:space="0"/>
              <w:left w:val="double" w:color="auto" w:sz="6" w:space="0"/>
              <w:right w:val="single" w:color="000000" w:sz="6" w:space="0"/>
            </w:tcBorders>
            <w:noWrap w:val="0"/>
            <w:vAlign w:val="center"/>
          </w:tcPr>
          <w:p w14:paraId="2603F063">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序号</w:t>
            </w:r>
          </w:p>
        </w:tc>
        <w:tc>
          <w:tcPr>
            <w:tcW w:w="3367" w:type="dxa"/>
            <w:tcBorders>
              <w:top w:val="double" w:color="auto" w:sz="6" w:space="0"/>
              <w:left w:val="single" w:color="000000" w:sz="6" w:space="0"/>
              <w:bottom w:val="single" w:color="auto" w:sz="4" w:space="0"/>
              <w:right w:val="single" w:color="000000" w:sz="6" w:space="0"/>
            </w:tcBorders>
            <w:noWrap w:val="0"/>
            <w:vAlign w:val="center"/>
          </w:tcPr>
          <w:p w14:paraId="530DF99E">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招标</w:t>
            </w:r>
            <w:r>
              <w:rPr>
                <w:rFonts w:hint="eastAsia" w:ascii="宋体" w:hAnsi="宋体" w:eastAsia="宋体" w:cs="宋体"/>
                <w:color w:val="000000" w:themeColor="text1"/>
                <w:sz w:val="28"/>
                <w:szCs w:val="28"/>
                <w14:textFill>
                  <w14:solidFill>
                    <w14:schemeClr w14:val="tx1"/>
                  </w14:solidFill>
                </w14:textFill>
              </w:rPr>
              <w:t>文件</w:t>
            </w:r>
          </w:p>
        </w:tc>
        <w:tc>
          <w:tcPr>
            <w:tcW w:w="3368" w:type="dxa"/>
            <w:tcBorders>
              <w:top w:val="double" w:color="auto" w:sz="6" w:space="0"/>
              <w:left w:val="single" w:color="000000" w:sz="6" w:space="0"/>
              <w:bottom w:val="single" w:color="auto" w:sz="4" w:space="0"/>
              <w:right w:val="single" w:color="000000" w:sz="6" w:space="0"/>
            </w:tcBorders>
            <w:noWrap w:val="0"/>
            <w:vAlign w:val="center"/>
          </w:tcPr>
          <w:p w14:paraId="1E102949">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投标</w:t>
            </w:r>
            <w:r>
              <w:rPr>
                <w:rFonts w:hint="eastAsia" w:ascii="宋体" w:hAnsi="宋体" w:eastAsia="宋体" w:cs="宋体"/>
                <w:color w:val="000000" w:themeColor="text1"/>
                <w:sz w:val="28"/>
                <w:szCs w:val="28"/>
                <w14:textFill>
                  <w14:solidFill>
                    <w14:schemeClr w14:val="tx1"/>
                  </w14:solidFill>
                </w14:textFill>
              </w:rPr>
              <w:t>文件</w:t>
            </w:r>
          </w:p>
        </w:tc>
        <w:tc>
          <w:tcPr>
            <w:tcW w:w="776" w:type="dxa"/>
            <w:vMerge w:val="restart"/>
            <w:tcBorders>
              <w:top w:val="double" w:color="auto" w:sz="6" w:space="0"/>
              <w:left w:val="single" w:color="000000" w:sz="6" w:space="0"/>
              <w:right w:val="single" w:color="000000" w:sz="6" w:space="0"/>
            </w:tcBorders>
            <w:noWrap w:val="0"/>
            <w:vAlign w:val="center"/>
          </w:tcPr>
          <w:p w14:paraId="0400CEE9">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偏离</w:t>
            </w:r>
          </w:p>
        </w:tc>
        <w:tc>
          <w:tcPr>
            <w:tcW w:w="777" w:type="dxa"/>
            <w:vMerge w:val="restart"/>
            <w:tcBorders>
              <w:top w:val="double" w:color="auto" w:sz="6" w:space="0"/>
              <w:left w:val="single" w:color="000000" w:sz="6" w:space="0"/>
              <w:right w:val="double" w:color="auto" w:sz="6" w:space="0"/>
            </w:tcBorders>
            <w:noWrap w:val="0"/>
            <w:vAlign w:val="center"/>
          </w:tcPr>
          <w:p w14:paraId="66A0821A">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说明</w:t>
            </w:r>
          </w:p>
        </w:tc>
      </w:tr>
      <w:tr w14:paraId="1A17D3A7">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28" w:type="dxa"/>
            <w:bottom w:w="0" w:type="dxa"/>
            <w:right w:w="28" w:type="dxa"/>
          </w:tblCellMar>
        </w:tblPrEx>
        <w:trPr>
          <w:trHeight w:val="739" w:hRule="atLeast"/>
          <w:jc w:val="center"/>
        </w:trPr>
        <w:tc>
          <w:tcPr>
            <w:tcW w:w="648" w:type="dxa"/>
            <w:vMerge w:val="continue"/>
            <w:tcBorders>
              <w:left w:val="double" w:color="auto" w:sz="6" w:space="0"/>
              <w:bottom w:val="single" w:color="000000" w:sz="6" w:space="0"/>
              <w:right w:val="single" w:color="000000" w:sz="6" w:space="0"/>
            </w:tcBorders>
            <w:noWrap w:val="0"/>
            <w:vAlign w:val="center"/>
          </w:tcPr>
          <w:p w14:paraId="6C6B8294">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p>
        </w:tc>
        <w:tc>
          <w:tcPr>
            <w:tcW w:w="3367" w:type="dxa"/>
            <w:tcBorders>
              <w:top w:val="single" w:color="auto" w:sz="4" w:space="0"/>
              <w:left w:val="single" w:color="000000" w:sz="6" w:space="0"/>
              <w:bottom w:val="single" w:color="auto" w:sz="4" w:space="0"/>
              <w:right w:val="single" w:color="000000" w:sz="6" w:space="0"/>
            </w:tcBorders>
            <w:noWrap w:val="0"/>
            <w:vAlign w:val="center"/>
          </w:tcPr>
          <w:p w14:paraId="7F9D7D60">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简要内容</w:t>
            </w:r>
          </w:p>
        </w:tc>
        <w:tc>
          <w:tcPr>
            <w:tcW w:w="3368" w:type="dxa"/>
            <w:tcBorders>
              <w:top w:val="single" w:color="auto" w:sz="4" w:space="0"/>
              <w:left w:val="single" w:color="000000" w:sz="6" w:space="0"/>
              <w:bottom w:val="single" w:color="auto" w:sz="4" w:space="0"/>
              <w:right w:val="single" w:color="000000" w:sz="6" w:space="0"/>
            </w:tcBorders>
            <w:noWrap w:val="0"/>
            <w:vAlign w:val="center"/>
          </w:tcPr>
          <w:p w14:paraId="4949EB69">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简要内容</w:t>
            </w:r>
          </w:p>
        </w:tc>
        <w:tc>
          <w:tcPr>
            <w:tcW w:w="776" w:type="dxa"/>
            <w:vMerge w:val="continue"/>
            <w:tcBorders>
              <w:left w:val="single" w:color="000000" w:sz="6" w:space="0"/>
              <w:bottom w:val="single" w:color="000000" w:sz="6" w:space="0"/>
              <w:right w:val="single" w:color="000000" w:sz="6" w:space="0"/>
            </w:tcBorders>
            <w:noWrap w:val="0"/>
            <w:vAlign w:val="center"/>
          </w:tcPr>
          <w:p w14:paraId="23776984">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p>
        </w:tc>
        <w:tc>
          <w:tcPr>
            <w:tcW w:w="777" w:type="dxa"/>
            <w:vMerge w:val="continue"/>
            <w:tcBorders>
              <w:left w:val="single" w:color="000000" w:sz="6" w:space="0"/>
              <w:bottom w:val="single" w:color="000000" w:sz="6" w:space="0"/>
              <w:right w:val="double" w:color="auto" w:sz="6" w:space="0"/>
            </w:tcBorders>
            <w:noWrap w:val="0"/>
            <w:vAlign w:val="center"/>
          </w:tcPr>
          <w:p w14:paraId="4724B454">
            <w:pPr>
              <w:adjustRightInd w:val="0"/>
              <w:spacing w:line="360" w:lineRule="auto"/>
              <w:jc w:val="center"/>
              <w:rPr>
                <w:rFonts w:hint="eastAsia" w:ascii="宋体" w:hAnsi="宋体" w:eastAsia="宋体" w:cs="宋体"/>
                <w:color w:val="000000" w:themeColor="text1"/>
                <w:sz w:val="28"/>
                <w:szCs w:val="28"/>
                <w14:textFill>
                  <w14:solidFill>
                    <w14:schemeClr w14:val="tx1"/>
                  </w14:solidFill>
                </w14:textFill>
              </w:rPr>
            </w:pPr>
          </w:p>
        </w:tc>
      </w:tr>
      <w:tr w14:paraId="1DC11C95">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28" w:type="dxa"/>
            <w:bottom w:w="0" w:type="dxa"/>
            <w:right w:w="28" w:type="dxa"/>
          </w:tblCellMar>
        </w:tblPrEx>
        <w:trPr>
          <w:trHeight w:val="745" w:hRule="atLeast"/>
          <w:jc w:val="center"/>
        </w:trPr>
        <w:tc>
          <w:tcPr>
            <w:tcW w:w="648" w:type="dxa"/>
            <w:tcBorders>
              <w:top w:val="single" w:color="000000" w:sz="6" w:space="0"/>
              <w:left w:val="double" w:color="auto" w:sz="6" w:space="0"/>
              <w:bottom w:val="single" w:color="000000" w:sz="6" w:space="0"/>
              <w:right w:val="single" w:color="000000" w:sz="6" w:space="0"/>
            </w:tcBorders>
            <w:noWrap w:val="0"/>
            <w:vAlign w:val="center"/>
          </w:tcPr>
          <w:p w14:paraId="3A7C868B">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7" w:type="dxa"/>
            <w:tcBorders>
              <w:top w:val="single" w:color="000000" w:sz="6" w:space="0"/>
              <w:left w:val="single" w:color="000000" w:sz="6" w:space="0"/>
              <w:bottom w:val="single" w:color="000000" w:sz="6" w:space="0"/>
              <w:right w:val="single" w:color="000000" w:sz="6" w:space="0"/>
            </w:tcBorders>
            <w:noWrap w:val="0"/>
            <w:vAlign w:val="center"/>
          </w:tcPr>
          <w:p w14:paraId="519F15BB">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8" w:type="dxa"/>
            <w:tcBorders>
              <w:top w:val="single" w:color="000000" w:sz="6" w:space="0"/>
              <w:left w:val="single" w:color="000000" w:sz="6" w:space="0"/>
              <w:bottom w:val="single" w:color="000000" w:sz="6" w:space="0"/>
              <w:right w:val="single" w:color="000000" w:sz="6" w:space="0"/>
            </w:tcBorders>
            <w:noWrap w:val="0"/>
            <w:vAlign w:val="center"/>
          </w:tcPr>
          <w:p w14:paraId="0A20D7AF">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6" w:type="dxa"/>
            <w:tcBorders>
              <w:top w:val="single" w:color="000000" w:sz="6" w:space="0"/>
              <w:left w:val="single" w:color="000000" w:sz="6" w:space="0"/>
              <w:bottom w:val="single" w:color="000000" w:sz="6" w:space="0"/>
              <w:right w:val="single" w:color="000000" w:sz="6" w:space="0"/>
            </w:tcBorders>
            <w:noWrap w:val="0"/>
            <w:vAlign w:val="center"/>
          </w:tcPr>
          <w:p w14:paraId="236D501E">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7" w:type="dxa"/>
            <w:tcBorders>
              <w:top w:val="single" w:color="000000" w:sz="6" w:space="0"/>
              <w:left w:val="single" w:color="000000" w:sz="6" w:space="0"/>
              <w:bottom w:val="single" w:color="000000" w:sz="6" w:space="0"/>
              <w:right w:val="double" w:color="auto" w:sz="6" w:space="0"/>
            </w:tcBorders>
            <w:noWrap w:val="0"/>
            <w:vAlign w:val="center"/>
          </w:tcPr>
          <w:p w14:paraId="47C8508C">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r>
      <w:tr w14:paraId="253657A4">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28" w:type="dxa"/>
            <w:bottom w:w="0" w:type="dxa"/>
            <w:right w:w="28" w:type="dxa"/>
          </w:tblCellMar>
        </w:tblPrEx>
        <w:trPr>
          <w:trHeight w:val="745" w:hRule="atLeast"/>
          <w:jc w:val="center"/>
        </w:trPr>
        <w:tc>
          <w:tcPr>
            <w:tcW w:w="648" w:type="dxa"/>
            <w:tcBorders>
              <w:top w:val="single" w:color="000000" w:sz="6" w:space="0"/>
              <w:left w:val="double" w:color="auto" w:sz="6" w:space="0"/>
              <w:bottom w:val="single" w:color="000000" w:sz="6" w:space="0"/>
              <w:right w:val="single" w:color="000000" w:sz="6" w:space="0"/>
            </w:tcBorders>
            <w:noWrap w:val="0"/>
            <w:vAlign w:val="center"/>
          </w:tcPr>
          <w:p w14:paraId="31E184A6">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7" w:type="dxa"/>
            <w:tcBorders>
              <w:top w:val="single" w:color="000000" w:sz="6" w:space="0"/>
              <w:left w:val="single" w:color="000000" w:sz="6" w:space="0"/>
              <w:bottom w:val="single" w:color="000000" w:sz="6" w:space="0"/>
              <w:right w:val="single" w:color="000000" w:sz="6" w:space="0"/>
            </w:tcBorders>
            <w:noWrap w:val="0"/>
            <w:vAlign w:val="center"/>
          </w:tcPr>
          <w:p w14:paraId="620EC6C9">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8" w:type="dxa"/>
            <w:tcBorders>
              <w:top w:val="single" w:color="000000" w:sz="6" w:space="0"/>
              <w:left w:val="single" w:color="000000" w:sz="6" w:space="0"/>
              <w:bottom w:val="single" w:color="000000" w:sz="6" w:space="0"/>
              <w:right w:val="single" w:color="000000" w:sz="6" w:space="0"/>
            </w:tcBorders>
            <w:noWrap w:val="0"/>
            <w:vAlign w:val="center"/>
          </w:tcPr>
          <w:p w14:paraId="17B95C8E">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6" w:type="dxa"/>
            <w:tcBorders>
              <w:top w:val="single" w:color="000000" w:sz="6" w:space="0"/>
              <w:left w:val="single" w:color="000000" w:sz="6" w:space="0"/>
              <w:bottom w:val="single" w:color="000000" w:sz="6" w:space="0"/>
              <w:right w:val="single" w:color="000000" w:sz="6" w:space="0"/>
            </w:tcBorders>
            <w:noWrap w:val="0"/>
            <w:vAlign w:val="center"/>
          </w:tcPr>
          <w:p w14:paraId="60FE5D03">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7" w:type="dxa"/>
            <w:tcBorders>
              <w:top w:val="single" w:color="000000" w:sz="6" w:space="0"/>
              <w:left w:val="single" w:color="000000" w:sz="6" w:space="0"/>
              <w:bottom w:val="single" w:color="000000" w:sz="6" w:space="0"/>
              <w:right w:val="double" w:color="auto" w:sz="6" w:space="0"/>
            </w:tcBorders>
            <w:noWrap w:val="0"/>
            <w:vAlign w:val="center"/>
          </w:tcPr>
          <w:p w14:paraId="5BCC4BA5">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r>
      <w:tr w14:paraId="56F9D67B">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28" w:type="dxa"/>
            <w:bottom w:w="0" w:type="dxa"/>
            <w:right w:w="28" w:type="dxa"/>
          </w:tblCellMar>
        </w:tblPrEx>
        <w:trPr>
          <w:trHeight w:val="745" w:hRule="atLeast"/>
          <w:jc w:val="center"/>
        </w:trPr>
        <w:tc>
          <w:tcPr>
            <w:tcW w:w="648" w:type="dxa"/>
            <w:tcBorders>
              <w:top w:val="single" w:color="000000" w:sz="6" w:space="0"/>
              <w:left w:val="double" w:color="auto" w:sz="6" w:space="0"/>
              <w:bottom w:val="single" w:color="000000" w:sz="6" w:space="0"/>
              <w:right w:val="single" w:color="000000" w:sz="6" w:space="0"/>
            </w:tcBorders>
            <w:noWrap w:val="0"/>
            <w:vAlign w:val="center"/>
          </w:tcPr>
          <w:p w14:paraId="06E27C43">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7" w:type="dxa"/>
            <w:tcBorders>
              <w:top w:val="single" w:color="000000" w:sz="6" w:space="0"/>
              <w:left w:val="single" w:color="000000" w:sz="6" w:space="0"/>
              <w:bottom w:val="single" w:color="000000" w:sz="6" w:space="0"/>
              <w:right w:val="single" w:color="000000" w:sz="6" w:space="0"/>
            </w:tcBorders>
            <w:noWrap w:val="0"/>
            <w:vAlign w:val="center"/>
          </w:tcPr>
          <w:p w14:paraId="15BBD48E">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8" w:type="dxa"/>
            <w:tcBorders>
              <w:top w:val="single" w:color="000000" w:sz="6" w:space="0"/>
              <w:left w:val="single" w:color="000000" w:sz="6" w:space="0"/>
              <w:bottom w:val="single" w:color="000000" w:sz="6" w:space="0"/>
              <w:right w:val="single" w:color="000000" w:sz="6" w:space="0"/>
            </w:tcBorders>
            <w:noWrap w:val="0"/>
            <w:vAlign w:val="center"/>
          </w:tcPr>
          <w:p w14:paraId="418CB2CC">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6" w:type="dxa"/>
            <w:tcBorders>
              <w:top w:val="single" w:color="000000" w:sz="6" w:space="0"/>
              <w:left w:val="single" w:color="000000" w:sz="6" w:space="0"/>
              <w:bottom w:val="single" w:color="000000" w:sz="6" w:space="0"/>
              <w:right w:val="single" w:color="000000" w:sz="6" w:space="0"/>
            </w:tcBorders>
            <w:noWrap w:val="0"/>
            <w:vAlign w:val="center"/>
          </w:tcPr>
          <w:p w14:paraId="362F53E5">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7" w:type="dxa"/>
            <w:tcBorders>
              <w:top w:val="single" w:color="000000" w:sz="6" w:space="0"/>
              <w:left w:val="single" w:color="000000" w:sz="6" w:space="0"/>
              <w:bottom w:val="single" w:color="000000" w:sz="6" w:space="0"/>
              <w:right w:val="double" w:color="auto" w:sz="6" w:space="0"/>
            </w:tcBorders>
            <w:noWrap w:val="0"/>
            <w:vAlign w:val="center"/>
          </w:tcPr>
          <w:p w14:paraId="23D14AF9">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r>
      <w:tr w14:paraId="34C6D14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28" w:type="dxa"/>
            <w:bottom w:w="0" w:type="dxa"/>
            <w:right w:w="28" w:type="dxa"/>
          </w:tblCellMar>
        </w:tblPrEx>
        <w:trPr>
          <w:trHeight w:val="745" w:hRule="atLeast"/>
          <w:jc w:val="center"/>
        </w:trPr>
        <w:tc>
          <w:tcPr>
            <w:tcW w:w="648" w:type="dxa"/>
            <w:tcBorders>
              <w:top w:val="single" w:color="000000" w:sz="6" w:space="0"/>
              <w:left w:val="double" w:color="auto" w:sz="6" w:space="0"/>
              <w:bottom w:val="single" w:color="000000" w:sz="6" w:space="0"/>
              <w:right w:val="single" w:color="000000" w:sz="6" w:space="0"/>
            </w:tcBorders>
            <w:noWrap w:val="0"/>
            <w:vAlign w:val="center"/>
          </w:tcPr>
          <w:p w14:paraId="5E253C04">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7" w:type="dxa"/>
            <w:tcBorders>
              <w:top w:val="single" w:color="000000" w:sz="6" w:space="0"/>
              <w:left w:val="single" w:color="000000" w:sz="6" w:space="0"/>
              <w:bottom w:val="single" w:color="000000" w:sz="6" w:space="0"/>
              <w:right w:val="single" w:color="000000" w:sz="6" w:space="0"/>
            </w:tcBorders>
            <w:noWrap w:val="0"/>
            <w:vAlign w:val="center"/>
          </w:tcPr>
          <w:p w14:paraId="63E258CE">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8" w:type="dxa"/>
            <w:tcBorders>
              <w:top w:val="single" w:color="000000" w:sz="6" w:space="0"/>
              <w:left w:val="single" w:color="000000" w:sz="6" w:space="0"/>
              <w:bottom w:val="single" w:color="000000" w:sz="6" w:space="0"/>
              <w:right w:val="single" w:color="000000" w:sz="6" w:space="0"/>
            </w:tcBorders>
            <w:noWrap w:val="0"/>
            <w:vAlign w:val="center"/>
          </w:tcPr>
          <w:p w14:paraId="5F392B0F">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6" w:type="dxa"/>
            <w:tcBorders>
              <w:top w:val="single" w:color="000000" w:sz="6" w:space="0"/>
              <w:left w:val="single" w:color="000000" w:sz="6" w:space="0"/>
              <w:bottom w:val="single" w:color="000000" w:sz="6" w:space="0"/>
              <w:right w:val="single" w:color="000000" w:sz="6" w:space="0"/>
            </w:tcBorders>
            <w:noWrap w:val="0"/>
            <w:vAlign w:val="center"/>
          </w:tcPr>
          <w:p w14:paraId="7D5C6AF3">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7" w:type="dxa"/>
            <w:tcBorders>
              <w:top w:val="single" w:color="000000" w:sz="6" w:space="0"/>
              <w:left w:val="single" w:color="000000" w:sz="6" w:space="0"/>
              <w:bottom w:val="single" w:color="000000" w:sz="6" w:space="0"/>
              <w:right w:val="double" w:color="auto" w:sz="6" w:space="0"/>
            </w:tcBorders>
            <w:noWrap w:val="0"/>
            <w:vAlign w:val="center"/>
          </w:tcPr>
          <w:p w14:paraId="595E9D58">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r>
      <w:tr w14:paraId="51CEF8AB">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28" w:type="dxa"/>
            <w:bottom w:w="0" w:type="dxa"/>
            <w:right w:w="28" w:type="dxa"/>
          </w:tblCellMar>
        </w:tblPrEx>
        <w:trPr>
          <w:trHeight w:val="745" w:hRule="atLeast"/>
          <w:jc w:val="center"/>
        </w:trPr>
        <w:tc>
          <w:tcPr>
            <w:tcW w:w="648" w:type="dxa"/>
            <w:tcBorders>
              <w:top w:val="single" w:color="000000" w:sz="6" w:space="0"/>
              <w:left w:val="double" w:color="auto" w:sz="6" w:space="0"/>
              <w:bottom w:val="single" w:color="000000" w:sz="6" w:space="0"/>
              <w:right w:val="single" w:color="000000" w:sz="6" w:space="0"/>
            </w:tcBorders>
            <w:noWrap w:val="0"/>
            <w:vAlign w:val="center"/>
          </w:tcPr>
          <w:p w14:paraId="6521583F">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7" w:type="dxa"/>
            <w:tcBorders>
              <w:top w:val="single" w:color="000000" w:sz="6" w:space="0"/>
              <w:left w:val="single" w:color="000000" w:sz="6" w:space="0"/>
              <w:bottom w:val="single" w:color="000000" w:sz="6" w:space="0"/>
              <w:right w:val="single" w:color="000000" w:sz="6" w:space="0"/>
            </w:tcBorders>
            <w:noWrap w:val="0"/>
            <w:vAlign w:val="center"/>
          </w:tcPr>
          <w:p w14:paraId="4752DF8C">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8" w:type="dxa"/>
            <w:tcBorders>
              <w:top w:val="single" w:color="000000" w:sz="6" w:space="0"/>
              <w:left w:val="single" w:color="000000" w:sz="6" w:space="0"/>
              <w:bottom w:val="single" w:color="000000" w:sz="6" w:space="0"/>
              <w:right w:val="single" w:color="000000" w:sz="6" w:space="0"/>
            </w:tcBorders>
            <w:noWrap w:val="0"/>
            <w:vAlign w:val="center"/>
          </w:tcPr>
          <w:p w14:paraId="0FC5294E">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6" w:type="dxa"/>
            <w:tcBorders>
              <w:top w:val="single" w:color="000000" w:sz="6" w:space="0"/>
              <w:left w:val="single" w:color="000000" w:sz="6" w:space="0"/>
              <w:bottom w:val="single" w:color="000000" w:sz="6" w:space="0"/>
              <w:right w:val="single" w:color="000000" w:sz="6" w:space="0"/>
            </w:tcBorders>
            <w:noWrap w:val="0"/>
            <w:vAlign w:val="center"/>
          </w:tcPr>
          <w:p w14:paraId="53B84292">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7" w:type="dxa"/>
            <w:tcBorders>
              <w:top w:val="single" w:color="000000" w:sz="6" w:space="0"/>
              <w:left w:val="single" w:color="000000" w:sz="6" w:space="0"/>
              <w:bottom w:val="single" w:color="000000" w:sz="6" w:space="0"/>
              <w:right w:val="double" w:color="auto" w:sz="6" w:space="0"/>
            </w:tcBorders>
            <w:noWrap w:val="0"/>
            <w:vAlign w:val="center"/>
          </w:tcPr>
          <w:p w14:paraId="5FFD81A5">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r>
      <w:tr w14:paraId="52CE30A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28" w:type="dxa"/>
            <w:bottom w:w="0" w:type="dxa"/>
            <w:right w:w="28" w:type="dxa"/>
          </w:tblCellMar>
        </w:tblPrEx>
        <w:trPr>
          <w:trHeight w:val="745" w:hRule="atLeast"/>
          <w:jc w:val="center"/>
        </w:trPr>
        <w:tc>
          <w:tcPr>
            <w:tcW w:w="648" w:type="dxa"/>
            <w:tcBorders>
              <w:top w:val="single" w:color="000000" w:sz="6" w:space="0"/>
              <w:left w:val="double" w:color="auto" w:sz="6" w:space="0"/>
              <w:bottom w:val="single" w:color="000000" w:sz="6" w:space="0"/>
              <w:right w:val="single" w:color="000000" w:sz="6" w:space="0"/>
            </w:tcBorders>
            <w:noWrap w:val="0"/>
            <w:vAlign w:val="center"/>
          </w:tcPr>
          <w:p w14:paraId="116EE0FB">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7" w:type="dxa"/>
            <w:tcBorders>
              <w:top w:val="single" w:color="000000" w:sz="6" w:space="0"/>
              <w:left w:val="single" w:color="000000" w:sz="6" w:space="0"/>
              <w:bottom w:val="single" w:color="000000" w:sz="6" w:space="0"/>
              <w:right w:val="single" w:color="000000" w:sz="6" w:space="0"/>
            </w:tcBorders>
            <w:noWrap w:val="0"/>
            <w:vAlign w:val="center"/>
          </w:tcPr>
          <w:p w14:paraId="68C0DA4C">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3368" w:type="dxa"/>
            <w:tcBorders>
              <w:top w:val="single" w:color="000000" w:sz="6" w:space="0"/>
              <w:left w:val="single" w:color="000000" w:sz="6" w:space="0"/>
              <w:bottom w:val="single" w:color="000000" w:sz="6" w:space="0"/>
              <w:right w:val="single" w:color="000000" w:sz="6" w:space="0"/>
            </w:tcBorders>
            <w:noWrap w:val="0"/>
            <w:vAlign w:val="center"/>
          </w:tcPr>
          <w:p w14:paraId="668FB2A8">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6" w:type="dxa"/>
            <w:tcBorders>
              <w:top w:val="single" w:color="000000" w:sz="6" w:space="0"/>
              <w:left w:val="single" w:color="000000" w:sz="6" w:space="0"/>
              <w:bottom w:val="single" w:color="000000" w:sz="6" w:space="0"/>
              <w:right w:val="single" w:color="000000" w:sz="6" w:space="0"/>
            </w:tcBorders>
            <w:noWrap w:val="0"/>
            <w:vAlign w:val="center"/>
          </w:tcPr>
          <w:p w14:paraId="13131B9F">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c>
          <w:tcPr>
            <w:tcW w:w="777" w:type="dxa"/>
            <w:tcBorders>
              <w:top w:val="single" w:color="000000" w:sz="6" w:space="0"/>
              <w:left w:val="single" w:color="000000" w:sz="6" w:space="0"/>
              <w:bottom w:val="single" w:color="000000" w:sz="6" w:space="0"/>
              <w:right w:val="double" w:color="auto" w:sz="6" w:space="0"/>
            </w:tcBorders>
            <w:noWrap w:val="0"/>
            <w:vAlign w:val="center"/>
          </w:tcPr>
          <w:p w14:paraId="6470AA83">
            <w:pPr>
              <w:adjustRightInd w:val="0"/>
              <w:spacing w:line="360" w:lineRule="auto"/>
              <w:jc w:val="center"/>
              <w:rPr>
                <w:rFonts w:hint="eastAsia" w:ascii="宋体" w:hAnsi="宋体" w:eastAsia="宋体" w:cs="宋体"/>
                <w:color w:val="000000" w:themeColor="text1"/>
                <w:sz w:val="24"/>
                <w14:textFill>
                  <w14:solidFill>
                    <w14:schemeClr w14:val="tx1"/>
                  </w14:solidFill>
                </w14:textFill>
              </w:rPr>
            </w:pPr>
          </w:p>
        </w:tc>
      </w:tr>
    </w:tbl>
    <w:p w14:paraId="7396D523">
      <w:pPr>
        <w:pStyle w:val="32"/>
        <w:spacing w:before="0" w:beforeAutospacing="0" w:after="0" w:afterAutospacing="0" w:line="360" w:lineRule="auto"/>
        <w:ind w:firstLine="562" w:firstLineChars="200"/>
        <w:jc w:val="both"/>
        <w:rPr>
          <w:rFonts w:hint="eastAsia" w:ascii="宋体" w:hAnsi="宋体" w:eastAsia="宋体" w:cs="宋体"/>
          <w:b/>
          <w:color w:val="000000" w:themeColor="text1"/>
          <w:sz w:val="28"/>
          <w:szCs w:val="28"/>
          <w:lang w:val="en-US" w:eastAsia="zh-CN"/>
          <w14:textFill>
            <w14:solidFill>
              <w14:schemeClr w14:val="tx1"/>
            </w14:solidFill>
          </w14:textFill>
        </w:rPr>
      </w:pPr>
    </w:p>
    <w:p w14:paraId="20A75146">
      <w:pPr>
        <w:pStyle w:val="32"/>
        <w:keepNext w:val="0"/>
        <w:keepLines w:val="0"/>
        <w:pageBreakBefore w:val="0"/>
        <w:kinsoku/>
        <w:wordWrap/>
        <w:overflowPunct/>
        <w:topLinePunct w:val="0"/>
        <w:autoSpaceDE/>
        <w:autoSpaceDN/>
        <w:bidi w:val="0"/>
        <w:adjustRightInd/>
        <w:spacing w:before="0" w:beforeAutospacing="0" w:after="0" w:afterAutospacing="0" w:line="360" w:lineRule="auto"/>
        <w:ind w:firstLine="480" w:firstLineChars="200"/>
        <w:jc w:val="both"/>
        <w:textAlignment w:val="auto"/>
        <w:rPr>
          <w:rFonts w:hint="eastAsia" w:ascii="宋体" w:hAnsi="宋体" w:eastAsia="宋体" w:cs="宋体"/>
          <w:b w:val="0"/>
          <w:bCs/>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注：1、投标文件技术参数指标响应内容必须按照投标产品实际参数指标填写，与相关证明材料一致，不得直接将采购文件的技术参数指标要求完全复制作为投标文件响应内容，否则将会影响评审结果。</w:t>
      </w:r>
    </w:p>
    <w:p w14:paraId="7F500514">
      <w:pPr>
        <w:pStyle w:val="21"/>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2、务必完整填写所有指标响应参数；必须进行明确说明偏离情况。且偏离情况与实际相符，否则将会影响评审结果。</w:t>
      </w:r>
    </w:p>
    <w:p w14:paraId="4786D410">
      <w:pPr>
        <w:pStyle w:val="21"/>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3、采购文件中约定的每项采购内容的技术偏离情况都必须体现在此技术偏离表中，否则将会影响评审结果。</w:t>
      </w:r>
    </w:p>
    <w:p w14:paraId="61103FC1">
      <w:pPr>
        <w:pStyle w:val="32"/>
        <w:spacing w:before="0" w:beforeAutospacing="0" w:after="0" w:afterAutospacing="0" w:line="360" w:lineRule="auto"/>
        <w:ind w:firstLine="482" w:firstLineChars="200"/>
        <w:jc w:val="both"/>
        <w:rPr>
          <w:rFonts w:hint="eastAsia" w:eastAsia="宋体" w:cs="宋体"/>
          <w:b/>
          <w:color w:val="000000" w:themeColor="text1"/>
          <w:sz w:val="24"/>
          <w:szCs w:val="24"/>
          <w:lang w:val="en-US" w:eastAsia="zh-CN"/>
          <w14:textFill>
            <w14:solidFill>
              <w14:schemeClr w14:val="tx1"/>
            </w14:solidFill>
          </w14:textFill>
        </w:rPr>
      </w:pPr>
    </w:p>
    <w:p w14:paraId="2627D11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2673BEE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75346AB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6A3F4F13">
      <w:pPr>
        <w:keepLines/>
        <w:pageBreakBefore/>
        <w:spacing w:line="360" w:lineRule="auto"/>
        <w:jc w:val="center"/>
        <w:outlineLvl w:val="1"/>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六</w:t>
      </w:r>
      <w:r>
        <w:rPr>
          <w:rFonts w:hint="eastAsia" w:ascii="宋体" w:hAnsi="宋体" w:cs="宋体"/>
          <w:b/>
          <w:color w:val="000000" w:themeColor="text1"/>
          <w:sz w:val="28"/>
          <w:szCs w:val="28"/>
          <w14:textFill>
            <w14:solidFill>
              <w14:schemeClr w14:val="tx1"/>
            </w14:solidFill>
          </w14:textFill>
        </w:rPr>
        <w:t>、陕西省政府采购供应商拒绝政府采购领域商业贿赂承诺书</w:t>
      </w:r>
    </w:p>
    <w:p w14:paraId="24319D5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cs="宋体"/>
          <w:color w:val="000000" w:themeColor="text1"/>
          <w:kern w:val="0"/>
          <w:sz w:val="28"/>
          <w:szCs w:val="28"/>
          <w14:textFill>
            <w14:solidFill>
              <w14:schemeClr w14:val="tx1"/>
            </w14:solidFill>
          </w14:textFill>
        </w:rPr>
      </w:pPr>
    </w:p>
    <w:p w14:paraId="4D84B614">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为响应党中央、国务院关于治理政府采购领域商业贿赂行为的号召，我公司在此庄严承诺：</w:t>
      </w:r>
    </w:p>
    <w:p w14:paraId="799EA8DF">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1.在参与政府采购活动中遵纪守法、诚信经营、公平竞标。</w:t>
      </w:r>
    </w:p>
    <w:p w14:paraId="2E8080F6">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2.不向政府采购人、采购代理机构和政府采购评审专家进行任何形式的商业贿赂以谋取交易机会。</w:t>
      </w:r>
    </w:p>
    <w:p w14:paraId="432A11EF">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3.不向政府采购代理机构和采购人提供虚假资质文件或采用虚假应标方式参与政府采购市场竞争并谋取中标、成交。</w:t>
      </w:r>
    </w:p>
    <w:p w14:paraId="48284C26">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4.不采取“围标、陪标”等商业欺诈手段获得政府采购定单。</w:t>
      </w:r>
    </w:p>
    <w:p w14:paraId="5F97E0E9">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5.不采取不正当手段诋毁、排挤其他供应商。</w:t>
      </w:r>
    </w:p>
    <w:p w14:paraId="047D77AC">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6.不在提供商品和服务时“偷梁换柱、以次充好”损害采购人的合法权益。</w:t>
      </w:r>
    </w:p>
    <w:p w14:paraId="1F063B08">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7.不与采购人、采购代理机构政府采购评审专家或其它供应商恶意串通，进行质疑和投诉，维护政府采购市场秩序。</w:t>
      </w:r>
    </w:p>
    <w:p w14:paraId="5575A96E">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8.尊重和接受政府采购监督管理部门的监督和政府采购招标采购要求，承担因违约行为给采购人造成的损失。</w:t>
      </w:r>
    </w:p>
    <w:p w14:paraId="4B241016">
      <w:pPr>
        <w:keepNext w:val="0"/>
        <w:keepLines w:val="0"/>
        <w:pageBreakBefore w:val="0"/>
        <w:widowControl/>
        <w:kinsoku/>
        <w:wordWrap/>
        <w:overflowPunct/>
        <w:topLinePunct w:val="0"/>
        <w:autoSpaceDE/>
        <w:autoSpaceDN/>
        <w:bidi w:val="0"/>
        <w:adjustRightInd/>
        <w:snapToGrid/>
        <w:spacing w:line="560" w:lineRule="exact"/>
        <w:ind w:left="479" w:leftChars="228" w:firstLine="0" w:firstLineChars="0"/>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9.不发生其他有悖于政府采购公开、公平、公正和诚信原则的行为。    地  址：                        </w:t>
      </w:r>
    </w:p>
    <w:p w14:paraId="3261BF2D">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邮  编：</w:t>
      </w:r>
    </w:p>
    <w:p w14:paraId="7BE8365A">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电  话：                        </w:t>
      </w:r>
    </w:p>
    <w:bookmarkEnd w:id="955"/>
    <w:bookmarkEnd w:id="956"/>
    <w:bookmarkEnd w:id="957"/>
    <w:bookmarkEnd w:id="958"/>
    <w:p w14:paraId="1F46D68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bookmarkStart w:id="977" w:name="_Toc522893849"/>
      <w:bookmarkStart w:id="978" w:name="_Hlk518637502"/>
      <w:bookmarkStart w:id="979" w:name="_Toc397410512"/>
      <w:bookmarkStart w:id="980" w:name="_Toc490171588"/>
      <w:bookmarkStart w:id="981" w:name="_Toc394320943"/>
      <w:bookmarkStart w:id="982" w:name="_Toc456197124"/>
      <w:bookmarkStart w:id="983" w:name="_Toc247085892"/>
      <w:bookmarkStart w:id="984" w:name="_Toc246997117"/>
      <w:bookmarkStart w:id="985" w:name="_Toc395711860"/>
      <w:bookmarkStart w:id="986" w:name="_Toc343512479"/>
      <w:bookmarkStart w:id="987" w:name="_Toc361406474"/>
      <w:bookmarkStart w:id="988" w:name="_Toc246996374"/>
      <w:bookmarkStart w:id="989" w:name="_Toc397585279"/>
      <w:bookmarkStart w:id="990" w:name="_Toc456197123"/>
      <w:bookmarkStart w:id="991" w:name="_Toc397410699"/>
    </w:p>
    <w:p w14:paraId="3E6343B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（盖章）  </w:t>
      </w:r>
    </w:p>
    <w:p w14:paraId="0CA05E0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334DE9D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法定代表人</w:t>
      </w:r>
      <w:r>
        <w:rPr>
          <w:rFonts w:hint="eastAsia" w:ascii="宋体" w:hAnsi="宋体" w:cs="宋体"/>
          <w:b/>
          <w:color w:val="000000" w:themeColor="text1"/>
          <w:sz w:val="24"/>
          <w:szCs w:val="24"/>
          <w:lang w:val="en-US" w:eastAsia="zh-CN"/>
          <w14:textFill>
            <w14:solidFill>
              <w14:schemeClr w14:val="tx1"/>
            </w14:solidFill>
          </w14:textFill>
        </w:rPr>
        <w:t>或</w:t>
      </w:r>
      <w:r>
        <w:rPr>
          <w:rFonts w:hint="eastAsia" w:ascii="宋体" w:hAnsi="宋体" w:cs="宋体"/>
          <w:b/>
          <w:color w:val="000000" w:themeColor="text1"/>
          <w:sz w:val="24"/>
          <w:szCs w:val="24"/>
          <w14:textFill>
            <w14:solidFill>
              <w14:schemeClr w14:val="tx1"/>
            </w14:solidFill>
          </w14:textFill>
        </w:rPr>
        <w:t>委托代理人：</w:t>
      </w:r>
      <w:r>
        <w:rPr>
          <w:rFonts w:hint="eastAsia" w:ascii="宋体" w:hAnsi="宋体" w:cs="宋体"/>
          <w:b/>
          <w:color w:val="000000" w:themeColor="text1"/>
          <w:sz w:val="24"/>
          <w:szCs w:val="24"/>
          <w:u w:val="single"/>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（签字或</w:t>
      </w:r>
      <w:r>
        <w:rPr>
          <w:rFonts w:hint="eastAsia" w:ascii="宋体" w:hAnsi="宋体" w:cs="宋体"/>
          <w:b/>
          <w:color w:val="000000" w:themeColor="text1"/>
          <w:sz w:val="24"/>
          <w:szCs w:val="24"/>
          <w:lang w:val="en-US" w:eastAsia="zh-CN"/>
          <w14:textFill>
            <w14:solidFill>
              <w14:schemeClr w14:val="tx1"/>
            </w14:solidFill>
          </w14:textFill>
        </w:rPr>
        <w:t>盖章</w:t>
      </w:r>
      <w:r>
        <w:rPr>
          <w:rFonts w:hint="eastAsia" w:ascii="宋体" w:hAnsi="宋体" w:cs="宋体"/>
          <w:b/>
          <w:color w:val="000000" w:themeColor="text1"/>
          <w:sz w:val="24"/>
          <w:szCs w:val="24"/>
          <w14:textFill>
            <w14:solidFill>
              <w14:schemeClr w14:val="tx1"/>
            </w14:solidFill>
          </w14:textFill>
        </w:rPr>
        <w:t>）</w:t>
      </w:r>
    </w:p>
    <w:p w14:paraId="3EE7305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4"/>
          <w:szCs w:val="24"/>
          <w14:textFill>
            <w14:solidFill>
              <w14:schemeClr w14:val="tx1"/>
            </w14:solidFill>
          </w14:textFill>
        </w:rPr>
      </w:pPr>
    </w:p>
    <w:p w14:paraId="549B5A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    期：  年  月  日</w:t>
      </w:r>
    </w:p>
    <w:p w14:paraId="4C428B95">
      <w:pPr>
        <w:jc w:val="center"/>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七</w:t>
      </w:r>
      <w:r>
        <w:rPr>
          <w:rFonts w:hint="eastAsia" w:ascii="宋体" w:hAnsi="宋体" w:cs="宋体"/>
          <w:b/>
          <w:color w:val="000000" w:themeColor="text1"/>
          <w:sz w:val="28"/>
          <w:szCs w:val="28"/>
          <w14:textFill>
            <w14:solidFill>
              <w14:schemeClr w14:val="tx1"/>
            </w14:solidFill>
          </w14:textFill>
        </w:rPr>
        <w:t>、技术部分响应内容</w:t>
      </w:r>
      <w:bookmarkEnd w:id="977"/>
    </w:p>
    <w:p w14:paraId="7E5F9650">
      <w:pPr>
        <w:spacing w:line="360" w:lineRule="auto"/>
        <w:rPr>
          <w:rFonts w:hint="eastAsia" w:ascii="宋体" w:hAnsi="宋体" w:cs="宋体"/>
          <w:color w:val="000000" w:themeColor="text1"/>
          <w:sz w:val="24"/>
          <w14:textFill>
            <w14:solidFill>
              <w14:schemeClr w14:val="tx1"/>
            </w14:solidFill>
          </w14:textFill>
        </w:rPr>
      </w:pPr>
    </w:p>
    <w:p w14:paraId="46497D9F">
      <w:pPr>
        <w:pStyle w:val="20"/>
        <w:rPr>
          <w:rFonts w:hint="eastAsia"/>
          <w:color w:val="000000" w:themeColor="text1"/>
          <w14:textFill>
            <w14:solidFill>
              <w14:schemeClr w14:val="tx1"/>
            </w14:solidFill>
          </w14:textFill>
        </w:rPr>
      </w:pPr>
    </w:p>
    <w:p w14:paraId="18191E9B">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包括但不限于：</w:t>
      </w:r>
    </w:p>
    <w:p w14:paraId="76EAC399">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1.实施、供货方案；</w:t>
      </w:r>
    </w:p>
    <w:p w14:paraId="3186F9DA">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2.技术要求；</w:t>
      </w:r>
    </w:p>
    <w:p w14:paraId="20199386">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3.质量保证方案</w:t>
      </w:r>
      <w:r>
        <w:rPr>
          <w:rFonts w:hint="eastAsia" w:ascii="宋体" w:hAnsi="宋体" w:cs="宋体"/>
          <w:color w:val="000000" w:themeColor="text1"/>
          <w:sz w:val="24"/>
          <w:szCs w:val="24"/>
          <w:lang w:val="en-US" w:eastAsia="zh-CN"/>
          <w14:textFill>
            <w14:solidFill>
              <w14:schemeClr w14:val="tx1"/>
            </w14:solidFill>
          </w14:textFill>
        </w:rPr>
        <w:t>。</w:t>
      </w:r>
    </w:p>
    <w:p w14:paraId="0A2CA34C">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按招标文件评标办法相应要求，无固定格式，投标人自拟。</w:t>
      </w:r>
    </w:p>
    <w:p w14:paraId="0C8BACD9">
      <w:pPr>
        <w:spacing w:line="360" w:lineRule="auto"/>
        <w:ind w:firstLine="470" w:firstLineChars="196"/>
        <w:rPr>
          <w:rFonts w:hint="eastAsia" w:ascii="宋体" w:hAnsi="宋体" w:cs="宋体"/>
          <w:color w:val="000000" w:themeColor="text1"/>
          <w:sz w:val="24"/>
          <w14:textFill>
            <w14:solidFill>
              <w14:schemeClr w14:val="tx1"/>
            </w14:solidFill>
          </w14:textFill>
        </w:rPr>
      </w:pPr>
    </w:p>
    <w:p w14:paraId="4C31B2AB">
      <w:pPr>
        <w:spacing w:line="360" w:lineRule="auto"/>
        <w:ind w:firstLine="470" w:firstLineChars="196"/>
        <w:rPr>
          <w:rFonts w:hint="eastAsia" w:ascii="宋体" w:hAnsi="宋体" w:cs="宋体"/>
          <w:color w:val="000000" w:themeColor="text1"/>
          <w:sz w:val="24"/>
          <w14:textFill>
            <w14:solidFill>
              <w14:schemeClr w14:val="tx1"/>
            </w14:solidFill>
          </w14:textFill>
        </w:rPr>
      </w:pPr>
    </w:p>
    <w:p w14:paraId="7A3B7FD9">
      <w:pPr>
        <w:spacing w:line="360" w:lineRule="auto"/>
        <w:ind w:firstLine="470" w:firstLineChars="196"/>
        <w:rPr>
          <w:rFonts w:hint="eastAsia" w:ascii="宋体" w:hAnsi="宋体" w:cs="宋体"/>
          <w:color w:val="000000" w:themeColor="text1"/>
          <w:sz w:val="24"/>
          <w14:textFill>
            <w14:solidFill>
              <w14:schemeClr w14:val="tx1"/>
            </w14:solidFill>
          </w14:textFill>
        </w:rPr>
      </w:pPr>
    </w:p>
    <w:p w14:paraId="11781F60">
      <w:pPr>
        <w:spacing w:line="360" w:lineRule="auto"/>
        <w:jc w:val="center"/>
        <w:outlineLvl w:val="1"/>
        <w:rPr>
          <w:rFonts w:hint="eastAsia" w:ascii="宋体" w:hAnsi="宋体" w:cs="宋体"/>
          <w:b/>
          <w:color w:val="000000" w:themeColor="text1"/>
          <w:sz w:val="36"/>
          <w:szCs w:val="36"/>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bookmarkStart w:id="992" w:name="_Toc522893850"/>
      <w:r>
        <w:rPr>
          <w:rFonts w:hint="eastAsia" w:ascii="宋体" w:hAnsi="宋体" w:cs="宋体"/>
          <w:b/>
          <w:color w:val="000000" w:themeColor="text1"/>
          <w:sz w:val="28"/>
          <w:szCs w:val="28"/>
          <w:lang w:val="en-US" w:eastAsia="zh-CN"/>
          <w14:textFill>
            <w14:solidFill>
              <w14:schemeClr w14:val="tx1"/>
            </w14:solidFill>
          </w14:textFill>
        </w:rPr>
        <w:t>八</w:t>
      </w:r>
      <w:r>
        <w:rPr>
          <w:rFonts w:hint="eastAsia" w:ascii="宋体" w:hAnsi="宋体" w:cs="宋体"/>
          <w:b/>
          <w:color w:val="000000" w:themeColor="text1"/>
          <w:sz w:val="28"/>
          <w:szCs w:val="28"/>
          <w14:textFill>
            <w14:solidFill>
              <w14:schemeClr w14:val="tx1"/>
            </w14:solidFill>
          </w14:textFill>
        </w:rPr>
        <w:t>、商务部分响应内容</w:t>
      </w:r>
      <w:bookmarkEnd w:id="992"/>
    </w:p>
    <w:p w14:paraId="51BC39DC">
      <w:pPr>
        <w:spacing w:line="360" w:lineRule="auto"/>
        <w:ind w:firstLine="470" w:firstLineChars="196"/>
        <w:rPr>
          <w:rFonts w:hint="eastAsia" w:ascii="宋体" w:hAnsi="宋体" w:cs="宋体"/>
          <w:color w:val="000000" w:themeColor="text1"/>
          <w:sz w:val="24"/>
          <w14:textFill>
            <w14:solidFill>
              <w14:schemeClr w14:val="tx1"/>
            </w14:solidFill>
          </w14:textFill>
        </w:rPr>
      </w:pPr>
    </w:p>
    <w:p w14:paraId="66D241E9">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包括但不限于：</w:t>
      </w:r>
    </w:p>
    <w:p w14:paraId="47BDEC2C">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1.业绩；</w:t>
      </w:r>
    </w:p>
    <w:p w14:paraId="00E45653">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val="en-US" w:eastAsia="zh-CN"/>
          <w14:textFill>
            <w14:solidFill>
              <w14:schemeClr w14:val="tx1"/>
            </w14:solidFill>
          </w14:textFill>
        </w:rPr>
        <w:t>培训方案</w:t>
      </w:r>
      <w:r>
        <w:rPr>
          <w:rFonts w:hint="eastAsia" w:ascii="宋体" w:hAnsi="宋体" w:eastAsia="宋体" w:cs="宋体"/>
          <w:color w:val="000000" w:themeColor="text1"/>
          <w:sz w:val="24"/>
          <w:szCs w:val="24"/>
          <w:lang w:eastAsia="zh-CN"/>
          <w14:textFill>
            <w14:solidFill>
              <w14:schemeClr w14:val="tx1"/>
            </w14:solidFill>
          </w14:textFill>
        </w:rPr>
        <w:t>；</w:t>
      </w:r>
    </w:p>
    <w:p w14:paraId="2A4B34D3">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3.售后服务；</w:t>
      </w:r>
    </w:p>
    <w:p w14:paraId="57B7B4BB">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eastAsia="zh-CN"/>
          <w14:textFill>
            <w14:solidFill>
              <w14:schemeClr w14:val="tx1"/>
            </w14:solidFill>
          </w14:textFill>
        </w:rPr>
        <w:t>.供应商认为有必要说明的问题。</w:t>
      </w:r>
    </w:p>
    <w:p w14:paraId="7D8F83A5">
      <w:pPr>
        <w:keepNext w:val="0"/>
        <w:keepLines w:val="0"/>
        <w:pageBreakBefore w:val="0"/>
        <w:widowControl w:val="0"/>
        <w:kinsoku/>
        <w:wordWrap/>
        <w:overflowPunct/>
        <w:topLinePunct w:val="0"/>
        <w:autoSpaceDE/>
        <w:autoSpaceDN/>
        <w:bidi w:val="0"/>
        <w:adjustRightInd/>
        <w:snapToGrid/>
        <w:spacing w:line="480" w:lineRule="auto"/>
        <w:ind w:firstLine="470" w:firstLineChars="196"/>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按</w:t>
      </w:r>
      <w:r>
        <w:rPr>
          <w:rFonts w:hint="eastAsia" w:ascii="宋体" w:hAnsi="宋体" w:eastAsia="宋体" w:cs="宋体"/>
          <w:color w:val="000000" w:themeColor="text1"/>
          <w:sz w:val="24"/>
          <w:szCs w:val="24"/>
          <w14:textFill>
            <w14:solidFill>
              <w14:schemeClr w14:val="tx1"/>
            </w14:solidFill>
          </w14:textFill>
        </w:rPr>
        <w:t>招标文件评标办法相应要求，无固定格式，</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自拟。</w:t>
      </w:r>
    </w:p>
    <w:p w14:paraId="3324DF98">
      <w:pPr>
        <w:spacing w:line="360" w:lineRule="auto"/>
        <w:jc w:val="left"/>
        <w:rPr>
          <w:rFonts w:hint="eastAsia" w:ascii="宋体" w:hAnsi="宋体" w:cs="宋体"/>
          <w:b/>
          <w:color w:val="000000" w:themeColor="text1"/>
          <w:sz w:val="24"/>
          <w:szCs w:val="22"/>
          <w14:textFill>
            <w14:solidFill>
              <w14:schemeClr w14:val="tx1"/>
            </w14:solidFill>
          </w14:textFill>
        </w:rPr>
      </w:pPr>
    </w:p>
    <w:p w14:paraId="66796CAC">
      <w:pPr>
        <w:spacing w:line="360" w:lineRule="auto"/>
        <w:jc w:val="left"/>
        <w:rPr>
          <w:rFonts w:hint="eastAsia" w:ascii="宋体" w:hAnsi="宋体" w:cs="宋体"/>
          <w:b/>
          <w:color w:val="000000" w:themeColor="text1"/>
          <w:sz w:val="24"/>
          <w:szCs w:val="22"/>
          <w14:textFill>
            <w14:solidFill>
              <w14:schemeClr w14:val="tx1"/>
            </w14:solidFill>
          </w14:textFill>
        </w:rPr>
      </w:pPr>
    </w:p>
    <w:p w14:paraId="1887DD4D">
      <w:pPr>
        <w:spacing w:line="360" w:lineRule="auto"/>
        <w:jc w:val="left"/>
        <w:rPr>
          <w:rFonts w:hint="eastAsia" w:ascii="宋体" w:hAnsi="宋体" w:cs="宋体"/>
          <w:b/>
          <w:color w:val="000000" w:themeColor="text1"/>
          <w:sz w:val="24"/>
          <w:szCs w:val="22"/>
          <w14:textFill>
            <w14:solidFill>
              <w14:schemeClr w14:val="tx1"/>
            </w14:solidFill>
          </w14:textFill>
        </w:rPr>
      </w:pPr>
    </w:p>
    <w:p w14:paraId="19E03782">
      <w:pPr>
        <w:spacing w:line="360" w:lineRule="auto"/>
        <w:jc w:val="left"/>
        <w:rPr>
          <w:rFonts w:hint="eastAsia" w:ascii="宋体" w:hAnsi="宋体" w:cs="宋体"/>
          <w:b/>
          <w:color w:val="000000" w:themeColor="text1"/>
          <w:sz w:val="24"/>
          <w:szCs w:val="22"/>
          <w14:textFill>
            <w14:solidFill>
              <w14:schemeClr w14:val="tx1"/>
            </w14:solidFill>
          </w14:textFill>
        </w:rPr>
      </w:pPr>
    </w:p>
    <w:p w14:paraId="6F31A42C">
      <w:pPr>
        <w:spacing w:line="360" w:lineRule="auto"/>
        <w:jc w:val="left"/>
        <w:rPr>
          <w:rFonts w:hint="eastAsia" w:ascii="宋体" w:hAnsi="宋体" w:cs="宋体"/>
          <w:b/>
          <w:color w:val="000000" w:themeColor="text1"/>
          <w:sz w:val="24"/>
          <w:szCs w:val="22"/>
          <w14:textFill>
            <w14:solidFill>
              <w14:schemeClr w14:val="tx1"/>
            </w14:solidFill>
          </w14:textFill>
        </w:rPr>
      </w:pPr>
    </w:p>
    <w:p w14:paraId="1297F06B">
      <w:pPr>
        <w:spacing w:line="360" w:lineRule="auto"/>
        <w:jc w:val="left"/>
        <w:rPr>
          <w:rFonts w:hint="eastAsia" w:ascii="宋体" w:hAnsi="宋体" w:cs="宋体"/>
          <w:b/>
          <w:color w:val="000000" w:themeColor="text1"/>
          <w:sz w:val="24"/>
          <w:szCs w:val="22"/>
          <w14:textFill>
            <w14:solidFill>
              <w14:schemeClr w14:val="tx1"/>
            </w14:solidFill>
          </w14:textFill>
        </w:rPr>
      </w:pPr>
    </w:p>
    <w:p w14:paraId="2A586419">
      <w:pPr>
        <w:spacing w:line="360" w:lineRule="auto"/>
        <w:jc w:val="left"/>
        <w:rPr>
          <w:rFonts w:hint="eastAsia" w:ascii="宋体" w:hAnsi="宋体" w:cs="宋体"/>
          <w:b/>
          <w:color w:val="000000" w:themeColor="text1"/>
          <w:sz w:val="24"/>
          <w:szCs w:val="22"/>
          <w14:textFill>
            <w14:solidFill>
              <w14:schemeClr w14:val="tx1"/>
            </w14:solidFill>
          </w14:textFill>
        </w:rPr>
      </w:pPr>
    </w:p>
    <w:p w14:paraId="1083D81D">
      <w:pPr>
        <w:spacing w:line="360" w:lineRule="auto"/>
        <w:jc w:val="left"/>
        <w:rPr>
          <w:rFonts w:hint="eastAsia" w:ascii="宋体" w:hAnsi="宋体" w:cs="宋体"/>
          <w:b/>
          <w:color w:val="000000" w:themeColor="text1"/>
          <w:sz w:val="24"/>
          <w:szCs w:val="22"/>
          <w14:textFill>
            <w14:solidFill>
              <w14:schemeClr w14:val="tx1"/>
            </w14:solidFill>
          </w14:textFill>
        </w:rPr>
      </w:pPr>
    </w:p>
    <w:p w14:paraId="7AD9A266">
      <w:pPr>
        <w:spacing w:line="360" w:lineRule="auto"/>
        <w:jc w:val="left"/>
        <w:rPr>
          <w:rFonts w:hint="eastAsia" w:ascii="宋体" w:hAnsi="宋体" w:cs="宋体"/>
          <w:b/>
          <w:color w:val="000000" w:themeColor="text1"/>
          <w:sz w:val="24"/>
          <w:szCs w:val="22"/>
          <w14:textFill>
            <w14:solidFill>
              <w14:schemeClr w14:val="tx1"/>
            </w14:solidFill>
          </w14:textFill>
        </w:rPr>
      </w:pPr>
    </w:p>
    <w:p w14:paraId="3464EE44">
      <w:pPr>
        <w:spacing w:line="360" w:lineRule="auto"/>
        <w:jc w:val="left"/>
        <w:rPr>
          <w:rFonts w:hint="eastAsia" w:ascii="宋体" w:hAnsi="宋体" w:cs="宋体"/>
          <w:b/>
          <w:color w:val="000000" w:themeColor="text1"/>
          <w:sz w:val="24"/>
          <w:szCs w:val="22"/>
          <w14:textFill>
            <w14:solidFill>
              <w14:schemeClr w14:val="tx1"/>
            </w14:solidFill>
          </w14:textFill>
        </w:rPr>
      </w:pPr>
    </w:p>
    <w:p w14:paraId="5230214A">
      <w:pPr>
        <w:spacing w:line="360" w:lineRule="auto"/>
        <w:jc w:val="left"/>
        <w:rPr>
          <w:rFonts w:hint="eastAsia" w:ascii="宋体" w:hAnsi="宋体" w:cs="宋体"/>
          <w:b/>
          <w:color w:val="000000" w:themeColor="text1"/>
          <w:sz w:val="24"/>
          <w:szCs w:val="22"/>
          <w14:textFill>
            <w14:solidFill>
              <w14:schemeClr w14:val="tx1"/>
            </w14:solidFill>
          </w14:textFill>
        </w:rPr>
      </w:pPr>
    </w:p>
    <w:p w14:paraId="665BF422">
      <w:pPr>
        <w:spacing w:line="360" w:lineRule="auto"/>
        <w:jc w:val="left"/>
        <w:rPr>
          <w:rFonts w:hint="eastAsia" w:ascii="宋体" w:hAnsi="宋体" w:cs="宋体"/>
          <w:b/>
          <w:color w:val="000000" w:themeColor="text1"/>
          <w:sz w:val="24"/>
          <w:szCs w:val="22"/>
          <w14:textFill>
            <w14:solidFill>
              <w14:schemeClr w14:val="tx1"/>
            </w14:solidFill>
          </w14:textFill>
        </w:rPr>
      </w:pPr>
    </w:p>
    <w:p w14:paraId="6FEAF18B">
      <w:pPr>
        <w:spacing w:line="360" w:lineRule="auto"/>
        <w:jc w:val="left"/>
        <w:rPr>
          <w:rFonts w:hint="eastAsia" w:ascii="宋体" w:hAnsi="宋体" w:cs="宋体"/>
          <w:b/>
          <w:color w:val="000000" w:themeColor="text1"/>
          <w:sz w:val="24"/>
          <w:szCs w:val="22"/>
          <w14:textFill>
            <w14:solidFill>
              <w14:schemeClr w14:val="tx1"/>
            </w14:solidFill>
          </w14:textFill>
        </w:rPr>
      </w:pPr>
    </w:p>
    <w:p w14:paraId="229E0E5E">
      <w:pPr>
        <w:spacing w:line="360" w:lineRule="auto"/>
        <w:jc w:val="left"/>
        <w:rPr>
          <w:rFonts w:hint="eastAsia" w:ascii="宋体" w:hAnsi="宋体" w:cs="宋体"/>
          <w:b/>
          <w:color w:val="000000" w:themeColor="text1"/>
          <w:sz w:val="24"/>
          <w:szCs w:val="22"/>
          <w14:textFill>
            <w14:solidFill>
              <w14:schemeClr w14:val="tx1"/>
            </w14:solidFill>
          </w14:textFill>
        </w:rPr>
      </w:pPr>
    </w:p>
    <w:p w14:paraId="5A47DC0F">
      <w:pPr>
        <w:spacing w:line="360" w:lineRule="auto"/>
        <w:jc w:val="left"/>
        <w:rPr>
          <w:rFonts w:hint="eastAsia" w:ascii="宋体" w:hAnsi="宋体" w:cs="宋体"/>
          <w:b/>
          <w:color w:val="000000" w:themeColor="text1"/>
          <w:sz w:val="24"/>
          <w:szCs w:val="22"/>
          <w14:textFill>
            <w14:solidFill>
              <w14:schemeClr w14:val="tx1"/>
            </w14:solidFill>
          </w14:textFill>
        </w:rPr>
      </w:pPr>
    </w:p>
    <w:p w14:paraId="6A261A62">
      <w:pPr>
        <w:spacing w:line="360" w:lineRule="auto"/>
        <w:jc w:val="left"/>
        <w:rPr>
          <w:rFonts w:hint="eastAsia" w:ascii="宋体" w:hAnsi="宋体" w:cs="宋体"/>
          <w:b/>
          <w:color w:val="000000" w:themeColor="text1"/>
          <w:sz w:val="24"/>
          <w:szCs w:val="22"/>
          <w14:textFill>
            <w14:solidFill>
              <w14:schemeClr w14:val="tx1"/>
            </w14:solidFill>
          </w14:textFill>
        </w:rPr>
      </w:pPr>
    </w:p>
    <w:p w14:paraId="3811A8EA">
      <w:pPr>
        <w:spacing w:line="360" w:lineRule="auto"/>
        <w:jc w:val="left"/>
        <w:rPr>
          <w:rFonts w:hint="eastAsia" w:ascii="宋体" w:hAnsi="宋体" w:cs="宋体"/>
          <w:b/>
          <w:color w:val="000000" w:themeColor="text1"/>
          <w:sz w:val="24"/>
          <w:szCs w:val="22"/>
          <w14:textFill>
            <w14:solidFill>
              <w14:schemeClr w14:val="tx1"/>
            </w14:solidFill>
          </w14:textFill>
        </w:rPr>
      </w:pPr>
    </w:p>
    <w:p w14:paraId="25F4704D">
      <w:pPr>
        <w:spacing w:line="360" w:lineRule="auto"/>
        <w:jc w:val="left"/>
        <w:rPr>
          <w:rFonts w:hint="eastAsia" w:ascii="宋体" w:hAnsi="宋体" w:cs="宋体"/>
          <w:b/>
          <w:color w:val="000000" w:themeColor="text1"/>
          <w:sz w:val="24"/>
          <w:szCs w:val="22"/>
          <w14:textFill>
            <w14:solidFill>
              <w14:schemeClr w14:val="tx1"/>
            </w14:solidFill>
          </w14:textFill>
        </w:rPr>
      </w:pPr>
    </w:p>
    <w:p w14:paraId="6086658A">
      <w:pPr>
        <w:spacing w:line="360" w:lineRule="auto"/>
        <w:jc w:val="left"/>
        <w:rPr>
          <w:rFonts w:hint="eastAsia" w:ascii="宋体" w:hAnsi="宋体" w:cs="宋体"/>
          <w:b/>
          <w:color w:val="000000" w:themeColor="text1"/>
          <w:sz w:val="24"/>
          <w:szCs w:val="22"/>
          <w14:textFill>
            <w14:solidFill>
              <w14:schemeClr w14:val="tx1"/>
            </w14:solidFill>
          </w14:textFill>
        </w:rPr>
      </w:pPr>
    </w:p>
    <w:p w14:paraId="59458EF2">
      <w:pPr>
        <w:spacing w:line="360" w:lineRule="auto"/>
        <w:jc w:val="left"/>
        <w:rPr>
          <w:rFonts w:hint="eastAsia" w:ascii="宋体" w:hAnsi="宋体" w:cs="宋体"/>
          <w:b/>
          <w:color w:val="000000" w:themeColor="text1"/>
          <w:sz w:val="24"/>
          <w:szCs w:val="22"/>
          <w14:textFill>
            <w14:solidFill>
              <w14:schemeClr w14:val="tx1"/>
            </w14:solidFill>
          </w14:textFill>
        </w:rPr>
      </w:pPr>
    </w:p>
    <w:p w14:paraId="7F30329B">
      <w:pPr>
        <w:spacing w:line="360" w:lineRule="auto"/>
        <w:jc w:val="left"/>
        <w:rPr>
          <w:rFonts w:hint="eastAsia" w:ascii="宋体" w:hAnsi="宋体" w:cs="宋体"/>
          <w:b/>
          <w:color w:val="000000" w:themeColor="text1"/>
          <w:sz w:val="24"/>
          <w:szCs w:val="22"/>
          <w14:textFill>
            <w14:solidFill>
              <w14:schemeClr w14:val="tx1"/>
            </w14:solidFill>
          </w14:textFill>
        </w:rPr>
      </w:pPr>
    </w:p>
    <w:p w14:paraId="6C50AAB9">
      <w:pPr>
        <w:spacing w:line="360" w:lineRule="auto"/>
        <w:jc w:val="center"/>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lang w:val="en-US" w:eastAsia="zh-CN"/>
          <w14:textFill>
            <w14:solidFill>
              <w14:schemeClr w14:val="tx1"/>
            </w14:solidFill>
          </w14:textFill>
        </w:rPr>
        <w:t>九</w:t>
      </w:r>
      <w:r>
        <w:rPr>
          <w:rFonts w:hint="eastAsia" w:ascii="宋体" w:hAnsi="宋体" w:cs="宋体"/>
          <w:b/>
          <w:color w:val="000000" w:themeColor="text1"/>
          <w:sz w:val="28"/>
          <w:szCs w:val="28"/>
          <w14:textFill>
            <w14:solidFill>
              <w14:schemeClr w14:val="tx1"/>
            </w14:solidFill>
          </w14:textFill>
        </w:rPr>
        <w:t>、其他资料</w:t>
      </w:r>
    </w:p>
    <w:p w14:paraId="7E7CA934">
      <w:pPr>
        <w:spacing w:line="360" w:lineRule="auto"/>
        <w:jc w:val="left"/>
        <w:rPr>
          <w:rFonts w:hint="eastAsia" w:ascii="宋体" w:hAnsi="宋体" w:cs="宋体"/>
          <w:b/>
          <w:color w:val="000000" w:themeColor="text1"/>
          <w:sz w:val="24"/>
          <w:szCs w:val="22"/>
          <w14:textFill>
            <w14:solidFill>
              <w14:schemeClr w14:val="tx1"/>
            </w14:solidFill>
          </w14:textFill>
        </w:rPr>
      </w:pPr>
    </w:p>
    <w:p w14:paraId="44193040">
      <w:pPr>
        <w:spacing w:line="360" w:lineRule="auto"/>
        <w:jc w:val="left"/>
        <w:rPr>
          <w:rFonts w:hint="eastAsia" w:ascii="宋体" w:hAnsi="宋体" w:cs="宋体"/>
          <w:b/>
          <w:color w:val="000000" w:themeColor="text1"/>
          <w:sz w:val="24"/>
          <w:szCs w:val="22"/>
          <w14:textFill>
            <w14:solidFill>
              <w14:schemeClr w14:val="tx1"/>
            </w14:solidFill>
          </w14:textFill>
        </w:rPr>
      </w:pPr>
    </w:p>
    <w:p w14:paraId="73B85873">
      <w:pPr>
        <w:pStyle w:val="11"/>
        <w:rPr>
          <w:rFonts w:hint="eastAsia" w:cs="宋体"/>
          <w:b/>
          <w:color w:val="000000" w:themeColor="text1"/>
          <w:sz w:val="24"/>
          <w:szCs w:val="22"/>
          <w14:textFill>
            <w14:solidFill>
              <w14:schemeClr w14:val="tx1"/>
            </w14:solidFill>
          </w14:textFill>
        </w:rPr>
      </w:pPr>
    </w:p>
    <w:p w14:paraId="33FC064D">
      <w:pPr>
        <w:rPr>
          <w:rFonts w:hint="eastAsia" w:ascii="宋体" w:hAnsi="宋体" w:cs="宋体"/>
          <w:b/>
          <w:color w:val="000000" w:themeColor="text1"/>
          <w:sz w:val="24"/>
          <w:szCs w:val="22"/>
          <w14:textFill>
            <w14:solidFill>
              <w14:schemeClr w14:val="tx1"/>
            </w14:solidFill>
          </w14:textFill>
        </w:rPr>
      </w:pPr>
    </w:p>
    <w:p w14:paraId="05248DCE">
      <w:pPr>
        <w:pStyle w:val="11"/>
        <w:rPr>
          <w:rFonts w:hint="eastAsia"/>
          <w:color w:val="000000" w:themeColor="text1"/>
          <w14:textFill>
            <w14:solidFill>
              <w14:schemeClr w14:val="tx1"/>
            </w14:solidFill>
          </w14:textFill>
        </w:rPr>
      </w:pPr>
    </w:p>
    <w:p w14:paraId="19096C99">
      <w:pPr>
        <w:spacing w:line="360" w:lineRule="auto"/>
        <w:jc w:val="left"/>
        <w:rPr>
          <w:rFonts w:hint="eastAsia" w:ascii="宋体" w:hAnsi="宋体" w:cs="宋体"/>
          <w:b/>
          <w:color w:val="000000" w:themeColor="text1"/>
          <w:sz w:val="24"/>
          <w:szCs w:val="22"/>
          <w14:textFill>
            <w14:solidFill>
              <w14:schemeClr w14:val="tx1"/>
            </w14:solidFill>
          </w14:textFill>
        </w:rPr>
      </w:pPr>
    </w:p>
    <w:p w14:paraId="25BC8B87">
      <w:pPr>
        <w:spacing w:line="360" w:lineRule="auto"/>
        <w:jc w:val="left"/>
        <w:rPr>
          <w:rFonts w:hint="eastAsia" w:ascii="宋体" w:hAnsi="宋体" w:cs="宋体"/>
          <w:b/>
          <w:color w:val="000000" w:themeColor="text1"/>
          <w:sz w:val="24"/>
          <w:szCs w:val="22"/>
          <w14:textFill>
            <w14:solidFill>
              <w14:schemeClr w14:val="tx1"/>
            </w14:solidFill>
          </w14:textFill>
        </w:rPr>
      </w:pPr>
    </w:p>
    <w:p w14:paraId="68770C4B">
      <w:pPr>
        <w:pStyle w:val="11"/>
        <w:rPr>
          <w:rFonts w:hint="eastAsia" w:ascii="宋体" w:hAnsi="宋体" w:cs="宋体"/>
          <w:b/>
          <w:color w:val="000000" w:themeColor="text1"/>
          <w:sz w:val="24"/>
          <w:szCs w:val="22"/>
          <w14:textFill>
            <w14:solidFill>
              <w14:schemeClr w14:val="tx1"/>
            </w14:solidFill>
          </w14:textFill>
        </w:rPr>
      </w:pPr>
    </w:p>
    <w:p w14:paraId="68BD7984">
      <w:pPr>
        <w:rPr>
          <w:rFonts w:hint="eastAsia" w:ascii="宋体" w:hAnsi="宋体" w:cs="宋体"/>
          <w:b/>
          <w:color w:val="000000" w:themeColor="text1"/>
          <w:sz w:val="24"/>
          <w:szCs w:val="22"/>
          <w14:textFill>
            <w14:solidFill>
              <w14:schemeClr w14:val="tx1"/>
            </w14:solidFill>
          </w14:textFill>
        </w:rPr>
      </w:pPr>
    </w:p>
    <w:p w14:paraId="039C0411">
      <w:pPr>
        <w:pStyle w:val="11"/>
        <w:rPr>
          <w:rFonts w:hint="eastAsia" w:ascii="宋体" w:hAnsi="宋体" w:cs="宋体"/>
          <w:b/>
          <w:color w:val="000000" w:themeColor="text1"/>
          <w:sz w:val="24"/>
          <w:szCs w:val="22"/>
          <w14:textFill>
            <w14:solidFill>
              <w14:schemeClr w14:val="tx1"/>
            </w14:solidFill>
          </w14:textFill>
        </w:rPr>
      </w:pPr>
    </w:p>
    <w:p w14:paraId="0573A85F">
      <w:pPr>
        <w:rPr>
          <w:rFonts w:hint="eastAsia" w:ascii="宋体" w:hAnsi="宋体" w:cs="宋体"/>
          <w:b/>
          <w:color w:val="000000" w:themeColor="text1"/>
          <w:sz w:val="24"/>
          <w:szCs w:val="22"/>
          <w14:textFill>
            <w14:solidFill>
              <w14:schemeClr w14:val="tx1"/>
            </w14:solidFill>
          </w14:textFill>
        </w:rPr>
      </w:pPr>
    </w:p>
    <w:p w14:paraId="31B72472">
      <w:pPr>
        <w:pStyle w:val="11"/>
        <w:rPr>
          <w:rFonts w:hint="eastAsia" w:ascii="宋体" w:hAnsi="宋体" w:cs="宋体"/>
          <w:b/>
          <w:color w:val="000000" w:themeColor="text1"/>
          <w:sz w:val="24"/>
          <w:szCs w:val="22"/>
          <w14:textFill>
            <w14:solidFill>
              <w14:schemeClr w14:val="tx1"/>
            </w14:solidFill>
          </w14:textFill>
        </w:rPr>
      </w:pPr>
    </w:p>
    <w:p w14:paraId="273B87C0">
      <w:pPr>
        <w:rPr>
          <w:rFonts w:hint="eastAsia" w:ascii="宋体" w:hAnsi="宋体" w:cs="宋体"/>
          <w:b/>
          <w:color w:val="000000" w:themeColor="text1"/>
          <w:sz w:val="24"/>
          <w:szCs w:val="22"/>
          <w14:textFill>
            <w14:solidFill>
              <w14:schemeClr w14:val="tx1"/>
            </w14:solidFill>
          </w14:textFill>
        </w:rPr>
      </w:pPr>
    </w:p>
    <w:p w14:paraId="58FFF583">
      <w:pPr>
        <w:pStyle w:val="11"/>
        <w:rPr>
          <w:rFonts w:hint="eastAsia" w:ascii="宋体" w:hAnsi="宋体" w:cs="宋体"/>
          <w:b/>
          <w:color w:val="000000" w:themeColor="text1"/>
          <w:sz w:val="24"/>
          <w:szCs w:val="22"/>
          <w14:textFill>
            <w14:solidFill>
              <w14:schemeClr w14:val="tx1"/>
            </w14:solidFill>
          </w14:textFill>
        </w:rPr>
      </w:pPr>
    </w:p>
    <w:p w14:paraId="5DFB517E">
      <w:pPr>
        <w:rPr>
          <w:rFonts w:hint="eastAsia" w:ascii="宋体" w:hAnsi="宋体" w:cs="宋体"/>
          <w:b/>
          <w:color w:val="000000" w:themeColor="text1"/>
          <w:sz w:val="24"/>
          <w:szCs w:val="22"/>
          <w14:textFill>
            <w14:solidFill>
              <w14:schemeClr w14:val="tx1"/>
            </w14:solidFill>
          </w14:textFill>
        </w:rPr>
      </w:pPr>
    </w:p>
    <w:p w14:paraId="35605BC6">
      <w:pPr>
        <w:pStyle w:val="11"/>
        <w:rPr>
          <w:rFonts w:hint="eastAsia" w:ascii="宋体" w:hAnsi="宋体" w:cs="宋体"/>
          <w:b/>
          <w:color w:val="000000" w:themeColor="text1"/>
          <w:sz w:val="24"/>
          <w:szCs w:val="22"/>
          <w14:textFill>
            <w14:solidFill>
              <w14:schemeClr w14:val="tx1"/>
            </w14:solidFill>
          </w14:textFill>
        </w:rPr>
      </w:pPr>
    </w:p>
    <w:p w14:paraId="4A80BAD9">
      <w:pPr>
        <w:rPr>
          <w:rFonts w:hint="eastAsia" w:ascii="宋体" w:hAnsi="宋体" w:cs="宋体"/>
          <w:b/>
          <w:color w:val="000000" w:themeColor="text1"/>
          <w:sz w:val="24"/>
          <w:szCs w:val="22"/>
          <w14:textFill>
            <w14:solidFill>
              <w14:schemeClr w14:val="tx1"/>
            </w14:solidFill>
          </w14:textFill>
        </w:rPr>
      </w:pPr>
    </w:p>
    <w:p w14:paraId="2C34F4BF">
      <w:pPr>
        <w:pStyle w:val="11"/>
        <w:rPr>
          <w:rFonts w:hint="eastAsia" w:ascii="宋体" w:hAnsi="宋体" w:cs="宋体"/>
          <w:b/>
          <w:color w:val="000000" w:themeColor="text1"/>
          <w:sz w:val="24"/>
          <w:szCs w:val="22"/>
          <w14:textFill>
            <w14:solidFill>
              <w14:schemeClr w14:val="tx1"/>
            </w14:solidFill>
          </w14:textFill>
        </w:rPr>
      </w:pPr>
    </w:p>
    <w:p w14:paraId="089CD1A8">
      <w:pPr>
        <w:rPr>
          <w:rFonts w:hint="eastAsia" w:ascii="宋体" w:hAnsi="宋体" w:cs="宋体"/>
          <w:b/>
          <w:color w:val="000000" w:themeColor="text1"/>
          <w:sz w:val="24"/>
          <w:szCs w:val="22"/>
          <w14:textFill>
            <w14:solidFill>
              <w14:schemeClr w14:val="tx1"/>
            </w14:solidFill>
          </w14:textFill>
        </w:rPr>
      </w:pPr>
    </w:p>
    <w:p w14:paraId="42B5FC63">
      <w:pPr>
        <w:pStyle w:val="11"/>
        <w:rPr>
          <w:rFonts w:hint="eastAsia" w:ascii="宋体" w:hAnsi="宋体" w:cs="宋体"/>
          <w:b/>
          <w:color w:val="000000" w:themeColor="text1"/>
          <w:sz w:val="24"/>
          <w:szCs w:val="22"/>
          <w14:textFill>
            <w14:solidFill>
              <w14:schemeClr w14:val="tx1"/>
            </w14:solidFill>
          </w14:textFill>
        </w:rPr>
      </w:pPr>
    </w:p>
    <w:p w14:paraId="72014096">
      <w:pPr>
        <w:rPr>
          <w:rFonts w:hint="eastAsia" w:ascii="宋体" w:hAnsi="宋体" w:cs="宋体"/>
          <w:b/>
          <w:color w:val="000000" w:themeColor="text1"/>
          <w:sz w:val="24"/>
          <w:szCs w:val="22"/>
          <w14:textFill>
            <w14:solidFill>
              <w14:schemeClr w14:val="tx1"/>
            </w14:solidFill>
          </w14:textFill>
        </w:rPr>
      </w:pPr>
    </w:p>
    <w:p w14:paraId="5C919FE1">
      <w:pPr>
        <w:pStyle w:val="11"/>
        <w:rPr>
          <w:rFonts w:hint="eastAsia" w:ascii="宋体" w:hAnsi="宋体" w:cs="宋体"/>
          <w:b/>
          <w:color w:val="000000" w:themeColor="text1"/>
          <w:sz w:val="24"/>
          <w:szCs w:val="22"/>
          <w14:textFill>
            <w14:solidFill>
              <w14:schemeClr w14:val="tx1"/>
            </w14:solidFill>
          </w14:textFill>
        </w:rPr>
      </w:pPr>
    </w:p>
    <w:p w14:paraId="0DFC0D7C">
      <w:pPr>
        <w:rPr>
          <w:rFonts w:hint="eastAsia" w:ascii="宋体" w:hAnsi="宋体" w:cs="宋体"/>
          <w:b/>
          <w:color w:val="000000" w:themeColor="text1"/>
          <w:sz w:val="24"/>
          <w:szCs w:val="22"/>
          <w14:textFill>
            <w14:solidFill>
              <w14:schemeClr w14:val="tx1"/>
            </w14:solidFill>
          </w14:textFill>
        </w:rPr>
      </w:pPr>
    </w:p>
    <w:p w14:paraId="5FD9D8D6">
      <w:pPr>
        <w:pStyle w:val="11"/>
        <w:rPr>
          <w:rFonts w:hint="eastAsia" w:ascii="宋体" w:hAnsi="宋体" w:cs="宋体"/>
          <w:b/>
          <w:color w:val="000000" w:themeColor="text1"/>
          <w:sz w:val="24"/>
          <w:szCs w:val="22"/>
          <w14:textFill>
            <w14:solidFill>
              <w14:schemeClr w14:val="tx1"/>
            </w14:solidFill>
          </w14:textFill>
        </w:rPr>
      </w:pPr>
    </w:p>
    <w:p w14:paraId="55365EB9">
      <w:pPr>
        <w:rPr>
          <w:rFonts w:hint="eastAsia" w:ascii="宋体" w:hAnsi="宋体" w:cs="宋体"/>
          <w:b/>
          <w:color w:val="000000" w:themeColor="text1"/>
          <w:sz w:val="24"/>
          <w:szCs w:val="22"/>
          <w14:textFill>
            <w14:solidFill>
              <w14:schemeClr w14:val="tx1"/>
            </w14:solidFill>
          </w14:textFill>
        </w:rPr>
      </w:pPr>
    </w:p>
    <w:p w14:paraId="78CB7C6D">
      <w:pPr>
        <w:pStyle w:val="11"/>
        <w:rPr>
          <w:rFonts w:hint="eastAsia" w:ascii="宋体" w:hAnsi="宋体" w:cs="宋体"/>
          <w:b/>
          <w:color w:val="000000" w:themeColor="text1"/>
          <w:sz w:val="24"/>
          <w:szCs w:val="22"/>
          <w14:textFill>
            <w14:solidFill>
              <w14:schemeClr w14:val="tx1"/>
            </w14:solidFill>
          </w14:textFill>
        </w:rPr>
      </w:pPr>
    </w:p>
    <w:p w14:paraId="2DF71EE6">
      <w:pPr>
        <w:rPr>
          <w:rFonts w:hint="eastAsia" w:ascii="宋体" w:hAnsi="宋体" w:cs="宋体"/>
          <w:b/>
          <w:color w:val="000000" w:themeColor="text1"/>
          <w:sz w:val="24"/>
          <w:szCs w:val="22"/>
          <w14:textFill>
            <w14:solidFill>
              <w14:schemeClr w14:val="tx1"/>
            </w14:solidFill>
          </w14:textFill>
        </w:rPr>
      </w:pPr>
    </w:p>
    <w:p w14:paraId="32769F3C">
      <w:pPr>
        <w:pStyle w:val="11"/>
        <w:rPr>
          <w:rFonts w:hint="eastAsia" w:ascii="宋体" w:hAnsi="宋体" w:cs="宋体"/>
          <w:b/>
          <w:color w:val="000000" w:themeColor="text1"/>
          <w:sz w:val="24"/>
          <w:szCs w:val="22"/>
          <w14:textFill>
            <w14:solidFill>
              <w14:schemeClr w14:val="tx1"/>
            </w14:solidFill>
          </w14:textFill>
        </w:rPr>
      </w:pPr>
    </w:p>
    <w:p w14:paraId="06D35984">
      <w:pPr>
        <w:rPr>
          <w:rFonts w:hint="eastAsia" w:ascii="宋体" w:hAnsi="宋体" w:cs="宋体"/>
          <w:b/>
          <w:color w:val="000000" w:themeColor="text1"/>
          <w:sz w:val="24"/>
          <w:szCs w:val="22"/>
          <w14:textFill>
            <w14:solidFill>
              <w14:schemeClr w14:val="tx1"/>
            </w14:solidFill>
          </w14:textFill>
        </w:rPr>
      </w:pPr>
    </w:p>
    <w:p w14:paraId="331B6E5C">
      <w:pPr>
        <w:pStyle w:val="11"/>
        <w:rPr>
          <w:rFonts w:hint="eastAsia" w:ascii="宋体" w:hAnsi="宋体" w:cs="宋体"/>
          <w:b/>
          <w:color w:val="000000" w:themeColor="text1"/>
          <w:sz w:val="24"/>
          <w:szCs w:val="22"/>
          <w14:textFill>
            <w14:solidFill>
              <w14:schemeClr w14:val="tx1"/>
            </w14:solidFill>
          </w14:textFill>
        </w:rPr>
      </w:pPr>
    </w:p>
    <w:p w14:paraId="09C1894A">
      <w:pPr>
        <w:rPr>
          <w:rFonts w:hint="eastAsia" w:ascii="宋体" w:hAnsi="宋体" w:cs="宋体"/>
          <w:b/>
          <w:color w:val="000000" w:themeColor="text1"/>
          <w:sz w:val="24"/>
          <w:szCs w:val="22"/>
          <w14:textFill>
            <w14:solidFill>
              <w14:schemeClr w14:val="tx1"/>
            </w14:solidFill>
          </w14:textFill>
        </w:rPr>
      </w:pPr>
    </w:p>
    <w:p w14:paraId="6B0E8FCB">
      <w:pPr>
        <w:pStyle w:val="11"/>
        <w:rPr>
          <w:rFonts w:hint="eastAsia" w:ascii="宋体" w:hAnsi="宋体" w:cs="宋体"/>
          <w:b/>
          <w:color w:val="000000" w:themeColor="text1"/>
          <w:sz w:val="24"/>
          <w:szCs w:val="22"/>
          <w14:textFill>
            <w14:solidFill>
              <w14:schemeClr w14:val="tx1"/>
            </w14:solidFill>
          </w14:textFill>
        </w:rPr>
      </w:pPr>
    </w:p>
    <w:p w14:paraId="55F33641">
      <w:pPr>
        <w:rPr>
          <w:rFonts w:hint="eastAsia" w:ascii="宋体" w:hAnsi="宋体" w:cs="宋体"/>
          <w:b/>
          <w:color w:val="000000" w:themeColor="text1"/>
          <w:sz w:val="24"/>
          <w:szCs w:val="22"/>
          <w14:textFill>
            <w14:solidFill>
              <w14:schemeClr w14:val="tx1"/>
            </w14:solidFill>
          </w14:textFill>
        </w:rPr>
      </w:pPr>
    </w:p>
    <w:p w14:paraId="76588ED4">
      <w:pPr>
        <w:pStyle w:val="11"/>
        <w:rPr>
          <w:rFonts w:hint="eastAsia" w:ascii="宋体" w:hAnsi="宋体" w:cs="宋体"/>
          <w:b/>
          <w:color w:val="000000" w:themeColor="text1"/>
          <w:sz w:val="24"/>
          <w:szCs w:val="22"/>
          <w14:textFill>
            <w14:solidFill>
              <w14:schemeClr w14:val="tx1"/>
            </w14:solidFill>
          </w14:textFill>
        </w:rPr>
      </w:pPr>
    </w:p>
    <w:p w14:paraId="078FDA9D">
      <w:pPr>
        <w:rPr>
          <w:rFonts w:hint="eastAsia" w:ascii="宋体" w:hAnsi="宋体" w:cs="宋体"/>
          <w:b/>
          <w:color w:val="000000" w:themeColor="text1"/>
          <w:sz w:val="24"/>
          <w:szCs w:val="22"/>
          <w14:textFill>
            <w14:solidFill>
              <w14:schemeClr w14:val="tx1"/>
            </w14:solidFill>
          </w14:textFill>
        </w:rPr>
      </w:pPr>
    </w:p>
    <w:p w14:paraId="7F2DB586">
      <w:pPr>
        <w:pStyle w:val="11"/>
        <w:rPr>
          <w:rFonts w:hint="eastAsia" w:ascii="宋体" w:hAnsi="宋体" w:cs="宋体"/>
          <w:b/>
          <w:color w:val="000000" w:themeColor="text1"/>
          <w:sz w:val="24"/>
          <w:szCs w:val="22"/>
          <w14:textFill>
            <w14:solidFill>
              <w14:schemeClr w14:val="tx1"/>
            </w14:solidFill>
          </w14:textFill>
        </w:rPr>
      </w:pPr>
    </w:p>
    <w:p w14:paraId="5C7E66C9">
      <w:pPr>
        <w:rPr>
          <w:rFonts w:hint="eastAsia" w:ascii="宋体" w:hAnsi="宋体" w:cs="宋体"/>
          <w:b/>
          <w:color w:val="000000" w:themeColor="text1"/>
          <w:sz w:val="24"/>
          <w:szCs w:val="22"/>
          <w14:textFill>
            <w14:solidFill>
              <w14:schemeClr w14:val="tx1"/>
            </w14:solidFill>
          </w14:textFill>
        </w:rPr>
      </w:pPr>
    </w:p>
    <w:p w14:paraId="73A02CA8">
      <w:pPr>
        <w:pStyle w:val="11"/>
        <w:rPr>
          <w:rFonts w:hint="eastAsia" w:ascii="宋体" w:hAnsi="宋体" w:cs="宋体"/>
          <w:b/>
          <w:color w:val="000000" w:themeColor="text1"/>
          <w:sz w:val="24"/>
          <w:szCs w:val="22"/>
          <w14:textFill>
            <w14:solidFill>
              <w14:schemeClr w14:val="tx1"/>
            </w14:solidFill>
          </w14:textFill>
        </w:rPr>
      </w:pPr>
    </w:p>
    <w:bookmarkEnd w:id="978"/>
    <w:p w14:paraId="0432779F">
      <w:pPr>
        <w:spacing w:line="360" w:lineRule="auto"/>
        <w:ind w:firstLine="3840" w:firstLineChars="1600"/>
        <w:jc w:val="left"/>
        <w:rPr>
          <w:rFonts w:ascii="宋体" w:hAnsi="宋体" w:cs="宋体"/>
          <w:color w:val="000000" w:themeColor="text1"/>
          <w:sz w:val="24"/>
          <w:szCs w:val="24"/>
          <w14:textFill>
            <w14:solidFill>
              <w14:schemeClr w14:val="tx1"/>
            </w14:solidFill>
          </w14:textFill>
        </w:rPr>
        <w:sectPr>
          <w:footerReference r:id="rId15" w:type="first"/>
          <w:footerReference r:id="rId14" w:type="default"/>
          <w:pgSz w:w="11906" w:h="16838"/>
          <w:pgMar w:top="1440" w:right="1440" w:bottom="1440" w:left="1440" w:header="851" w:footer="992" w:gutter="0"/>
          <w:pgBorders>
            <w:top w:val="none" w:sz="0" w:space="0"/>
            <w:left w:val="none" w:sz="0" w:space="0"/>
            <w:bottom w:val="none" w:sz="0" w:space="0"/>
            <w:right w:val="none" w:sz="0" w:space="0"/>
          </w:pgBorders>
          <w:lnNumType w:countBy="0" w:distance="360"/>
          <w:cols w:space="720" w:num="1"/>
          <w:titlePg/>
          <w:docGrid w:linePitch="312" w:charSpace="889"/>
        </w:sectPr>
      </w:pPr>
    </w:p>
    <w:bookmarkEnd w:id="979"/>
    <w:bookmarkEnd w:id="980"/>
    <w:bookmarkEnd w:id="981"/>
    <w:bookmarkEnd w:id="982"/>
    <w:bookmarkEnd w:id="983"/>
    <w:bookmarkEnd w:id="984"/>
    <w:bookmarkEnd w:id="985"/>
    <w:bookmarkEnd w:id="986"/>
    <w:bookmarkEnd w:id="987"/>
    <w:bookmarkEnd w:id="988"/>
    <w:bookmarkEnd w:id="989"/>
    <w:bookmarkEnd w:id="990"/>
    <w:bookmarkEnd w:id="991"/>
    <w:p w14:paraId="3F195B8F">
      <w:pPr>
        <w:rPr>
          <w:rFonts w:hint="eastAsia"/>
          <w:color w:val="000000" w:themeColor="text1"/>
          <w14:textFill>
            <w14:solidFill>
              <w14:schemeClr w14:val="tx1"/>
            </w14:solidFill>
          </w14:textFill>
        </w:rPr>
      </w:pPr>
    </w:p>
    <w:p w14:paraId="3B71205C">
      <w:pPr>
        <w:outlineLvl w:val="0"/>
        <w:rPr>
          <w:rFonts w:hint="eastAsia" w:ascii="宋体" w:hAnsi="宋体" w:eastAsia="宋体" w:cs="宋体"/>
          <w:b/>
          <w:color w:val="000000" w:themeColor="text1"/>
          <w:sz w:val="24"/>
          <w:lang w:val="en-US" w:eastAsia="zh-CN"/>
          <w14:textFill>
            <w14:solidFill>
              <w14:schemeClr w14:val="tx1"/>
            </w14:solidFill>
          </w14:textFill>
        </w:rPr>
      </w:pPr>
      <w:bookmarkStart w:id="993" w:name="_Toc25467"/>
      <w:bookmarkStart w:id="994" w:name="_Toc20822"/>
      <w:bookmarkStart w:id="995" w:name="_Toc13756"/>
      <w:bookmarkStart w:id="996" w:name="_Toc7195"/>
      <w:bookmarkStart w:id="997" w:name="_Toc1972"/>
      <w:bookmarkStart w:id="998" w:name="_Toc22398"/>
      <w:bookmarkStart w:id="999" w:name="_Toc12649"/>
      <w:r>
        <w:rPr>
          <w:rFonts w:hint="eastAsia" w:ascii="宋体" w:hAnsi="宋体" w:eastAsia="宋体" w:cs="宋体"/>
          <w:b/>
          <w:color w:val="000000" w:themeColor="text1"/>
          <w:sz w:val="24"/>
          <w14:textFill>
            <w14:solidFill>
              <w14:schemeClr w14:val="tx1"/>
            </w14:solidFill>
          </w14:textFill>
        </w:rPr>
        <w:t>附件</w:t>
      </w:r>
      <w:bookmarkEnd w:id="993"/>
      <w:bookmarkEnd w:id="994"/>
      <w:bookmarkEnd w:id="995"/>
      <w:bookmarkEnd w:id="996"/>
      <w:bookmarkEnd w:id="997"/>
      <w:bookmarkEnd w:id="998"/>
      <w:bookmarkEnd w:id="999"/>
      <w:r>
        <w:rPr>
          <w:rFonts w:hint="eastAsia" w:ascii="宋体" w:hAnsi="宋体" w:cs="宋体"/>
          <w:b/>
          <w:color w:val="000000" w:themeColor="text1"/>
          <w:sz w:val="24"/>
          <w:lang w:val="en-US" w:eastAsia="zh-CN"/>
          <w14:textFill>
            <w14:solidFill>
              <w14:schemeClr w14:val="tx1"/>
            </w14:solidFill>
          </w14:textFill>
        </w:rPr>
        <w:t>1</w:t>
      </w:r>
    </w:p>
    <w:p w14:paraId="4BFD1AE4">
      <w:pPr>
        <w:rPr>
          <w:rFonts w:hint="eastAsia"/>
          <w:color w:val="000000" w:themeColor="text1"/>
          <w14:textFill>
            <w14:solidFill>
              <w14:schemeClr w14:val="tx1"/>
            </w14:solidFill>
          </w14:textFill>
        </w:rPr>
      </w:pPr>
    </w:p>
    <w:p w14:paraId="741AFD90">
      <w:pPr>
        <w:widowControl/>
        <w:jc w:val="left"/>
        <w:rPr>
          <w:rFonts w:hint="eastAsia" w:ascii="宋体" w:hAnsi="宋体" w:cs="宋体"/>
          <w:color w:val="000000" w:themeColor="text1"/>
          <w:sz w:val="24"/>
          <w14:textFill>
            <w14:solidFill>
              <w14:schemeClr w14:val="tx1"/>
            </w14:solidFill>
          </w14:textFill>
        </w:rPr>
      </w:pPr>
    </w:p>
    <w:p w14:paraId="7D64BEAF">
      <w:pPr>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中小企业声明函（货物）</w:t>
      </w:r>
    </w:p>
    <w:p w14:paraId="53F8C04A">
      <w:pPr>
        <w:pStyle w:val="11"/>
        <w:keepNext w:val="0"/>
        <w:keepLines w:val="0"/>
        <w:pageBreakBefore w:val="0"/>
        <w:widowControl w:val="0"/>
        <w:tabs>
          <w:tab w:val="left" w:pos="9120"/>
        </w:tabs>
        <w:kinsoku/>
        <w:wordWrap/>
        <w:overflowPunct/>
        <w:topLinePunct w:val="0"/>
        <w:autoSpaceDE/>
        <w:autoSpaceDN/>
        <w:bidi w:val="0"/>
        <w:adjustRightInd/>
        <w:snapToGrid/>
        <w:spacing w:before="55" w:after="0" w:line="480" w:lineRule="auto"/>
        <w:ind w:firstLine="64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本公司（联合体）郑重声明，根据《政府采购促进中小企业发展管理办法》（财库﹝2020﹞46 号）的规定，本公司</w:t>
      </w:r>
      <w:r>
        <w:rPr>
          <w:rFonts w:hint="eastAsia" w:ascii="宋体" w:hAnsi="宋体" w:eastAsia="宋体" w:cs="宋体"/>
          <w:color w:val="000000" w:themeColor="text1"/>
          <w:kern w:val="2"/>
          <w:sz w:val="24"/>
          <w:szCs w:val="24"/>
          <w:u w:val="none"/>
          <w:lang w:val="en-US" w:eastAsia="zh-CN" w:bidi="ar-SA"/>
          <w14:textFill>
            <w14:solidFill>
              <w14:schemeClr w14:val="tx1"/>
            </w14:solidFill>
          </w14:textFill>
        </w:rPr>
        <w:t>（联合体）</w:t>
      </w:r>
      <w:r>
        <w:rPr>
          <w:rFonts w:hint="eastAsia" w:ascii="宋体" w:hAnsi="宋体" w:eastAsia="宋体" w:cs="宋体"/>
          <w:color w:val="000000" w:themeColor="text1"/>
          <w:kern w:val="2"/>
          <w:sz w:val="24"/>
          <w:szCs w:val="24"/>
          <w:lang w:val="en-US" w:eastAsia="zh-CN" w:bidi="ar-SA"/>
          <w14:textFill>
            <w14:solidFill>
              <w14:schemeClr w14:val="tx1"/>
            </w14:solidFill>
          </w14:textFill>
        </w:rPr>
        <w:t>参加</w:t>
      </w:r>
      <w:r>
        <w:rPr>
          <w:rFonts w:hint="eastAsia" w:ascii="宋体" w:hAnsi="宋体" w:eastAsia="宋体" w:cs="宋体"/>
          <w:color w:val="000000" w:themeColor="text1"/>
          <w:kern w:val="2"/>
          <w:sz w:val="24"/>
          <w:szCs w:val="24"/>
          <w:u w:val="single"/>
          <w:lang w:val="zh-CN" w:eastAsia="zh-CN" w:bidi="ar-SA"/>
          <w14:textFill>
            <w14:solidFill>
              <w14:schemeClr w14:val="tx1"/>
            </w14:solidFill>
          </w14:textFill>
        </w:rPr>
        <w:t>（单位名称）</w:t>
      </w:r>
      <w:r>
        <w:rPr>
          <w:rFonts w:hint="eastAsia" w:ascii="宋体" w:hAnsi="宋体" w:eastAsia="宋体" w:cs="宋体"/>
          <w:color w:val="000000" w:themeColor="text1"/>
          <w:kern w:val="2"/>
          <w:sz w:val="24"/>
          <w:szCs w:val="24"/>
          <w:lang w:val="en-US" w:eastAsia="zh-CN" w:bidi="ar-SA"/>
          <w14:textFill>
            <w14:solidFill>
              <w14:schemeClr w14:val="tx1"/>
            </w14:solidFill>
          </w14:textFill>
        </w:rPr>
        <w:t>的</w:t>
      </w:r>
      <w:r>
        <w:rPr>
          <w:rFonts w:hint="eastAsia" w:ascii="宋体" w:hAnsi="宋体" w:eastAsia="宋体" w:cs="宋体"/>
          <w:color w:val="000000" w:themeColor="text1"/>
          <w:kern w:val="2"/>
          <w:sz w:val="24"/>
          <w:szCs w:val="24"/>
          <w:u w:val="single"/>
          <w:lang w:val="zh-CN" w:eastAsia="zh-CN" w:bidi="ar-SA"/>
          <w14:textFill>
            <w14:solidFill>
              <w14:schemeClr w14:val="tx1"/>
            </w14:solidFill>
          </w14:textFill>
        </w:rPr>
        <w:t>（项目名称）</w:t>
      </w:r>
      <w:r>
        <w:rPr>
          <w:rFonts w:hint="eastAsia" w:ascii="宋体" w:hAnsi="宋体" w:eastAsia="宋体" w:cs="宋体"/>
          <w:color w:val="000000" w:themeColor="text1"/>
          <w:kern w:val="2"/>
          <w:sz w:val="24"/>
          <w:szCs w:val="24"/>
          <w:lang w:val="en-US" w:eastAsia="zh-CN" w:bidi="ar-SA"/>
          <w14:textFill>
            <w14:solidFill>
              <w14:schemeClr w14:val="tx1"/>
            </w14:solidFill>
          </w14:textFill>
        </w:rPr>
        <w:t>采购活动，提供的货物全部由符合政策要求的中小企业制造。相关企业（含联合体中的中小企业、签订分包意向协议的中小企业） 的具体情况如下：</w:t>
      </w:r>
    </w:p>
    <w:p w14:paraId="25578CE1">
      <w:pPr>
        <w:pStyle w:val="11"/>
        <w:keepNext w:val="0"/>
        <w:keepLines w:val="0"/>
        <w:pageBreakBefore w:val="0"/>
        <w:widowControl w:val="0"/>
        <w:numPr>
          <w:ilvl w:val="0"/>
          <w:numId w:val="17"/>
        </w:numPr>
        <w:kinsoku/>
        <w:wordWrap/>
        <w:overflowPunct/>
        <w:topLinePunct w:val="0"/>
        <w:autoSpaceDE/>
        <w:autoSpaceDN/>
        <w:bidi w:val="0"/>
        <w:adjustRightInd/>
        <w:snapToGrid/>
        <w:spacing w:before="2" w:line="480" w:lineRule="auto"/>
        <w:ind w:firstLine="480" w:firstLineChars="20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u w:val="single"/>
          <w:lang w:val="zh-CN" w:eastAsia="zh-CN" w:bidi="ar-SA"/>
          <w14:textFill>
            <w14:solidFill>
              <w14:schemeClr w14:val="tx1"/>
            </w14:solidFill>
          </w14:textFill>
        </w:rPr>
        <w:t>（标的名称）</w:t>
      </w:r>
      <w:r>
        <w:rPr>
          <w:rFonts w:hint="eastAsia" w:ascii="宋体" w:hAnsi="宋体" w:eastAsia="宋体" w:cs="宋体"/>
          <w:color w:val="000000" w:themeColor="text1"/>
          <w:kern w:val="2"/>
          <w:sz w:val="24"/>
          <w:szCs w:val="24"/>
          <w:lang w:val="en-US" w:eastAsia="zh-CN" w:bidi="ar-SA"/>
          <w14:textFill>
            <w14:solidFill>
              <w14:schemeClr w14:val="tx1"/>
            </w14:solidFill>
          </w14:textFill>
        </w:rPr>
        <w:t>，属于</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（采购文件中明确的所属行业）行业</w:t>
      </w:r>
      <w:r>
        <w:rPr>
          <w:rFonts w:hint="eastAsia" w:ascii="宋体" w:hAnsi="宋体" w:eastAsia="宋体" w:cs="宋体"/>
          <w:color w:val="000000" w:themeColor="text1"/>
          <w:kern w:val="2"/>
          <w:sz w:val="24"/>
          <w:szCs w:val="24"/>
          <w:lang w:val="en-US" w:eastAsia="zh-CN" w:bidi="ar-SA"/>
          <w14:textFill>
            <w14:solidFill>
              <w14:schemeClr w14:val="tx1"/>
            </w14:solidFill>
          </w14:textFill>
        </w:rPr>
        <w:t>；制造商为</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（企业名称）</w:t>
      </w:r>
      <w:r>
        <w:rPr>
          <w:rFonts w:hint="eastAsia" w:ascii="宋体" w:hAnsi="宋体" w:eastAsia="宋体" w:cs="宋体"/>
          <w:color w:val="000000" w:themeColor="text1"/>
          <w:kern w:val="2"/>
          <w:sz w:val="24"/>
          <w:szCs w:val="24"/>
          <w:lang w:val="en-US" w:eastAsia="zh-CN" w:bidi="ar-SA"/>
          <w14:textFill>
            <w14:solidFill>
              <w14:schemeClr w14:val="tx1"/>
            </w14:solidFill>
          </w14:textFill>
        </w:rPr>
        <w:t>，从业人员</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ab/>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人，营业收入为</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ab/>
      </w:r>
      <w:r>
        <w:rPr>
          <w:rFonts w:hint="eastAsia" w:ascii="宋体" w:hAnsi="宋体" w:eastAsia="宋体" w:cs="宋体"/>
          <w:color w:val="000000" w:themeColor="text1"/>
          <w:kern w:val="2"/>
          <w:sz w:val="24"/>
          <w:szCs w:val="24"/>
          <w:lang w:val="en-US" w:eastAsia="zh-CN" w:bidi="ar-SA"/>
          <w14:textFill>
            <w14:solidFill>
              <w14:schemeClr w14:val="tx1"/>
            </w14:solidFill>
          </w14:textFill>
        </w:rPr>
        <w:t>万元，资产总额为</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万元，属于</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（中型企业、小型企业、微型企业）</w:t>
      </w: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p>
    <w:p w14:paraId="3030B237">
      <w:pPr>
        <w:pStyle w:val="11"/>
        <w:keepNext w:val="0"/>
        <w:keepLines w:val="0"/>
        <w:pageBreakBefore w:val="0"/>
        <w:widowControl w:val="0"/>
        <w:numPr>
          <w:ilvl w:val="0"/>
          <w:numId w:val="17"/>
        </w:numPr>
        <w:kinsoku/>
        <w:wordWrap/>
        <w:overflowPunct/>
        <w:topLinePunct w:val="0"/>
        <w:autoSpaceDE/>
        <w:autoSpaceDN/>
        <w:bidi w:val="0"/>
        <w:adjustRightInd/>
        <w:snapToGrid/>
        <w:spacing w:before="2" w:line="480" w:lineRule="auto"/>
        <w:ind w:firstLine="480" w:firstLineChars="20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u w:val="single"/>
          <w:lang w:val="zh-CN" w:eastAsia="zh-CN" w:bidi="ar-SA"/>
          <w14:textFill>
            <w14:solidFill>
              <w14:schemeClr w14:val="tx1"/>
            </w14:solidFill>
          </w14:textFill>
        </w:rPr>
        <w:t>（标的名称）</w:t>
      </w:r>
      <w:r>
        <w:rPr>
          <w:rFonts w:hint="eastAsia" w:ascii="宋体" w:hAnsi="宋体" w:eastAsia="宋体" w:cs="宋体"/>
          <w:color w:val="000000" w:themeColor="text1"/>
          <w:kern w:val="2"/>
          <w:sz w:val="24"/>
          <w:szCs w:val="24"/>
          <w:lang w:val="en-US" w:eastAsia="zh-CN" w:bidi="ar-SA"/>
          <w14:textFill>
            <w14:solidFill>
              <w14:schemeClr w14:val="tx1"/>
            </w14:solidFill>
          </w14:textFill>
        </w:rPr>
        <w:t>，属于</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（采购文件中明确的所属行业）行业</w:t>
      </w:r>
      <w:r>
        <w:rPr>
          <w:rFonts w:hint="eastAsia" w:ascii="宋体" w:hAnsi="宋体" w:eastAsia="宋体" w:cs="宋体"/>
          <w:color w:val="000000" w:themeColor="text1"/>
          <w:kern w:val="2"/>
          <w:sz w:val="24"/>
          <w:szCs w:val="24"/>
          <w:lang w:val="en-US" w:eastAsia="zh-CN" w:bidi="ar-SA"/>
          <w14:textFill>
            <w14:solidFill>
              <w14:schemeClr w14:val="tx1"/>
            </w14:solidFill>
          </w14:textFill>
        </w:rPr>
        <w:t>；制造商为</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（企业名称）</w:t>
      </w:r>
      <w:r>
        <w:rPr>
          <w:rFonts w:hint="eastAsia" w:ascii="宋体" w:hAnsi="宋体" w:eastAsia="宋体" w:cs="宋体"/>
          <w:color w:val="000000" w:themeColor="text1"/>
          <w:kern w:val="2"/>
          <w:sz w:val="24"/>
          <w:szCs w:val="24"/>
          <w:lang w:val="en-US" w:eastAsia="zh-CN" w:bidi="ar-SA"/>
          <w14:textFill>
            <w14:solidFill>
              <w14:schemeClr w14:val="tx1"/>
            </w14:solidFill>
          </w14:textFill>
        </w:rPr>
        <w:t>，从业人员</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ab/>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人，营业收入为</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ab/>
      </w:r>
      <w:r>
        <w:rPr>
          <w:rFonts w:hint="eastAsia" w:ascii="宋体" w:hAnsi="宋体" w:eastAsia="宋体" w:cs="宋体"/>
          <w:color w:val="000000" w:themeColor="text1"/>
          <w:kern w:val="2"/>
          <w:sz w:val="24"/>
          <w:szCs w:val="24"/>
          <w:lang w:val="en-US" w:eastAsia="zh-CN" w:bidi="ar-SA"/>
          <w14:textFill>
            <w14:solidFill>
              <w14:schemeClr w14:val="tx1"/>
            </w14:solidFill>
          </w14:textFill>
        </w:rPr>
        <w:t>万元，资产总额为</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万元，属于</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（中型企业、小型企业、微型企业）</w:t>
      </w: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p>
    <w:p w14:paraId="156F74EE">
      <w:pPr>
        <w:pStyle w:val="11"/>
        <w:keepNext w:val="0"/>
        <w:keepLines w:val="0"/>
        <w:pageBreakBefore w:val="0"/>
        <w:widowControl w:val="0"/>
        <w:kinsoku/>
        <w:wordWrap/>
        <w:overflowPunct/>
        <w:topLinePunct w:val="0"/>
        <w:autoSpaceDE/>
        <w:autoSpaceDN/>
        <w:bidi w:val="0"/>
        <w:adjustRightInd/>
        <w:snapToGrid/>
        <w:spacing w:before="2" w:line="480" w:lineRule="auto"/>
        <w:ind w:left="420" w:leftChars="20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p>
    <w:p w14:paraId="49F4D486">
      <w:pPr>
        <w:pStyle w:val="11"/>
        <w:keepNext w:val="0"/>
        <w:keepLines w:val="0"/>
        <w:pageBreakBefore w:val="0"/>
        <w:widowControl w:val="0"/>
        <w:kinsoku/>
        <w:wordWrap/>
        <w:overflowPunct/>
        <w:topLinePunct w:val="0"/>
        <w:autoSpaceDE/>
        <w:autoSpaceDN/>
        <w:bidi w:val="0"/>
        <w:adjustRightInd/>
        <w:snapToGrid/>
        <w:spacing w:before="2" w:line="480" w:lineRule="auto"/>
        <w:ind w:firstLine="480" w:firstLineChars="20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以上企业，不属于大企业的分支机构，不存在控股股东为大企业的情形，也不存在与大企业的负责人为同一人的情形。</w:t>
      </w:r>
    </w:p>
    <w:p w14:paraId="54927613">
      <w:pPr>
        <w:pStyle w:val="11"/>
        <w:keepNext w:val="0"/>
        <w:keepLines w:val="0"/>
        <w:pageBreakBefore w:val="0"/>
        <w:widowControl w:val="0"/>
        <w:kinsoku/>
        <w:wordWrap/>
        <w:overflowPunct/>
        <w:topLinePunct w:val="0"/>
        <w:autoSpaceDE/>
        <w:autoSpaceDN/>
        <w:bidi w:val="0"/>
        <w:adjustRightInd/>
        <w:snapToGrid/>
        <w:spacing w:before="2" w:line="480" w:lineRule="auto"/>
        <w:ind w:left="420" w:leftChars="20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本企业对上述声明内容的真实性负责。如有虚假，将依法承担相应责任。</w:t>
      </w:r>
    </w:p>
    <w:p w14:paraId="371743AB">
      <w:pPr>
        <w:pStyle w:val="110"/>
        <w:keepNext w:val="0"/>
        <w:keepLines w:val="0"/>
        <w:pageBreakBefore w:val="0"/>
        <w:widowControl w:val="0"/>
        <w:kinsoku/>
        <w:wordWrap/>
        <w:overflowPunct/>
        <w:topLinePunct w:val="0"/>
        <w:autoSpaceDE/>
        <w:autoSpaceDN/>
        <w:bidi w:val="0"/>
        <w:adjustRightInd/>
        <w:snapToGrid/>
        <w:spacing w:line="480" w:lineRule="auto"/>
        <w:ind w:firstLine="4560" w:firstLineChars="190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企业名称（盖章）：</w:t>
      </w:r>
    </w:p>
    <w:p w14:paraId="785C187F">
      <w:pPr>
        <w:pStyle w:val="110"/>
        <w:keepNext w:val="0"/>
        <w:keepLines w:val="0"/>
        <w:pageBreakBefore w:val="0"/>
        <w:widowControl w:val="0"/>
        <w:kinsoku/>
        <w:wordWrap/>
        <w:overflowPunct/>
        <w:topLinePunct w:val="0"/>
        <w:autoSpaceDE/>
        <w:autoSpaceDN/>
        <w:bidi w:val="0"/>
        <w:adjustRightInd/>
        <w:snapToGrid/>
        <w:spacing w:line="480" w:lineRule="auto"/>
        <w:ind w:firstLine="4560" w:firstLineChars="190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日期：</w:t>
      </w:r>
    </w:p>
    <w:p w14:paraId="7D216AB4">
      <w:pPr>
        <w:pStyle w:val="110"/>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备注：1、中小企业参加政府采购活动，应当按照《政府采购促进中小企业发展管理办法》（财库〔2020〕46号）规定和《中小企业划型标准规定》（工信部联企业〔2011〕300号），如实填写并提交本《中小企业声明函》。</w:t>
      </w:r>
    </w:p>
    <w:p w14:paraId="61154033">
      <w:pPr>
        <w:pStyle w:val="110"/>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2、从业人员、营业收入、资产总额填报上一年度数据，无上一年度数据的新成立企业可不填报。</w:t>
      </w:r>
    </w:p>
    <w:p w14:paraId="6CCF0698">
      <w:pPr>
        <w:pStyle w:val="11"/>
        <w:rPr>
          <w:rFonts w:hint="eastAsia" w:ascii="宋体" w:hAnsi="宋体" w:eastAsia="宋体" w:cs="宋体"/>
          <w:color w:val="000000" w:themeColor="text1"/>
          <w:sz w:val="24"/>
          <w:szCs w:val="24"/>
          <w14:textFill>
            <w14:solidFill>
              <w14:schemeClr w14:val="tx1"/>
            </w14:solidFill>
          </w14:textFill>
        </w:rPr>
      </w:pPr>
    </w:p>
    <w:p w14:paraId="1AFFB0E2">
      <w:pPr>
        <w:outlineLvl w:val="0"/>
        <w:rPr>
          <w:rFonts w:hint="eastAsia" w:ascii="宋体" w:hAnsi="宋体" w:eastAsia="宋体" w:cs="宋体"/>
          <w:b/>
          <w:color w:val="000000" w:themeColor="text1"/>
          <w:sz w:val="24"/>
          <w:lang w:eastAsia="zh-CN"/>
          <w14:textFill>
            <w14:solidFill>
              <w14:schemeClr w14:val="tx1"/>
            </w14:solidFill>
          </w14:textFill>
        </w:rPr>
      </w:pPr>
      <w:bookmarkStart w:id="1000" w:name="_Toc7007"/>
      <w:bookmarkStart w:id="1001" w:name="_Toc12082"/>
      <w:bookmarkStart w:id="1002" w:name="_Toc31861"/>
      <w:bookmarkStart w:id="1003" w:name="_Toc13422"/>
      <w:bookmarkStart w:id="1004" w:name="_Toc1373"/>
      <w:bookmarkStart w:id="1005" w:name="_Toc3759"/>
      <w:bookmarkStart w:id="1006" w:name="_Toc2637"/>
      <w:bookmarkStart w:id="1007" w:name="_Toc150_WPSOffice_Level1"/>
      <w:bookmarkStart w:id="1008" w:name="_Toc19469"/>
      <w:r>
        <w:rPr>
          <w:rFonts w:hint="eastAsia" w:ascii="宋体" w:hAnsi="宋体" w:eastAsia="宋体" w:cs="宋体"/>
          <w:b/>
          <w:color w:val="000000" w:themeColor="text1"/>
          <w:sz w:val="24"/>
          <w14:textFill>
            <w14:solidFill>
              <w14:schemeClr w14:val="tx1"/>
            </w14:solidFill>
          </w14:textFill>
        </w:rPr>
        <w:t>附件</w:t>
      </w:r>
      <w:bookmarkEnd w:id="1000"/>
      <w:bookmarkEnd w:id="1001"/>
      <w:bookmarkEnd w:id="1002"/>
      <w:bookmarkEnd w:id="1003"/>
      <w:bookmarkEnd w:id="1004"/>
      <w:bookmarkEnd w:id="1005"/>
      <w:bookmarkEnd w:id="1006"/>
      <w:r>
        <w:rPr>
          <w:rFonts w:hint="eastAsia" w:ascii="宋体" w:hAnsi="宋体" w:cs="宋体"/>
          <w:b/>
          <w:color w:val="000000" w:themeColor="text1"/>
          <w:sz w:val="24"/>
          <w:lang w:val="en-US" w:eastAsia="zh-CN"/>
          <w14:textFill>
            <w14:solidFill>
              <w14:schemeClr w14:val="tx1"/>
            </w14:solidFill>
          </w14:textFill>
        </w:rPr>
        <w:t>2</w:t>
      </w:r>
    </w:p>
    <w:p w14:paraId="791CA4A2">
      <w:pPr>
        <w:widowControl/>
        <w:shd w:val="clear" w:color="auto" w:fill="auto"/>
        <w:spacing w:before="120" w:beforeLines="50" w:after="120" w:afterLines="50" w:line="360" w:lineRule="auto"/>
        <w:jc w:val="center"/>
        <w:textAlignment w:val="baseline"/>
        <w:rPr>
          <w:rFonts w:hint="eastAsia" w:ascii="宋体" w:hAnsi="宋体"/>
          <w:b/>
          <w:color w:val="000000" w:themeColor="text1"/>
          <w:kern w:val="0"/>
          <w:sz w:val="28"/>
          <w:szCs w:val="28"/>
          <w14:textFill>
            <w14:solidFill>
              <w14:schemeClr w14:val="tx1"/>
            </w14:solidFill>
          </w14:textFill>
        </w:rPr>
      </w:pPr>
    </w:p>
    <w:p w14:paraId="066D2A16">
      <w:pPr>
        <w:widowControl/>
        <w:shd w:val="clear" w:color="auto" w:fill="auto"/>
        <w:spacing w:before="120" w:beforeLines="50" w:after="120" w:afterLines="50" w:line="360" w:lineRule="auto"/>
        <w:jc w:val="center"/>
        <w:textAlignment w:val="baseline"/>
        <w:outlineLvl w:val="0"/>
        <w:rPr>
          <w:rFonts w:hint="eastAsia" w:ascii="宋体" w:hAnsi="宋体"/>
          <w:b/>
          <w:color w:val="000000" w:themeColor="text1"/>
          <w:kern w:val="0"/>
          <w:sz w:val="28"/>
          <w:szCs w:val="28"/>
          <w14:textFill>
            <w14:solidFill>
              <w14:schemeClr w14:val="tx1"/>
            </w14:solidFill>
          </w14:textFill>
        </w:rPr>
      </w:pPr>
      <w:bookmarkStart w:id="1009" w:name="_Toc17548"/>
      <w:bookmarkStart w:id="1010" w:name="_Toc1051"/>
      <w:bookmarkStart w:id="1011" w:name="_Toc18601"/>
      <w:bookmarkStart w:id="1012" w:name="_Toc24984"/>
      <w:bookmarkStart w:id="1013" w:name="_Toc25831"/>
      <w:bookmarkStart w:id="1014" w:name="_Toc31626"/>
      <w:bookmarkStart w:id="1015" w:name="_Toc29410"/>
      <w:r>
        <w:rPr>
          <w:rFonts w:hint="eastAsia" w:ascii="宋体" w:hAnsi="宋体"/>
          <w:b/>
          <w:color w:val="000000" w:themeColor="text1"/>
          <w:kern w:val="0"/>
          <w:sz w:val="28"/>
          <w:szCs w:val="28"/>
          <w14:textFill>
            <w14:solidFill>
              <w14:schemeClr w14:val="tx1"/>
            </w14:solidFill>
          </w14:textFill>
        </w:rPr>
        <w:t>残疾人福利性单位声明函（是/否）</w:t>
      </w:r>
      <w:bookmarkEnd w:id="1007"/>
      <w:bookmarkEnd w:id="1008"/>
      <w:bookmarkEnd w:id="1009"/>
      <w:bookmarkEnd w:id="1010"/>
      <w:bookmarkEnd w:id="1011"/>
      <w:bookmarkEnd w:id="1012"/>
      <w:bookmarkEnd w:id="1013"/>
      <w:bookmarkEnd w:id="1014"/>
      <w:bookmarkEnd w:id="1015"/>
    </w:p>
    <w:p w14:paraId="689ECAEF">
      <w:pPr>
        <w:widowControl/>
        <w:shd w:val="clear" w:color="auto" w:fill="auto"/>
        <w:spacing w:before="120" w:beforeLines="50" w:after="240" w:line="360" w:lineRule="auto"/>
        <w:jc w:val="left"/>
        <w:textAlignment w:val="baseline"/>
        <w:rPr>
          <w:rFonts w:hint="eastAsia" w:ascii="宋体" w:hAnsi="宋体"/>
          <w:b/>
          <w:color w:val="000000" w:themeColor="text1"/>
          <w:sz w:val="24"/>
          <w14:textFill>
            <w14:solidFill>
              <w14:schemeClr w14:val="tx1"/>
            </w14:solidFill>
          </w14:textFill>
        </w:rPr>
      </w:pPr>
    </w:p>
    <w:p w14:paraId="1C729CF0">
      <w:pPr>
        <w:widowControl/>
        <w:shd w:val="clear" w:color="auto" w:fill="auto"/>
        <w:spacing w:before="120" w:beforeLines="50" w:after="240" w:line="360" w:lineRule="auto"/>
        <w:jc w:val="left"/>
        <w:textAlignment w:val="baseline"/>
        <w:rPr>
          <w:rFonts w:hint="eastAsia" w:ascii="宋体" w:hAnsi="宋体"/>
          <w:b/>
          <w:color w:val="000000" w:themeColor="text1"/>
          <w:kern w:val="0"/>
          <w:sz w:val="36"/>
          <w:szCs w:val="36"/>
          <w14:textFill>
            <w14:solidFill>
              <w14:schemeClr w14:val="tx1"/>
            </w14:solidFill>
          </w14:textFill>
        </w:rPr>
      </w:pPr>
      <w:r>
        <w:rPr>
          <w:rFonts w:hint="eastAsia" w:ascii="宋体" w:hAnsi="宋体"/>
          <w:b/>
          <w:color w:val="000000" w:themeColor="text1"/>
          <w:sz w:val="24"/>
          <w14:textFill>
            <w14:solidFill>
              <w14:schemeClr w14:val="tx1"/>
            </w14:solidFill>
          </w14:textFill>
        </w:rPr>
        <w:t>陕西宸永项目管理有限公司：</w:t>
      </w:r>
    </w:p>
    <w:p w14:paraId="22FAC6E1">
      <w:pPr>
        <w:widowControl/>
        <w:shd w:val="clear" w:color="auto" w:fill="auto"/>
        <w:spacing w:after="240" w:line="360" w:lineRule="auto"/>
        <w:ind w:firstLine="480"/>
        <w:jc w:val="left"/>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本公司郑重声明，根据《财政部 民政部 中国残疾人联合会关于促进残疾人就业政府采购政策的通知》（财库〔2017〕141号）的规定，本单位为符合条件的残疾人福利性单位，且本公司参加</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（采购人）的</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项目采购活动提供本公司制造的货物（由本单位承担工程/提供服务），或者提供其他残疾人福利性单位制造的货物（不包括使用非残疾人福利性单位注册商标的货物）。</w:t>
      </w:r>
    </w:p>
    <w:p w14:paraId="1F4272EF">
      <w:pPr>
        <w:widowControl/>
        <w:shd w:val="clear" w:color="auto" w:fill="auto"/>
        <w:spacing w:after="240" w:line="360" w:lineRule="auto"/>
        <w:ind w:firstLine="480"/>
        <w:jc w:val="left"/>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本公司对上述声明的真实性负责。如有虚假，将依法承担相应责任。</w:t>
      </w:r>
    </w:p>
    <w:p w14:paraId="574A0FCC">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p>
    <w:p w14:paraId="14EDC0EC">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特此声明！</w:t>
      </w:r>
    </w:p>
    <w:p w14:paraId="71F80719">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p>
    <w:p w14:paraId="13649497">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声  明  人:</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(供应商名称、公章)</w:t>
      </w:r>
    </w:p>
    <w:p w14:paraId="27E0A304">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p>
    <w:p w14:paraId="76EBB5EB">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（签名或盖章）</w:t>
      </w:r>
    </w:p>
    <w:p w14:paraId="1DA38057">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p>
    <w:p w14:paraId="3EEA2186">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日      期：</w:t>
      </w:r>
    </w:p>
    <w:p w14:paraId="0561C668">
      <w:pPr>
        <w:shd w:val="clear" w:color="auto" w:fill="auto"/>
        <w:rPr>
          <w:rFonts w:hint="eastAsia"/>
          <w:color w:val="000000" w:themeColor="text1"/>
          <w14:textFill>
            <w14:solidFill>
              <w14:schemeClr w14:val="tx1"/>
            </w14:solidFill>
          </w14:textFill>
        </w:rPr>
      </w:pPr>
    </w:p>
    <w:p w14:paraId="3ACFE1C7">
      <w:pPr>
        <w:shd w:val="clear" w:color="auto" w:fill="auto"/>
        <w:rPr>
          <w:rFonts w:hint="eastAsia"/>
          <w:color w:val="000000" w:themeColor="text1"/>
          <w14:textFill>
            <w14:solidFill>
              <w14:schemeClr w14:val="tx1"/>
            </w14:solidFill>
          </w14:textFill>
        </w:rPr>
      </w:pPr>
    </w:p>
    <w:p w14:paraId="5176C8A7">
      <w:pPr>
        <w:shd w:val="clear" w:color="auto" w:fill="auto"/>
        <w:rPr>
          <w:rFonts w:hint="eastAsia"/>
          <w:color w:val="000000" w:themeColor="text1"/>
          <w14:textFill>
            <w14:solidFill>
              <w14:schemeClr w14:val="tx1"/>
            </w14:solidFill>
          </w14:textFill>
        </w:rPr>
      </w:pPr>
    </w:p>
    <w:p w14:paraId="73E05BB4">
      <w:pPr>
        <w:shd w:val="clear" w:color="auto" w:fill="auto"/>
        <w:rPr>
          <w:rFonts w:hint="eastAsia"/>
          <w:color w:val="000000" w:themeColor="text1"/>
          <w14:textFill>
            <w14:solidFill>
              <w14:schemeClr w14:val="tx1"/>
            </w14:solidFill>
          </w14:textFill>
        </w:rPr>
      </w:pPr>
    </w:p>
    <w:p w14:paraId="5E51A5AE">
      <w:pPr>
        <w:shd w:val="clear" w:color="auto" w:fill="auto"/>
        <w:rPr>
          <w:rFonts w:hint="eastAsia"/>
          <w:color w:val="000000" w:themeColor="text1"/>
          <w14:textFill>
            <w14:solidFill>
              <w14:schemeClr w14:val="tx1"/>
            </w14:solidFill>
          </w14:textFill>
        </w:rPr>
      </w:pPr>
    </w:p>
    <w:p w14:paraId="18DEE795">
      <w:pPr>
        <w:shd w:val="clear" w:color="auto" w:fill="auto"/>
        <w:rPr>
          <w:rFonts w:hint="eastAsia"/>
          <w:color w:val="000000" w:themeColor="text1"/>
          <w14:textFill>
            <w14:solidFill>
              <w14:schemeClr w14:val="tx1"/>
            </w14:solidFill>
          </w14:textFill>
        </w:rPr>
      </w:pPr>
    </w:p>
    <w:p w14:paraId="2A1BBAF7">
      <w:pPr>
        <w:shd w:val="clear" w:color="auto" w:fill="auto"/>
        <w:rPr>
          <w:rFonts w:hint="eastAsia"/>
          <w:color w:val="000000" w:themeColor="text1"/>
          <w14:textFill>
            <w14:solidFill>
              <w14:schemeClr w14:val="tx1"/>
            </w14:solidFill>
          </w14:textFill>
        </w:rPr>
      </w:pPr>
    </w:p>
    <w:p w14:paraId="6FCC7926">
      <w:pPr>
        <w:pStyle w:val="13"/>
        <w:shd w:val="clear" w:color="auto" w:fill="auto"/>
        <w:ind w:left="1470" w:right="1470"/>
        <w:rPr>
          <w:rFonts w:hint="eastAsia"/>
          <w:color w:val="000000" w:themeColor="text1"/>
          <w14:textFill>
            <w14:solidFill>
              <w14:schemeClr w14:val="tx1"/>
            </w14:solidFill>
          </w14:textFill>
        </w:rPr>
      </w:pPr>
    </w:p>
    <w:p w14:paraId="77BFC347">
      <w:pPr>
        <w:pStyle w:val="13"/>
        <w:shd w:val="clear" w:color="auto" w:fill="auto"/>
        <w:ind w:left="1470" w:right="1470"/>
        <w:rPr>
          <w:rFonts w:hint="eastAsia"/>
          <w:color w:val="000000" w:themeColor="text1"/>
          <w14:textFill>
            <w14:solidFill>
              <w14:schemeClr w14:val="tx1"/>
            </w14:solidFill>
          </w14:textFill>
        </w:rPr>
      </w:pPr>
    </w:p>
    <w:p w14:paraId="224C4DE5">
      <w:pPr>
        <w:pStyle w:val="13"/>
        <w:shd w:val="clear" w:color="auto" w:fill="auto"/>
        <w:ind w:left="1470" w:right="1470"/>
        <w:rPr>
          <w:rFonts w:hint="eastAsia"/>
          <w:color w:val="000000" w:themeColor="text1"/>
          <w14:textFill>
            <w14:solidFill>
              <w14:schemeClr w14:val="tx1"/>
            </w14:solidFill>
          </w14:textFill>
        </w:rPr>
      </w:pPr>
    </w:p>
    <w:p w14:paraId="34B8AC6F">
      <w:pPr>
        <w:pStyle w:val="13"/>
        <w:shd w:val="clear" w:color="auto" w:fill="auto"/>
        <w:ind w:left="1470" w:right="1470"/>
        <w:rPr>
          <w:rFonts w:hint="eastAsia"/>
          <w:color w:val="000000" w:themeColor="text1"/>
          <w14:textFill>
            <w14:solidFill>
              <w14:schemeClr w14:val="tx1"/>
            </w14:solidFill>
          </w14:textFill>
        </w:rPr>
      </w:pPr>
    </w:p>
    <w:p w14:paraId="101F639E">
      <w:pPr>
        <w:pStyle w:val="13"/>
        <w:shd w:val="clear" w:color="auto" w:fill="auto"/>
        <w:ind w:left="1470" w:right="1470"/>
        <w:rPr>
          <w:rFonts w:hint="eastAsia"/>
          <w:color w:val="000000" w:themeColor="text1"/>
          <w14:textFill>
            <w14:solidFill>
              <w14:schemeClr w14:val="tx1"/>
            </w14:solidFill>
          </w14:textFill>
        </w:rPr>
      </w:pPr>
    </w:p>
    <w:p w14:paraId="30190009">
      <w:pPr>
        <w:pStyle w:val="13"/>
        <w:shd w:val="clear" w:color="auto" w:fill="auto"/>
        <w:ind w:left="1470" w:right="1470"/>
        <w:rPr>
          <w:rFonts w:hint="eastAsia"/>
          <w:color w:val="000000" w:themeColor="text1"/>
          <w14:textFill>
            <w14:solidFill>
              <w14:schemeClr w14:val="tx1"/>
            </w14:solidFill>
          </w14:textFill>
        </w:rPr>
      </w:pPr>
    </w:p>
    <w:p w14:paraId="06572088">
      <w:pPr>
        <w:shd w:val="clear" w:color="auto" w:fill="auto"/>
        <w:outlineLvl w:val="0"/>
        <w:rPr>
          <w:rFonts w:hint="default" w:ascii="宋体" w:hAnsi="宋体" w:eastAsia="宋体" w:cs="宋体"/>
          <w:b/>
          <w:color w:val="000000" w:themeColor="text1"/>
          <w:sz w:val="24"/>
          <w:lang w:val="en-US" w:eastAsia="zh-CN"/>
          <w14:textFill>
            <w14:solidFill>
              <w14:schemeClr w14:val="tx1"/>
            </w14:solidFill>
          </w14:textFill>
        </w:rPr>
      </w:pPr>
      <w:bookmarkStart w:id="1016" w:name="_Toc15339"/>
      <w:bookmarkStart w:id="1017" w:name="_Toc12335"/>
      <w:bookmarkStart w:id="1018" w:name="_Toc8199"/>
      <w:bookmarkStart w:id="1019" w:name="_Toc32027"/>
      <w:bookmarkStart w:id="1020" w:name="_Toc4164"/>
      <w:bookmarkStart w:id="1021" w:name="_Toc9395"/>
      <w:bookmarkStart w:id="1022" w:name="_Toc5476"/>
      <w:r>
        <w:rPr>
          <w:rFonts w:hint="eastAsia" w:ascii="宋体" w:hAnsi="宋体" w:eastAsia="宋体" w:cs="宋体"/>
          <w:b/>
          <w:color w:val="000000" w:themeColor="text1"/>
          <w:sz w:val="24"/>
          <w14:textFill>
            <w14:solidFill>
              <w14:schemeClr w14:val="tx1"/>
            </w14:solidFill>
          </w14:textFill>
        </w:rPr>
        <w:t>附件</w:t>
      </w:r>
      <w:bookmarkEnd w:id="1016"/>
      <w:bookmarkEnd w:id="1017"/>
      <w:bookmarkEnd w:id="1018"/>
      <w:bookmarkEnd w:id="1019"/>
      <w:bookmarkEnd w:id="1020"/>
      <w:bookmarkEnd w:id="1021"/>
      <w:bookmarkEnd w:id="1022"/>
      <w:r>
        <w:rPr>
          <w:rFonts w:hint="eastAsia" w:ascii="宋体" w:hAnsi="宋体" w:cs="宋体"/>
          <w:b/>
          <w:color w:val="000000" w:themeColor="text1"/>
          <w:sz w:val="24"/>
          <w:lang w:val="en-US" w:eastAsia="zh-CN"/>
          <w14:textFill>
            <w14:solidFill>
              <w14:schemeClr w14:val="tx1"/>
            </w14:solidFill>
          </w14:textFill>
        </w:rPr>
        <w:t>3</w:t>
      </w:r>
    </w:p>
    <w:p w14:paraId="7C141D74">
      <w:pPr>
        <w:shd w:val="clear" w:color="auto" w:fill="auto"/>
        <w:rPr>
          <w:rFonts w:hint="eastAsia"/>
          <w:color w:val="000000" w:themeColor="text1"/>
          <w14:textFill>
            <w14:solidFill>
              <w14:schemeClr w14:val="tx1"/>
            </w14:solidFill>
          </w14:textFill>
        </w:rPr>
      </w:pPr>
    </w:p>
    <w:p w14:paraId="5492705E">
      <w:pPr>
        <w:shd w:val="clear" w:color="auto" w:fill="auto"/>
        <w:rPr>
          <w:rFonts w:hint="eastAsia"/>
          <w:color w:val="000000" w:themeColor="text1"/>
          <w14:textFill>
            <w14:solidFill>
              <w14:schemeClr w14:val="tx1"/>
            </w14:solidFill>
          </w14:textFill>
        </w:rPr>
      </w:pPr>
    </w:p>
    <w:p w14:paraId="2786EEC4">
      <w:pPr>
        <w:widowControl/>
        <w:shd w:val="clear" w:color="auto" w:fill="auto"/>
        <w:spacing w:before="120" w:beforeLines="50" w:after="120" w:afterLines="50" w:line="360" w:lineRule="auto"/>
        <w:jc w:val="center"/>
        <w:textAlignment w:val="baseline"/>
        <w:outlineLvl w:val="0"/>
        <w:rPr>
          <w:rFonts w:hint="eastAsia" w:ascii="宋体" w:hAnsi="宋体"/>
          <w:b/>
          <w:color w:val="000000" w:themeColor="text1"/>
          <w:kern w:val="0"/>
          <w:sz w:val="28"/>
          <w:szCs w:val="28"/>
          <w14:textFill>
            <w14:solidFill>
              <w14:schemeClr w14:val="tx1"/>
            </w14:solidFill>
          </w14:textFill>
        </w:rPr>
      </w:pPr>
      <w:bookmarkStart w:id="1023" w:name="_Toc27208_WPSOffice_Level1"/>
      <w:bookmarkStart w:id="1024" w:name="_Toc3262"/>
      <w:bookmarkStart w:id="1025" w:name="_Toc31454"/>
      <w:bookmarkStart w:id="1026" w:name="_Toc4712"/>
      <w:bookmarkStart w:id="1027" w:name="_Toc10298"/>
      <w:bookmarkStart w:id="1028" w:name="_Toc27341"/>
      <w:bookmarkStart w:id="1029" w:name="_Toc21585"/>
      <w:bookmarkStart w:id="1030" w:name="_Toc14109"/>
      <w:bookmarkStart w:id="1031" w:name="_Toc5318"/>
      <w:r>
        <w:rPr>
          <w:rFonts w:hint="eastAsia" w:ascii="宋体" w:hAnsi="宋体"/>
          <w:b/>
          <w:color w:val="000000" w:themeColor="text1"/>
          <w:kern w:val="0"/>
          <w:sz w:val="28"/>
          <w:szCs w:val="28"/>
          <w14:textFill>
            <w14:solidFill>
              <w14:schemeClr w14:val="tx1"/>
            </w14:solidFill>
          </w14:textFill>
        </w:rPr>
        <w:t>监狱企业证明函（是/否）</w:t>
      </w:r>
      <w:bookmarkEnd w:id="1023"/>
      <w:bookmarkEnd w:id="1024"/>
      <w:bookmarkEnd w:id="1025"/>
      <w:bookmarkEnd w:id="1026"/>
      <w:bookmarkEnd w:id="1027"/>
      <w:bookmarkEnd w:id="1028"/>
      <w:bookmarkEnd w:id="1029"/>
      <w:bookmarkEnd w:id="1030"/>
      <w:bookmarkEnd w:id="1031"/>
    </w:p>
    <w:p w14:paraId="22AEF579">
      <w:pPr>
        <w:widowControl/>
        <w:shd w:val="clear" w:color="auto" w:fill="auto"/>
        <w:spacing w:before="120" w:beforeLines="50" w:after="240" w:line="360" w:lineRule="auto"/>
        <w:jc w:val="left"/>
        <w:textAlignment w:val="baseline"/>
        <w:rPr>
          <w:rFonts w:hint="eastAsia" w:ascii="宋体" w:hAnsi="宋体"/>
          <w:b/>
          <w:color w:val="000000" w:themeColor="text1"/>
          <w:sz w:val="24"/>
          <w14:textFill>
            <w14:solidFill>
              <w14:schemeClr w14:val="tx1"/>
            </w14:solidFill>
          </w14:textFill>
        </w:rPr>
      </w:pPr>
    </w:p>
    <w:p w14:paraId="7234A053">
      <w:pPr>
        <w:widowControl/>
        <w:shd w:val="clear" w:color="auto" w:fill="auto"/>
        <w:spacing w:before="120" w:beforeLines="50" w:after="240" w:line="360" w:lineRule="auto"/>
        <w:jc w:val="left"/>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陕西宸永项目管理有限公司：</w:t>
      </w:r>
    </w:p>
    <w:p w14:paraId="15F118A6">
      <w:pPr>
        <w:widowControl/>
        <w:shd w:val="clear" w:color="auto" w:fill="auto"/>
        <w:spacing w:after="240" w:line="360" w:lineRule="auto"/>
        <w:ind w:firstLine="480"/>
        <w:jc w:val="left"/>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根据财政部、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FAE2506">
      <w:pPr>
        <w:widowControl/>
        <w:shd w:val="clear" w:color="auto" w:fill="auto"/>
        <w:spacing w:after="240" w:line="360" w:lineRule="auto"/>
        <w:ind w:firstLine="480"/>
        <w:jc w:val="left"/>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监狱企业参加政府采购活动时，应当提供由省级以上监狱管理局、戒毒管理局（含新疆生产建设兵团）出具的属于监狱企业的证明文件。</w:t>
      </w:r>
    </w:p>
    <w:p w14:paraId="25D6ED65">
      <w:pPr>
        <w:widowControl/>
        <w:shd w:val="clear" w:color="auto" w:fill="auto"/>
        <w:spacing w:after="240" w:line="360" w:lineRule="auto"/>
        <w:ind w:firstLine="480"/>
        <w:jc w:val="left"/>
        <w:textAlignment w:val="baseline"/>
        <w:rPr>
          <w:rFonts w:hint="eastAsia" w:ascii="宋体" w:hAnsi="宋体" w:cs="宋体"/>
          <w:color w:val="000000" w:themeColor="text1"/>
          <w:kern w:val="0"/>
          <w:sz w:val="24"/>
          <w14:textFill>
            <w14:solidFill>
              <w14:schemeClr w14:val="tx1"/>
            </w14:solidFill>
          </w14:textFill>
        </w:rPr>
      </w:pPr>
    </w:p>
    <w:p w14:paraId="18BB4727">
      <w:pPr>
        <w:widowControl/>
        <w:shd w:val="clear" w:color="auto" w:fill="auto"/>
        <w:spacing w:after="240" w:line="360" w:lineRule="auto"/>
        <w:ind w:firstLine="480"/>
        <w:jc w:val="left"/>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本公司对上述声明的真实性负责。如有虚假，将依法承担相应责任。</w:t>
      </w:r>
    </w:p>
    <w:p w14:paraId="1C6D430D">
      <w:pPr>
        <w:pStyle w:val="8"/>
        <w:shd w:val="clear" w:color="auto" w:fill="auto"/>
        <w:spacing w:line="360" w:lineRule="auto"/>
        <w:ind w:firstLine="570"/>
        <w:rPr>
          <w:rFonts w:hint="eastAsia" w:ascii="宋体" w:hAnsi="宋体" w:cs="宋体"/>
          <w:color w:val="000000" w:themeColor="text1"/>
          <w:sz w:val="24"/>
          <w:szCs w:val="24"/>
          <w14:textFill>
            <w14:solidFill>
              <w14:schemeClr w14:val="tx1"/>
            </w14:solidFill>
          </w14:textFill>
        </w:rPr>
      </w:pPr>
    </w:p>
    <w:p w14:paraId="587C63D9">
      <w:pPr>
        <w:pStyle w:val="8"/>
        <w:spacing w:line="360" w:lineRule="auto"/>
        <w:ind w:firstLine="57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特此声明！</w:t>
      </w:r>
    </w:p>
    <w:p w14:paraId="79A4BD65">
      <w:pPr>
        <w:pStyle w:val="8"/>
        <w:spacing w:line="360" w:lineRule="auto"/>
        <w:ind w:firstLine="570"/>
        <w:rPr>
          <w:rFonts w:hint="eastAsia" w:ascii="宋体" w:hAnsi="宋体" w:cs="宋体"/>
          <w:color w:val="000000" w:themeColor="text1"/>
          <w:sz w:val="24"/>
          <w:szCs w:val="24"/>
          <w14:textFill>
            <w14:solidFill>
              <w14:schemeClr w14:val="tx1"/>
            </w14:solidFill>
          </w14:textFill>
        </w:rPr>
      </w:pPr>
    </w:p>
    <w:p w14:paraId="5F62B5E2">
      <w:pPr>
        <w:pStyle w:val="8"/>
        <w:spacing w:line="360" w:lineRule="auto"/>
        <w:ind w:firstLine="57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声  明  人:</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(供应商名称、公章)</w:t>
      </w:r>
    </w:p>
    <w:p w14:paraId="57C56F3B">
      <w:pPr>
        <w:pStyle w:val="8"/>
        <w:spacing w:line="360" w:lineRule="auto"/>
        <w:ind w:firstLine="570"/>
        <w:rPr>
          <w:rFonts w:hint="eastAsia" w:ascii="宋体" w:hAnsi="宋体" w:cs="宋体"/>
          <w:color w:val="000000" w:themeColor="text1"/>
          <w:sz w:val="24"/>
          <w:szCs w:val="24"/>
          <w14:textFill>
            <w14:solidFill>
              <w14:schemeClr w14:val="tx1"/>
            </w14:solidFill>
          </w14:textFill>
        </w:rPr>
      </w:pPr>
    </w:p>
    <w:p w14:paraId="6B74E9B0">
      <w:pPr>
        <w:pStyle w:val="8"/>
        <w:spacing w:line="360" w:lineRule="auto"/>
        <w:ind w:firstLine="57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（签名或盖章）</w:t>
      </w:r>
    </w:p>
    <w:p w14:paraId="66B60D33">
      <w:pPr>
        <w:pStyle w:val="8"/>
        <w:spacing w:line="360" w:lineRule="auto"/>
        <w:ind w:firstLine="570"/>
        <w:rPr>
          <w:rFonts w:hint="eastAsia" w:ascii="宋体" w:hAnsi="宋体" w:cs="宋体"/>
          <w:color w:val="000000" w:themeColor="text1"/>
          <w:sz w:val="24"/>
          <w:szCs w:val="24"/>
          <w14:textFill>
            <w14:solidFill>
              <w14:schemeClr w14:val="tx1"/>
            </w14:solidFill>
          </w14:textFill>
        </w:rPr>
      </w:pPr>
    </w:p>
    <w:p w14:paraId="709634EE">
      <w:pPr>
        <w:pStyle w:val="33"/>
        <w:ind w:firstLine="300"/>
        <w:rPr>
          <w:rFonts w:hint="eastAsia"/>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日      期：</w:t>
      </w:r>
    </w:p>
    <w:sectPr>
      <w:headerReference r:id="rId16" w:type="default"/>
      <w:footerReference r:id="rId17" w:type="default"/>
      <w:pgSz w:w="11907" w:h="16840"/>
      <w:pgMar w:top="1417" w:right="1418" w:bottom="1417" w:left="1417" w:header="680" w:footer="907" w:gutter="0"/>
      <w:pgBorders>
        <w:top w:val="none" w:sz="0" w:space="0"/>
        <w:left w:val="none" w:sz="0" w:space="0"/>
        <w:bottom w:val="none" w:sz="0" w:space="0"/>
        <w:right w:val="none" w:sz="0" w:space="0"/>
      </w:pgBorders>
      <w:pgNumType w:fmt="decimal"/>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Courier New"/>
    <w:panose1 w:val="00000000000000000000"/>
    <w:charset w:val="00"/>
    <w:family w:val="auto"/>
    <w:pitch w:val="default"/>
    <w:sig w:usb0="00000000" w:usb1="00000000" w:usb2="00000000" w:usb3="00000000" w:csb0="00040001" w:csb1="00000000"/>
  </w:font>
  <w:font w:name="Consolas">
    <w:panose1 w:val="020B0609020204030204"/>
    <w:charset w:val="00"/>
    <w:family w:val="modern"/>
    <w:pitch w:val="default"/>
    <w:sig w:usb0="E00006FF" w:usb1="0000FCFF" w:usb2="00000001" w:usb3="00000000" w:csb0="6000019F" w:csb1="DFD70000"/>
  </w:font>
  <w:font w:name="华文中宋">
    <w:altName w:val="宋体"/>
    <w:panose1 w:val="02010600040101010101"/>
    <w:charset w:val="86"/>
    <w:family w:val="auto"/>
    <w:pitch w:val="default"/>
    <w:sig w:usb0="00000000" w:usb1="00000000" w:usb2="00000000" w:usb3="00000000" w:csb0="0004009F" w:csb1="DFD70000"/>
  </w:font>
  <w:font w:name="Abadi MT Condensed Light">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im Sun">
    <w:altName w:val="宋体"/>
    <w:panose1 w:val="00000000000000000000"/>
    <w:charset w:val="86"/>
    <w:family w:val="swiss"/>
    <w:pitch w:val="default"/>
    <w:sig w:usb0="00000000" w:usb1="00000000" w:usb2="0000001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思源宋体 CN Light">
    <w:altName w:val="宋体"/>
    <w:panose1 w:val="00000000000000000000"/>
    <w:charset w:val="86"/>
    <w:family w:val="roman"/>
    <w:pitch w:val="default"/>
    <w:sig w:usb0="00000000" w:usb1="00000000" w:usb2="00000016" w:usb3="00000000" w:csb0="00060107" w:csb1="00000000"/>
  </w:font>
  <w:font w:name="Calibri Light">
    <w:panose1 w:val="020F0302020204030204"/>
    <w:charset w:val="00"/>
    <w:family w:val="swiss"/>
    <w:pitch w:val="default"/>
    <w:sig w:usb0="E4002EFF" w:usb1="C2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华文楷体">
    <w:altName w:val="宋体"/>
    <w:panose1 w:val="02010600040101010101"/>
    <w:charset w:val="86"/>
    <w:family w:val="auto"/>
    <w:pitch w:val="default"/>
    <w:sig w:usb0="00000000" w:usb1="00000000" w:usb2="00000000" w:usb3="00000000" w:csb0="0004009F" w:csb1="DFD7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B5A6E">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DC3B93">
                          <w:pPr>
                            <w:pStyle w:val="2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6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zNLmJ3gEAAL8DAAAOAAAAAAAA&#10;AAEAIAAAAB4BAABkcnMvZTJvRG9jLnhtbFBLBQYAAAAABgAGAFkBAABuBQAAAAA=&#10;">
              <v:fill on="f" focussize="0,0"/>
              <v:stroke on="f"/>
              <v:imagedata o:title=""/>
              <o:lock v:ext="edit" aspectratio="f"/>
              <v:textbox inset="0mm,0mm,0mm,0mm" style="mso-fit-shape-to-text:t;">
                <w:txbxContent>
                  <w:p w14:paraId="67DC3B93">
                    <w:pPr>
                      <w:pStyle w:val="2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9EA30">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89386E">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61 页</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1189386E">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61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D558D">
    <w:pPr>
      <w:pStyle w:val="20"/>
      <w:rPr>
        <w:rFonts w:ascii="仿宋" w:hAnsi="仿宋" w:eastAsia="仿宋"/>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67F7F5">
                          <w:pPr>
                            <w:pStyle w:val="20"/>
                          </w:pPr>
                          <w:r>
                            <w:t xml:space="preserve">第 </w:t>
                          </w:r>
                          <w:r>
                            <w:fldChar w:fldCharType="begin"/>
                          </w:r>
                          <w:r>
                            <w:instrText xml:space="preserve"> PAGE  \* MERGEFORMAT </w:instrText>
                          </w:r>
                          <w:r>
                            <w:fldChar w:fldCharType="separate"/>
                          </w:r>
                          <w:r>
                            <w:t>12</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6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ueGxxN8BAAC/AwAADgAAAAAA&#10;AAABACAAAAAeAQAAZHJzL2Uyb0RvYy54bWxQSwUGAAAAAAYABgBZAQAAbwUAAAAA&#10;">
              <v:fill on="f" focussize="0,0"/>
              <v:stroke on="f"/>
              <v:imagedata o:title=""/>
              <o:lock v:ext="edit" aspectratio="f"/>
              <v:textbox inset="0mm,0mm,0mm,0mm" style="mso-fit-shape-to-text:t;">
                <w:txbxContent>
                  <w:p w14:paraId="7F67F7F5">
                    <w:pPr>
                      <w:pStyle w:val="20"/>
                    </w:pPr>
                    <w:r>
                      <w:t xml:space="preserve">第 </w:t>
                    </w:r>
                    <w:r>
                      <w:fldChar w:fldCharType="begin"/>
                    </w:r>
                    <w:r>
                      <w:instrText xml:space="preserve"> PAGE  \* MERGEFORMAT </w:instrText>
                    </w:r>
                    <w:r>
                      <w:fldChar w:fldCharType="separate"/>
                    </w:r>
                    <w:r>
                      <w:t>12</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3677E">
    <w:pPr>
      <w:pStyle w:val="20"/>
      <w:rPr>
        <w:rFonts w:ascii="仿宋" w:hAnsi="仿宋" w:eastAsia="仿宋"/>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3E599A">
                          <w:pPr>
                            <w:pStyle w:val="20"/>
                          </w:pPr>
                          <w:r>
                            <w:t xml:space="preserve">第 </w:t>
                          </w:r>
                          <w:r>
                            <w:fldChar w:fldCharType="begin"/>
                          </w:r>
                          <w:r>
                            <w:instrText xml:space="preserve"> PAGE  \* MERGEFORMAT </w:instrText>
                          </w:r>
                          <w:r>
                            <w:fldChar w:fldCharType="separate"/>
                          </w:r>
                          <w:r>
                            <w:t>11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D5WwLd8BAAC/AwAADgAAAAAA&#10;AAABACAAAAAeAQAAZHJzL2Uyb0RvYy54bWxQSwUGAAAAAAYABgBZAQAAbwUAAAAA&#10;">
              <v:fill on="f" focussize="0,0"/>
              <v:stroke on="f"/>
              <v:imagedata o:title=""/>
              <o:lock v:ext="edit" aspectratio="f"/>
              <v:textbox inset="0mm,0mm,0mm,0mm" style="mso-fit-shape-to-text:t;">
                <w:txbxContent>
                  <w:p w14:paraId="2A3E599A">
                    <w:pPr>
                      <w:pStyle w:val="20"/>
                    </w:pPr>
                    <w:r>
                      <w:t xml:space="preserve">第 </w:t>
                    </w:r>
                    <w:r>
                      <w:fldChar w:fldCharType="begin"/>
                    </w:r>
                    <w:r>
                      <w:instrText xml:space="preserve"> PAGE  \* MERGEFORMAT </w:instrText>
                    </w:r>
                    <w:r>
                      <w:fldChar w:fldCharType="separate"/>
                    </w:r>
                    <w:r>
                      <w:t>11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8E392">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9E3B28">
                          <w:pPr>
                            <w:pStyle w:val="20"/>
                          </w:pPr>
                          <w:r>
                            <w:t xml:space="preserve">第 </w:t>
                          </w:r>
                          <w:r>
                            <w:fldChar w:fldCharType="begin"/>
                          </w:r>
                          <w:r>
                            <w:instrText xml:space="preserve"> PAGE  \* MERGEFORMAT </w:instrText>
                          </w:r>
                          <w:r>
                            <w:fldChar w:fldCharType="separate"/>
                          </w:r>
                          <w:r>
                            <w:t>32</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7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LH8OR3gEAAL8DAAAOAAAAAAAA&#10;AAEAIAAAAB4BAABkcnMvZTJvRG9jLnhtbFBLBQYAAAAABgAGAFkBAABuBQAAAAA=&#10;">
              <v:fill on="f" focussize="0,0"/>
              <v:stroke on="f"/>
              <v:imagedata o:title=""/>
              <o:lock v:ext="edit" aspectratio="f"/>
              <v:textbox inset="0mm,0mm,0mm,0mm" style="mso-fit-shape-to-text:t;">
                <w:txbxContent>
                  <w:p w14:paraId="0E9E3B28">
                    <w:pPr>
                      <w:pStyle w:val="20"/>
                    </w:pPr>
                    <w:r>
                      <w:t xml:space="preserve">第 </w:t>
                    </w:r>
                    <w:r>
                      <w:fldChar w:fldCharType="begin"/>
                    </w:r>
                    <w:r>
                      <w:instrText xml:space="preserve"> PAGE  \* MERGEFORMAT </w:instrText>
                    </w:r>
                    <w:r>
                      <w:fldChar w:fldCharType="separate"/>
                    </w:r>
                    <w:r>
                      <w:t>32</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6A661">
    <w:pPr>
      <w:pStyle w:val="2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CC44B8">
                          <w:pPr>
                            <w:pStyle w:val="20"/>
                          </w:pPr>
                          <w:r>
                            <w:t xml:space="preserve">第 </w:t>
                          </w:r>
                          <w:r>
                            <w:fldChar w:fldCharType="begin"/>
                          </w:r>
                          <w:r>
                            <w:instrText xml:space="preserve"> PAGE  \* MERGEFORMAT </w:instrText>
                          </w:r>
                          <w:r>
                            <w:fldChar w:fldCharType="separate"/>
                          </w:r>
                          <w:r>
                            <w:t>52</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69"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8z5g43gEAAL8DAAAOAAAAAAAA&#10;AAEAIAAAAB4BAABkcnMvZTJvRG9jLnhtbFBLBQYAAAAABgAGAFkBAABuBQAAAAA=&#10;">
              <v:fill on="f" focussize="0,0"/>
              <v:stroke on="f"/>
              <v:imagedata o:title=""/>
              <o:lock v:ext="edit" aspectratio="f"/>
              <v:textbox inset="0mm,0mm,0mm,0mm" style="mso-fit-shape-to-text:t;">
                <w:txbxContent>
                  <w:p w14:paraId="0DCC44B8">
                    <w:pPr>
                      <w:pStyle w:val="20"/>
                    </w:pPr>
                    <w:r>
                      <w:t xml:space="preserve">第 </w:t>
                    </w:r>
                    <w:r>
                      <w:fldChar w:fldCharType="begin"/>
                    </w:r>
                    <w:r>
                      <w:instrText xml:space="preserve"> PAGE  \* MERGEFORMAT </w:instrText>
                    </w:r>
                    <w:r>
                      <w:fldChar w:fldCharType="separate"/>
                    </w:r>
                    <w:r>
                      <w:t>52</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48D1B">
    <w:pPr>
      <w:pStyle w:val="20"/>
      <w:rPr>
        <w:rFonts w:ascii="仿宋" w:hAnsi="仿宋" w:eastAsia="仿宋"/>
        <w:szCs w:val="18"/>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722DCD">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85</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文本框 74"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IYjm/yQEAAJoDAAAOAAAAAAAAAAEAIAAAAB4BAABkcnMvZTJvRG9j&#10;LnhtbFBLBQYAAAAABgAGAFkBAABZBQAAAAA=&#10;">
              <v:fill on="f" focussize="0,0"/>
              <v:stroke on="f"/>
              <v:imagedata o:title=""/>
              <o:lock v:ext="edit" aspectratio="f"/>
              <v:textbox inset="0mm,0mm,0mm,0mm" style="mso-fit-shape-to-text:t;">
                <w:txbxContent>
                  <w:p w14:paraId="65722DCD">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85</w:t>
                    </w:r>
                    <w:r>
                      <w:rPr>
                        <w:rFonts w:hint="eastAsia"/>
                      </w:rPr>
                      <w:fldChar w:fldCharType="end"/>
                    </w:r>
                    <w:r>
                      <w:rPr>
                        <w:rFonts w:hint="eastAsia"/>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F1323">
    <w:pPr>
      <w:pStyle w:val="20"/>
      <w:rPr>
        <w:rFonts w:ascii="仿宋" w:hAnsi="仿宋" w:eastAsia="仿宋"/>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5B797C">
                          <w:pPr>
                            <w:pStyle w:val="20"/>
                          </w:pPr>
                          <w:r>
                            <w:t xml:space="preserve">第 </w:t>
                          </w:r>
                          <w:r>
                            <w:fldChar w:fldCharType="begin"/>
                          </w:r>
                          <w:r>
                            <w:instrText xml:space="preserve"> PAGE  \* MERGEFORMAT </w:instrText>
                          </w:r>
                          <w:r>
                            <w:fldChar w:fldCharType="separate"/>
                          </w:r>
                          <w:r>
                            <w:t>71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7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6gPH83gEAAMADAAAOAAAAAAAA&#10;AAEAIAAAAB4BAABkcnMvZTJvRG9jLnhtbFBLBQYAAAAABgAGAFkBAABuBQAAAAA=&#10;">
              <v:fill on="f" focussize="0,0"/>
              <v:stroke on="f"/>
              <v:imagedata o:title=""/>
              <o:lock v:ext="edit" aspectratio="f"/>
              <v:textbox inset="0mm,0mm,0mm,0mm" style="mso-fit-shape-to-text:t;">
                <w:txbxContent>
                  <w:p w14:paraId="085B797C">
                    <w:pPr>
                      <w:pStyle w:val="20"/>
                    </w:pPr>
                    <w:r>
                      <w:t xml:space="preserve">第 </w:t>
                    </w:r>
                    <w:r>
                      <w:fldChar w:fldCharType="begin"/>
                    </w:r>
                    <w:r>
                      <w:instrText xml:space="preserve"> PAGE  \* MERGEFORMAT </w:instrText>
                    </w:r>
                    <w:r>
                      <w:fldChar w:fldCharType="separate"/>
                    </w:r>
                    <w:r>
                      <w:t>71</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5811B">
    <w:pPr>
      <w:pStyle w:val="2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162F03">
                          <w:pPr>
                            <w:pStyle w:val="20"/>
                          </w:pPr>
                          <w:r>
                            <w:t xml:space="preserve">第 </w:t>
                          </w:r>
                          <w:r>
                            <w:fldChar w:fldCharType="begin"/>
                          </w:r>
                          <w:r>
                            <w:instrText xml:space="preserve"> PAGE  \* MERGEFORMAT </w:instrText>
                          </w:r>
                          <w:r>
                            <w:fldChar w:fldCharType="separate"/>
                          </w:r>
                          <w:r>
                            <w:t>73</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7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d8r3d8BAADAAwAADgAAAAAA&#10;AAABACAAAAAeAQAAZHJzL2Uyb0RvYy54bWxQSwUGAAAAAAYABgBZAQAAbwUAAAAA&#10;">
              <v:fill on="f" focussize="0,0"/>
              <v:stroke on="f"/>
              <v:imagedata o:title=""/>
              <o:lock v:ext="edit" aspectratio="f"/>
              <v:textbox inset="0mm,0mm,0mm,0mm" style="mso-fit-shape-to-text:t;">
                <w:txbxContent>
                  <w:p w14:paraId="76162F03">
                    <w:pPr>
                      <w:pStyle w:val="20"/>
                    </w:pPr>
                    <w:r>
                      <w:t xml:space="preserve">第 </w:t>
                    </w:r>
                    <w:r>
                      <w:fldChar w:fldCharType="begin"/>
                    </w:r>
                    <w:r>
                      <w:instrText xml:space="preserve"> PAGE  \* MERGEFORMAT </w:instrText>
                    </w:r>
                    <w:r>
                      <w:fldChar w:fldCharType="separate"/>
                    </w:r>
                    <w:r>
                      <w:t>73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068BD">
    <w:pPr>
      <w:pStyle w:val="20"/>
      <w:textAlignment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7BA43">
    <w:pPr>
      <w:pStyle w:val="20"/>
      <w:textAlignment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55314">
    <w:pPr>
      <w:pStyle w:val="20"/>
      <w:textAlignment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50C8C">
    <w:pPr>
      <w:pStyle w:val="22"/>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B00AA">
    <w:pPr>
      <w:pStyle w:val="22"/>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B1F8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FCCA6C"/>
    <w:multiLevelType w:val="singleLevel"/>
    <w:tmpl w:val="91FCCA6C"/>
    <w:lvl w:ilvl="0" w:tentative="0">
      <w:start w:val="1"/>
      <w:numFmt w:val="chineseCounting"/>
      <w:suff w:val="space"/>
      <w:lvlText w:val="第%1章"/>
      <w:lvlJc w:val="left"/>
      <w:rPr>
        <w:rFonts w:hint="eastAsia"/>
      </w:rPr>
    </w:lvl>
  </w:abstractNum>
  <w:abstractNum w:abstractNumId="1">
    <w:nsid w:val="96F92BE7"/>
    <w:multiLevelType w:val="singleLevel"/>
    <w:tmpl w:val="96F92BE7"/>
    <w:lvl w:ilvl="0" w:tentative="0">
      <w:start w:val="2"/>
      <w:numFmt w:val="decimal"/>
      <w:suff w:val="nothing"/>
      <w:lvlText w:val="%1、"/>
      <w:lvlJc w:val="left"/>
    </w:lvl>
  </w:abstractNum>
  <w:abstractNum w:abstractNumId="2">
    <w:nsid w:val="BF6BC116"/>
    <w:multiLevelType w:val="singleLevel"/>
    <w:tmpl w:val="BF6BC116"/>
    <w:lvl w:ilvl="0" w:tentative="0">
      <w:start w:val="16"/>
      <w:numFmt w:val="decimal"/>
      <w:suff w:val="space"/>
      <w:lvlText w:val="%1."/>
      <w:lvlJc w:val="left"/>
    </w:lvl>
  </w:abstractNum>
  <w:abstractNum w:abstractNumId="3">
    <w:nsid w:val="CFE7C3F8"/>
    <w:multiLevelType w:val="singleLevel"/>
    <w:tmpl w:val="CFE7C3F8"/>
    <w:lvl w:ilvl="0" w:tentative="0">
      <w:start w:val="1"/>
      <w:numFmt w:val="decimal"/>
      <w:suff w:val="nothing"/>
      <w:lvlText w:val="（%1）"/>
      <w:lvlJc w:val="left"/>
    </w:lvl>
  </w:abstractNum>
  <w:abstractNum w:abstractNumId="4">
    <w:nsid w:val="DDECD3BC"/>
    <w:multiLevelType w:val="singleLevel"/>
    <w:tmpl w:val="DDECD3BC"/>
    <w:lvl w:ilvl="0" w:tentative="0">
      <w:start w:val="6"/>
      <w:numFmt w:val="decimal"/>
      <w:suff w:val="space"/>
      <w:lvlText w:val="%1."/>
      <w:lvlJc w:val="left"/>
    </w:lvl>
  </w:abstractNum>
  <w:abstractNum w:abstractNumId="5">
    <w:nsid w:val="DE759F4B"/>
    <w:multiLevelType w:val="singleLevel"/>
    <w:tmpl w:val="DE759F4B"/>
    <w:lvl w:ilvl="0" w:tentative="0">
      <w:start w:val="2"/>
      <w:numFmt w:val="decimal"/>
      <w:suff w:val="space"/>
      <w:lvlText w:val="%1."/>
      <w:lvlJc w:val="left"/>
    </w:lvl>
  </w:abstractNum>
  <w:abstractNum w:abstractNumId="6">
    <w:nsid w:val="DEABE1DB"/>
    <w:multiLevelType w:val="singleLevel"/>
    <w:tmpl w:val="DEABE1DB"/>
    <w:lvl w:ilvl="0" w:tentative="0">
      <w:start w:val="23"/>
      <w:numFmt w:val="decimal"/>
      <w:suff w:val="space"/>
      <w:lvlText w:val="%1."/>
      <w:lvlJc w:val="left"/>
    </w:lvl>
  </w:abstractNum>
  <w:abstractNum w:abstractNumId="7">
    <w:nsid w:val="F3712E4A"/>
    <w:multiLevelType w:val="singleLevel"/>
    <w:tmpl w:val="F3712E4A"/>
    <w:lvl w:ilvl="0" w:tentative="0">
      <w:start w:val="1"/>
      <w:numFmt w:val="chineseCounting"/>
      <w:suff w:val="nothing"/>
      <w:lvlText w:val="%1、"/>
      <w:lvlJc w:val="left"/>
      <w:rPr>
        <w:rFonts w:hint="eastAsia"/>
      </w:rPr>
    </w:lvl>
  </w:abstractNum>
  <w:abstractNum w:abstractNumId="8">
    <w:nsid w:val="FFEFC674"/>
    <w:multiLevelType w:val="singleLevel"/>
    <w:tmpl w:val="FFEFC674"/>
    <w:lvl w:ilvl="0" w:tentative="0">
      <w:start w:val="1"/>
      <w:numFmt w:val="decimal"/>
      <w:suff w:val="nothing"/>
      <w:lvlText w:val="（%1）"/>
      <w:lvlJc w:val="left"/>
    </w:lvl>
  </w:abstractNum>
  <w:abstractNum w:abstractNumId="9">
    <w:nsid w:val="00000001"/>
    <w:multiLevelType w:val="singleLevel"/>
    <w:tmpl w:val="00000001"/>
    <w:lvl w:ilvl="0" w:tentative="0">
      <w:start w:val="9"/>
      <w:numFmt w:val="decimal"/>
      <w:suff w:val="nothing"/>
      <w:lvlText w:val="%1．"/>
      <w:lvlJc w:val="left"/>
    </w:lvl>
  </w:abstractNum>
  <w:abstractNum w:abstractNumId="10">
    <w:nsid w:val="124C8C68"/>
    <w:multiLevelType w:val="singleLevel"/>
    <w:tmpl w:val="124C8C68"/>
    <w:lvl w:ilvl="0" w:tentative="0">
      <w:start w:val="1"/>
      <w:numFmt w:val="chineseCounting"/>
      <w:suff w:val="nothing"/>
      <w:lvlText w:val="%1、"/>
      <w:lvlJc w:val="left"/>
      <w:rPr>
        <w:rFonts w:hint="eastAsia"/>
      </w:rPr>
    </w:lvl>
  </w:abstractNum>
  <w:abstractNum w:abstractNumId="11">
    <w:nsid w:val="33101AD5"/>
    <w:multiLevelType w:val="multilevel"/>
    <w:tmpl w:val="33101AD5"/>
    <w:lvl w:ilvl="0" w:tentative="0">
      <w:start w:val="1"/>
      <w:numFmt w:val="decimal"/>
      <w:pStyle w:val="107"/>
      <w:suff w:val="space"/>
      <w:lvlText w:val="%1、"/>
      <w:lvlJc w:val="left"/>
      <w:pPr>
        <w:ind w:left="0" w:firstLine="0"/>
      </w:pPr>
      <w:rPr>
        <w:rFonts w:hint="eastAsia"/>
      </w:rPr>
    </w:lvl>
    <w:lvl w:ilvl="1" w:tentative="0">
      <w:start w:val="1"/>
      <w:numFmt w:val="decimal"/>
      <w:lvlText w:val="%2."/>
      <w:lvlJc w:val="left"/>
      <w:pPr>
        <w:tabs>
          <w:tab w:val="left" w:pos="1440"/>
        </w:tabs>
        <w:ind w:left="1440" w:hanging="720"/>
      </w:pPr>
      <w:rPr>
        <w:rFonts w:hint="eastAsia"/>
      </w:rPr>
    </w:lvl>
    <w:lvl w:ilvl="2" w:tentative="0">
      <w:start w:val="1"/>
      <w:numFmt w:val="decimal"/>
      <w:lvlText w:val="%3."/>
      <w:lvlJc w:val="left"/>
      <w:pPr>
        <w:tabs>
          <w:tab w:val="left" w:pos="2160"/>
        </w:tabs>
        <w:ind w:left="2160" w:hanging="720"/>
      </w:pPr>
      <w:rPr>
        <w:rFonts w:hint="eastAsia"/>
      </w:rPr>
    </w:lvl>
    <w:lvl w:ilvl="3" w:tentative="0">
      <w:start w:val="1"/>
      <w:numFmt w:val="decimal"/>
      <w:lvlText w:val="%4."/>
      <w:lvlJc w:val="left"/>
      <w:pPr>
        <w:tabs>
          <w:tab w:val="left" w:pos="2880"/>
        </w:tabs>
        <w:ind w:left="2880" w:hanging="720"/>
      </w:pPr>
      <w:rPr>
        <w:rFonts w:hint="eastAsia"/>
      </w:rPr>
    </w:lvl>
    <w:lvl w:ilvl="4" w:tentative="0">
      <w:start w:val="1"/>
      <w:numFmt w:val="decimal"/>
      <w:lvlText w:val="%5."/>
      <w:lvlJc w:val="left"/>
      <w:pPr>
        <w:tabs>
          <w:tab w:val="left" w:pos="3600"/>
        </w:tabs>
        <w:ind w:left="3600" w:hanging="720"/>
      </w:pPr>
      <w:rPr>
        <w:rFonts w:hint="eastAsia"/>
      </w:rPr>
    </w:lvl>
    <w:lvl w:ilvl="5" w:tentative="0">
      <w:start w:val="1"/>
      <w:numFmt w:val="decimal"/>
      <w:lvlText w:val="%6."/>
      <w:lvlJc w:val="left"/>
      <w:pPr>
        <w:tabs>
          <w:tab w:val="left" w:pos="4320"/>
        </w:tabs>
        <w:ind w:left="4320" w:hanging="720"/>
      </w:pPr>
      <w:rPr>
        <w:rFonts w:hint="eastAsia"/>
      </w:rPr>
    </w:lvl>
    <w:lvl w:ilvl="6" w:tentative="0">
      <w:start w:val="1"/>
      <w:numFmt w:val="decimal"/>
      <w:lvlText w:val="%7."/>
      <w:lvlJc w:val="left"/>
      <w:pPr>
        <w:tabs>
          <w:tab w:val="left" w:pos="5040"/>
        </w:tabs>
        <w:ind w:left="5040" w:hanging="720"/>
      </w:pPr>
      <w:rPr>
        <w:rFonts w:hint="eastAsia"/>
      </w:rPr>
    </w:lvl>
    <w:lvl w:ilvl="7" w:tentative="0">
      <w:start w:val="1"/>
      <w:numFmt w:val="decimal"/>
      <w:lvlText w:val="%8."/>
      <w:lvlJc w:val="left"/>
      <w:pPr>
        <w:tabs>
          <w:tab w:val="left" w:pos="5760"/>
        </w:tabs>
        <w:ind w:left="5760" w:hanging="720"/>
      </w:pPr>
      <w:rPr>
        <w:rFonts w:hint="eastAsia"/>
      </w:rPr>
    </w:lvl>
    <w:lvl w:ilvl="8" w:tentative="0">
      <w:start w:val="1"/>
      <w:numFmt w:val="decimal"/>
      <w:lvlText w:val="%9."/>
      <w:lvlJc w:val="left"/>
      <w:pPr>
        <w:tabs>
          <w:tab w:val="left" w:pos="6480"/>
        </w:tabs>
        <w:ind w:left="6480" w:hanging="720"/>
      </w:pPr>
      <w:rPr>
        <w:rFonts w:hint="eastAsia"/>
      </w:rPr>
    </w:lvl>
  </w:abstractNum>
  <w:abstractNum w:abstractNumId="12">
    <w:nsid w:val="388382A0"/>
    <w:multiLevelType w:val="singleLevel"/>
    <w:tmpl w:val="388382A0"/>
    <w:lvl w:ilvl="0" w:tentative="0">
      <w:start w:val="1"/>
      <w:numFmt w:val="decimal"/>
      <w:lvlText w:val="%1."/>
      <w:lvlJc w:val="left"/>
      <w:pPr>
        <w:ind w:left="635" w:hanging="425"/>
      </w:pPr>
      <w:rPr>
        <w:rFonts w:hint="default"/>
      </w:rPr>
    </w:lvl>
  </w:abstractNum>
  <w:abstractNum w:abstractNumId="13">
    <w:nsid w:val="42E500A6"/>
    <w:multiLevelType w:val="singleLevel"/>
    <w:tmpl w:val="42E500A6"/>
    <w:lvl w:ilvl="0" w:tentative="0">
      <w:start w:val="2"/>
      <w:numFmt w:val="chineseCounting"/>
      <w:suff w:val="nothing"/>
      <w:lvlText w:val="%1、"/>
      <w:lvlJc w:val="left"/>
      <w:rPr>
        <w:rFonts w:hint="eastAsia"/>
      </w:rPr>
    </w:lvl>
  </w:abstractNum>
  <w:abstractNum w:abstractNumId="14">
    <w:nsid w:val="5B0CE37E"/>
    <w:multiLevelType w:val="singleLevel"/>
    <w:tmpl w:val="5B0CE37E"/>
    <w:lvl w:ilvl="0" w:tentative="0">
      <w:start w:val="1"/>
      <w:numFmt w:val="decimal"/>
      <w:suff w:val="nothing"/>
      <w:lvlText w:val="%1、"/>
      <w:lvlJc w:val="left"/>
    </w:lvl>
  </w:abstractNum>
  <w:abstractNum w:abstractNumId="15">
    <w:nsid w:val="60E4A7B8"/>
    <w:multiLevelType w:val="singleLevel"/>
    <w:tmpl w:val="60E4A7B8"/>
    <w:lvl w:ilvl="0" w:tentative="0">
      <w:start w:val="1"/>
      <w:numFmt w:val="decimal"/>
      <w:suff w:val="nothing"/>
      <w:lvlText w:val="%1、"/>
      <w:lvlJc w:val="left"/>
    </w:lvl>
  </w:abstractNum>
  <w:abstractNum w:abstractNumId="16">
    <w:nsid w:val="7A0F6431"/>
    <w:multiLevelType w:val="singleLevel"/>
    <w:tmpl w:val="7A0F6431"/>
    <w:lvl w:ilvl="0" w:tentative="0">
      <w:start w:val="1"/>
      <w:numFmt w:val="decimal"/>
      <w:suff w:val="space"/>
      <w:lvlText w:val="%1."/>
      <w:lvlJc w:val="left"/>
    </w:lvl>
  </w:abstractNum>
  <w:num w:numId="1">
    <w:abstractNumId w:val="11"/>
  </w:num>
  <w:num w:numId="2">
    <w:abstractNumId w:val="0"/>
  </w:num>
  <w:num w:numId="3">
    <w:abstractNumId w:val="10"/>
  </w:num>
  <w:num w:numId="4">
    <w:abstractNumId w:val="9"/>
  </w:num>
  <w:num w:numId="5">
    <w:abstractNumId w:val="13"/>
  </w:num>
  <w:num w:numId="6">
    <w:abstractNumId w:val="16"/>
  </w:num>
  <w:num w:numId="7">
    <w:abstractNumId w:val="3"/>
  </w:num>
  <w:num w:numId="8">
    <w:abstractNumId w:val="8"/>
  </w:num>
  <w:num w:numId="9">
    <w:abstractNumId w:val="5"/>
  </w:num>
  <w:num w:numId="10">
    <w:abstractNumId w:val="4"/>
  </w:num>
  <w:num w:numId="11">
    <w:abstractNumId w:val="2"/>
  </w:num>
  <w:num w:numId="12">
    <w:abstractNumId w:val="6"/>
  </w:num>
  <w:num w:numId="13">
    <w:abstractNumId w:val="15"/>
  </w:num>
  <w:num w:numId="14">
    <w:abstractNumId w:val="1"/>
  </w:num>
  <w:num w:numId="15">
    <w:abstractNumId w:val="12"/>
  </w:num>
  <w:num w:numId="16">
    <w:abstractNumId w:val="7"/>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CySN8DyLaDI0wVfLnkvY4E8fIaI=" w:salt="qZVMtkM8MSxjfsmGpuuYuA=="/>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1MmM1YjFkMzFlY2UyMWU4ODZlY2M1YzBiYzcxMmYifQ=="/>
  </w:docVars>
  <w:rsids>
    <w:rsidRoot w:val="00172A27"/>
    <w:rsid w:val="000A4488"/>
    <w:rsid w:val="000B0726"/>
    <w:rsid w:val="000C3939"/>
    <w:rsid w:val="000C5832"/>
    <w:rsid w:val="000E729D"/>
    <w:rsid w:val="00184185"/>
    <w:rsid w:val="00272743"/>
    <w:rsid w:val="00276E33"/>
    <w:rsid w:val="002B1AB4"/>
    <w:rsid w:val="00354463"/>
    <w:rsid w:val="00394593"/>
    <w:rsid w:val="003C1B47"/>
    <w:rsid w:val="004A02C2"/>
    <w:rsid w:val="004D3FF0"/>
    <w:rsid w:val="00537B6A"/>
    <w:rsid w:val="005B4DEB"/>
    <w:rsid w:val="005C66C7"/>
    <w:rsid w:val="005E5628"/>
    <w:rsid w:val="00753092"/>
    <w:rsid w:val="007C2C00"/>
    <w:rsid w:val="007D6BA7"/>
    <w:rsid w:val="007E0017"/>
    <w:rsid w:val="00800A01"/>
    <w:rsid w:val="0087241D"/>
    <w:rsid w:val="00962672"/>
    <w:rsid w:val="009D6233"/>
    <w:rsid w:val="00A46141"/>
    <w:rsid w:val="00A54974"/>
    <w:rsid w:val="00A81D22"/>
    <w:rsid w:val="00AE3A75"/>
    <w:rsid w:val="00B20DF2"/>
    <w:rsid w:val="00B5509F"/>
    <w:rsid w:val="00B90E32"/>
    <w:rsid w:val="00B918D9"/>
    <w:rsid w:val="00BB30AE"/>
    <w:rsid w:val="00BF2ECC"/>
    <w:rsid w:val="00C30A68"/>
    <w:rsid w:val="00C31809"/>
    <w:rsid w:val="00C42D8D"/>
    <w:rsid w:val="00C73039"/>
    <w:rsid w:val="00D36C30"/>
    <w:rsid w:val="00D71F1E"/>
    <w:rsid w:val="00DE3A60"/>
    <w:rsid w:val="00E02D68"/>
    <w:rsid w:val="00E75CDE"/>
    <w:rsid w:val="00E84814"/>
    <w:rsid w:val="00EA45AA"/>
    <w:rsid w:val="00EF4366"/>
    <w:rsid w:val="00F930D0"/>
    <w:rsid w:val="01062EEC"/>
    <w:rsid w:val="01086C64"/>
    <w:rsid w:val="01161381"/>
    <w:rsid w:val="01877DA5"/>
    <w:rsid w:val="02160F0D"/>
    <w:rsid w:val="02182ED7"/>
    <w:rsid w:val="021D229B"/>
    <w:rsid w:val="021F6199"/>
    <w:rsid w:val="022950E4"/>
    <w:rsid w:val="0239504F"/>
    <w:rsid w:val="02587777"/>
    <w:rsid w:val="02596B98"/>
    <w:rsid w:val="0261686C"/>
    <w:rsid w:val="029635FE"/>
    <w:rsid w:val="02CD5A6F"/>
    <w:rsid w:val="02EF2BF8"/>
    <w:rsid w:val="03146D17"/>
    <w:rsid w:val="033E7281"/>
    <w:rsid w:val="03AA58EB"/>
    <w:rsid w:val="04A44EF6"/>
    <w:rsid w:val="04B30C95"/>
    <w:rsid w:val="04B90889"/>
    <w:rsid w:val="04B9275B"/>
    <w:rsid w:val="04E74E13"/>
    <w:rsid w:val="04F45672"/>
    <w:rsid w:val="050E6A2A"/>
    <w:rsid w:val="051F008D"/>
    <w:rsid w:val="052D0A47"/>
    <w:rsid w:val="05435813"/>
    <w:rsid w:val="055D6E6F"/>
    <w:rsid w:val="05776140"/>
    <w:rsid w:val="057B766B"/>
    <w:rsid w:val="05887D16"/>
    <w:rsid w:val="058F02ED"/>
    <w:rsid w:val="05A01219"/>
    <w:rsid w:val="05AE4D87"/>
    <w:rsid w:val="05BB0821"/>
    <w:rsid w:val="05D75C0F"/>
    <w:rsid w:val="061B32E1"/>
    <w:rsid w:val="06347089"/>
    <w:rsid w:val="06711074"/>
    <w:rsid w:val="06901390"/>
    <w:rsid w:val="06915834"/>
    <w:rsid w:val="06B2086E"/>
    <w:rsid w:val="06CF20B8"/>
    <w:rsid w:val="06D93C44"/>
    <w:rsid w:val="06F44BBD"/>
    <w:rsid w:val="06FB0BDE"/>
    <w:rsid w:val="07013F3A"/>
    <w:rsid w:val="07100F0E"/>
    <w:rsid w:val="071D3188"/>
    <w:rsid w:val="07415A18"/>
    <w:rsid w:val="07654E8E"/>
    <w:rsid w:val="079062EC"/>
    <w:rsid w:val="07B06812"/>
    <w:rsid w:val="07D258D6"/>
    <w:rsid w:val="07D53346"/>
    <w:rsid w:val="07E27C47"/>
    <w:rsid w:val="083E4D1A"/>
    <w:rsid w:val="088346AD"/>
    <w:rsid w:val="08990CC5"/>
    <w:rsid w:val="089B6813"/>
    <w:rsid w:val="08D17D55"/>
    <w:rsid w:val="08DF739F"/>
    <w:rsid w:val="08E47540"/>
    <w:rsid w:val="0902043D"/>
    <w:rsid w:val="09067F2D"/>
    <w:rsid w:val="092E2FE0"/>
    <w:rsid w:val="094C0544"/>
    <w:rsid w:val="096E2623"/>
    <w:rsid w:val="098E1D4D"/>
    <w:rsid w:val="09984B50"/>
    <w:rsid w:val="09BF48F7"/>
    <w:rsid w:val="09C53944"/>
    <w:rsid w:val="09C73718"/>
    <w:rsid w:val="0A0B5130"/>
    <w:rsid w:val="0A3E54A5"/>
    <w:rsid w:val="0A495A73"/>
    <w:rsid w:val="0A4C7BC2"/>
    <w:rsid w:val="0A5D1DCF"/>
    <w:rsid w:val="0A6441EF"/>
    <w:rsid w:val="0A70084C"/>
    <w:rsid w:val="0A7D632B"/>
    <w:rsid w:val="0AD46554"/>
    <w:rsid w:val="0AD61641"/>
    <w:rsid w:val="0B4B2925"/>
    <w:rsid w:val="0B4B7167"/>
    <w:rsid w:val="0B6B4BD2"/>
    <w:rsid w:val="0B7E533B"/>
    <w:rsid w:val="0B8415DD"/>
    <w:rsid w:val="0B98569A"/>
    <w:rsid w:val="0B9F3A93"/>
    <w:rsid w:val="0BB726A1"/>
    <w:rsid w:val="0BC358B3"/>
    <w:rsid w:val="0C215002"/>
    <w:rsid w:val="0C3034C5"/>
    <w:rsid w:val="0C563D8F"/>
    <w:rsid w:val="0CA65091"/>
    <w:rsid w:val="0CB83C95"/>
    <w:rsid w:val="0CCE00B5"/>
    <w:rsid w:val="0D1515C6"/>
    <w:rsid w:val="0D2067BE"/>
    <w:rsid w:val="0D230FAC"/>
    <w:rsid w:val="0D727778"/>
    <w:rsid w:val="0DB96E09"/>
    <w:rsid w:val="0DC856C6"/>
    <w:rsid w:val="0DE81498"/>
    <w:rsid w:val="0DF377D1"/>
    <w:rsid w:val="0E1409F6"/>
    <w:rsid w:val="0E892065"/>
    <w:rsid w:val="0E8C712B"/>
    <w:rsid w:val="0EA53D44"/>
    <w:rsid w:val="0ECD0C5B"/>
    <w:rsid w:val="0F3A7AFB"/>
    <w:rsid w:val="0F4C3944"/>
    <w:rsid w:val="0F6D52FB"/>
    <w:rsid w:val="0FF41731"/>
    <w:rsid w:val="10161195"/>
    <w:rsid w:val="10495D96"/>
    <w:rsid w:val="10790FE5"/>
    <w:rsid w:val="108C51BC"/>
    <w:rsid w:val="10AA65CB"/>
    <w:rsid w:val="10BC17FC"/>
    <w:rsid w:val="10CB60ED"/>
    <w:rsid w:val="10DE2E5B"/>
    <w:rsid w:val="10E10387"/>
    <w:rsid w:val="10F2146D"/>
    <w:rsid w:val="11036E24"/>
    <w:rsid w:val="110B0047"/>
    <w:rsid w:val="11452848"/>
    <w:rsid w:val="116934C3"/>
    <w:rsid w:val="11785740"/>
    <w:rsid w:val="117D13B8"/>
    <w:rsid w:val="118A1061"/>
    <w:rsid w:val="119F0F1F"/>
    <w:rsid w:val="11EB6937"/>
    <w:rsid w:val="11F50CA6"/>
    <w:rsid w:val="1208797B"/>
    <w:rsid w:val="123173E3"/>
    <w:rsid w:val="124A0BA3"/>
    <w:rsid w:val="12610B6A"/>
    <w:rsid w:val="12751C80"/>
    <w:rsid w:val="127557DC"/>
    <w:rsid w:val="127B54E8"/>
    <w:rsid w:val="12B860AC"/>
    <w:rsid w:val="13127C55"/>
    <w:rsid w:val="13685340"/>
    <w:rsid w:val="13763F01"/>
    <w:rsid w:val="13912AE9"/>
    <w:rsid w:val="13B10D13"/>
    <w:rsid w:val="13B642FE"/>
    <w:rsid w:val="13C54960"/>
    <w:rsid w:val="13D9316F"/>
    <w:rsid w:val="13E72709"/>
    <w:rsid w:val="13EE71E9"/>
    <w:rsid w:val="13FD093F"/>
    <w:rsid w:val="144B0499"/>
    <w:rsid w:val="14736D6A"/>
    <w:rsid w:val="147C3EC5"/>
    <w:rsid w:val="14B12728"/>
    <w:rsid w:val="14B31851"/>
    <w:rsid w:val="14B31E79"/>
    <w:rsid w:val="14E07884"/>
    <w:rsid w:val="14E1184E"/>
    <w:rsid w:val="151D7694"/>
    <w:rsid w:val="151F277D"/>
    <w:rsid w:val="15224301"/>
    <w:rsid w:val="154D4ED9"/>
    <w:rsid w:val="154F4200"/>
    <w:rsid w:val="1564486A"/>
    <w:rsid w:val="159A7D3E"/>
    <w:rsid w:val="15BF700F"/>
    <w:rsid w:val="15F53C26"/>
    <w:rsid w:val="16203B24"/>
    <w:rsid w:val="16357D37"/>
    <w:rsid w:val="1662438C"/>
    <w:rsid w:val="16643EC6"/>
    <w:rsid w:val="168F61E3"/>
    <w:rsid w:val="16AD7C3A"/>
    <w:rsid w:val="16B0489D"/>
    <w:rsid w:val="16B52E8E"/>
    <w:rsid w:val="16EF7538"/>
    <w:rsid w:val="16F835E2"/>
    <w:rsid w:val="17163DEF"/>
    <w:rsid w:val="1727797E"/>
    <w:rsid w:val="173A35B9"/>
    <w:rsid w:val="173B3498"/>
    <w:rsid w:val="17440E55"/>
    <w:rsid w:val="176D1177"/>
    <w:rsid w:val="176E0E48"/>
    <w:rsid w:val="178447FF"/>
    <w:rsid w:val="178B0334"/>
    <w:rsid w:val="179E31DE"/>
    <w:rsid w:val="17B90714"/>
    <w:rsid w:val="18053E35"/>
    <w:rsid w:val="180715CC"/>
    <w:rsid w:val="183C74C7"/>
    <w:rsid w:val="18670228"/>
    <w:rsid w:val="187464B2"/>
    <w:rsid w:val="18856E61"/>
    <w:rsid w:val="188B3FAB"/>
    <w:rsid w:val="189E12B0"/>
    <w:rsid w:val="18A230A3"/>
    <w:rsid w:val="18A8667F"/>
    <w:rsid w:val="18A91C59"/>
    <w:rsid w:val="18AA467D"/>
    <w:rsid w:val="18B54B84"/>
    <w:rsid w:val="18B76B4E"/>
    <w:rsid w:val="18B84674"/>
    <w:rsid w:val="18CE16DB"/>
    <w:rsid w:val="18D21BDA"/>
    <w:rsid w:val="18D46C70"/>
    <w:rsid w:val="18E65685"/>
    <w:rsid w:val="18ED7B4F"/>
    <w:rsid w:val="18FE5269"/>
    <w:rsid w:val="19133E51"/>
    <w:rsid w:val="192C753C"/>
    <w:rsid w:val="193009FE"/>
    <w:rsid w:val="194C6677"/>
    <w:rsid w:val="19542075"/>
    <w:rsid w:val="19675F86"/>
    <w:rsid w:val="196E00F8"/>
    <w:rsid w:val="19A213F5"/>
    <w:rsid w:val="19A418B9"/>
    <w:rsid w:val="19A90B8D"/>
    <w:rsid w:val="19E04F6D"/>
    <w:rsid w:val="19F416DC"/>
    <w:rsid w:val="1A1C35E6"/>
    <w:rsid w:val="1A240213"/>
    <w:rsid w:val="1A2F4534"/>
    <w:rsid w:val="1A64731D"/>
    <w:rsid w:val="1A72469F"/>
    <w:rsid w:val="1A8379DF"/>
    <w:rsid w:val="1A9C424D"/>
    <w:rsid w:val="1AB25E6A"/>
    <w:rsid w:val="1AB772D9"/>
    <w:rsid w:val="1ABC31F0"/>
    <w:rsid w:val="1B542D7A"/>
    <w:rsid w:val="1B5E7755"/>
    <w:rsid w:val="1B7A71F5"/>
    <w:rsid w:val="1B822020"/>
    <w:rsid w:val="1B8371BB"/>
    <w:rsid w:val="1B976520"/>
    <w:rsid w:val="1BB455D7"/>
    <w:rsid w:val="1BCC2910"/>
    <w:rsid w:val="1BFB64CC"/>
    <w:rsid w:val="1C037BB9"/>
    <w:rsid w:val="1C1C5678"/>
    <w:rsid w:val="1C246367"/>
    <w:rsid w:val="1C4B2D6F"/>
    <w:rsid w:val="1C844DEB"/>
    <w:rsid w:val="1CC85451"/>
    <w:rsid w:val="1CD035FF"/>
    <w:rsid w:val="1CEF1145"/>
    <w:rsid w:val="1D233D8F"/>
    <w:rsid w:val="1D3459FF"/>
    <w:rsid w:val="1D3C1D18"/>
    <w:rsid w:val="1D4D35A2"/>
    <w:rsid w:val="1D575319"/>
    <w:rsid w:val="1D7C1034"/>
    <w:rsid w:val="1D860ED4"/>
    <w:rsid w:val="1DAD1866"/>
    <w:rsid w:val="1DCD18A1"/>
    <w:rsid w:val="1DCD2970"/>
    <w:rsid w:val="1DF30372"/>
    <w:rsid w:val="1E03164B"/>
    <w:rsid w:val="1E0F4076"/>
    <w:rsid w:val="1E707F95"/>
    <w:rsid w:val="1EA94202"/>
    <w:rsid w:val="1ECF1100"/>
    <w:rsid w:val="1F213D24"/>
    <w:rsid w:val="1F6249F6"/>
    <w:rsid w:val="1F890B18"/>
    <w:rsid w:val="1F992B7C"/>
    <w:rsid w:val="1FA06DAA"/>
    <w:rsid w:val="1FDA2639"/>
    <w:rsid w:val="1FE16BA6"/>
    <w:rsid w:val="1FED0380"/>
    <w:rsid w:val="20194466"/>
    <w:rsid w:val="201964A9"/>
    <w:rsid w:val="20457BE4"/>
    <w:rsid w:val="20A0436C"/>
    <w:rsid w:val="20C61714"/>
    <w:rsid w:val="20D54675"/>
    <w:rsid w:val="20DE4801"/>
    <w:rsid w:val="21076EAA"/>
    <w:rsid w:val="21097C94"/>
    <w:rsid w:val="21164B43"/>
    <w:rsid w:val="21311D33"/>
    <w:rsid w:val="21C9307F"/>
    <w:rsid w:val="220A1D98"/>
    <w:rsid w:val="2217735B"/>
    <w:rsid w:val="2218797D"/>
    <w:rsid w:val="22275EF8"/>
    <w:rsid w:val="22370854"/>
    <w:rsid w:val="224B7A54"/>
    <w:rsid w:val="22755A4F"/>
    <w:rsid w:val="228B76CE"/>
    <w:rsid w:val="229F0C93"/>
    <w:rsid w:val="22AA0132"/>
    <w:rsid w:val="22B731D5"/>
    <w:rsid w:val="22FA640F"/>
    <w:rsid w:val="23125B7E"/>
    <w:rsid w:val="231A1F84"/>
    <w:rsid w:val="231A56E9"/>
    <w:rsid w:val="231D1CA3"/>
    <w:rsid w:val="23241284"/>
    <w:rsid w:val="235B0525"/>
    <w:rsid w:val="237C665A"/>
    <w:rsid w:val="23850D1F"/>
    <w:rsid w:val="23A9780D"/>
    <w:rsid w:val="24082241"/>
    <w:rsid w:val="241A4435"/>
    <w:rsid w:val="24343980"/>
    <w:rsid w:val="24855A20"/>
    <w:rsid w:val="24896773"/>
    <w:rsid w:val="248A3369"/>
    <w:rsid w:val="249047E8"/>
    <w:rsid w:val="24BE2A29"/>
    <w:rsid w:val="24C820E3"/>
    <w:rsid w:val="24C846D9"/>
    <w:rsid w:val="24CD76F9"/>
    <w:rsid w:val="24D75E63"/>
    <w:rsid w:val="24EA483E"/>
    <w:rsid w:val="25150BF1"/>
    <w:rsid w:val="25206C08"/>
    <w:rsid w:val="25490D83"/>
    <w:rsid w:val="255C3EFC"/>
    <w:rsid w:val="255F5E6B"/>
    <w:rsid w:val="257F5A79"/>
    <w:rsid w:val="258B383C"/>
    <w:rsid w:val="25A66C6A"/>
    <w:rsid w:val="25C60AA9"/>
    <w:rsid w:val="263022DC"/>
    <w:rsid w:val="264777FE"/>
    <w:rsid w:val="264F3B85"/>
    <w:rsid w:val="265A0BD7"/>
    <w:rsid w:val="266F42B5"/>
    <w:rsid w:val="266F6CBA"/>
    <w:rsid w:val="269C3271"/>
    <w:rsid w:val="26A771A4"/>
    <w:rsid w:val="26AA549D"/>
    <w:rsid w:val="26AD333E"/>
    <w:rsid w:val="26D13E3E"/>
    <w:rsid w:val="26D14828"/>
    <w:rsid w:val="26D44D6F"/>
    <w:rsid w:val="26D737EE"/>
    <w:rsid w:val="26EA264A"/>
    <w:rsid w:val="27563F4C"/>
    <w:rsid w:val="27A90FEA"/>
    <w:rsid w:val="27AB5D10"/>
    <w:rsid w:val="27AE3812"/>
    <w:rsid w:val="27B54BA0"/>
    <w:rsid w:val="27C41D16"/>
    <w:rsid w:val="27E77E1F"/>
    <w:rsid w:val="27F6519C"/>
    <w:rsid w:val="27FE388E"/>
    <w:rsid w:val="2812526C"/>
    <w:rsid w:val="2833209D"/>
    <w:rsid w:val="283C7070"/>
    <w:rsid w:val="285E3A0B"/>
    <w:rsid w:val="28844E1A"/>
    <w:rsid w:val="28AB7D51"/>
    <w:rsid w:val="28B014CE"/>
    <w:rsid w:val="28BA57D6"/>
    <w:rsid w:val="28CC03F4"/>
    <w:rsid w:val="28DF17A9"/>
    <w:rsid w:val="293B2E83"/>
    <w:rsid w:val="293E75FA"/>
    <w:rsid w:val="29540C2B"/>
    <w:rsid w:val="295F7D1D"/>
    <w:rsid w:val="29B449E4"/>
    <w:rsid w:val="29E17ECF"/>
    <w:rsid w:val="2A0374F8"/>
    <w:rsid w:val="2A102562"/>
    <w:rsid w:val="2A222295"/>
    <w:rsid w:val="2AA649CF"/>
    <w:rsid w:val="2AAF04D5"/>
    <w:rsid w:val="2AE73BC4"/>
    <w:rsid w:val="2AE82B97"/>
    <w:rsid w:val="2B163D4A"/>
    <w:rsid w:val="2B435A8D"/>
    <w:rsid w:val="2B812E55"/>
    <w:rsid w:val="2B8B2BFC"/>
    <w:rsid w:val="2B97636B"/>
    <w:rsid w:val="2BD63891"/>
    <w:rsid w:val="2C023378"/>
    <w:rsid w:val="2C066227"/>
    <w:rsid w:val="2C365B84"/>
    <w:rsid w:val="2C525F5C"/>
    <w:rsid w:val="2C7843EE"/>
    <w:rsid w:val="2CA86A82"/>
    <w:rsid w:val="2D04656C"/>
    <w:rsid w:val="2D187BB2"/>
    <w:rsid w:val="2D200A23"/>
    <w:rsid w:val="2D231874"/>
    <w:rsid w:val="2D2B159E"/>
    <w:rsid w:val="2D443CA7"/>
    <w:rsid w:val="2D4E6396"/>
    <w:rsid w:val="2D551834"/>
    <w:rsid w:val="2D6F72CD"/>
    <w:rsid w:val="2D742B32"/>
    <w:rsid w:val="2D7A4435"/>
    <w:rsid w:val="2DC478E8"/>
    <w:rsid w:val="2DD517D4"/>
    <w:rsid w:val="2DEA4E78"/>
    <w:rsid w:val="2DF14458"/>
    <w:rsid w:val="2E0423DE"/>
    <w:rsid w:val="2E1E4B22"/>
    <w:rsid w:val="2E3F12F9"/>
    <w:rsid w:val="2E555FE9"/>
    <w:rsid w:val="2E6B5FB9"/>
    <w:rsid w:val="2E80644F"/>
    <w:rsid w:val="2E84538B"/>
    <w:rsid w:val="2E9A689E"/>
    <w:rsid w:val="2EBA2A9C"/>
    <w:rsid w:val="2ECD5480"/>
    <w:rsid w:val="2F0500D5"/>
    <w:rsid w:val="2F2D7712"/>
    <w:rsid w:val="2F7D080C"/>
    <w:rsid w:val="2FAD1AEA"/>
    <w:rsid w:val="2FB1480C"/>
    <w:rsid w:val="2FC55B9D"/>
    <w:rsid w:val="2FF31D0A"/>
    <w:rsid w:val="30110DE2"/>
    <w:rsid w:val="3030231C"/>
    <w:rsid w:val="307B44AD"/>
    <w:rsid w:val="30C92320"/>
    <w:rsid w:val="30D83C45"/>
    <w:rsid w:val="30E66DCC"/>
    <w:rsid w:val="3106021B"/>
    <w:rsid w:val="311F3225"/>
    <w:rsid w:val="31552B73"/>
    <w:rsid w:val="31A73FF7"/>
    <w:rsid w:val="323A7360"/>
    <w:rsid w:val="323D0A84"/>
    <w:rsid w:val="32531F47"/>
    <w:rsid w:val="326076FA"/>
    <w:rsid w:val="32770D8A"/>
    <w:rsid w:val="32D24BA4"/>
    <w:rsid w:val="32D86AF0"/>
    <w:rsid w:val="330126F6"/>
    <w:rsid w:val="333762E3"/>
    <w:rsid w:val="33483797"/>
    <w:rsid w:val="337825D1"/>
    <w:rsid w:val="33BA4BF5"/>
    <w:rsid w:val="33D51773"/>
    <w:rsid w:val="34000EC8"/>
    <w:rsid w:val="340B2F58"/>
    <w:rsid w:val="340F1183"/>
    <w:rsid w:val="34105922"/>
    <w:rsid w:val="34251EF7"/>
    <w:rsid w:val="34311A53"/>
    <w:rsid w:val="347B2E07"/>
    <w:rsid w:val="349D28F7"/>
    <w:rsid w:val="34A246FE"/>
    <w:rsid w:val="34BF1F7E"/>
    <w:rsid w:val="34CB2DEE"/>
    <w:rsid w:val="34D452B4"/>
    <w:rsid w:val="34E26997"/>
    <w:rsid w:val="34FD7B87"/>
    <w:rsid w:val="35C91817"/>
    <w:rsid w:val="35D94150"/>
    <w:rsid w:val="35EC2ECC"/>
    <w:rsid w:val="36455341"/>
    <w:rsid w:val="36592683"/>
    <w:rsid w:val="365A314A"/>
    <w:rsid w:val="36787DF2"/>
    <w:rsid w:val="36873605"/>
    <w:rsid w:val="368C2F70"/>
    <w:rsid w:val="368F2A60"/>
    <w:rsid w:val="36B215D8"/>
    <w:rsid w:val="36E52680"/>
    <w:rsid w:val="36F154C9"/>
    <w:rsid w:val="3708606E"/>
    <w:rsid w:val="37732382"/>
    <w:rsid w:val="37864191"/>
    <w:rsid w:val="37985EC1"/>
    <w:rsid w:val="37BC5B6D"/>
    <w:rsid w:val="37E413C0"/>
    <w:rsid w:val="37F708BD"/>
    <w:rsid w:val="380171FD"/>
    <w:rsid w:val="38402233"/>
    <w:rsid w:val="384B29B7"/>
    <w:rsid w:val="38712298"/>
    <w:rsid w:val="387939C8"/>
    <w:rsid w:val="388C5B1D"/>
    <w:rsid w:val="38A04DF7"/>
    <w:rsid w:val="38C77976"/>
    <w:rsid w:val="38E74525"/>
    <w:rsid w:val="39174448"/>
    <w:rsid w:val="39225E0E"/>
    <w:rsid w:val="392331A3"/>
    <w:rsid w:val="3963370B"/>
    <w:rsid w:val="397836F4"/>
    <w:rsid w:val="39952DF3"/>
    <w:rsid w:val="399D0939"/>
    <w:rsid w:val="39EF3677"/>
    <w:rsid w:val="39FF1BFA"/>
    <w:rsid w:val="3A0F0CCD"/>
    <w:rsid w:val="3A521691"/>
    <w:rsid w:val="3A663A3E"/>
    <w:rsid w:val="3A9C574C"/>
    <w:rsid w:val="3AAE6E0A"/>
    <w:rsid w:val="3ABE557C"/>
    <w:rsid w:val="3B5947AB"/>
    <w:rsid w:val="3B622EC6"/>
    <w:rsid w:val="3B9A280D"/>
    <w:rsid w:val="3BEA7430"/>
    <w:rsid w:val="3BF81716"/>
    <w:rsid w:val="3BFD527E"/>
    <w:rsid w:val="3C157564"/>
    <w:rsid w:val="3C16679F"/>
    <w:rsid w:val="3C1B6C41"/>
    <w:rsid w:val="3C424E8F"/>
    <w:rsid w:val="3C477B6F"/>
    <w:rsid w:val="3C8702E7"/>
    <w:rsid w:val="3C9708C1"/>
    <w:rsid w:val="3CB81B4A"/>
    <w:rsid w:val="3CC83199"/>
    <w:rsid w:val="3CF571F3"/>
    <w:rsid w:val="3D140C5C"/>
    <w:rsid w:val="3D2F43E0"/>
    <w:rsid w:val="3D3954D4"/>
    <w:rsid w:val="3D5D6812"/>
    <w:rsid w:val="3D655D60"/>
    <w:rsid w:val="3D7824A0"/>
    <w:rsid w:val="3DAC43F9"/>
    <w:rsid w:val="3DD02553"/>
    <w:rsid w:val="3DED0D09"/>
    <w:rsid w:val="3E13326D"/>
    <w:rsid w:val="3E1F46CA"/>
    <w:rsid w:val="3E29379B"/>
    <w:rsid w:val="3E616B4B"/>
    <w:rsid w:val="3E6E2B1B"/>
    <w:rsid w:val="3E955746"/>
    <w:rsid w:val="3ED205EC"/>
    <w:rsid w:val="3EDE6333"/>
    <w:rsid w:val="3EE142D2"/>
    <w:rsid w:val="3F0835D9"/>
    <w:rsid w:val="3F446ADE"/>
    <w:rsid w:val="3F4F166A"/>
    <w:rsid w:val="3F593C86"/>
    <w:rsid w:val="3F83747D"/>
    <w:rsid w:val="3FAC2F73"/>
    <w:rsid w:val="3FB85A65"/>
    <w:rsid w:val="3FCC0118"/>
    <w:rsid w:val="3FCF3F18"/>
    <w:rsid w:val="3FD421E8"/>
    <w:rsid w:val="400118CA"/>
    <w:rsid w:val="400E0E9A"/>
    <w:rsid w:val="40252995"/>
    <w:rsid w:val="40332828"/>
    <w:rsid w:val="40A44C63"/>
    <w:rsid w:val="40C1415E"/>
    <w:rsid w:val="40C17CBA"/>
    <w:rsid w:val="40D00B2F"/>
    <w:rsid w:val="40DC0786"/>
    <w:rsid w:val="411A73CB"/>
    <w:rsid w:val="417F6B17"/>
    <w:rsid w:val="41840BE1"/>
    <w:rsid w:val="418C6658"/>
    <w:rsid w:val="41964E73"/>
    <w:rsid w:val="419F529D"/>
    <w:rsid w:val="41B55086"/>
    <w:rsid w:val="41D8464F"/>
    <w:rsid w:val="41EE6E13"/>
    <w:rsid w:val="41F30347"/>
    <w:rsid w:val="42024A2E"/>
    <w:rsid w:val="42084EC3"/>
    <w:rsid w:val="42C57F36"/>
    <w:rsid w:val="43545BF4"/>
    <w:rsid w:val="4361439B"/>
    <w:rsid w:val="43946CA9"/>
    <w:rsid w:val="43A86F10"/>
    <w:rsid w:val="43CA7938"/>
    <w:rsid w:val="440A7DA4"/>
    <w:rsid w:val="44427F52"/>
    <w:rsid w:val="444B50A7"/>
    <w:rsid w:val="446564DF"/>
    <w:rsid w:val="44913E48"/>
    <w:rsid w:val="44A41525"/>
    <w:rsid w:val="44DC4453"/>
    <w:rsid w:val="44EE129A"/>
    <w:rsid w:val="45044441"/>
    <w:rsid w:val="45180211"/>
    <w:rsid w:val="45744DF5"/>
    <w:rsid w:val="458B38D1"/>
    <w:rsid w:val="45A445C6"/>
    <w:rsid w:val="45B52D68"/>
    <w:rsid w:val="45C174FE"/>
    <w:rsid w:val="45DE7FFD"/>
    <w:rsid w:val="460348D1"/>
    <w:rsid w:val="46054AED"/>
    <w:rsid w:val="460D64F3"/>
    <w:rsid w:val="464F1C02"/>
    <w:rsid w:val="464F7B16"/>
    <w:rsid w:val="466F2638"/>
    <w:rsid w:val="46722E9B"/>
    <w:rsid w:val="469A7FF6"/>
    <w:rsid w:val="469F0A9E"/>
    <w:rsid w:val="46EE732F"/>
    <w:rsid w:val="47060312"/>
    <w:rsid w:val="4719209A"/>
    <w:rsid w:val="47794A11"/>
    <w:rsid w:val="47804A42"/>
    <w:rsid w:val="478D6579"/>
    <w:rsid w:val="47A143A2"/>
    <w:rsid w:val="47B71069"/>
    <w:rsid w:val="48132F14"/>
    <w:rsid w:val="48335942"/>
    <w:rsid w:val="48AC1250"/>
    <w:rsid w:val="48BD16AF"/>
    <w:rsid w:val="48D66C7A"/>
    <w:rsid w:val="48E105FA"/>
    <w:rsid w:val="48E34354"/>
    <w:rsid w:val="48F03833"/>
    <w:rsid w:val="48FC2F4A"/>
    <w:rsid w:val="49036E3A"/>
    <w:rsid w:val="491A32E7"/>
    <w:rsid w:val="493556E9"/>
    <w:rsid w:val="49470F79"/>
    <w:rsid w:val="49506444"/>
    <w:rsid w:val="49557B3A"/>
    <w:rsid w:val="49620E28"/>
    <w:rsid w:val="496F2273"/>
    <w:rsid w:val="499E6DEB"/>
    <w:rsid w:val="49DB1022"/>
    <w:rsid w:val="49E71F57"/>
    <w:rsid w:val="49ED46D6"/>
    <w:rsid w:val="4A1D33CB"/>
    <w:rsid w:val="4A4B0CBA"/>
    <w:rsid w:val="4AA41178"/>
    <w:rsid w:val="4AEE1C45"/>
    <w:rsid w:val="4AF35701"/>
    <w:rsid w:val="4AF74536"/>
    <w:rsid w:val="4AF8077D"/>
    <w:rsid w:val="4B0E35D5"/>
    <w:rsid w:val="4B1B12F2"/>
    <w:rsid w:val="4B1E34DF"/>
    <w:rsid w:val="4B283107"/>
    <w:rsid w:val="4B392546"/>
    <w:rsid w:val="4B4657DE"/>
    <w:rsid w:val="4B491A26"/>
    <w:rsid w:val="4B65281E"/>
    <w:rsid w:val="4B6E4EE3"/>
    <w:rsid w:val="4B840262"/>
    <w:rsid w:val="4B8C6395"/>
    <w:rsid w:val="4BAF3531"/>
    <w:rsid w:val="4BF624AA"/>
    <w:rsid w:val="4C0223E7"/>
    <w:rsid w:val="4C202114"/>
    <w:rsid w:val="4C3600A4"/>
    <w:rsid w:val="4C5D2FD0"/>
    <w:rsid w:val="4C981C3F"/>
    <w:rsid w:val="4CD718F5"/>
    <w:rsid w:val="4CDD6765"/>
    <w:rsid w:val="4D204A83"/>
    <w:rsid w:val="4D267F84"/>
    <w:rsid w:val="4D2B547F"/>
    <w:rsid w:val="4D4E28D6"/>
    <w:rsid w:val="4D7A36CB"/>
    <w:rsid w:val="4D832F3E"/>
    <w:rsid w:val="4D99574F"/>
    <w:rsid w:val="4D9B5CE1"/>
    <w:rsid w:val="4DDA3031"/>
    <w:rsid w:val="4E053C7B"/>
    <w:rsid w:val="4E0E5A4F"/>
    <w:rsid w:val="4E4435E1"/>
    <w:rsid w:val="4EAC1167"/>
    <w:rsid w:val="4EBF39F7"/>
    <w:rsid w:val="4EE52C6D"/>
    <w:rsid w:val="4F01127F"/>
    <w:rsid w:val="4F427061"/>
    <w:rsid w:val="4F860A4D"/>
    <w:rsid w:val="4FAB2D1B"/>
    <w:rsid w:val="4FF37764"/>
    <w:rsid w:val="50096F88"/>
    <w:rsid w:val="50146059"/>
    <w:rsid w:val="50477724"/>
    <w:rsid w:val="506D5769"/>
    <w:rsid w:val="507C3BFE"/>
    <w:rsid w:val="50E45A03"/>
    <w:rsid w:val="51150190"/>
    <w:rsid w:val="51512E75"/>
    <w:rsid w:val="51567489"/>
    <w:rsid w:val="51D5048D"/>
    <w:rsid w:val="51E51FEE"/>
    <w:rsid w:val="520B7D74"/>
    <w:rsid w:val="52100AA2"/>
    <w:rsid w:val="522768AD"/>
    <w:rsid w:val="523251E2"/>
    <w:rsid w:val="52720E14"/>
    <w:rsid w:val="527B46FD"/>
    <w:rsid w:val="52853F43"/>
    <w:rsid w:val="528E51B8"/>
    <w:rsid w:val="5299186C"/>
    <w:rsid w:val="52A6664F"/>
    <w:rsid w:val="52B15411"/>
    <w:rsid w:val="52CC7DF3"/>
    <w:rsid w:val="52CE1289"/>
    <w:rsid w:val="52EB079C"/>
    <w:rsid w:val="531B4AC6"/>
    <w:rsid w:val="53277BCE"/>
    <w:rsid w:val="534C3D5B"/>
    <w:rsid w:val="535004C8"/>
    <w:rsid w:val="536C61AC"/>
    <w:rsid w:val="538423E9"/>
    <w:rsid w:val="538B7847"/>
    <w:rsid w:val="5398065B"/>
    <w:rsid w:val="539F3E8B"/>
    <w:rsid w:val="53A22BE3"/>
    <w:rsid w:val="53A53928"/>
    <w:rsid w:val="540A1104"/>
    <w:rsid w:val="541859EC"/>
    <w:rsid w:val="54420CBA"/>
    <w:rsid w:val="544D712B"/>
    <w:rsid w:val="54800E8E"/>
    <w:rsid w:val="5483555B"/>
    <w:rsid w:val="548A4BDF"/>
    <w:rsid w:val="549E4143"/>
    <w:rsid w:val="54A408D5"/>
    <w:rsid w:val="54B57808"/>
    <w:rsid w:val="552A2DE1"/>
    <w:rsid w:val="553920BD"/>
    <w:rsid w:val="55676834"/>
    <w:rsid w:val="557E0A27"/>
    <w:rsid w:val="55D10548"/>
    <w:rsid w:val="55D36179"/>
    <w:rsid w:val="563B33DC"/>
    <w:rsid w:val="56814E3E"/>
    <w:rsid w:val="56982E14"/>
    <w:rsid w:val="56B87FF7"/>
    <w:rsid w:val="56D12D5D"/>
    <w:rsid w:val="56E95B74"/>
    <w:rsid w:val="56F53225"/>
    <w:rsid w:val="57047B95"/>
    <w:rsid w:val="57236B81"/>
    <w:rsid w:val="573773E9"/>
    <w:rsid w:val="57415259"/>
    <w:rsid w:val="57593089"/>
    <w:rsid w:val="5794682F"/>
    <w:rsid w:val="57BF2D4E"/>
    <w:rsid w:val="57D0356B"/>
    <w:rsid w:val="57D52571"/>
    <w:rsid w:val="57E82455"/>
    <w:rsid w:val="57F047F5"/>
    <w:rsid w:val="582564D7"/>
    <w:rsid w:val="58264E59"/>
    <w:rsid w:val="582B34CF"/>
    <w:rsid w:val="583848AE"/>
    <w:rsid w:val="58402AE0"/>
    <w:rsid w:val="58603F84"/>
    <w:rsid w:val="589A7317"/>
    <w:rsid w:val="58B0750F"/>
    <w:rsid w:val="58B35CA0"/>
    <w:rsid w:val="58E41F09"/>
    <w:rsid w:val="58FE1654"/>
    <w:rsid w:val="590651C6"/>
    <w:rsid w:val="59255A95"/>
    <w:rsid w:val="592866D1"/>
    <w:rsid w:val="59312499"/>
    <w:rsid w:val="595A2AA1"/>
    <w:rsid w:val="59754D64"/>
    <w:rsid w:val="59934492"/>
    <w:rsid w:val="599F5584"/>
    <w:rsid w:val="59BF0C4D"/>
    <w:rsid w:val="59F640F1"/>
    <w:rsid w:val="5A2B3EF4"/>
    <w:rsid w:val="5A32585F"/>
    <w:rsid w:val="5A3776B2"/>
    <w:rsid w:val="5A3879B1"/>
    <w:rsid w:val="5A3B68D8"/>
    <w:rsid w:val="5A51742C"/>
    <w:rsid w:val="5A780863"/>
    <w:rsid w:val="5AA10B95"/>
    <w:rsid w:val="5AC62645"/>
    <w:rsid w:val="5ACD3059"/>
    <w:rsid w:val="5AEE5383"/>
    <w:rsid w:val="5B056235"/>
    <w:rsid w:val="5B0C581F"/>
    <w:rsid w:val="5B677436"/>
    <w:rsid w:val="5B8D79ED"/>
    <w:rsid w:val="5BA46702"/>
    <w:rsid w:val="5BA83B17"/>
    <w:rsid w:val="5BBE7DF7"/>
    <w:rsid w:val="5BC62257"/>
    <w:rsid w:val="5BD3501A"/>
    <w:rsid w:val="5C0B5D25"/>
    <w:rsid w:val="5C26298E"/>
    <w:rsid w:val="5C4E644E"/>
    <w:rsid w:val="5C6006D9"/>
    <w:rsid w:val="5C9127DF"/>
    <w:rsid w:val="5C913374"/>
    <w:rsid w:val="5C9218B6"/>
    <w:rsid w:val="5C997D95"/>
    <w:rsid w:val="5CA93FCD"/>
    <w:rsid w:val="5CAE1C5C"/>
    <w:rsid w:val="5CBE07F4"/>
    <w:rsid w:val="5CC608C4"/>
    <w:rsid w:val="5CEA4624"/>
    <w:rsid w:val="5CF36FF6"/>
    <w:rsid w:val="5CFC234E"/>
    <w:rsid w:val="5D2B3347"/>
    <w:rsid w:val="5D762135"/>
    <w:rsid w:val="5D7E3D19"/>
    <w:rsid w:val="5DA153CA"/>
    <w:rsid w:val="5DBC1DC9"/>
    <w:rsid w:val="5DC43727"/>
    <w:rsid w:val="5DD07337"/>
    <w:rsid w:val="5DDC3B9C"/>
    <w:rsid w:val="5DFF67AF"/>
    <w:rsid w:val="5E2E21D3"/>
    <w:rsid w:val="5E64625A"/>
    <w:rsid w:val="5E67591F"/>
    <w:rsid w:val="5E743855"/>
    <w:rsid w:val="5E953FF5"/>
    <w:rsid w:val="5EBB4155"/>
    <w:rsid w:val="5EC22FE7"/>
    <w:rsid w:val="5ED33DDE"/>
    <w:rsid w:val="5EE057F0"/>
    <w:rsid w:val="5F170E02"/>
    <w:rsid w:val="5F6661A5"/>
    <w:rsid w:val="5FC812E1"/>
    <w:rsid w:val="60181471"/>
    <w:rsid w:val="6042276E"/>
    <w:rsid w:val="605305D2"/>
    <w:rsid w:val="60716B51"/>
    <w:rsid w:val="609F0BE8"/>
    <w:rsid w:val="611759A9"/>
    <w:rsid w:val="61325D85"/>
    <w:rsid w:val="61330309"/>
    <w:rsid w:val="613C715F"/>
    <w:rsid w:val="6162741E"/>
    <w:rsid w:val="61633837"/>
    <w:rsid w:val="619C0D54"/>
    <w:rsid w:val="61AA24B2"/>
    <w:rsid w:val="61B559C9"/>
    <w:rsid w:val="61C10516"/>
    <w:rsid w:val="61D8036A"/>
    <w:rsid w:val="61F61177"/>
    <w:rsid w:val="61FA7BC0"/>
    <w:rsid w:val="62061579"/>
    <w:rsid w:val="620850D8"/>
    <w:rsid w:val="620B6608"/>
    <w:rsid w:val="6223212B"/>
    <w:rsid w:val="62293020"/>
    <w:rsid w:val="625D388F"/>
    <w:rsid w:val="62700306"/>
    <w:rsid w:val="627B785A"/>
    <w:rsid w:val="62EE6294"/>
    <w:rsid w:val="62F56FFB"/>
    <w:rsid w:val="62F873C6"/>
    <w:rsid w:val="630C78A2"/>
    <w:rsid w:val="631811F9"/>
    <w:rsid w:val="63332842"/>
    <w:rsid w:val="6338786C"/>
    <w:rsid w:val="635D166D"/>
    <w:rsid w:val="635F1070"/>
    <w:rsid w:val="63663C6E"/>
    <w:rsid w:val="63846BFA"/>
    <w:rsid w:val="6388493C"/>
    <w:rsid w:val="639B14F1"/>
    <w:rsid w:val="63DC35A2"/>
    <w:rsid w:val="64497237"/>
    <w:rsid w:val="644A6763"/>
    <w:rsid w:val="6458713F"/>
    <w:rsid w:val="64B61035"/>
    <w:rsid w:val="64C134D4"/>
    <w:rsid w:val="64D17DD0"/>
    <w:rsid w:val="64D92D39"/>
    <w:rsid w:val="64F1286C"/>
    <w:rsid w:val="64FA7837"/>
    <w:rsid w:val="65257F68"/>
    <w:rsid w:val="6539772E"/>
    <w:rsid w:val="65773904"/>
    <w:rsid w:val="65A25A5D"/>
    <w:rsid w:val="65AA7ED4"/>
    <w:rsid w:val="65B51681"/>
    <w:rsid w:val="65BC5116"/>
    <w:rsid w:val="65C07C91"/>
    <w:rsid w:val="65C53559"/>
    <w:rsid w:val="65D04378"/>
    <w:rsid w:val="66634A35"/>
    <w:rsid w:val="66703465"/>
    <w:rsid w:val="66711486"/>
    <w:rsid w:val="66772B67"/>
    <w:rsid w:val="667F610B"/>
    <w:rsid w:val="669332A9"/>
    <w:rsid w:val="66A838D4"/>
    <w:rsid w:val="66D659BE"/>
    <w:rsid w:val="670D4EDB"/>
    <w:rsid w:val="67584625"/>
    <w:rsid w:val="675E7762"/>
    <w:rsid w:val="676A6010"/>
    <w:rsid w:val="67844D97"/>
    <w:rsid w:val="679F4002"/>
    <w:rsid w:val="67AF3709"/>
    <w:rsid w:val="67B927F7"/>
    <w:rsid w:val="67C07B0C"/>
    <w:rsid w:val="67C26372"/>
    <w:rsid w:val="67F45EB1"/>
    <w:rsid w:val="6800627B"/>
    <w:rsid w:val="68A5389A"/>
    <w:rsid w:val="68BD1306"/>
    <w:rsid w:val="68CC0A7B"/>
    <w:rsid w:val="690A5DF3"/>
    <w:rsid w:val="692F7608"/>
    <w:rsid w:val="693A3C94"/>
    <w:rsid w:val="699072D5"/>
    <w:rsid w:val="69EF3CFC"/>
    <w:rsid w:val="6A1C4030"/>
    <w:rsid w:val="6A60677C"/>
    <w:rsid w:val="6A61315C"/>
    <w:rsid w:val="6A6854FB"/>
    <w:rsid w:val="6ACA30EF"/>
    <w:rsid w:val="6AE22020"/>
    <w:rsid w:val="6AFE7F06"/>
    <w:rsid w:val="6B163F01"/>
    <w:rsid w:val="6B18454C"/>
    <w:rsid w:val="6B3449D8"/>
    <w:rsid w:val="6B44190F"/>
    <w:rsid w:val="6B6A1504"/>
    <w:rsid w:val="6B7660F1"/>
    <w:rsid w:val="6B8805B7"/>
    <w:rsid w:val="6B8C31C6"/>
    <w:rsid w:val="6B9A16B0"/>
    <w:rsid w:val="6BBB2B79"/>
    <w:rsid w:val="6BC37EBD"/>
    <w:rsid w:val="6BEE1B1F"/>
    <w:rsid w:val="6BF222BC"/>
    <w:rsid w:val="6BFD5ADD"/>
    <w:rsid w:val="6C496C32"/>
    <w:rsid w:val="6C4A0645"/>
    <w:rsid w:val="6C5555D7"/>
    <w:rsid w:val="6C5E29A1"/>
    <w:rsid w:val="6C8469CD"/>
    <w:rsid w:val="6C883B28"/>
    <w:rsid w:val="6CAF3E08"/>
    <w:rsid w:val="6D055307"/>
    <w:rsid w:val="6D0B294D"/>
    <w:rsid w:val="6D0F2724"/>
    <w:rsid w:val="6D34343E"/>
    <w:rsid w:val="6D580A73"/>
    <w:rsid w:val="6D765805"/>
    <w:rsid w:val="6D853231"/>
    <w:rsid w:val="6D9A533D"/>
    <w:rsid w:val="6DA47FDB"/>
    <w:rsid w:val="6DC24155"/>
    <w:rsid w:val="6DCF13B9"/>
    <w:rsid w:val="6DFB5D0A"/>
    <w:rsid w:val="6E13574A"/>
    <w:rsid w:val="6E1A3DCB"/>
    <w:rsid w:val="6E237077"/>
    <w:rsid w:val="6E390A34"/>
    <w:rsid w:val="6E843F52"/>
    <w:rsid w:val="6EA77C40"/>
    <w:rsid w:val="6EB81E4D"/>
    <w:rsid w:val="6F6B6B85"/>
    <w:rsid w:val="6FA56875"/>
    <w:rsid w:val="6FC43A9D"/>
    <w:rsid w:val="6FDF1606"/>
    <w:rsid w:val="6FF814B9"/>
    <w:rsid w:val="702D1E02"/>
    <w:rsid w:val="7037771F"/>
    <w:rsid w:val="707149AA"/>
    <w:rsid w:val="70743576"/>
    <w:rsid w:val="70A63B08"/>
    <w:rsid w:val="70C3758A"/>
    <w:rsid w:val="70D162B1"/>
    <w:rsid w:val="70DF7033"/>
    <w:rsid w:val="71045017"/>
    <w:rsid w:val="71073633"/>
    <w:rsid w:val="710904E6"/>
    <w:rsid w:val="71162BC3"/>
    <w:rsid w:val="71257C6E"/>
    <w:rsid w:val="7129096F"/>
    <w:rsid w:val="71436346"/>
    <w:rsid w:val="71B27028"/>
    <w:rsid w:val="71B57799"/>
    <w:rsid w:val="71CC633B"/>
    <w:rsid w:val="71EF0F7D"/>
    <w:rsid w:val="72AC3A77"/>
    <w:rsid w:val="72B7759F"/>
    <w:rsid w:val="72F042DC"/>
    <w:rsid w:val="733046A8"/>
    <w:rsid w:val="73445EC6"/>
    <w:rsid w:val="734C778A"/>
    <w:rsid w:val="737F4524"/>
    <w:rsid w:val="73874C52"/>
    <w:rsid w:val="739A5360"/>
    <w:rsid w:val="739B6B88"/>
    <w:rsid w:val="739F0A39"/>
    <w:rsid w:val="73A36C4B"/>
    <w:rsid w:val="73CA0EB2"/>
    <w:rsid w:val="73E47A11"/>
    <w:rsid w:val="73FC7501"/>
    <w:rsid w:val="73FD3278"/>
    <w:rsid w:val="741928EC"/>
    <w:rsid w:val="741E260C"/>
    <w:rsid w:val="7428537F"/>
    <w:rsid w:val="749018A2"/>
    <w:rsid w:val="74C01A5C"/>
    <w:rsid w:val="751029E3"/>
    <w:rsid w:val="754601B3"/>
    <w:rsid w:val="75DF6571"/>
    <w:rsid w:val="75F61C4F"/>
    <w:rsid w:val="75FE7663"/>
    <w:rsid w:val="760342F6"/>
    <w:rsid w:val="7611222F"/>
    <w:rsid w:val="761A7C28"/>
    <w:rsid w:val="7623456A"/>
    <w:rsid w:val="762C55FB"/>
    <w:rsid w:val="76485DDD"/>
    <w:rsid w:val="76601FFC"/>
    <w:rsid w:val="766306AC"/>
    <w:rsid w:val="76665F88"/>
    <w:rsid w:val="769D5ED7"/>
    <w:rsid w:val="76B2751A"/>
    <w:rsid w:val="76B876CE"/>
    <w:rsid w:val="76BF67F2"/>
    <w:rsid w:val="76C6276D"/>
    <w:rsid w:val="76CC02DA"/>
    <w:rsid w:val="770A12C8"/>
    <w:rsid w:val="770F5ED0"/>
    <w:rsid w:val="7735668B"/>
    <w:rsid w:val="774861C7"/>
    <w:rsid w:val="778E5D01"/>
    <w:rsid w:val="77AD760B"/>
    <w:rsid w:val="77C83F73"/>
    <w:rsid w:val="78006D3F"/>
    <w:rsid w:val="78174088"/>
    <w:rsid w:val="78362F6E"/>
    <w:rsid w:val="78370600"/>
    <w:rsid w:val="78415AB7"/>
    <w:rsid w:val="7858084F"/>
    <w:rsid w:val="78674A79"/>
    <w:rsid w:val="786D7B25"/>
    <w:rsid w:val="78787715"/>
    <w:rsid w:val="78812D47"/>
    <w:rsid w:val="78A32AA7"/>
    <w:rsid w:val="78AF300A"/>
    <w:rsid w:val="78B84A7D"/>
    <w:rsid w:val="78CB43CD"/>
    <w:rsid w:val="78DD2BDC"/>
    <w:rsid w:val="790673B4"/>
    <w:rsid w:val="790E548B"/>
    <w:rsid w:val="792E3346"/>
    <w:rsid w:val="79314CD6"/>
    <w:rsid w:val="793F25E5"/>
    <w:rsid w:val="798028C5"/>
    <w:rsid w:val="79A67472"/>
    <w:rsid w:val="79AE27CB"/>
    <w:rsid w:val="79BF7C3B"/>
    <w:rsid w:val="79C21A2B"/>
    <w:rsid w:val="79CA006C"/>
    <w:rsid w:val="7A0B7BCF"/>
    <w:rsid w:val="7A384B54"/>
    <w:rsid w:val="7A3E2302"/>
    <w:rsid w:val="7A4D1FE3"/>
    <w:rsid w:val="7A691309"/>
    <w:rsid w:val="7A837C4E"/>
    <w:rsid w:val="7A8F5FE5"/>
    <w:rsid w:val="7A9856F3"/>
    <w:rsid w:val="7AA67B95"/>
    <w:rsid w:val="7ABD5135"/>
    <w:rsid w:val="7AE80C9A"/>
    <w:rsid w:val="7B40617B"/>
    <w:rsid w:val="7B707964"/>
    <w:rsid w:val="7B752FA7"/>
    <w:rsid w:val="7BAE37D0"/>
    <w:rsid w:val="7BAE62E8"/>
    <w:rsid w:val="7BB0282A"/>
    <w:rsid w:val="7BBF4352"/>
    <w:rsid w:val="7BD45C18"/>
    <w:rsid w:val="7C241981"/>
    <w:rsid w:val="7C3E1B1F"/>
    <w:rsid w:val="7C597EB8"/>
    <w:rsid w:val="7C7A24E5"/>
    <w:rsid w:val="7C7A4E0E"/>
    <w:rsid w:val="7CA40E8B"/>
    <w:rsid w:val="7CC055E5"/>
    <w:rsid w:val="7CDE5175"/>
    <w:rsid w:val="7CE06A63"/>
    <w:rsid w:val="7CFF60C4"/>
    <w:rsid w:val="7D0211AE"/>
    <w:rsid w:val="7D0270B5"/>
    <w:rsid w:val="7D117BBB"/>
    <w:rsid w:val="7D2675D0"/>
    <w:rsid w:val="7D2B72C1"/>
    <w:rsid w:val="7D362AB8"/>
    <w:rsid w:val="7D5176F5"/>
    <w:rsid w:val="7D87238A"/>
    <w:rsid w:val="7D890ACB"/>
    <w:rsid w:val="7D902913"/>
    <w:rsid w:val="7DCF3B2B"/>
    <w:rsid w:val="7E046E5D"/>
    <w:rsid w:val="7E1D5AA3"/>
    <w:rsid w:val="7E5409CF"/>
    <w:rsid w:val="7E890F19"/>
    <w:rsid w:val="7E8C4CB0"/>
    <w:rsid w:val="7EA32746"/>
    <w:rsid w:val="7EAF1681"/>
    <w:rsid w:val="7EFC017C"/>
    <w:rsid w:val="7F0E52CF"/>
    <w:rsid w:val="7F0F7842"/>
    <w:rsid w:val="7F1460DC"/>
    <w:rsid w:val="7F65392B"/>
    <w:rsid w:val="7F7B3F7D"/>
    <w:rsid w:val="7F896D93"/>
    <w:rsid w:val="7F9A3684"/>
    <w:rsid w:val="7FB56661"/>
    <w:rsid w:val="7FC72C59"/>
    <w:rsid w:val="7FE54E2A"/>
    <w:rsid w:val="7FE5632B"/>
    <w:rsid w:val="7FEB051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link w:val="52"/>
    <w:qFormat/>
    <w:uiPriority w:val="0"/>
    <w:pPr>
      <w:keepNext/>
      <w:keepLines/>
      <w:spacing w:before="340" w:beforeLines="0" w:after="330" w:afterLines="0" w:line="578" w:lineRule="auto"/>
      <w:jc w:val="center"/>
      <w:outlineLvl w:val="0"/>
    </w:pPr>
    <w:rPr>
      <w:rFonts w:ascii="Times New Roman" w:hAnsi="Times New Roman" w:eastAsia="宋体" w:cs="Times New Roman"/>
      <w:b/>
      <w:bCs/>
      <w:kern w:val="44"/>
      <w:sz w:val="28"/>
      <w:szCs w:val="44"/>
    </w:rPr>
  </w:style>
  <w:style w:type="paragraph" w:styleId="3">
    <w:name w:val="heading 2"/>
    <w:basedOn w:val="1"/>
    <w:next w:val="1"/>
    <w:link w:val="117"/>
    <w:qFormat/>
    <w:uiPriority w:val="0"/>
    <w:pPr>
      <w:keepNext/>
      <w:keepLines/>
      <w:spacing w:before="260" w:beforeLines="0" w:after="260" w:afterLines="0" w:line="413" w:lineRule="auto"/>
      <w:jc w:val="center"/>
      <w:outlineLvl w:val="1"/>
    </w:pPr>
    <w:rPr>
      <w:rFonts w:ascii="Arial" w:hAnsi="Arial" w:eastAsia="宋体" w:cs="Times New Roman"/>
      <w:b/>
      <w:bCs/>
      <w:sz w:val="28"/>
      <w:szCs w:val="32"/>
    </w:rPr>
  </w:style>
  <w:style w:type="paragraph" w:styleId="4">
    <w:name w:val="heading 3"/>
    <w:basedOn w:val="1"/>
    <w:next w:val="1"/>
    <w:qFormat/>
    <w:uiPriority w:val="0"/>
    <w:pPr>
      <w:keepNext/>
      <w:keepLines/>
      <w:spacing w:before="260" w:beforeLines="0" w:after="260" w:afterLines="0" w:line="413" w:lineRule="auto"/>
      <w:outlineLvl w:val="2"/>
    </w:pPr>
    <w:rPr>
      <w:rFonts w:ascii="Calibri" w:hAnsi="Calibri" w:eastAsia="宋体" w:cs="Times New Roman"/>
      <w:b/>
      <w:bCs/>
      <w:sz w:val="32"/>
      <w:szCs w:val="32"/>
    </w:rPr>
  </w:style>
  <w:style w:type="paragraph" w:styleId="5">
    <w:name w:val="heading 4"/>
    <w:basedOn w:val="1"/>
    <w:next w:val="1"/>
    <w:qFormat/>
    <w:uiPriority w:val="0"/>
    <w:pPr>
      <w:keepNext/>
      <w:keepLines/>
      <w:spacing w:line="360" w:lineRule="auto"/>
      <w:outlineLvl w:val="3"/>
    </w:pPr>
    <w:rPr>
      <w:rFonts w:ascii="Arial" w:hAnsi="Arial" w:eastAsia="宋体" w:cs="Times New Roman"/>
      <w:b/>
      <w:bCs/>
      <w:szCs w:val="28"/>
    </w:rPr>
  </w:style>
  <w:style w:type="paragraph" w:styleId="6">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bCs/>
      <w:kern w:val="0"/>
      <w:sz w:val="15"/>
      <w:szCs w:val="15"/>
      <w:lang w:val="en-US" w:eastAsia="zh-CN" w:bidi="ar"/>
    </w:rPr>
  </w:style>
  <w:style w:type="character" w:default="1" w:styleId="37">
    <w:name w:val="Default Paragraph Font"/>
    <w:qFormat/>
    <w:uiPriority w:val="0"/>
    <w:rPr>
      <w:rFonts w:ascii="Calibri" w:hAnsi="Calibri" w:eastAsia="宋体" w:cs="Times New Roman"/>
    </w:rPr>
  </w:style>
  <w:style w:type="table" w:default="1" w:styleId="35">
    <w:name w:val="Normal Table"/>
    <w:qFormat/>
    <w:uiPriority w:val="0"/>
    <w:rPr>
      <w:rFonts w:ascii="Calibri" w:hAnsi="Calibri" w:eastAsia="宋体" w:cs="Times New Roman"/>
    </w:rPr>
    <w:tblPr>
      <w:tblCellMar>
        <w:top w:w="0" w:type="dxa"/>
        <w:left w:w="108" w:type="dxa"/>
        <w:bottom w:w="0" w:type="dxa"/>
        <w:right w:w="108" w:type="dxa"/>
      </w:tblCellMar>
    </w:tblPr>
  </w:style>
  <w:style w:type="paragraph" w:styleId="7">
    <w:name w:val="toc 7"/>
    <w:basedOn w:val="1"/>
    <w:next w:val="1"/>
    <w:qFormat/>
    <w:uiPriority w:val="0"/>
    <w:pPr>
      <w:ind w:left="2520" w:leftChars="1200"/>
    </w:pPr>
    <w:rPr>
      <w:rFonts w:ascii="Calibri" w:hAnsi="Calibri" w:eastAsia="宋体" w:cs="Times New Roman"/>
    </w:rPr>
  </w:style>
  <w:style w:type="paragraph" w:styleId="8">
    <w:name w:val="Normal Indent"/>
    <w:basedOn w:val="1"/>
    <w:next w:val="1"/>
    <w:qFormat/>
    <w:uiPriority w:val="0"/>
    <w:pPr>
      <w:widowControl/>
      <w:ind w:firstLine="420"/>
      <w:jc w:val="left"/>
    </w:pPr>
    <w:rPr>
      <w:rFonts w:ascii="Calibri" w:hAnsi="Calibri" w:eastAsia="宋体" w:cs="Times New Roman"/>
      <w:kern w:val="0"/>
      <w:sz w:val="20"/>
    </w:rPr>
  </w:style>
  <w:style w:type="paragraph" w:styleId="9">
    <w:name w:val="annotation text"/>
    <w:basedOn w:val="1"/>
    <w:qFormat/>
    <w:uiPriority w:val="0"/>
    <w:pPr>
      <w:adjustRightInd w:val="0"/>
      <w:spacing w:line="360" w:lineRule="atLeast"/>
      <w:jc w:val="left"/>
      <w:textAlignment w:val="baseline"/>
    </w:pPr>
    <w:rPr>
      <w:rFonts w:ascii="Calibri" w:hAnsi="Calibri" w:eastAsia="宋体" w:cs="Times New Roman"/>
      <w:kern w:val="0"/>
      <w:sz w:val="24"/>
    </w:rPr>
  </w:style>
  <w:style w:type="paragraph" w:styleId="10">
    <w:name w:val="Body Text 3"/>
    <w:basedOn w:val="1"/>
    <w:qFormat/>
    <w:uiPriority w:val="0"/>
    <w:rPr>
      <w:rFonts w:ascii="宋体" w:hAnsi="Calibri" w:eastAsia="宋体" w:cs="Times New Roman"/>
      <w:sz w:val="24"/>
      <w:szCs w:val="20"/>
    </w:rPr>
  </w:style>
  <w:style w:type="paragraph" w:styleId="11">
    <w:name w:val="Body Text"/>
    <w:basedOn w:val="1"/>
    <w:next w:val="1"/>
    <w:qFormat/>
    <w:uiPriority w:val="0"/>
    <w:rPr>
      <w:rFonts w:ascii="宋体" w:hAnsi="宋体" w:eastAsia="宋体" w:cs="Times New Roman"/>
      <w:sz w:val="30"/>
      <w:szCs w:val="20"/>
    </w:rPr>
  </w:style>
  <w:style w:type="paragraph" w:styleId="12">
    <w:name w:val="Body Text Indent"/>
    <w:basedOn w:val="1"/>
    <w:qFormat/>
    <w:uiPriority w:val="0"/>
    <w:pPr>
      <w:ind w:firstLine="600" w:firstLineChars="200"/>
    </w:pPr>
    <w:rPr>
      <w:rFonts w:ascii="宋体" w:hAnsi="宋体" w:eastAsia="宋体" w:cs="Times New Roman"/>
      <w:sz w:val="30"/>
      <w:szCs w:val="20"/>
    </w:rPr>
  </w:style>
  <w:style w:type="paragraph" w:styleId="13">
    <w:name w:val="Block Text"/>
    <w:basedOn w:val="1"/>
    <w:qFormat/>
    <w:uiPriority w:val="0"/>
    <w:pPr>
      <w:ind w:left="1440" w:leftChars="700" w:right="700" w:rightChars="700"/>
    </w:pPr>
    <w:rPr>
      <w:rFonts w:ascii="Calibri" w:hAnsi="Calibri" w:eastAsia="宋体" w:cs="Times New Roman"/>
    </w:rPr>
  </w:style>
  <w:style w:type="paragraph" w:styleId="14">
    <w:name w:val="toc 5"/>
    <w:basedOn w:val="1"/>
    <w:next w:val="1"/>
    <w:qFormat/>
    <w:uiPriority w:val="0"/>
    <w:pPr>
      <w:ind w:left="1680" w:leftChars="800"/>
    </w:pPr>
    <w:rPr>
      <w:rFonts w:ascii="Calibri" w:hAnsi="Calibri" w:eastAsia="宋体" w:cs="Times New Roman"/>
    </w:rPr>
  </w:style>
  <w:style w:type="paragraph" w:styleId="15">
    <w:name w:val="toc 3"/>
    <w:basedOn w:val="1"/>
    <w:next w:val="1"/>
    <w:qFormat/>
    <w:uiPriority w:val="0"/>
    <w:pPr>
      <w:ind w:left="840" w:leftChars="400"/>
    </w:pPr>
    <w:rPr>
      <w:rFonts w:ascii="Calibri" w:hAnsi="Calibri" w:eastAsia="宋体" w:cs="Times New Roman"/>
    </w:rPr>
  </w:style>
  <w:style w:type="paragraph" w:styleId="16">
    <w:name w:val="Plain Text"/>
    <w:basedOn w:val="1"/>
    <w:qFormat/>
    <w:uiPriority w:val="0"/>
    <w:rPr>
      <w:rFonts w:ascii="宋体" w:hAnsi="Courier New" w:eastAsia="宋体" w:cs="宋体"/>
      <w:szCs w:val="21"/>
    </w:rPr>
  </w:style>
  <w:style w:type="paragraph" w:styleId="17">
    <w:name w:val="toc 8"/>
    <w:basedOn w:val="1"/>
    <w:next w:val="1"/>
    <w:qFormat/>
    <w:uiPriority w:val="0"/>
    <w:pPr>
      <w:ind w:left="2940" w:leftChars="1400"/>
    </w:pPr>
    <w:rPr>
      <w:rFonts w:ascii="Calibri" w:hAnsi="Calibri" w:eastAsia="宋体" w:cs="Times New Roman"/>
    </w:rPr>
  </w:style>
  <w:style w:type="paragraph" w:styleId="18">
    <w:name w:val="Date"/>
    <w:basedOn w:val="1"/>
    <w:next w:val="1"/>
    <w:qFormat/>
    <w:uiPriority w:val="0"/>
    <w:pPr>
      <w:ind w:left="100" w:leftChars="2500"/>
    </w:pPr>
    <w:rPr>
      <w:rFonts w:ascii="Calibri" w:hAnsi="Calibri" w:eastAsia="宋体" w:cs="Times New Roman"/>
    </w:rPr>
  </w:style>
  <w:style w:type="paragraph" w:styleId="19">
    <w:name w:val="Body Text Indent 2"/>
    <w:basedOn w:val="1"/>
    <w:qFormat/>
    <w:uiPriority w:val="0"/>
    <w:pPr>
      <w:autoSpaceDE w:val="0"/>
      <w:autoSpaceDN w:val="0"/>
      <w:adjustRightInd w:val="0"/>
      <w:spacing w:line="640" w:lineRule="exact"/>
      <w:ind w:firstLine="645"/>
    </w:pPr>
    <w:rPr>
      <w:rFonts w:ascii="楷体_GB2312" w:hAnsi="Calibri" w:eastAsia="楷体_GB2312" w:cs="Times New Roman"/>
      <w:kern w:val="0"/>
      <w:sz w:val="32"/>
      <w:szCs w:val="32"/>
    </w:rPr>
  </w:style>
  <w:style w:type="paragraph" w:styleId="20">
    <w:name w:val="footer"/>
    <w:basedOn w:val="1"/>
    <w:link w:val="53"/>
    <w:qFormat/>
    <w:uiPriority w:val="0"/>
    <w:pPr>
      <w:tabs>
        <w:tab w:val="center" w:pos="4153"/>
        <w:tab w:val="right" w:pos="8306"/>
      </w:tabs>
      <w:snapToGrid w:val="0"/>
      <w:jc w:val="left"/>
    </w:pPr>
    <w:rPr>
      <w:rFonts w:ascii="Calibri" w:hAnsi="Calibri" w:eastAsia="宋体" w:cs="Times New Roman"/>
      <w:sz w:val="18"/>
      <w:szCs w:val="20"/>
    </w:rPr>
  </w:style>
  <w:style w:type="paragraph" w:styleId="21">
    <w:name w:val="envelope return"/>
    <w:basedOn w:val="1"/>
    <w:qFormat/>
    <w:uiPriority w:val="0"/>
    <w:pPr>
      <w:snapToGrid w:val="0"/>
    </w:pPr>
    <w:rPr>
      <w:rFonts w:ascii="Arial" w:hAnsi="Arial" w:eastAsia="宋体" w:cs="Times New Roman"/>
    </w:rPr>
  </w:style>
  <w:style w:type="paragraph" w:styleId="22">
    <w:name w:val="header"/>
    <w:basedOn w:val="1"/>
    <w:link w:val="54"/>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23">
    <w:name w:val="toc 1"/>
    <w:basedOn w:val="1"/>
    <w:next w:val="1"/>
    <w:qFormat/>
    <w:uiPriority w:val="0"/>
    <w:rPr>
      <w:rFonts w:ascii="Calibri" w:hAnsi="Calibri" w:eastAsia="宋体" w:cs="Times New Roman"/>
    </w:rPr>
  </w:style>
  <w:style w:type="paragraph" w:styleId="24">
    <w:name w:val="toc 4"/>
    <w:basedOn w:val="1"/>
    <w:next w:val="1"/>
    <w:qFormat/>
    <w:uiPriority w:val="0"/>
    <w:pPr>
      <w:ind w:left="1260" w:leftChars="600"/>
    </w:pPr>
    <w:rPr>
      <w:rFonts w:ascii="Calibri" w:hAnsi="Calibri" w:eastAsia="宋体" w:cs="Times New Roman"/>
    </w:rPr>
  </w:style>
  <w:style w:type="paragraph" w:styleId="25">
    <w:name w:val="toc 6"/>
    <w:basedOn w:val="1"/>
    <w:next w:val="1"/>
    <w:qFormat/>
    <w:uiPriority w:val="0"/>
    <w:pPr>
      <w:ind w:left="2100" w:leftChars="1000"/>
    </w:pPr>
    <w:rPr>
      <w:rFonts w:ascii="Calibri" w:hAnsi="Calibri" w:eastAsia="宋体" w:cs="Times New Roman"/>
    </w:rPr>
  </w:style>
  <w:style w:type="paragraph" w:styleId="26">
    <w:name w:val="toc 2"/>
    <w:basedOn w:val="1"/>
    <w:next w:val="1"/>
    <w:qFormat/>
    <w:uiPriority w:val="0"/>
    <w:pPr>
      <w:ind w:left="420" w:leftChars="200"/>
    </w:pPr>
    <w:rPr>
      <w:rFonts w:ascii="Calibri" w:hAnsi="Calibri" w:eastAsia="宋体" w:cs="Times New Roman"/>
    </w:rPr>
  </w:style>
  <w:style w:type="paragraph" w:styleId="27">
    <w:name w:val="toc 9"/>
    <w:basedOn w:val="1"/>
    <w:next w:val="1"/>
    <w:qFormat/>
    <w:uiPriority w:val="0"/>
    <w:pPr>
      <w:ind w:left="3360" w:leftChars="1600"/>
    </w:pPr>
    <w:rPr>
      <w:rFonts w:ascii="Calibri" w:hAnsi="Calibri" w:eastAsia="宋体" w:cs="Times New Roman"/>
    </w:rPr>
  </w:style>
  <w:style w:type="paragraph" w:styleId="28">
    <w:name w:val="Body Text 2"/>
    <w:basedOn w:val="1"/>
    <w:qFormat/>
    <w:uiPriority w:val="0"/>
    <w:pPr>
      <w:spacing w:line="440" w:lineRule="exact"/>
    </w:pPr>
    <w:rPr>
      <w:rFonts w:ascii="宋体" w:hAnsi="宋体"/>
      <w:color w:val="000000"/>
      <w:kern w:val="0"/>
    </w:rPr>
  </w:style>
  <w:style w:type="paragraph" w:styleId="29">
    <w:name w:val="List Continue 2"/>
    <w:basedOn w:val="1"/>
    <w:qFormat/>
    <w:uiPriority w:val="0"/>
    <w:pPr>
      <w:spacing w:after="120" w:afterLines="0"/>
      <w:ind w:left="840" w:leftChars="400"/>
    </w:pPr>
    <w:rPr>
      <w:rFonts w:ascii="Calibri" w:hAnsi="Calibri" w:eastAsia="宋体" w:cs="Times New Roman"/>
      <w:szCs w:val="20"/>
    </w:rPr>
  </w:style>
  <w:style w:type="paragraph" w:styleId="3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31">
    <w:name w:val="HTML Preformatted"/>
    <w:basedOn w:val="1"/>
    <w:link w:val="5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宋体" w:cs="Arial"/>
      <w:kern w:val="0"/>
      <w:szCs w:val="21"/>
    </w:rPr>
  </w:style>
  <w:style w:type="paragraph" w:styleId="32">
    <w:name w:val="Normal (Web)"/>
    <w:basedOn w:val="1"/>
    <w:next w:val="2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styleId="33">
    <w:name w:val="Body Text First Indent"/>
    <w:basedOn w:val="11"/>
    <w:qFormat/>
    <w:uiPriority w:val="0"/>
    <w:pPr>
      <w:ind w:firstLine="420" w:firstLineChars="100"/>
    </w:pPr>
    <w:rPr>
      <w:rFonts w:ascii="Calibri" w:hAnsi="Calibri" w:eastAsia="宋体" w:cs="Times New Roman"/>
    </w:rPr>
  </w:style>
  <w:style w:type="paragraph" w:styleId="34">
    <w:name w:val="Body Text First Indent 2"/>
    <w:basedOn w:val="12"/>
    <w:qFormat/>
    <w:uiPriority w:val="0"/>
    <w:pPr>
      <w:adjustRightInd w:val="0"/>
      <w:spacing w:after="80"/>
      <w:textAlignment w:val="baseline"/>
    </w:pPr>
    <w:rPr>
      <w:rFonts w:ascii="宋体" w:hAnsi="宋体"/>
      <w:color w:val="000000"/>
      <w:kern w:val="0"/>
      <w:szCs w:val="20"/>
    </w:rPr>
  </w:style>
  <w:style w:type="table" w:styleId="36">
    <w:name w:val="Table Grid"/>
    <w:basedOn w:val="35"/>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rFonts w:ascii="Calibri" w:hAnsi="Calibri" w:eastAsia="宋体" w:cs="Times New Roman"/>
      <w:b/>
    </w:rPr>
  </w:style>
  <w:style w:type="character" w:styleId="39">
    <w:name w:val="page number"/>
    <w:qFormat/>
    <w:uiPriority w:val="0"/>
    <w:rPr>
      <w:rFonts w:ascii="Calibri" w:hAnsi="Calibri" w:eastAsia="宋体" w:cs="Times New Roman"/>
    </w:rPr>
  </w:style>
  <w:style w:type="character" w:styleId="40">
    <w:name w:val="FollowedHyperlink"/>
    <w:qFormat/>
    <w:uiPriority w:val="0"/>
    <w:rPr>
      <w:rFonts w:ascii="Calibri" w:hAnsi="Calibri" w:eastAsia="宋体" w:cs="Times New Roman"/>
      <w:color w:val="333333"/>
      <w:u w:val="none"/>
    </w:rPr>
  </w:style>
  <w:style w:type="character" w:styleId="41">
    <w:name w:val="Emphasis"/>
    <w:qFormat/>
    <w:uiPriority w:val="0"/>
    <w:rPr>
      <w:rFonts w:ascii="Calibri" w:hAnsi="Calibri" w:eastAsia="宋体" w:cs="Times New Roman"/>
    </w:rPr>
  </w:style>
  <w:style w:type="character" w:styleId="42">
    <w:name w:val="HTML Definition"/>
    <w:qFormat/>
    <w:uiPriority w:val="0"/>
    <w:rPr>
      <w:rFonts w:ascii="Calibri" w:hAnsi="Calibri" w:eastAsia="宋体" w:cs="Times New Roman"/>
      <w:i/>
      <w:sz w:val="20"/>
      <w:szCs w:val="20"/>
    </w:rPr>
  </w:style>
  <w:style w:type="character" w:styleId="43">
    <w:name w:val="HTML Typewriter"/>
    <w:basedOn w:val="37"/>
    <w:qFormat/>
    <w:uiPriority w:val="0"/>
    <w:rPr>
      <w:rFonts w:hint="default" w:ascii="monospace" w:hAnsi="monospace" w:eastAsia="monospace" w:cs="monospace"/>
      <w:sz w:val="20"/>
    </w:rPr>
  </w:style>
  <w:style w:type="character" w:styleId="44">
    <w:name w:val="HTML Acronym"/>
    <w:basedOn w:val="37"/>
    <w:qFormat/>
    <w:uiPriority w:val="0"/>
  </w:style>
  <w:style w:type="character" w:styleId="45">
    <w:name w:val="HTML Variable"/>
    <w:basedOn w:val="37"/>
    <w:qFormat/>
    <w:uiPriority w:val="0"/>
  </w:style>
  <w:style w:type="character" w:styleId="46">
    <w:name w:val="Hyperlink"/>
    <w:qFormat/>
    <w:uiPriority w:val="0"/>
    <w:rPr>
      <w:rFonts w:hint="default" w:ascii="Times New Roman" w:hAnsi="Times New Roman" w:eastAsia="宋体" w:cs="Times New Roman"/>
      <w:color w:val="0000FF"/>
      <w:u w:val="single"/>
    </w:rPr>
  </w:style>
  <w:style w:type="character" w:styleId="47">
    <w:name w:val="HTML Code"/>
    <w:qFormat/>
    <w:uiPriority w:val="0"/>
    <w:rPr>
      <w:rFonts w:ascii="Consolas" w:hAnsi="Consolas" w:eastAsia="Consolas" w:cs="Consolas"/>
      <w:color w:val="C7254E"/>
      <w:sz w:val="21"/>
      <w:szCs w:val="21"/>
      <w:shd w:val="clear" w:color="auto" w:fill="F9F2F4"/>
    </w:rPr>
  </w:style>
  <w:style w:type="character" w:styleId="48">
    <w:name w:val="annotation reference"/>
    <w:qFormat/>
    <w:uiPriority w:val="0"/>
    <w:rPr>
      <w:rFonts w:ascii="Calibri" w:hAnsi="Calibri" w:eastAsia="宋体" w:cs="Times New Roman"/>
      <w:sz w:val="21"/>
      <w:szCs w:val="21"/>
    </w:rPr>
  </w:style>
  <w:style w:type="character" w:styleId="49">
    <w:name w:val="HTML Cite"/>
    <w:basedOn w:val="37"/>
    <w:qFormat/>
    <w:uiPriority w:val="0"/>
  </w:style>
  <w:style w:type="character" w:styleId="50">
    <w:name w:val="HTML Keyboard"/>
    <w:qFormat/>
    <w:uiPriority w:val="0"/>
    <w:rPr>
      <w:rFonts w:hint="default" w:ascii="Consolas" w:hAnsi="Consolas" w:eastAsia="Consolas" w:cs="Consolas"/>
      <w:color w:val="FFFFFF"/>
      <w:sz w:val="21"/>
      <w:szCs w:val="21"/>
      <w:shd w:val="clear" w:color="auto" w:fill="333333"/>
    </w:rPr>
  </w:style>
  <w:style w:type="character" w:styleId="51">
    <w:name w:val="HTML Sample"/>
    <w:qFormat/>
    <w:uiPriority w:val="0"/>
    <w:rPr>
      <w:rFonts w:hint="default" w:ascii="Consolas" w:hAnsi="Consolas" w:eastAsia="Consolas" w:cs="Consolas"/>
      <w:sz w:val="21"/>
      <w:szCs w:val="21"/>
    </w:rPr>
  </w:style>
  <w:style w:type="character" w:customStyle="1" w:styleId="52">
    <w:name w:val="标题 1 字符"/>
    <w:link w:val="2"/>
    <w:qFormat/>
    <w:uiPriority w:val="0"/>
    <w:rPr>
      <w:rFonts w:ascii="Times New Roman" w:hAnsi="Times New Roman" w:eastAsia="宋体" w:cs="Times New Roman"/>
      <w:b/>
      <w:bCs/>
      <w:kern w:val="44"/>
      <w:sz w:val="28"/>
      <w:szCs w:val="44"/>
    </w:rPr>
  </w:style>
  <w:style w:type="character" w:customStyle="1" w:styleId="53">
    <w:name w:val="页脚 字符"/>
    <w:link w:val="20"/>
    <w:qFormat/>
    <w:uiPriority w:val="0"/>
    <w:rPr>
      <w:rFonts w:ascii="Calibri" w:hAnsi="Calibri" w:eastAsia="宋体" w:cs="Times New Roman"/>
      <w:kern w:val="2"/>
      <w:sz w:val="18"/>
    </w:rPr>
  </w:style>
  <w:style w:type="character" w:customStyle="1" w:styleId="54">
    <w:name w:val="页眉 字符"/>
    <w:link w:val="22"/>
    <w:qFormat/>
    <w:uiPriority w:val="0"/>
    <w:rPr>
      <w:rFonts w:ascii="Calibri" w:hAnsi="Calibri" w:eastAsia="宋体" w:cs="Times New Roman"/>
      <w:kern w:val="2"/>
      <w:sz w:val="18"/>
      <w:szCs w:val="18"/>
    </w:rPr>
  </w:style>
  <w:style w:type="character" w:customStyle="1" w:styleId="55">
    <w:name w:val="HTML 预设格式 字符"/>
    <w:link w:val="31"/>
    <w:qFormat/>
    <w:uiPriority w:val="0"/>
    <w:rPr>
      <w:rFonts w:ascii="Arial" w:hAnsi="Arial" w:eastAsia="宋体" w:cs="Arial"/>
      <w:sz w:val="21"/>
      <w:szCs w:val="21"/>
      <w:lang w:val="en-US" w:eastAsia="zh-CN" w:bidi="ar-SA"/>
    </w:rPr>
  </w:style>
  <w:style w:type="paragraph" w:customStyle="1" w:styleId="56">
    <w:name w:val="BodyText"/>
    <w:basedOn w:val="1"/>
    <w:next w:val="1"/>
    <w:qFormat/>
    <w:uiPriority w:val="0"/>
    <w:pPr>
      <w:jc w:val="center"/>
      <w:textAlignment w:val="baseline"/>
    </w:pPr>
  </w:style>
  <w:style w:type="character" w:customStyle="1" w:styleId="57">
    <w:name w:val="button"/>
    <w:qFormat/>
    <w:uiPriority w:val="0"/>
    <w:rPr>
      <w:rFonts w:ascii="Calibri" w:hAnsi="Calibri" w:eastAsia="宋体" w:cs="Times New Roman"/>
    </w:rPr>
  </w:style>
  <w:style w:type="character" w:customStyle="1" w:styleId="58">
    <w:name w:val="glyphicon4"/>
    <w:qFormat/>
    <w:uiPriority w:val="0"/>
    <w:rPr>
      <w:rFonts w:ascii="Calibri" w:hAnsi="Calibri" w:eastAsia="宋体" w:cs="Times New Roman"/>
    </w:rPr>
  </w:style>
  <w:style w:type="character" w:customStyle="1" w:styleId="59">
    <w:name w:val="font71"/>
    <w:qFormat/>
    <w:uiPriority w:val="0"/>
    <w:rPr>
      <w:rFonts w:hint="eastAsia" w:ascii="宋体" w:hAnsi="宋体" w:eastAsia="宋体" w:cs="宋体"/>
      <w:color w:val="000000"/>
      <w:sz w:val="21"/>
      <w:szCs w:val="21"/>
      <w:u w:val="none"/>
    </w:rPr>
  </w:style>
  <w:style w:type="character" w:customStyle="1" w:styleId="60">
    <w:name w:val="font12"/>
    <w:qFormat/>
    <w:uiPriority w:val="0"/>
    <w:rPr>
      <w:rFonts w:hint="eastAsia" w:ascii="宋体" w:hAnsi="宋体" w:eastAsia="宋体" w:cs="宋体"/>
      <w:color w:val="000000"/>
      <w:sz w:val="18"/>
      <w:szCs w:val="18"/>
      <w:u w:val="none"/>
      <w:vertAlign w:val="superscript"/>
    </w:rPr>
  </w:style>
  <w:style w:type="character" w:customStyle="1" w:styleId="61">
    <w:name w:val="hour_am"/>
    <w:qFormat/>
    <w:uiPriority w:val="0"/>
    <w:rPr>
      <w:rFonts w:ascii="Calibri" w:hAnsi="Calibri" w:eastAsia="宋体" w:cs="Times New Roman"/>
    </w:rPr>
  </w:style>
  <w:style w:type="character" w:customStyle="1" w:styleId="62">
    <w:name w:val="font121"/>
    <w:qFormat/>
    <w:uiPriority w:val="0"/>
    <w:rPr>
      <w:rFonts w:hint="default" w:ascii="Times New Roman" w:hAnsi="Times New Roman" w:eastAsia="宋体" w:cs="Times New Roman"/>
      <w:color w:val="000000"/>
      <w:sz w:val="20"/>
      <w:szCs w:val="20"/>
      <w:u w:val="none"/>
    </w:rPr>
  </w:style>
  <w:style w:type="character" w:customStyle="1" w:styleId="63">
    <w:name w:val="indent"/>
    <w:qFormat/>
    <w:uiPriority w:val="0"/>
    <w:rPr>
      <w:rFonts w:ascii="Calibri" w:hAnsi="Calibri" w:eastAsia="宋体" w:cs="Times New Roman"/>
    </w:rPr>
  </w:style>
  <w:style w:type="character" w:customStyle="1" w:styleId="64">
    <w:name w:val="font21"/>
    <w:qFormat/>
    <w:uiPriority w:val="0"/>
    <w:rPr>
      <w:rFonts w:hint="eastAsia" w:ascii="宋体" w:hAnsi="宋体" w:eastAsia="宋体" w:cs="宋体"/>
      <w:color w:val="000000"/>
      <w:sz w:val="18"/>
      <w:szCs w:val="18"/>
      <w:u w:val="none"/>
    </w:rPr>
  </w:style>
  <w:style w:type="character" w:customStyle="1" w:styleId="65">
    <w:name w:val="font11"/>
    <w:qFormat/>
    <w:uiPriority w:val="0"/>
    <w:rPr>
      <w:rFonts w:hint="eastAsia" w:ascii="宋体" w:hAnsi="宋体" w:eastAsia="宋体" w:cs="宋体"/>
      <w:color w:val="000000"/>
      <w:sz w:val="20"/>
      <w:szCs w:val="20"/>
      <w:u w:val="none"/>
    </w:rPr>
  </w:style>
  <w:style w:type="character" w:customStyle="1" w:styleId="66">
    <w:name w:val="font81"/>
    <w:qFormat/>
    <w:uiPriority w:val="0"/>
    <w:rPr>
      <w:rFonts w:hint="eastAsia" w:ascii="宋体" w:hAnsi="宋体" w:eastAsia="宋体" w:cs="宋体"/>
      <w:color w:val="000000"/>
      <w:sz w:val="21"/>
      <w:szCs w:val="21"/>
      <w:u w:val="none"/>
      <w:vertAlign w:val="superscript"/>
    </w:rPr>
  </w:style>
  <w:style w:type="character" w:customStyle="1" w:styleId="67">
    <w:name w:val="font01"/>
    <w:qFormat/>
    <w:uiPriority w:val="0"/>
    <w:rPr>
      <w:rFonts w:hint="eastAsia" w:ascii="宋体" w:hAnsi="宋体" w:eastAsia="宋体" w:cs="宋体"/>
      <w:color w:val="000000"/>
      <w:sz w:val="20"/>
      <w:szCs w:val="20"/>
      <w:u w:val="none"/>
      <w:vertAlign w:val="superscript"/>
    </w:rPr>
  </w:style>
  <w:style w:type="character" w:customStyle="1" w:styleId="68">
    <w:name w:val="hover3"/>
    <w:qFormat/>
    <w:uiPriority w:val="0"/>
    <w:rPr>
      <w:rFonts w:ascii="Calibri" w:hAnsi="Calibri" w:eastAsia="宋体" w:cs="Times New Roman"/>
      <w:shd w:val="clear" w:color="auto" w:fill="EEEEEE"/>
    </w:rPr>
  </w:style>
  <w:style w:type="character" w:customStyle="1" w:styleId="69">
    <w:name w:val="font51"/>
    <w:qFormat/>
    <w:uiPriority w:val="0"/>
    <w:rPr>
      <w:rFonts w:hint="eastAsia" w:ascii="宋体" w:hAnsi="宋体" w:eastAsia="宋体" w:cs="宋体"/>
      <w:color w:val="000000"/>
      <w:sz w:val="18"/>
      <w:szCs w:val="18"/>
      <w:u w:val="none"/>
    </w:rPr>
  </w:style>
  <w:style w:type="character" w:customStyle="1" w:styleId="70">
    <w:name w:val="font41"/>
    <w:qFormat/>
    <w:uiPriority w:val="0"/>
    <w:rPr>
      <w:rFonts w:hint="eastAsia" w:ascii="宋体" w:hAnsi="宋体" w:eastAsia="宋体" w:cs="宋体"/>
      <w:color w:val="000000"/>
      <w:sz w:val="22"/>
      <w:szCs w:val="22"/>
      <w:u w:val="none"/>
    </w:rPr>
  </w:style>
  <w:style w:type="character" w:customStyle="1" w:styleId="71">
    <w:name w:val="hour_pm"/>
    <w:qFormat/>
    <w:uiPriority w:val="0"/>
    <w:rPr>
      <w:rFonts w:ascii="Calibri" w:hAnsi="Calibri" w:eastAsia="宋体" w:cs="Times New Roman"/>
    </w:rPr>
  </w:style>
  <w:style w:type="character" w:customStyle="1" w:styleId="72">
    <w:name w:val="old"/>
    <w:qFormat/>
    <w:uiPriority w:val="0"/>
    <w:rPr>
      <w:rFonts w:ascii="Calibri" w:hAnsi="Calibri" w:eastAsia="宋体" w:cs="Times New Roman"/>
      <w:color w:val="999999"/>
    </w:rPr>
  </w:style>
  <w:style w:type="character" w:customStyle="1" w:styleId="73">
    <w:name w:val="font61"/>
    <w:qFormat/>
    <w:uiPriority w:val="0"/>
    <w:rPr>
      <w:rFonts w:hint="eastAsia" w:ascii="宋体" w:hAnsi="宋体" w:eastAsia="宋体" w:cs="宋体"/>
      <w:b/>
      <w:color w:val="000000"/>
      <w:sz w:val="20"/>
      <w:szCs w:val="20"/>
      <w:u w:val="none"/>
    </w:rPr>
  </w:style>
  <w:style w:type="character" w:customStyle="1" w:styleId="74">
    <w:name w:val="font101"/>
    <w:qFormat/>
    <w:uiPriority w:val="0"/>
    <w:rPr>
      <w:rFonts w:ascii="华文中宋" w:hAnsi="华文中宋" w:eastAsia="华文中宋" w:cs="华文中宋"/>
      <w:color w:val="000000"/>
      <w:sz w:val="21"/>
      <w:szCs w:val="21"/>
      <w:u w:val="none"/>
      <w:vertAlign w:val="superscript"/>
    </w:rPr>
  </w:style>
  <w:style w:type="character" w:customStyle="1" w:styleId="75">
    <w:name w:val="tmpztreemove_arrow"/>
    <w:qFormat/>
    <w:uiPriority w:val="0"/>
    <w:rPr>
      <w:rFonts w:ascii="Calibri" w:hAnsi="Calibri" w:eastAsia="宋体" w:cs="Times New Roman"/>
      <w:shd w:val="clear" w:color="auto" w:fill="FFFFFF"/>
    </w:rPr>
  </w:style>
  <w:style w:type="character" w:customStyle="1" w:styleId="76">
    <w:name w:val="font31"/>
    <w:qFormat/>
    <w:uiPriority w:val="0"/>
    <w:rPr>
      <w:rFonts w:hint="eastAsia" w:ascii="宋体" w:hAnsi="宋体" w:eastAsia="宋体" w:cs="宋体"/>
      <w:color w:val="000000"/>
      <w:sz w:val="22"/>
      <w:szCs w:val="22"/>
      <w:u w:val="none"/>
    </w:rPr>
  </w:style>
  <w:style w:type="character" w:customStyle="1" w:styleId="77">
    <w:name w:val="正文1"/>
    <w:qFormat/>
    <w:uiPriority w:val="0"/>
    <w:rPr>
      <w:rFonts w:hint="eastAsia" w:ascii="宋体" w:hAnsi="宋体" w:eastAsia="宋体" w:cs="Times New Roman"/>
      <w:sz w:val="22"/>
      <w:szCs w:val="22"/>
    </w:rPr>
  </w:style>
  <w:style w:type="paragraph" w:customStyle="1" w:styleId="78">
    <w:name w:val="WPSOffice手动目录 1"/>
    <w:qFormat/>
    <w:uiPriority w:val="0"/>
    <w:rPr>
      <w:rFonts w:ascii="Calibri" w:hAnsi="Calibri" w:eastAsia="宋体" w:cs="Times New Roman"/>
      <w:lang w:val="en-US" w:eastAsia="zh-CN" w:bidi="ar-SA"/>
    </w:rPr>
  </w:style>
  <w:style w:type="paragraph" w:customStyle="1" w:styleId="79">
    <w:name w:val="_Style 7"/>
    <w:basedOn w:val="1"/>
    <w:qFormat/>
    <w:uiPriority w:val="0"/>
    <w:pPr>
      <w:ind w:firstLine="420" w:firstLineChars="200"/>
    </w:pPr>
    <w:rPr>
      <w:rFonts w:ascii="Calibri" w:hAnsi="Calibri" w:eastAsia="宋体" w:cs="Times New Roman"/>
    </w:rPr>
  </w:style>
  <w:style w:type="paragraph" w:customStyle="1" w:styleId="80">
    <w:name w:val="正文 A"/>
    <w:qFormat/>
    <w:uiPriority w:val="0"/>
    <w:pPr>
      <w:widowControl w:val="0"/>
      <w:jc w:val="both"/>
    </w:pPr>
    <w:rPr>
      <w:rFonts w:ascii="Times New Roman" w:hAnsi="Times New Roman" w:eastAsia="宋体" w:cs="Times New Roman"/>
      <w:color w:val="000000"/>
      <w:kern w:val="2"/>
      <w:sz w:val="21"/>
      <w:szCs w:val="21"/>
      <w:lang w:val="en-US" w:eastAsia="zh-CN" w:bidi="ar-SA"/>
    </w:rPr>
  </w:style>
  <w:style w:type="paragraph" w:customStyle="1" w:styleId="81">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2">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
    <w:name w:val="_Style 3"/>
    <w:basedOn w:val="2"/>
    <w:next w:val="1"/>
    <w:qFormat/>
    <w:uiPriority w:val="0"/>
    <w:pPr>
      <w:widowControl/>
      <w:spacing w:before="480" w:after="0" w:line="276" w:lineRule="auto"/>
      <w:jc w:val="left"/>
      <w:outlineLvl w:val="9"/>
    </w:pPr>
    <w:rPr>
      <w:rFonts w:ascii="Cambria" w:hAnsi="Cambria" w:eastAsia="宋体" w:cs="Times New Roman"/>
      <w:color w:val="365F91"/>
      <w:kern w:val="0"/>
      <w:szCs w:val="28"/>
    </w:rPr>
  </w:style>
  <w:style w:type="paragraph" w:customStyle="1" w:styleId="84">
    <w:name w:val="_Style 1"/>
    <w:basedOn w:val="1"/>
    <w:qFormat/>
    <w:uiPriority w:val="0"/>
    <w:pPr>
      <w:adjustRightInd/>
      <w:spacing w:line="240" w:lineRule="auto"/>
      <w:ind w:firstLine="420" w:firstLineChars="200"/>
      <w:textAlignment w:val="auto"/>
    </w:pPr>
    <w:rPr>
      <w:rFonts w:ascii="Abadi MT Condensed Light" w:hAnsi="Abadi MT Condensed Light" w:eastAsia="仿宋_GB2312" w:cs="Times New Roman"/>
      <w:kern w:val="2"/>
      <w:sz w:val="10"/>
    </w:rPr>
  </w:style>
  <w:style w:type="paragraph" w:customStyle="1" w:styleId="85">
    <w:name w:val="Char Char Char Char"/>
    <w:basedOn w:val="1"/>
    <w:qFormat/>
    <w:uiPriority w:val="0"/>
    <w:rPr>
      <w:rFonts w:ascii="Calibri" w:hAnsi="Calibri" w:eastAsia="宋体" w:cs="Times New Roman"/>
    </w:rPr>
  </w:style>
  <w:style w:type="paragraph" w:customStyle="1" w:styleId="86">
    <w:name w:val="表内文字1"/>
    <w:basedOn w:val="16"/>
    <w:qFormat/>
    <w:uiPriority w:val="0"/>
    <w:pPr>
      <w:adjustRightInd w:val="0"/>
      <w:snapToGrid w:val="0"/>
      <w:spacing w:before="78" w:beforeLines="25" w:line="300" w:lineRule="auto"/>
      <w:jc w:val="center"/>
    </w:pPr>
    <w:rPr>
      <w:rFonts w:ascii="Times New Roman" w:hAnsi="Times New Roman" w:eastAsia="宋体" w:cs="Courier New"/>
      <w:snapToGrid w:val="0"/>
      <w:spacing w:val="10"/>
      <w:kern w:val="0"/>
      <w:sz w:val="24"/>
      <w:szCs w:val="21"/>
    </w:rPr>
  </w:style>
  <w:style w:type="paragraph" w:customStyle="1" w:styleId="87">
    <w:name w:val="p0"/>
    <w:basedOn w:val="1"/>
    <w:qFormat/>
    <w:uiPriority w:val="0"/>
    <w:rPr>
      <w:rFonts w:ascii="Calibri" w:hAnsi="Calibri" w:eastAsia="宋体" w:cs="Times New Roman"/>
      <w:kern w:val="0"/>
    </w:rPr>
  </w:style>
  <w:style w:type="paragraph" w:customStyle="1" w:styleId="88">
    <w:name w:val="样式 标题 2 + Times New Roman 四号 非加粗 段前: 5 磅 段后: 0 磅 行距: 固定值 20..."/>
    <w:basedOn w:val="3"/>
    <w:qFormat/>
    <w:uiPriority w:val="0"/>
    <w:pPr>
      <w:spacing w:before="100" w:after="0" w:line="400" w:lineRule="exact"/>
    </w:pPr>
    <w:rPr>
      <w:rFonts w:ascii="Times New Roman" w:hAnsi="Times New Roman" w:eastAsia="宋体" w:cs="宋体"/>
      <w:b w:val="0"/>
      <w:bCs w:val="0"/>
      <w:sz w:val="28"/>
      <w:szCs w:val="20"/>
    </w:rPr>
  </w:style>
  <w:style w:type="paragraph" w:customStyle="1" w:styleId="89">
    <w:name w:val="样式 标题 3 + (中文) 黑体 小四 非加粗 段前: 7.8 磅 段后: 0 磅 行距: 固定值 20 磅"/>
    <w:basedOn w:val="4"/>
    <w:qFormat/>
    <w:uiPriority w:val="0"/>
    <w:pPr>
      <w:spacing w:before="0" w:beforeLines="0" w:after="0" w:afterLines="0" w:line="400" w:lineRule="exact"/>
    </w:pPr>
    <w:rPr>
      <w:rFonts w:ascii="Calibri" w:hAnsi="Calibri" w:eastAsia="黑体" w:cs="宋体"/>
      <w:b w:val="0"/>
      <w:bCs w:val="0"/>
      <w:sz w:val="24"/>
      <w:szCs w:val="20"/>
    </w:rPr>
  </w:style>
  <w:style w:type="paragraph" w:customStyle="1" w:styleId="90">
    <w:name w:val="表内文字"/>
    <w:basedOn w:val="16"/>
    <w:qFormat/>
    <w:uiPriority w:val="0"/>
    <w:pPr>
      <w:adjustRightInd w:val="0"/>
      <w:snapToGrid w:val="0"/>
      <w:spacing w:before="78" w:beforeLines="25"/>
      <w:jc w:val="center"/>
    </w:pPr>
    <w:rPr>
      <w:rFonts w:ascii="Times New Roman" w:hAnsi="Times New Roman" w:eastAsia="宋体" w:cs="Times New Roman"/>
      <w:snapToGrid w:val="0"/>
      <w:spacing w:val="10"/>
      <w:kern w:val="0"/>
      <w:sz w:val="24"/>
      <w:szCs w:val="24"/>
    </w:rPr>
  </w:style>
  <w:style w:type="paragraph" w:customStyle="1" w:styleId="91">
    <w:name w:val="Default"/>
    <w:qFormat/>
    <w:uiPriority w:val="0"/>
    <w:pPr>
      <w:widowControl w:val="0"/>
      <w:autoSpaceDE w:val="0"/>
      <w:autoSpaceDN w:val="0"/>
      <w:adjustRightInd w:val="0"/>
    </w:pPr>
    <w:rPr>
      <w:rFonts w:ascii="Sim Sun" w:hAnsi="Calibri" w:eastAsia="Sim Sun" w:cs="Sim Sun"/>
      <w:color w:val="000000"/>
      <w:sz w:val="24"/>
      <w:szCs w:val="24"/>
      <w:lang w:val="en-US" w:eastAsia="zh-CN" w:bidi="ar-SA"/>
    </w:rPr>
  </w:style>
  <w:style w:type="paragraph" w:customStyle="1" w:styleId="92">
    <w:name w:val="List Paragraph"/>
    <w:basedOn w:val="1"/>
    <w:qFormat/>
    <w:uiPriority w:val="0"/>
    <w:pPr>
      <w:ind w:firstLine="420" w:firstLineChars="200"/>
    </w:pPr>
    <w:rPr>
      <w:rFonts w:ascii="Calibri" w:hAnsi="Calibri" w:eastAsia="宋体" w:cs="Times New Roman"/>
    </w:rPr>
  </w:style>
  <w:style w:type="paragraph" w:customStyle="1" w:styleId="93">
    <w:name w:val="MessageHeader"/>
    <w:basedOn w:val="1"/>
    <w:next w:val="56"/>
    <w:qFormat/>
    <w:uiPriority w:val="0"/>
    <w:pPr>
      <w:pBdr>
        <w:top w:val="none" w:color="000000" w:sz="0" w:space="1"/>
        <w:left w:val="none" w:color="000000" w:sz="0" w:space="1"/>
        <w:bottom w:val="none" w:color="000000" w:sz="0" w:space="1"/>
        <w:right w:val="none" w:color="000000" w:sz="0" w:space="1"/>
      </w:pBdr>
      <w:snapToGrid w:val="0"/>
      <w:spacing w:line="360" w:lineRule="auto"/>
      <w:jc w:val="both"/>
      <w:textAlignment w:val="baseline"/>
    </w:pPr>
    <w:rPr>
      <w:rFonts w:ascii="Arial" w:hAnsi="Arial"/>
      <w:kern w:val="2"/>
      <w:sz w:val="28"/>
      <w:lang w:val="en-US" w:eastAsia="zh-CN" w:bidi="ar-SA"/>
    </w:rPr>
  </w:style>
  <w:style w:type="paragraph" w:customStyle="1" w:styleId="94">
    <w:name w:val="彩色列表 - 着色 11"/>
    <w:basedOn w:val="1"/>
    <w:qFormat/>
    <w:uiPriority w:val="0"/>
    <w:pPr>
      <w:ind w:firstLine="420" w:firstLineChars="200"/>
    </w:pPr>
    <w:rPr>
      <w:rFonts w:ascii="Calibri" w:hAnsi="Calibri" w:eastAsia="宋体" w:cs="Times New Roman"/>
      <w:szCs w:val="22"/>
    </w:rPr>
  </w:style>
  <w:style w:type="paragraph" w:customStyle="1" w:styleId="95">
    <w:name w:val="Table Paragraph"/>
    <w:basedOn w:val="1"/>
    <w:qFormat/>
    <w:uiPriority w:val="0"/>
    <w:rPr>
      <w:rFonts w:ascii="PMingLiU" w:hAnsi="PMingLiU" w:eastAsia="PMingLiU" w:cs="PMingLiU"/>
      <w:lang w:val="zh-CN" w:eastAsia="zh-CN" w:bidi="zh-CN"/>
    </w:rPr>
  </w:style>
  <w:style w:type="paragraph" w:customStyle="1" w:styleId="96">
    <w:name w:val="BodyText1I2"/>
    <w:basedOn w:val="97"/>
    <w:qFormat/>
    <w:uiPriority w:val="0"/>
    <w:pPr>
      <w:spacing w:after="0"/>
      <w:ind w:left="0" w:leftChars="0" w:firstLine="420"/>
    </w:pPr>
    <w:rPr>
      <w:rFonts w:ascii="宋体" w:hAnsi="Calibri"/>
      <w:szCs w:val="20"/>
    </w:rPr>
  </w:style>
  <w:style w:type="paragraph" w:customStyle="1" w:styleId="97">
    <w:name w:val="BodyTextIndent"/>
    <w:basedOn w:val="1"/>
    <w:qFormat/>
    <w:uiPriority w:val="0"/>
    <w:pPr>
      <w:spacing w:after="120" w:line="360" w:lineRule="auto"/>
      <w:ind w:left="420" w:leftChars="200" w:firstLine="200" w:firstLineChars="200"/>
    </w:pPr>
    <w:rPr>
      <w:rFonts w:ascii="Arial" w:hAnsi="Arial"/>
      <w:sz w:val="24"/>
    </w:rPr>
  </w:style>
  <w:style w:type="paragraph" w:customStyle="1" w:styleId="98">
    <w:name w:val="09正文_wh"/>
    <w:next w:val="1"/>
    <w:qFormat/>
    <w:uiPriority w:val="0"/>
    <w:pPr>
      <w:spacing w:line="300" w:lineRule="auto"/>
      <w:ind w:firstLine="200" w:firstLineChars="200"/>
      <w:jc w:val="both"/>
    </w:pPr>
    <w:rPr>
      <w:rFonts w:ascii="Times New Roman" w:hAnsi="Times New Roman" w:eastAsia="宋体" w:cs="Times New Roman"/>
      <w:sz w:val="28"/>
      <w:szCs w:val="22"/>
      <w:lang w:val="en-US" w:eastAsia="zh-CN" w:bidi="ar-SA"/>
    </w:rPr>
  </w:style>
  <w:style w:type="paragraph" w:customStyle="1" w:styleId="99">
    <w:name w:val="正文_2_0"/>
    <w:next w:val="10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
    <w:name w:val="正文文本_2"/>
    <w:basedOn w:val="99"/>
    <w:next w:val="99"/>
    <w:qFormat/>
    <w:uiPriority w:val="1"/>
    <w:pPr>
      <w:ind w:firstLine="0" w:firstLineChars="0"/>
    </w:pPr>
    <w:rPr>
      <w:rFonts w:cs="Times New Roman"/>
      <w:kern w:val="0"/>
      <w:lang w:val="zh-CN"/>
    </w:rPr>
  </w:style>
  <w:style w:type="paragraph" w:customStyle="1" w:styleId="101">
    <w:name w:val="正文文本_1"/>
    <w:basedOn w:val="99"/>
    <w:unhideWhenUsed/>
    <w:qFormat/>
    <w:uiPriority w:val="0"/>
    <w:pPr>
      <w:widowControl/>
      <w:spacing w:after="160"/>
      <w:jc w:val="left"/>
    </w:pPr>
    <w:rPr>
      <w:rFonts w:ascii="宋体" w:hAnsi="宋体" w:cs="宋体"/>
      <w:kern w:val="0"/>
      <w:sz w:val="24"/>
      <w:szCs w:val="24"/>
      <w:lang w:val="zh-CN" w:bidi="zh-CN"/>
    </w:rPr>
  </w:style>
  <w:style w:type="paragraph" w:customStyle="1" w:styleId="102">
    <w:name w:val="正文_1_0"/>
    <w:next w:val="10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3">
    <w:name w:val="正文文本_1_0"/>
    <w:basedOn w:val="102"/>
    <w:unhideWhenUsed/>
    <w:qFormat/>
    <w:uiPriority w:val="0"/>
    <w:pPr>
      <w:widowControl/>
      <w:spacing w:after="160"/>
      <w:jc w:val="left"/>
    </w:pPr>
    <w:rPr>
      <w:rFonts w:ascii="宋体" w:hAnsi="宋体" w:cs="宋体"/>
      <w:kern w:val="0"/>
      <w:sz w:val="24"/>
      <w:szCs w:val="24"/>
      <w:lang w:val="zh-CN" w:bidi="zh-CN"/>
    </w:rPr>
  </w:style>
  <w:style w:type="paragraph" w:customStyle="1" w:styleId="104">
    <w:name w:val="目录"/>
    <w:basedOn w:val="1"/>
    <w:qFormat/>
    <w:uiPriority w:val="0"/>
    <w:pPr>
      <w:spacing w:line="540" w:lineRule="exact"/>
      <w:ind w:left="53" w:firstLine="560" w:firstLineChars="200"/>
    </w:pPr>
    <w:rPr>
      <w:rFonts w:eastAsia="仿宋_GB2312"/>
      <w:sz w:val="28"/>
      <w:szCs w:val="28"/>
    </w:rPr>
  </w:style>
  <w:style w:type="paragraph" w:customStyle="1" w:styleId="105">
    <w:name w:val="正文_3"/>
    <w:next w:val="106"/>
    <w:qFormat/>
    <w:uiPriority w:val="0"/>
    <w:pPr>
      <w:widowControl w:val="0"/>
      <w:spacing w:line="360" w:lineRule="auto"/>
      <w:ind w:firstLine="420" w:firstLineChars="200"/>
      <w:jc w:val="both"/>
    </w:pPr>
    <w:rPr>
      <w:rFonts w:ascii="Times New Roman" w:hAnsi="Times New Roman" w:eastAsia="宋体" w:cs="思源宋体 CN Light"/>
      <w:kern w:val="2"/>
      <w:sz w:val="21"/>
      <w:szCs w:val="24"/>
      <w:lang w:val="en-US" w:eastAsia="zh-CN" w:bidi="ar-SA"/>
    </w:rPr>
  </w:style>
  <w:style w:type="paragraph" w:customStyle="1" w:styleId="106">
    <w:name w:val="样式 首行缩进:  2 字符_1"/>
    <w:basedOn w:val="105"/>
    <w:qFormat/>
    <w:uiPriority w:val="0"/>
    <w:pPr>
      <w:ind w:firstLine="480"/>
    </w:pPr>
    <w:rPr>
      <w:rFonts w:ascii="Calibri" w:hAnsi="Calibri" w:cs="宋体"/>
      <w:color w:val="000000"/>
      <w:szCs w:val="20"/>
    </w:rPr>
  </w:style>
  <w:style w:type="paragraph" w:customStyle="1" w:styleId="107">
    <w:name w:val="正文(1)"/>
    <w:basedOn w:val="1"/>
    <w:qFormat/>
    <w:uiPriority w:val="0"/>
    <w:pPr>
      <w:numPr>
        <w:ilvl w:val="0"/>
        <w:numId w:val="1"/>
      </w:numPr>
      <w:ind w:firstLine="200"/>
    </w:pPr>
    <w:rPr>
      <w:b/>
    </w:rPr>
  </w:style>
  <w:style w:type="paragraph" w:customStyle="1" w:styleId="108">
    <w:name w:val="Heading4"/>
    <w:basedOn w:val="1"/>
    <w:next w:val="1"/>
    <w:qFormat/>
    <w:uiPriority w:val="0"/>
    <w:pPr>
      <w:keepNext/>
      <w:spacing w:line="600" w:lineRule="exact"/>
      <w:jc w:val="center"/>
    </w:pPr>
    <w:rPr>
      <w:rFonts w:ascii="楷体_GB2312" w:hAnsi="Times New Roman" w:eastAsia="楷体_GB2312"/>
      <w:sz w:val="32"/>
      <w:szCs w:val="32"/>
    </w:rPr>
  </w:style>
  <w:style w:type="character" w:customStyle="1" w:styleId="109">
    <w:name w:val="NormalCharacter"/>
    <w:qFormat/>
    <w:uiPriority w:val="0"/>
    <w:rPr>
      <w:rFonts w:ascii="Calibri Light" w:hAnsi="Calibri Light" w:eastAsia="华文仿宋" w:cs="Calibri Light"/>
      <w:kern w:val="2"/>
      <w:sz w:val="28"/>
      <w:szCs w:val="28"/>
      <w:lang w:val="en-US" w:eastAsia="zh-CN" w:bidi="ar-SA"/>
    </w:rPr>
  </w:style>
  <w:style w:type="paragraph" w:customStyle="1" w:styleId="110">
    <w:name w:val="正文缩进1"/>
    <w:basedOn w:val="1"/>
    <w:qFormat/>
    <w:uiPriority w:val="0"/>
    <w:pPr>
      <w:ind w:firstLine="420" w:firstLineChars="200"/>
    </w:pPr>
  </w:style>
  <w:style w:type="character" w:customStyle="1" w:styleId="111">
    <w:name w:val="font171"/>
    <w:basedOn w:val="37"/>
    <w:qFormat/>
    <w:uiPriority w:val="0"/>
    <w:rPr>
      <w:rFonts w:ascii="Arial" w:hAnsi="Arial" w:cs="Arial"/>
      <w:color w:val="333333"/>
      <w:sz w:val="20"/>
      <w:szCs w:val="20"/>
      <w:u w:val="none"/>
    </w:rPr>
  </w:style>
  <w:style w:type="character" w:customStyle="1" w:styleId="112">
    <w:name w:val="font151"/>
    <w:basedOn w:val="37"/>
    <w:qFormat/>
    <w:uiPriority w:val="0"/>
    <w:rPr>
      <w:rFonts w:hint="eastAsia" w:ascii="宋体" w:hAnsi="宋体" w:eastAsia="宋体" w:cs="宋体"/>
      <w:color w:val="333333"/>
      <w:sz w:val="20"/>
      <w:szCs w:val="20"/>
      <w:u w:val="none"/>
    </w:rPr>
  </w:style>
  <w:style w:type="paragraph" w:customStyle="1" w:styleId="11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14">
    <w:name w:val="列出段落1"/>
    <w:basedOn w:val="1"/>
    <w:qFormat/>
    <w:uiPriority w:val="34"/>
    <w:pPr>
      <w:ind w:firstLine="420" w:firstLineChars="200"/>
    </w:pPr>
  </w:style>
  <w:style w:type="table" w:customStyle="1" w:styleId="115">
    <w:name w:val="Table Normal"/>
    <w:unhideWhenUsed/>
    <w:qFormat/>
    <w:uiPriority w:val="0"/>
    <w:tblPr>
      <w:tblCellMar>
        <w:top w:w="0" w:type="dxa"/>
        <w:left w:w="0" w:type="dxa"/>
        <w:bottom w:w="0" w:type="dxa"/>
        <w:right w:w="0" w:type="dxa"/>
      </w:tblCellMar>
    </w:tblPr>
  </w:style>
  <w:style w:type="paragraph" w:customStyle="1" w:styleId="116">
    <w:name w:val="Table Text"/>
    <w:basedOn w:val="1"/>
    <w:semiHidden/>
    <w:qFormat/>
    <w:uiPriority w:val="0"/>
    <w:rPr>
      <w:rFonts w:ascii="Times New Roman" w:hAnsi="Times New Roman" w:eastAsia="Times New Roman" w:cs="Times New Roman"/>
      <w:sz w:val="22"/>
      <w:szCs w:val="22"/>
      <w:lang w:val="en-US" w:eastAsia="en-US" w:bidi="ar-SA"/>
    </w:rPr>
  </w:style>
  <w:style w:type="character" w:customStyle="1" w:styleId="117">
    <w:name w:val="标题 2 Char"/>
    <w:link w:val="3"/>
    <w:qFormat/>
    <w:uiPriority w:val="0"/>
    <w:rPr>
      <w:rFonts w:ascii="Arial" w:hAnsi="Arial" w:eastAsia="宋体" w:cs="Times New Roman"/>
      <w:b/>
      <w:bCs/>
      <w:sz w:val="28"/>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143</Pages>
  <Words>9712</Words>
  <Characters>10798</Characters>
  <Lines>425</Lines>
  <Paragraphs>119</Paragraphs>
  <TotalTime>2</TotalTime>
  <ScaleCrop>false</ScaleCrop>
  <LinksUpToDate>false</LinksUpToDate>
  <CharactersWithSpaces>10974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2016-12-15T15:01:00Z</dcterms:created>
  <dc:creator>wangchao</dc:creator>
  <cp:lastModifiedBy>admin</cp:lastModifiedBy>
  <cp:lastPrinted>2022-05-20T01:06:00Z</cp:lastPrinted>
  <dcterms:modified xsi:type="dcterms:W3CDTF">2025-10-17T07:02:55Z</dcterms:modified>
  <dc:title>陕西延长石油（集团）有限责任公司油煤新技术开发公司安全评估项目</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F075E56A96FD48EB94D94FEA463BB433_13</vt:lpwstr>
  </property>
  <property fmtid="{D5CDD505-2E9C-101B-9397-08002B2CF9AE}" pid="4" name="KSOTemplateDocerSaveRecord">
    <vt:lpwstr>eyJoZGlkIjoiNDFiZmZmNDQyYzUxMzhiOWVkN2IzMDRmYThlNTRhNTAiLCJ1c2VySWQiOiI3ODAwNzU1NjEifQ==</vt:lpwstr>
  </property>
</Properties>
</file>