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9A0D8">
      <w:pPr>
        <w:pStyle w:val="4"/>
        <w:spacing w:line="500" w:lineRule="exact"/>
        <w:ind w:firstLine="643" w:firstLineChars="200"/>
        <w:jc w:val="center"/>
        <w:outlineLvl w:val="1"/>
        <w:rPr>
          <w:rFonts w:hint="eastAsia" w:ascii="仿宋" w:hAnsi="仿宋" w:eastAsia="仿宋" w:cs="Times New Roman"/>
          <w:b/>
          <w:sz w:val="32"/>
          <w:szCs w:val="32"/>
        </w:rPr>
      </w:pPr>
      <w:r>
        <w:rPr>
          <w:rFonts w:hint="eastAsia" w:ascii="仿宋" w:hAnsi="仿宋" w:eastAsia="仿宋" w:cs="Times New Roman"/>
          <w:b/>
          <w:sz w:val="32"/>
          <w:szCs w:val="32"/>
        </w:rPr>
        <w:t xml:space="preserve">第三章  </w:t>
      </w:r>
      <w:bookmarkStart w:id="0" w:name="_Toc48834545"/>
      <w:bookmarkStart w:id="1" w:name="_Toc20365"/>
      <w:bookmarkStart w:id="2" w:name="_Toc48834304"/>
      <w:bookmarkStart w:id="3" w:name="_Toc48834466"/>
      <w:bookmarkStart w:id="4" w:name="_Toc48834107"/>
      <w:bookmarkStart w:id="5" w:name="_Toc48834177"/>
      <w:bookmarkStart w:id="6" w:name="_Toc14082138"/>
      <w:r>
        <w:rPr>
          <w:rFonts w:ascii="仿宋" w:hAnsi="仿宋" w:eastAsia="仿宋" w:cs="Times New Roman"/>
          <w:b/>
          <w:sz w:val="32"/>
          <w:szCs w:val="32"/>
        </w:rPr>
        <w:t>谈判内容及采购</w:t>
      </w:r>
      <w:r>
        <w:rPr>
          <w:rFonts w:hint="eastAsia" w:ascii="仿宋" w:hAnsi="仿宋" w:eastAsia="仿宋" w:cs="Times New Roman"/>
          <w:b/>
          <w:sz w:val="32"/>
          <w:szCs w:val="32"/>
        </w:rPr>
        <w:t>需</w:t>
      </w:r>
      <w:r>
        <w:rPr>
          <w:rFonts w:ascii="仿宋" w:hAnsi="仿宋" w:eastAsia="仿宋" w:cs="Times New Roman"/>
          <w:b/>
          <w:sz w:val="32"/>
          <w:szCs w:val="32"/>
        </w:rPr>
        <w:t>求</w:t>
      </w:r>
    </w:p>
    <w:p w14:paraId="5F628301">
      <w:pPr>
        <w:pStyle w:val="8"/>
        <w:spacing w:line="500" w:lineRule="exact"/>
        <w:ind w:firstLine="567"/>
        <w:rPr>
          <w:rFonts w:hint="eastAsia" w:ascii="仿宋" w:hAnsi="仿宋" w:eastAsia="仿宋" w:cs="Times New Roman"/>
          <w:color w:val="auto"/>
        </w:rPr>
      </w:pPr>
      <w:r>
        <w:rPr>
          <w:rFonts w:hint="eastAsia" w:ascii="仿宋" w:hAnsi="仿宋" w:eastAsia="仿宋" w:cs="Times New Roman"/>
        </w:rPr>
        <w:t xml:space="preserve">   </w:t>
      </w:r>
      <w:bookmarkEnd w:id="0"/>
      <w:bookmarkEnd w:id="1"/>
      <w:bookmarkEnd w:id="2"/>
      <w:bookmarkEnd w:id="3"/>
      <w:bookmarkEnd w:id="4"/>
      <w:bookmarkEnd w:id="5"/>
      <w:bookmarkEnd w:id="6"/>
      <w:r>
        <w:rPr>
          <w:rFonts w:hint="eastAsia" w:ascii="仿宋" w:hAnsi="仿宋" w:eastAsia="仿宋" w:cs="Times New Roman"/>
          <w:color w:val="auto"/>
        </w:rPr>
        <w:t>本次</w:t>
      </w:r>
      <w:r>
        <w:rPr>
          <w:rFonts w:hint="eastAsia" w:ascii="仿宋" w:hAnsi="仿宋" w:eastAsia="仿宋" w:cs="Times New Roman"/>
          <w:color w:val="auto"/>
          <w:lang w:eastAsia="zh-CN"/>
        </w:rPr>
        <w:t>采购项目为榆林市老干部活动中心采购物业管理服务项目</w:t>
      </w:r>
      <w:r>
        <w:rPr>
          <w:rFonts w:hint="eastAsia" w:ascii="仿宋" w:hAnsi="仿宋" w:eastAsia="仿宋" w:cs="Times New Roman"/>
          <w:color w:val="auto"/>
        </w:rPr>
        <w:t>，供应商必须对本项目进行整体响应，只对其中一部分内容进行的响应都被视为无效响应。谈判报价应遵守《中华人民共和国价格法》，供应商不得以低于成本的报价参与本次采购活动。</w:t>
      </w:r>
    </w:p>
    <w:p w14:paraId="1D5A40F0">
      <w:pPr>
        <w:pStyle w:val="8"/>
        <w:spacing w:line="500" w:lineRule="exact"/>
        <w:ind w:firstLine="567"/>
        <w:rPr>
          <w:rFonts w:hint="eastAsia" w:ascii="仿宋" w:hAnsi="仿宋" w:eastAsia="仿宋" w:cs="Times New Roman"/>
          <w:color w:val="auto"/>
        </w:rPr>
      </w:pPr>
    </w:p>
    <w:p w14:paraId="373A94A3">
      <w:pPr>
        <w:tabs>
          <w:tab w:val="left" w:pos="1976"/>
          <w:tab w:val="center" w:pos="4309"/>
        </w:tabs>
        <w:spacing w:line="360" w:lineRule="auto"/>
        <w:ind w:firstLine="281" w:firstLineChars="100"/>
        <w:jc w:val="left"/>
        <w:rPr>
          <w:rFonts w:hint="eastAsia" w:ascii="仿宋" w:hAnsi="仿宋" w:eastAsia="仿宋" w:cs="Times New Roman"/>
          <w:b/>
          <w:bCs/>
        </w:rPr>
      </w:pPr>
      <w:r>
        <w:rPr>
          <w:rFonts w:hint="eastAsia" w:ascii="仿宋" w:hAnsi="仿宋" w:eastAsia="仿宋"/>
          <w:b/>
          <w:bCs/>
          <w:sz w:val="28"/>
          <w:szCs w:val="28"/>
        </w:rPr>
        <w:t>一、项目简介</w:t>
      </w:r>
    </w:p>
    <w:p w14:paraId="640BC239">
      <w:pPr>
        <w:pStyle w:val="8"/>
        <w:keepNext w:val="0"/>
        <w:keepLines w:val="0"/>
        <w:pageBreakBefore w:val="0"/>
        <w:kinsoku/>
        <w:wordWrap/>
        <w:overflowPunct/>
        <w:topLinePunct w:val="0"/>
        <w:bidi w:val="0"/>
        <w:spacing w:line="6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老干部活动中心位于榆林市新建北路127号，本次物业服务范围：榆林市老干部活动中心办公楼</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老干部</w:t>
      </w:r>
      <w:r>
        <w:rPr>
          <w:rFonts w:hint="eastAsia" w:ascii="仿宋_GB2312" w:hAnsi="仿宋_GB2312" w:eastAsia="仿宋_GB2312" w:cs="仿宋_GB2312"/>
          <w:sz w:val="32"/>
          <w:szCs w:val="32"/>
          <w:lang w:eastAsia="zh-CN"/>
        </w:rPr>
        <w:t>遗属</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其他住户一概不在服务范围内，</w:t>
      </w:r>
      <w:r>
        <w:rPr>
          <w:rFonts w:hint="eastAsia" w:ascii="仿宋_GB2312" w:hAnsi="仿宋_GB2312" w:eastAsia="仿宋_GB2312" w:cs="仿宋_GB2312"/>
          <w:sz w:val="32"/>
          <w:szCs w:val="32"/>
        </w:rPr>
        <w:t>总面积</w:t>
      </w:r>
      <w:r>
        <w:rPr>
          <w:rFonts w:hint="eastAsia" w:ascii="仿宋_GB2312" w:hAnsi="仿宋_GB2312" w:eastAsia="仿宋_GB2312" w:cs="仿宋_GB2312"/>
          <w:sz w:val="32"/>
          <w:szCs w:val="32"/>
          <w:lang w:val="en-US" w:eastAsia="zh-CN"/>
        </w:rPr>
        <w:t>6911</w:t>
      </w:r>
      <w:r>
        <w:rPr>
          <w:rFonts w:hint="eastAsia" w:ascii="仿宋_GB2312" w:hAnsi="仿宋_GB2312" w:eastAsia="仿宋_GB2312" w:cs="仿宋_GB2312"/>
          <w:sz w:val="32"/>
          <w:szCs w:val="32"/>
        </w:rPr>
        <w:t>㎡，其中办公楼建筑面积为</w:t>
      </w:r>
      <w:r>
        <w:rPr>
          <w:rFonts w:hint="eastAsia" w:ascii="仿宋_GB2312" w:hAnsi="仿宋_GB2312" w:eastAsia="仿宋_GB2312" w:cs="仿宋_GB2312"/>
          <w:sz w:val="32"/>
          <w:szCs w:val="32"/>
          <w:lang w:val="en-US" w:eastAsia="zh-CN"/>
        </w:rPr>
        <w:t>1792</w:t>
      </w:r>
      <w:r>
        <w:rPr>
          <w:rFonts w:hint="eastAsia" w:ascii="仿宋_GB2312" w:hAnsi="仿宋_GB2312" w:eastAsia="仿宋_GB2312" w:cs="仿宋_GB2312"/>
          <w:sz w:val="32"/>
          <w:szCs w:val="32"/>
        </w:rPr>
        <w:t>㎡，锅炉房为200㎡</w:t>
      </w:r>
      <w:r>
        <w:rPr>
          <w:rFonts w:hint="eastAsia" w:ascii="仿宋_GB2312" w:hAnsi="仿宋_GB2312" w:eastAsia="仿宋_GB2312" w:cs="仿宋_GB2312"/>
          <w:sz w:val="32"/>
          <w:szCs w:val="32"/>
          <w:lang w:eastAsia="zh-CN"/>
        </w:rPr>
        <w:t>，院内面积</w:t>
      </w:r>
      <w:r>
        <w:rPr>
          <w:rFonts w:hint="eastAsia" w:ascii="仿宋_GB2312" w:hAnsi="仿宋_GB2312" w:eastAsia="仿宋_GB2312" w:cs="仿宋_GB2312"/>
          <w:sz w:val="32"/>
          <w:szCs w:val="32"/>
          <w:lang w:val="en-US" w:eastAsia="zh-CN"/>
        </w:rPr>
        <w:t>4919</w:t>
      </w:r>
      <w:r>
        <w:rPr>
          <w:rFonts w:hint="eastAsia" w:ascii="仿宋_GB2312" w:hAnsi="仿宋_GB2312" w:eastAsia="仿宋_GB2312" w:cs="仿宋_GB2312"/>
          <w:sz w:val="32"/>
          <w:szCs w:val="32"/>
        </w:rPr>
        <w:t>㎡，采暖方式为天然气锅炉供暖，院落日常维护，出入采用道闸车辆管理系统，有职工灶房一个。</w:t>
      </w:r>
    </w:p>
    <w:p w14:paraId="41338088">
      <w:pPr>
        <w:pStyle w:val="8"/>
        <w:keepNext w:val="0"/>
        <w:keepLines w:val="0"/>
        <w:pageBreakBefore w:val="0"/>
        <w:kinsoku/>
        <w:wordWrap/>
        <w:overflowPunct/>
        <w:topLinePunct w:val="0"/>
        <w:bidi w:val="0"/>
        <w:spacing w:line="600" w:lineRule="exact"/>
        <w:ind w:firstLine="56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（二）物业项目人员岗位要求</w:t>
      </w:r>
    </w:p>
    <w:tbl>
      <w:tblPr>
        <w:tblStyle w:val="6"/>
        <w:tblW w:w="9038" w:type="dxa"/>
        <w:jc w:val="center"/>
        <w:tblLayout w:type="fixed"/>
        <w:tblCellMar>
          <w:top w:w="0" w:type="dxa"/>
          <w:left w:w="108" w:type="dxa"/>
          <w:bottom w:w="0" w:type="dxa"/>
          <w:right w:w="108" w:type="dxa"/>
        </w:tblCellMar>
      </w:tblPr>
      <w:tblGrid>
        <w:gridCol w:w="486"/>
        <w:gridCol w:w="1021"/>
        <w:gridCol w:w="904"/>
        <w:gridCol w:w="6627"/>
      </w:tblGrid>
      <w:tr w14:paraId="155333B0">
        <w:tblPrEx>
          <w:tblCellMar>
            <w:top w:w="0" w:type="dxa"/>
            <w:left w:w="108" w:type="dxa"/>
            <w:bottom w:w="0" w:type="dxa"/>
            <w:right w:w="108" w:type="dxa"/>
          </w:tblCellMar>
        </w:tblPrEx>
        <w:trPr>
          <w:trHeight w:val="740" w:hRule="atLeast"/>
          <w:jc w:val="center"/>
        </w:trPr>
        <w:tc>
          <w:tcPr>
            <w:tcW w:w="486" w:type="dxa"/>
            <w:tcBorders>
              <w:top w:val="single" w:color="000000" w:sz="4" w:space="0"/>
              <w:left w:val="single" w:color="000000" w:sz="4" w:space="0"/>
              <w:bottom w:val="single" w:color="000000" w:sz="4" w:space="0"/>
              <w:right w:val="single" w:color="000000" w:sz="4" w:space="0"/>
            </w:tcBorders>
            <w:noWrap w:val="0"/>
            <w:vAlign w:val="center"/>
          </w:tcPr>
          <w:p w14:paraId="258DE446">
            <w:pPr>
              <w:keepNext w:val="0"/>
              <w:keepLines w:val="0"/>
              <w:pageBreakBefore w:val="0"/>
              <w:widowControl/>
              <w:kinsoku/>
              <w:wordWrap/>
              <w:overflowPunct/>
              <w:topLinePunct w:val="0"/>
              <w:bidi w:val="0"/>
              <w:spacing w:line="600" w:lineRule="exact"/>
              <w:ind w:left="0" w:leftChars="0"/>
              <w:jc w:val="center"/>
              <w:textAlignment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0"/>
                <w:sz w:val="32"/>
                <w:szCs w:val="32"/>
              </w:rPr>
              <w:t>序号</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4208A3BE">
            <w:pPr>
              <w:keepNext w:val="0"/>
              <w:keepLines w:val="0"/>
              <w:pageBreakBefore w:val="0"/>
              <w:widowControl/>
              <w:kinsoku/>
              <w:wordWrap/>
              <w:overflowPunct/>
              <w:topLinePunct w:val="0"/>
              <w:bidi w:val="0"/>
              <w:spacing w:line="600" w:lineRule="exact"/>
              <w:ind w:left="0" w:leftChars="0"/>
              <w:jc w:val="center"/>
              <w:textAlignment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0"/>
                <w:sz w:val="32"/>
                <w:szCs w:val="32"/>
              </w:rPr>
              <w:t>职位</w:t>
            </w:r>
          </w:p>
        </w:tc>
        <w:tc>
          <w:tcPr>
            <w:tcW w:w="904" w:type="dxa"/>
            <w:tcBorders>
              <w:top w:val="single" w:color="000000" w:sz="4" w:space="0"/>
              <w:left w:val="single" w:color="000000" w:sz="4" w:space="0"/>
              <w:bottom w:val="single" w:color="000000" w:sz="4" w:space="0"/>
              <w:right w:val="single" w:color="000000" w:sz="4" w:space="0"/>
            </w:tcBorders>
            <w:noWrap w:val="0"/>
            <w:vAlign w:val="center"/>
          </w:tcPr>
          <w:p w14:paraId="5130451A">
            <w:pPr>
              <w:keepNext w:val="0"/>
              <w:keepLines w:val="0"/>
              <w:pageBreakBefore w:val="0"/>
              <w:widowControl/>
              <w:kinsoku/>
              <w:wordWrap/>
              <w:overflowPunct/>
              <w:topLinePunct w:val="0"/>
              <w:bidi w:val="0"/>
              <w:spacing w:line="600" w:lineRule="exact"/>
              <w:ind w:left="0" w:leftChars="0"/>
              <w:jc w:val="center"/>
              <w:textAlignment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0"/>
                <w:sz w:val="32"/>
                <w:szCs w:val="32"/>
              </w:rPr>
              <w:t>人员配置</w:t>
            </w:r>
          </w:p>
        </w:tc>
        <w:tc>
          <w:tcPr>
            <w:tcW w:w="6627" w:type="dxa"/>
            <w:tcBorders>
              <w:top w:val="single" w:color="000000" w:sz="4" w:space="0"/>
              <w:left w:val="single" w:color="000000" w:sz="4" w:space="0"/>
              <w:bottom w:val="single" w:color="000000" w:sz="4" w:space="0"/>
              <w:right w:val="single" w:color="000000" w:sz="4" w:space="0"/>
            </w:tcBorders>
            <w:noWrap w:val="0"/>
            <w:vAlign w:val="center"/>
          </w:tcPr>
          <w:p w14:paraId="03C50E7A">
            <w:pPr>
              <w:keepNext w:val="0"/>
              <w:keepLines w:val="0"/>
              <w:pageBreakBefore w:val="0"/>
              <w:widowControl/>
              <w:kinsoku/>
              <w:wordWrap/>
              <w:overflowPunct/>
              <w:topLinePunct w:val="0"/>
              <w:bidi w:val="0"/>
              <w:spacing w:line="600" w:lineRule="exact"/>
              <w:ind w:left="640"/>
              <w:jc w:val="center"/>
              <w:textAlignment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0"/>
                <w:sz w:val="32"/>
                <w:szCs w:val="32"/>
              </w:rPr>
              <w:t>人员要求</w:t>
            </w:r>
          </w:p>
        </w:tc>
      </w:tr>
      <w:tr w14:paraId="2E48166B">
        <w:tblPrEx>
          <w:tblCellMar>
            <w:top w:w="0" w:type="dxa"/>
            <w:left w:w="108" w:type="dxa"/>
            <w:bottom w:w="0" w:type="dxa"/>
            <w:right w:w="108" w:type="dxa"/>
          </w:tblCellMar>
        </w:tblPrEx>
        <w:trPr>
          <w:trHeight w:val="2620" w:hRule="atLeast"/>
          <w:jc w:val="center"/>
        </w:trPr>
        <w:tc>
          <w:tcPr>
            <w:tcW w:w="486" w:type="dxa"/>
            <w:tcBorders>
              <w:top w:val="single" w:color="000000" w:sz="4" w:space="0"/>
              <w:left w:val="single" w:color="000000" w:sz="4" w:space="0"/>
              <w:bottom w:val="single" w:color="000000" w:sz="4" w:space="0"/>
              <w:right w:val="single" w:color="000000" w:sz="4" w:space="0"/>
            </w:tcBorders>
            <w:noWrap w:val="0"/>
            <w:vAlign w:val="center"/>
          </w:tcPr>
          <w:p w14:paraId="73DE17DB">
            <w:pPr>
              <w:keepNext w:val="0"/>
              <w:keepLines w:val="0"/>
              <w:pageBreakBefore w:val="0"/>
              <w:widowControl/>
              <w:kinsoku/>
              <w:wordWrap/>
              <w:overflowPunct/>
              <w:topLinePunct w:val="0"/>
              <w:bidi w:val="0"/>
              <w:spacing w:line="600" w:lineRule="exact"/>
              <w:ind w:left="0" w:leftChars="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1</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4E636602">
            <w:pPr>
              <w:keepNext w:val="0"/>
              <w:keepLines w:val="0"/>
              <w:pageBreakBefore w:val="0"/>
              <w:widowControl/>
              <w:kinsoku/>
              <w:wordWrap/>
              <w:overflowPunct/>
              <w:topLinePunct w:val="0"/>
              <w:bidi w:val="0"/>
              <w:spacing w:line="600" w:lineRule="exact"/>
              <w:ind w:left="0" w:leftChars="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项目 经理</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5A1C55B8">
            <w:pPr>
              <w:keepNext w:val="0"/>
              <w:keepLines w:val="0"/>
              <w:pageBreakBefore w:val="0"/>
              <w:widowControl/>
              <w:kinsoku/>
              <w:wordWrap/>
              <w:overflowPunct/>
              <w:topLinePunct w:val="0"/>
              <w:bidi w:val="0"/>
              <w:spacing w:line="600" w:lineRule="exact"/>
              <w:ind w:left="0" w:leftChars="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1</w:t>
            </w:r>
          </w:p>
        </w:tc>
        <w:tc>
          <w:tcPr>
            <w:tcW w:w="6627" w:type="dxa"/>
            <w:tcBorders>
              <w:top w:val="single" w:color="000000" w:sz="4" w:space="0"/>
              <w:left w:val="single" w:color="000000" w:sz="4" w:space="0"/>
              <w:bottom w:val="single" w:color="000000" w:sz="4" w:space="0"/>
              <w:right w:val="single" w:color="000000" w:sz="4" w:space="0"/>
            </w:tcBorders>
            <w:noWrap w:val="0"/>
            <w:vAlign w:val="bottom"/>
          </w:tcPr>
          <w:p w14:paraId="44CEA162">
            <w:pPr>
              <w:keepNext w:val="0"/>
              <w:keepLines w:val="0"/>
              <w:pageBreakBefore w:val="0"/>
              <w:widowControl/>
              <w:kinsoku/>
              <w:wordWrap/>
              <w:overflowPunct/>
              <w:topLinePunct w:val="0"/>
              <w:autoSpaceDE/>
              <w:autoSpaceDN/>
              <w:bidi w:val="0"/>
              <w:adjustRightInd/>
              <w:snapToGrid/>
              <w:spacing w:line="600" w:lineRule="exact"/>
              <w:ind w:left="0" w:leftChars="0"/>
              <w:textAlignment w:val="bottom"/>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rPr>
              <w:t>具有物业管理相关岗位证书以及物业管理大专毕业证，年龄不得大于45周岁；从事物业工作5年以上，负责项目整体工作运行，严格履行《物业服务合同》；负责协调处理甲方提出的各项要求。</w:t>
            </w:r>
          </w:p>
        </w:tc>
      </w:tr>
      <w:tr w14:paraId="46909599">
        <w:tblPrEx>
          <w:tblCellMar>
            <w:top w:w="0" w:type="dxa"/>
            <w:left w:w="108" w:type="dxa"/>
            <w:bottom w:w="0" w:type="dxa"/>
            <w:right w:w="108" w:type="dxa"/>
          </w:tblCellMar>
        </w:tblPrEx>
        <w:trPr>
          <w:trHeight w:val="1295" w:hRule="atLeast"/>
          <w:jc w:val="center"/>
        </w:trPr>
        <w:tc>
          <w:tcPr>
            <w:tcW w:w="486" w:type="dxa"/>
            <w:tcBorders>
              <w:top w:val="single" w:color="000000" w:sz="4" w:space="0"/>
              <w:left w:val="single" w:color="000000" w:sz="4" w:space="0"/>
              <w:bottom w:val="single" w:color="000000" w:sz="4" w:space="0"/>
              <w:right w:val="single" w:color="000000" w:sz="4" w:space="0"/>
            </w:tcBorders>
            <w:noWrap w:val="0"/>
            <w:vAlign w:val="center"/>
          </w:tcPr>
          <w:p w14:paraId="0C48CE3E">
            <w:pPr>
              <w:keepNext w:val="0"/>
              <w:keepLines w:val="0"/>
              <w:pageBreakBefore w:val="0"/>
              <w:widowControl/>
              <w:kinsoku/>
              <w:wordWrap/>
              <w:overflowPunct/>
              <w:topLinePunct w:val="0"/>
              <w:bidi w:val="0"/>
              <w:spacing w:line="600" w:lineRule="exact"/>
              <w:ind w:left="0" w:leftChars="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2</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4DE4C602">
            <w:pPr>
              <w:keepNext w:val="0"/>
              <w:keepLines w:val="0"/>
              <w:pageBreakBefore w:val="0"/>
              <w:widowControl/>
              <w:kinsoku/>
              <w:wordWrap/>
              <w:overflowPunct/>
              <w:topLinePunct w:val="0"/>
              <w:bidi w:val="0"/>
              <w:spacing w:line="600" w:lineRule="exact"/>
              <w:ind w:left="0" w:leftChars="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保安</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53A7BC87">
            <w:pPr>
              <w:keepNext w:val="0"/>
              <w:keepLines w:val="0"/>
              <w:pageBreakBefore w:val="0"/>
              <w:widowControl/>
              <w:kinsoku/>
              <w:wordWrap/>
              <w:overflowPunct/>
              <w:topLinePunct w:val="0"/>
              <w:bidi w:val="0"/>
              <w:spacing w:line="600" w:lineRule="exact"/>
              <w:ind w:left="0" w:leftChars="0"/>
              <w:jc w:val="center"/>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kern w:val="0"/>
                <w:sz w:val="32"/>
                <w:szCs w:val="32"/>
                <w:lang w:val="en-US" w:eastAsia="zh-CN"/>
              </w:rPr>
              <w:t>2</w:t>
            </w:r>
          </w:p>
        </w:tc>
        <w:tc>
          <w:tcPr>
            <w:tcW w:w="6627" w:type="dxa"/>
            <w:tcBorders>
              <w:top w:val="single" w:color="000000" w:sz="4" w:space="0"/>
              <w:left w:val="single" w:color="000000" w:sz="4" w:space="0"/>
              <w:bottom w:val="single" w:color="000000" w:sz="4" w:space="0"/>
              <w:right w:val="single" w:color="000000" w:sz="4" w:space="0"/>
            </w:tcBorders>
            <w:noWrap w:val="0"/>
            <w:vAlign w:val="center"/>
          </w:tcPr>
          <w:p w14:paraId="5454C293">
            <w:pPr>
              <w:keepNext w:val="0"/>
              <w:keepLines w:val="0"/>
              <w:pageBreakBefore w:val="0"/>
              <w:widowControl/>
              <w:kinsoku/>
              <w:wordWrap/>
              <w:overflowPunct/>
              <w:topLinePunct w:val="0"/>
              <w:autoSpaceDE/>
              <w:autoSpaceDN/>
              <w:bidi w:val="0"/>
              <w:adjustRightInd/>
              <w:snapToGrid/>
              <w:spacing w:line="600" w:lineRule="exact"/>
              <w:ind w:left="0" w:leftChars="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上岗人员需为男性，持有保安证且年龄不得大于50周岁，负责人员岗分配，日常工作安排，负责检查等一切项目经理安排事宜。</w:t>
            </w:r>
          </w:p>
        </w:tc>
      </w:tr>
      <w:tr w14:paraId="170BA8DB">
        <w:tblPrEx>
          <w:tblCellMar>
            <w:top w:w="0" w:type="dxa"/>
            <w:left w:w="108" w:type="dxa"/>
            <w:bottom w:w="0" w:type="dxa"/>
            <w:right w:w="108" w:type="dxa"/>
          </w:tblCellMar>
        </w:tblPrEx>
        <w:trPr>
          <w:trHeight w:val="1355" w:hRule="atLeast"/>
          <w:jc w:val="center"/>
        </w:trPr>
        <w:tc>
          <w:tcPr>
            <w:tcW w:w="486" w:type="dxa"/>
            <w:tcBorders>
              <w:top w:val="single" w:color="000000" w:sz="4" w:space="0"/>
              <w:left w:val="single" w:color="000000" w:sz="4" w:space="0"/>
              <w:bottom w:val="single" w:color="000000" w:sz="4" w:space="0"/>
              <w:right w:val="single" w:color="000000" w:sz="4" w:space="0"/>
            </w:tcBorders>
            <w:noWrap w:val="0"/>
            <w:vAlign w:val="center"/>
          </w:tcPr>
          <w:p w14:paraId="7AABF540">
            <w:pPr>
              <w:keepNext w:val="0"/>
              <w:keepLines w:val="0"/>
              <w:pageBreakBefore w:val="0"/>
              <w:widowControl/>
              <w:kinsoku/>
              <w:wordWrap/>
              <w:overflowPunct/>
              <w:topLinePunct w:val="0"/>
              <w:bidi w:val="0"/>
              <w:spacing w:line="600" w:lineRule="exact"/>
              <w:ind w:left="0" w:leftChars="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3</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7948E9A6">
            <w:pPr>
              <w:keepNext w:val="0"/>
              <w:keepLines w:val="0"/>
              <w:pageBreakBefore w:val="0"/>
              <w:widowControl/>
              <w:kinsoku/>
              <w:wordWrap/>
              <w:overflowPunct/>
              <w:topLinePunct w:val="0"/>
              <w:bidi w:val="0"/>
              <w:spacing w:line="600" w:lineRule="exact"/>
              <w:ind w:left="0" w:leftChars="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保洁</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1CBE1F3F">
            <w:pPr>
              <w:keepNext w:val="0"/>
              <w:keepLines w:val="0"/>
              <w:pageBreakBefore w:val="0"/>
              <w:widowControl/>
              <w:kinsoku/>
              <w:wordWrap/>
              <w:overflowPunct/>
              <w:topLinePunct w:val="0"/>
              <w:bidi w:val="0"/>
              <w:spacing w:line="600" w:lineRule="exact"/>
              <w:ind w:left="0" w:leftChars="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w:t>
            </w:r>
          </w:p>
        </w:tc>
        <w:tc>
          <w:tcPr>
            <w:tcW w:w="6627" w:type="dxa"/>
            <w:tcBorders>
              <w:top w:val="single" w:color="000000" w:sz="4" w:space="0"/>
              <w:left w:val="single" w:color="000000" w:sz="4" w:space="0"/>
              <w:bottom w:val="single" w:color="000000" w:sz="4" w:space="0"/>
              <w:right w:val="single" w:color="000000" w:sz="4" w:space="0"/>
            </w:tcBorders>
            <w:noWrap w:val="0"/>
            <w:vAlign w:val="center"/>
          </w:tcPr>
          <w:p w14:paraId="516DC860">
            <w:pPr>
              <w:keepNext w:val="0"/>
              <w:keepLines w:val="0"/>
              <w:pageBreakBefore w:val="0"/>
              <w:widowControl/>
              <w:kinsoku/>
              <w:wordWrap/>
              <w:overflowPunct/>
              <w:topLinePunct w:val="0"/>
              <w:autoSpaceDE/>
              <w:autoSpaceDN/>
              <w:bidi w:val="0"/>
              <w:adjustRightInd/>
              <w:snapToGrid/>
              <w:spacing w:line="600" w:lineRule="exact"/>
              <w:ind w:left="0" w:leftChars="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负责服务区内的保洁工作（办公楼公共区域及院子</w:t>
            </w:r>
            <w:r>
              <w:rPr>
                <w:rFonts w:hint="eastAsia" w:ascii="仿宋_GB2312" w:hAnsi="仿宋_GB2312" w:eastAsia="仿宋_GB2312" w:cs="仿宋_GB2312"/>
                <w:color w:val="000000" w:themeColor="text1"/>
                <w:sz w:val="32"/>
                <w:szCs w:val="32"/>
                <w14:textFill>
                  <w14:solidFill>
                    <w14:schemeClr w14:val="tx1"/>
                  </w14:solidFill>
                </w14:textFill>
              </w:rPr>
              <w:t>的保洁工作），年龄不得大于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45</w:t>
            </w:r>
            <w:r>
              <w:rPr>
                <w:rFonts w:hint="eastAsia" w:ascii="仿宋_GB2312" w:hAnsi="仿宋_GB2312" w:eastAsia="仿宋_GB2312" w:cs="仿宋_GB2312"/>
                <w:color w:val="000000" w:themeColor="text1"/>
                <w:sz w:val="32"/>
                <w:szCs w:val="32"/>
                <w14:textFill>
                  <w14:solidFill>
                    <w14:schemeClr w14:val="tx1"/>
                  </w14:solidFill>
                </w14:textFill>
              </w:rPr>
              <w:t>周岁，</w:t>
            </w:r>
            <w:r>
              <w:rPr>
                <w:rFonts w:hint="eastAsia" w:ascii="仿宋_GB2312" w:hAnsi="仿宋_GB2312" w:eastAsia="仿宋_GB2312" w:cs="仿宋_GB2312"/>
                <w:color w:val="000000"/>
                <w:sz w:val="32"/>
                <w:szCs w:val="32"/>
              </w:rPr>
              <w:t>有责任心，吃苦耐劳，</w:t>
            </w:r>
            <w:r>
              <w:rPr>
                <w:rFonts w:hint="eastAsia" w:ascii="仿宋_GB2312" w:hAnsi="仿宋_GB2312" w:eastAsia="仿宋_GB2312" w:cs="仿宋_GB2312"/>
                <w:color w:val="000000"/>
                <w:sz w:val="32"/>
                <w:szCs w:val="32"/>
                <w:lang w:val="en-US" w:eastAsia="zh-CN"/>
              </w:rPr>
              <w:t>服从安排</w:t>
            </w:r>
            <w:r>
              <w:rPr>
                <w:rFonts w:hint="eastAsia" w:ascii="仿宋_GB2312" w:hAnsi="仿宋_GB2312" w:eastAsia="仿宋_GB2312" w:cs="仿宋_GB2312"/>
                <w:color w:val="000000"/>
                <w:sz w:val="32"/>
                <w:szCs w:val="32"/>
              </w:rPr>
              <w:t>。</w:t>
            </w:r>
          </w:p>
        </w:tc>
      </w:tr>
      <w:tr w14:paraId="5B436B91">
        <w:tblPrEx>
          <w:tblCellMar>
            <w:top w:w="0" w:type="dxa"/>
            <w:left w:w="108" w:type="dxa"/>
            <w:bottom w:w="0" w:type="dxa"/>
            <w:right w:w="108" w:type="dxa"/>
          </w:tblCellMar>
        </w:tblPrEx>
        <w:trPr>
          <w:trHeight w:val="1059" w:hRule="atLeast"/>
          <w:jc w:val="center"/>
        </w:trPr>
        <w:tc>
          <w:tcPr>
            <w:tcW w:w="486" w:type="dxa"/>
            <w:tcBorders>
              <w:top w:val="single" w:color="000000" w:sz="4" w:space="0"/>
              <w:left w:val="single" w:color="000000" w:sz="4" w:space="0"/>
              <w:bottom w:val="single" w:color="000000" w:sz="4" w:space="0"/>
              <w:right w:val="single" w:color="000000" w:sz="4" w:space="0"/>
            </w:tcBorders>
            <w:noWrap w:val="0"/>
            <w:vAlign w:val="center"/>
          </w:tcPr>
          <w:p w14:paraId="4080FF96">
            <w:pPr>
              <w:keepNext w:val="0"/>
              <w:keepLines w:val="0"/>
              <w:pageBreakBefore w:val="0"/>
              <w:widowControl/>
              <w:kinsoku/>
              <w:wordWrap/>
              <w:overflowPunct/>
              <w:topLinePunct w:val="0"/>
              <w:bidi w:val="0"/>
              <w:spacing w:line="600" w:lineRule="exact"/>
              <w:ind w:left="0" w:leftChars="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4</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28CED0A3">
            <w:pPr>
              <w:keepNext w:val="0"/>
              <w:keepLines w:val="0"/>
              <w:pageBreakBefore w:val="0"/>
              <w:widowControl/>
              <w:kinsoku/>
              <w:wordWrap/>
              <w:overflowPunct/>
              <w:topLinePunct w:val="0"/>
              <w:bidi w:val="0"/>
              <w:spacing w:line="600" w:lineRule="exact"/>
              <w:ind w:left="0" w:leftChars="0"/>
              <w:jc w:val="center"/>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司炉工</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181D92B1">
            <w:pPr>
              <w:keepNext w:val="0"/>
              <w:keepLines w:val="0"/>
              <w:pageBreakBefore w:val="0"/>
              <w:widowControl/>
              <w:kinsoku/>
              <w:wordWrap/>
              <w:overflowPunct/>
              <w:topLinePunct w:val="0"/>
              <w:bidi w:val="0"/>
              <w:spacing w:line="600" w:lineRule="exact"/>
              <w:ind w:left="0" w:leftChars="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3</w:t>
            </w:r>
          </w:p>
        </w:tc>
        <w:tc>
          <w:tcPr>
            <w:tcW w:w="6627" w:type="dxa"/>
            <w:tcBorders>
              <w:top w:val="single" w:color="000000" w:sz="4" w:space="0"/>
              <w:left w:val="single" w:color="000000" w:sz="4" w:space="0"/>
              <w:bottom w:val="single" w:color="000000" w:sz="4" w:space="0"/>
              <w:right w:val="single" w:color="000000" w:sz="4" w:space="0"/>
            </w:tcBorders>
            <w:noWrap w:val="0"/>
            <w:vAlign w:val="center"/>
          </w:tcPr>
          <w:p w14:paraId="78B95675">
            <w:pPr>
              <w:keepNext w:val="0"/>
              <w:keepLines w:val="0"/>
              <w:pageBreakBefore w:val="0"/>
              <w:widowControl/>
              <w:kinsoku/>
              <w:wordWrap/>
              <w:overflowPunct/>
              <w:topLinePunct w:val="0"/>
              <w:autoSpaceDE/>
              <w:autoSpaceDN/>
              <w:bidi w:val="0"/>
              <w:adjustRightInd/>
              <w:snapToGrid/>
              <w:spacing w:line="600" w:lineRule="exact"/>
              <w:ind w:left="0" w:leftChars="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持有司炉证，且年龄不得大于</w:t>
            </w:r>
            <w:r>
              <w:rPr>
                <w:rFonts w:hint="eastAsia" w:ascii="仿宋_GB2312" w:hAnsi="仿宋_GB2312" w:eastAsia="仿宋_GB2312" w:cs="仿宋_GB2312"/>
                <w:color w:val="000000"/>
                <w:sz w:val="32"/>
                <w:szCs w:val="32"/>
                <w:lang w:val="en-US" w:eastAsia="zh-CN"/>
              </w:rPr>
              <w:t>50</w:t>
            </w:r>
            <w:r>
              <w:rPr>
                <w:rFonts w:hint="eastAsia" w:ascii="仿宋_GB2312" w:hAnsi="仿宋_GB2312" w:eastAsia="仿宋_GB2312" w:cs="仿宋_GB2312"/>
                <w:color w:val="000000"/>
                <w:sz w:val="32"/>
                <w:szCs w:val="32"/>
              </w:rPr>
              <w:t>周岁；负责单位供暖、热水供应，能吃苦，身体健康。</w:t>
            </w:r>
          </w:p>
        </w:tc>
      </w:tr>
      <w:tr w14:paraId="21A61B0B">
        <w:tblPrEx>
          <w:tblCellMar>
            <w:top w:w="0" w:type="dxa"/>
            <w:left w:w="108" w:type="dxa"/>
            <w:bottom w:w="0" w:type="dxa"/>
            <w:right w:w="108" w:type="dxa"/>
          </w:tblCellMar>
        </w:tblPrEx>
        <w:trPr>
          <w:trHeight w:val="1059" w:hRule="atLeast"/>
          <w:jc w:val="center"/>
        </w:trPr>
        <w:tc>
          <w:tcPr>
            <w:tcW w:w="486" w:type="dxa"/>
            <w:tcBorders>
              <w:top w:val="single" w:color="000000" w:sz="4" w:space="0"/>
              <w:left w:val="single" w:color="000000" w:sz="4" w:space="0"/>
              <w:bottom w:val="single" w:color="000000" w:sz="4" w:space="0"/>
              <w:right w:val="single" w:color="000000" w:sz="4" w:space="0"/>
            </w:tcBorders>
            <w:noWrap w:val="0"/>
            <w:vAlign w:val="center"/>
          </w:tcPr>
          <w:p w14:paraId="3396FA08">
            <w:pPr>
              <w:keepNext w:val="0"/>
              <w:keepLines w:val="0"/>
              <w:pageBreakBefore w:val="0"/>
              <w:widowControl/>
              <w:kinsoku/>
              <w:wordWrap/>
              <w:overflowPunct/>
              <w:topLinePunct w:val="0"/>
              <w:bidi w:val="0"/>
              <w:spacing w:line="600" w:lineRule="exact"/>
              <w:ind w:left="0" w:leftChars="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33B0FD68">
            <w:pPr>
              <w:keepNext w:val="0"/>
              <w:keepLines w:val="0"/>
              <w:pageBreakBefore w:val="0"/>
              <w:widowControl/>
              <w:kinsoku/>
              <w:wordWrap/>
              <w:overflowPunct/>
              <w:topLinePunct w:val="0"/>
              <w:autoSpaceDE/>
              <w:autoSpaceDN/>
              <w:bidi w:val="0"/>
              <w:adjustRightInd/>
              <w:snapToGrid/>
              <w:spacing w:line="600" w:lineRule="exact"/>
              <w:ind w:left="0" w:leftChars="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工程 维修</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4C859C2D">
            <w:pPr>
              <w:keepNext w:val="0"/>
              <w:keepLines w:val="0"/>
              <w:pageBreakBefore w:val="0"/>
              <w:widowControl/>
              <w:kinsoku/>
              <w:wordWrap/>
              <w:overflowPunct/>
              <w:topLinePunct w:val="0"/>
              <w:bidi w:val="0"/>
              <w:spacing w:line="600" w:lineRule="exact"/>
              <w:ind w:left="0" w:leftChars="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w:t>
            </w:r>
          </w:p>
        </w:tc>
        <w:tc>
          <w:tcPr>
            <w:tcW w:w="6627" w:type="dxa"/>
            <w:tcBorders>
              <w:top w:val="single" w:color="000000" w:sz="4" w:space="0"/>
              <w:left w:val="single" w:color="000000" w:sz="4" w:space="0"/>
              <w:bottom w:val="single" w:color="000000" w:sz="4" w:space="0"/>
              <w:right w:val="single" w:color="000000" w:sz="4" w:space="0"/>
            </w:tcBorders>
            <w:noWrap w:val="0"/>
            <w:vAlign w:val="center"/>
          </w:tcPr>
          <w:p w14:paraId="0C5155F4">
            <w:pPr>
              <w:keepNext w:val="0"/>
              <w:keepLines w:val="0"/>
              <w:pageBreakBefore w:val="0"/>
              <w:widowControl/>
              <w:kinsoku/>
              <w:wordWrap/>
              <w:overflowPunct/>
              <w:topLinePunct w:val="0"/>
              <w:autoSpaceDE/>
              <w:autoSpaceDN/>
              <w:bidi w:val="0"/>
              <w:adjustRightInd/>
              <w:snapToGrid/>
              <w:spacing w:line="600" w:lineRule="exact"/>
              <w:ind w:left="0" w:leftChars="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持有电工证，且年龄不得大于45周岁；负责单位正常弱电及其他零星维修维护。</w:t>
            </w:r>
          </w:p>
        </w:tc>
      </w:tr>
      <w:tr w14:paraId="12159C5F">
        <w:tblPrEx>
          <w:tblCellMar>
            <w:top w:w="0" w:type="dxa"/>
            <w:left w:w="108" w:type="dxa"/>
            <w:bottom w:w="0" w:type="dxa"/>
            <w:right w:w="108" w:type="dxa"/>
          </w:tblCellMar>
        </w:tblPrEx>
        <w:trPr>
          <w:trHeight w:val="718" w:hRule="atLeast"/>
          <w:jc w:val="center"/>
        </w:trPr>
        <w:tc>
          <w:tcPr>
            <w:tcW w:w="486" w:type="dxa"/>
            <w:tcBorders>
              <w:top w:val="single" w:color="000000" w:sz="4" w:space="0"/>
              <w:left w:val="single" w:color="000000" w:sz="4" w:space="0"/>
              <w:bottom w:val="single" w:color="000000" w:sz="4" w:space="0"/>
              <w:right w:val="single" w:color="000000" w:sz="4" w:space="0"/>
            </w:tcBorders>
            <w:noWrap w:val="0"/>
            <w:vAlign w:val="center"/>
          </w:tcPr>
          <w:p w14:paraId="055C5C32">
            <w:pPr>
              <w:keepNext w:val="0"/>
              <w:keepLines w:val="0"/>
              <w:pageBreakBefore w:val="0"/>
              <w:kinsoku/>
              <w:wordWrap/>
              <w:overflowPunct/>
              <w:topLinePunct w:val="0"/>
              <w:autoSpaceDE/>
              <w:autoSpaceDN/>
              <w:bidi w:val="0"/>
              <w:adjustRightInd/>
              <w:snapToGrid/>
              <w:spacing w:line="600" w:lineRule="exact"/>
              <w:ind w:left="0" w:leftChars="0"/>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60049F72">
            <w:pPr>
              <w:keepNext w:val="0"/>
              <w:keepLines w:val="0"/>
              <w:pageBreakBefore w:val="0"/>
              <w:widowControl/>
              <w:kinsoku/>
              <w:wordWrap/>
              <w:overflowPunct/>
              <w:topLinePunct w:val="0"/>
              <w:autoSpaceDE/>
              <w:autoSpaceDN/>
              <w:bidi w:val="0"/>
              <w:adjustRightInd/>
              <w:snapToGrid/>
              <w:spacing w:line="600" w:lineRule="exact"/>
              <w:ind w:left="0" w:leftChars="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绿化员</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733FCE38">
            <w:pPr>
              <w:keepNext w:val="0"/>
              <w:keepLines w:val="0"/>
              <w:pageBreakBefore w:val="0"/>
              <w:widowControl/>
              <w:kinsoku/>
              <w:wordWrap/>
              <w:overflowPunct/>
              <w:topLinePunct w:val="0"/>
              <w:autoSpaceDE/>
              <w:autoSpaceDN/>
              <w:bidi w:val="0"/>
              <w:adjustRightInd/>
              <w:snapToGrid/>
              <w:spacing w:line="600" w:lineRule="exact"/>
              <w:ind w:left="0" w:leftChars="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1</w:t>
            </w:r>
          </w:p>
        </w:tc>
        <w:tc>
          <w:tcPr>
            <w:tcW w:w="6627" w:type="dxa"/>
            <w:tcBorders>
              <w:top w:val="single" w:color="000000" w:sz="4" w:space="0"/>
              <w:left w:val="single" w:color="000000" w:sz="4" w:space="0"/>
              <w:bottom w:val="single" w:color="000000" w:sz="4" w:space="0"/>
              <w:right w:val="single" w:color="000000" w:sz="4" w:space="0"/>
            </w:tcBorders>
            <w:noWrap w:val="0"/>
            <w:vAlign w:val="center"/>
          </w:tcPr>
          <w:p w14:paraId="608AC6B5">
            <w:pPr>
              <w:keepNext w:val="0"/>
              <w:keepLines w:val="0"/>
              <w:pageBreakBefore w:val="0"/>
              <w:widowControl/>
              <w:kinsoku/>
              <w:wordWrap/>
              <w:overflowPunct/>
              <w:topLinePunct w:val="0"/>
              <w:autoSpaceDE/>
              <w:autoSpaceDN/>
              <w:bidi w:val="0"/>
              <w:adjustRightInd/>
              <w:snapToGrid/>
              <w:spacing w:line="600" w:lineRule="exact"/>
              <w:ind w:left="0" w:leftChars="0"/>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服务区域内所有绿化带、草坪等正常施肥修剪、浇水等工作</w:t>
            </w:r>
            <w:r>
              <w:rPr>
                <w:rFonts w:hint="eastAsia" w:ascii="仿宋_GB2312" w:hAnsi="仿宋_GB2312" w:eastAsia="仿宋_GB2312" w:cs="仿宋_GB2312"/>
                <w:color w:val="000000"/>
                <w:sz w:val="32"/>
                <w:szCs w:val="32"/>
                <w:lang w:eastAsia="zh-CN"/>
              </w:rPr>
              <w:t>。</w:t>
            </w:r>
          </w:p>
        </w:tc>
      </w:tr>
      <w:tr w14:paraId="371FE1DE">
        <w:tblPrEx>
          <w:tblCellMar>
            <w:top w:w="0" w:type="dxa"/>
            <w:left w:w="108" w:type="dxa"/>
            <w:bottom w:w="0" w:type="dxa"/>
            <w:right w:w="108" w:type="dxa"/>
          </w:tblCellMar>
        </w:tblPrEx>
        <w:trPr>
          <w:trHeight w:val="763" w:hRule="atLeast"/>
          <w:jc w:val="center"/>
        </w:trPr>
        <w:tc>
          <w:tcPr>
            <w:tcW w:w="486" w:type="dxa"/>
            <w:tcBorders>
              <w:top w:val="single" w:color="000000" w:sz="4" w:space="0"/>
              <w:left w:val="single" w:color="000000" w:sz="4" w:space="0"/>
              <w:bottom w:val="single" w:color="000000" w:sz="4" w:space="0"/>
              <w:right w:val="single" w:color="000000" w:sz="4" w:space="0"/>
            </w:tcBorders>
            <w:noWrap w:val="0"/>
            <w:vAlign w:val="center"/>
          </w:tcPr>
          <w:p w14:paraId="516A8697">
            <w:pPr>
              <w:keepNext w:val="0"/>
              <w:keepLines w:val="0"/>
              <w:pageBreakBefore w:val="0"/>
              <w:widowControl/>
              <w:kinsoku/>
              <w:wordWrap/>
              <w:overflowPunct/>
              <w:topLinePunct w:val="0"/>
              <w:autoSpaceDE/>
              <w:autoSpaceDN/>
              <w:bidi w:val="0"/>
              <w:adjustRightInd/>
              <w:snapToGrid/>
              <w:spacing w:line="600" w:lineRule="exact"/>
              <w:ind w:left="0" w:leftChars="0"/>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7</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4C9199E7">
            <w:pPr>
              <w:keepNext w:val="0"/>
              <w:keepLines w:val="0"/>
              <w:pageBreakBefore w:val="0"/>
              <w:widowControl/>
              <w:kinsoku/>
              <w:wordWrap/>
              <w:overflowPunct/>
              <w:topLinePunct w:val="0"/>
              <w:autoSpaceDE/>
              <w:autoSpaceDN/>
              <w:bidi w:val="0"/>
              <w:adjustRightInd/>
              <w:snapToGrid/>
              <w:spacing w:line="600" w:lineRule="exact"/>
              <w:ind w:left="0" w:leftChars="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厨师</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316CC2D2">
            <w:pPr>
              <w:keepNext w:val="0"/>
              <w:keepLines w:val="0"/>
              <w:pageBreakBefore w:val="0"/>
              <w:widowControl/>
              <w:kinsoku/>
              <w:wordWrap/>
              <w:overflowPunct/>
              <w:topLinePunct w:val="0"/>
              <w:autoSpaceDE/>
              <w:autoSpaceDN/>
              <w:bidi w:val="0"/>
              <w:adjustRightInd/>
              <w:snapToGrid/>
              <w:spacing w:line="600" w:lineRule="exact"/>
              <w:ind w:left="0" w:leftChars="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1</w:t>
            </w:r>
          </w:p>
        </w:tc>
        <w:tc>
          <w:tcPr>
            <w:tcW w:w="6627" w:type="dxa"/>
            <w:tcBorders>
              <w:top w:val="single" w:color="000000" w:sz="4" w:space="0"/>
              <w:left w:val="single" w:color="000000" w:sz="4" w:space="0"/>
              <w:bottom w:val="single" w:color="000000" w:sz="4" w:space="0"/>
              <w:right w:val="single" w:color="000000" w:sz="4" w:space="0"/>
            </w:tcBorders>
            <w:noWrap w:val="0"/>
            <w:vAlign w:val="center"/>
          </w:tcPr>
          <w:p w14:paraId="33C28ABA">
            <w:pPr>
              <w:keepNext w:val="0"/>
              <w:keepLines w:val="0"/>
              <w:pageBreakBefore w:val="0"/>
              <w:widowControl/>
              <w:kinsoku/>
              <w:wordWrap/>
              <w:overflowPunct/>
              <w:topLinePunct w:val="0"/>
              <w:autoSpaceDE/>
              <w:autoSpaceDN/>
              <w:bidi w:val="0"/>
              <w:adjustRightInd/>
              <w:snapToGrid/>
              <w:spacing w:line="600" w:lineRule="exact"/>
              <w:ind w:left="0" w:leftChars="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持有</w:t>
            </w:r>
            <w:r>
              <w:rPr>
                <w:rFonts w:hint="eastAsia" w:ascii="仿宋_GB2312" w:hAnsi="仿宋_GB2312" w:eastAsia="仿宋_GB2312" w:cs="仿宋_GB2312"/>
                <w:color w:val="000000"/>
                <w:sz w:val="32"/>
                <w:szCs w:val="32"/>
                <w:lang w:val="en-US" w:eastAsia="zh-CN"/>
              </w:rPr>
              <w:t>二级及以上</w:t>
            </w:r>
            <w:r>
              <w:rPr>
                <w:rFonts w:hint="eastAsia" w:ascii="仿宋_GB2312" w:hAnsi="仿宋_GB2312" w:eastAsia="仿宋_GB2312" w:cs="仿宋_GB2312"/>
                <w:color w:val="000000"/>
                <w:sz w:val="32"/>
                <w:szCs w:val="32"/>
              </w:rPr>
              <w:t>厨师证，且年龄不得大于4</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周岁，负责单位的正常一日三餐的烹调。</w:t>
            </w:r>
          </w:p>
        </w:tc>
      </w:tr>
    </w:tbl>
    <w:p w14:paraId="2871EAD9">
      <w:pPr>
        <w:keepNext w:val="0"/>
        <w:keepLines w:val="0"/>
        <w:pageBreakBefore w:val="0"/>
        <w:kinsoku/>
        <w:wordWrap/>
        <w:overflowPunct/>
        <w:topLinePunct w:val="0"/>
        <w:bidi w:val="0"/>
        <w:spacing w:line="600" w:lineRule="exac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供应商中标后上岗前需提供所有人员的健康证、身份证（核验年龄）。</w:t>
      </w:r>
    </w:p>
    <w:p w14:paraId="764BBE5C">
      <w:pPr>
        <w:keepNext w:val="0"/>
        <w:keepLines w:val="0"/>
        <w:pageBreakBefore w:val="0"/>
        <w:kinsoku/>
        <w:wordWrap/>
        <w:overflowPunct/>
        <w:topLinePunct w:val="0"/>
        <w:bidi w:val="0"/>
        <w:spacing w:line="60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三</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项目采购需求</w:t>
      </w:r>
    </w:p>
    <w:p w14:paraId="2503A4E9">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1</w:t>
      </w:r>
      <w:r>
        <w:rPr>
          <w:rFonts w:hint="eastAsia" w:ascii="仿宋_GB2312" w:hAnsi="仿宋_GB2312" w:eastAsia="仿宋_GB2312" w:cs="仿宋_GB2312"/>
          <w:spacing w:val="-11"/>
          <w:sz w:val="32"/>
          <w:szCs w:val="32"/>
          <w:lang w:val="en-US" w:eastAsia="zh-CN"/>
        </w:rPr>
        <w:t>.</w:t>
      </w:r>
      <w:r>
        <w:rPr>
          <w:rFonts w:hint="eastAsia" w:ascii="仿宋_GB2312" w:hAnsi="仿宋_GB2312" w:eastAsia="仿宋_GB2312" w:cs="仿宋_GB2312"/>
          <w:spacing w:val="-11"/>
          <w:sz w:val="32"/>
          <w:szCs w:val="32"/>
        </w:rPr>
        <w:t>人员配备及要求：人员配备齐全，组织架构设置合理满足岗位各项要求规定。</w:t>
      </w:r>
    </w:p>
    <w:p w14:paraId="42E02754">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其他服务方案：鉴于对服务单位的特殊性，需提供针对本项目的专项服务（提供无偿服务明细及方案）</w:t>
      </w:r>
    </w:p>
    <w:p w14:paraId="68F524E9">
      <w:pPr>
        <w:pStyle w:val="5"/>
        <w:keepNext w:val="0"/>
        <w:keepLines w:val="0"/>
        <w:pageBreakBefore w:val="0"/>
        <w:kinsoku/>
        <w:wordWrap/>
        <w:overflowPunct/>
        <w:topLinePunct w:val="0"/>
        <w:bidi w:val="0"/>
        <w:spacing w:after="0" w:line="60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工器具及耗材配备：</w:t>
      </w:r>
    </w:p>
    <w:p w14:paraId="299B9F0D">
      <w:pPr>
        <w:pStyle w:val="5"/>
        <w:keepNext w:val="0"/>
        <w:keepLines w:val="0"/>
        <w:pageBreakBefore w:val="0"/>
        <w:kinsoku/>
        <w:wordWrap/>
        <w:overflowPunct/>
        <w:topLinePunct w:val="0"/>
        <w:bidi w:val="0"/>
        <w:spacing w:after="0" w:line="600" w:lineRule="exact"/>
        <w:ind w:left="0" w:leftChars="0" w:firstLine="640" w:firstLineChars="200"/>
        <w:jc w:val="both"/>
        <w:rPr>
          <w:rFonts w:hint="eastAsia" w:ascii="仿宋_GB2312" w:hAnsi="仿宋_GB2312" w:eastAsia="仿宋_GB2312" w:cs="仿宋_GB2312"/>
          <w:spacing w:val="-20"/>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pacing w:val="-20"/>
          <w:sz w:val="32"/>
          <w:szCs w:val="32"/>
        </w:rPr>
        <w:t>保洁清洁设备配置齐全及各项清洁耗材要配备充足；</w:t>
      </w:r>
    </w:p>
    <w:p w14:paraId="401C18F1">
      <w:pPr>
        <w:pStyle w:val="5"/>
        <w:keepNext w:val="0"/>
        <w:keepLines w:val="0"/>
        <w:pageBreakBefore w:val="0"/>
        <w:kinsoku/>
        <w:wordWrap/>
        <w:overflowPunct/>
        <w:topLinePunct w:val="0"/>
        <w:bidi w:val="0"/>
        <w:spacing w:after="0" w:line="60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（2）保安工器具配备齐全；</w:t>
      </w:r>
    </w:p>
    <w:p w14:paraId="75816E61">
      <w:pPr>
        <w:pStyle w:val="5"/>
        <w:keepNext w:val="0"/>
        <w:keepLines w:val="0"/>
        <w:pageBreakBefore w:val="0"/>
        <w:kinsoku/>
        <w:wordWrap/>
        <w:overflowPunct/>
        <w:topLinePunct w:val="0"/>
        <w:bidi w:val="0"/>
        <w:spacing w:after="0" w:line="60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（3）绿化养护工器具配备合理全面；</w:t>
      </w:r>
    </w:p>
    <w:p w14:paraId="5A0BC739">
      <w:pPr>
        <w:pStyle w:val="5"/>
        <w:keepNext w:val="0"/>
        <w:keepLines w:val="0"/>
        <w:pageBreakBefore w:val="0"/>
        <w:kinsoku/>
        <w:wordWrap/>
        <w:overflowPunct/>
        <w:topLinePunct w:val="0"/>
        <w:bidi w:val="0"/>
        <w:spacing w:after="0" w:line="60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（4）工程部各类维修工器具配备齐全；</w:t>
      </w:r>
    </w:p>
    <w:p w14:paraId="6462E8E3">
      <w:pPr>
        <w:pStyle w:val="5"/>
        <w:keepNext w:val="0"/>
        <w:keepLines w:val="0"/>
        <w:pageBreakBefore w:val="0"/>
        <w:kinsoku/>
        <w:wordWrap/>
        <w:overflowPunct/>
        <w:topLinePunct w:val="0"/>
        <w:bidi w:val="0"/>
        <w:spacing w:after="0" w:line="60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以上工器具及耗材要根据项目情况配置全面合理。 </w:t>
      </w:r>
    </w:p>
    <w:p w14:paraId="73D0D78E">
      <w:pPr>
        <w:keepNext w:val="0"/>
        <w:keepLines w:val="0"/>
        <w:pageBreakBefore w:val="0"/>
        <w:widowControl/>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Cs/>
          <w:kern w:val="0"/>
          <w:sz w:val="32"/>
          <w:szCs w:val="32"/>
          <w:lang w:val="en-US" w:eastAsia="zh-CN"/>
        </w:rPr>
        <w:t>4.</w:t>
      </w:r>
      <w:r>
        <w:rPr>
          <w:rFonts w:hint="eastAsia" w:ascii="仿宋_GB2312" w:hAnsi="仿宋_GB2312" w:eastAsia="仿宋_GB2312" w:cs="仿宋_GB2312"/>
          <w:bCs/>
          <w:kern w:val="0"/>
          <w:sz w:val="32"/>
          <w:szCs w:val="32"/>
        </w:rPr>
        <w:t>其他要求：</w:t>
      </w:r>
      <w:r>
        <w:rPr>
          <w:rFonts w:hint="eastAsia" w:ascii="仿宋_GB2312" w:hAnsi="仿宋_GB2312" w:eastAsia="仿宋_GB2312" w:cs="仿宋_GB2312"/>
          <w:color w:val="000000"/>
          <w:kern w:val="0"/>
          <w:sz w:val="32"/>
          <w:szCs w:val="32"/>
        </w:rPr>
        <w:t>投标人应根据招标文件内容、服务方案需包含（</w:t>
      </w:r>
      <w:r>
        <w:rPr>
          <w:rFonts w:hint="eastAsia" w:ascii="仿宋_GB2312" w:hAnsi="仿宋_GB2312" w:eastAsia="仿宋_GB2312" w:cs="仿宋_GB2312"/>
          <w:bCs/>
          <w:kern w:val="0"/>
          <w:sz w:val="32"/>
          <w:szCs w:val="32"/>
        </w:rPr>
        <w:t>1.物业管理整体工作服务方案；2.服务质量目标；3.各项管理制度；4.工程设施设备维护方案；5.环境保洁方案；6.安保服务方案；7.绿化服务方案；8.垃圾清运服务方案；9.司炉服务方案；10.餐饮服务方案；11.服务承诺及合理化建议；12.物业管理应急预案；13</w:t>
      </w:r>
      <w:r>
        <w:rPr>
          <w:rFonts w:hint="eastAsia" w:ascii="仿宋_GB2312" w:hAnsi="仿宋_GB2312" w:eastAsia="仿宋_GB2312" w:cs="仿宋_GB2312"/>
          <w:bCs/>
          <w:kern w:val="0"/>
          <w:sz w:val="32"/>
          <w:szCs w:val="32"/>
          <w:lang w:val="en-US" w:eastAsia="zh-CN"/>
        </w:rPr>
        <w:t>.</w:t>
      </w:r>
      <w:r>
        <w:rPr>
          <w:rFonts w:hint="eastAsia" w:ascii="仿宋_GB2312" w:hAnsi="仿宋_GB2312" w:eastAsia="仿宋_GB2312" w:cs="仿宋_GB2312"/>
          <w:bCs/>
          <w:kern w:val="0"/>
          <w:sz w:val="32"/>
          <w:szCs w:val="32"/>
        </w:rPr>
        <w:t>投入本项目保洁机械设备及管理方案，提供保洁设备的购买发票</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）拟投入本项目管理班组齐全，管理技术人员持证上岗，人员配备具体可行分工明确；服务方案符合本项目、符合招标文件要求，考虑全面，不漏项，专业性、系统性强，操作可行，方案有关论述条理清晰。</w:t>
      </w:r>
    </w:p>
    <w:p w14:paraId="5041B84A">
      <w:pPr>
        <w:keepNext w:val="0"/>
        <w:keepLines w:val="0"/>
        <w:pageBreakBefore w:val="0"/>
        <w:tabs>
          <w:tab w:val="left" w:pos="1976"/>
          <w:tab w:val="center" w:pos="4309"/>
        </w:tabs>
        <w:kinsoku/>
        <w:wordWrap/>
        <w:overflowPunct/>
        <w:topLinePunct w:val="0"/>
        <w:bidi w:val="0"/>
        <w:spacing w:line="60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四</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物业公司服务范围</w:t>
      </w:r>
    </w:p>
    <w:p w14:paraId="1384D333">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保洁：负责保持所有院区的整洁。</w:t>
      </w:r>
    </w:p>
    <w:p w14:paraId="6D3B2BB3">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绿化：负责所有院区环境绿化的养护，保持良好的绿化环境。</w:t>
      </w:r>
    </w:p>
    <w:p w14:paraId="2AF0AB55">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保证所有院区供水、供电、供暖系统及设相关设施设备的正常运转及日常维修维护。</w:t>
      </w:r>
    </w:p>
    <w:p w14:paraId="44676D3F">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所有院区垃圾需清运至环卫部门指定地点。</w:t>
      </w:r>
    </w:p>
    <w:p w14:paraId="7AF88ADE">
      <w:pPr>
        <w:pStyle w:val="5"/>
        <w:keepNext w:val="0"/>
        <w:keepLines w:val="0"/>
        <w:pageBreakBefore w:val="0"/>
        <w:kinsoku/>
        <w:wordWrap/>
        <w:overflowPunct/>
        <w:topLinePunct w:val="0"/>
        <w:bidi w:val="0"/>
        <w:spacing w:after="0" w:line="60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为甲方职工正常提供每日的就餐，保证每餐的质量、餐厅及厨房的安全卫生。</w:t>
      </w:r>
    </w:p>
    <w:p w14:paraId="412D381C">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负责所有院区24小时安全保卫及传达室昼夜值班。</w:t>
      </w:r>
    </w:p>
    <w:p w14:paraId="204637BC">
      <w:pPr>
        <w:keepNext w:val="0"/>
        <w:keepLines w:val="0"/>
        <w:pageBreakBefore w:val="0"/>
        <w:tabs>
          <w:tab w:val="left" w:pos="1976"/>
          <w:tab w:val="center" w:pos="4309"/>
        </w:tabs>
        <w:kinsoku/>
        <w:wordWrap/>
        <w:overflowPunct/>
        <w:topLinePunct w:val="0"/>
        <w:bidi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工作区的物业，完备安全防范措施。严格来访登记制度，热情接待来访者，做好值班记录。严禁小商贩等人员进入工作区。保安人员24小时在岗值班，夜间安排专人巡逻。负责治安案件的现场保护，协助有关部门的调查工作。</w:t>
      </w:r>
    </w:p>
    <w:p w14:paraId="374257D0">
      <w:pPr>
        <w:keepNext w:val="0"/>
        <w:keepLines w:val="0"/>
        <w:pageBreakBefore w:val="0"/>
        <w:tabs>
          <w:tab w:val="left" w:pos="1976"/>
          <w:tab w:val="center" w:pos="4309"/>
        </w:tabs>
        <w:kinsoku/>
        <w:wordWrap/>
        <w:overflowPunct/>
        <w:topLinePunct w:val="0"/>
        <w:bidi w:val="0"/>
        <w:spacing w:line="600" w:lineRule="exact"/>
        <w:ind w:firstLine="640" w:firstLineChars="200"/>
        <w:jc w:val="left"/>
        <w:rPr>
          <w:rFonts w:hint="eastAsia" w:ascii="仿宋_GB2312" w:hAnsi="仿宋_GB2312" w:eastAsia="仿宋_GB2312" w:cs="仿宋_GB2312"/>
          <w:spacing w:val="-20"/>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负责院区车辆进出管理，保证</w:t>
      </w:r>
      <w:r>
        <w:rPr>
          <w:rFonts w:hint="eastAsia" w:ascii="仿宋_GB2312" w:hAnsi="仿宋_GB2312" w:eastAsia="仿宋_GB2312" w:cs="仿宋_GB2312"/>
          <w:spacing w:val="-20"/>
          <w:sz w:val="32"/>
          <w:szCs w:val="32"/>
        </w:rPr>
        <w:t>车院区车辆停放有序。</w:t>
      </w:r>
    </w:p>
    <w:p w14:paraId="5DF5554E">
      <w:pPr>
        <w:keepNext w:val="0"/>
        <w:keepLines w:val="0"/>
        <w:pageBreakBefore w:val="0"/>
        <w:tabs>
          <w:tab w:val="left" w:pos="1976"/>
          <w:tab w:val="center" w:pos="4309"/>
        </w:tabs>
        <w:kinsoku/>
        <w:wordWrap/>
        <w:overflowPunct/>
        <w:topLinePunct w:val="0"/>
        <w:bidi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物业人员掌握消防设施的使用方法，并能及时处理各种火灾事故，设立消防疏散示意图，保证消防通道和各安全出口的畅通无阻，每月对此检查2次以上。</w:t>
      </w:r>
    </w:p>
    <w:p w14:paraId="51542F1B">
      <w:pPr>
        <w:keepNext w:val="0"/>
        <w:keepLines w:val="0"/>
        <w:pageBreakBefore w:val="0"/>
        <w:tabs>
          <w:tab w:val="left" w:pos="1976"/>
          <w:tab w:val="center" w:pos="4309"/>
        </w:tabs>
        <w:kinsoku/>
        <w:wordWrap/>
        <w:overflowPunct/>
        <w:topLinePunct w:val="0"/>
        <w:bidi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保证工作区无重大刑事、治安案件和火灾事故。因管理不善或工作失误造成的案件，物业公司根据有关规定给予补偿。</w:t>
      </w:r>
    </w:p>
    <w:p w14:paraId="0ACF8800">
      <w:pPr>
        <w:keepNext w:val="0"/>
        <w:keepLines w:val="0"/>
        <w:pageBreakBefore w:val="0"/>
        <w:tabs>
          <w:tab w:val="left" w:pos="1976"/>
          <w:tab w:val="center" w:pos="4309"/>
        </w:tabs>
        <w:kinsoku/>
        <w:wordWrap/>
        <w:overflowPunct/>
        <w:topLinePunct w:val="0"/>
        <w:bidi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配合入住单位做好日常应急工作</w:t>
      </w:r>
    </w:p>
    <w:p w14:paraId="51ACCFCA">
      <w:pPr>
        <w:keepNext w:val="0"/>
        <w:keepLines w:val="0"/>
        <w:pageBreakBefore w:val="0"/>
        <w:tabs>
          <w:tab w:val="left" w:pos="1976"/>
          <w:tab w:val="center" w:pos="4309"/>
        </w:tabs>
        <w:kinsoku/>
        <w:wordWrap/>
        <w:overflowPunct/>
        <w:topLinePunct w:val="0"/>
        <w:bidi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保证冬季供暖工作及四季热水供应。</w:t>
      </w:r>
    </w:p>
    <w:p w14:paraId="485B8F44">
      <w:pPr>
        <w:keepNext w:val="0"/>
        <w:keepLines w:val="0"/>
        <w:pageBreakBefore w:val="0"/>
        <w:tabs>
          <w:tab w:val="left" w:pos="1976"/>
          <w:tab w:val="center" w:pos="4309"/>
        </w:tabs>
        <w:kinsoku/>
        <w:wordWrap/>
        <w:overflowPunct/>
        <w:topLinePunct w:val="0"/>
        <w:bidi w:val="0"/>
        <w:spacing w:line="600" w:lineRule="exact"/>
        <w:ind w:left="0" w:leftChars="0"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五</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物业公司服务要求</w:t>
      </w:r>
    </w:p>
    <w:p w14:paraId="259AD480">
      <w:pPr>
        <w:keepNext w:val="0"/>
        <w:keepLines w:val="0"/>
        <w:pageBreakBefore w:val="0"/>
        <w:tabs>
          <w:tab w:val="left" w:pos="1976"/>
          <w:tab w:val="center" w:pos="4309"/>
        </w:tabs>
        <w:kinsoku/>
        <w:wordWrap/>
        <w:overflowPunct/>
        <w:topLinePunct w:val="0"/>
        <w:bidi w:val="0"/>
        <w:spacing w:line="60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基本要求</w:t>
      </w:r>
    </w:p>
    <w:p w14:paraId="639E6BE4">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设立24小时值班制度，接受使用单位报修、求助、建议、咨询、投诉等各类信息的收集和反馈，及时安排处理并做好相关记录；</w:t>
      </w:r>
    </w:p>
    <w:p w14:paraId="3216AC05">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物业服务企业所有员工统一着装，佩戴标牌，行为规范，服务主动、热情，文明使用规范服务用语。</w:t>
      </w:r>
    </w:p>
    <w:p w14:paraId="5A0B970A">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物业管理制度健全，岗位职责权限明确，制定相应工作服务标准、执行措施和考核办法；</w:t>
      </w:r>
    </w:p>
    <w:p w14:paraId="5A68A434">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每一个月使用单位征求对物业服务工作的意见和建议，对合理意见和建议积极采纳并做好记录；</w:t>
      </w:r>
    </w:p>
    <w:p w14:paraId="7B8B4D94">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建立工程维修管理制度，急修及时率100%，返修率不高于1%；</w:t>
      </w:r>
    </w:p>
    <w:p w14:paraId="4097EDC2">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房屋及其共用设施设备档案和使用单位资料档案齐全，分类成册，管理有序，查阅方便。</w:t>
      </w:r>
    </w:p>
    <w:p w14:paraId="28736BBA">
      <w:pPr>
        <w:keepNext w:val="0"/>
        <w:keepLines w:val="0"/>
        <w:pageBreakBefore w:val="0"/>
        <w:tabs>
          <w:tab w:val="left" w:pos="1976"/>
          <w:tab w:val="center" w:pos="4309"/>
        </w:tabs>
        <w:kinsoku/>
        <w:wordWrap/>
        <w:overflowPunct/>
        <w:topLinePunct w:val="0"/>
        <w:bidi w:val="0"/>
        <w:spacing w:line="600" w:lineRule="exact"/>
        <w:ind w:left="0" w:leftChars="0"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房屋管理</w:t>
      </w:r>
    </w:p>
    <w:p w14:paraId="582ED7A9">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对房屋共用部位进行日常管理和维护，巡检记录和保养记录齐全。</w:t>
      </w:r>
    </w:p>
    <w:p w14:paraId="313E7B40">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pacing w:val="-20"/>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根据房屋实际使用年限，定期检查房屋公用部位的使用状况，及时编制维修计划，向采购单位</w:t>
      </w:r>
      <w:r>
        <w:rPr>
          <w:rFonts w:hint="eastAsia" w:ascii="仿宋_GB2312" w:hAnsi="仿宋_GB2312" w:eastAsia="仿宋_GB2312" w:cs="仿宋_GB2312"/>
          <w:spacing w:val="-20"/>
          <w:sz w:val="32"/>
          <w:szCs w:val="32"/>
        </w:rPr>
        <w:t>提出报告与建议。</w:t>
      </w:r>
    </w:p>
    <w:p w14:paraId="4E8D6BD2">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pacing w:val="-20"/>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每日巡查1次物业管理区域楼宇门、楼梯</w:t>
      </w:r>
      <w:r>
        <w:rPr>
          <w:rFonts w:hint="eastAsia" w:ascii="仿宋_GB2312" w:hAnsi="仿宋_GB2312" w:eastAsia="仿宋_GB2312" w:cs="仿宋_GB2312"/>
          <w:spacing w:val="-20"/>
          <w:sz w:val="32"/>
          <w:szCs w:val="32"/>
        </w:rPr>
        <w:t>通道以及其它公用部位的门窗、玻璃等，做好巡查记录，并及时维护。</w:t>
      </w:r>
    </w:p>
    <w:p w14:paraId="7F6EE0A1">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使用单位对房屋进行改造、装修，物业公司需要按照房屋装饰装修和安全使用的有关规定及管理规约的要求，将室内装饰装修中的禁止行为和注意事项告知。每日巡查1次装饰装修施工现场，对施工进行及时监督。对危及房屋结构安全、影响房屋外观、拆改共用管线等损害公共利益的行为及时制止，并报告采购单位。</w:t>
      </w:r>
    </w:p>
    <w:p w14:paraId="3433F3B9">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物业管理区域设有平面示意图、路标、楼宇标识标牌、公用设施和场地标识的，做到维护及时、标识明显。</w:t>
      </w:r>
    </w:p>
    <w:p w14:paraId="5E80A443">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物业外观完好、整洁、外墙无脱落，无乱贴、乱涂、乱画现象；</w:t>
      </w:r>
    </w:p>
    <w:p w14:paraId="14B0F665">
      <w:pPr>
        <w:keepNext w:val="0"/>
        <w:keepLines w:val="0"/>
        <w:pageBreakBefore w:val="0"/>
        <w:tabs>
          <w:tab w:val="left" w:pos="1976"/>
          <w:tab w:val="center" w:pos="4309"/>
        </w:tabs>
        <w:kinsoku/>
        <w:wordWrap/>
        <w:overflowPunct/>
        <w:topLinePunct w:val="0"/>
        <w:bidi w:val="0"/>
        <w:spacing w:line="600" w:lineRule="exact"/>
        <w:ind w:left="0" w:leftChars="0"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公用设施设备管理</w:t>
      </w:r>
    </w:p>
    <w:p w14:paraId="67C2BEA7">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按合同约定，制订物业管理区域公用设施设备年度、月度养护及维修计划，保养和维修记录齐全。</w:t>
      </w:r>
    </w:p>
    <w:p w14:paraId="38F00476">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有完善的设备安全运行、维修养护、设备巡查和设备用房卫生清洁制度并在工作场所明示。设施设备标识齐全、规范，责任人明确。有设备台帐、运行记录和巡查记录。</w:t>
      </w:r>
    </w:p>
    <w:p w14:paraId="542F0CF5">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设备运行严格执行操作规程，无重大管理责任事故，有突发事件应急处置预案和处理记录。</w:t>
      </w:r>
    </w:p>
    <w:p w14:paraId="752EB8B9">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设备用房应保持整洁、通风，无跑、冒、滴、漏和鼠害现象。</w:t>
      </w:r>
    </w:p>
    <w:p w14:paraId="5C0C4D18">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每日至少2次对一般公用设施设备进行巡检，巡检记录规范齐全。特种设备的巡检按相关标准执行。</w:t>
      </w:r>
    </w:p>
    <w:p w14:paraId="6A7FE8BE">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公用设施设备需要维修或者更新改造的，及时编制维修、更新改造计划向采购单位提出报告与建议，根据采购单位的决定和国家相关规定，组织维修或者更新改造。</w:t>
      </w:r>
    </w:p>
    <w:p w14:paraId="22B5DEB2">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实行24小时值班报修制度。急修半小时内到达现场，一般维修12小时之内或在双方约定时间到达现场，服务应文明礼貌，做到工完料清场净。</w:t>
      </w:r>
    </w:p>
    <w:p w14:paraId="30021218">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共用照明设施完好率95%以上，并按规定时间开关。</w:t>
      </w:r>
    </w:p>
    <w:p w14:paraId="596A870E">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物业管理区域道路平整，主要道路及地面车位、交通标识齐全、规范。</w:t>
      </w:r>
    </w:p>
    <w:p w14:paraId="3723BA5A">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对可能危及人身安全隐患的设施设备、场所，设有明显警示标识和防范措施。</w:t>
      </w:r>
    </w:p>
    <w:p w14:paraId="22CBF043">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对雨、污水管道每月检查一次，每年对公共雨、污水管道全面疏通一次，确保排水通畅。</w:t>
      </w:r>
    </w:p>
    <w:p w14:paraId="5D11C677">
      <w:pPr>
        <w:keepNext w:val="0"/>
        <w:keepLines w:val="0"/>
        <w:pageBreakBefore w:val="0"/>
        <w:tabs>
          <w:tab w:val="left" w:pos="1976"/>
          <w:tab w:val="center" w:pos="4309"/>
        </w:tabs>
        <w:kinsoku/>
        <w:wordWrap/>
        <w:overflowPunct/>
        <w:topLinePunct w:val="0"/>
        <w:bidi w:val="0"/>
        <w:spacing w:line="600" w:lineRule="exact"/>
        <w:ind w:left="0" w:leftChars="0"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公共秩序维护</w:t>
      </w:r>
    </w:p>
    <w:p w14:paraId="09A5DCED">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物业管理区域主出入口24小时值班，外来人员进入实行登记制度，安全管理员文明执勤，语言规范，并按规定着装及相关配饰，认真做好值班记录，发现问题及时上报，协助处理；</w:t>
      </w:r>
    </w:p>
    <w:p w14:paraId="62BC051A">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进出物业管理区域的车辆实行登记管理，引导车辆出入，有序停放。</w:t>
      </w:r>
    </w:p>
    <w:p w14:paraId="6CEEF3C8">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对进出物业管理区域的装修施工人员、服务人员实行临时出入证管理。</w:t>
      </w:r>
    </w:p>
    <w:p w14:paraId="6F731A65">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引导使用单位遵守管理规约的约定，禁止饲养家畜，对违反者及时劝止、报告，并配合有关部门进行处理。</w:t>
      </w:r>
    </w:p>
    <w:p w14:paraId="16A5EF34">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对火灾、治安、公共卫生等突发事件有应急处理预案，事发时及时报告采购单位和政府有关部门，并协助采取相应措施。</w:t>
      </w:r>
    </w:p>
    <w:p w14:paraId="617ABBC9">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配合使用单位做好日常应急工作。</w:t>
      </w:r>
    </w:p>
    <w:p w14:paraId="277251CD">
      <w:pPr>
        <w:keepNext w:val="0"/>
        <w:keepLines w:val="0"/>
        <w:pageBreakBefore w:val="0"/>
        <w:tabs>
          <w:tab w:val="left" w:pos="1976"/>
          <w:tab w:val="center" w:pos="4309"/>
        </w:tabs>
        <w:kinsoku/>
        <w:wordWrap/>
        <w:overflowPunct/>
        <w:topLinePunct w:val="0"/>
        <w:bidi w:val="0"/>
        <w:spacing w:line="600" w:lineRule="exact"/>
        <w:ind w:left="0" w:leftChars="0"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保洁服务</w:t>
      </w:r>
    </w:p>
    <w:p w14:paraId="43A3484C">
      <w:pPr>
        <w:keepNext w:val="0"/>
        <w:keepLines w:val="0"/>
        <w:pageBreakBefore w:val="0"/>
        <w:tabs>
          <w:tab w:val="left" w:pos="1976"/>
          <w:tab w:val="center" w:pos="4309"/>
        </w:tabs>
        <w:kinsoku/>
        <w:wordWrap/>
        <w:overflowPunct/>
        <w:topLinePunct w:val="0"/>
        <w:bidi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楼内共用区域：</w:t>
      </w:r>
    </w:p>
    <w:p w14:paraId="58CD7A44">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地面：</w:t>
      </w:r>
    </w:p>
    <w:p w14:paraId="6DF266DA">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楼内卫生清洁须在正常上班之前清理完成，楼内通道和楼梯，每日拖擦2次以上；门厅地面，每日拖擦2次以上，定期保养，保持材质干净、有光泽。随时保持地面清洁干净</w:t>
      </w:r>
    </w:p>
    <w:p w14:paraId="4043BA4A">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墙面：</w:t>
      </w:r>
    </w:p>
    <w:p w14:paraId="1546E6C3">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涂料材质的墙面及2米以上贴砖墙面，每月清扫1次以上，保持无蛛网、无明显污渍；2米以下贴砖墙面，每周抹擦1次以上，保持表面干净、无污渍。</w:t>
      </w:r>
    </w:p>
    <w:p w14:paraId="07160308">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楼梯扶手、电梯按钮、照明开关按钮，每日擦抹一次，保持表面干净、无污渍。</w:t>
      </w:r>
    </w:p>
    <w:p w14:paraId="28DB8B91">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栏杆、窗台、消防栓、标识牌等共用设施，每周擦抹一次，保持表面干净、无污渍。</w:t>
      </w:r>
    </w:p>
    <w:p w14:paraId="67883243">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天花板、共用照明灯具，每月除尘一次以上，目视无污渍、无蛛网。</w:t>
      </w:r>
    </w:p>
    <w:p w14:paraId="670705B3">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门、窗等玻璃，每月擦拭1次以上，其中门厅玻璃每天擦拭1次以上，目视洁净、光亮、无污渍。</w:t>
      </w:r>
    </w:p>
    <w:p w14:paraId="70448E8A">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天台、屋顶，保持清洁、无垃圾。</w:t>
      </w:r>
    </w:p>
    <w:p w14:paraId="0240B1A4">
      <w:pPr>
        <w:pStyle w:val="5"/>
        <w:keepNext w:val="0"/>
        <w:keepLines w:val="0"/>
        <w:pageBreakBefore w:val="0"/>
        <w:kinsoku/>
        <w:wordWrap/>
        <w:overflowPunct/>
        <w:topLinePunct w:val="0"/>
        <w:bidi w:val="0"/>
        <w:spacing w:after="0" w:line="60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（8）每间办公室每周清洁一次，保持表面干净、无污渍。</w:t>
      </w:r>
    </w:p>
    <w:p w14:paraId="216690E0">
      <w:pPr>
        <w:keepNext w:val="0"/>
        <w:keepLines w:val="0"/>
        <w:pageBreakBefore w:val="0"/>
        <w:tabs>
          <w:tab w:val="left" w:pos="1976"/>
          <w:tab w:val="center" w:pos="4309"/>
        </w:tabs>
        <w:kinsoku/>
        <w:wordWrap/>
        <w:overflowPunct/>
        <w:topLinePunct w:val="0"/>
        <w:bidi w:val="0"/>
        <w:spacing w:line="600" w:lineRule="exact"/>
        <w:ind w:left="0" w:leftChars="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楼外公用区域：</w:t>
      </w:r>
    </w:p>
    <w:p w14:paraId="269BF48D">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硬化道路地面：目视地面干净，地面垃圾滞留时间不超过1小时。</w:t>
      </w:r>
    </w:p>
    <w:p w14:paraId="2EE017C9">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绿地、明沟：每周清理1次，无杂物、无积水。</w:t>
      </w:r>
    </w:p>
    <w:p w14:paraId="2BE92C19">
      <w:pPr>
        <w:keepNext w:val="0"/>
        <w:keepLines w:val="0"/>
        <w:pageBreakBefore w:val="0"/>
        <w:tabs>
          <w:tab w:val="left" w:pos="1976"/>
          <w:tab w:val="center" w:pos="4309"/>
        </w:tabs>
        <w:kinsoku/>
        <w:wordWrap/>
        <w:overflowPunct/>
        <w:topLinePunct w:val="0"/>
        <w:bidi w:val="0"/>
        <w:spacing w:line="600" w:lineRule="exact"/>
        <w:ind w:left="0" w:leftChars="0" w:firstLine="616" w:firstLineChars="200"/>
        <w:jc w:val="left"/>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lang w:val="en-US" w:eastAsia="zh-CN"/>
        </w:rPr>
        <w:t>3</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共用照明灯具、宣传栏、小品等：每周擦抹一次以上，目视无污渍、明亮清洁（2米以上部分每月擦抹、除尘一次）。</w:t>
      </w:r>
    </w:p>
    <w:p w14:paraId="1F549EA8">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积水、积雪清扫及时，上班时间需加强巡回保洁。</w:t>
      </w:r>
    </w:p>
    <w:p w14:paraId="7AF7B6F1">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pacing w:val="-20"/>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保洁工具应统一放置在指</w:t>
      </w:r>
      <w:r>
        <w:rPr>
          <w:rFonts w:hint="eastAsia" w:ascii="仿宋_GB2312" w:hAnsi="仿宋_GB2312" w:eastAsia="仿宋_GB2312" w:cs="仿宋_GB2312"/>
          <w:spacing w:val="-20"/>
          <w:sz w:val="32"/>
          <w:szCs w:val="32"/>
        </w:rPr>
        <w:t>定位置，不得影响整体美观。</w:t>
      </w:r>
    </w:p>
    <w:p w14:paraId="1888737F">
      <w:pPr>
        <w:keepNext w:val="0"/>
        <w:keepLines w:val="0"/>
        <w:pageBreakBefore w:val="0"/>
        <w:tabs>
          <w:tab w:val="left" w:pos="1976"/>
          <w:tab w:val="center" w:pos="4309"/>
        </w:tabs>
        <w:kinsoku/>
        <w:wordWrap/>
        <w:overflowPunct/>
        <w:topLinePunct w:val="0"/>
        <w:bidi w:val="0"/>
        <w:spacing w:line="600" w:lineRule="exact"/>
        <w:ind w:left="0" w:leftChars="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公共卫生间</w:t>
      </w:r>
      <w:r>
        <w:rPr>
          <w:rFonts w:hint="eastAsia" w:ascii="仿宋_GB2312" w:hAnsi="仿宋_GB2312" w:eastAsia="仿宋_GB2312" w:cs="仿宋_GB2312"/>
          <w:sz w:val="32"/>
          <w:szCs w:val="32"/>
        </w:rPr>
        <w:t>：</w:t>
      </w:r>
    </w:p>
    <w:p w14:paraId="42E45EAD">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每天全面清洁3次，保持无明显异味，干净整洁。</w:t>
      </w:r>
    </w:p>
    <w:p w14:paraId="062AC689">
      <w:pPr>
        <w:keepNext w:val="0"/>
        <w:keepLines w:val="0"/>
        <w:pageBreakBefore w:val="0"/>
        <w:tabs>
          <w:tab w:val="left" w:pos="1976"/>
          <w:tab w:val="center" w:pos="4309"/>
        </w:tabs>
        <w:kinsoku/>
        <w:wordWrap/>
        <w:overflowPunct/>
        <w:topLinePunct w:val="0"/>
        <w:bidi w:val="0"/>
        <w:spacing w:line="600" w:lineRule="exact"/>
        <w:ind w:left="0" w:leftChars="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垃圾的收集与处理：</w:t>
      </w:r>
    </w:p>
    <w:p w14:paraId="40B0E7FD">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生活垃圾日产日清，垃圾袋装化，垃圾桶、果壳箱无满溢现象，保持垃圾桶清洁无异味。</w:t>
      </w:r>
    </w:p>
    <w:p w14:paraId="1BA4A807">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设有垃圾中转站的，根据实际需要进行冲洗、消杀，有效控制蚊、蝇等害虫孳生。</w:t>
      </w:r>
    </w:p>
    <w:p w14:paraId="6980D475">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定期灭虫除害。每月对井、明沟、垃圾房喷洒药水一次，每半年灭鼠一次。喷洒农药、投放鼠饵必须提前告知业主/物业使用人。</w:t>
      </w:r>
    </w:p>
    <w:p w14:paraId="61A15229">
      <w:pPr>
        <w:keepNext w:val="0"/>
        <w:keepLines w:val="0"/>
        <w:pageBreakBefore w:val="0"/>
        <w:tabs>
          <w:tab w:val="left" w:pos="1976"/>
          <w:tab w:val="center" w:pos="4309"/>
        </w:tabs>
        <w:kinsoku/>
        <w:wordWrap/>
        <w:overflowPunct/>
        <w:topLinePunct w:val="0"/>
        <w:bidi w:val="0"/>
        <w:spacing w:line="600" w:lineRule="exact"/>
        <w:ind w:left="0" w:leftChars="0"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绿化养护管理</w:t>
      </w:r>
    </w:p>
    <w:p w14:paraId="79DE466C">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有专业人员实施绿化养护管理。</w:t>
      </w:r>
    </w:p>
    <w:p w14:paraId="2F692A94">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树木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乔、灌木每年修剪二遍以上，基本无枯枝、萌蘖枝，生长良好，树冠完整，树木基本无倾斜；篱、球、造型植物按生长情况和造型要求及时修剪，每年五遍以上，基本无缺枝、无斑秃；地被、攀援植物修剪、整理及时，每年三遍以上，基本无枯枝；常年土壤疏松通透，及时浇灌，绿地无积水，基本无杂草。</w:t>
      </w:r>
    </w:p>
    <w:p w14:paraId="63AD3F1F">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pacing w:val="-20"/>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按植物品种、生长、土壤状况</w:t>
      </w:r>
      <w:r>
        <w:rPr>
          <w:rFonts w:hint="eastAsia" w:ascii="仿宋_GB2312" w:hAnsi="仿宋_GB2312" w:eastAsia="仿宋_GB2312" w:cs="仿宋_GB2312"/>
          <w:spacing w:val="-20"/>
          <w:sz w:val="32"/>
          <w:szCs w:val="32"/>
        </w:rPr>
        <w:t>合理施肥，每年二遍以上。</w:t>
      </w:r>
    </w:p>
    <w:p w14:paraId="0B782B32">
      <w:pPr>
        <w:keepNext w:val="0"/>
        <w:keepLines w:val="0"/>
        <w:pageBreakBefore w:val="0"/>
        <w:tabs>
          <w:tab w:val="left" w:pos="1976"/>
          <w:tab w:val="center" w:pos="4309"/>
        </w:tabs>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做好病虫害防治，主要病虫害发生率低于5%。</w:t>
      </w:r>
    </w:p>
    <w:p w14:paraId="7B08921A">
      <w:pPr>
        <w:keepNext w:val="0"/>
        <w:keepLines w:val="0"/>
        <w:pageBreakBefore w:val="0"/>
        <w:tabs>
          <w:tab w:val="left" w:pos="1976"/>
          <w:tab w:val="center" w:pos="4309"/>
        </w:tabs>
        <w:kinsoku/>
        <w:wordWrap/>
        <w:overflowPunct/>
        <w:topLinePunct w:val="0"/>
        <w:bidi w:val="0"/>
        <w:spacing w:line="600" w:lineRule="exact"/>
        <w:ind w:left="0" w:leftChars="0" w:firstLine="596" w:firstLineChars="200"/>
        <w:jc w:val="left"/>
        <w:rPr>
          <w:rFonts w:hint="eastAsia" w:ascii="仿宋_GB2312" w:hAnsi="仿宋_GB2312" w:eastAsia="仿宋_GB2312" w:cs="仿宋_GB2312"/>
          <w:spacing w:val="-17"/>
          <w:sz w:val="32"/>
          <w:szCs w:val="32"/>
        </w:rPr>
      </w:pP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lang w:val="en-US" w:eastAsia="zh-CN"/>
        </w:rPr>
        <w:t>5</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枯死的花草树木，必须在一周内清</w:t>
      </w:r>
      <w:r>
        <w:rPr>
          <w:rFonts w:hint="eastAsia" w:ascii="仿宋_GB2312" w:hAnsi="仿宋_GB2312" w:eastAsia="仿宋_GB2312" w:cs="仿宋_GB2312"/>
          <w:spacing w:val="-17"/>
          <w:sz w:val="32"/>
          <w:szCs w:val="32"/>
        </w:rPr>
        <w:t>除，并适时补栽补种。</w:t>
      </w:r>
    </w:p>
    <w:p w14:paraId="08BA46C8">
      <w:pPr>
        <w:keepNext w:val="0"/>
        <w:keepLines w:val="0"/>
        <w:pageBreakBefore w:val="0"/>
        <w:widowControl/>
        <w:kinsoku/>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绿地应设有宣传牌、提示牌。</w:t>
      </w:r>
    </w:p>
    <w:p w14:paraId="6DED6DF1">
      <w:pPr>
        <w:keepNext w:val="0"/>
        <w:keepLines w:val="0"/>
        <w:pageBreakBefore w:val="0"/>
        <w:widowControl/>
        <w:kinsoku/>
        <w:wordWrap/>
        <w:overflowPunct/>
        <w:topLinePunct w:val="0"/>
        <w:bidi w:val="0"/>
        <w:spacing w:line="600" w:lineRule="exact"/>
        <w:ind w:left="0" w:leftChars="0" w:firstLine="643" w:firstLineChars="200"/>
        <w:jc w:val="left"/>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color w:val="000000"/>
          <w:kern w:val="0"/>
          <w:sz w:val="32"/>
          <w:szCs w:val="32"/>
        </w:rPr>
        <w:t xml:space="preserve">灶务管理服务 </w:t>
      </w:r>
    </w:p>
    <w:p w14:paraId="72C5B702">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正常工作日为职工提供一日俩餐；如遇会议、加班等情况，需提供晚餐；</w:t>
      </w:r>
    </w:p>
    <w:p w14:paraId="75747645">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加强卫生，确保储藏间、厨房、餐厅、洗碗池等干净卫生，做到随时清理。定期组织灶务服务人员进行体检，灶务人员必须持有健康证上岗。 </w:t>
      </w:r>
    </w:p>
    <w:p w14:paraId="760815F5">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spacing w:val="-17"/>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确保灶务卫生及食品提供</w:t>
      </w:r>
      <w:r>
        <w:rPr>
          <w:rFonts w:hint="eastAsia" w:ascii="仿宋_GB2312" w:hAnsi="仿宋_GB2312" w:eastAsia="仿宋_GB2312" w:cs="仿宋_GB2312"/>
          <w:color w:val="000000"/>
          <w:spacing w:val="-17"/>
          <w:kern w:val="0"/>
          <w:sz w:val="32"/>
          <w:szCs w:val="32"/>
        </w:rPr>
        <w:t xml:space="preserve">等环节符合食品安全有关规定。 </w:t>
      </w:r>
    </w:p>
    <w:p w14:paraId="7DA3EE83">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lang w:eastAsia="zh-CN"/>
        </w:rPr>
        <w:t>）灶务所需水电气由甲方承担。</w:t>
      </w:r>
    </w:p>
    <w:p w14:paraId="74C67FED">
      <w:pPr>
        <w:keepNext w:val="0"/>
        <w:keepLines w:val="0"/>
        <w:pageBreakBefore w:val="0"/>
        <w:widowControl/>
        <w:kinsoku/>
        <w:wordWrap/>
        <w:overflowPunct/>
        <w:topLinePunct w:val="0"/>
        <w:autoSpaceDE/>
        <w:autoSpaceDN/>
        <w:bidi w:val="0"/>
        <w:adjustRightInd/>
        <w:snapToGrid/>
        <w:spacing w:line="620" w:lineRule="exact"/>
        <w:ind w:left="0" w:leftChars="0"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灶务工作需接受甲方的监督管理。 </w:t>
      </w:r>
    </w:p>
    <w:p w14:paraId="25B037E9">
      <w:pPr>
        <w:pStyle w:val="8"/>
        <w:spacing w:line="500" w:lineRule="exact"/>
        <w:ind w:left="569" w:firstLine="0" w:firstLineChars="0"/>
        <w:rPr>
          <w:rFonts w:hint="eastAsia" w:ascii="仿宋" w:hAnsi="仿宋" w:eastAsia="仿宋" w:cs="Times New Roman"/>
          <w:b/>
          <w:bCs/>
        </w:rPr>
      </w:pPr>
    </w:p>
    <w:p w14:paraId="5A3D6933">
      <w:pPr>
        <w:pStyle w:val="8"/>
        <w:spacing w:line="500" w:lineRule="exact"/>
        <w:ind w:left="569" w:firstLine="0" w:firstLineChars="0"/>
        <w:rPr>
          <w:rFonts w:hint="eastAsia" w:ascii="仿宋" w:hAnsi="仿宋" w:eastAsia="仿宋" w:cs="Times New Roman"/>
          <w:b/>
          <w:bCs/>
        </w:rPr>
      </w:pPr>
    </w:p>
    <w:p w14:paraId="3B6DF8B8">
      <w:pPr>
        <w:pStyle w:val="8"/>
        <w:spacing w:line="500" w:lineRule="exact"/>
        <w:ind w:left="569" w:firstLine="0" w:firstLineChars="0"/>
        <w:rPr>
          <w:rFonts w:hint="eastAsia" w:ascii="仿宋" w:hAnsi="仿宋" w:eastAsia="仿宋" w:cs="Times New Roman"/>
          <w:b/>
          <w:bCs/>
        </w:rPr>
      </w:pPr>
    </w:p>
    <w:p w14:paraId="5997D88E">
      <w:pPr>
        <w:pStyle w:val="8"/>
        <w:spacing w:line="500" w:lineRule="exact"/>
        <w:ind w:left="569" w:firstLine="0" w:firstLineChars="0"/>
        <w:rPr>
          <w:rFonts w:hint="eastAsia" w:ascii="仿宋" w:hAnsi="仿宋" w:eastAsia="仿宋" w:cs="Times New Roman"/>
          <w:b/>
          <w:bCs/>
        </w:rPr>
      </w:pPr>
    </w:p>
    <w:p w14:paraId="7A1240B3">
      <w:pPr>
        <w:pStyle w:val="8"/>
        <w:spacing w:line="500" w:lineRule="exact"/>
        <w:ind w:left="569" w:firstLine="0" w:firstLineChars="0"/>
        <w:rPr>
          <w:rFonts w:hint="eastAsia" w:ascii="仿宋" w:hAnsi="仿宋" w:eastAsia="仿宋" w:cs="Times New Roman"/>
          <w:b/>
          <w:bCs/>
        </w:rPr>
      </w:pPr>
    </w:p>
    <w:p w14:paraId="250995EA">
      <w:bookmarkStart w:id="7" w:name="_GoBack"/>
      <w:bookmarkEnd w:id="7"/>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5317A6"/>
    <w:rsid w:val="35531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Lines="50" w:line="360" w:lineRule="auto"/>
    </w:pPr>
    <w:rPr>
      <w:rFonts w:ascii="宋体" w:hAnsi="宋体"/>
      <w:color w:val="000000"/>
      <w:sz w:val="24"/>
    </w:rPr>
  </w:style>
  <w:style w:type="paragraph" w:styleId="3">
    <w:name w:val="Body Text Indent"/>
    <w:basedOn w:val="1"/>
    <w:unhideWhenUsed/>
    <w:qFormat/>
    <w:uiPriority w:val="0"/>
    <w:pPr>
      <w:spacing w:after="120"/>
      <w:ind w:left="420" w:leftChars="200"/>
    </w:pPr>
  </w:style>
  <w:style w:type="paragraph" w:styleId="4">
    <w:name w:val="Body Text First Indent"/>
    <w:basedOn w:val="2"/>
    <w:unhideWhenUsed/>
    <w:qFormat/>
    <w:uiPriority w:val="0"/>
    <w:pPr>
      <w:spacing w:afterLines="0" w:line="240" w:lineRule="auto"/>
      <w:ind w:firstLine="420" w:firstLineChars="100"/>
    </w:pPr>
    <w:rPr>
      <w:rFonts w:ascii="Times New Roman" w:hAnsi="Times New Roman"/>
      <w:color w:val="auto"/>
      <w:sz w:val="18"/>
      <w:szCs w:val="18"/>
    </w:rPr>
  </w:style>
  <w:style w:type="paragraph" w:styleId="5">
    <w:name w:val="Body Text First Indent 2"/>
    <w:basedOn w:val="3"/>
    <w:unhideWhenUsed/>
    <w:qFormat/>
    <w:uiPriority w:val="0"/>
    <w:pPr>
      <w:ind w:firstLine="420" w:firstLineChars="200"/>
    </w:pPr>
  </w:style>
  <w:style w:type="paragraph" w:customStyle="1" w:styleId="8">
    <w:name w:val="正文（缩进 2 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2025-10-21T01:47:00Z</dcterms:created>
  <dc:creator>apple</dc:creator>
  <cp:lastModifiedBy>apple</cp:lastModifiedBy>
  <dcterms:modified xsi:type="dcterms:W3CDTF">2025-10-21T01:47:47Z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289D9B8AA8B44089AA2ACCDE1A6F68F7_11</vt:lpwstr>
  </property>
  <property fmtid="{D5CDD505-2E9C-101B-9397-08002B2CF9AE}" pid="4" name="KSOTemplateDocerSaveRecord">
    <vt:lpwstr>eyJoZGlkIjoiYTAxNzc3M2ZmOWExNzgyNzA1YmE1MWE5YTgyZDNjYTUiLCJ1c2VySWQiOiI3NDIyNDgzNjMifQ==</vt:lpwstr>
  </property>
</Properties>
</file>