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D4AFE">
      <w:pPr>
        <w:pStyle w:val="6"/>
        <w:keepNext w:val="0"/>
        <w:keepLines w:val="0"/>
        <w:pageBreakBefore w:val="0"/>
        <w:widowControl/>
        <w:numPr>
          <w:ilvl w:val="0"/>
          <w:numId w:val="0"/>
        </w:numPr>
        <w:overflowPunct/>
        <w:bidi w:val="0"/>
        <w:adjustRightInd w:val="0"/>
        <w:snapToGrid w:val="0"/>
        <w:spacing w:before="120" w:line="460" w:lineRule="exact"/>
        <w:ind w:leftChars="0"/>
        <w:textAlignment w:val="baseline"/>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产品硬件</w:t>
      </w:r>
    </w:p>
    <w:tbl>
      <w:tblPr>
        <w:tblStyle w:val="4"/>
        <w:tblW w:w="48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81"/>
        <w:gridCol w:w="1137"/>
        <w:gridCol w:w="4838"/>
      </w:tblGrid>
      <w:tr w14:paraId="6C7C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 w:hRule="atLeast"/>
        </w:trPr>
        <w:tc>
          <w:tcPr>
            <w:tcW w:w="435" w:type="pct"/>
            <w:noWrap w:val="0"/>
            <w:vAlign w:val="top"/>
          </w:tcPr>
          <w:p w14:paraId="36024D36">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b/>
                <w:bCs/>
                <w:sz w:val="24"/>
                <w:szCs w:val="24"/>
                <w:highlight w:val="none"/>
                <w:lang w:val="en-GB"/>
              </w:rPr>
            </w:pPr>
            <w:r>
              <w:rPr>
                <w:rFonts w:hint="eastAsia" w:ascii="宋体" w:hAnsi="宋体" w:eastAsia="宋体" w:cs="宋体"/>
                <w:b/>
                <w:bCs/>
                <w:sz w:val="24"/>
                <w:szCs w:val="24"/>
                <w:highlight w:val="none"/>
                <w:lang w:val="en-GB"/>
              </w:rPr>
              <w:t>序号</w:t>
            </w:r>
          </w:p>
        </w:tc>
        <w:tc>
          <w:tcPr>
            <w:tcW w:w="954" w:type="pct"/>
            <w:noWrap w:val="0"/>
            <w:vAlign w:val="top"/>
          </w:tcPr>
          <w:p w14:paraId="4A77387E">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b/>
                <w:bCs/>
                <w:sz w:val="24"/>
                <w:szCs w:val="24"/>
                <w:highlight w:val="none"/>
                <w:lang w:val="en-GB"/>
              </w:rPr>
            </w:pPr>
            <w:r>
              <w:rPr>
                <w:rFonts w:hint="eastAsia" w:ascii="宋体" w:hAnsi="宋体" w:eastAsia="宋体" w:cs="宋体"/>
                <w:b/>
                <w:bCs/>
                <w:sz w:val="24"/>
                <w:szCs w:val="24"/>
                <w:highlight w:val="none"/>
                <w:lang w:val="en-GB"/>
              </w:rPr>
              <w:t>设备名称</w:t>
            </w:r>
          </w:p>
        </w:tc>
        <w:tc>
          <w:tcPr>
            <w:tcW w:w="687" w:type="pct"/>
            <w:noWrap w:val="0"/>
            <w:vAlign w:val="top"/>
          </w:tcPr>
          <w:p w14:paraId="555427BD">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b/>
                <w:bCs/>
                <w:sz w:val="24"/>
                <w:szCs w:val="24"/>
                <w:highlight w:val="none"/>
                <w:lang w:val="en-GB"/>
              </w:rPr>
            </w:pPr>
            <w:r>
              <w:rPr>
                <w:rFonts w:hint="eastAsia" w:ascii="宋体" w:hAnsi="宋体" w:eastAsia="宋体" w:cs="宋体"/>
                <w:b/>
                <w:bCs/>
                <w:sz w:val="24"/>
                <w:szCs w:val="24"/>
                <w:highlight w:val="none"/>
                <w:lang w:val="en-GB"/>
              </w:rPr>
              <w:t>数量</w:t>
            </w:r>
          </w:p>
        </w:tc>
        <w:tc>
          <w:tcPr>
            <w:tcW w:w="2922" w:type="pct"/>
            <w:noWrap w:val="0"/>
            <w:vAlign w:val="top"/>
          </w:tcPr>
          <w:p w14:paraId="1DEDA828">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技术参数要求</w:t>
            </w:r>
          </w:p>
        </w:tc>
      </w:tr>
      <w:tr w14:paraId="1913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35" w:type="pct"/>
            <w:noWrap w:val="0"/>
            <w:vAlign w:val="center"/>
          </w:tcPr>
          <w:p w14:paraId="2DA9AA26">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w:t>
            </w:r>
          </w:p>
        </w:tc>
        <w:tc>
          <w:tcPr>
            <w:tcW w:w="954" w:type="pct"/>
            <w:noWrap w:val="0"/>
            <w:vAlign w:val="center"/>
          </w:tcPr>
          <w:p w14:paraId="3AA39CBE">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color w:val="000000"/>
                <w:sz w:val="24"/>
                <w:szCs w:val="24"/>
                <w:highlight w:val="none"/>
              </w:rPr>
              <w:t>鹰眼分析相机</w:t>
            </w:r>
          </w:p>
        </w:tc>
        <w:tc>
          <w:tcPr>
            <w:tcW w:w="687" w:type="pct"/>
            <w:noWrap w:val="0"/>
            <w:vAlign w:val="center"/>
          </w:tcPr>
          <w:p w14:paraId="48085D72">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2台</w:t>
            </w:r>
          </w:p>
        </w:tc>
        <w:tc>
          <w:tcPr>
            <w:tcW w:w="2922" w:type="pct"/>
            <w:noWrap w:val="0"/>
            <w:vAlign w:val="center"/>
          </w:tcPr>
          <w:p w14:paraId="5340E7C2">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分辨率： ≥ 1280×1024</w:t>
            </w:r>
          </w:p>
          <w:p w14:paraId="0B0DE809">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帧率(fps)： ≥ 200</w:t>
            </w:r>
          </w:p>
          <w:p w14:paraId="05F6FE0E">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传感器： 1/2" CMOS</w:t>
            </w:r>
          </w:p>
          <w:p w14:paraId="7509306B">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像元尺寸： 4.8μm</w:t>
            </w:r>
          </w:p>
          <w:p w14:paraId="3CD7B7BC">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镜头光圈：≥F2.4</w:t>
            </w:r>
          </w:p>
          <w:p w14:paraId="47021E65">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数据接口 ：GigE</w:t>
            </w:r>
          </w:p>
          <w:p w14:paraId="2E80214F">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镜头接口 ：C，CS</w:t>
            </w:r>
          </w:p>
          <w:p w14:paraId="625C3448">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光谱 ：黑白</w:t>
            </w:r>
          </w:p>
          <w:p w14:paraId="40AAAFE8">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动态范围： 62.1 dB</w:t>
            </w:r>
          </w:p>
          <w:p w14:paraId="6A0B1DA4">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额定功率 ：4 ~ 4.9 W @ PoE</w:t>
            </w:r>
          </w:p>
          <w:p w14:paraId="40B9E470">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供电要求 ：PoE</w:t>
            </w:r>
          </w:p>
        </w:tc>
      </w:tr>
      <w:tr w14:paraId="4294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35" w:type="pct"/>
            <w:noWrap w:val="0"/>
            <w:vAlign w:val="center"/>
          </w:tcPr>
          <w:p w14:paraId="6E876169">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2</w:t>
            </w:r>
          </w:p>
        </w:tc>
        <w:tc>
          <w:tcPr>
            <w:tcW w:w="954" w:type="pct"/>
            <w:noWrap w:val="0"/>
            <w:vAlign w:val="center"/>
          </w:tcPr>
          <w:p w14:paraId="76C71C26">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color w:val="000000"/>
                <w:sz w:val="24"/>
                <w:szCs w:val="24"/>
                <w:highlight w:val="none"/>
              </w:rPr>
              <w:t>慢动作视频相机</w:t>
            </w:r>
          </w:p>
        </w:tc>
        <w:tc>
          <w:tcPr>
            <w:tcW w:w="687" w:type="pct"/>
            <w:noWrap w:val="0"/>
            <w:vAlign w:val="center"/>
          </w:tcPr>
          <w:p w14:paraId="1B8B0E36">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1台</w:t>
            </w:r>
          </w:p>
        </w:tc>
        <w:tc>
          <w:tcPr>
            <w:tcW w:w="2922" w:type="pct"/>
            <w:noWrap w:val="0"/>
            <w:vAlign w:val="center"/>
          </w:tcPr>
          <w:p w14:paraId="7EF32049">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分辨率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≥1280×1024</w:t>
            </w:r>
          </w:p>
          <w:p w14:paraId="7C872797">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帧率(fps)：≥150</w:t>
            </w:r>
          </w:p>
          <w:p w14:paraId="5F5A33C5">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传感器</w:t>
            </w:r>
            <w:r>
              <w:rPr>
                <w:rFonts w:hint="eastAsia" w:ascii="宋体" w:hAnsi="宋体" w:eastAsia="宋体" w:cs="宋体"/>
                <w:sz w:val="24"/>
                <w:szCs w:val="24"/>
                <w:highlight w:val="none"/>
              </w:rPr>
              <w:tab/>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1/2" CMOS</w:t>
            </w:r>
          </w:p>
          <w:p w14:paraId="39D42E6B">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像元尺寸：4.8μm</w:t>
            </w:r>
          </w:p>
          <w:p w14:paraId="395E7626">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数据接口：GigE</w:t>
            </w:r>
          </w:p>
          <w:p w14:paraId="0A441898">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镜头接口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C，CS</w:t>
            </w:r>
          </w:p>
          <w:p w14:paraId="4FB8E5B3">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动态范围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62.1 dB</w:t>
            </w:r>
          </w:p>
          <w:p w14:paraId="6BADD80F">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供电要求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PoE </w:t>
            </w:r>
          </w:p>
          <w:p w14:paraId="2CA975B5">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功率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3.8 ~ 4.9 W @ PoE</w:t>
            </w:r>
          </w:p>
        </w:tc>
      </w:tr>
      <w:tr w14:paraId="4007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35" w:type="pct"/>
            <w:noWrap w:val="0"/>
            <w:vAlign w:val="center"/>
          </w:tcPr>
          <w:p w14:paraId="18CB0640">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3</w:t>
            </w:r>
          </w:p>
        </w:tc>
        <w:tc>
          <w:tcPr>
            <w:tcW w:w="954" w:type="pct"/>
            <w:noWrap w:val="0"/>
            <w:vAlign w:val="center"/>
          </w:tcPr>
          <w:p w14:paraId="74546EBE">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rPr>
              <w:t>分析服务器</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核心产品</w:t>
            </w:r>
            <w:r>
              <w:rPr>
                <w:rFonts w:hint="eastAsia" w:ascii="宋体" w:hAnsi="宋体" w:eastAsia="宋体" w:cs="宋体"/>
                <w:b/>
                <w:bCs/>
                <w:color w:val="000000"/>
                <w:sz w:val="24"/>
                <w:szCs w:val="24"/>
                <w:highlight w:val="none"/>
                <w:lang w:eastAsia="zh-CN"/>
              </w:rPr>
              <w:t>）</w:t>
            </w:r>
          </w:p>
        </w:tc>
        <w:tc>
          <w:tcPr>
            <w:tcW w:w="687" w:type="pct"/>
            <w:noWrap w:val="0"/>
            <w:vAlign w:val="center"/>
          </w:tcPr>
          <w:p w14:paraId="3BA28BEF">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1台</w:t>
            </w:r>
          </w:p>
        </w:tc>
        <w:tc>
          <w:tcPr>
            <w:tcW w:w="2922" w:type="pct"/>
            <w:noWrap w:val="0"/>
            <w:vAlign w:val="center"/>
          </w:tcPr>
          <w:p w14:paraId="6E45D3A4">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1.处理器：≥第十四代I7；</w:t>
            </w:r>
          </w:p>
          <w:p w14:paraId="276A584D">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2、内存：≥16GB DDR4 2666；最大内存容量128GB；</w:t>
            </w:r>
          </w:p>
          <w:p w14:paraId="7C6391C2">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3、硬盘：≥256 SSD；1TB；</w:t>
            </w:r>
          </w:p>
          <w:p w14:paraId="4BD00552">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4、网卡：≥4口千兆网卡；</w:t>
            </w:r>
          </w:p>
          <w:p w14:paraId="1FE2B9D4">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5、显卡：≥GTX1650；</w:t>
            </w:r>
          </w:p>
          <w:p w14:paraId="61A8DD90">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6、操作系统：Windows10 64位 专业版 </w:t>
            </w:r>
          </w:p>
          <w:p w14:paraId="3236219C">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7、电源：≥700W ；</w:t>
            </w:r>
          </w:p>
          <w:p w14:paraId="014E794C">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8、网络接口：RJ45千兆网口</w:t>
            </w:r>
          </w:p>
          <w:p w14:paraId="5053344F">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9、带宽：支持千兆</w:t>
            </w:r>
          </w:p>
          <w:p w14:paraId="7357F38C">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10、散热循环风扇架构：主风扇（CPU）+后置系统风扇 +前置双风扇套件架构</w:t>
            </w:r>
          </w:p>
        </w:tc>
      </w:tr>
      <w:tr w14:paraId="18C3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35" w:type="pct"/>
            <w:noWrap w:val="0"/>
            <w:vAlign w:val="center"/>
          </w:tcPr>
          <w:p w14:paraId="2236C1D5">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4</w:t>
            </w:r>
          </w:p>
        </w:tc>
        <w:tc>
          <w:tcPr>
            <w:tcW w:w="954" w:type="pct"/>
            <w:noWrap w:val="0"/>
            <w:vAlign w:val="center"/>
          </w:tcPr>
          <w:p w14:paraId="6807E4E0">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POE交换机</w:t>
            </w:r>
          </w:p>
        </w:tc>
        <w:tc>
          <w:tcPr>
            <w:tcW w:w="687" w:type="pct"/>
            <w:noWrap w:val="0"/>
            <w:vAlign w:val="center"/>
          </w:tcPr>
          <w:p w14:paraId="102795CD">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1台</w:t>
            </w:r>
          </w:p>
        </w:tc>
        <w:tc>
          <w:tcPr>
            <w:tcW w:w="2922" w:type="pct"/>
            <w:noWrap w:val="0"/>
            <w:vAlign w:val="center"/>
          </w:tcPr>
          <w:p w14:paraId="594FDD32">
            <w:pPr>
              <w:keepNext w:val="0"/>
              <w:keepLines w:val="0"/>
              <w:pageBreakBefore w:val="0"/>
              <w:widowControl/>
              <w:numPr>
                <w:ilvl w:val="0"/>
                <w:numId w:val="1"/>
              </w:numPr>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端口形态：16个10/100/1000Base-T千兆电口，支持多场景组网需求；</w:t>
            </w:r>
          </w:p>
          <w:p w14:paraId="2EB1E4B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2、交换能力：36Gbps交换容量，27Mpps转发性能，4MB共享缓存架构，可应对突发大流量监控数据传输；</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 xml:space="preserve">3、供电能力：支持PoE+（IEEE 802.3at），单端口最大供电功率30W，整机最大输出225W，可为大功率摄像头、无线AP等设备供电，最大供电距离达250米（需终端适配）。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4、防护能力：集成安防级防雷电路（6kV防浪涌）、全钢机壳+防腐蚀粉末涂层，适应高温、潮湿、粉尘等恶劣环境；</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5、散热与功耗：双风扇散热设计，支持0°C~40°C工作温度，整机待机功耗低至15W，符合绿色节能标准</w:t>
            </w:r>
          </w:p>
        </w:tc>
      </w:tr>
      <w:tr w14:paraId="0F87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35" w:type="pct"/>
            <w:noWrap w:val="0"/>
            <w:vAlign w:val="center"/>
          </w:tcPr>
          <w:p w14:paraId="1B84734A">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5</w:t>
            </w:r>
          </w:p>
        </w:tc>
        <w:tc>
          <w:tcPr>
            <w:tcW w:w="954" w:type="pct"/>
            <w:noWrap w:val="0"/>
            <w:vAlign w:val="center"/>
          </w:tcPr>
          <w:p w14:paraId="6FF00023">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color w:val="000000"/>
                <w:sz w:val="24"/>
                <w:szCs w:val="24"/>
                <w:highlight w:val="none"/>
              </w:rPr>
              <w:t>传输线缆</w:t>
            </w:r>
          </w:p>
        </w:tc>
        <w:tc>
          <w:tcPr>
            <w:tcW w:w="687" w:type="pct"/>
            <w:noWrap w:val="0"/>
            <w:vAlign w:val="center"/>
          </w:tcPr>
          <w:p w14:paraId="66B741AD">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1套</w:t>
            </w:r>
          </w:p>
        </w:tc>
        <w:tc>
          <w:tcPr>
            <w:tcW w:w="2922" w:type="pct"/>
            <w:noWrap w:val="0"/>
            <w:vAlign w:val="center"/>
          </w:tcPr>
          <w:p w14:paraId="2CDACE25">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六类网线和HDMI视频电缆</w:t>
            </w:r>
          </w:p>
          <w:p w14:paraId="4F4DC8AC">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color w:val="000000"/>
                <w:sz w:val="24"/>
                <w:szCs w:val="24"/>
                <w:highlight w:val="none"/>
              </w:rPr>
              <w:t>长度和数量按安装场地实际环境配置</w:t>
            </w:r>
          </w:p>
        </w:tc>
      </w:tr>
      <w:tr w14:paraId="68FB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35" w:type="pct"/>
            <w:noWrap w:val="0"/>
            <w:vAlign w:val="center"/>
          </w:tcPr>
          <w:p w14:paraId="0BB9B0F3">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6</w:t>
            </w:r>
          </w:p>
        </w:tc>
        <w:tc>
          <w:tcPr>
            <w:tcW w:w="954" w:type="pct"/>
            <w:noWrap w:val="0"/>
            <w:vAlign w:val="center"/>
          </w:tcPr>
          <w:p w14:paraId="05EE16E5">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lang w:val="en-GB"/>
              </w:rPr>
            </w:pPr>
            <w:r>
              <w:rPr>
                <w:rFonts w:hint="eastAsia" w:ascii="宋体" w:hAnsi="宋体" w:eastAsia="宋体" w:cs="宋体"/>
                <w:color w:val="000000"/>
                <w:sz w:val="24"/>
                <w:szCs w:val="24"/>
                <w:highlight w:val="none"/>
              </w:rPr>
              <w:t>安装组件</w:t>
            </w:r>
          </w:p>
        </w:tc>
        <w:tc>
          <w:tcPr>
            <w:tcW w:w="687" w:type="pct"/>
            <w:noWrap w:val="0"/>
            <w:vAlign w:val="center"/>
          </w:tcPr>
          <w:p w14:paraId="706CADA7">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1套</w:t>
            </w:r>
          </w:p>
        </w:tc>
        <w:tc>
          <w:tcPr>
            <w:tcW w:w="2922" w:type="pct"/>
            <w:noWrap w:val="0"/>
            <w:vAlign w:val="center"/>
          </w:tcPr>
          <w:p w14:paraId="4E2CC7FB">
            <w:pPr>
              <w:keepNext w:val="0"/>
              <w:keepLines w:val="0"/>
              <w:pageBreakBefore w:val="0"/>
              <w:widowControl/>
              <w:kinsoku/>
              <w:wordWrap w:val="0"/>
              <w:overflowPunct/>
              <w:topLinePunct w:val="0"/>
              <w:autoSpaceDE w:val="0"/>
              <w:autoSpaceDN w:val="0"/>
              <w:bidi w:val="0"/>
              <w:adjustRightInd w:val="0"/>
              <w:snapToGrid w:val="0"/>
              <w:spacing w:after="0"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高强度三脚架：1支</w:t>
            </w:r>
          </w:p>
          <w:p w14:paraId="050A2EF7">
            <w:pPr>
              <w:keepNext w:val="0"/>
              <w:keepLines w:val="0"/>
              <w:pageBreakBefore w:val="0"/>
              <w:widowControl/>
              <w:kinsoku/>
              <w:wordWrap w:val="0"/>
              <w:overflowPunct/>
              <w:topLinePunct w:val="0"/>
              <w:autoSpaceDE w:val="0"/>
              <w:autoSpaceDN w:val="0"/>
              <w:bidi w:val="0"/>
              <w:adjustRightInd w:val="0"/>
              <w:snapToGrid w:val="0"/>
              <w:spacing w:after="0" w:line="4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分析相机安装组件：1套</w:t>
            </w:r>
          </w:p>
        </w:tc>
      </w:tr>
      <w:tr w14:paraId="7845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35" w:type="pct"/>
            <w:noWrap w:val="0"/>
            <w:vAlign w:val="center"/>
          </w:tcPr>
          <w:p w14:paraId="52FCE60B">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7</w:t>
            </w:r>
          </w:p>
        </w:tc>
        <w:tc>
          <w:tcPr>
            <w:tcW w:w="954" w:type="pct"/>
            <w:noWrap w:val="0"/>
            <w:vAlign w:val="center"/>
          </w:tcPr>
          <w:p w14:paraId="1AA8CE92">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触控大屏幕</w:t>
            </w:r>
          </w:p>
        </w:tc>
        <w:tc>
          <w:tcPr>
            <w:tcW w:w="687" w:type="pct"/>
            <w:noWrap w:val="0"/>
            <w:vAlign w:val="center"/>
          </w:tcPr>
          <w:p w14:paraId="2D294E94">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1台</w:t>
            </w:r>
          </w:p>
        </w:tc>
        <w:tc>
          <w:tcPr>
            <w:tcW w:w="2922" w:type="pct"/>
            <w:noWrap w:val="0"/>
            <w:vAlign w:val="center"/>
          </w:tcPr>
          <w:p w14:paraId="0FAC11D6">
            <w:pPr>
              <w:keepNext w:val="0"/>
              <w:keepLines w:val="0"/>
              <w:pageBreakBefore w:val="0"/>
              <w:widowControl/>
              <w:kinsoku/>
              <w:wordWrap w:val="0"/>
              <w:overflowPunct/>
              <w:topLinePunct w:val="0"/>
              <w:autoSpaceDE w:val="0"/>
              <w:autoSpaceDN w:val="0"/>
              <w:bidi w:val="0"/>
              <w:adjustRightInd w:val="0"/>
              <w:snapToGrid w:val="0"/>
              <w:spacing w:after="0" w:line="460" w:lineRule="exac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配置不低于：</w:t>
            </w:r>
          </w:p>
          <w:p w14:paraId="26153F26">
            <w:pPr>
              <w:keepNext w:val="0"/>
              <w:keepLines w:val="0"/>
              <w:pageBreakBefore w:val="0"/>
              <w:widowControl/>
              <w:kinsoku/>
              <w:wordWrap w:val="0"/>
              <w:overflowPunct/>
              <w:topLinePunct w:val="0"/>
              <w:autoSpaceDE w:val="0"/>
              <w:autoSpaceDN w:val="0"/>
              <w:bidi w:val="0"/>
              <w:adjustRightInd w:val="0"/>
              <w:snapToGrid w:val="0"/>
              <w:spacing w:after="0" w:line="46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尺寸：65寸</w:t>
            </w:r>
          </w:p>
          <w:p w14:paraId="4469C446">
            <w:pPr>
              <w:keepNext w:val="0"/>
              <w:keepLines w:val="0"/>
              <w:pageBreakBefore w:val="0"/>
              <w:widowControl/>
              <w:kinsoku/>
              <w:wordWrap w:val="0"/>
              <w:overflowPunct/>
              <w:topLinePunct w:val="0"/>
              <w:autoSpaceDE w:val="0"/>
              <w:autoSpaceDN w:val="0"/>
              <w:bidi w:val="0"/>
              <w:adjustRightInd w:val="0"/>
              <w:snapToGrid w:val="0"/>
              <w:spacing w:after="0" w:line="46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分辨率：3840*2160</w:t>
            </w:r>
          </w:p>
          <w:p w14:paraId="119BEF1B">
            <w:pPr>
              <w:keepNext w:val="0"/>
              <w:keepLines w:val="0"/>
              <w:pageBreakBefore w:val="0"/>
              <w:widowControl/>
              <w:kinsoku/>
              <w:wordWrap w:val="0"/>
              <w:overflowPunct/>
              <w:topLinePunct w:val="0"/>
              <w:autoSpaceDE w:val="0"/>
              <w:autoSpaceDN w:val="0"/>
              <w:bidi w:val="0"/>
              <w:adjustRightInd w:val="0"/>
              <w:snapToGrid w:val="0"/>
              <w:spacing w:after="0" w:line="46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刷新率：60HZ</w:t>
            </w:r>
          </w:p>
          <w:p w14:paraId="7B216673">
            <w:pPr>
              <w:keepNext w:val="0"/>
              <w:keepLines w:val="0"/>
              <w:pageBreakBefore w:val="0"/>
              <w:widowControl/>
              <w:kinsoku/>
              <w:wordWrap w:val="0"/>
              <w:overflowPunct/>
              <w:topLinePunct w:val="0"/>
              <w:autoSpaceDE w:val="0"/>
              <w:autoSpaceDN w:val="0"/>
              <w:bidi w:val="0"/>
              <w:adjustRightInd w:val="0"/>
              <w:snapToGrid w:val="0"/>
              <w:spacing w:after="0" w:line="46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触控原来：红外识别</w:t>
            </w:r>
          </w:p>
          <w:p w14:paraId="69D21664">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触摸精度：±1mm</w:t>
            </w:r>
          </w:p>
        </w:tc>
      </w:tr>
      <w:tr w14:paraId="75B4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35" w:type="pct"/>
            <w:noWrap w:val="0"/>
            <w:vAlign w:val="center"/>
          </w:tcPr>
          <w:p w14:paraId="0A4BD879">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642" w:type="pct"/>
            <w:gridSpan w:val="2"/>
            <w:noWrap w:val="0"/>
            <w:vAlign w:val="center"/>
          </w:tcPr>
          <w:p w14:paraId="0E1E8711">
            <w:pPr>
              <w:keepNext w:val="0"/>
              <w:keepLines w:val="0"/>
              <w:pageBreakBefore w:val="0"/>
              <w:widowControl/>
              <w:kinsoku/>
              <w:wordWrap w:val="0"/>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w:t>
            </w:r>
          </w:p>
        </w:tc>
        <w:tc>
          <w:tcPr>
            <w:tcW w:w="2922" w:type="pct"/>
            <w:noWrap w:val="0"/>
            <w:vAlign w:val="center"/>
          </w:tcPr>
          <w:p w14:paraId="31AFC102">
            <w:pPr>
              <w:keepNext w:val="0"/>
              <w:keepLines w:val="0"/>
              <w:pageBreakBefore w:val="0"/>
              <w:widowControl/>
              <w:kinsoku/>
              <w:wordWrap w:val="0"/>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以上所述技术参数为最低要求，投标人所投产品性能不得低于此标准</w:t>
            </w:r>
          </w:p>
        </w:tc>
      </w:tr>
    </w:tbl>
    <w:p w14:paraId="34298E9C">
      <w:pPr>
        <w:pStyle w:val="6"/>
        <w:keepNext w:val="0"/>
        <w:keepLines w:val="0"/>
        <w:pageBreakBefore w:val="0"/>
        <w:widowControl/>
        <w:numPr>
          <w:ilvl w:val="0"/>
          <w:numId w:val="0"/>
        </w:numPr>
        <w:overflowPunct/>
        <w:bidi w:val="0"/>
        <w:adjustRightInd w:val="0"/>
        <w:snapToGrid w:val="0"/>
        <w:spacing w:before="120" w:line="460" w:lineRule="exact"/>
        <w:ind w:leftChars="0"/>
        <w:textAlignment w:val="baseline"/>
        <w:outlineLvl w:val="1"/>
        <w:rPr>
          <w:rFonts w:hint="eastAsia" w:ascii="宋体" w:hAnsi="宋体" w:eastAsia="宋体" w:cs="宋体"/>
          <w:sz w:val="24"/>
          <w:szCs w:val="24"/>
          <w:highlight w:val="none"/>
        </w:rPr>
      </w:pPr>
      <w:r>
        <w:rPr>
          <w:rFonts w:hint="eastAsia" w:ascii="宋体" w:hAnsi="宋体"/>
          <w:sz w:val="32"/>
          <w:szCs w:val="32"/>
          <w:highlight w:val="none"/>
        </w:rPr>
        <w:br w:type="page"/>
      </w: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rPr>
        <w:t>产品软件</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253"/>
        <w:gridCol w:w="2017"/>
        <w:gridCol w:w="3589"/>
        <w:gridCol w:w="1023"/>
      </w:tblGrid>
      <w:tr w14:paraId="4C08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14:paraId="664BDB4B">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b/>
                <w:bCs/>
                <w:color w:val="auto"/>
                <w:sz w:val="24"/>
                <w:szCs w:val="24"/>
                <w:highlight w:val="none"/>
                <w:lang w:val="en-GB"/>
              </w:rPr>
            </w:pPr>
            <w:r>
              <w:rPr>
                <w:rFonts w:hint="eastAsia" w:ascii="宋体" w:hAnsi="宋体" w:eastAsia="宋体" w:cs="宋体"/>
                <w:b/>
                <w:bCs/>
                <w:color w:val="auto"/>
                <w:sz w:val="24"/>
                <w:szCs w:val="24"/>
                <w:highlight w:val="none"/>
                <w:lang w:val="en-GB"/>
              </w:rPr>
              <w:t>序号</w:t>
            </w:r>
          </w:p>
        </w:tc>
        <w:tc>
          <w:tcPr>
            <w:tcW w:w="735" w:type="pct"/>
            <w:noWrap w:val="0"/>
            <w:vAlign w:val="center"/>
          </w:tcPr>
          <w:p w14:paraId="72D1B7C9">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b/>
                <w:bCs/>
                <w:color w:val="auto"/>
                <w:sz w:val="24"/>
                <w:szCs w:val="24"/>
                <w:highlight w:val="none"/>
                <w:lang w:val="en-GB"/>
              </w:rPr>
            </w:pPr>
            <w:r>
              <w:rPr>
                <w:rFonts w:hint="eastAsia" w:ascii="宋体" w:hAnsi="宋体" w:eastAsia="宋体" w:cs="宋体"/>
                <w:b/>
                <w:bCs/>
                <w:color w:val="auto"/>
                <w:sz w:val="24"/>
                <w:szCs w:val="24"/>
                <w:highlight w:val="none"/>
                <w:lang w:val="en-GB"/>
              </w:rPr>
              <w:t>系统功能模块</w:t>
            </w:r>
          </w:p>
        </w:tc>
        <w:tc>
          <w:tcPr>
            <w:tcW w:w="1183" w:type="pct"/>
            <w:noWrap w:val="0"/>
            <w:vAlign w:val="center"/>
          </w:tcPr>
          <w:p w14:paraId="0CF14B88">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功能</w:t>
            </w:r>
            <w:r>
              <w:rPr>
                <w:rFonts w:hint="eastAsia" w:ascii="宋体" w:hAnsi="宋体" w:eastAsia="宋体" w:cs="宋体"/>
                <w:b/>
                <w:bCs/>
                <w:color w:val="auto"/>
                <w:sz w:val="24"/>
                <w:szCs w:val="24"/>
                <w:highlight w:val="none"/>
                <w:lang w:val="en-US" w:eastAsia="zh-CN"/>
              </w:rPr>
              <w:t>要求</w:t>
            </w:r>
          </w:p>
        </w:tc>
        <w:tc>
          <w:tcPr>
            <w:tcW w:w="2105" w:type="pct"/>
            <w:noWrap w:val="0"/>
            <w:vAlign w:val="center"/>
          </w:tcPr>
          <w:p w14:paraId="10B901B9">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技术参数要求</w:t>
            </w:r>
          </w:p>
        </w:tc>
        <w:tc>
          <w:tcPr>
            <w:tcW w:w="600" w:type="pct"/>
            <w:noWrap w:val="0"/>
            <w:vAlign w:val="center"/>
          </w:tcPr>
          <w:p w14:paraId="49BFE9BA">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b/>
                <w:bCs/>
                <w:color w:val="auto"/>
                <w:sz w:val="24"/>
                <w:szCs w:val="24"/>
                <w:highlight w:val="none"/>
                <w:lang w:val="en-GB"/>
              </w:rPr>
            </w:pPr>
            <w:r>
              <w:rPr>
                <w:rFonts w:hint="eastAsia" w:ascii="宋体" w:hAnsi="宋体" w:eastAsia="宋体" w:cs="宋体"/>
                <w:b/>
                <w:bCs/>
                <w:color w:val="auto"/>
                <w:sz w:val="24"/>
                <w:szCs w:val="24"/>
                <w:highlight w:val="none"/>
                <w:lang w:val="en-GB"/>
              </w:rPr>
              <w:t>数量</w:t>
            </w:r>
          </w:p>
          <w:p w14:paraId="3099E048">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b/>
                <w:bCs/>
                <w:color w:val="auto"/>
                <w:sz w:val="24"/>
                <w:szCs w:val="24"/>
                <w:highlight w:val="none"/>
                <w:lang w:val="en-GB"/>
              </w:rPr>
            </w:pPr>
            <w:r>
              <w:rPr>
                <w:rFonts w:hint="eastAsia" w:ascii="宋体" w:hAnsi="宋体" w:eastAsia="宋体" w:cs="宋体"/>
                <w:b/>
                <w:bCs/>
                <w:color w:val="auto"/>
                <w:sz w:val="24"/>
                <w:szCs w:val="24"/>
                <w:highlight w:val="none"/>
                <w:lang w:val="en-GB"/>
              </w:rPr>
              <w:t>（套）</w:t>
            </w:r>
          </w:p>
        </w:tc>
      </w:tr>
      <w:tr w14:paraId="67B6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14:paraId="539DDEDC">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w:t>
            </w:r>
          </w:p>
        </w:tc>
        <w:tc>
          <w:tcPr>
            <w:tcW w:w="735" w:type="pct"/>
            <w:noWrap w:val="0"/>
            <w:vAlign w:val="center"/>
          </w:tcPr>
          <w:p w14:paraId="44117FF2">
            <w:pPr>
              <w:keepNext w:val="0"/>
              <w:keepLines w:val="0"/>
              <w:pageBreakBefore w:val="0"/>
              <w:widowControl/>
              <w:kinsoku/>
              <w:wordWrap w:val="0"/>
              <w:overflowPunct/>
              <w:topLinePunct w:val="0"/>
              <w:autoSpaceDE w:val="0"/>
              <w:autoSpaceDN w:val="0"/>
              <w:bidi w:val="0"/>
              <w:adjustRightInd w:val="0"/>
              <w:snapToGrid w:val="0"/>
              <w:spacing w:before="60" w:after="60" w:line="460" w:lineRule="exact"/>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智能训练技术分析</w:t>
            </w:r>
          </w:p>
        </w:tc>
        <w:tc>
          <w:tcPr>
            <w:tcW w:w="1183" w:type="pct"/>
            <w:noWrap w:val="0"/>
            <w:vAlign w:val="center"/>
          </w:tcPr>
          <w:p w14:paraId="25E0EE24">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60" w:after="60" w:line="460" w:lineRule="exact"/>
              <w:ind w:left="41" w:leftChars="0"/>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GB"/>
              </w:rPr>
              <w:t>智能训练课题模板</w:t>
            </w:r>
          </w:p>
          <w:p w14:paraId="5C2D5A5B">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60" w:after="60" w:line="460" w:lineRule="exact"/>
              <w:ind w:left="41" w:leftChars="0"/>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GB"/>
              </w:rPr>
              <w:t>技术数据即时反馈</w:t>
            </w:r>
          </w:p>
          <w:p w14:paraId="463B6B30">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60" w:after="60" w:line="460" w:lineRule="exact"/>
              <w:ind w:left="41" w:leftChars="0"/>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GB"/>
              </w:rPr>
              <w:t>训练技术数据统计分析</w:t>
            </w:r>
          </w:p>
        </w:tc>
        <w:tc>
          <w:tcPr>
            <w:tcW w:w="2105" w:type="pct"/>
            <w:noWrap w:val="0"/>
            <w:vAlign w:val="center"/>
          </w:tcPr>
          <w:p w14:paraId="715BB33B">
            <w:pPr>
              <w:pStyle w:val="3"/>
              <w:keepNext w:val="0"/>
              <w:keepLines w:val="0"/>
              <w:pageBreakBefore w:val="0"/>
              <w:widowControl/>
              <w:kinsoku/>
              <w:wordWrap w:val="0"/>
              <w:overflowPunct/>
              <w:topLinePunct w:val="0"/>
              <w:autoSpaceDE w:val="0"/>
              <w:autoSpaceDN w:val="0"/>
              <w:bidi w:val="0"/>
              <w:adjustRightInd w:val="0"/>
              <w:snapToGrid w:val="0"/>
              <w:spacing w:before="60" w:after="60" w:line="460" w:lineRule="exact"/>
              <w:textAlignment w:val="baseline"/>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 xml:space="preserve">    鹰眼训练课题：教练员可以将“鹰眼自动跟踪反馈”技术融入自己的日常训练中，例如在运动员的发球或击球训练中，选择击球区域，并且设定每一击球的“球速、转速和过网高度”等技术指标，鹰眼系统自动判断运动员的每一发球或击球是否符合技术指标的要求，系统屏幕上实时显示运动员每次发球或击球的技术指标，并在每个训练课题结束后显示统计分析数据。</w:t>
            </w:r>
          </w:p>
        </w:tc>
        <w:tc>
          <w:tcPr>
            <w:tcW w:w="600" w:type="pct"/>
            <w:noWrap w:val="0"/>
            <w:vAlign w:val="center"/>
          </w:tcPr>
          <w:p w14:paraId="2695A82C">
            <w:pPr>
              <w:pStyle w:val="3"/>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1</w:t>
            </w:r>
          </w:p>
        </w:tc>
      </w:tr>
      <w:tr w14:paraId="5D10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14:paraId="02C2FF14">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w:t>
            </w:r>
          </w:p>
        </w:tc>
        <w:tc>
          <w:tcPr>
            <w:tcW w:w="735" w:type="pct"/>
            <w:noWrap w:val="0"/>
            <w:vAlign w:val="center"/>
          </w:tcPr>
          <w:p w14:paraId="48D0990A">
            <w:pPr>
              <w:keepNext w:val="0"/>
              <w:keepLines w:val="0"/>
              <w:pageBreakBefore w:val="0"/>
              <w:widowControl/>
              <w:kinsoku/>
              <w:wordWrap w:val="0"/>
              <w:overflowPunct/>
              <w:topLinePunct w:val="0"/>
              <w:autoSpaceDE w:val="0"/>
              <w:autoSpaceDN w:val="0"/>
              <w:bidi w:val="0"/>
              <w:adjustRightInd w:val="0"/>
              <w:snapToGrid w:val="0"/>
              <w:spacing w:before="60" w:after="60" w:line="460" w:lineRule="exact"/>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智能比赛技术分析</w:t>
            </w:r>
          </w:p>
        </w:tc>
        <w:tc>
          <w:tcPr>
            <w:tcW w:w="1183" w:type="pct"/>
            <w:noWrap w:val="0"/>
            <w:vAlign w:val="center"/>
          </w:tcPr>
          <w:p w14:paraId="1D1C0BD1">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60" w:after="60" w:line="460" w:lineRule="exact"/>
              <w:ind w:left="41" w:leftChars="0"/>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GB"/>
              </w:rPr>
              <w:t>比赛技术数据实时分析</w:t>
            </w:r>
          </w:p>
          <w:p w14:paraId="5798AFCB">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60" w:after="60" w:line="460" w:lineRule="exact"/>
              <w:ind w:left="41" w:leftChars="0"/>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GB"/>
              </w:rPr>
              <w:t>发抢段、接抢段、相持段三段技术数据分析</w:t>
            </w:r>
          </w:p>
          <w:p w14:paraId="105B7D20">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60" w:after="60" w:line="460" w:lineRule="exact"/>
              <w:ind w:left="41" w:leftChars="0"/>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GB"/>
              </w:rPr>
              <w:t>战术落点分析</w:t>
            </w:r>
          </w:p>
        </w:tc>
        <w:tc>
          <w:tcPr>
            <w:tcW w:w="2105" w:type="pct"/>
            <w:noWrap w:val="0"/>
            <w:vAlign w:val="center"/>
          </w:tcPr>
          <w:p w14:paraId="696C2843">
            <w:pPr>
              <w:pStyle w:val="3"/>
              <w:keepNext w:val="0"/>
              <w:keepLines w:val="0"/>
              <w:pageBreakBefore w:val="0"/>
              <w:widowControl/>
              <w:kinsoku/>
              <w:wordWrap w:val="0"/>
              <w:overflowPunct/>
              <w:topLinePunct w:val="0"/>
              <w:autoSpaceDE w:val="0"/>
              <w:autoSpaceDN w:val="0"/>
              <w:bidi w:val="0"/>
              <w:adjustRightInd w:val="0"/>
              <w:snapToGrid w:val="0"/>
              <w:spacing w:before="60" w:after="60" w:line="460" w:lineRule="exact"/>
              <w:ind w:firstLine="480" w:firstLineChars="200"/>
              <w:textAlignment w:val="baseline"/>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队员在比赛过程中每一拍的技术数据和球的飞行轨迹的数据，实时显示在系统界面上。系统自动识别每个回合的开始和结束。系统实时显示比赛双方的回合数、每个回合的拍数、每一拍的时间、方向、过网高度、速度、转速、每一方在本回合内的最高速度、平均速度、飞行轨迹图。在每局和每场比赛结束后，教练员可以在系统中选择技术统计查看队员在每局、每场比赛中，队员的技术综合统计数据。</w:t>
            </w:r>
          </w:p>
        </w:tc>
        <w:tc>
          <w:tcPr>
            <w:tcW w:w="600" w:type="pct"/>
            <w:noWrap w:val="0"/>
            <w:vAlign w:val="center"/>
          </w:tcPr>
          <w:p w14:paraId="2E948435">
            <w:pPr>
              <w:pStyle w:val="3"/>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1</w:t>
            </w:r>
          </w:p>
        </w:tc>
      </w:tr>
      <w:tr w14:paraId="4351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14:paraId="75A51D78">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w:t>
            </w:r>
          </w:p>
        </w:tc>
        <w:tc>
          <w:tcPr>
            <w:tcW w:w="735" w:type="pct"/>
            <w:noWrap w:val="0"/>
            <w:vAlign w:val="center"/>
          </w:tcPr>
          <w:p w14:paraId="2EF7C654">
            <w:pPr>
              <w:keepNext w:val="0"/>
              <w:keepLines w:val="0"/>
              <w:pageBreakBefore w:val="0"/>
              <w:widowControl/>
              <w:kinsoku/>
              <w:wordWrap w:val="0"/>
              <w:overflowPunct/>
              <w:topLinePunct w:val="0"/>
              <w:autoSpaceDE w:val="0"/>
              <w:autoSpaceDN w:val="0"/>
              <w:bidi w:val="0"/>
              <w:adjustRightInd w:val="0"/>
              <w:snapToGrid w:val="0"/>
              <w:spacing w:before="60" w:after="60" w:line="460" w:lineRule="exact"/>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慢动作回放</w:t>
            </w:r>
          </w:p>
        </w:tc>
        <w:tc>
          <w:tcPr>
            <w:tcW w:w="1183" w:type="pct"/>
            <w:noWrap w:val="0"/>
            <w:vAlign w:val="center"/>
          </w:tcPr>
          <w:p w14:paraId="36179758">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60" w:after="60" w:line="460" w:lineRule="exact"/>
              <w:ind w:leftChars="0"/>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慢动作示教和动作纠正</w:t>
            </w:r>
          </w:p>
        </w:tc>
        <w:tc>
          <w:tcPr>
            <w:tcW w:w="2105" w:type="pct"/>
            <w:noWrap w:val="0"/>
            <w:vAlign w:val="center"/>
          </w:tcPr>
          <w:p w14:paraId="64E694B0">
            <w:pPr>
              <w:pStyle w:val="3"/>
              <w:keepNext w:val="0"/>
              <w:keepLines w:val="0"/>
              <w:pageBreakBefore w:val="0"/>
              <w:widowControl/>
              <w:kinsoku/>
              <w:wordWrap w:val="0"/>
              <w:overflowPunct/>
              <w:topLinePunct w:val="0"/>
              <w:autoSpaceDE w:val="0"/>
              <w:autoSpaceDN w:val="0"/>
              <w:bidi w:val="0"/>
              <w:adjustRightInd w:val="0"/>
              <w:snapToGrid w:val="0"/>
              <w:spacing w:before="60" w:after="60" w:line="46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GB" w:eastAsia="zh-CN"/>
              </w:rPr>
              <w:t xml:space="preserve">  </w:t>
            </w:r>
            <w:r>
              <w:rPr>
                <w:rFonts w:hint="eastAsia" w:ascii="宋体" w:hAnsi="宋体" w:eastAsia="宋体" w:cs="宋体"/>
                <w:color w:val="auto"/>
                <w:sz w:val="24"/>
                <w:szCs w:val="24"/>
                <w:highlight w:val="none"/>
                <w:lang w:val="en-US" w:eastAsia="zh-CN"/>
              </w:rPr>
              <w:t xml:space="preserve">  超级慢动作：系统在训练场地中部署1台鹰眼同步相机，以180帧/秒的速度逐帧慢放运动员的细微动作，从而教练员可以深入分析运动的技术动作，进行纠正。</w:t>
            </w:r>
          </w:p>
          <w:p w14:paraId="4D272E62">
            <w:pPr>
              <w:pStyle w:val="3"/>
              <w:keepNext w:val="0"/>
              <w:keepLines w:val="0"/>
              <w:pageBreakBefore w:val="0"/>
              <w:widowControl/>
              <w:kinsoku/>
              <w:wordWrap w:val="0"/>
              <w:overflowPunct/>
              <w:topLinePunct w:val="0"/>
              <w:autoSpaceDE w:val="0"/>
              <w:autoSpaceDN w:val="0"/>
              <w:bidi w:val="0"/>
              <w:adjustRightInd w:val="0"/>
              <w:snapToGrid w:val="0"/>
              <w:spacing w:before="60" w:after="60" w:line="460" w:lineRule="exact"/>
              <w:textAlignment w:val="baseline"/>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US" w:eastAsia="zh-CN"/>
              </w:rPr>
              <w:t xml:space="preserve">    智能视频回放：系统通过智能视频分析，可自动在比赛模块中，按回合进行视频分段录制。并进行慢动作回放。支持快进、快退、慢进、慢退等播放设置。并支持自定义存储。</w:t>
            </w:r>
          </w:p>
        </w:tc>
        <w:tc>
          <w:tcPr>
            <w:tcW w:w="600" w:type="pct"/>
            <w:noWrap w:val="0"/>
            <w:vAlign w:val="center"/>
          </w:tcPr>
          <w:p w14:paraId="21992AA8">
            <w:pPr>
              <w:pStyle w:val="3"/>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1</w:t>
            </w:r>
          </w:p>
        </w:tc>
      </w:tr>
      <w:tr w14:paraId="5736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14:paraId="0E379415">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w:t>
            </w:r>
          </w:p>
        </w:tc>
        <w:tc>
          <w:tcPr>
            <w:tcW w:w="735" w:type="pct"/>
            <w:noWrap w:val="0"/>
            <w:vAlign w:val="center"/>
          </w:tcPr>
          <w:p w14:paraId="176B7A8A">
            <w:pPr>
              <w:keepNext w:val="0"/>
              <w:keepLines w:val="0"/>
              <w:pageBreakBefore w:val="0"/>
              <w:widowControl/>
              <w:kinsoku/>
              <w:wordWrap w:val="0"/>
              <w:overflowPunct/>
              <w:topLinePunct w:val="0"/>
              <w:autoSpaceDE w:val="0"/>
              <w:autoSpaceDN w:val="0"/>
              <w:bidi w:val="0"/>
              <w:adjustRightInd w:val="0"/>
              <w:snapToGrid w:val="0"/>
              <w:spacing w:before="60" w:after="60" w:line="460" w:lineRule="exact"/>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队员管理</w:t>
            </w:r>
          </w:p>
        </w:tc>
        <w:tc>
          <w:tcPr>
            <w:tcW w:w="1183" w:type="pct"/>
            <w:noWrap w:val="0"/>
            <w:vAlign w:val="center"/>
          </w:tcPr>
          <w:p w14:paraId="6BCB12CD">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60" w:after="60" w:line="460" w:lineRule="exact"/>
              <w:ind w:left="41" w:leftChars="0"/>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队员注册和技术数据查询</w:t>
            </w:r>
          </w:p>
        </w:tc>
        <w:tc>
          <w:tcPr>
            <w:tcW w:w="2105" w:type="pct"/>
            <w:noWrap w:val="0"/>
            <w:vAlign w:val="center"/>
          </w:tcPr>
          <w:p w14:paraId="435EDB1C">
            <w:pPr>
              <w:keepNext w:val="0"/>
              <w:keepLines w:val="0"/>
              <w:pageBreakBefore w:val="0"/>
              <w:widowControl/>
              <w:kinsoku/>
              <w:wordWrap w:val="0"/>
              <w:overflowPunct/>
              <w:topLinePunct w:val="0"/>
              <w:autoSpaceDE w:val="0"/>
              <w:autoSpaceDN w:val="0"/>
              <w:bidi w:val="0"/>
              <w:adjustRightInd w:val="0"/>
              <w:snapToGrid w:val="0"/>
              <w:spacing w:before="60" w:after="60" w:line="46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系统支持运动员个人信息录入并完成注册。系统提供训练技术数据查询功能并支持运动员训练数据报告导出存储。</w:t>
            </w:r>
          </w:p>
        </w:tc>
        <w:tc>
          <w:tcPr>
            <w:tcW w:w="600" w:type="pct"/>
            <w:noWrap w:val="0"/>
            <w:vAlign w:val="center"/>
          </w:tcPr>
          <w:p w14:paraId="1505DC30">
            <w:pPr>
              <w:keepNext w:val="0"/>
              <w:keepLines w:val="0"/>
              <w:pageBreakBefore w:val="0"/>
              <w:widowControl/>
              <w:kinsoku/>
              <w:wordWrap w:val="0"/>
              <w:overflowPunct/>
              <w:topLinePunct w:val="0"/>
              <w:autoSpaceDE w:val="0"/>
              <w:autoSpaceDN w:val="0"/>
              <w:bidi w:val="0"/>
              <w:adjustRightInd w:val="0"/>
              <w:snapToGrid w:val="0"/>
              <w:spacing w:before="60" w:after="60" w:line="460" w:lineRule="exact"/>
              <w:jc w:val="center"/>
              <w:textAlignment w:val="baseline"/>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w:t>
            </w:r>
          </w:p>
        </w:tc>
      </w:tr>
    </w:tbl>
    <w:p w14:paraId="2FD49E12">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jc w:val="lef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3.其他要求：</w:t>
      </w:r>
    </w:p>
    <w:p w14:paraId="3ECA854F">
      <w:pPr>
        <w:keepNext w:val="0"/>
        <w:keepLines w:val="0"/>
        <w:pageBreakBefore w:val="0"/>
        <w:widowControl/>
        <w:numPr>
          <w:ilvl w:val="0"/>
          <w:numId w:val="2"/>
        </w:numPr>
        <w:kinsoku/>
        <w:wordWrap w:val="0"/>
        <w:overflowPunct/>
        <w:topLinePunct/>
        <w:autoSpaceDE/>
        <w:autoSpaceDN/>
        <w:bidi w:val="0"/>
        <w:adjustRightInd w:val="0"/>
        <w:snapToGrid w:val="0"/>
        <w:spacing w:line="460" w:lineRule="exact"/>
        <w:ind w:left="0" w:leftChars="0" w:firstLine="0" w:firstLineChars="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交货：合同签订之日起</w:t>
      </w:r>
      <w:r>
        <w:rPr>
          <w:rFonts w:hint="eastAsia" w:ascii="宋体" w:hAnsi="宋体" w:eastAsia="宋体" w:cs="宋体"/>
          <w:color w:val="auto"/>
          <w:sz w:val="24"/>
          <w:szCs w:val="24"/>
          <w:highlight w:val="none"/>
          <w:lang w:val="en-US" w:eastAsia="zh-CN"/>
        </w:rPr>
        <w:t>25</w:t>
      </w:r>
      <w:r>
        <w:rPr>
          <w:rFonts w:hint="eastAsia" w:ascii="宋体" w:hAnsi="宋体" w:cs="宋体"/>
          <w:color w:val="auto"/>
          <w:sz w:val="24"/>
          <w:szCs w:val="24"/>
          <w:highlight w:val="none"/>
        </w:rPr>
        <w:t>日内供货至招标人指定地点，由中标人安排合格工程师到仪器使用现场，免费安装调试设备，到货后</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rPr>
        <w:t>日内完成仪器安装、调试、通过招标人验收。</w:t>
      </w:r>
    </w:p>
    <w:p w14:paraId="04CD4367">
      <w:pPr>
        <w:keepNext w:val="0"/>
        <w:keepLines w:val="0"/>
        <w:pageBreakBefore w:val="0"/>
        <w:widowControl/>
        <w:numPr>
          <w:ilvl w:val="0"/>
          <w:numId w:val="2"/>
        </w:numPr>
        <w:kinsoku/>
        <w:wordWrap w:val="0"/>
        <w:overflowPunct/>
        <w:topLinePunct/>
        <w:autoSpaceDE/>
        <w:autoSpaceDN/>
        <w:bidi w:val="0"/>
        <w:adjustRightInd w:val="0"/>
        <w:snapToGrid w:val="0"/>
        <w:spacing w:line="460" w:lineRule="exact"/>
        <w:ind w:left="0" w:leftChars="0" w:firstLine="0" w:firstLineChars="0"/>
        <w:jc w:val="left"/>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安装调试：安装仪器时，安装工程师需对本标书中提出的性能指标须逐项演示给用户，所有指标需要通过现场验收，并通过相应的技术验收指标，直至用户认可仪器符合技术性能为止；安装调试期间产生的一切费用（包括但不限于安装、人工、运输搬运、交通、打孔、管路整理等）由中标人负责。安装调试检验结果同时应符合制造厂产品标准和买方认可的技术性能。</w:t>
      </w:r>
    </w:p>
    <w:p w14:paraId="2E6D40A0">
      <w:pPr>
        <w:keepNext w:val="0"/>
        <w:keepLines w:val="0"/>
        <w:pageBreakBefore w:val="0"/>
        <w:widowControl/>
        <w:numPr>
          <w:ilvl w:val="0"/>
          <w:numId w:val="2"/>
        </w:numPr>
        <w:kinsoku/>
        <w:wordWrap w:val="0"/>
        <w:overflowPunct/>
        <w:topLinePunct/>
        <w:autoSpaceDE/>
        <w:autoSpaceDN/>
        <w:bidi w:val="0"/>
        <w:adjustRightInd w:val="0"/>
        <w:snapToGrid w:val="0"/>
        <w:spacing w:line="460" w:lineRule="exact"/>
        <w:ind w:left="0" w:leftChars="0" w:firstLine="0" w:firstLineChars="0"/>
        <w:jc w:val="left"/>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售后</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保修期</w:t>
      </w:r>
      <w:r>
        <w:rPr>
          <w:rFonts w:hint="default" w:ascii="宋体" w:hAnsi="宋体" w:cs="宋体"/>
          <w:color w:val="auto"/>
          <w:sz w:val="24"/>
          <w:szCs w:val="24"/>
          <w:highlight w:val="none"/>
          <w:lang w:val="en-US" w:eastAsia="zh-CN"/>
        </w:rPr>
        <w:t>至少是货物安装验收合格后</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年。在质保期内，所有服务及配件全部免费，并终身提供维修服务。必须提供全套技术文件及产品软件，包括中英文的安装说明、操作手册、软件使用手册，产品合格证明文件，软件免费升级。维修服务：供货方在接到买方要求提供服务的电话后，会在2小时内响应。电话服务无法解决的，将会在24小时内派服务工程师到达买方现场检修仪器。如因外界交通或其它非可控之原因而无法及时到达买方现场的，应通知买方说明这些原因并将计划达到的日期通知买方。对于一般性故障问题，承诺24-48小时内修复；如遇到大的零配件更换，最长排除故障时限不超过1周。供货方应终身负责维护维修，如因非人为原因导致仪器出现故障，需要寄送厂家返修，则期间产生费用由供货方承担。</w:t>
      </w:r>
    </w:p>
    <w:p w14:paraId="39ABE5BF">
      <w:pPr>
        <w:keepNext w:val="0"/>
        <w:keepLines w:val="0"/>
        <w:pageBreakBefore w:val="0"/>
        <w:widowControl/>
        <w:numPr>
          <w:ilvl w:val="0"/>
          <w:numId w:val="2"/>
        </w:numPr>
        <w:kinsoku/>
        <w:wordWrap w:val="0"/>
        <w:overflowPunct/>
        <w:topLinePunct/>
        <w:autoSpaceDE/>
        <w:autoSpaceDN/>
        <w:bidi w:val="0"/>
        <w:adjustRightInd w:val="0"/>
        <w:snapToGrid w:val="0"/>
        <w:spacing w:line="460" w:lineRule="exact"/>
        <w:ind w:left="0" w:leftChars="0" w:firstLine="0" w:firstLineChars="0"/>
        <w:jc w:val="left"/>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培训：安装调试合格后，由中标人安排工程师为招标人操作人员做现场基本操作培训，保证相关人员能独立上机进行基本操作和数据处理。正式培训：中标人须提供</w:t>
      </w:r>
      <w:r>
        <w:rPr>
          <w:rFonts w:hint="eastAsia" w:ascii="宋体" w:hAnsi="宋体" w:eastAsia="宋体" w:cs="宋体"/>
          <w:color w:val="auto"/>
          <w:sz w:val="24"/>
          <w:szCs w:val="24"/>
          <w:highlight w:val="none"/>
          <w:lang w:val="en-US" w:eastAsia="zh-CN"/>
        </w:rPr>
        <w:t>一</w:t>
      </w:r>
      <w:r>
        <w:rPr>
          <w:rFonts w:hint="eastAsia" w:ascii="宋体" w:hAnsi="宋体" w:cs="宋体"/>
          <w:color w:val="auto"/>
          <w:sz w:val="24"/>
          <w:szCs w:val="24"/>
          <w:highlight w:val="none"/>
        </w:rPr>
        <w:t>年内</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rPr>
        <w:t>人次仪器制造商组织的免费培训。内容包括仪器的基本原理，操作保养，维修等方面，直到技术人员能独立操作和使用，异地（仪器安装地点所在区县以外区域）培训所产生的交通、食宿等费用由中标人承担。</w:t>
      </w:r>
    </w:p>
    <w:p w14:paraId="36CEEF15">
      <w:pPr>
        <w:keepNext w:val="0"/>
        <w:keepLines w:val="0"/>
        <w:pageBreakBefore w:val="0"/>
        <w:widowControl/>
        <w:numPr>
          <w:ilvl w:val="0"/>
          <w:numId w:val="2"/>
        </w:numPr>
        <w:kinsoku/>
        <w:wordWrap w:val="0"/>
        <w:overflowPunct/>
        <w:topLinePunct/>
        <w:autoSpaceDE/>
        <w:autoSpaceDN/>
        <w:bidi w:val="0"/>
        <w:adjustRightInd w:val="0"/>
        <w:snapToGrid w:val="0"/>
        <w:spacing w:line="460" w:lineRule="exact"/>
        <w:ind w:left="0" w:leftChars="0" w:firstLine="0" w:firstLineChars="0"/>
        <w:jc w:val="left"/>
        <w:textAlignment w:val="baseline"/>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验收：</w:t>
      </w:r>
    </w:p>
    <w:p w14:paraId="380E3452">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ind w:firstLine="480" w:firstLineChars="200"/>
        <w:jc w:val="left"/>
        <w:textAlignment w:val="baseline"/>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仪器设备安装、调试完成后，对照采购文件、投标文件上的技术参数及合同条款，由甲乙双方共同进行验收，仪器技术指标验收耗材乙方准备。对项目验收发生的检测（检验）费、测量审核、计量检定、专家论证劳务报酬等费用支出，由中标方承担。若验收未通过，乙方负责更换设备或重新安装调试，双方重新组织验收，此过程中产生的所有费用、及因此对甲方造成的损失均由乙方承担。</w:t>
      </w:r>
    </w:p>
    <w:p w14:paraId="5CC30F7C">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ind w:firstLine="480" w:firstLineChars="200"/>
        <w:jc w:val="left"/>
        <w:textAlignment w:val="baseline"/>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验收标准：满足招标采购文件、投标文件上的配置清单及技术参数要求，合同条款和国家有关质量标准、技术指标验证要求，仪器能够稳定运行，且经乙方组织的现场培训后，使用人员能正确使用仪器。</w:t>
      </w:r>
    </w:p>
    <w:p w14:paraId="587ED896">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jc w:val="left"/>
        <w:textAlignment w:val="baseline"/>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根据制造商（生产者）主机进行指标验证，直至用户认可仪器无偏离技术性能为止。如不能通过验收，招标人有权拒绝验收要求退还货物并追究中标人的法律责任。</w:t>
      </w:r>
    </w:p>
    <w:p w14:paraId="37B093A0">
      <w:r>
        <w:rPr>
          <w:rFonts w:hint="default" w:ascii="宋体" w:hAnsi="宋体" w:cs="宋体"/>
          <w:color w:val="auto"/>
          <w:sz w:val="24"/>
          <w:szCs w:val="24"/>
          <w:highlight w:val="none"/>
          <w:lang w:val="en-US" w:eastAsia="zh-CN"/>
        </w:rPr>
        <w:t>双方验收时，对设备外观、数量、配置情况等进行仔细核对、清点，认真考核仪器指标，验收合格后，签署验收报告。以上所有工作完成后，验收合格，双方签署最终验收证明书。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BF712"/>
    <w:multiLevelType w:val="singleLevel"/>
    <w:tmpl w:val="F53BF712"/>
    <w:lvl w:ilvl="0" w:tentative="0">
      <w:start w:val="1"/>
      <w:numFmt w:val="decimal"/>
      <w:lvlText w:val="(%1)"/>
      <w:lvlJc w:val="left"/>
      <w:pPr>
        <w:ind w:left="425" w:hanging="425"/>
      </w:pPr>
      <w:rPr>
        <w:rFonts w:hint="default"/>
      </w:rPr>
    </w:lvl>
  </w:abstractNum>
  <w:abstractNum w:abstractNumId="1">
    <w:nsid w:val="4008BF12"/>
    <w:multiLevelType w:val="singleLevel"/>
    <w:tmpl w:val="4008BF1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B3B48"/>
    <w:rsid w:val="6BAB3B48"/>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iPriority w:val="0"/>
    <w:rPr>
      <w:color w:val="993300"/>
      <w:sz w:val="24"/>
    </w:rPr>
  </w:style>
  <w:style w:type="paragraph" w:customStyle="1" w:styleId="6">
    <w:name w:val="缺省文本"/>
    <w:basedOn w:val="1"/>
    <w:qFormat/>
    <w:uiPriority w:val="0"/>
    <w:pPr>
      <w:autoSpaceDE w:val="0"/>
      <w:autoSpaceDN w:val="0"/>
      <w:adjustRightInd w:val="0"/>
      <w:spacing w:line="360" w:lineRule="auto"/>
      <w:jc w:val="left"/>
    </w:pPr>
    <w:rPr>
      <w:rFonts w:ascii="Times New Roman" w:hAnsi="Times New Roman" w:cs="Times New Roman"/>
      <w:snapToGrid w:val="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2025-10-22T03:30:00Z</dcterms:created>
  <dc:creator>张娜</dc:creator>
  <cp:lastModifiedBy>张娜</cp:lastModifiedBy>
  <dcterms:modified xsi:type="dcterms:W3CDTF">2025-10-22T03:30:19Z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A5819796E5F14F7ABBAE711292F8C248_11</vt:lpwstr>
  </property>
  <property fmtid="{D5CDD505-2E9C-101B-9397-08002B2CF9AE}" pid="4" name="KSOTemplateDocerSaveRecord">
    <vt:lpwstr>eyJoZGlkIjoiOGFlZDBjMTkxMjAyY2VhMDJmNjJkYjY5NWY5ZGZmNGMiLCJ1c2VySWQiOiI0NTE5NDQwNTQifQ==</vt:lpwstr>
  </property>
</Properties>
</file>