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48973">
      <w:pPr>
        <w:numPr>
          <w:numId w:val="0"/>
        </w:numPr>
        <w:jc w:val="center"/>
        <w:rPr>
          <w:rFonts w:hint="eastAsia" w:ascii="仿宋" w:hAnsi="仿宋" w:eastAsia="仿宋" w:cs="仿宋"/>
          <w:b/>
          <w:bCs/>
          <w:sz w:val="32"/>
          <w:szCs w:val="32"/>
        </w:rPr>
      </w:pPr>
      <w:r>
        <w:rPr>
          <w:rFonts w:hint="eastAsia" w:ascii="仿宋" w:hAnsi="仿宋" w:eastAsia="仿宋" w:cs="仿宋"/>
          <w:b/>
          <w:bCs/>
          <w:sz w:val="32"/>
          <w:szCs w:val="32"/>
        </w:rPr>
        <w:t>谈判内容及采购需求</w:t>
      </w:r>
      <w:bookmarkStart w:id="0" w:name="_GoBack"/>
      <w:bookmarkEnd w:id="0"/>
    </w:p>
    <w:p w14:paraId="15B779D2">
      <w:pPr>
        <w:jc w:val="left"/>
        <w:rPr>
          <w:rFonts w:hint="eastAsia" w:ascii="仿宋" w:hAnsi="仿宋" w:eastAsia="仿宋"/>
          <w:b/>
          <w:sz w:val="32"/>
          <w:szCs w:val="32"/>
        </w:rPr>
      </w:pPr>
      <w:r>
        <w:rPr>
          <w:rFonts w:hint="eastAsia" w:ascii="仿宋" w:hAnsi="仿宋" w:eastAsia="仿宋"/>
          <w:b/>
          <w:sz w:val="32"/>
          <w:szCs w:val="32"/>
        </w:rPr>
        <w:t>一、项目采购内容及技术要求</w:t>
      </w:r>
    </w:p>
    <w:tbl>
      <w:tblPr>
        <w:tblStyle w:val="4"/>
        <w:tblpPr w:leftFromText="180" w:rightFromText="180" w:vertAnchor="text" w:horzAnchor="page" w:tblpX="1530" w:tblpY="3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5"/>
        <w:gridCol w:w="788"/>
        <w:gridCol w:w="7537"/>
        <w:gridCol w:w="1031"/>
        <w:gridCol w:w="750"/>
        <w:gridCol w:w="3369"/>
      </w:tblGrid>
      <w:tr w14:paraId="528F3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B6794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A4190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标的</w:t>
            </w:r>
          </w:p>
        </w:tc>
        <w:tc>
          <w:tcPr>
            <w:tcW w:w="75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28ABB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参数</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5C7F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_GB2312" w:hAnsi="仿宋" w:eastAsia="仿宋_GB2312" w:cs="宋体"/>
                <w:color w:val="FF0000"/>
                <w:kern w:val="0"/>
                <w:sz w:val="24"/>
                <w:szCs w:val="24"/>
                <w:lang w:bidi="ar"/>
              </w:rPr>
              <w:t>★</w:t>
            </w:r>
            <w:r>
              <w:rPr>
                <w:rFonts w:hint="eastAsia" w:ascii="仿宋" w:hAnsi="仿宋" w:eastAsia="仿宋" w:cs="仿宋"/>
                <w:b/>
                <w:bCs/>
                <w:i w:val="0"/>
                <w:iCs w:val="0"/>
                <w:color w:val="000000"/>
                <w:kern w:val="0"/>
                <w:sz w:val="24"/>
                <w:szCs w:val="24"/>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BF441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33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0B11B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参考图片</w:t>
            </w:r>
          </w:p>
        </w:tc>
      </w:tr>
      <w:tr w14:paraId="4C205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6"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5A9B8B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0A42A5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学生上下床</w:t>
            </w:r>
            <w:r>
              <w:rPr>
                <w:rFonts w:hint="eastAsia" w:ascii="仿宋" w:hAnsi="仿宋" w:eastAsia="仿宋" w:cs="仿宋"/>
                <w:b/>
                <w:bCs/>
                <w:i w:val="0"/>
                <w:iCs w:val="0"/>
                <w:color w:val="000000"/>
                <w:kern w:val="0"/>
                <w:sz w:val="24"/>
                <w:szCs w:val="24"/>
                <w:u w:val="none"/>
                <w:lang w:val="en-US" w:eastAsia="zh-CN" w:bidi="ar"/>
              </w:rPr>
              <w:t>（核心产品）</w:t>
            </w:r>
          </w:p>
        </w:tc>
        <w:tc>
          <w:tcPr>
            <w:tcW w:w="7537" w:type="dxa"/>
            <w:tcBorders>
              <w:top w:val="single" w:color="000000" w:sz="4" w:space="0"/>
              <w:left w:val="single" w:color="000000" w:sz="4" w:space="0"/>
              <w:bottom w:val="single" w:color="000000" w:sz="4" w:space="0"/>
              <w:right w:val="single" w:color="000000" w:sz="4" w:space="0"/>
            </w:tcBorders>
            <w:noWrap w:val="0"/>
            <w:vAlign w:val="center"/>
          </w:tcPr>
          <w:p w14:paraId="6EB4F16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1.双层钢架床尺寸:（长*宽*高)2000mm*900mm*1850mm。（所有尺寸误差范围为±5mm)                                                                                                                       2.</w:t>
            </w:r>
            <w:r>
              <w:rPr>
                <w:rFonts w:hint="eastAsia" w:ascii="仿宋_GB2312" w:hAnsi="仿宋" w:eastAsia="仿宋_GB2312" w:cs="宋体"/>
                <w:color w:val="FF0000"/>
                <w:kern w:val="0"/>
                <w:sz w:val="24"/>
                <w:szCs w:val="24"/>
                <w:lang w:bidi="ar"/>
              </w:rPr>
              <w:t>★</w:t>
            </w:r>
            <w:r>
              <w:rPr>
                <w:rFonts w:hint="eastAsia" w:ascii="仿宋" w:hAnsi="仿宋" w:eastAsia="仿宋" w:cs="仿宋"/>
                <w:i w:val="0"/>
                <w:iCs w:val="0"/>
                <w:color w:val="000000"/>
                <w:kern w:val="0"/>
                <w:sz w:val="24"/>
                <w:szCs w:val="24"/>
                <w:u w:val="none"/>
                <w:lang w:val="en-US" w:eastAsia="zh-CN" w:bidi="ar"/>
              </w:rPr>
              <w:t>床板：规格≥16mm厚多层板，应与床框配套，表面贴科技木或桦木面木皮、双面平整、采用环保胶、不空鼓、不变形开裂。                                                                                         3.连接件：床采用三孔榫插卡式连接方式，床立柱和横梁的链接不采用任何螺栓螺丝。                                                                                                                        4.床立柱:采用截面规格≥65mm*65mm厚度≥ 1.2m m的闭口型材管，管材立面带有≥3条加强筋，增加立柱强度、提升床立柱整体结构稳固度。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5.床板横撑:床撑采用≥5根30mm*30mm闭口三角型材管,厚度≥1.0mm 厚,起到三角形稳定性作用，接触面大，稳固性更好。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6.床头护栏采用截面规格≥直径Φ19mm，基材厚度≥1.0mm优质圆钢管制作，与床头横梁连接成“Ⅲ”字形，高度为≥200mm。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7.床边护栏：护栏高度≥300 mm,长度≥1200mm,主材采用截面规格≥ 25mm*25mm厚度≥1.0mm 厚闭口D型材管制作.并与床帮满焊连接。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8.床帮尺寸：采用截面规格≥40mm*82mm，厚度≥ 1.2mm 闭口型材管，管材立面带有≥4条加强筋，增加床帮强度、提升床立柱整体结构稳固度。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9.床爬梯:采用截面规格≥20mm*30mm，基材厚度不低于1.0mm优质矩管制作。床爬梯踏板:带3步≥300mm×60mm（长*宽）防滑踏板条，厚度1.2mm双面圆弧一次冲压成型，带有防滑凸纹。</w:t>
            </w: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1D8E34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8E099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369" w:type="dxa"/>
            <w:tcBorders>
              <w:top w:val="single" w:color="000000" w:sz="4" w:space="0"/>
              <w:left w:val="single" w:color="000000" w:sz="4" w:space="0"/>
              <w:bottom w:val="single" w:color="000000" w:sz="4" w:space="0"/>
              <w:right w:val="single" w:color="000000" w:sz="4" w:space="0"/>
            </w:tcBorders>
            <w:noWrap/>
            <w:vAlign w:val="center"/>
          </w:tcPr>
          <w:p w14:paraId="198C3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-23495</wp:posOffset>
                  </wp:positionH>
                  <wp:positionV relativeFrom="paragraph">
                    <wp:posOffset>1048385</wp:posOffset>
                  </wp:positionV>
                  <wp:extent cx="2120900" cy="2597150"/>
                  <wp:effectExtent l="0" t="0" r="12700" b="12700"/>
                  <wp:wrapNone/>
                  <wp:docPr id="4" name="图片_1"/>
                  <wp:cNvGraphicFramePr/>
                  <a:graphic xmlns:a="http://schemas.openxmlformats.org/drawingml/2006/main">
                    <a:graphicData uri="http://schemas.openxmlformats.org/drawingml/2006/picture">
                      <pic:pic xmlns:pic="http://schemas.openxmlformats.org/drawingml/2006/picture">
                        <pic:nvPicPr>
                          <pic:cNvPr id="4" name="图片_1"/>
                          <pic:cNvPicPr/>
                        </pic:nvPicPr>
                        <pic:blipFill>
                          <a:blip r:embed="rId6"/>
                          <a:stretch>
                            <a:fillRect/>
                          </a:stretch>
                        </pic:blipFill>
                        <pic:spPr>
                          <a:xfrm>
                            <a:off x="0" y="0"/>
                            <a:ext cx="2120900" cy="2597150"/>
                          </a:xfrm>
                          <a:prstGeom prst="rect">
                            <a:avLst/>
                          </a:prstGeom>
                          <a:noFill/>
                          <a:ln>
                            <a:noFill/>
                          </a:ln>
                        </pic:spPr>
                      </pic:pic>
                    </a:graphicData>
                  </a:graphic>
                </wp:anchor>
              </w:drawing>
            </w:r>
          </w:p>
        </w:tc>
      </w:tr>
      <w:tr w14:paraId="355D1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8"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44E561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2BE4CF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床垫</w:t>
            </w:r>
          </w:p>
        </w:tc>
        <w:tc>
          <w:tcPr>
            <w:tcW w:w="7537" w:type="dxa"/>
            <w:tcBorders>
              <w:top w:val="single" w:color="000000" w:sz="4" w:space="0"/>
              <w:left w:val="single" w:color="000000" w:sz="4" w:space="0"/>
              <w:bottom w:val="single" w:color="000000" w:sz="4" w:space="0"/>
              <w:right w:val="single" w:color="000000" w:sz="4" w:space="0"/>
            </w:tcBorders>
            <w:noWrap w:val="0"/>
            <w:vAlign w:val="center"/>
          </w:tcPr>
          <w:p w14:paraId="4D315E9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r>
              <w:rPr>
                <w:rFonts w:hint="eastAsia" w:ascii="仿宋_GB2312" w:hAnsi="仿宋" w:eastAsia="仿宋_GB2312" w:cs="宋体"/>
                <w:color w:val="FF0000"/>
                <w:kern w:val="0"/>
                <w:sz w:val="24"/>
                <w:szCs w:val="24"/>
                <w:lang w:bidi="ar"/>
              </w:rPr>
              <w:t>★</w:t>
            </w:r>
            <w:r>
              <w:rPr>
                <w:rFonts w:hint="eastAsia" w:ascii="仿宋" w:hAnsi="仿宋" w:eastAsia="仿宋" w:cs="仿宋"/>
                <w:i w:val="0"/>
                <w:iCs w:val="0"/>
                <w:color w:val="000000"/>
                <w:kern w:val="0"/>
                <w:sz w:val="24"/>
                <w:szCs w:val="24"/>
                <w:u w:val="none"/>
                <w:lang w:val="en-US" w:eastAsia="zh-CN" w:bidi="ar"/>
              </w:rPr>
              <w:t>床垫采用：3E环保椰棕、海绵、优质针织印花面料制作。床垫成型厚度≥5CM、床垫软硬度适中，不宜变形。</w:t>
            </w:r>
          </w:p>
          <w:p w14:paraId="559443A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11.床垫尺寸应与床匹配:（长*宽）≥1900* 900mm，厚度≥50mm，具有全面受力，透气性好，防腐、防蛀、防潮等特点。</w:t>
            </w: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7B5D93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E4CF9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369" w:type="dxa"/>
            <w:tcBorders>
              <w:top w:val="single" w:color="000000" w:sz="4" w:space="0"/>
              <w:left w:val="single" w:color="000000" w:sz="4" w:space="0"/>
              <w:bottom w:val="single" w:color="000000" w:sz="4" w:space="0"/>
              <w:right w:val="single" w:color="000000" w:sz="4" w:space="0"/>
            </w:tcBorders>
            <w:noWrap/>
            <w:vAlign w:val="center"/>
          </w:tcPr>
          <w:p w14:paraId="66F5D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396240</wp:posOffset>
                  </wp:positionH>
                  <wp:positionV relativeFrom="paragraph">
                    <wp:posOffset>207010</wp:posOffset>
                  </wp:positionV>
                  <wp:extent cx="1379855" cy="980440"/>
                  <wp:effectExtent l="0" t="0" r="10795" b="10160"/>
                  <wp:wrapNone/>
                  <wp:docPr id="1" name="Picture_275"/>
                  <wp:cNvGraphicFramePr/>
                  <a:graphic xmlns:a="http://schemas.openxmlformats.org/drawingml/2006/main">
                    <a:graphicData uri="http://schemas.openxmlformats.org/drawingml/2006/picture">
                      <pic:pic xmlns:pic="http://schemas.openxmlformats.org/drawingml/2006/picture">
                        <pic:nvPicPr>
                          <pic:cNvPr id="1" name="Picture_275"/>
                          <pic:cNvPicPr/>
                        </pic:nvPicPr>
                        <pic:blipFill>
                          <a:blip r:embed="rId7"/>
                          <a:stretch>
                            <a:fillRect/>
                          </a:stretch>
                        </pic:blipFill>
                        <pic:spPr>
                          <a:xfrm>
                            <a:off x="0" y="0"/>
                            <a:ext cx="1379855" cy="980440"/>
                          </a:xfrm>
                          <a:prstGeom prst="rect">
                            <a:avLst/>
                          </a:prstGeom>
                          <a:noFill/>
                          <a:ln>
                            <a:noFill/>
                          </a:ln>
                        </pic:spPr>
                      </pic:pic>
                    </a:graphicData>
                  </a:graphic>
                </wp:anchor>
              </w:drawing>
            </w:r>
          </w:p>
        </w:tc>
      </w:tr>
      <w:tr w14:paraId="5DEE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0"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0FE47B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26F8A6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单人床带床垫</w:t>
            </w:r>
          </w:p>
        </w:tc>
        <w:tc>
          <w:tcPr>
            <w:tcW w:w="7537" w:type="dxa"/>
            <w:tcBorders>
              <w:top w:val="single" w:color="000000" w:sz="4" w:space="0"/>
              <w:left w:val="single" w:color="000000" w:sz="4" w:space="0"/>
              <w:bottom w:val="single" w:color="000000" w:sz="4" w:space="0"/>
              <w:right w:val="single" w:color="000000" w:sz="4" w:space="0"/>
            </w:tcBorders>
            <w:noWrap w:val="0"/>
            <w:vAlign w:val="center"/>
          </w:tcPr>
          <w:p w14:paraId="3B82055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12.尺寸：（长*宽*高）2000mm*1800mm*400mm（所有尺寸误差范围为±5mm)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13.贴面材料：饰面选用MFC木饰面，经过防虫防腐处理，耐磨性好，纹理清晰自然，色泽一致。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封边用材：采用优质≥2.0mmPVC同色封边条封边，耐干热性需合格，耐开裂性需合格，耐冷热循环性，耐磨性需合格。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w:t>
            </w:r>
            <w:r>
              <w:rPr>
                <w:rFonts w:hint="eastAsia" w:ascii="仿宋_GB2312" w:hAnsi="仿宋" w:eastAsia="仿宋_GB2312" w:cs="宋体"/>
                <w:color w:val="FF0000"/>
                <w:kern w:val="0"/>
                <w:sz w:val="24"/>
                <w:szCs w:val="24"/>
                <w:lang w:bidi="ar"/>
              </w:rPr>
              <w:t>★</w:t>
            </w:r>
            <w:r>
              <w:rPr>
                <w:rFonts w:hint="eastAsia" w:ascii="仿宋" w:hAnsi="仿宋" w:eastAsia="仿宋" w:cs="仿宋"/>
                <w:i w:val="0"/>
                <w:iCs w:val="0"/>
                <w:color w:val="000000"/>
                <w:kern w:val="0"/>
                <w:sz w:val="24"/>
                <w:szCs w:val="24"/>
                <w:u w:val="none"/>
                <w:lang w:val="en-US" w:eastAsia="zh-CN" w:bidi="ar"/>
              </w:rPr>
              <w:t>基材：采用优质环保型人造板，游离甲醛释放量符合E0国家标准；经过防虫、防腐等化学处理；具有防污、耐磨防划伤、阻燃；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15.五金配件：优质锁具、五金配件；床空间设计：有储物床箱。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16.靠板高度：（从床板表面到靠板顶端的垂直高度）  尺寸≥700mm；靠板宽度：≥1800mm；靠板厚度：≥30mm。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17.靠板材质：采用优于等于优质环保型人造板板材；连接方式：优于等于固定式，与床架一体成型，不可拆卸。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18.床垫：（应与床匹配）采用天然棕丝，优质针织印花面料，尺寸： ≥（长*宽*厚）2000mm*1800mm*80mm（所有尺寸误差范围为±5mm)，全面受力，透气性好，防腐、防蛀、防潮等特点。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19.底板：带底板防潮,底板厚度≥3mm</w:t>
            </w: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7BB215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2B14D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3369" w:type="dxa"/>
            <w:tcBorders>
              <w:top w:val="single" w:color="000000" w:sz="4" w:space="0"/>
              <w:left w:val="single" w:color="000000" w:sz="4" w:space="0"/>
              <w:bottom w:val="single" w:color="000000" w:sz="4" w:space="0"/>
              <w:right w:val="single" w:color="000000" w:sz="4" w:space="0"/>
            </w:tcBorders>
            <w:noWrap/>
            <w:vAlign w:val="center"/>
          </w:tcPr>
          <w:p w14:paraId="59E51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534035</wp:posOffset>
                  </wp:positionH>
                  <wp:positionV relativeFrom="paragraph">
                    <wp:posOffset>1460500</wp:posOffset>
                  </wp:positionV>
                  <wp:extent cx="1216025" cy="1082675"/>
                  <wp:effectExtent l="0" t="0" r="3175" b="3175"/>
                  <wp:wrapNone/>
                  <wp:docPr id="2" name="图片_1_SpCnt_1"/>
                  <wp:cNvGraphicFramePr/>
                  <a:graphic xmlns:a="http://schemas.openxmlformats.org/drawingml/2006/main">
                    <a:graphicData uri="http://schemas.openxmlformats.org/drawingml/2006/picture">
                      <pic:pic xmlns:pic="http://schemas.openxmlformats.org/drawingml/2006/picture">
                        <pic:nvPicPr>
                          <pic:cNvPr id="2" name="图片_1_SpCnt_1"/>
                          <pic:cNvPicPr/>
                        </pic:nvPicPr>
                        <pic:blipFill>
                          <a:blip r:embed="rId8"/>
                          <a:stretch>
                            <a:fillRect/>
                          </a:stretch>
                        </pic:blipFill>
                        <pic:spPr>
                          <a:xfrm>
                            <a:off x="0" y="0"/>
                            <a:ext cx="1216025" cy="1082675"/>
                          </a:xfrm>
                          <a:prstGeom prst="rect">
                            <a:avLst/>
                          </a:prstGeom>
                          <a:noFill/>
                          <a:ln>
                            <a:noFill/>
                          </a:ln>
                        </pic:spPr>
                      </pic:pic>
                    </a:graphicData>
                  </a:graphic>
                </wp:anchor>
              </w:drawing>
            </w:r>
          </w:p>
        </w:tc>
      </w:tr>
      <w:tr w14:paraId="04C30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754559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1AEDAD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床头柜</w:t>
            </w:r>
          </w:p>
        </w:tc>
        <w:tc>
          <w:tcPr>
            <w:tcW w:w="7537" w:type="dxa"/>
            <w:tcBorders>
              <w:top w:val="single" w:color="000000" w:sz="4" w:space="0"/>
              <w:left w:val="single" w:color="000000" w:sz="4" w:space="0"/>
              <w:bottom w:val="single" w:color="000000" w:sz="4" w:space="0"/>
              <w:right w:val="single" w:color="000000" w:sz="4" w:space="0"/>
            </w:tcBorders>
            <w:noWrap w:val="0"/>
            <w:vAlign w:val="center"/>
          </w:tcPr>
          <w:p w14:paraId="3170ED4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20.尺寸：（长*宽*高）500*400*450mm；（所有尺寸误差范围为±5mm)。                                        21.基材：采用优于等于E1级优质环保三聚氰胺饰面刨花板，甲醛释放量≤0.2mg/L。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22.五金件：采用优质五金件。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23.工艺：人造板件均双饰面、封四边，走线孔内缘和隐蔽部位一律封闭处理；优于等于2mm厚同色PVC封边，封边严密、平整、无脱胶、表面无胶渍；板材采用数控多功能加工中心进行切割，切口整齐，无崩茬，尺寸精确度优于等于0.5mm；五金件连接，板内预埋尼龙螺母的方式，确保使用寿命更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24.抽屉：内附单层抽屉，容量：优于等于20-40L；承重：优于等于10-20KG；隐藏式凹槽拉手。</w:t>
            </w: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785221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F21F0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3369" w:type="dxa"/>
            <w:tcBorders>
              <w:top w:val="single" w:color="000000" w:sz="4" w:space="0"/>
              <w:left w:val="single" w:color="000000" w:sz="4" w:space="0"/>
              <w:bottom w:val="single" w:color="000000" w:sz="4" w:space="0"/>
              <w:right w:val="single" w:color="000000" w:sz="4" w:space="0"/>
            </w:tcBorders>
            <w:noWrap/>
            <w:vAlign w:val="center"/>
          </w:tcPr>
          <w:p w14:paraId="431B3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705485</wp:posOffset>
                  </wp:positionH>
                  <wp:positionV relativeFrom="paragraph">
                    <wp:posOffset>887730</wp:posOffset>
                  </wp:positionV>
                  <wp:extent cx="1065530" cy="806450"/>
                  <wp:effectExtent l="0" t="0" r="1270" b="12700"/>
                  <wp:wrapNone/>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9"/>
                          <a:stretch>
                            <a:fillRect/>
                          </a:stretch>
                        </pic:blipFill>
                        <pic:spPr>
                          <a:xfrm>
                            <a:off x="0" y="0"/>
                            <a:ext cx="1065530" cy="806450"/>
                          </a:xfrm>
                          <a:prstGeom prst="rect">
                            <a:avLst/>
                          </a:prstGeom>
                          <a:noFill/>
                          <a:ln>
                            <a:noFill/>
                          </a:ln>
                        </pic:spPr>
                      </pic:pic>
                    </a:graphicData>
                  </a:graphic>
                </wp:anchor>
              </w:drawing>
            </w:r>
          </w:p>
        </w:tc>
      </w:tr>
      <w:tr w14:paraId="4F86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186B04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27C08B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三门衣柜</w:t>
            </w:r>
          </w:p>
        </w:tc>
        <w:tc>
          <w:tcPr>
            <w:tcW w:w="7537" w:type="dxa"/>
            <w:tcBorders>
              <w:top w:val="single" w:color="000000" w:sz="4" w:space="0"/>
              <w:left w:val="single" w:color="000000" w:sz="4" w:space="0"/>
              <w:bottom w:val="single" w:color="000000" w:sz="4" w:space="0"/>
              <w:right w:val="single" w:color="000000" w:sz="4" w:space="0"/>
            </w:tcBorders>
            <w:noWrap w:val="0"/>
            <w:vAlign w:val="center"/>
          </w:tcPr>
          <w:p w14:paraId="3738D89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25.尺寸：≥（长*宽*高）1350*600*2100mm ；                                         26.</w:t>
            </w:r>
            <w:r>
              <w:rPr>
                <w:rFonts w:hint="eastAsia" w:ascii="仿宋_GB2312" w:hAnsi="仿宋" w:eastAsia="仿宋_GB2312" w:cs="宋体"/>
                <w:color w:val="FF0000"/>
                <w:kern w:val="0"/>
                <w:sz w:val="24"/>
                <w:szCs w:val="24"/>
                <w:lang w:bidi="ar"/>
              </w:rPr>
              <w:t>★</w:t>
            </w:r>
            <w:r>
              <w:rPr>
                <w:rFonts w:hint="eastAsia" w:ascii="仿宋" w:hAnsi="仿宋" w:eastAsia="仿宋" w:cs="仿宋"/>
                <w:i w:val="0"/>
                <w:iCs w:val="0"/>
                <w:color w:val="000000"/>
                <w:kern w:val="0"/>
                <w:sz w:val="24"/>
                <w:szCs w:val="24"/>
                <w:u w:val="none"/>
                <w:lang w:val="en-US" w:eastAsia="zh-CN" w:bidi="ar"/>
              </w:rPr>
              <w:t>基材：采用E1级优质环保三聚氰胺饰面刨花板，甲醛释放量≤0.2mg/L；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27.五金件：采用优质五金件；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28.工艺：人造板件均双饰面、封四边，走线孔内缘和隐蔽部位一律封闭处理；2mm厚同色PVC封边，封边严密、平整、无脱胶、表面无胶渍。板材切割精密细致，切口整齐，无崩茬，尺寸精确到优于等于0.5mm；优质五金件连接，板内预埋尼龙螺母的方式，确保使用寿命更长。</w:t>
            </w: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604521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5A03A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w:t>
            </w:r>
          </w:p>
        </w:tc>
        <w:tc>
          <w:tcPr>
            <w:tcW w:w="3369" w:type="dxa"/>
            <w:tcBorders>
              <w:top w:val="single" w:color="000000" w:sz="4" w:space="0"/>
              <w:left w:val="single" w:color="000000" w:sz="4" w:space="0"/>
              <w:bottom w:val="single" w:color="000000" w:sz="4" w:space="0"/>
              <w:right w:val="single" w:color="000000" w:sz="4" w:space="0"/>
            </w:tcBorders>
            <w:noWrap/>
            <w:vAlign w:val="center"/>
          </w:tcPr>
          <w:p w14:paraId="4BB0C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990600</wp:posOffset>
                  </wp:positionH>
                  <wp:positionV relativeFrom="paragraph">
                    <wp:posOffset>361950</wp:posOffset>
                  </wp:positionV>
                  <wp:extent cx="646430" cy="983615"/>
                  <wp:effectExtent l="0" t="0" r="1270" b="6985"/>
                  <wp:wrapNone/>
                  <wp:docPr id="5" name="图片_4"/>
                  <wp:cNvGraphicFramePr/>
                  <a:graphic xmlns:a="http://schemas.openxmlformats.org/drawingml/2006/main">
                    <a:graphicData uri="http://schemas.openxmlformats.org/drawingml/2006/picture">
                      <pic:pic xmlns:pic="http://schemas.openxmlformats.org/drawingml/2006/picture">
                        <pic:nvPicPr>
                          <pic:cNvPr id="5" name="图片_4"/>
                          <pic:cNvPicPr/>
                        </pic:nvPicPr>
                        <pic:blipFill>
                          <a:blip r:embed="rId10"/>
                          <a:stretch>
                            <a:fillRect/>
                          </a:stretch>
                        </pic:blipFill>
                        <pic:spPr>
                          <a:xfrm>
                            <a:off x="0" y="0"/>
                            <a:ext cx="646430" cy="983615"/>
                          </a:xfrm>
                          <a:prstGeom prst="rect">
                            <a:avLst/>
                          </a:prstGeom>
                          <a:noFill/>
                          <a:ln>
                            <a:noFill/>
                          </a:ln>
                        </pic:spPr>
                      </pic:pic>
                    </a:graphicData>
                  </a:graphic>
                </wp:anchor>
              </w:drawing>
            </w:r>
          </w:p>
        </w:tc>
      </w:tr>
      <w:tr w14:paraId="4B1F1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280FF5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61B847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书桌</w:t>
            </w:r>
          </w:p>
        </w:tc>
        <w:tc>
          <w:tcPr>
            <w:tcW w:w="7537" w:type="dxa"/>
            <w:tcBorders>
              <w:top w:val="single" w:color="000000" w:sz="4" w:space="0"/>
              <w:left w:val="single" w:color="000000" w:sz="4" w:space="0"/>
              <w:bottom w:val="single" w:color="000000" w:sz="4" w:space="0"/>
              <w:right w:val="single" w:color="000000" w:sz="4" w:space="0"/>
            </w:tcBorders>
            <w:noWrap w:val="0"/>
            <w:vAlign w:val="center"/>
          </w:tcPr>
          <w:p w14:paraId="23911A4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29.尺寸：1400mm*600mm*760mm（长*宽*高）.贴面板材：E1级优质可弯曲防火板，厚度为0.8mm,颜色：黑色；三抽一柜。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30.</w:t>
            </w:r>
            <w:r>
              <w:rPr>
                <w:rFonts w:hint="eastAsia" w:ascii="仿宋_GB2312" w:hAnsi="仿宋" w:eastAsia="仿宋_GB2312" w:cs="宋体"/>
                <w:color w:val="FF0000"/>
                <w:kern w:val="0"/>
                <w:sz w:val="24"/>
                <w:szCs w:val="24"/>
                <w:lang w:bidi="ar"/>
              </w:rPr>
              <w:t>★</w:t>
            </w:r>
            <w:r>
              <w:rPr>
                <w:rFonts w:hint="eastAsia" w:ascii="仿宋" w:hAnsi="仿宋" w:eastAsia="仿宋" w:cs="仿宋"/>
                <w:i w:val="0"/>
                <w:iCs w:val="0"/>
                <w:color w:val="000000"/>
                <w:kern w:val="0"/>
                <w:sz w:val="24"/>
                <w:szCs w:val="24"/>
                <w:u w:val="none"/>
                <w:lang w:val="en-US" w:eastAsia="zh-CN" w:bidi="ar"/>
              </w:rPr>
              <w:t>基材：面板采用E1级优质25mm厚三聚氰胺胶版,侧板采用E1级优质16mm厚三聚氰胺胶版，一抽一柜，优质绿色环保产品,甲醛含量≤1.0mg/L密度≥760kg/m3,静曲张度≥51.2Mpa,吸水膨胀率≤8.1%.</w:t>
            </w: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3D4B83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BBF19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161</w:t>
            </w:r>
          </w:p>
        </w:tc>
        <w:tc>
          <w:tcPr>
            <w:tcW w:w="3369" w:type="dxa"/>
            <w:tcBorders>
              <w:top w:val="single" w:color="000000" w:sz="4" w:space="0"/>
              <w:left w:val="single" w:color="000000" w:sz="4" w:space="0"/>
              <w:bottom w:val="single" w:color="000000" w:sz="4" w:space="0"/>
              <w:right w:val="single" w:color="000000" w:sz="4" w:space="0"/>
            </w:tcBorders>
            <w:noWrap/>
            <w:vAlign w:val="center"/>
          </w:tcPr>
          <w:p w14:paraId="31751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428625</wp:posOffset>
                  </wp:positionH>
                  <wp:positionV relativeFrom="paragraph">
                    <wp:posOffset>74930</wp:posOffset>
                  </wp:positionV>
                  <wp:extent cx="1574800" cy="1191895"/>
                  <wp:effectExtent l="0" t="0" r="6350" b="8255"/>
                  <wp:wrapNone/>
                  <wp:docPr id="6" name="Picture_35448"/>
                  <wp:cNvGraphicFramePr/>
                  <a:graphic xmlns:a="http://schemas.openxmlformats.org/drawingml/2006/main">
                    <a:graphicData uri="http://schemas.openxmlformats.org/drawingml/2006/picture">
                      <pic:pic xmlns:pic="http://schemas.openxmlformats.org/drawingml/2006/picture">
                        <pic:nvPicPr>
                          <pic:cNvPr id="6" name="Picture_35448"/>
                          <pic:cNvPicPr/>
                        </pic:nvPicPr>
                        <pic:blipFill>
                          <a:blip r:embed="rId11"/>
                          <a:stretch>
                            <a:fillRect/>
                          </a:stretch>
                        </pic:blipFill>
                        <pic:spPr>
                          <a:xfrm>
                            <a:off x="0" y="0"/>
                            <a:ext cx="1574800" cy="1191895"/>
                          </a:xfrm>
                          <a:prstGeom prst="rect">
                            <a:avLst/>
                          </a:prstGeom>
                          <a:noFill/>
                          <a:ln>
                            <a:noFill/>
                          </a:ln>
                        </pic:spPr>
                      </pic:pic>
                    </a:graphicData>
                  </a:graphic>
                </wp:anchor>
              </w:drawing>
            </w:r>
          </w:p>
        </w:tc>
      </w:tr>
      <w:tr w14:paraId="7B2F8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4"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7202ED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0301EC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椅子</w:t>
            </w:r>
          </w:p>
        </w:tc>
        <w:tc>
          <w:tcPr>
            <w:tcW w:w="7537" w:type="dxa"/>
            <w:tcBorders>
              <w:top w:val="single" w:color="000000" w:sz="4" w:space="0"/>
              <w:left w:val="single" w:color="000000" w:sz="4" w:space="0"/>
              <w:bottom w:val="single" w:color="000000" w:sz="4" w:space="0"/>
              <w:right w:val="single" w:color="000000" w:sz="4" w:space="0"/>
            </w:tcBorders>
            <w:noWrap w:val="0"/>
            <w:vAlign w:val="center"/>
          </w:tcPr>
          <w:p w14:paraId="6902753D">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31.尺寸：整体≥590*590*920mm（长*宽*高）；木质框架，面料：优质西皮，涂层粘着牢度5.5N/10mm，抗张强度12N/m2，耐光色牢度5级，纹路细致均匀，色泽均匀柔软而有弹性。</w:t>
            </w:r>
          </w:p>
          <w:p w14:paraId="45637D66">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32.海绵：定型海绵，密度为45KG/立方米；回弹力：47%，拉伸强度不小于85KPA。油漆：面漆采用“大宝”PU聚脂漆,底漆采用PE不饱和树脂漆，符合国家环保，经五底三面工艺制作完成，颜色：咖色。</w:t>
            </w: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1A54B9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4F3DB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161</w:t>
            </w:r>
          </w:p>
        </w:tc>
        <w:tc>
          <w:tcPr>
            <w:tcW w:w="3369" w:type="dxa"/>
            <w:tcBorders>
              <w:top w:val="single" w:color="000000" w:sz="4" w:space="0"/>
              <w:left w:val="single" w:color="000000" w:sz="4" w:space="0"/>
              <w:bottom w:val="single" w:color="000000" w:sz="4" w:space="0"/>
              <w:right w:val="single" w:color="000000" w:sz="4" w:space="0"/>
            </w:tcBorders>
            <w:noWrap/>
            <w:vAlign w:val="center"/>
          </w:tcPr>
          <w:p w14:paraId="3FFB4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723900</wp:posOffset>
                  </wp:positionH>
                  <wp:positionV relativeFrom="paragraph">
                    <wp:posOffset>216535</wp:posOffset>
                  </wp:positionV>
                  <wp:extent cx="753110" cy="1135380"/>
                  <wp:effectExtent l="0" t="0" r="8890" b="7620"/>
                  <wp:wrapNone/>
                  <wp:docPr id="7" name="Picture_35454"/>
                  <wp:cNvGraphicFramePr/>
                  <a:graphic xmlns:a="http://schemas.openxmlformats.org/drawingml/2006/main">
                    <a:graphicData uri="http://schemas.openxmlformats.org/drawingml/2006/picture">
                      <pic:pic xmlns:pic="http://schemas.openxmlformats.org/drawingml/2006/picture">
                        <pic:nvPicPr>
                          <pic:cNvPr id="7" name="Picture_35454"/>
                          <pic:cNvPicPr/>
                        </pic:nvPicPr>
                        <pic:blipFill>
                          <a:blip r:embed="rId12"/>
                          <a:stretch>
                            <a:fillRect/>
                          </a:stretch>
                        </pic:blipFill>
                        <pic:spPr>
                          <a:xfrm>
                            <a:off x="0" y="0"/>
                            <a:ext cx="753110" cy="1135380"/>
                          </a:xfrm>
                          <a:prstGeom prst="rect">
                            <a:avLst/>
                          </a:prstGeom>
                          <a:noFill/>
                          <a:ln>
                            <a:noFill/>
                          </a:ln>
                        </pic:spPr>
                      </pic:pic>
                    </a:graphicData>
                  </a:graphic>
                </wp:anchor>
              </w:drawing>
            </w:r>
          </w:p>
        </w:tc>
      </w:tr>
      <w:tr w14:paraId="66CBA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4"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53D24A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782A6D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双人沙发</w:t>
            </w:r>
          </w:p>
        </w:tc>
        <w:tc>
          <w:tcPr>
            <w:tcW w:w="7537" w:type="dxa"/>
            <w:tcBorders>
              <w:top w:val="single" w:color="000000" w:sz="4" w:space="0"/>
              <w:left w:val="single" w:color="000000" w:sz="4" w:space="0"/>
              <w:bottom w:val="single" w:color="000000" w:sz="4" w:space="0"/>
              <w:right w:val="single" w:color="000000" w:sz="4" w:space="0"/>
            </w:tcBorders>
            <w:noWrap w:val="0"/>
            <w:vAlign w:val="center"/>
          </w:tcPr>
          <w:p w14:paraId="0CE8AF0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33.尺寸：≥（长*宽*高）1800*800*800mm；座位高度：≥400mm ；沙发座位深度：≥600mm；两侧扶手尺寸：≥（宽*高*厚）280mm*580mm*150mm；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34.软包材质：面料选择优于等于六防猫抓皮；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35.填充物：高密度海绵，密度≥40D，10cm（回弹好）加乳胶层≥2cm，确保支撑性和耐用性，纯实木框架；沙发腿高度：≥50mm；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36.弹簧系统：蛇形弹簧加绷带；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37.拼接工艺：榫卯结构；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38.环保认证：优于等于国标GB 18580-2017（甲醛释放量≤0.124mg/m³）。</w:t>
            </w: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216B34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F3EFF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369" w:type="dxa"/>
            <w:tcBorders>
              <w:top w:val="single" w:color="000000" w:sz="4" w:space="0"/>
              <w:left w:val="single" w:color="000000" w:sz="4" w:space="0"/>
              <w:bottom w:val="single" w:color="000000" w:sz="4" w:space="0"/>
              <w:right w:val="single" w:color="000000" w:sz="4" w:space="0"/>
            </w:tcBorders>
            <w:noWrap/>
            <w:vAlign w:val="center"/>
          </w:tcPr>
          <w:p w14:paraId="3AC9CA26">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drawing>
                <wp:anchor distT="0" distB="0" distL="114300" distR="114300" simplePos="0" relativeHeight="251666432" behindDoc="0" locked="0" layoutInCell="1" allowOverlap="1">
                  <wp:simplePos x="0" y="0"/>
                  <wp:positionH relativeFrom="column">
                    <wp:posOffset>238760</wp:posOffset>
                  </wp:positionH>
                  <wp:positionV relativeFrom="paragraph">
                    <wp:posOffset>203835</wp:posOffset>
                  </wp:positionV>
                  <wp:extent cx="1689735" cy="1689735"/>
                  <wp:effectExtent l="0" t="0" r="5715" b="5715"/>
                  <wp:wrapNone/>
                  <wp:docPr id="8" name="图片 9" descr="098332210adbfde21178319923c4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098332210adbfde21178319923c41144"/>
                          <pic:cNvPicPr>
                            <a:picLocks noChangeAspect="1"/>
                          </pic:cNvPicPr>
                        </pic:nvPicPr>
                        <pic:blipFill>
                          <a:blip r:embed="rId13"/>
                          <a:stretch>
                            <a:fillRect/>
                          </a:stretch>
                        </pic:blipFill>
                        <pic:spPr>
                          <a:xfrm>
                            <a:off x="0" y="0"/>
                            <a:ext cx="1689735" cy="1689735"/>
                          </a:xfrm>
                          <a:prstGeom prst="rect">
                            <a:avLst/>
                          </a:prstGeom>
                          <a:noFill/>
                          <a:ln>
                            <a:noFill/>
                          </a:ln>
                        </pic:spPr>
                      </pic:pic>
                    </a:graphicData>
                  </a:graphic>
                </wp:anchor>
              </w:drawing>
            </w:r>
          </w:p>
        </w:tc>
      </w:tr>
      <w:tr w14:paraId="06AC1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9"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52BB4F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489B41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茶几</w:t>
            </w:r>
          </w:p>
        </w:tc>
        <w:tc>
          <w:tcPr>
            <w:tcW w:w="7537" w:type="dxa"/>
            <w:tcBorders>
              <w:top w:val="single" w:color="000000" w:sz="4" w:space="0"/>
              <w:left w:val="single" w:color="000000" w:sz="4" w:space="0"/>
              <w:bottom w:val="single" w:color="000000" w:sz="4" w:space="0"/>
              <w:right w:val="single" w:color="000000" w:sz="4" w:space="0"/>
            </w:tcBorders>
            <w:noWrap w:val="0"/>
            <w:vAlign w:val="center"/>
          </w:tcPr>
          <w:p w14:paraId="384EAF9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39.尺寸：≥（长*宽*高）100mm*600mm*340mm；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40.材质：台面采用天然石材岩板。金属框架，带抽屉款（一侧两个，两侧共计4个），单层抽屉承重大于等于15kg；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41.框架拼接工艺：榫卯结构；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42.边缘处理：倒圆角设计（R角≥5mm），防撞伤。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43.环保认证：国标甲醛释放量≤0.124mg/m³（GB 18580-2017），优先选≥E0/E1级板材。</w:t>
            </w: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282C95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AC838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369" w:type="dxa"/>
            <w:tcBorders>
              <w:top w:val="single" w:color="000000" w:sz="4" w:space="0"/>
              <w:left w:val="single" w:color="000000" w:sz="4" w:space="0"/>
              <w:bottom w:val="single" w:color="000000" w:sz="4" w:space="0"/>
              <w:right w:val="single" w:color="000000" w:sz="4" w:space="0"/>
            </w:tcBorders>
            <w:noWrap/>
            <w:vAlign w:val="center"/>
          </w:tcPr>
          <w:p w14:paraId="48468B9B">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drawing>
                <wp:anchor distT="0" distB="0" distL="114300" distR="114300" simplePos="0" relativeHeight="251667456" behindDoc="0" locked="0" layoutInCell="1" allowOverlap="1">
                  <wp:simplePos x="0" y="0"/>
                  <wp:positionH relativeFrom="column">
                    <wp:posOffset>130175</wp:posOffset>
                  </wp:positionH>
                  <wp:positionV relativeFrom="paragraph">
                    <wp:posOffset>407035</wp:posOffset>
                  </wp:positionV>
                  <wp:extent cx="2050415" cy="1073785"/>
                  <wp:effectExtent l="0" t="0" r="6985" b="12065"/>
                  <wp:wrapNone/>
                  <wp:docPr id="9" name="图片 10" descr="a79cc11cbce9a0e1079558ac9f7ef1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a79cc11cbce9a0e1079558ac9f7ef11e"/>
                          <pic:cNvPicPr>
                            <a:picLocks noChangeAspect="1"/>
                          </pic:cNvPicPr>
                        </pic:nvPicPr>
                        <pic:blipFill>
                          <a:blip r:embed="rId14"/>
                          <a:stretch>
                            <a:fillRect/>
                          </a:stretch>
                        </pic:blipFill>
                        <pic:spPr>
                          <a:xfrm>
                            <a:off x="0" y="0"/>
                            <a:ext cx="2050415" cy="1073785"/>
                          </a:xfrm>
                          <a:prstGeom prst="rect">
                            <a:avLst/>
                          </a:prstGeom>
                          <a:noFill/>
                          <a:ln>
                            <a:noFill/>
                          </a:ln>
                        </pic:spPr>
                      </pic:pic>
                    </a:graphicData>
                  </a:graphic>
                </wp:anchor>
              </w:drawing>
            </w:r>
          </w:p>
        </w:tc>
      </w:tr>
    </w:tbl>
    <w:p w14:paraId="27B42A63">
      <w:pPr>
        <w:spacing w:line="0" w:lineRule="atLeast"/>
        <w:rPr>
          <w:rFonts w:hint="eastAsia" w:ascii="仿宋" w:hAnsi="仿宋" w:eastAsia="仿宋" w:cs="仿宋"/>
          <w:b/>
          <w:bCs/>
          <w:sz w:val="32"/>
          <w:szCs w:val="32"/>
        </w:rPr>
        <w:sectPr>
          <w:pgSz w:w="16838" w:h="11906" w:orient="landscape"/>
          <w:pgMar w:top="1418" w:right="1417" w:bottom="1418" w:left="1417" w:header="851" w:footer="794" w:gutter="0"/>
          <w:pgBorders>
            <w:top w:val="none" w:sz="0" w:space="0"/>
            <w:left w:val="none" w:sz="0" w:space="0"/>
            <w:bottom w:val="none" w:sz="0" w:space="0"/>
            <w:right w:val="none" w:sz="0" w:space="0"/>
          </w:pgBorders>
          <w:pgNumType w:fmt="decimal"/>
          <w:cols w:space="720" w:num="1"/>
          <w:docGrid w:type="linesAndChars" w:linePitch="381" w:charSpace="704"/>
        </w:sectPr>
      </w:pPr>
    </w:p>
    <w:p w14:paraId="485BD5A1">
      <w:pPr>
        <w:spacing w:line="0" w:lineRule="atLeast"/>
        <w:rPr>
          <w:rFonts w:hint="eastAsia" w:ascii="仿宋" w:hAnsi="仿宋" w:eastAsia="仿宋" w:cs="仿宋"/>
          <w:b/>
          <w:bCs/>
          <w:sz w:val="32"/>
          <w:szCs w:val="32"/>
        </w:rPr>
      </w:pPr>
      <w:r>
        <w:rPr>
          <w:rFonts w:hint="eastAsia" w:ascii="仿宋" w:hAnsi="仿宋" w:eastAsia="仿宋" w:cs="仿宋"/>
          <w:b/>
          <w:bCs/>
          <w:sz w:val="32"/>
          <w:szCs w:val="32"/>
        </w:rPr>
        <w:t>二、综合要求</w:t>
      </w:r>
    </w:p>
    <w:p w14:paraId="79D97D9F">
      <w:pPr>
        <w:widowControl/>
        <w:tabs>
          <w:tab w:val="left" w:pos="210"/>
          <w:tab w:val="left" w:pos="473"/>
        </w:tabs>
        <w:autoSpaceDE w:val="0"/>
        <w:autoSpaceDN w:val="0"/>
        <w:adjustRightInd w:val="0"/>
        <w:spacing w:line="460" w:lineRule="exact"/>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1</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加“★”部分为实质性要求，必须满足，否则视为无效响应文件。</w:t>
      </w:r>
    </w:p>
    <w:p w14:paraId="123B8015">
      <w:pPr>
        <w:widowControl/>
        <w:tabs>
          <w:tab w:val="left" w:pos="210"/>
          <w:tab w:val="left" w:pos="473"/>
        </w:tabs>
        <w:autoSpaceDE w:val="0"/>
        <w:autoSpaceDN w:val="0"/>
        <w:adjustRightInd w:val="0"/>
        <w:spacing w:line="460" w:lineRule="exact"/>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2</w:t>
      </w:r>
      <w:r>
        <w:rPr>
          <w:rFonts w:hint="eastAsia" w:ascii="仿宋" w:hAnsi="仿宋" w:eastAsia="仿宋" w:cs="仿宋"/>
          <w:spacing w:val="8"/>
          <w:sz w:val="28"/>
          <w:szCs w:val="28"/>
        </w:rPr>
        <w:t>、</w:t>
      </w:r>
      <w:r>
        <w:rPr>
          <w:rFonts w:hint="eastAsia" w:ascii="仿宋" w:hAnsi="仿宋" w:eastAsia="仿宋" w:cs="仿宋"/>
          <w:spacing w:val="8"/>
          <w:sz w:val="28"/>
          <w:szCs w:val="28"/>
          <w:lang w:val="en-US" w:eastAsia="zh-CN"/>
        </w:rPr>
        <w:t>供应商</w:t>
      </w:r>
      <w:r>
        <w:rPr>
          <w:rFonts w:hint="eastAsia" w:ascii="仿宋" w:hAnsi="仿宋" w:eastAsia="仿宋" w:cs="仿宋"/>
          <w:spacing w:val="8"/>
          <w:sz w:val="28"/>
          <w:szCs w:val="28"/>
        </w:rPr>
        <w:t>所投货物各项指标符合或优于本次货物</w:t>
      </w:r>
      <w:r>
        <w:rPr>
          <w:rFonts w:hint="eastAsia" w:ascii="仿宋" w:hAnsi="仿宋" w:eastAsia="仿宋" w:cs="仿宋"/>
          <w:spacing w:val="8"/>
          <w:sz w:val="28"/>
          <w:szCs w:val="28"/>
          <w:lang w:val="en-US" w:eastAsia="zh-CN"/>
        </w:rPr>
        <w:t>采购</w:t>
      </w:r>
      <w:r>
        <w:rPr>
          <w:rFonts w:hint="eastAsia" w:ascii="仿宋" w:hAnsi="仿宋" w:eastAsia="仿宋" w:cs="仿宋"/>
          <w:spacing w:val="8"/>
          <w:sz w:val="28"/>
          <w:szCs w:val="28"/>
        </w:rPr>
        <w:t>的技术条件要求、国家标准、行业标准及规范。</w:t>
      </w:r>
    </w:p>
    <w:p w14:paraId="0986DAC3">
      <w:pPr>
        <w:widowControl/>
        <w:tabs>
          <w:tab w:val="left" w:pos="210"/>
          <w:tab w:val="left" w:pos="473"/>
        </w:tabs>
        <w:autoSpaceDE w:val="0"/>
        <w:autoSpaceDN w:val="0"/>
        <w:adjustRightInd w:val="0"/>
        <w:spacing w:line="460" w:lineRule="exact"/>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3</w:t>
      </w:r>
      <w:r>
        <w:rPr>
          <w:rFonts w:hint="eastAsia" w:ascii="仿宋" w:hAnsi="仿宋" w:eastAsia="仿宋" w:cs="仿宋"/>
          <w:spacing w:val="8"/>
          <w:sz w:val="28"/>
          <w:szCs w:val="28"/>
        </w:rPr>
        <w:t>、</w:t>
      </w:r>
      <w:r>
        <w:rPr>
          <w:rFonts w:hint="eastAsia" w:ascii="仿宋" w:hAnsi="仿宋" w:eastAsia="仿宋" w:cs="仿宋"/>
          <w:spacing w:val="8"/>
          <w:sz w:val="28"/>
          <w:szCs w:val="28"/>
          <w:lang w:val="en-US" w:eastAsia="zh-CN"/>
        </w:rPr>
        <w:t>供应商</w:t>
      </w:r>
      <w:r>
        <w:rPr>
          <w:rFonts w:hint="eastAsia" w:ascii="仿宋" w:hAnsi="仿宋" w:eastAsia="仿宋" w:cs="仿宋"/>
          <w:spacing w:val="8"/>
          <w:sz w:val="28"/>
          <w:szCs w:val="28"/>
        </w:rPr>
        <w:t>必须按</w:t>
      </w:r>
      <w:r>
        <w:rPr>
          <w:rFonts w:hint="eastAsia" w:ascii="仿宋" w:hAnsi="仿宋" w:eastAsia="仿宋" w:cs="仿宋"/>
          <w:spacing w:val="8"/>
          <w:sz w:val="28"/>
          <w:szCs w:val="28"/>
          <w:lang w:val="en-US" w:eastAsia="zh-CN"/>
        </w:rPr>
        <w:t>谈判</w:t>
      </w:r>
      <w:r>
        <w:rPr>
          <w:rFonts w:hint="eastAsia" w:ascii="仿宋" w:hAnsi="仿宋" w:eastAsia="仿宋" w:cs="仿宋"/>
          <w:spacing w:val="8"/>
          <w:sz w:val="28"/>
          <w:szCs w:val="28"/>
        </w:rPr>
        <w:t>文件各章节条款的内容和顺序逐项作出实质性应答。无论招标文件如何表述，评标人欢迎</w:t>
      </w:r>
      <w:r>
        <w:rPr>
          <w:rFonts w:hint="eastAsia" w:ascii="仿宋" w:hAnsi="仿宋" w:eastAsia="仿宋" w:cs="仿宋"/>
          <w:spacing w:val="8"/>
          <w:sz w:val="28"/>
          <w:szCs w:val="28"/>
          <w:lang w:val="en-US" w:eastAsia="zh-CN"/>
        </w:rPr>
        <w:t>供应商</w:t>
      </w:r>
      <w:r>
        <w:rPr>
          <w:rFonts w:hint="eastAsia" w:ascii="仿宋" w:hAnsi="仿宋" w:eastAsia="仿宋" w:cs="仿宋"/>
          <w:spacing w:val="8"/>
          <w:sz w:val="28"/>
          <w:szCs w:val="28"/>
        </w:rPr>
        <w:t>尽可能用数据响应技术要求。所投产品的技术要求与所规定货物技术要求的任何偏离都必须逐条列入</w:t>
      </w:r>
      <w:r>
        <w:rPr>
          <w:rFonts w:hint="eastAsia" w:ascii="仿宋" w:hAnsi="仿宋" w:eastAsia="仿宋" w:cs="仿宋"/>
          <w:spacing w:val="8"/>
          <w:sz w:val="28"/>
          <w:szCs w:val="28"/>
          <w:lang w:val="en-US" w:eastAsia="zh-CN"/>
        </w:rPr>
        <w:t>响应</w:t>
      </w:r>
      <w:r>
        <w:rPr>
          <w:rFonts w:hint="eastAsia" w:ascii="仿宋" w:hAnsi="仿宋" w:eastAsia="仿宋" w:cs="仿宋"/>
          <w:spacing w:val="8"/>
          <w:sz w:val="28"/>
          <w:szCs w:val="28"/>
        </w:rPr>
        <w:t>文件中的技术规格偏离表中，任何不按此要求的</w:t>
      </w:r>
      <w:r>
        <w:rPr>
          <w:rFonts w:hint="eastAsia" w:ascii="仿宋" w:hAnsi="仿宋" w:eastAsia="仿宋" w:cs="仿宋"/>
          <w:spacing w:val="8"/>
          <w:sz w:val="28"/>
          <w:szCs w:val="28"/>
          <w:lang w:val="en-US" w:eastAsia="zh-CN"/>
        </w:rPr>
        <w:t>响应</w:t>
      </w:r>
      <w:r>
        <w:rPr>
          <w:rFonts w:hint="eastAsia" w:ascii="仿宋" w:hAnsi="仿宋" w:eastAsia="仿宋" w:cs="仿宋"/>
          <w:spacing w:val="8"/>
          <w:sz w:val="28"/>
          <w:szCs w:val="28"/>
        </w:rPr>
        <w:t>文件将承担被拒绝接受的风险。</w:t>
      </w:r>
      <w:r>
        <w:rPr>
          <w:rFonts w:hint="eastAsia" w:ascii="仿宋" w:hAnsi="仿宋" w:eastAsia="仿宋" w:cs="仿宋"/>
          <w:spacing w:val="8"/>
          <w:sz w:val="28"/>
          <w:szCs w:val="28"/>
          <w:lang w:val="en-US" w:eastAsia="zh-CN"/>
        </w:rPr>
        <w:t>成交</w:t>
      </w:r>
      <w:r>
        <w:rPr>
          <w:rFonts w:hint="eastAsia" w:ascii="仿宋" w:hAnsi="仿宋" w:eastAsia="仿宋" w:cs="仿宋"/>
          <w:spacing w:val="8"/>
          <w:sz w:val="28"/>
          <w:szCs w:val="28"/>
        </w:rPr>
        <w:t>后，</w:t>
      </w:r>
      <w:r>
        <w:rPr>
          <w:rFonts w:hint="eastAsia" w:ascii="仿宋" w:hAnsi="仿宋" w:eastAsia="仿宋" w:cs="仿宋"/>
          <w:spacing w:val="8"/>
          <w:sz w:val="28"/>
          <w:szCs w:val="28"/>
          <w:lang w:val="en-US" w:eastAsia="zh-CN"/>
        </w:rPr>
        <w:t>供应商</w:t>
      </w:r>
      <w:r>
        <w:rPr>
          <w:rFonts w:hint="eastAsia" w:ascii="仿宋" w:hAnsi="仿宋" w:eastAsia="仿宋" w:cs="仿宋"/>
          <w:spacing w:val="8"/>
          <w:sz w:val="28"/>
          <w:szCs w:val="28"/>
        </w:rPr>
        <w:t>在合同谈判中的任何偏离都不得超越此偏离表中已被采购人确认的条款。</w:t>
      </w:r>
    </w:p>
    <w:p w14:paraId="55649CB1">
      <w:pPr>
        <w:widowControl/>
        <w:tabs>
          <w:tab w:val="left" w:pos="210"/>
          <w:tab w:val="left" w:pos="473"/>
        </w:tabs>
        <w:autoSpaceDE w:val="0"/>
        <w:autoSpaceDN w:val="0"/>
        <w:adjustRightInd w:val="0"/>
        <w:spacing w:line="460" w:lineRule="exact"/>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4</w:t>
      </w:r>
      <w:r>
        <w:rPr>
          <w:rFonts w:hint="eastAsia" w:ascii="仿宋" w:hAnsi="仿宋" w:eastAsia="仿宋" w:cs="仿宋"/>
          <w:spacing w:val="8"/>
          <w:sz w:val="28"/>
          <w:szCs w:val="28"/>
        </w:rPr>
        <w:t>、</w:t>
      </w:r>
      <w:r>
        <w:rPr>
          <w:rFonts w:hint="eastAsia" w:ascii="仿宋" w:hAnsi="仿宋" w:eastAsia="仿宋" w:cs="仿宋"/>
          <w:spacing w:val="8"/>
          <w:sz w:val="28"/>
          <w:szCs w:val="28"/>
          <w:lang w:val="en-US" w:eastAsia="zh-CN"/>
        </w:rPr>
        <w:t>供应商</w:t>
      </w:r>
      <w:r>
        <w:rPr>
          <w:rFonts w:hint="eastAsia" w:ascii="仿宋" w:hAnsi="仿宋" w:eastAsia="仿宋" w:cs="仿宋"/>
          <w:spacing w:val="8"/>
          <w:sz w:val="28"/>
          <w:szCs w:val="28"/>
        </w:rPr>
        <w:t>所投办公设备及办公家具类货物（指满足行政事业单位办公基本需要的设备、家具，不含专业性、涉密性的办公设备、家具）报价须执行神财发【2024】9号关于印发《神木市行政事业单位通用办公设备及家具配置标准（2024版）》通知的规定，清单详见附件。</w:t>
      </w:r>
    </w:p>
    <w:p w14:paraId="355FC480">
      <w:pPr>
        <w:widowControl/>
        <w:tabs>
          <w:tab w:val="left" w:pos="210"/>
          <w:tab w:val="left" w:pos="473"/>
        </w:tabs>
        <w:autoSpaceDE w:val="0"/>
        <w:autoSpaceDN w:val="0"/>
        <w:adjustRightInd w:val="0"/>
        <w:spacing w:line="460" w:lineRule="exact"/>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5</w:t>
      </w:r>
      <w:r>
        <w:rPr>
          <w:rFonts w:hint="eastAsia" w:ascii="仿宋" w:hAnsi="仿宋" w:eastAsia="仿宋" w:cs="仿宋"/>
          <w:spacing w:val="8"/>
          <w:sz w:val="28"/>
          <w:szCs w:val="28"/>
        </w:rPr>
        <w:t>、</w:t>
      </w:r>
      <w:r>
        <w:rPr>
          <w:rFonts w:hint="eastAsia" w:ascii="仿宋" w:hAnsi="仿宋" w:eastAsia="仿宋" w:cs="仿宋"/>
          <w:spacing w:val="8"/>
          <w:sz w:val="28"/>
          <w:szCs w:val="28"/>
          <w:lang w:val="en-US" w:eastAsia="zh-CN"/>
        </w:rPr>
        <w:t>供应商</w:t>
      </w:r>
      <w:r>
        <w:rPr>
          <w:rFonts w:hint="eastAsia" w:ascii="仿宋" w:hAnsi="仿宋" w:eastAsia="仿宋" w:cs="仿宋"/>
          <w:spacing w:val="8"/>
          <w:sz w:val="28"/>
          <w:szCs w:val="28"/>
        </w:rPr>
        <w:t>应在</w:t>
      </w:r>
      <w:r>
        <w:rPr>
          <w:rFonts w:hint="eastAsia" w:ascii="仿宋" w:hAnsi="仿宋" w:eastAsia="仿宋" w:cs="仿宋"/>
          <w:spacing w:val="8"/>
          <w:sz w:val="28"/>
          <w:szCs w:val="28"/>
          <w:lang w:val="en-US" w:eastAsia="zh-CN"/>
        </w:rPr>
        <w:t>响应</w:t>
      </w:r>
      <w:r>
        <w:rPr>
          <w:rFonts w:hint="eastAsia" w:ascii="仿宋" w:hAnsi="仿宋" w:eastAsia="仿宋" w:cs="仿宋"/>
          <w:spacing w:val="8"/>
          <w:sz w:val="28"/>
          <w:szCs w:val="28"/>
        </w:rPr>
        <w:t>文件中指明所投产品主要技术指标和性能及品牌、规格、型号、制造商的详细说明、详细的交货清单、验收标准、技术资料以及必须的备件。</w:t>
      </w:r>
    </w:p>
    <w:p w14:paraId="6A65E5F1">
      <w:pPr>
        <w:widowControl/>
        <w:tabs>
          <w:tab w:val="left" w:pos="210"/>
          <w:tab w:val="left" w:pos="473"/>
        </w:tabs>
        <w:autoSpaceDE w:val="0"/>
        <w:autoSpaceDN w:val="0"/>
        <w:adjustRightInd w:val="0"/>
        <w:spacing w:line="460" w:lineRule="exact"/>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6</w:t>
      </w:r>
      <w:r>
        <w:rPr>
          <w:rFonts w:hint="eastAsia" w:ascii="仿宋" w:hAnsi="仿宋" w:eastAsia="仿宋" w:cs="仿宋"/>
          <w:spacing w:val="8"/>
          <w:sz w:val="28"/>
          <w:szCs w:val="28"/>
        </w:rPr>
        <w:t>、所供货物必须为原装品牌产品。</w:t>
      </w:r>
    </w:p>
    <w:p w14:paraId="2CCDE1BA">
      <w:pPr>
        <w:widowControl/>
        <w:tabs>
          <w:tab w:val="left" w:pos="210"/>
          <w:tab w:val="left" w:pos="473"/>
        </w:tabs>
        <w:autoSpaceDE w:val="0"/>
        <w:autoSpaceDN w:val="0"/>
        <w:adjustRightInd w:val="0"/>
        <w:spacing w:line="460" w:lineRule="exact"/>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7</w:t>
      </w:r>
      <w:r>
        <w:rPr>
          <w:rFonts w:hint="eastAsia" w:ascii="仿宋" w:hAnsi="仿宋" w:eastAsia="仿宋" w:cs="仿宋"/>
          <w:spacing w:val="8"/>
          <w:sz w:val="28"/>
          <w:szCs w:val="28"/>
        </w:rPr>
        <w:t>、货物到场经采购人初验合格后方可交验。</w:t>
      </w:r>
    </w:p>
    <w:p w14:paraId="66518BC1">
      <w:pPr>
        <w:widowControl/>
        <w:tabs>
          <w:tab w:val="left" w:pos="210"/>
          <w:tab w:val="left" w:pos="473"/>
        </w:tabs>
        <w:autoSpaceDE w:val="0"/>
        <w:autoSpaceDN w:val="0"/>
        <w:adjustRightInd w:val="0"/>
        <w:spacing w:line="460" w:lineRule="exact"/>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8</w:t>
      </w:r>
      <w:r>
        <w:rPr>
          <w:rFonts w:hint="eastAsia" w:ascii="仿宋" w:hAnsi="仿宋" w:eastAsia="仿宋" w:cs="仿宋"/>
          <w:spacing w:val="8"/>
          <w:sz w:val="28"/>
          <w:szCs w:val="28"/>
        </w:rPr>
        <w:t>、供货时资料要求：</w:t>
      </w:r>
    </w:p>
    <w:p w14:paraId="727D1FE4">
      <w:pPr>
        <w:widowControl/>
        <w:tabs>
          <w:tab w:val="left" w:pos="210"/>
          <w:tab w:val="left" w:pos="473"/>
        </w:tabs>
        <w:autoSpaceDE w:val="0"/>
        <w:autoSpaceDN w:val="0"/>
        <w:adjustRightInd w:val="0"/>
        <w:spacing w:line="460" w:lineRule="exact"/>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（1）提供货物、清单、技术资料和货物制造、执行的标准、规范的名称和代号。</w:t>
      </w:r>
    </w:p>
    <w:p w14:paraId="58F1CD53">
      <w:pPr>
        <w:widowControl/>
        <w:tabs>
          <w:tab w:val="left" w:pos="210"/>
          <w:tab w:val="left" w:pos="473"/>
        </w:tabs>
        <w:autoSpaceDE w:val="0"/>
        <w:autoSpaceDN w:val="0"/>
        <w:adjustRightInd w:val="0"/>
        <w:spacing w:line="460" w:lineRule="exact"/>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（2）提供货物的出厂合格证。</w:t>
      </w:r>
    </w:p>
    <w:p w14:paraId="5F7C1390">
      <w:pPr>
        <w:widowControl/>
        <w:tabs>
          <w:tab w:val="left" w:pos="210"/>
          <w:tab w:val="left" w:pos="473"/>
        </w:tabs>
        <w:autoSpaceDE w:val="0"/>
        <w:autoSpaceDN w:val="0"/>
        <w:adjustRightInd w:val="0"/>
        <w:spacing w:line="460" w:lineRule="exact"/>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（3）提供本次产品的质量抽检报告（由法定第三方机构出具），作为交货的依据之一，不提供视乙方为违约。</w:t>
      </w:r>
    </w:p>
    <w:p w14:paraId="34E471E6">
      <w:pPr>
        <w:widowControl/>
        <w:tabs>
          <w:tab w:val="left" w:pos="210"/>
          <w:tab w:val="left" w:pos="473"/>
        </w:tabs>
        <w:autoSpaceDE w:val="0"/>
        <w:autoSpaceDN w:val="0"/>
        <w:adjustRightInd w:val="0"/>
        <w:spacing w:line="460" w:lineRule="exact"/>
        <w:rPr>
          <w:rFonts w:hint="eastAsia" w:ascii="仿宋" w:hAnsi="仿宋" w:eastAsia="仿宋" w:cs="仿宋"/>
          <w:b/>
          <w:bCs/>
          <w:color w:val="000000"/>
          <w:sz w:val="32"/>
          <w:szCs w:val="32"/>
        </w:rPr>
      </w:pPr>
      <w:r>
        <w:rPr>
          <w:rFonts w:hint="eastAsia" w:ascii="仿宋" w:hAnsi="仿宋" w:eastAsia="仿宋" w:cs="仿宋"/>
          <w:b/>
          <w:bCs/>
          <w:spacing w:val="8"/>
          <w:sz w:val="32"/>
          <w:szCs w:val="32"/>
        </w:rPr>
        <w:t>三、</w:t>
      </w:r>
      <w:r>
        <w:rPr>
          <w:rFonts w:hint="eastAsia" w:ascii="仿宋" w:hAnsi="仿宋" w:eastAsia="仿宋" w:cs="仿宋"/>
          <w:b/>
          <w:bCs/>
          <w:color w:val="000000"/>
          <w:sz w:val="32"/>
          <w:szCs w:val="32"/>
        </w:rPr>
        <w:t>维保及售后</w:t>
      </w:r>
    </w:p>
    <w:p w14:paraId="0DA4B330">
      <w:pPr>
        <w:widowControl/>
        <w:spacing w:line="460" w:lineRule="exact"/>
        <w:ind w:firstLine="592" w:firstLineChars="200"/>
        <w:rPr>
          <w:rFonts w:hint="eastAsia" w:ascii="仿宋" w:hAnsi="仿宋" w:eastAsia="仿宋" w:cs="仿宋"/>
          <w:kern w:val="0"/>
          <w:sz w:val="28"/>
          <w:szCs w:val="28"/>
        </w:rPr>
      </w:pPr>
      <w:r>
        <w:rPr>
          <w:rFonts w:hint="eastAsia" w:ascii="仿宋" w:hAnsi="仿宋" w:eastAsia="仿宋" w:cs="仿宋"/>
          <w:spacing w:val="8"/>
          <w:sz w:val="28"/>
          <w:szCs w:val="28"/>
        </w:rPr>
        <w:t>（1）</w:t>
      </w:r>
      <w:r>
        <w:rPr>
          <w:rFonts w:hint="eastAsia" w:ascii="仿宋" w:hAnsi="仿宋" w:eastAsia="仿宋" w:cs="仿宋"/>
          <w:kern w:val="0"/>
          <w:sz w:val="28"/>
          <w:szCs w:val="28"/>
        </w:rPr>
        <w:t>所有产品的质保期为验收合格后</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年（单独要求的除外），中标供应商承诺的质保时间超过招标文件要求的，按其承诺时间质保、维护和技术咨询服务。</w:t>
      </w:r>
    </w:p>
    <w:p w14:paraId="5847CFE3">
      <w:pPr>
        <w:widowControl/>
        <w:tabs>
          <w:tab w:val="left" w:pos="567"/>
          <w:tab w:val="left" w:pos="2694"/>
          <w:tab w:val="left" w:pos="5103"/>
          <w:tab w:val="left" w:pos="7513"/>
        </w:tabs>
        <w:adjustRightInd w:val="0"/>
        <w:snapToGrid w:val="0"/>
        <w:spacing w:line="460" w:lineRule="exact"/>
        <w:ind w:firstLine="592" w:firstLineChars="200"/>
        <w:rPr>
          <w:rFonts w:hint="eastAsia" w:ascii="仿宋" w:hAnsi="仿宋" w:eastAsia="仿宋" w:cs="仿宋"/>
          <w:kern w:val="0"/>
          <w:sz w:val="28"/>
          <w:szCs w:val="28"/>
        </w:rPr>
      </w:pPr>
      <w:r>
        <w:rPr>
          <w:rFonts w:hint="eastAsia" w:ascii="仿宋" w:hAnsi="仿宋" w:eastAsia="仿宋" w:cs="仿宋"/>
          <w:spacing w:val="8"/>
          <w:sz w:val="28"/>
          <w:szCs w:val="28"/>
        </w:rPr>
        <w:t>（2）</w:t>
      </w:r>
      <w:r>
        <w:rPr>
          <w:rFonts w:hint="eastAsia" w:ascii="仿宋" w:hAnsi="仿宋" w:eastAsia="仿宋" w:cs="仿宋"/>
          <w:kern w:val="0"/>
          <w:sz w:val="28"/>
          <w:szCs w:val="28"/>
        </w:rPr>
        <w:t>供应商针对本项目提供相应维保内容及售后服务方案。</w:t>
      </w:r>
    </w:p>
    <w:p w14:paraId="50C2B304">
      <w:pPr>
        <w:widowControl/>
        <w:tabs>
          <w:tab w:val="left" w:pos="567"/>
          <w:tab w:val="left" w:pos="2694"/>
          <w:tab w:val="left" w:pos="5103"/>
          <w:tab w:val="left" w:pos="7513"/>
        </w:tabs>
        <w:adjustRightInd w:val="0"/>
        <w:snapToGrid w:val="0"/>
        <w:spacing w:line="460" w:lineRule="exact"/>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（3）供应商针对本项目提供制造厂商项目授权函及售后服务承诺函。</w:t>
      </w:r>
    </w:p>
    <w:p w14:paraId="43839BB8">
      <w:pPr>
        <w:widowControl/>
        <w:tabs>
          <w:tab w:val="left" w:pos="567"/>
          <w:tab w:val="left" w:pos="2694"/>
          <w:tab w:val="left" w:pos="5103"/>
          <w:tab w:val="left" w:pos="7513"/>
        </w:tabs>
        <w:adjustRightInd w:val="0"/>
        <w:snapToGrid w:val="0"/>
        <w:spacing w:line="460" w:lineRule="exact"/>
        <w:ind w:firstLine="675" w:firstLineChars="200"/>
        <w:rPr>
          <w:rFonts w:hint="eastAsia" w:ascii="仿宋_GB2312" w:hAnsi="仿宋" w:eastAsia="仿宋_GB2312"/>
          <w:spacing w:val="8"/>
          <w:sz w:val="28"/>
          <w:szCs w:val="28"/>
        </w:rPr>
      </w:pPr>
      <w:r>
        <w:rPr>
          <w:rFonts w:hint="eastAsia" w:ascii="仿宋" w:hAnsi="仿宋" w:eastAsia="仿宋" w:cs="仿宋"/>
          <w:b/>
          <w:bCs/>
          <w:spacing w:val="8"/>
          <w:sz w:val="32"/>
          <w:szCs w:val="32"/>
        </w:rPr>
        <w:t>四、成交供应商的职责</w:t>
      </w:r>
    </w:p>
    <w:p w14:paraId="0BCEE686">
      <w:pPr>
        <w:widowControl/>
        <w:spacing w:line="460" w:lineRule="exact"/>
        <w:ind w:left="134" w:leftChars="48" w:firstLine="560" w:firstLineChars="200"/>
        <w:rPr>
          <w:rFonts w:hint="eastAsia" w:ascii="仿宋" w:hAnsi="仿宋" w:eastAsia="仿宋" w:cs="仿宋"/>
          <w:sz w:val="28"/>
          <w:szCs w:val="28"/>
        </w:rPr>
      </w:pPr>
      <w:r>
        <w:rPr>
          <w:rFonts w:hint="eastAsia" w:ascii="仿宋" w:hAnsi="仿宋" w:eastAsia="仿宋" w:cs="仿宋"/>
          <w:sz w:val="28"/>
          <w:szCs w:val="28"/>
        </w:rPr>
        <w:t>1、供应商在响应文件中提供的货物、品牌和类型及主要部件必须与实际提供给采购人的产品一致，否则采购人有权利拒收并追究供应商因此而给采购人造成的损失和相应的责任。</w:t>
      </w:r>
    </w:p>
    <w:p w14:paraId="423432FE">
      <w:pPr>
        <w:widowControl/>
        <w:snapToGrid w:val="0"/>
        <w:spacing w:line="460" w:lineRule="exact"/>
        <w:rPr>
          <w:rFonts w:hint="eastAsia" w:ascii="仿宋" w:hAnsi="仿宋" w:eastAsia="仿宋" w:cs="仿宋"/>
          <w:sz w:val="28"/>
          <w:szCs w:val="28"/>
        </w:rPr>
      </w:pPr>
      <w:r>
        <w:rPr>
          <w:rFonts w:hint="eastAsia" w:ascii="仿宋" w:hAnsi="仿宋" w:eastAsia="仿宋" w:cs="仿宋"/>
          <w:sz w:val="28"/>
          <w:szCs w:val="28"/>
        </w:rPr>
        <w:t xml:space="preserve">     2、供应商应提供供货产品的全套技术资料。</w:t>
      </w:r>
    </w:p>
    <w:p w14:paraId="2335FE66">
      <w:pPr>
        <w:widowControl/>
        <w:snapToGrid w:val="0"/>
        <w:spacing w:line="460" w:lineRule="exact"/>
        <w:ind w:firstLine="700" w:firstLineChars="250"/>
        <w:rPr>
          <w:rFonts w:hint="eastAsia" w:ascii="仿宋" w:hAnsi="仿宋" w:eastAsia="仿宋" w:cs="仿宋"/>
          <w:color w:val="000000"/>
          <w:sz w:val="28"/>
          <w:szCs w:val="28"/>
        </w:rPr>
      </w:pPr>
      <w:r>
        <w:rPr>
          <w:rFonts w:hint="eastAsia" w:ascii="仿宋" w:hAnsi="仿宋" w:eastAsia="仿宋" w:cs="仿宋"/>
          <w:sz w:val="28"/>
          <w:szCs w:val="28"/>
        </w:rPr>
        <w:t>3、供应商在项目验收时需提供详细完整的验收报告书。</w:t>
      </w:r>
    </w:p>
    <w:p w14:paraId="6A248ABA">
      <w:pPr>
        <w:jc w:val="center"/>
        <w:rPr>
          <w:rFonts w:hint="eastAsia" w:ascii="仿宋" w:hAnsi="仿宋" w:eastAsia="仿宋" w:cs="仿宋"/>
          <w:sz w:val="32"/>
          <w:szCs w:val="32"/>
        </w:rPr>
      </w:pPr>
    </w:p>
    <w:p w14:paraId="384A169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roman"/>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43A7C"/>
    <w:rsid w:val="2D143A7C"/>
    <w:rsid w:val="34C44C99"/>
    <w:rsid w:val="666F77CE"/>
    <w:rsid w:val="68670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3">
    <w:name w:val="header"/>
    <w:basedOn w:val="1"/>
    <w:qFormat/>
    <w:uiPriority w:val="0"/>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2025-10-23T07:30:00Z</dcterms:created>
  <dc:creator>Lenovo</dc:creator>
  <cp:lastModifiedBy>Lenovo</cp:lastModifiedBy>
  <dcterms:modified xsi:type="dcterms:W3CDTF">2025-10-23T07:31:31Z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F27DED4508D44A4EACB7EE944B8CED53_11</vt:lpwstr>
  </property>
</Properties>
</file>