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2A3C0">
      <w:pPr>
        <w:pStyle w:val="3"/>
        <w:numPr>
          <w:ilvl w:val="0"/>
          <w:numId w:val="0"/>
        </w:numPr>
        <w:spacing w:line="360" w:lineRule="auto"/>
        <w:ind w:right="0" w:rightChars="0"/>
        <w:jc w:val="center"/>
        <w:rPr>
          <w:rFonts w:hint="eastAsia" w:ascii="仿宋" w:hAnsi="仿宋" w:eastAsia="仿宋" w:cs="仿宋"/>
          <w:color w:val="auto"/>
          <w:sz w:val="36"/>
          <w:szCs w:val="22"/>
        </w:rPr>
      </w:pPr>
      <w:bookmarkStart w:id="0" w:name="_Toc28107"/>
      <w:r>
        <w:rPr>
          <w:rFonts w:hint="eastAsia" w:ascii="仿宋" w:hAnsi="仿宋" w:eastAsia="仿宋" w:cs="仿宋"/>
          <w:color w:val="auto"/>
          <w:sz w:val="36"/>
          <w:szCs w:val="22"/>
        </w:rPr>
        <w:t>采购内容及要求</w:t>
      </w:r>
      <w:bookmarkEnd w:id="0"/>
    </w:p>
    <w:p w14:paraId="5961FB81">
      <w:pPr>
        <w:numPr>
          <w:ilvl w:val="0"/>
          <w:numId w:val="1"/>
        </w:numPr>
        <w:rPr>
          <w:rFonts w:hint="eastAsia" w:ascii="仿宋" w:hAnsi="仿宋" w:cs="仿宋"/>
          <w:color w:val="auto"/>
          <w:szCs w:val="24"/>
          <w:lang w:val="en-US" w:eastAsia="zh-CN"/>
        </w:rPr>
      </w:pPr>
      <w:r>
        <w:rPr>
          <w:rFonts w:hint="eastAsia" w:ascii="仿宋" w:hAnsi="仿宋" w:cs="仿宋"/>
          <w:color w:val="auto"/>
          <w:szCs w:val="24"/>
          <w:lang w:val="en-US" w:eastAsia="zh-CN"/>
        </w:rPr>
        <w:t>服务内容：</w:t>
      </w:r>
    </w:p>
    <w:p w14:paraId="68CDE149">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对MBA学位论文进行送审服务，按照学院相关要求，在指定时间段，完成送审、结果反馈、评审费结算等服务。</w:t>
      </w:r>
    </w:p>
    <w:p w14:paraId="0990B245">
      <w:pPr>
        <w:numPr>
          <w:ilvl w:val="0"/>
          <w:numId w:val="1"/>
        </w:numPr>
        <w:ind w:left="0" w:leftChars="0" w:firstLine="0" w:firstLineChars="0"/>
        <w:rPr>
          <w:rFonts w:hint="eastAsia" w:ascii="仿宋" w:hAnsi="仿宋" w:cs="仿宋"/>
          <w:color w:val="auto"/>
          <w:szCs w:val="24"/>
          <w:lang w:val="en-US" w:eastAsia="zh-CN"/>
        </w:rPr>
      </w:pPr>
      <w:r>
        <w:rPr>
          <w:rFonts w:hint="eastAsia" w:ascii="仿宋" w:hAnsi="仿宋" w:cs="仿宋"/>
          <w:color w:val="auto"/>
          <w:szCs w:val="24"/>
          <w:lang w:val="en-US" w:eastAsia="zh-CN"/>
        </w:rPr>
        <w:t>送审要求</w:t>
      </w:r>
      <w:r>
        <w:rPr>
          <w:rFonts w:hint="default" w:ascii="仿宋" w:hAnsi="仿宋" w:cs="仿宋"/>
          <w:color w:val="auto"/>
          <w:szCs w:val="24"/>
          <w:lang w:eastAsia="zh-CN"/>
        </w:rPr>
        <w:t>及专业领域</w:t>
      </w:r>
    </w:p>
    <w:p w14:paraId="654D8ECF">
      <w:pPr>
        <w:numPr>
          <w:ilvl w:val="0"/>
          <w:numId w:val="0"/>
        </w:numPr>
        <w:ind w:leftChars="200"/>
        <w:rPr>
          <w:rFonts w:hint="eastAsia" w:ascii="仿宋" w:hAnsi="仿宋" w:cs="仿宋"/>
          <w:color w:val="auto"/>
          <w:szCs w:val="24"/>
          <w:highlight w:val="none"/>
          <w:lang w:val="en-US" w:eastAsia="zh-CN"/>
        </w:rPr>
      </w:pPr>
      <w:r>
        <w:rPr>
          <w:rFonts w:hint="eastAsia" w:ascii="仿宋" w:hAnsi="仿宋" w:cs="仿宋"/>
          <w:b/>
          <w:bCs/>
          <w:color w:val="auto"/>
          <w:szCs w:val="24"/>
          <w:highlight w:val="none"/>
          <w:lang w:val="en-US" w:eastAsia="zh-CN"/>
        </w:rPr>
        <w:t>平台功能与技术要求（以下参数有备注按备注提供证明材料，无备注提供系统截图，承诺无效）</w:t>
      </w:r>
    </w:p>
    <w:p w14:paraId="10CDA5C9">
      <w:pPr>
        <w:numPr>
          <w:ilvl w:val="0"/>
          <w:numId w:val="0"/>
        </w:numPr>
        <w:ind w:firstLine="480" w:firstLineChars="200"/>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1.支持送审高校独立的登录界面和专属域名。</w:t>
      </w:r>
    </w:p>
    <w:p w14:paraId="54FC02E0">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2.系统可设立研究生院账户、学院账户、专家账户和学生账户的角色。各角色都有独立丰富的权限配置。</w:t>
      </w:r>
    </w:p>
    <w:p w14:paraId="6CBA489E">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3.研究生处可以通过平台对学院送审情况进行实时监督与管理。</w:t>
      </w:r>
    </w:p>
    <w:p w14:paraId="27066ABA">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4.可根据学校情况灵活定制评阅书模板。</w:t>
      </w:r>
    </w:p>
    <w:p w14:paraId="1CC50145">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5.支持专家电子签名，支持直接扫码签名。</w:t>
      </w:r>
    </w:p>
    <w:p w14:paraId="74348139">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6.支持按自定义三级学科送审。</w:t>
      </w:r>
    </w:p>
    <w:p w14:paraId="743C255B">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7.支持为送审单位提供在线抽检功能。</w:t>
      </w:r>
    </w:p>
    <w:p w14:paraId="5163868F">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8.支持盲审敏感信息检测（检测论文内容中是否包含学生姓名、导师姓名、学号等敏感信息）</w:t>
      </w:r>
    </w:p>
    <w:p w14:paraId="4366838C">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9.支持定制论文汇总表模板和动态解析论文文件名。</w:t>
      </w:r>
    </w:p>
    <w:p w14:paraId="2A285A4B">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10.平台提供短信、邮件等及时消息提醒功能，包含：送审提醒、催评、评审费提取提醒。</w:t>
      </w:r>
    </w:p>
    <w:p w14:paraId="321B550A">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11.支持专家在线填写平台使用反馈，并支持回复。</w:t>
      </w:r>
    </w:p>
    <w:p w14:paraId="04206115">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12.支持在线推荐行业专家评审。</w:t>
      </w:r>
    </w:p>
    <w:p w14:paraId="272F41D3">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13.支持客户档案管理，记录客户历史送审需求、配置和存在问题。</w:t>
      </w:r>
    </w:p>
    <w:p w14:paraId="53EE2FA6">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14.支持根据学校的送审要求，在线定制送审方案。支持按全局、按篇次、按学科、按学科篇次等维度灵活定制送审方案，支持行业专家送审，支持在线调整送审方案，支持动态设置学校类别优先级，支持一键导出送审方案，功能丰富满足送审方要求。</w:t>
      </w:r>
      <w:r>
        <w:rPr>
          <w:rFonts w:hint="eastAsia" w:ascii="仿宋" w:hAnsi="仿宋" w:cs="仿宋"/>
          <w:b/>
          <w:bCs/>
          <w:color w:val="auto"/>
          <w:szCs w:val="24"/>
          <w:lang w:val="en-US" w:eastAsia="zh-CN"/>
        </w:rPr>
        <w:t>（该服务需提供演示视频（以U盘形式递交））</w:t>
      </w:r>
    </w:p>
    <w:p w14:paraId="18C5A33D">
      <w:pPr>
        <w:numPr>
          <w:ilvl w:val="0"/>
          <w:numId w:val="0"/>
        </w:numPr>
        <w:ind w:firstLine="480" w:firstLineChars="200"/>
        <w:rPr>
          <w:rFonts w:hint="eastAsia" w:ascii="仿宋" w:hAnsi="仿宋" w:cs="仿宋"/>
          <w:b/>
          <w:bCs/>
          <w:color w:val="auto"/>
          <w:szCs w:val="24"/>
          <w:lang w:val="en-US" w:eastAsia="zh-CN"/>
        </w:rPr>
      </w:pPr>
      <w:r>
        <w:rPr>
          <w:rFonts w:hint="eastAsia" w:ascii="仿宋" w:hAnsi="仿宋" w:cs="仿宋"/>
          <w:color w:val="auto"/>
          <w:szCs w:val="24"/>
          <w:lang w:val="en-US" w:eastAsia="zh-CN"/>
        </w:rPr>
        <w:t>15.支持生成在线分析统计报表功能，报表种类丰富，包括用大语言AI模型对专家意见进行智能分析、对任意分数段论文进行分项统计和自动生成动态综合评价，可在线调整报表顺序和修改各报表名称，并一键导出报表。</w:t>
      </w:r>
      <w:r>
        <w:rPr>
          <w:rFonts w:hint="eastAsia" w:ascii="仿宋" w:hAnsi="仿宋" w:cs="仿宋"/>
          <w:b/>
          <w:bCs/>
          <w:color w:val="auto"/>
          <w:szCs w:val="24"/>
          <w:lang w:val="en-US" w:eastAsia="zh-CN"/>
        </w:rPr>
        <w:t>（该服务需提供演示视频（以U盘形式递交））</w:t>
      </w:r>
    </w:p>
    <w:p w14:paraId="1BCFE539">
      <w:pPr>
        <w:numPr>
          <w:ilvl w:val="0"/>
          <w:numId w:val="0"/>
        </w:numPr>
        <w:ind w:firstLine="480" w:firstLineChars="200"/>
        <w:rPr>
          <w:rFonts w:hint="eastAsia" w:ascii="仿宋" w:hAnsi="仿宋" w:cs="仿宋"/>
          <w:b/>
          <w:bCs/>
          <w:color w:val="auto"/>
          <w:szCs w:val="24"/>
          <w:lang w:val="en-US" w:eastAsia="zh-CN"/>
        </w:rPr>
      </w:pPr>
      <w:r>
        <w:rPr>
          <w:rFonts w:hint="eastAsia" w:ascii="仿宋" w:hAnsi="仿宋" w:cs="仿宋"/>
          <w:color w:val="auto"/>
          <w:szCs w:val="24"/>
          <w:lang w:val="en-US" w:eastAsia="zh-CN"/>
        </w:rPr>
        <w:t>16.支持在线筛查专家评阅结果，自动进行预警，预警异常种类丰富，确保专家评审质量。</w:t>
      </w:r>
      <w:r>
        <w:rPr>
          <w:rFonts w:hint="eastAsia" w:ascii="仿宋" w:hAnsi="仿宋" w:cs="仿宋"/>
          <w:b/>
          <w:bCs/>
          <w:color w:val="auto"/>
          <w:szCs w:val="24"/>
          <w:lang w:val="en-US" w:eastAsia="zh-CN"/>
        </w:rPr>
        <w:t>（该服务需提供演示视频（以U盘形式递交））</w:t>
      </w:r>
    </w:p>
    <w:p w14:paraId="24D4C9AA">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17.支持论文格式检测，格式检测范围包括但不限于：页面设置、封面、目录、摘要、正文、引文标注与注释、参考文献、附录等，同时生成详细的检测结果报告。</w:t>
      </w:r>
      <w:r>
        <w:rPr>
          <w:rFonts w:hint="eastAsia" w:ascii="仿宋" w:hAnsi="仿宋" w:cs="仿宋"/>
          <w:b/>
          <w:bCs/>
          <w:color w:val="auto"/>
          <w:szCs w:val="24"/>
          <w:lang w:val="en-US" w:eastAsia="zh-CN"/>
        </w:rPr>
        <w:t>（该服务需提供演示视频（以U盘形式递交））</w:t>
      </w:r>
    </w:p>
    <w:p w14:paraId="73CA4853">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18.需提供专家画像功能，从评审专家的专业背景、评审经验、评审质量、严格程度等方面进行多维度画像，确保遴选最优质的专家进行评审。</w:t>
      </w:r>
      <w:r>
        <w:rPr>
          <w:rFonts w:hint="eastAsia" w:ascii="仿宋" w:hAnsi="仿宋" w:cs="仿宋"/>
          <w:b/>
          <w:bCs/>
          <w:color w:val="auto"/>
          <w:szCs w:val="24"/>
          <w:lang w:val="en-US" w:eastAsia="zh-CN"/>
        </w:rPr>
        <w:t>（该服务需提供演示视频（以U盘形式递交））</w:t>
      </w:r>
    </w:p>
    <w:p w14:paraId="0CBEF1E7">
      <w:pPr>
        <w:numPr>
          <w:ilvl w:val="0"/>
          <w:numId w:val="0"/>
        </w:numPr>
        <w:ind w:firstLine="480" w:firstLineChars="200"/>
        <w:rPr>
          <w:rFonts w:hint="eastAsia" w:ascii="仿宋" w:hAnsi="仿宋" w:cs="仿宋"/>
          <w:b/>
          <w:bCs/>
          <w:color w:val="auto"/>
          <w:szCs w:val="24"/>
          <w:lang w:val="en-US" w:eastAsia="zh-CN"/>
        </w:rPr>
      </w:pPr>
      <w:r>
        <w:rPr>
          <w:rFonts w:hint="eastAsia" w:ascii="仿宋" w:hAnsi="仿宋" w:cs="仿宋"/>
          <w:color w:val="auto"/>
          <w:szCs w:val="24"/>
          <w:lang w:val="en-US" w:eastAsia="zh-CN"/>
        </w:rPr>
        <w:t>19.拥有自主开发的论文催审平台，提供论文催审系统相关的著作权登记证书。</w:t>
      </w:r>
      <w:r>
        <w:rPr>
          <w:rFonts w:hint="eastAsia" w:ascii="仿宋" w:hAnsi="仿宋" w:cs="仿宋"/>
          <w:b/>
          <w:bCs/>
          <w:color w:val="auto"/>
          <w:szCs w:val="24"/>
          <w:lang w:val="en-US" w:eastAsia="zh-CN"/>
        </w:rPr>
        <w:t>（提供相符的著作权登记证书扫描件。提供承诺或不相符的著作权登记证书扫描件无效）</w:t>
      </w:r>
    </w:p>
    <w:p w14:paraId="500570F1">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20.拥有自主开发的专家画像平台，提供专家画像系统相关的著作权登记证书。</w:t>
      </w:r>
      <w:r>
        <w:rPr>
          <w:rFonts w:hint="eastAsia" w:ascii="仿宋" w:hAnsi="仿宋" w:cs="仿宋"/>
          <w:b/>
          <w:bCs/>
          <w:color w:val="auto"/>
          <w:szCs w:val="24"/>
          <w:lang w:val="en-US" w:eastAsia="zh-CN"/>
        </w:rPr>
        <w:t>（提供相符的著作权登记证书扫描件。提供承诺或不相符的著作权登记证书扫描件无效）</w:t>
      </w:r>
    </w:p>
    <w:p w14:paraId="38C52251">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21.支持提供视频在线会议进行论文抽检的增值服务，系统能实现网页版视频功能，支持资料审核、人员验证、设立等候室，拉人入会，视频录像本地存储等功能。</w:t>
      </w:r>
      <w:r>
        <w:rPr>
          <w:rFonts w:hint="eastAsia" w:ascii="仿宋" w:hAnsi="仿宋" w:cs="仿宋"/>
          <w:b/>
          <w:bCs/>
          <w:color w:val="auto"/>
          <w:szCs w:val="24"/>
          <w:lang w:val="en-US" w:eastAsia="zh-CN"/>
        </w:rPr>
        <w:t>（该服务需提供演示视频（以U盘形式递交））</w:t>
      </w:r>
    </w:p>
    <w:p w14:paraId="090E8B85">
      <w:pPr>
        <w:numPr>
          <w:ilvl w:val="0"/>
          <w:numId w:val="1"/>
        </w:numPr>
        <w:ind w:left="0" w:leftChars="0" w:firstLine="0" w:firstLineChars="0"/>
        <w:rPr>
          <w:rFonts w:hint="default" w:ascii="仿宋" w:hAnsi="仿宋" w:cs="仿宋"/>
          <w:color w:val="auto"/>
          <w:szCs w:val="24"/>
          <w:lang w:eastAsia="zh-CN"/>
        </w:rPr>
      </w:pPr>
      <w:r>
        <w:rPr>
          <w:rFonts w:hint="default" w:ascii="仿宋" w:hAnsi="仿宋" w:cs="仿宋"/>
          <w:color w:val="auto"/>
          <w:szCs w:val="24"/>
          <w:lang w:eastAsia="zh-CN"/>
        </w:rPr>
        <w:t>服务时间要求：</w:t>
      </w:r>
    </w:p>
    <w:p w14:paraId="189B65E7">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1、平台提供7*24小时在线技术支持与服务，如因软件自身问题导致无法正常使用，服务商应在10分钟之内给予响应，12小时之内解决问题。</w:t>
      </w:r>
    </w:p>
    <w:p w14:paraId="38683092">
      <w:pPr>
        <w:numPr>
          <w:ilvl w:val="0"/>
          <w:numId w:val="0"/>
        </w:numPr>
        <w:ind w:firstLine="480" w:firstLineChars="200"/>
        <w:rPr>
          <w:rFonts w:hint="eastAsia" w:ascii="仿宋" w:hAnsi="仿宋" w:cs="仿宋"/>
          <w:color w:val="auto"/>
          <w:szCs w:val="24"/>
          <w:lang w:val="en-US" w:eastAsia="zh-CN"/>
        </w:rPr>
      </w:pPr>
      <w:r>
        <w:rPr>
          <w:rFonts w:hint="eastAsia" w:ascii="仿宋" w:hAnsi="仿宋" w:cs="仿宋"/>
          <w:color w:val="auto"/>
          <w:szCs w:val="24"/>
          <w:lang w:val="en-US" w:eastAsia="zh-CN"/>
        </w:rPr>
        <w:t>2、每篇论文的送审周期不超过21个自然日，复审论文不超过7个自然日。</w:t>
      </w:r>
    </w:p>
    <w:p w14:paraId="20430269">
      <w:pPr>
        <w:numPr>
          <w:ilvl w:val="0"/>
          <w:numId w:val="1"/>
        </w:numPr>
        <w:ind w:left="0" w:leftChars="0" w:firstLine="0" w:firstLineChars="0"/>
        <w:rPr>
          <w:rFonts w:hint="eastAsia" w:ascii="仿宋" w:hAnsi="仿宋" w:cs="仿宋"/>
          <w:color w:val="auto"/>
          <w:szCs w:val="24"/>
          <w:lang w:val="en-US" w:eastAsia="zh-CN"/>
        </w:rPr>
      </w:pPr>
      <w:r>
        <w:rPr>
          <w:rFonts w:hint="default" w:ascii="仿宋" w:hAnsi="仿宋" w:cs="仿宋"/>
          <w:color w:val="auto"/>
          <w:szCs w:val="24"/>
          <w:lang w:eastAsia="zh-CN"/>
        </w:rPr>
        <w:t>评审专家要求：</w:t>
      </w:r>
    </w:p>
    <w:p w14:paraId="039257CB">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1. 根据教育部学科评估排名，结合我校送审要求，将学位论文送审到全国范围内指定级别高校的专家，并按时返回评阅结果。</w:t>
      </w:r>
    </w:p>
    <w:p w14:paraId="724DF05D">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2.保证评审专家资质的真实性。论文评审专家所属学校不低于我校层次，评审专家的学科专业须与论文作者的学科专业一致，研究方向一致或相关；硕士论文评审专家必须具有副高级及以上职称的硕士研究生导师。</w:t>
      </w:r>
    </w:p>
    <w:p w14:paraId="14DCB966">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3.同一篇论文的多名评审专家必须为不同学校的专家，每位专家同批次评审的论文上限为4篇。</w:t>
      </w:r>
    </w:p>
    <w:p w14:paraId="71C9A663">
      <w:pPr>
        <w:numPr>
          <w:ilvl w:val="0"/>
          <w:numId w:val="0"/>
        </w:numPr>
        <w:rPr>
          <w:rFonts w:hint="default" w:ascii="仿宋" w:hAnsi="仿宋" w:cs="仿宋"/>
          <w:color w:val="auto"/>
          <w:szCs w:val="24"/>
          <w:lang w:eastAsia="zh-CN"/>
        </w:rPr>
      </w:pPr>
      <w:r>
        <w:rPr>
          <w:rFonts w:hint="default" w:ascii="仿宋" w:hAnsi="仿宋" w:cs="仿宋"/>
          <w:color w:val="auto"/>
          <w:szCs w:val="24"/>
          <w:lang w:eastAsia="zh-CN"/>
        </w:rPr>
        <w:t>五、其他要求：</w:t>
      </w:r>
    </w:p>
    <w:p w14:paraId="0C9A5E98">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1.正式送审之前平台需把具体的送审方案报给我校，经我校检查确认后方可送审。</w:t>
      </w:r>
    </w:p>
    <w:p w14:paraId="58F78929">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2.平台须对我校在平台上的学生信息、论文信息、评阅结果进行保密和负责。</w:t>
      </w:r>
    </w:p>
    <w:p w14:paraId="59010204">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3.平台能够提供与我校管理系统对接服务，实现评审数据一键输入输出。</w:t>
      </w:r>
    </w:p>
    <w:p w14:paraId="21827F37">
      <w:pPr>
        <w:numPr>
          <w:ilvl w:val="0"/>
          <w:numId w:val="0"/>
        </w:numPr>
        <w:ind w:firstLine="480" w:firstLineChars="200"/>
        <w:rPr>
          <w:rFonts w:hint="default" w:ascii="仿宋" w:hAnsi="仿宋" w:cs="仿宋"/>
          <w:color w:val="auto"/>
          <w:szCs w:val="24"/>
          <w:lang w:eastAsia="zh-CN"/>
        </w:rPr>
      </w:pPr>
      <w:r>
        <w:rPr>
          <w:rFonts w:hint="default" w:ascii="仿宋" w:hAnsi="仿宋" w:cs="仿宋"/>
          <w:color w:val="auto"/>
          <w:szCs w:val="24"/>
          <w:lang w:eastAsia="zh-CN"/>
        </w:rPr>
        <w:t>4.承接</w:t>
      </w:r>
      <w:r>
        <w:rPr>
          <w:rFonts w:hint="default" w:ascii="仿宋" w:hAnsi="仿宋" w:cs="仿宋"/>
          <w:color w:val="auto"/>
          <w:szCs w:val="24"/>
          <w:highlight w:val="none"/>
          <w:lang w:eastAsia="zh-CN"/>
        </w:rPr>
        <w:t>项目团队经理具有PMP项目管理师证书（提供PMP项目管理师证书扫描件及连续三个月的社保缴纳证明。</w:t>
      </w:r>
    </w:p>
    <w:p w14:paraId="646BA80E">
      <w:pPr>
        <w:numPr>
          <w:ilvl w:val="0"/>
          <w:numId w:val="0"/>
        </w:numPr>
        <w:ind w:firstLine="480" w:firstLineChars="200"/>
        <w:rPr>
          <w:rFonts w:hint="eastAsia" w:ascii="仿宋" w:hAnsi="仿宋" w:cs="仿宋"/>
          <w:color w:val="auto"/>
          <w:szCs w:val="24"/>
          <w:highlight w:val="none"/>
          <w:lang w:val="en-US" w:eastAsia="zh-CN"/>
        </w:rPr>
      </w:pPr>
      <w:r>
        <w:rPr>
          <w:rFonts w:hint="default" w:ascii="仿宋" w:hAnsi="仿宋" w:cs="仿宋"/>
          <w:color w:val="auto"/>
          <w:szCs w:val="24"/>
          <w:lang w:eastAsia="zh-CN"/>
        </w:rPr>
        <w:t>5.</w:t>
      </w:r>
      <w:r>
        <w:rPr>
          <w:rFonts w:hint="default" w:ascii="仿宋" w:hAnsi="仿宋" w:cs="仿宋"/>
          <w:color w:val="auto"/>
          <w:szCs w:val="24"/>
          <w:highlight w:val="none"/>
          <w:lang w:eastAsia="zh-CN"/>
        </w:rPr>
        <w:t>承接项目团队成员具有工业和信息化部教育与考试中心颁发“数据安全工程师（高级）”（提供人员证书复印件、工业和信息化部教育与考试中心官网证书查询截图及供应商为其缴纳的连续三个月的社保缴纳证明）</w:t>
      </w:r>
    </w:p>
    <w:p w14:paraId="575C5017">
      <w:pPr>
        <w:numPr>
          <w:ilvl w:val="0"/>
          <w:numId w:val="0"/>
        </w:numPr>
        <w:ind w:firstLine="480" w:firstLineChars="200"/>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B203A"/>
    <w:multiLevelType w:val="singleLevel"/>
    <w:tmpl w:val="4C3B20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F2BA2"/>
    <w:rsid w:val="2A2B3103"/>
    <w:rsid w:val="3BCF2BA2"/>
    <w:rsid w:val="42C2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Calibri" w:hAnsi="Calibri" w:eastAsia="仿宋" w:cs="Times New Roman"/>
      <w:kern w:val="2"/>
      <w:sz w:val="24"/>
      <w:lang w:val="en-US" w:eastAsia="zh-CN" w:bidi="ar-SA"/>
    </w:rPr>
  </w:style>
  <w:style w:type="paragraph" w:styleId="3">
    <w:name w:val="heading 1"/>
    <w:basedOn w:val="1"/>
    <w:next w:val="1"/>
    <w:qFormat/>
    <w:uiPriority w:val="0"/>
    <w:pPr>
      <w:keepNext/>
      <w:keepLines/>
      <w:widowControl w:val="0"/>
      <w:spacing w:before="340" w:after="330" w:line="576" w:lineRule="auto"/>
      <w:ind w:left="0" w:right="0"/>
      <w:jc w:val="both"/>
      <w:outlineLvl w:val="0"/>
    </w:pPr>
    <w:rPr>
      <w:rFonts w:ascii="Times New Roman" w:hAnsi="Times New Roman" w:eastAsia="宋体" w:cs="Times New Roman"/>
      <w:b/>
      <w:bCs/>
      <w:kern w:val="44"/>
      <w:sz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widowControl w:val="0"/>
      <w:spacing w:after="0" w:line="360" w:lineRule="auto"/>
      <w:jc w:val="both"/>
    </w:pPr>
    <w:rPr>
      <w:rFonts w:ascii="幼圆" w:hAnsi="Times New Roman" w:eastAsia="幼圆" w:cs="Times New Roman"/>
      <w:kern w:val="2"/>
      <w:sz w:val="24"/>
      <w:u w:val="single"/>
      <w:lang w:val="en-US" w:eastAsia="zh-CN" w:bidi="ar-SA"/>
    </w:rPr>
  </w:style>
  <w:style w:type="paragraph" w:styleId="4">
    <w:name w:val="footer"/>
    <w:basedOn w:val="1"/>
    <w:uiPriority w:val="0"/>
    <w:pPr>
      <w:widowControl w:val="0"/>
      <w:tabs>
        <w:tab w:val="center" w:pos="4140"/>
        <w:tab w:val="right" w:pos="8300"/>
      </w:tabs>
      <w:snapToGrid w:val="0"/>
      <w:spacing w:after="0"/>
      <w:jc w:val="left"/>
    </w:pPr>
    <w:rPr>
      <w:rFonts w:ascii="Times New Roman" w:hAnsi="Times New Roman" w:eastAsia="宋体" w:cs="Times New Roman"/>
      <w:kern w:val="2"/>
      <w:sz w:val="18"/>
      <w:lang w:val="en-US" w:eastAsia="zh-CN" w:bidi="ar-SA"/>
    </w:rPr>
  </w:style>
  <w:style w:type="character" w:styleId="7">
    <w:name w:val="Hyperlink"/>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1698</Words>
  <Characters>1752</Characters>
  <Lines>0</Lines>
  <Paragraphs>0</Paragraphs>
  <TotalTime>0</TotalTime>
  <ScaleCrop>false</ScaleCrop>
  <LinksUpToDate>false</LinksUpToDate>
  <CharactersWithSpaces>1753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2025-10-24T06:10:00Z</dcterms:created>
  <dc:creator>陕西中技</dc:creator>
  <cp:lastModifiedBy>陕西中技</cp:lastModifiedBy>
  <dcterms:modified xsi:type="dcterms:W3CDTF">2025-10-24T07:12:25Z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D36A33C6B72D407C9C009C4160DD6086_11</vt:lpwstr>
  </property>
  <property fmtid="{D5CDD505-2E9C-101B-9397-08002B2CF9AE}" pid="4" name="KSOTemplateDocerSaveRecord">
    <vt:lpwstr>eyJoZGlkIjoiMTY5OGYwNzI3M2U0MDZjZTIzODUzMTIxYWQ1YmM3MmQiLCJ1c2VySWQiOiI0ODM0NjExNDgifQ==</vt:lpwstr>
  </property>
</Properties>
</file>