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9C8C5B">
      <w:pPr>
        <w:widowControl/>
        <w:jc w:val="center"/>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2025年第二批省级水利发展资金水利科技项目</w:t>
      </w:r>
    </w:p>
    <w:p w14:paraId="38705614">
      <w:pPr>
        <w:widowControl/>
        <w:jc w:val="center"/>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采购需求书</w:t>
      </w:r>
    </w:p>
    <w:tbl>
      <w:tblPr>
        <w:tblStyle w:val="8"/>
        <w:tblW w:w="9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689"/>
        <w:gridCol w:w="1556"/>
        <w:gridCol w:w="7067"/>
      </w:tblGrid>
      <w:tr w14:paraId="709A4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89" w:type="dxa"/>
            <w:vAlign w:val="center"/>
          </w:tcPr>
          <w:p w14:paraId="4E8FB19B">
            <w:pPr>
              <w:snapToGrid w:val="0"/>
              <w:jc w:val="center"/>
              <w:rPr>
                <w:rFonts w:ascii="宋体" w:hAnsi="宋体"/>
                <w:b/>
                <w:sz w:val="24"/>
              </w:rPr>
            </w:pPr>
            <w:r>
              <w:rPr>
                <w:rFonts w:hint="eastAsia" w:ascii="宋体" w:hAnsi="宋体"/>
                <w:b/>
                <w:sz w:val="28"/>
                <w:szCs w:val="28"/>
                <w:lang w:val="zh-CN"/>
              </w:rPr>
              <w:t>序号</w:t>
            </w:r>
          </w:p>
        </w:tc>
        <w:tc>
          <w:tcPr>
            <w:tcW w:w="1556" w:type="dxa"/>
            <w:vAlign w:val="center"/>
          </w:tcPr>
          <w:p w14:paraId="7E847599">
            <w:pPr>
              <w:pStyle w:val="31"/>
              <w:ind w:left="38"/>
              <w:jc w:val="center"/>
              <w:rPr>
                <w:b/>
                <w:kern w:val="2"/>
                <w:lang w:val="zh-CN"/>
              </w:rPr>
            </w:pPr>
            <w:r>
              <w:rPr>
                <w:rFonts w:hint="eastAsia"/>
                <w:b/>
                <w:kern w:val="2"/>
                <w:sz w:val="28"/>
                <w:szCs w:val="28"/>
                <w:lang w:val="zh-CN"/>
              </w:rPr>
              <w:t>关键事项</w:t>
            </w:r>
          </w:p>
        </w:tc>
        <w:tc>
          <w:tcPr>
            <w:tcW w:w="7067" w:type="dxa"/>
            <w:vAlign w:val="center"/>
          </w:tcPr>
          <w:p w14:paraId="5DFF889C">
            <w:pPr>
              <w:pStyle w:val="31"/>
              <w:jc w:val="center"/>
              <w:rPr>
                <w:b/>
                <w:kern w:val="2"/>
                <w:lang w:val="zh-CN"/>
              </w:rPr>
            </w:pPr>
            <w:r>
              <w:rPr>
                <w:rFonts w:hint="eastAsia"/>
                <w:b/>
                <w:kern w:val="2"/>
                <w:sz w:val="28"/>
                <w:szCs w:val="28"/>
                <w:lang w:val="zh-CN"/>
              </w:rPr>
              <w:t>说明和要求</w:t>
            </w:r>
          </w:p>
        </w:tc>
      </w:tr>
      <w:tr w14:paraId="5AB7C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14:paraId="6E97002E">
            <w:pPr>
              <w:snapToGrid w:val="0"/>
              <w:spacing w:after="200"/>
              <w:jc w:val="center"/>
              <w:rPr>
                <w:rFonts w:ascii="宋体" w:hAnsi="宋体"/>
                <w:sz w:val="28"/>
                <w:szCs w:val="28"/>
                <w:lang w:val="zh-CN"/>
              </w:rPr>
            </w:pPr>
            <w:r>
              <w:rPr>
                <w:rFonts w:ascii="宋体" w:hAnsi="宋体"/>
                <w:sz w:val="28"/>
                <w:szCs w:val="28"/>
                <w:lang w:val="zh-CN"/>
              </w:rPr>
              <w:t>1</w:t>
            </w:r>
          </w:p>
        </w:tc>
        <w:tc>
          <w:tcPr>
            <w:tcW w:w="1556" w:type="dxa"/>
            <w:vAlign w:val="center"/>
          </w:tcPr>
          <w:p w14:paraId="0318613F">
            <w:pPr>
              <w:pStyle w:val="31"/>
              <w:ind w:left="38"/>
              <w:jc w:val="center"/>
              <w:rPr>
                <w:kern w:val="2"/>
                <w:lang w:val="zh-CN"/>
              </w:rPr>
            </w:pPr>
            <w:r>
              <w:rPr>
                <w:rFonts w:hint="eastAsia"/>
                <w:kern w:val="2"/>
                <w:lang w:val="zh-CN"/>
              </w:rPr>
              <w:t>采购预算</w:t>
            </w:r>
          </w:p>
        </w:tc>
        <w:tc>
          <w:tcPr>
            <w:tcW w:w="7067" w:type="dxa"/>
            <w:vAlign w:val="center"/>
          </w:tcPr>
          <w:p w14:paraId="173D4E42">
            <w:pPr>
              <w:pStyle w:val="31"/>
              <w:numPr>
                <w:ilvl w:val="0"/>
                <w:numId w:val="1"/>
              </w:numPr>
              <w:spacing w:line="360" w:lineRule="auto"/>
              <w:jc w:val="both"/>
              <w:rPr>
                <w:rFonts w:hint="eastAsia"/>
                <w:b/>
                <w:kern w:val="2"/>
                <w:lang w:val="zh-CN"/>
              </w:rPr>
            </w:pPr>
            <w:r>
              <w:rPr>
                <w:rFonts w:hint="eastAsia"/>
                <w:b/>
                <w:kern w:val="2"/>
                <w:lang w:val="zh-CN"/>
              </w:rPr>
              <w:t>陕西省水利技术标准体系表（2025版）修订,人民币</w:t>
            </w:r>
            <w:r>
              <w:rPr>
                <w:rFonts w:hint="eastAsia"/>
                <w:b/>
                <w:kern w:val="2"/>
                <w:lang w:val="en-US" w:eastAsia="zh-CN"/>
              </w:rPr>
              <w:t>4</w:t>
            </w:r>
            <w:r>
              <w:rPr>
                <w:rFonts w:hint="eastAsia"/>
                <w:b/>
                <w:kern w:val="2"/>
                <w:u w:val="single"/>
                <w:lang w:val="en-US" w:eastAsia="zh-CN"/>
              </w:rPr>
              <w:t>00000.00</w:t>
            </w:r>
            <w:r>
              <w:rPr>
                <w:rFonts w:hint="eastAsia"/>
                <w:b/>
                <w:kern w:val="2"/>
                <w:lang w:val="zh-CN"/>
              </w:rPr>
              <w:t>元（</w:t>
            </w:r>
            <w:r>
              <w:rPr>
                <w:rFonts w:hint="eastAsia"/>
                <w:b/>
                <w:kern w:val="2"/>
                <w:lang w:val="en-US" w:eastAsia="zh-CN"/>
              </w:rPr>
              <w:t>大写肆拾万元）；</w:t>
            </w:r>
          </w:p>
          <w:p w14:paraId="32D9208F">
            <w:pPr>
              <w:pStyle w:val="31"/>
              <w:spacing w:line="360" w:lineRule="auto"/>
              <w:jc w:val="both"/>
              <w:rPr>
                <w:rFonts w:hint="eastAsia"/>
                <w:b/>
                <w:kern w:val="2"/>
                <w:lang w:val="en-US" w:eastAsia="zh-CN"/>
              </w:rPr>
            </w:pPr>
            <w:r>
              <w:rPr>
                <w:rFonts w:hint="eastAsia"/>
                <w:b/>
                <w:kern w:val="2"/>
                <w:lang w:val="en-US" w:eastAsia="zh-CN"/>
              </w:rPr>
              <w:t>2、</w:t>
            </w:r>
            <w:r>
              <w:rPr>
                <w:rFonts w:hint="eastAsia"/>
                <w:b/>
                <w:kern w:val="2"/>
                <w:lang w:val="zh-CN"/>
              </w:rPr>
              <w:t>陕西水库安全监测预警智能集控关键技术研究,人民币</w:t>
            </w:r>
            <w:r>
              <w:rPr>
                <w:rFonts w:hint="eastAsia"/>
                <w:b/>
                <w:kern w:val="2"/>
                <w:lang w:val="en-US" w:eastAsia="zh-CN"/>
              </w:rPr>
              <w:t>48</w:t>
            </w:r>
            <w:r>
              <w:rPr>
                <w:rFonts w:hint="eastAsia"/>
                <w:b/>
                <w:kern w:val="2"/>
                <w:u w:val="single"/>
                <w:lang w:val="en-US" w:eastAsia="zh-CN"/>
              </w:rPr>
              <w:t>0000.00</w:t>
            </w:r>
            <w:r>
              <w:rPr>
                <w:rFonts w:hint="eastAsia"/>
                <w:b/>
                <w:kern w:val="2"/>
                <w:lang w:val="zh-CN"/>
              </w:rPr>
              <w:t>元（</w:t>
            </w:r>
            <w:r>
              <w:rPr>
                <w:rFonts w:hint="eastAsia"/>
                <w:b/>
                <w:kern w:val="2"/>
                <w:lang w:val="en-US" w:eastAsia="zh-CN"/>
              </w:rPr>
              <w:t>大写肆拾捌万元）；</w:t>
            </w:r>
          </w:p>
          <w:p w14:paraId="56294D44">
            <w:pPr>
              <w:pStyle w:val="31"/>
              <w:jc w:val="both"/>
              <w:rPr>
                <w:b/>
                <w:kern w:val="2"/>
                <w:lang w:val="zh-CN"/>
              </w:rPr>
            </w:pPr>
            <w:r>
              <w:rPr>
                <w:rFonts w:hint="eastAsia"/>
                <w:kern w:val="2"/>
                <w:sz w:val="21"/>
                <w:szCs w:val="21"/>
                <w:lang w:val="zh-CN"/>
              </w:rPr>
              <w:t>仅指与本次采购标的直接相关的费用，前期勘察费、设计费等已发生的费用，以及监理费、接口费等为未来预留费用，不应当包含在本项目采购预算内，甲方须向本级财政部门经费业务处室申请办理经费剥离手续。</w:t>
            </w:r>
          </w:p>
        </w:tc>
      </w:tr>
      <w:tr w14:paraId="147D8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14:paraId="252CA73A">
            <w:pPr>
              <w:snapToGrid w:val="0"/>
              <w:spacing w:after="200"/>
              <w:jc w:val="center"/>
              <w:rPr>
                <w:rFonts w:ascii="宋体" w:hAnsi="宋体"/>
                <w:sz w:val="28"/>
                <w:szCs w:val="28"/>
                <w:lang w:val="zh-CN"/>
              </w:rPr>
            </w:pPr>
            <w:r>
              <w:rPr>
                <w:rFonts w:ascii="宋体" w:hAnsi="宋体"/>
                <w:sz w:val="28"/>
                <w:szCs w:val="28"/>
                <w:lang w:val="zh-CN"/>
              </w:rPr>
              <w:t>2</w:t>
            </w:r>
          </w:p>
        </w:tc>
        <w:tc>
          <w:tcPr>
            <w:tcW w:w="1556" w:type="dxa"/>
            <w:vAlign w:val="center"/>
          </w:tcPr>
          <w:p w14:paraId="5ADF2BB3">
            <w:pPr>
              <w:pStyle w:val="31"/>
              <w:ind w:left="38"/>
              <w:jc w:val="center"/>
              <w:rPr>
                <w:kern w:val="2"/>
                <w:lang w:val="zh-CN"/>
              </w:rPr>
            </w:pPr>
            <w:r>
              <w:rPr>
                <w:rFonts w:hint="eastAsia"/>
                <w:kern w:val="2"/>
                <w:lang w:val="zh-CN"/>
              </w:rPr>
              <w:t>最高限价</w:t>
            </w:r>
          </w:p>
        </w:tc>
        <w:tc>
          <w:tcPr>
            <w:tcW w:w="7067" w:type="dxa"/>
            <w:vAlign w:val="center"/>
          </w:tcPr>
          <w:p w14:paraId="7C08EAF9">
            <w:pPr>
              <w:pStyle w:val="31"/>
              <w:numPr>
                <w:numId w:val="0"/>
              </w:numPr>
              <w:spacing w:line="360" w:lineRule="auto"/>
              <w:jc w:val="both"/>
              <w:rPr>
                <w:rFonts w:hint="eastAsia"/>
                <w:b/>
                <w:kern w:val="2"/>
                <w:lang w:val="zh-CN"/>
              </w:rPr>
            </w:pPr>
            <w:r>
              <w:rPr>
                <w:rFonts w:hint="eastAsia"/>
                <w:b/>
                <w:kern w:val="2"/>
                <w:lang w:val="en-US" w:eastAsia="zh-CN"/>
              </w:rPr>
              <w:t>1、</w:t>
            </w:r>
            <w:r>
              <w:rPr>
                <w:rFonts w:hint="eastAsia"/>
                <w:b/>
                <w:kern w:val="2"/>
                <w:lang w:val="zh-CN"/>
              </w:rPr>
              <w:t>陕西省水利技术标准体系表（2025版）修订,人民币</w:t>
            </w:r>
            <w:r>
              <w:rPr>
                <w:rFonts w:hint="eastAsia"/>
                <w:b/>
                <w:kern w:val="2"/>
                <w:lang w:val="en-US" w:eastAsia="zh-CN"/>
              </w:rPr>
              <w:t>4</w:t>
            </w:r>
            <w:r>
              <w:rPr>
                <w:rFonts w:hint="eastAsia"/>
                <w:b/>
                <w:kern w:val="2"/>
                <w:u w:val="single"/>
                <w:lang w:val="en-US" w:eastAsia="zh-CN"/>
              </w:rPr>
              <w:t>00000.00</w:t>
            </w:r>
            <w:r>
              <w:rPr>
                <w:rFonts w:hint="eastAsia"/>
                <w:b/>
                <w:kern w:val="2"/>
                <w:lang w:val="zh-CN"/>
              </w:rPr>
              <w:t>元（</w:t>
            </w:r>
            <w:r>
              <w:rPr>
                <w:rFonts w:hint="eastAsia"/>
                <w:b/>
                <w:kern w:val="2"/>
                <w:lang w:val="en-US" w:eastAsia="zh-CN"/>
              </w:rPr>
              <w:t>大写肆拾万元）；</w:t>
            </w:r>
          </w:p>
          <w:p w14:paraId="6BC49243">
            <w:pPr>
              <w:pStyle w:val="31"/>
              <w:spacing w:line="360" w:lineRule="auto"/>
              <w:jc w:val="both"/>
              <w:rPr>
                <w:rFonts w:hint="eastAsia"/>
                <w:b/>
                <w:kern w:val="2"/>
                <w:lang w:val="en-US" w:eastAsia="zh-CN"/>
              </w:rPr>
            </w:pPr>
            <w:r>
              <w:rPr>
                <w:rFonts w:hint="eastAsia"/>
                <w:b/>
                <w:kern w:val="2"/>
                <w:lang w:val="en-US" w:eastAsia="zh-CN"/>
              </w:rPr>
              <w:t>2、</w:t>
            </w:r>
            <w:r>
              <w:rPr>
                <w:rFonts w:hint="eastAsia"/>
                <w:b/>
                <w:kern w:val="2"/>
                <w:lang w:val="zh-CN"/>
              </w:rPr>
              <w:t>陕西水库安全监测预警智能集控关键技术研究,人民币</w:t>
            </w:r>
            <w:r>
              <w:rPr>
                <w:rFonts w:hint="eastAsia"/>
                <w:b/>
                <w:kern w:val="2"/>
                <w:lang w:val="en-US" w:eastAsia="zh-CN"/>
              </w:rPr>
              <w:t>48</w:t>
            </w:r>
            <w:r>
              <w:rPr>
                <w:rFonts w:hint="eastAsia"/>
                <w:b/>
                <w:kern w:val="2"/>
                <w:u w:val="single"/>
                <w:lang w:val="en-US" w:eastAsia="zh-CN"/>
              </w:rPr>
              <w:t>0000.00</w:t>
            </w:r>
            <w:r>
              <w:rPr>
                <w:rFonts w:hint="eastAsia"/>
                <w:b/>
                <w:kern w:val="2"/>
                <w:lang w:val="zh-CN"/>
              </w:rPr>
              <w:t>元（</w:t>
            </w:r>
            <w:r>
              <w:rPr>
                <w:rFonts w:hint="eastAsia"/>
                <w:b/>
                <w:kern w:val="2"/>
                <w:lang w:val="en-US" w:eastAsia="zh-CN"/>
              </w:rPr>
              <w:t>大写肆拾捌万元）；</w:t>
            </w:r>
          </w:p>
          <w:p w14:paraId="591B8706">
            <w:pPr>
              <w:pStyle w:val="31"/>
              <w:ind w:left="38"/>
              <w:jc w:val="both"/>
              <w:rPr>
                <w:b/>
                <w:kern w:val="2"/>
                <w:lang w:val="zh-CN"/>
              </w:rPr>
            </w:pPr>
            <w:r>
              <w:rPr>
                <w:rFonts w:hint="eastAsia"/>
                <w:kern w:val="2"/>
                <w:sz w:val="21"/>
                <w:szCs w:val="21"/>
                <w:lang w:val="zh-CN"/>
              </w:rPr>
              <w:t>供应商投标报价高于最高限价的则其投标文件将按无效投标文件处理。</w:t>
            </w:r>
          </w:p>
        </w:tc>
      </w:tr>
      <w:tr w14:paraId="65060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Merge w:val="restart"/>
            <w:vAlign w:val="center"/>
          </w:tcPr>
          <w:p w14:paraId="6BED88CC">
            <w:pPr>
              <w:snapToGrid w:val="0"/>
              <w:spacing w:after="200"/>
              <w:jc w:val="center"/>
              <w:rPr>
                <w:rFonts w:ascii="宋体" w:hAnsi="宋体"/>
                <w:sz w:val="28"/>
                <w:szCs w:val="28"/>
                <w:lang w:val="zh-CN"/>
              </w:rPr>
            </w:pPr>
            <w:r>
              <w:rPr>
                <w:rFonts w:ascii="宋体" w:hAnsi="宋体"/>
                <w:sz w:val="28"/>
                <w:szCs w:val="28"/>
                <w:lang w:val="zh-CN"/>
              </w:rPr>
              <w:t>3</w:t>
            </w:r>
          </w:p>
        </w:tc>
        <w:tc>
          <w:tcPr>
            <w:tcW w:w="1556" w:type="dxa"/>
            <w:vMerge w:val="restart"/>
            <w:vAlign w:val="center"/>
          </w:tcPr>
          <w:p w14:paraId="563CE872">
            <w:pPr>
              <w:pStyle w:val="31"/>
              <w:ind w:left="38"/>
              <w:jc w:val="center"/>
              <w:rPr>
                <w:rFonts w:hint="eastAsia"/>
                <w:kern w:val="2"/>
                <w:lang w:val="zh-CN"/>
              </w:rPr>
            </w:pPr>
            <w:r>
              <w:rPr>
                <w:rFonts w:hint="eastAsia"/>
                <w:kern w:val="2"/>
                <w:lang w:val="zh-CN"/>
              </w:rPr>
              <w:t>项目性质</w:t>
            </w:r>
          </w:p>
        </w:tc>
        <w:tc>
          <w:tcPr>
            <w:tcW w:w="7067" w:type="dxa"/>
            <w:vAlign w:val="center"/>
          </w:tcPr>
          <w:p w14:paraId="7E1FC5F6">
            <w:pPr>
              <w:pStyle w:val="31"/>
              <w:jc w:val="both"/>
              <w:rPr>
                <w:b/>
                <w:kern w:val="2"/>
                <w:lang w:val="zh-CN"/>
              </w:rPr>
            </w:pPr>
            <w:r>
              <w:rPr>
                <w:rFonts w:hint="eastAsia" w:cs="宋体"/>
                <w:b w:val="0"/>
                <w:bCs w:val="0"/>
                <w:color w:val="000000"/>
                <w:sz w:val="20"/>
                <w:szCs w:val="20"/>
                <w:highlight w:val="none"/>
                <w:lang w:val="zh-CN" w:eastAsia="zh-CN" w:bidi="zh-CN"/>
              </w:rPr>
              <w:t>□</w:t>
            </w:r>
            <w:r>
              <w:rPr>
                <w:rFonts w:hint="eastAsia"/>
                <w:b/>
                <w:kern w:val="2"/>
                <w:lang w:val="zh-CN"/>
              </w:rPr>
              <w:t>专门面向中小企业采购</w:t>
            </w:r>
          </w:p>
          <w:p w14:paraId="5FCD04D5">
            <w:pPr>
              <w:pStyle w:val="31"/>
              <w:ind w:left="38"/>
              <w:jc w:val="both"/>
              <w:rPr>
                <w:rFonts w:hint="eastAsia"/>
                <w:b/>
                <w:kern w:val="2"/>
                <w:lang w:val="zh-CN"/>
              </w:rPr>
            </w:pPr>
            <w:r>
              <w:rPr>
                <w:rFonts w:hint="eastAsia"/>
                <w:kern w:val="2"/>
                <w:sz w:val="21"/>
                <w:szCs w:val="21"/>
                <w:lang w:val="zh-CN"/>
              </w:rPr>
              <w:t>仅允许中小企业或小型、微型企业参与投标。</w:t>
            </w:r>
          </w:p>
        </w:tc>
      </w:tr>
      <w:tr w14:paraId="5F773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Merge w:val="continue"/>
            <w:vAlign w:val="center"/>
          </w:tcPr>
          <w:p w14:paraId="6E688A98">
            <w:pPr>
              <w:snapToGrid w:val="0"/>
              <w:spacing w:after="200"/>
              <w:ind w:left="142"/>
              <w:jc w:val="center"/>
              <w:rPr>
                <w:rFonts w:ascii="宋体" w:hAnsi="宋体"/>
                <w:b/>
                <w:sz w:val="28"/>
                <w:szCs w:val="28"/>
                <w:lang w:val="zh-CN"/>
              </w:rPr>
            </w:pPr>
          </w:p>
        </w:tc>
        <w:tc>
          <w:tcPr>
            <w:tcW w:w="1556" w:type="dxa"/>
            <w:vMerge w:val="continue"/>
            <w:vAlign w:val="center"/>
          </w:tcPr>
          <w:p w14:paraId="6CE54C9B">
            <w:pPr>
              <w:pStyle w:val="31"/>
              <w:ind w:left="96"/>
              <w:jc w:val="center"/>
              <w:rPr>
                <w:kern w:val="2"/>
                <w:lang w:val="zh-CN"/>
              </w:rPr>
            </w:pPr>
          </w:p>
        </w:tc>
        <w:tc>
          <w:tcPr>
            <w:tcW w:w="7067" w:type="dxa"/>
            <w:vAlign w:val="center"/>
          </w:tcPr>
          <w:p w14:paraId="49525FD8">
            <w:pPr>
              <w:rPr>
                <w:rFonts w:ascii="宋体" w:hAnsi="宋体" w:cs="宋体"/>
                <w:b/>
                <w:sz w:val="24"/>
                <w:szCs w:val="24"/>
                <w:lang w:val="zh-CN"/>
              </w:rPr>
            </w:pPr>
            <w:r>
              <w:rPr>
                <w:rFonts w:hint="eastAsia" w:cs="宋体"/>
                <w:b w:val="0"/>
                <w:bCs w:val="0"/>
                <w:color w:val="000000"/>
                <w:sz w:val="20"/>
                <w:szCs w:val="20"/>
                <w:highlight w:val="none"/>
                <w:lang w:val="zh-CN" w:eastAsia="zh-CN" w:bidi="zh-CN"/>
              </w:rPr>
              <w:t>☑</w:t>
            </w:r>
            <w:r>
              <w:rPr>
                <w:rFonts w:hint="eastAsia" w:ascii="宋体" w:hAnsi="宋体" w:cs="宋体"/>
                <w:b/>
                <w:sz w:val="24"/>
                <w:szCs w:val="24"/>
                <w:lang w:val="zh-CN"/>
              </w:rPr>
              <w:t>非专门面向中小企业采购</w:t>
            </w:r>
          </w:p>
          <w:p w14:paraId="24BD6901">
            <w:pPr>
              <w:ind w:right="94" w:rightChars="45"/>
              <w:rPr>
                <w:rFonts w:ascii="宋体" w:hAnsi="宋体"/>
                <w:b/>
                <w:szCs w:val="21"/>
              </w:rPr>
            </w:pPr>
            <w:r>
              <w:rPr>
                <w:rFonts w:hint="eastAsia" w:ascii="宋体" w:hAnsi="宋体" w:cs="宋体"/>
                <w:color w:val="000000" w:themeColor="text1"/>
                <w:kern w:val="0"/>
                <w:szCs w:val="21"/>
                <w:lang w:val="zh-CN"/>
                <w14:textFill>
                  <w14:solidFill>
                    <w14:schemeClr w14:val="tx1"/>
                  </w14:solidFill>
                </w14:textFill>
              </w:rPr>
              <w:t>对符合《政府采购促进中小企业发展管理办法》（财库〔2020〕46号）规定的小微企业（监狱企业视同小型、微型企业）的报价</w:t>
            </w:r>
            <w:r>
              <w:rPr>
                <w:rFonts w:hint="eastAsia" w:ascii="宋体" w:hAnsi="宋体" w:cs="宋体"/>
                <w:b/>
                <w:color w:val="000000" w:themeColor="text1"/>
                <w:kern w:val="0"/>
                <w:szCs w:val="21"/>
                <w:lang w:val="zh-CN"/>
                <w14:textFill>
                  <w14:solidFill>
                    <w14:schemeClr w14:val="tx1"/>
                  </w14:solidFill>
                </w14:textFill>
              </w:rPr>
              <w:t>给予</w:t>
            </w:r>
            <w:r>
              <w:rPr>
                <w:rFonts w:hint="eastAsia" w:ascii="宋体" w:hAnsi="宋体" w:cs="宋体"/>
                <w:b/>
                <w:color w:val="000000" w:themeColor="text1"/>
                <w:kern w:val="0"/>
                <w:szCs w:val="21"/>
                <w:u w:val="single"/>
                <w:lang w:val="en-US" w:eastAsia="zh-CN"/>
                <w14:textFill>
                  <w14:solidFill>
                    <w14:schemeClr w14:val="tx1"/>
                  </w14:solidFill>
                </w14:textFill>
              </w:rPr>
              <w:t xml:space="preserve">10 </w:t>
            </w:r>
            <w:r>
              <w:rPr>
                <w:rFonts w:hint="eastAsia" w:ascii="宋体" w:hAnsi="宋体" w:cs="宋体"/>
                <w:b/>
                <w:color w:val="000000" w:themeColor="text1"/>
                <w:kern w:val="0"/>
                <w:szCs w:val="21"/>
                <w:lang w:val="zh-CN"/>
                <w14:textFill>
                  <w14:solidFill>
                    <w14:schemeClr w14:val="tx1"/>
                  </w14:solidFill>
                </w14:textFill>
              </w:rPr>
              <w:t>%的扣除</w:t>
            </w:r>
            <w:r>
              <w:rPr>
                <w:rFonts w:hint="eastAsia" w:ascii="宋体" w:hAnsi="宋体" w:cs="宋体"/>
                <w:color w:val="000000" w:themeColor="text1"/>
                <w:kern w:val="0"/>
                <w:szCs w:val="21"/>
                <w:lang w:val="zh-CN"/>
                <w14:textFill>
                  <w14:solidFill>
                    <w14:schemeClr w14:val="tx1"/>
                  </w14:solidFill>
                </w14:textFill>
              </w:rPr>
              <w:t>，用扣除后的价格参加评审。</w:t>
            </w:r>
          </w:p>
        </w:tc>
      </w:tr>
      <w:tr w14:paraId="0DA78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14:paraId="47B118D0">
            <w:pPr>
              <w:snapToGrid w:val="0"/>
              <w:spacing w:after="200"/>
              <w:jc w:val="center"/>
              <w:rPr>
                <w:rFonts w:ascii="宋体" w:hAnsi="宋体"/>
                <w:sz w:val="24"/>
              </w:rPr>
            </w:pPr>
            <w:r>
              <w:rPr>
                <w:rFonts w:ascii="宋体" w:hAnsi="宋体"/>
                <w:sz w:val="24"/>
              </w:rPr>
              <w:t>4</w:t>
            </w:r>
          </w:p>
        </w:tc>
        <w:tc>
          <w:tcPr>
            <w:tcW w:w="1556" w:type="dxa"/>
            <w:vAlign w:val="center"/>
          </w:tcPr>
          <w:p w14:paraId="269E1100">
            <w:pPr>
              <w:pStyle w:val="31"/>
              <w:ind w:left="96"/>
              <w:jc w:val="center"/>
              <w:rPr>
                <w:kern w:val="2"/>
                <w:lang w:val="zh-CN"/>
              </w:rPr>
            </w:pPr>
            <w:r>
              <w:rPr>
                <w:kern w:val="2"/>
                <w:lang w:val="zh-CN"/>
              </w:rPr>
              <w:t>对供应商的</w:t>
            </w:r>
            <w:r>
              <w:rPr>
                <w:kern w:val="2"/>
                <w:lang w:val="zh-CN"/>
              </w:rPr>
              <w:br w:type="textWrapping"/>
            </w:r>
            <w:r>
              <w:rPr>
                <w:kern w:val="2"/>
                <w:lang w:val="zh-CN"/>
              </w:rPr>
              <w:t>资格要求</w:t>
            </w:r>
          </w:p>
        </w:tc>
        <w:tc>
          <w:tcPr>
            <w:tcW w:w="7067" w:type="dxa"/>
            <w:vAlign w:val="center"/>
          </w:tcPr>
          <w:p w14:paraId="696E6504">
            <w:pPr>
              <w:pStyle w:val="38"/>
              <w:keepNext w:val="0"/>
              <w:keepLines w:val="0"/>
              <w:pageBreakBefore w:val="0"/>
              <w:widowControl/>
              <w:kinsoku/>
              <w:wordWrap/>
              <w:overflowPunct/>
              <w:topLinePunct w:val="0"/>
              <w:autoSpaceDE/>
              <w:autoSpaceDN/>
              <w:bidi w:val="0"/>
              <w:adjustRightInd/>
              <w:snapToGrid/>
              <w:spacing w:line="336" w:lineRule="auto"/>
              <w:textAlignment w:val="auto"/>
              <w:rPr>
                <w:rFonts w:hint="eastAsia"/>
                <w:b/>
                <w:bCs/>
                <w:sz w:val="24"/>
                <w:szCs w:val="24"/>
                <w:lang w:eastAsia="zh-CN"/>
              </w:rPr>
            </w:pPr>
            <w:r>
              <w:rPr>
                <w:b/>
                <w:bCs/>
                <w:sz w:val="24"/>
                <w:szCs w:val="24"/>
              </w:rPr>
              <w:t>供应商一般资格要求</w:t>
            </w:r>
            <w:r>
              <w:rPr>
                <w:rFonts w:hint="eastAsia"/>
                <w:b/>
                <w:bCs/>
                <w:sz w:val="24"/>
                <w:szCs w:val="24"/>
                <w:lang w:eastAsia="zh-CN"/>
              </w:rPr>
              <w:t>：</w:t>
            </w:r>
          </w:p>
          <w:p w14:paraId="1DE27B7B">
            <w:pPr>
              <w:pStyle w:val="38"/>
              <w:keepNext w:val="0"/>
              <w:keepLines w:val="0"/>
              <w:pageBreakBefore w:val="0"/>
              <w:widowControl/>
              <w:numPr>
                <w:ilvl w:val="0"/>
                <w:numId w:val="0"/>
              </w:numPr>
              <w:kinsoku/>
              <w:wordWrap/>
              <w:overflowPunct/>
              <w:topLinePunct w:val="0"/>
              <w:autoSpaceDE/>
              <w:autoSpaceDN/>
              <w:bidi w:val="0"/>
              <w:adjustRightInd/>
              <w:snapToGrid/>
              <w:spacing w:line="336" w:lineRule="auto"/>
              <w:ind w:firstLine="480" w:firstLineChars="200"/>
              <w:textAlignment w:val="auto"/>
              <w:rPr>
                <w:rFonts w:hint="eastAsia"/>
                <w:sz w:val="24"/>
                <w:szCs w:val="24"/>
                <w:lang w:val="en-US" w:eastAsia="zh-CN"/>
              </w:rPr>
            </w:pPr>
            <w:r>
              <w:rPr>
                <w:rFonts w:hint="eastAsia"/>
                <w:sz w:val="24"/>
                <w:szCs w:val="24"/>
                <w:lang w:val="en-US" w:eastAsia="zh-CN"/>
              </w:rPr>
              <w:t>1、</w:t>
            </w:r>
            <w:r>
              <w:rPr>
                <w:sz w:val="24"/>
                <w:szCs w:val="24"/>
              </w:rPr>
              <w:t>供应商应具备《中华人民共和国政府采购法》第二十二条规定的条件</w:t>
            </w:r>
            <w:r>
              <w:rPr>
                <w:rFonts w:hint="eastAsia"/>
                <w:sz w:val="24"/>
                <w:szCs w:val="24"/>
                <w:lang w:val="en-US" w:eastAsia="zh-CN"/>
              </w:rPr>
              <w:t>；</w:t>
            </w:r>
          </w:p>
          <w:p w14:paraId="622601C1">
            <w:pPr>
              <w:pStyle w:val="38"/>
              <w:keepNext w:val="0"/>
              <w:keepLines w:val="0"/>
              <w:pageBreakBefore w:val="0"/>
              <w:widowControl/>
              <w:numPr>
                <w:ilvl w:val="0"/>
                <w:numId w:val="0"/>
              </w:numPr>
              <w:kinsoku/>
              <w:wordWrap/>
              <w:overflowPunct/>
              <w:topLinePunct w:val="0"/>
              <w:autoSpaceDE/>
              <w:autoSpaceDN/>
              <w:bidi w:val="0"/>
              <w:adjustRightInd/>
              <w:snapToGrid/>
              <w:spacing w:line="336" w:lineRule="auto"/>
              <w:ind w:firstLine="480" w:firstLineChars="200"/>
              <w:textAlignment w:val="auto"/>
              <w:rPr>
                <w:rFonts w:hint="eastAsia" w:eastAsiaTheme="minorEastAsia"/>
                <w:sz w:val="24"/>
                <w:szCs w:val="24"/>
                <w:lang w:val="en-US" w:eastAsia="zh-CN"/>
              </w:rPr>
            </w:pPr>
            <w:r>
              <w:rPr>
                <w:rFonts w:hint="eastAsia"/>
                <w:sz w:val="24"/>
                <w:szCs w:val="24"/>
                <w:lang w:val="en-US" w:eastAsia="zh-CN"/>
              </w:rPr>
              <w:t>2、</w:t>
            </w:r>
            <w:r>
              <w:rPr>
                <w:sz w:val="24"/>
                <w:szCs w:val="24"/>
              </w:rPr>
              <w:t>供应商应提供健全的财务会计制度的证明材料</w:t>
            </w:r>
            <w:r>
              <w:rPr>
                <w:rFonts w:hint="eastAsia"/>
                <w:sz w:val="24"/>
                <w:szCs w:val="24"/>
                <w:lang w:eastAsia="zh-CN"/>
              </w:rPr>
              <w:t>：</w:t>
            </w:r>
            <w:r>
              <w:rPr>
                <w:sz w:val="24"/>
                <w:szCs w:val="24"/>
              </w:rPr>
              <w:t>提供202</w:t>
            </w:r>
            <w:r>
              <w:rPr>
                <w:rFonts w:hint="eastAsia"/>
                <w:sz w:val="24"/>
                <w:szCs w:val="24"/>
                <w:lang w:val="en-US" w:eastAsia="zh-CN"/>
              </w:rPr>
              <w:t>2</w:t>
            </w:r>
            <w:r>
              <w:rPr>
                <w:sz w:val="24"/>
                <w:szCs w:val="24"/>
              </w:rPr>
              <w:t>-202</w:t>
            </w:r>
            <w:r>
              <w:rPr>
                <w:rFonts w:hint="eastAsia"/>
                <w:sz w:val="24"/>
                <w:szCs w:val="24"/>
                <w:lang w:val="en-US" w:eastAsia="zh-CN"/>
              </w:rPr>
              <w:t>4</w:t>
            </w:r>
            <w:r>
              <w:rPr>
                <w:sz w:val="24"/>
                <w:szCs w:val="24"/>
              </w:rPr>
              <w:t>年任意一年的财务报告，202</w:t>
            </w:r>
            <w:r>
              <w:rPr>
                <w:rFonts w:hint="eastAsia"/>
                <w:sz w:val="24"/>
                <w:szCs w:val="24"/>
                <w:lang w:val="en-US" w:eastAsia="zh-CN"/>
              </w:rPr>
              <w:t>4</w:t>
            </w:r>
            <w:r>
              <w:rPr>
                <w:sz w:val="24"/>
                <w:szCs w:val="24"/>
              </w:rPr>
              <w:t>年1月至今新成立公司须提供银行资信证明或新成立以来的财务报表，至少包括资产负债表、利润表、现金流量表。供应商需在项目电子化交易系统中按要求上传相应证明文件并进行电子签章。</w:t>
            </w:r>
          </w:p>
          <w:p w14:paraId="78E3C1D2">
            <w:pPr>
              <w:pStyle w:val="38"/>
              <w:keepNext w:val="0"/>
              <w:keepLines w:val="0"/>
              <w:pageBreakBefore w:val="0"/>
              <w:widowControl/>
              <w:numPr>
                <w:ilvl w:val="0"/>
                <w:numId w:val="0"/>
              </w:numPr>
              <w:kinsoku/>
              <w:wordWrap/>
              <w:overflowPunct/>
              <w:topLinePunct w:val="0"/>
              <w:autoSpaceDE/>
              <w:autoSpaceDN/>
              <w:bidi w:val="0"/>
              <w:adjustRightInd/>
              <w:snapToGrid/>
              <w:spacing w:line="336" w:lineRule="auto"/>
              <w:ind w:firstLine="480" w:firstLineChars="200"/>
              <w:textAlignment w:val="auto"/>
              <w:rPr>
                <w:rFonts w:hint="eastAsia" w:eastAsiaTheme="minorEastAsia"/>
                <w:sz w:val="24"/>
                <w:szCs w:val="24"/>
                <w:lang w:val="en-US" w:eastAsia="zh-CN"/>
              </w:rPr>
            </w:pPr>
            <w:r>
              <w:rPr>
                <w:rFonts w:hint="eastAsia"/>
                <w:sz w:val="24"/>
                <w:szCs w:val="24"/>
                <w:lang w:val="en-US" w:eastAsia="zh-CN"/>
              </w:rPr>
              <w:t>3、</w:t>
            </w:r>
            <w:r>
              <w:rPr>
                <w:sz w:val="24"/>
                <w:szCs w:val="24"/>
              </w:rPr>
              <w:t>单位负责人为同一人或者存在直接控股、管理关系的不同供应商不得参加同一合同项下的政府采购活动； 为本项目提供整体设计、规范编制或者项目管理、监理、检测等服务的供应商，不得再参加该采购项目的其他采购活动</w:t>
            </w:r>
            <w:r>
              <w:rPr>
                <w:rFonts w:hint="eastAsia"/>
                <w:sz w:val="24"/>
                <w:szCs w:val="24"/>
                <w:lang w:eastAsia="zh-CN"/>
              </w:rPr>
              <w:t>：</w:t>
            </w:r>
            <w:r>
              <w:rPr>
                <w:sz w:val="24"/>
                <w:szCs w:val="24"/>
              </w:rPr>
              <w:t>供应商需在项目电子化交易系统中按要求填写《投标函》完成承诺并进行电子签章。</w:t>
            </w:r>
          </w:p>
          <w:p w14:paraId="5EDD837B">
            <w:pPr>
              <w:pStyle w:val="38"/>
              <w:keepNext w:val="0"/>
              <w:keepLines w:val="0"/>
              <w:pageBreakBefore w:val="0"/>
              <w:widowControl/>
              <w:numPr>
                <w:ilvl w:val="0"/>
                <w:numId w:val="0"/>
              </w:numPr>
              <w:kinsoku/>
              <w:wordWrap/>
              <w:overflowPunct/>
              <w:topLinePunct w:val="0"/>
              <w:autoSpaceDE/>
              <w:autoSpaceDN/>
              <w:bidi w:val="0"/>
              <w:adjustRightInd/>
              <w:snapToGrid/>
              <w:spacing w:line="336" w:lineRule="auto"/>
              <w:textAlignment w:val="auto"/>
              <w:rPr>
                <w:rFonts w:hint="eastAsia"/>
                <w:b/>
                <w:bCs/>
                <w:sz w:val="24"/>
                <w:szCs w:val="24"/>
                <w:lang w:val="en-US" w:eastAsia="zh-CN"/>
              </w:rPr>
            </w:pPr>
            <w:r>
              <w:rPr>
                <w:rFonts w:hint="eastAsia"/>
                <w:b/>
                <w:bCs/>
                <w:sz w:val="24"/>
                <w:szCs w:val="24"/>
                <w:lang w:val="en-US" w:eastAsia="zh-CN"/>
              </w:rPr>
              <w:t>供应商特殊资格要求：</w:t>
            </w:r>
          </w:p>
          <w:p w14:paraId="6518C9C6">
            <w:pPr>
              <w:pStyle w:val="38"/>
              <w:keepNext w:val="0"/>
              <w:keepLines w:val="0"/>
              <w:pageBreakBefore w:val="0"/>
              <w:widowControl/>
              <w:numPr>
                <w:ilvl w:val="0"/>
                <w:numId w:val="0"/>
              </w:numPr>
              <w:kinsoku/>
              <w:wordWrap/>
              <w:overflowPunct/>
              <w:topLinePunct w:val="0"/>
              <w:autoSpaceDE/>
              <w:autoSpaceDN/>
              <w:bidi w:val="0"/>
              <w:adjustRightInd/>
              <w:snapToGrid/>
              <w:spacing w:line="336" w:lineRule="auto"/>
              <w:ind w:firstLine="480" w:firstLineChars="200"/>
              <w:textAlignment w:val="auto"/>
              <w:rPr>
                <w:rFonts w:hint="eastAsia"/>
                <w:sz w:val="24"/>
                <w:szCs w:val="24"/>
                <w:lang w:val="en-US" w:eastAsia="zh-CN"/>
              </w:rPr>
            </w:pPr>
            <w:r>
              <w:rPr>
                <w:rFonts w:hint="eastAsia"/>
                <w:b w:val="0"/>
                <w:bCs w:val="0"/>
                <w:sz w:val="24"/>
                <w:szCs w:val="24"/>
                <w:lang w:val="en-US" w:eastAsia="zh-CN"/>
              </w:rPr>
              <w:t>1、</w:t>
            </w:r>
            <w:r>
              <w:rPr>
                <w:b w:val="0"/>
                <w:bCs w:val="0"/>
                <w:sz w:val="24"/>
                <w:szCs w:val="24"/>
              </w:rPr>
              <w:t>营业</w:t>
            </w:r>
            <w:r>
              <w:rPr>
                <w:sz w:val="24"/>
                <w:szCs w:val="24"/>
              </w:rPr>
              <w:t>执照或事业单位法人证书</w:t>
            </w:r>
            <w:r>
              <w:rPr>
                <w:rFonts w:hint="eastAsia"/>
                <w:sz w:val="24"/>
                <w:szCs w:val="24"/>
                <w:lang w:val="en-US" w:eastAsia="zh-CN"/>
              </w:rPr>
              <w:t>；</w:t>
            </w:r>
            <w:r>
              <w:rPr>
                <w:sz w:val="24"/>
                <w:szCs w:val="24"/>
              </w:rPr>
              <w:t>供应商为合法注册的法人、其他组织，具有独立承担民事责任的能力，提供营业执照或事业单位法人证书，供应商为自然人的提供身份证；</w:t>
            </w:r>
          </w:p>
          <w:p w14:paraId="73D43BCA">
            <w:pPr>
              <w:pStyle w:val="38"/>
              <w:keepNext w:val="0"/>
              <w:keepLines w:val="0"/>
              <w:pageBreakBefore w:val="0"/>
              <w:widowControl/>
              <w:numPr>
                <w:ilvl w:val="0"/>
                <w:numId w:val="0"/>
              </w:numPr>
              <w:kinsoku/>
              <w:wordWrap/>
              <w:overflowPunct/>
              <w:topLinePunct w:val="0"/>
              <w:autoSpaceDE/>
              <w:autoSpaceDN/>
              <w:bidi w:val="0"/>
              <w:adjustRightInd/>
              <w:snapToGrid/>
              <w:spacing w:line="336" w:lineRule="auto"/>
              <w:ind w:firstLine="480" w:firstLineChars="200"/>
              <w:textAlignment w:val="auto"/>
              <w:rPr>
                <w:rFonts w:hint="eastAsia"/>
                <w:sz w:val="24"/>
                <w:szCs w:val="24"/>
                <w:lang w:val="en-US" w:eastAsia="zh-CN"/>
              </w:rPr>
            </w:pPr>
            <w:r>
              <w:rPr>
                <w:rFonts w:hint="eastAsia"/>
                <w:sz w:val="24"/>
                <w:szCs w:val="24"/>
                <w:lang w:val="en-US" w:eastAsia="zh-CN"/>
              </w:rPr>
              <w:t>2、</w:t>
            </w:r>
            <w:r>
              <w:rPr>
                <w:sz w:val="24"/>
                <w:szCs w:val="24"/>
              </w:rPr>
              <w:t>没有重大违法记录的书面声明</w:t>
            </w:r>
            <w:r>
              <w:rPr>
                <w:rFonts w:hint="eastAsia"/>
                <w:sz w:val="24"/>
                <w:szCs w:val="24"/>
                <w:lang w:val="en-US" w:eastAsia="zh-CN"/>
              </w:rPr>
              <w:t>：</w:t>
            </w:r>
            <w:r>
              <w:rPr>
                <w:sz w:val="24"/>
                <w:szCs w:val="24"/>
              </w:rPr>
              <w:t>参加政府采购活动前三年内，在经营活动中没有重大违法记录；</w:t>
            </w:r>
          </w:p>
          <w:p w14:paraId="4BCDFF02">
            <w:pPr>
              <w:pStyle w:val="38"/>
              <w:keepNext w:val="0"/>
              <w:keepLines w:val="0"/>
              <w:pageBreakBefore w:val="0"/>
              <w:widowControl/>
              <w:numPr>
                <w:ilvl w:val="0"/>
                <w:numId w:val="0"/>
              </w:numPr>
              <w:kinsoku/>
              <w:wordWrap/>
              <w:overflowPunct/>
              <w:topLinePunct w:val="0"/>
              <w:autoSpaceDE/>
              <w:autoSpaceDN/>
              <w:bidi w:val="0"/>
              <w:adjustRightInd/>
              <w:snapToGrid/>
              <w:spacing w:line="336" w:lineRule="auto"/>
              <w:ind w:firstLine="480" w:firstLineChars="200"/>
              <w:textAlignment w:val="auto"/>
              <w:rPr>
                <w:rFonts w:hint="eastAsia"/>
                <w:sz w:val="24"/>
                <w:szCs w:val="24"/>
                <w:lang w:val="en-US" w:eastAsia="zh-CN"/>
              </w:rPr>
            </w:pPr>
            <w:r>
              <w:rPr>
                <w:rFonts w:hint="eastAsia"/>
                <w:sz w:val="24"/>
                <w:szCs w:val="24"/>
                <w:lang w:val="en-US" w:eastAsia="zh-CN"/>
              </w:rPr>
              <w:t>3、依法缴纳社会保险证明资料：</w:t>
            </w:r>
            <w:r>
              <w:rPr>
                <w:rFonts w:hint="eastAsia"/>
                <w:sz w:val="24"/>
                <w:szCs w:val="24"/>
              </w:rPr>
              <w:t>提供202</w:t>
            </w:r>
            <w:r>
              <w:rPr>
                <w:rFonts w:hint="eastAsia"/>
                <w:sz w:val="24"/>
                <w:szCs w:val="24"/>
                <w:lang w:val="en-US" w:eastAsia="zh-CN"/>
              </w:rPr>
              <w:t>5</w:t>
            </w:r>
            <w:r>
              <w:rPr>
                <w:rFonts w:hint="eastAsia"/>
                <w:sz w:val="24"/>
                <w:szCs w:val="24"/>
              </w:rPr>
              <w:t>年1月至今任意一个月依法缴纳社会保险的证明（缴费凭证复印件），或者委托他人缴纳的委托代办协议和202</w:t>
            </w:r>
            <w:r>
              <w:rPr>
                <w:rFonts w:hint="eastAsia"/>
                <w:sz w:val="24"/>
                <w:szCs w:val="24"/>
                <w:lang w:val="en-US" w:eastAsia="zh-CN"/>
              </w:rPr>
              <w:t>5</w:t>
            </w:r>
            <w:r>
              <w:rPr>
                <w:rFonts w:hint="eastAsia"/>
                <w:sz w:val="24"/>
                <w:szCs w:val="24"/>
              </w:rPr>
              <w:t>年1月至今任意一个月的缴纳证明（收据复印件），依法不需要缴纳社会保障资金的应提供相关证明文件。</w:t>
            </w:r>
          </w:p>
          <w:p w14:paraId="5B1FA4D9">
            <w:pPr>
              <w:pStyle w:val="38"/>
              <w:keepNext w:val="0"/>
              <w:keepLines w:val="0"/>
              <w:pageBreakBefore w:val="0"/>
              <w:widowControl/>
              <w:numPr>
                <w:ilvl w:val="0"/>
                <w:numId w:val="0"/>
              </w:numPr>
              <w:kinsoku/>
              <w:wordWrap/>
              <w:overflowPunct/>
              <w:topLinePunct w:val="0"/>
              <w:autoSpaceDE/>
              <w:autoSpaceDN/>
              <w:bidi w:val="0"/>
              <w:adjustRightInd/>
              <w:snapToGrid/>
              <w:spacing w:line="336" w:lineRule="auto"/>
              <w:ind w:firstLine="480" w:firstLineChars="200"/>
              <w:textAlignment w:val="auto"/>
              <w:rPr>
                <w:kern w:val="2"/>
                <w:lang w:val="zh-CN"/>
              </w:rPr>
            </w:pPr>
            <w:r>
              <w:rPr>
                <w:rFonts w:hint="eastAsia"/>
                <w:sz w:val="24"/>
                <w:szCs w:val="24"/>
                <w:lang w:val="en-US" w:eastAsia="zh-CN"/>
              </w:rPr>
              <w:t>4、</w:t>
            </w:r>
            <w:r>
              <w:rPr>
                <w:sz w:val="24"/>
                <w:szCs w:val="24"/>
              </w:rPr>
              <w:t>信用中国和中国政府采购网查询截图</w:t>
            </w:r>
            <w:r>
              <w:rPr>
                <w:rFonts w:hint="eastAsia"/>
                <w:sz w:val="24"/>
                <w:szCs w:val="24"/>
                <w:lang w:eastAsia="zh-CN"/>
              </w:rPr>
              <w:t>，</w:t>
            </w:r>
            <w:r>
              <w:rPr>
                <w:sz w:val="24"/>
                <w:szCs w:val="24"/>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tc>
      </w:tr>
      <w:tr w14:paraId="185E4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Merge w:val="restart"/>
            <w:vAlign w:val="center"/>
          </w:tcPr>
          <w:p w14:paraId="50E06794">
            <w:pPr>
              <w:snapToGrid w:val="0"/>
              <w:spacing w:after="200"/>
              <w:jc w:val="center"/>
              <w:rPr>
                <w:rFonts w:ascii="宋体" w:hAnsi="宋体"/>
                <w:sz w:val="24"/>
              </w:rPr>
            </w:pPr>
            <w:r>
              <w:rPr>
                <w:rFonts w:ascii="宋体" w:hAnsi="宋体"/>
                <w:sz w:val="24"/>
              </w:rPr>
              <w:t>5</w:t>
            </w:r>
          </w:p>
        </w:tc>
        <w:tc>
          <w:tcPr>
            <w:tcW w:w="1556" w:type="dxa"/>
            <w:vMerge w:val="restart"/>
            <w:vAlign w:val="center"/>
          </w:tcPr>
          <w:p w14:paraId="5F6CDF36">
            <w:pPr>
              <w:pStyle w:val="31"/>
              <w:ind w:left="96"/>
              <w:jc w:val="center"/>
              <w:rPr>
                <w:rFonts w:hint="eastAsia"/>
                <w:kern w:val="2"/>
                <w:lang w:val="zh-CN"/>
              </w:rPr>
            </w:pPr>
            <w:r>
              <w:rPr>
                <w:kern w:val="2"/>
                <w:lang w:val="zh-CN"/>
              </w:rPr>
              <w:t>是否</w:t>
            </w:r>
            <w:r>
              <w:rPr>
                <w:rFonts w:hint="eastAsia"/>
                <w:kern w:val="2"/>
                <w:lang w:val="zh-CN"/>
              </w:rPr>
              <w:t>接受</w:t>
            </w:r>
            <w:r>
              <w:rPr>
                <w:kern w:val="2"/>
                <w:lang w:val="zh-CN"/>
              </w:rPr>
              <w:br w:type="textWrapping"/>
            </w:r>
            <w:r>
              <w:rPr>
                <w:kern w:val="2"/>
                <w:lang w:val="zh-CN"/>
              </w:rPr>
              <w:t>联合体投标</w:t>
            </w:r>
          </w:p>
        </w:tc>
        <w:tc>
          <w:tcPr>
            <w:tcW w:w="7067" w:type="dxa"/>
            <w:vAlign w:val="center"/>
          </w:tcPr>
          <w:p w14:paraId="2F12D7D1">
            <w:pPr>
              <w:pStyle w:val="31"/>
              <w:jc w:val="both"/>
              <w:rPr>
                <w:b/>
                <w:kern w:val="2"/>
                <w:lang w:val="zh-CN"/>
              </w:rPr>
            </w:pPr>
            <w:r>
              <w:rPr>
                <w:rFonts w:hint="eastAsia" w:cs="宋体"/>
                <w:b w:val="0"/>
                <w:bCs w:val="0"/>
                <w:color w:val="000000"/>
                <w:sz w:val="20"/>
                <w:szCs w:val="20"/>
                <w:highlight w:val="none"/>
                <w:lang w:val="zh-CN" w:eastAsia="zh-CN" w:bidi="zh-CN"/>
              </w:rPr>
              <w:t>□</w:t>
            </w:r>
            <w:r>
              <w:rPr>
                <w:rFonts w:hint="eastAsia"/>
                <w:b/>
                <w:kern w:val="2"/>
                <w:lang w:val="zh-CN"/>
              </w:rPr>
              <w:t>接受</w:t>
            </w:r>
          </w:p>
          <w:p w14:paraId="68952CF1">
            <w:pPr>
              <w:pStyle w:val="31"/>
              <w:jc w:val="both"/>
              <w:rPr>
                <w:rFonts w:hint="eastAsia"/>
                <w:b/>
                <w:kern w:val="2"/>
                <w:lang w:val="zh-CN"/>
              </w:rPr>
            </w:pPr>
            <w:r>
              <w:rPr>
                <w:rFonts w:hint="eastAsia"/>
                <w:kern w:val="2"/>
                <w:sz w:val="21"/>
                <w:szCs w:val="21"/>
                <w:lang w:val="zh-CN"/>
              </w:rPr>
              <w:t>对于联合体协议或者分包意向协议约定小微企业的合同份额占到合同总金额30%以上的，对联合体或者大中型企业的报价</w:t>
            </w:r>
            <w:r>
              <w:rPr>
                <w:rFonts w:hint="eastAsia"/>
                <w:b/>
                <w:kern w:val="2"/>
                <w:sz w:val="21"/>
                <w:szCs w:val="21"/>
                <w:lang w:val="zh-CN"/>
              </w:rPr>
              <w:t>给予___%（2%-</w:t>
            </w:r>
            <w:r>
              <w:rPr>
                <w:b/>
                <w:kern w:val="2"/>
                <w:sz w:val="21"/>
                <w:szCs w:val="21"/>
                <w:lang w:val="zh-CN"/>
              </w:rPr>
              <w:t>3%</w:t>
            </w:r>
            <w:r>
              <w:rPr>
                <w:rFonts w:hint="eastAsia"/>
                <w:b/>
                <w:kern w:val="2"/>
                <w:sz w:val="21"/>
                <w:szCs w:val="21"/>
                <w:lang w:val="zh-CN"/>
              </w:rPr>
              <w:t>）的扣除</w:t>
            </w:r>
            <w:r>
              <w:rPr>
                <w:rFonts w:hint="eastAsia"/>
                <w:kern w:val="2"/>
                <w:sz w:val="21"/>
                <w:szCs w:val="21"/>
                <w:lang w:val="zh-CN"/>
              </w:rPr>
              <w:t>，用扣除后的报价参加评审。</w:t>
            </w:r>
          </w:p>
        </w:tc>
      </w:tr>
      <w:tr w14:paraId="75062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Merge w:val="continue"/>
            <w:vAlign w:val="center"/>
          </w:tcPr>
          <w:p w14:paraId="00A1F5CB">
            <w:pPr>
              <w:snapToGrid w:val="0"/>
              <w:spacing w:after="200"/>
              <w:ind w:left="142"/>
              <w:jc w:val="center"/>
              <w:rPr>
                <w:rFonts w:ascii="宋体" w:hAnsi="宋体"/>
                <w:sz w:val="24"/>
              </w:rPr>
            </w:pPr>
          </w:p>
        </w:tc>
        <w:tc>
          <w:tcPr>
            <w:tcW w:w="1556" w:type="dxa"/>
            <w:vMerge w:val="continue"/>
            <w:vAlign w:val="center"/>
          </w:tcPr>
          <w:p w14:paraId="04078C5D">
            <w:pPr>
              <w:pStyle w:val="31"/>
              <w:ind w:left="96"/>
              <w:jc w:val="center"/>
              <w:rPr>
                <w:kern w:val="2"/>
                <w:lang w:val="zh-CN"/>
              </w:rPr>
            </w:pPr>
          </w:p>
        </w:tc>
        <w:tc>
          <w:tcPr>
            <w:tcW w:w="7067" w:type="dxa"/>
            <w:vAlign w:val="center"/>
          </w:tcPr>
          <w:p w14:paraId="797B1C33">
            <w:pPr>
              <w:pStyle w:val="31"/>
              <w:jc w:val="both"/>
              <w:rPr>
                <w:rFonts w:hint="eastAsia"/>
                <w:b/>
                <w:kern w:val="2"/>
                <w:lang w:val="zh-CN"/>
              </w:rPr>
            </w:pPr>
            <w:r>
              <w:rPr>
                <w:rFonts w:hint="eastAsia" w:cs="宋体"/>
                <w:b w:val="0"/>
                <w:bCs w:val="0"/>
                <w:color w:val="000000"/>
                <w:sz w:val="20"/>
                <w:szCs w:val="20"/>
                <w:highlight w:val="none"/>
                <w:lang w:val="zh-CN" w:eastAsia="zh-CN" w:bidi="zh-CN"/>
              </w:rPr>
              <w:t>☑</w:t>
            </w:r>
            <w:r>
              <w:rPr>
                <w:rFonts w:hint="eastAsia"/>
                <w:b/>
                <w:kern w:val="2"/>
                <w:lang w:val="zh-CN"/>
              </w:rPr>
              <w:t>不接受</w:t>
            </w:r>
          </w:p>
        </w:tc>
      </w:tr>
      <w:tr w14:paraId="34546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Merge w:val="restart"/>
            <w:vAlign w:val="center"/>
          </w:tcPr>
          <w:p w14:paraId="56D9692A">
            <w:pPr>
              <w:snapToGrid w:val="0"/>
              <w:spacing w:after="200"/>
              <w:jc w:val="center"/>
              <w:rPr>
                <w:rFonts w:ascii="宋体" w:hAnsi="宋体"/>
                <w:sz w:val="24"/>
              </w:rPr>
            </w:pPr>
            <w:r>
              <w:rPr>
                <w:rFonts w:ascii="宋体" w:hAnsi="宋体"/>
                <w:sz w:val="24"/>
              </w:rPr>
              <w:t>6</w:t>
            </w:r>
          </w:p>
        </w:tc>
        <w:tc>
          <w:tcPr>
            <w:tcW w:w="1556" w:type="dxa"/>
            <w:vMerge w:val="restart"/>
            <w:vAlign w:val="center"/>
          </w:tcPr>
          <w:p w14:paraId="41CF0CEF">
            <w:pPr>
              <w:pStyle w:val="31"/>
              <w:ind w:left="96"/>
              <w:jc w:val="center"/>
              <w:rPr>
                <w:kern w:val="2"/>
                <w:lang w:val="zh-CN"/>
              </w:rPr>
            </w:pPr>
            <w:r>
              <w:rPr>
                <w:kern w:val="2"/>
                <w:lang w:val="zh-CN"/>
              </w:rPr>
              <w:t>履约保证金</w:t>
            </w:r>
          </w:p>
        </w:tc>
        <w:tc>
          <w:tcPr>
            <w:tcW w:w="7067" w:type="dxa"/>
            <w:vAlign w:val="center"/>
          </w:tcPr>
          <w:p w14:paraId="7517F26D">
            <w:pPr>
              <w:ind w:right="94" w:rightChars="45"/>
              <w:rPr>
                <w:rFonts w:ascii="宋体" w:hAnsi="宋体"/>
                <w:b/>
                <w:sz w:val="24"/>
              </w:rPr>
            </w:pPr>
            <w:r>
              <w:rPr>
                <w:rFonts w:ascii="宋体" w:hAnsi="宋体"/>
                <w:b/>
                <w:sz w:val="24"/>
              </w:rPr>
              <w:t>占政府采购合同金额的</w:t>
            </w:r>
            <w:r>
              <w:rPr>
                <w:rFonts w:hint="eastAsia" w:ascii="宋体" w:hAnsi="宋体"/>
                <w:b/>
                <w:sz w:val="24"/>
                <w:u w:val="single"/>
                <w:lang w:val="en-US" w:eastAsia="zh-CN"/>
              </w:rPr>
              <w:t xml:space="preserve">/ </w:t>
            </w:r>
            <w:r>
              <w:rPr>
                <w:rFonts w:hint="eastAsia" w:ascii="宋体" w:hAnsi="宋体"/>
                <w:b/>
                <w:sz w:val="24"/>
              </w:rPr>
              <w:t>%</w:t>
            </w:r>
          </w:p>
          <w:p w14:paraId="760FD19D">
            <w:pPr>
              <w:ind w:right="94" w:rightChars="45"/>
              <w:rPr>
                <w:rFonts w:hint="eastAsia" w:ascii="宋体" w:hAnsi="宋体"/>
                <w:szCs w:val="21"/>
              </w:rPr>
            </w:pPr>
            <w:r>
              <w:rPr>
                <w:rFonts w:hint="eastAsia" w:ascii="宋体" w:hAnsi="宋体"/>
                <w:szCs w:val="21"/>
              </w:rPr>
              <w:t>履约保证金的数额不得超过政府采购合同金额的10%；对于单价合同，其数额不得超过采购预算的10%</w:t>
            </w:r>
          </w:p>
        </w:tc>
      </w:tr>
      <w:tr w14:paraId="19C2D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Merge w:val="continue"/>
            <w:vAlign w:val="center"/>
          </w:tcPr>
          <w:p w14:paraId="31444AB4">
            <w:pPr>
              <w:snapToGrid w:val="0"/>
              <w:spacing w:after="200"/>
              <w:ind w:left="142"/>
              <w:jc w:val="center"/>
              <w:rPr>
                <w:rFonts w:ascii="宋体" w:hAnsi="宋体"/>
                <w:sz w:val="24"/>
              </w:rPr>
            </w:pPr>
          </w:p>
        </w:tc>
        <w:tc>
          <w:tcPr>
            <w:tcW w:w="1556" w:type="dxa"/>
            <w:vMerge w:val="continue"/>
            <w:vAlign w:val="center"/>
          </w:tcPr>
          <w:p w14:paraId="75D684DA">
            <w:pPr>
              <w:pStyle w:val="31"/>
              <w:ind w:left="96"/>
              <w:jc w:val="center"/>
              <w:rPr>
                <w:kern w:val="2"/>
                <w:lang w:val="zh-CN"/>
              </w:rPr>
            </w:pPr>
          </w:p>
        </w:tc>
        <w:tc>
          <w:tcPr>
            <w:tcW w:w="7067" w:type="dxa"/>
            <w:vAlign w:val="center"/>
          </w:tcPr>
          <w:p w14:paraId="48795CA8">
            <w:pPr>
              <w:ind w:right="94" w:rightChars="45"/>
              <w:rPr>
                <w:rFonts w:ascii="宋体" w:hAnsi="宋体"/>
                <w:b/>
                <w:sz w:val="24"/>
              </w:rPr>
            </w:pPr>
            <w:r>
              <w:rPr>
                <w:rFonts w:hint="eastAsia" w:cs="宋体"/>
                <w:b w:val="0"/>
                <w:bCs w:val="0"/>
                <w:color w:val="000000"/>
                <w:sz w:val="20"/>
                <w:szCs w:val="20"/>
                <w:highlight w:val="none"/>
                <w:lang w:val="zh-CN" w:eastAsia="zh-CN" w:bidi="zh-CN"/>
              </w:rPr>
              <w:t>□</w:t>
            </w:r>
            <w:r>
              <w:rPr>
                <w:rFonts w:ascii="宋体" w:hAnsi="宋体"/>
                <w:b/>
                <w:sz w:val="24"/>
              </w:rPr>
              <w:t>由采购单位自行收退</w:t>
            </w:r>
          </w:p>
          <w:p w14:paraId="5BA5D473">
            <w:pPr>
              <w:ind w:right="94" w:rightChars="45"/>
              <w:rPr>
                <w:rFonts w:hint="eastAsia" w:ascii="宋体" w:hAnsi="宋体"/>
                <w:b/>
                <w:sz w:val="24"/>
              </w:rPr>
            </w:pPr>
            <w:r>
              <w:rPr>
                <w:rFonts w:hint="eastAsia" w:cs="宋体"/>
                <w:b w:val="0"/>
                <w:bCs w:val="0"/>
                <w:color w:val="000000"/>
                <w:sz w:val="20"/>
                <w:szCs w:val="20"/>
                <w:highlight w:val="none"/>
                <w:lang w:val="zh-CN" w:eastAsia="zh-CN" w:bidi="zh-CN"/>
              </w:rPr>
              <w:t>□</w:t>
            </w:r>
            <w:r>
              <w:rPr>
                <w:rFonts w:ascii="宋体" w:hAnsi="宋体"/>
                <w:b/>
                <w:sz w:val="24"/>
              </w:rPr>
              <w:t>由代理机构负责收退</w:t>
            </w:r>
          </w:p>
        </w:tc>
      </w:tr>
      <w:tr w14:paraId="7A4EE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14:paraId="3BA0D07C">
            <w:pPr>
              <w:snapToGrid w:val="0"/>
              <w:spacing w:after="200"/>
              <w:jc w:val="center"/>
              <w:rPr>
                <w:rFonts w:ascii="宋体" w:hAnsi="宋体"/>
                <w:sz w:val="24"/>
              </w:rPr>
            </w:pPr>
            <w:r>
              <w:rPr>
                <w:rFonts w:ascii="宋体" w:hAnsi="宋体"/>
                <w:sz w:val="24"/>
              </w:rPr>
              <w:t>7</w:t>
            </w:r>
          </w:p>
        </w:tc>
        <w:tc>
          <w:tcPr>
            <w:tcW w:w="1556" w:type="dxa"/>
            <w:vAlign w:val="center"/>
          </w:tcPr>
          <w:p w14:paraId="52D4414D">
            <w:pPr>
              <w:pStyle w:val="31"/>
              <w:ind w:left="96"/>
              <w:jc w:val="center"/>
              <w:rPr>
                <w:kern w:val="2"/>
                <w:lang w:val="zh-CN"/>
              </w:rPr>
            </w:pPr>
            <w:r>
              <w:rPr>
                <w:kern w:val="2"/>
                <w:lang w:val="zh-CN"/>
              </w:rPr>
              <w:t>集中答疑</w:t>
            </w:r>
          </w:p>
        </w:tc>
        <w:tc>
          <w:tcPr>
            <w:tcW w:w="7067" w:type="dxa"/>
            <w:vAlign w:val="center"/>
          </w:tcPr>
          <w:p w14:paraId="53944C0F">
            <w:pPr>
              <w:ind w:right="94" w:rightChars="45"/>
              <w:rPr>
                <w:rFonts w:hint="eastAsia" w:ascii="宋体" w:hAnsi="宋体"/>
                <w:b/>
                <w:sz w:val="24"/>
              </w:rPr>
            </w:pPr>
            <w:r>
              <w:rPr>
                <w:rFonts w:hint="eastAsia" w:cs="宋体"/>
                <w:b w:val="0"/>
                <w:bCs w:val="0"/>
                <w:color w:val="000000"/>
                <w:sz w:val="20"/>
                <w:szCs w:val="20"/>
                <w:highlight w:val="none"/>
                <w:lang w:val="zh-CN" w:eastAsia="zh-CN" w:bidi="zh-CN"/>
              </w:rPr>
              <w:t>□</w:t>
            </w:r>
            <w:r>
              <w:rPr>
                <w:rFonts w:ascii="宋体" w:hAnsi="宋体"/>
                <w:b/>
                <w:sz w:val="24"/>
              </w:rPr>
              <w:t>组织，答疑地点为：</w:t>
            </w:r>
            <w:r>
              <w:rPr>
                <w:rFonts w:hint="eastAsia" w:ascii="宋体" w:hAnsi="宋体"/>
                <w:b/>
                <w:sz w:val="24"/>
              </w:rPr>
              <w:t>_______________________</w:t>
            </w:r>
          </w:p>
          <w:p w14:paraId="4981CB52">
            <w:pPr>
              <w:ind w:right="94" w:rightChars="45"/>
              <w:rPr>
                <w:rFonts w:ascii="宋体" w:hAnsi="宋体"/>
                <w:b/>
                <w:sz w:val="24"/>
              </w:rPr>
            </w:pPr>
            <w:r>
              <w:rPr>
                <w:rFonts w:hint="eastAsia" w:cs="宋体"/>
                <w:b w:val="0"/>
                <w:bCs w:val="0"/>
                <w:color w:val="000000"/>
                <w:sz w:val="20"/>
                <w:szCs w:val="20"/>
                <w:highlight w:val="none"/>
                <w:lang w:val="zh-CN" w:eastAsia="zh-CN" w:bidi="zh-CN"/>
              </w:rPr>
              <w:t>☑</w:t>
            </w:r>
            <w:r>
              <w:rPr>
                <w:rFonts w:ascii="宋体" w:hAnsi="宋体"/>
                <w:b/>
                <w:sz w:val="24"/>
              </w:rPr>
              <w:t>不组织</w:t>
            </w:r>
          </w:p>
        </w:tc>
      </w:tr>
      <w:tr w14:paraId="5B7C9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14:paraId="79C54ACF">
            <w:pPr>
              <w:snapToGrid w:val="0"/>
              <w:spacing w:after="200"/>
              <w:jc w:val="center"/>
              <w:rPr>
                <w:rFonts w:ascii="宋体" w:hAnsi="宋体"/>
                <w:sz w:val="24"/>
              </w:rPr>
            </w:pPr>
            <w:r>
              <w:rPr>
                <w:rFonts w:ascii="宋体" w:hAnsi="宋体"/>
                <w:sz w:val="24"/>
              </w:rPr>
              <w:t>8</w:t>
            </w:r>
          </w:p>
        </w:tc>
        <w:tc>
          <w:tcPr>
            <w:tcW w:w="1556" w:type="dxa"/>
            <w:vAlign w:val="center"/>
          </w:tcPr>
          <w:p w14:paraId="5B4A5615">
            <w:pPr>
              <w:pStyle w:val="31"/>
              <w:ind w:left="96"/>
              <w:jc w:val="center"/>
              <w:rPr>
                <w:kern w:val="2"/>
                <w:lang w:val="zh-CN"/>
              </w:rPr>
            </w:pPr>
            <w:r>
              <w:rPr>
                <w:kern w:val="2"/>
                <w:lang w:val="zh-CN"/>
              </w:rPr>
              <w:t>价格分比重</w:t>
            </w:r>
          </w:p>
        </w:tc>
        <w:tc>
          <w:tcPr>
            <w:tcW w:w="7067" w:type="dxa"/>
            <w:vAlign w:val="center"/>
          </w:tcPr>
          <w:p w14:paraId="775049FB">
            <w:pPr>
              <w:widowControl/>
              <w:rPr>
                <w:rFonts w:hint="eastAsia" w:ascii="宋体" w:hAnsi="宋体" w:cs="宋体"/>
                <w:b/>
                <w:kern w:val="0"/>
                <w:sz w:val="24"/>
                <w:szCs w:val="24"/>
                <w:lang w:val="zh-CN"/>
              </w:rPr>
            </w:pPr>
            <w:r>
              <w:rPr>
                <w:rFonts w:ascii="宋体" w:hAnsi="宋体" w:cs="宋体"/>
                <w:b/>
                <w:kern w:val="0"/>
                <w:sz w:val="24"/>
                <w:szCs w:val="24"/>
                <w:lang w:val="zh-CN"/>
              </w:rPr>
              <w:t>占总分值的</w:t>
            </w:r>
            <w:r>
              <w:rPr>
                <w:rFonts w:hint="eastAsia" w:ascii="宋体" w:hAnsi="宋体" w:cs="宋体"/>
                <w:b/>
                <w:kern w:val="0"/>
                <w:sz w:val="24"/>
                <w:szCs w:val="24"/>
                <w:u w:val="single"/>
                <w:lang w:val="en-US" w:eastAsia="zh-CN"/>
              </w:rPr>
              <w:t xml:space="preserve">20 </w:t>
            </w:r>
            <w:r>
              <w:rPr>
                <w:rFonts w:hint="eastAsia" w:ascii="宋体" w:hAnsi="宋体" w:cs="宋体"/>
                <w:b/>
                <w:kern w:val="0"/>
                <w:sz w:val="24"/>
                <w:szCs w:val="24"/>
                <w:lang w:val="zh-CN"/>
              </w:rPr>
              <w:t>%</w:t>
            </w:r>
          </w:p>
          <w:p w14:paraId="5693A70C">
            <w:pPr>
              <w:widowControl/>
              <w:rPr>
                <w:rFonts w:ascii="宋体" w:hAnsi="宋体" w:cs="宋体"/>
                <w:kern w:val="0"/>
                <w:szCs w:val="21"/>
                <w:lang w:val="zh-CN"/>
              </w:rPr>
            </w:pPr>
            <w:r>
              <w:rPr>
                <w:rFonts w:hint="eastAsia" w:ascii="宋体" w:hAnsi="宋体" w:cs="宋体"/>
                <w:kern w:val="0"/>
                <w:szCs w:val="21"/>
                <w:lang w:val="zh-CN"/>
              </w:rPr>
              <w:t>[招标]根据《政府采购货物和服务招标投标管理办法》（财政部87号令）的规定，综合</w:t>
            </w:r>
            <w:r>
              <w:rPr>
                <w:rFonts w:ascii="宋体" w:hAnsi="宋体" w:cs="宋体"/>
                <w:kern w:val="0"/>
                <w:szCs w:val="21"/>
                <w:lang w:val="zh-CN"/>
              </w:rPr>
              <w:t>评分法服务</w:t>
            </w:r>
            <w:r>
              <w:rPr>
                <w:rFonts w:hint="eastAsia" w:ascii="宋体" w:hAnsi="宋体" w:cs="宋体"/>
                <w:kern w:val="0"/>
                <w:szCs w:val="21"/>
                <w:lang w:val="zh-CN"/>
              </w:rPr>
              <w:t>项目的价格分值占总分值的比重不得低于</w:t>
            </w:r>
            <w:r>
              <w:rPr>
                <w:rFonts w:ascii="宋体" w:hAnsi="宋体" w:cs="宋体"/>
                <w:kern w:val="0"/>
                <w:szCs w:val="21"/>
                <w:lang w:val="zh-CN"/>
              </w:rPr>
              <w:t>1</w:t>
            </w:r>
            <w:r>
              <w:rPr>
                <w:rFonts w:hint="eastAsia" w:ascii="宋体" w:hAnsi="宋体" w:cs="宋体"/>
                <w:kern w:val="0"/>
                <w:szCs w:val="21"/>
                <w:lang w:val="zh-CN"/>
              </w:rPr>
              <w:t>0%。执行国家统一定价标准和采用固定价格采购的项目，其价格不列为评审因素。</w:t>
            </w:r>
          </w:p>
          <w:p w14:paraId="4B9490EC">
            <w:pPr>
              <w:widowControl/>
              <w:rPr>
                <w:rFonts w:hint="eastAsia" w:ascii="宋体" w:hAnsi="宋体" w:cs="宋体"/>
                <w:kern w:val="0"/>
                <w:szCs w:val="21"/>
                <w:lang w:val="zh-CN"/>
              </w:rPr>
            </w:pPr>
            <w:r>
              <w:rPr>
                <w:rFonts w:ascii="宋体" w:hAnsi="宋体" w:cs="宋体"/>
                <w:kern w:val="0"/>
                <w:szCs w:val="21"/>
                <w:lang w:val="zh-CN"/>
              </w:rPr>
              <w:t>[磋商</w:t>
            </w:r>
            <w:r>
              <w:rPr>
                <w:rFonts w:hint="eastAsia" w:ascii="宋体" w:hAnsi="宋体" w:cs="宋体"/>
                <w:kern w:val="0"/>
                <w:szCs w:val="21"/>
                <w:lang w:val="zh-CN"/>
              </w:rPr>
              <w:t>]根据《政府采购竞争性磋商采购方式管理暂行办法》（财库〔2014〕214号）的规定，服务项目的价格分值占总分值的比重(即权值)为</w:t>
            </w:r>
            <w:r>
              <w:rPr>
                <w:rFonts w:ascii="宋体" w:hAnsi="宋体" w:cs="宋体"/>
                <w:kern w:val="0"/>
                <w:szCs w:val="21"/>
                <w:lang w:val="zh-CN"/>
              </w:rPr>
              <w:t>1</w:t>
            </w:r>
            <w:r>
              <w:rPr>
                <w:rFonts w:hint="eastAsia" w:ascii="宋体" w:hAnsi="宋体" w:cs="宋体"/>
                <w:kern w:val="0"/>
                <w:szCs w:val="21"/>
                <w:lang w:val="zh-CN"/>
              </w:rPr>
              <w:t>0%-</w:t>
            </w:r>
            <w:r>
              <w:rPr>
                <w:rFonts w:ascii="宋体" w:hAnsi="宋体" w:cs="宋体"/>
                <w:kern w:val="0"/>
                <w:szCs w:val="21"/>
                <w:lang w:val="zh-CN"/>
              </w:rPr>
              <w:t>3</w:t>
            </w:r>
            <w:r>
              <w:rPr>
                <w:rFonts w:hint="eastAsia" w:ascii="宋体" w:hAnsi="宋体" w:cs="宋体"/>
                <w:kern w:val="0"/>
                <w:szCs w:val="21"/>
                <w:lang w:val="zh-CN"/>
              </w:rPr>
              <w:t>0%。</w:t>
            </w:r>
          </w:p>
          <w:p w14:paraId="76F5CE2F">
            <w:pPr>
              <w:widowControl/>
              <w:rPr>
                <w:rFonts w:hint="eastAsia" w:ascii="宋体" w:hAnsi="宋体" w:cs="宋体"/>
                <w:kern w:val="0"/>
                <w:szCs w:val="21"/>
                <w:lang w:val="zh-CN"/>
              </w:rPr>
            </w:pPr>
            <w:r>
              <w:rPr>
                <w:rFonts w:hint="eastAsia" w:ascii="宋体" w:hAnsi="宋体" w:cs="宋体"/>
                <w:kern w:val="0"/>
                <w:szCs w:val="21"/>
                <w:lang w:val="zh-CN"/>
              </w:rPr>
              <w:t>[其他采购方式]无须设置。</w:t>
            </w:r>
          </w:p>
        </w:tc>
      </w:tr>
      <w:tr w14:paraId="13075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14:paraId="2B89D933">
            <w:pPr>
              <w:snapToGrid w:val="0"/>
              <w:spacing w:after="200"/>
              <w:jc w:val="center"/>
              <w:rPr>
                <w:rFonts w:ascii="宋体" w:hAnsi="宋体"/>
                <w:sz w:val="24"/>
              </w:rPr>
            </w:pPr>
            <w:r>
              <w:rPr>
                <w:rFonts w:ascii="宋体" w:hAnsi="宋体"/>
                <w:sz w:val="24"/>
              </w:rPr>
              <w:t>9</w:t>
            </w:r>
          </w:p>
        </w:tc>
        <w:tc>
          <w:tcPr>
            <w:tcW w:w="1556" w:type="dxa"/>
            <w:vAlign w:val="center"/>
          </w:tcPr>
          <w:p w14:paraId="40769ED1">
            <w:pPr>
              <w:pStyle w:val="31"/>
              <w:ind w:left="96"/>
              <w:jc w:val="center"/>
              <w:rPr>
                <w:kern w:val="2"/>
                <w:lang w:val="zh-CN"/>
              </w:rPr>
            </w:pPr>
            <w:r>
              <w:rPr>
                <w:kern w:val="2"/>
                <w:lang w:val="zh-CN"/>
              </w:rPr>
              <w:t>合同类型</w:t>
            </w:r>
          </w:p>
        </w:tc>
        <w:tc>
          <w:tcPr>
            <w:tcW w:w="7067" w:type="dxa"/>
            <w:vAlign w:val="center"/>
          </w:tcPr>
          <w:p w14:paraId="49B906B7">
            <w:pPr>
              <w:rPr>
                <w:rFonts w:ascii="宋体" w:hAnsi="宋体"/>
                <w:b/>
                <w:sz w:val="24"/>
                <w:lang w:val="zh-CN"/>
              </w:rPr>
            </w:pPr>
            <w:r>
              <w:rPr>
                <w:rFonts w:hint="eastAsia" w:cs="宋体"/>
                <w:b w:val="0"/>
                <w:bCs w:val="0"/>
                <w:color w:val="000000"/>
                <w:sz w:val="20"/>
                <w:szCs w:val="20"/>
                <w:highlight w:val="none"/>
                <w:lang w:val="zh-CN" w:eastAsia="zh-CN" w:bidi="zh-CN"/>
              </w:rPr>
              <w:t>☑</w:t>
            </w:r>
            <w:r>
              <w:rPr>
                <w:rFonts w:ascii="宋体" w:hAnsi="宋体"/>
                <w:b/>
                <w:sz w:val="24"/>
                <w:lang w:val="zh-CN"/>
              </w:rPr>
              <w:t>固定总价</w:t>
            </w:r>
          </w:p>
          <w:p w14:paraId="78D29C85">
            <w:pPr>
              <w:rPr>
                <w:rFonts w:ascii="宋体" w:hAnsi="宋体"/>
                <w:b/>
                <w:sz w:val="24"/>
                <w:lang w:val="zh-CN"/>
              </w:rPr>
            </w:pPr>
            <w:r>
              <w:rPr>
                <w:rFonts w:hint="eastAsia" w:cs="宋体"/>
                <w:b w:val="0"/>
                <w:bCs w:val="0"/>
                <w:color w:val="000000"/>
                <w:sz w:val="20"/>
                <w:szCs w:val="20"/>
                <w:highlight w:val="none"/>
                <w:lang w:val="zh-CN" w:eastAsia="zh-CN" w:bidi="zh-CN"/>
              </w:rPr>
              <w:t>□</w:t>
            </w:r>
            <w:r>
              <w:rPr>
                <w:rFonts w:ascii="宋体" w:hAnsi="宋体"/>
                <w:b/>
                <w:sz w:val="24"/>
                <w:lang w:val="zh-CN"/>
              </w:rPr>
              <w:t>固定单价（适用于采购数量不定的情形）</w:t>
            </w:r>
          </w:p>
          <w:p w14:paraId="74E14E2D">
            <w:pPr>
              <w:rPr>
                <w:rFonts w:hint="eastAsia" w:ascii="宋体" w:hAnsi="宋体"/>
                <w:sz w:val="24"/>
                <w:lang w:val="zh-CN"/>
              </w:rPr>
            </w:pPr>
            <w:r>
              <w:rPr>
                <w:rFonts w:hint="eastAsia" w:cs="宋体"/>
                <w:b w:val="0"/>
                <w:bCs w:val="0"/>
                <w:color w:val="000000"/>
                <w:sz w:val="20"/>
                <w:szCs w:val="20"/>
                <w:highlight w:val="none"/>
                <w:lang w:val="zh-CN" w:eastAsia="zh-CN" w:bidi="zh-CN"/>
              </w:rPr>
              <w:t>□</w:t>
            </w:r>
            <w:r>
              <w:rPr>
                <w:rFonts w:ascii="宋体" w:hAnsi="宋体"/>
                <w:b/>
                <w:sz w:val="24"/>
                <w:lang w:val="zh-CN"/>
              </w:rPr>
              <w:t>其他</w:t>
            </w:r>
            <w:r>
              <w:rPr>
                <w:rFonts w:hint="eastAsia" w:ascii="宋体" w:hAnsi="宋体"/>
                <w:b/>
                <w:sz w:val="24"/>
                <w:lang w:val="zh-CN"/>
              </w:rPr>
              <w:t>：_____________________________</w:t>
            </w:r>
          </w:p>
        </w:tc>
      </w:tr>
      <w:tr w14:paraId="23784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14:paraId="05ED8A47">
            <w:pPr>
              <w:snapToGrid w:val="0"/>
              <w:spacing w:after="200"/>
              <w:jc w:val="center"/>
              <w:rPr>
                <w:rFonts w:ascii="宋体" w:hAnsi="宋体"/>
                <w:sz w:val="24"/>
              </w:rPr>
            </w:pPr>
            <w:r>
              <w:rPr>
                <w:rFonts w:ascii="宋体" w:hAnsi="宋体"/>
                <w:sz w:val="24"/>
              </w:rPr>
              <w:t>10</w:t>
            </w:r>
          </w:p>
        </w:tc>
        <w:tc>
          <w:tcPr>
            <w:tcW w:w="1556" w:type="dxa"/>
            <w:vAlign w:val="center"/>
          </w:tcPr>
          <w:p w14:paraId="256C6C00">
            <w:pPr>
              <w:tabs>
                <w:tab w:val="left" w:pos="7665"/>
              </w:tabs>
              <w:snapToGrid w:val="0"/>
              <w:jc w:val="center"/>
              <w:rPr>
                <w:rFonts w:ascii="宋体" w:hAnsi="宋体"/>
                <w:sz w:val="24"/>
              </w:rPr>
            </w:pPr>
            <w:r>
              <w:rPr>
                <w:rFonts w:ascii="宋体" w:hAnsi="宋体"/>
                <w:sz w:val="24"/>
              </w:rPr>
              <w:t>争议解决途径</w:t>
            </w:r>
          </w:p>
        </w:tc>
        <w:tc>
          <w:tcPr>
            <w:tcW w:w="7067" w:type="dxa"/>
            <w:vAlign w:val="center"/>
          </w:tcPr>
          <w:p w14:paraId="43EB188A">
            <w:pPr>
              <w:tabs>
                <w:tab w:val="left" w:pos="7665"/>
              </w:tabs>
              <w:snapToGrid w:val="0"/>
              <w:rPr>
                <w:rFonts w:ascii="宋体" w:hAnsi="宋体"/>
                <w:b/>
                <w:sz w:val="24"/>
              </w:rPr>
            </w:pPr>
            <w:r>
              <w:rPr>
                <w:rFonts w:hint="eastAsia" w:cs="宋体"/>
                <w:b w:val="0"/>
                <w:bCs w:val="0"/>
                <w:color w:val="000000"/>
                <w:sz w:val="20"/>
                <w:szCs w:val="20"/>
                <w:highlight w:val="none"/>
                <w:lang w:val="zh-CN" w:eastAsia="zh-CN" w:bidi="zh-CN"/>
              </w:rPr>
              <w:t>☑</w:t>
            </w:r>
            <w:r>
              <w:rPr>
                <w:rFonts w:ascii="宋体" w:hAnsi="宋体"/>
                <w:b/>
                <w:sz w:val="24"/>
              </w:rPr>
              <w:t>向有管辖权的人民法院提起诉讼</w:t>
            </w:r>
          </w:p>
          <w:p w14:paraId="3ED47975">
            <w:pPr>
              <w:tabs>
                <w:tab w:val="left" w:pos="7665"/>
              </w:tabs>
              <w:snapToGrid w:val="0"/>
              <w:rPr>
                <w:rFonts w:ascii="宋体" w:hAnsi="宋体"/>
                <w:b/>
                <w:sz w:val="24"/>
              </w:rPr>
            </w:pPr>
            <w:r>
              <w:rPr>
                <w:rFonts w:hint="eastAsia" w:cs="宋体"/>
                <w:b w:val="0"/>
                <w:bCs w:val="0"/>
                <w:color w:val="000000"/>
                <w:sz w:val="20"/>
                <w:szCs w:val="20"/>
                <w:highlight w:val="none"/>
                <w:lang w:val="zh-CN" w:eastAsia="zh-CN" w:bidi="zh-CN"/>
              </w:rPr>
              <w:t>□</w:t>
            </w:r>
            <w:r>
              <w:rPr>
                <w:rFonts w:ascii="宋体" w:hAnsi="宋体"/>
                <w:b/>
                <w:sz w:val="24"/>
              </w:rPr>
              <w:t>向西安仲裁委员会提请仲裁</w:t>
            </w:r>
          </w:p>
          <w:p w14:paraId="2610B4D7">
            <w:pPr>
              <w:tabs>
                <w:tab w:val="left" w:pos="7665"/>
              </w:tabs>
              <w:snapToGrid w:val="0"/>
              <w:rPr>
                <w:rFonts w:hint="eastAsia" w:ascii="宋体" w:hAnsi="宋体"/>
                <w:sz w:val="24"/>
              </w:rPr>
            </w:pPr>
            <w:r>
              <w:rPr>
                <w:rFonts w:hint="eastAsia" w:cs="宋体"/>
                <w:b w:val="0"/>
                <w:bCs w:val="0"/>
                <w:color w:val="000000"/>
                <w:sz w:val="20"/>
                <w:szCs w:val="20"/>
                <w:highlight w:val="none"/>
                <w:lang w:val="zh-CN" w:eastAsia="zh-CN" w:bidi="zh-CN"/>
              </w:rPr>
              <w:t>□</w:t>
            </w:r>
            <w:r>
              <w:rPr>
                <w:rFonts w:ascii="宋体" w:hAnsi="宋体"/>
                <w:b/>
                <w:sz w:val="24"/>
              </w:rPr>
              <w:t>由供应商做出选择</w:t>
            </w:r>
          </w:p>
        </w:tc>
      </w:tr>
      <w:tr w14:paraId="7D989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14:paraId="12950C2A">
            <w:pPr>
              <w:snapToGrid w:val="0"/>
              <w:spacing w:after="200"/>
              <w:jc w:val="center"/>
              <w:rPr>
                <w:rFonts w:ascii="宋体" w:hAnsi="宋体"/>
                <w:sz w:val="24"/>
              </w:rPr>
            </w:pPr>
            <w:r>
              <w:rPr>
                <w:rFonts w:ascii="宋体" w:hAnsi="宋体"/>
                <w:sz w:val="24"/>
              </w:rPr>
              <w:t>11</w:t>
            </w:r>
          </w:p>
        </w:tc>
        <w:tc>
          <w:tcPr>
            <w:tcW w:w="1556" w:type="dxa"/>
            <w:vAlign w:val="center"/>
          </w:tcPr>
          <w:p w14:paraId="6370EF9A">
            <w:pPr>
              <w:snapToGrid w:val="0"/>
              <w:jc w:val="center"/>
              <w:rPr>
                <w:rFonts w:hint="eastAsia" w:ascii="宋体" w:hAnsi="宋体"/>
                <w:sz w:val="24"/>
              </w:rPr>
            </w:pPr>
            <w:r>
              <w:rPr>
                <w:rFonts w:hint="eastAsia" w:ascii="宋体" w:hAnsi="宋体"/>
                <w:sz w:val="24"/>
              </w:rPr>
              <w:t>联系方式</w:t>
            </w:r>
          </w:p>
        </w:tc>
        <w:tc>
          <w:tcPr>
            <w:tcW w:w="7067" w:type="dxa"/>
            <w:vAlign w:val="center"/>
          </w:tcPr>
          <w:p w14:paraId="34D81435">
            <w:pPr>
              <w:tabs>
                <w:tab w:val="left" w:pos="7665"/>
              </w:tabs>
              <w:snapToGrid w:val="0"/>
              <w:rPr>
                <w:rFonts w:hint="eastAsia" w:ascii="宋体" w:hAnsi="宋体"/>
                <w:b/>
                <w:bCs/>
                <w:sz w:val="24"/>
                <w:u w:val="single"/>
                <w:lang w:val="en-US" w:eastAsia="zh-CN"/>
              </w:rPr>
            </w:pPr>
            <w:r>
              <w:rPr>
                <w:rFonts w:hint="eastAsia" w:ascii="宋体" w:hAnsi="宋体"/>
                <w:b/>
                <w:bCs/>
                <w:sz w:val="24"/>
              </w:rPr>
              <w:t>项目对接人：</w:t>
            </w:r>
            <w:r>
              <w:rPr>
                <w:rFonts w:hint="eastAsia" w:ascii="宋体" w:hAnsi="宋体"/>
                <w:b/>
                <w:bCs/>
                <w:sz w:val="24"/>
                <w:u w:val="single"/>
                <w:lang w:val="en-US" w:eastAsia="zh-CN"/>
              </w:rPr>
              <w:t>刘波波</w:t>
            </w:r>
          </w:p>
          <w:p w14:paraId="714A7702">
            <w:pPr>
              <w:tabs>
                <w:tab w:val="left" w:pos="7665"/>
              </w:tabs>
              <w:snapToGrid w:val="0"/>
              <w:rPr>
                <w:rFonts w:hint="eastAsia" w:ascii="宋体" w:hAnsi="宋体"/>
                <w:b/>
                <w:bCs/>
                <w:sz w:val="24"/>
                <w:u w:val="single"/>
                <w:lang w:val="en-US" w:eastAsia="zh-CN"/>
              </w:rPr>
            </w:pPr>
            <w:r>
              <w:rPr>
                <w:rFonts w:ascii="宋体" w:hAnsi="宋体"/>
                <w:b/>
                <w:bCs/>
                <w:sz w:val="24"/>
              </w:rPr>
              <w:t>联系电话：</w:t>
            </w:r>
            <w:r>
              <w:rPr>
                <w:rFonts w:hint="eastAsia" w:ascii="宋体" w:hAnsi="宋体"/>
                <w:b/>
                <w:bCs/>
                <w:sz w:val="24"/>
                <w:u w:val="single"/>
                <w:lang w:val="en-US" w:eastAsia="zh-CN"/>
              </w:rPr>
              <w:t>17791390877</w:t>
            </w:r>
          </w:p>
          <w:p w14:paraId="28FE1D62">
            <w:pPr>
              <w:tabs>
                <w:tab w:val="left" w:pos="7665"/>
              </w:tabs>
              <w:snapToGrid w:val="0"/>
              <w:rPr>
                <w:rFonts w:hint="default" w:ascii="宋体" w:hAnsi="宋体" w:eastAsia="宋体"/>
                <w:sz w:val="24"/>
                <w:lang w:val="en-US" w:eastAsia="zh-CN"/>
              </w:rPr>
            </w:pPr>
            <w:r>
              <w:rPr>
                <w:rFonts w:ascii="宋体" w:hAnsi="宋体"/>
                <w:b/>
                <w:bCs/>
                <w:sz w:val="24"/>
              </w:rPr>
              <w:t>电子邮箱：</w:t>
            </w:r>
            <w:r>
              <w:rPr>
                <w:rFonts w:hint="eastAsia" w:ascii="宋体" w:hAnsi="宋体"/>
                <w:b/>
                <w:bCs/>
                <w:sz w:val="24"/>
                <w:u w:val="single"/>
                <w:lang w:val="en-US" w:eastAsia="zh-CN"/>
              </w:rPr>
              <w:t xml:space="preserve">/ </w:t>
            </w:r>
          </w:p>
        </w:tc>
      </w:tr>
    </w:tbl>
    <w:p w14:paraId="396C4A85">
      <w:pPr>
        <w:rPr>
          <w:rFonts w:hint="default" w:ascii="仿宋" w:hAnsi="仿宋" w:eastAsia="仿宋"/>
          <w:b/>
          <w:bCs/>
          <w:sz w:val="28"/>
          <w:szCs w:val="28"/>
          <w:highlight w:val="none"/>
          <w:u w:val="single"/>
          <w:lang w:val="en-US" w:eastAsia="zh-CN"/>
        </w:rPr>
      </w:pPr>
      <w:bookmarkStart w:id="0" w:name="_GoBack"/>
      <w:bookmarkEnd w:id="0"/>
      <w:r>
        <w:rPr>
          <w:rFonts w:ascii="仿宋" w:hAnsi="仿宋" w:eastAsia="仿宋"/>
          <w:b/>
          <w:sz w:val="32"/>
          <w:szCs w:val="32"/>
        </w:rPr>
        <w:br w:type="page"/>
      </w:r>
    </w:p>
    <w:sectPr>
      <w:footerReference r:id="rId3" w:type="default"/>
      <w:pgSz w:w="11906" w:h="16838"/>
      <w:pgMar w:top="1440" w:right="1463" w:bottom="1135"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8CBC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48761E">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348761E">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14FF30"/>
    <w:multiLevelType w:val="singleLevel"/>
    <w:tmpl w:val="D014FF3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0M2Q4ZTg0YzdlY2ZjMmFjY2ViYmQ5OTQ1N2FkM2YifQ=="/>
  </w:docVars>
  <w:rsids>
    <w:rsidRoot w:val="0022387C"/>
    <w:rsid w:val="0000159C"/>
    <w:rsid w:val="000019FA"/>
    <w:rsid w:val="00002BB3"/>
    <w:rsid w:val="00003F53"/>
    <w:rsid w:val="00004F9A"/>
    <w:rsid w:val="00006A52"/>
    <w:rsid w:val="00012137"/>
    <w:rsid w:val="00012844"/>
    <w:rsid w:val="00012F9B"/>
    <w:rsid w:val="00013929"/>
    <w:rsid w:val="00014DAF"/>
    <w:rsid w:val="00015802"/>
    <w:rsid w:val="00016042"/>
    <w:rsid w:val="00022F41"/>
    <w:rsid w:val="00023261"/>
    <w:rsid w:val="000234CF"/>
    <w:rsid w:val="000235C8"/>
    <w:rsid w:val="00027E6B"/>
    <w:rsid w:val="0003251F"/>
    <w:rsid w:val="00032BB4"/>
    <w:rsid w:val="00033377"/>
    <w:rsid w:val="00033B5A"/>
    <w:rsid w:val="00037F2F"/>
    <w:rsid w:val="00037FD3"/>
    <w:rsid w:val="000403A2"/>
    <w:rsid w:val="00040799"/>
    <w:rsid w:val="00040973"/>
    <w:rsid w:val="00043830"/>
    <w:rsid w:val="000440AF"/>
    <w:rsid w:val="00044F32"/>
    <w:rsid w:val="00051EF3"/>
    <w:rsid w:val="000543B4"/>
    <w:rsid w:val="00054879"/>
    <w:rsid w:val="000556F1"/>
    <w:rsid w:val="0005692F"/>
    <w:rsid w:val="00061A13"/>
    <w:rsid w:val="00063EEF"/>
    <w:rsid w:val="00064071"/>
    <w:rsid w:val="00064386"/>
    <w:rsid w:val="00067A39"/>
    <w:rsid w:val="00067D44"/>
    <w:rsid w:val="0007053B"/>
    <w:rsid w:val="00070AA6"/>
    <w:rsid w:val="0007534F"/>
    <w:rsid w:val="000770B7"/>
    <w:rsid w:val="00077B80"/>
    <w:rsid w:val="000857F2"/>
    <w:rsid w:val="00090002"/>
    <w:rsid w:val="000906B5"/>
    <w:rsid w:val="000911CC"/>
    <w:rsid w:val="000951C6"/>
    <w:rsid w:val="00095A8D"/>
    <w:rsid w:val="00096428"/>
    <w:rsid w:val="00097CDB"/>
    <w:rsid w:val="000A0237"/>
    <w:rsid w:val="000A2583"/>
    <w:rsid w:val="000B5ACF"/>
    <w:rsid w:val="000B6858"/>
    <w:rsid w:val="000C048C"/>
    <w:rsid w:val="000C078B"/>
    <w:rsid w:val="000C21A4"/>
    <w:rsid w:val="000C538D"/>
    <w:rsid w:val="000C59A5"/>
    <w:rsid w:val="000D0AF3"/>
    <w:rsid w:val="000D0DE1"/>
    <w:rsid w:val="000D1277"/>
    <w:rsid w:val="000D4097"/>
    <w:rsid w:val="000E3FB5"/>
    <w:rsid w:val="000E6AE7"/>
    <w:rsid w:val="000F0C8A"/>
    <w:rsid w:val="000F1A9A"/>
    <w:rsid w:val="000F27AD"/>
    <w:rsid w:val="000F2BEC"/>
    <w:rsid w:val="000F35AB"/>
    <w:rsid w:val="000F3645"/>
    <w:rsid w:val="000F4ECB"/>
    <w:rsid w:val="000F66FE"/>
    <w:rsid w:val="000F6831"/>
    <w:rsid w:val="000F6A10"/>
    <w:rsid w:val="000F735B"/>
    <w:rsid w:val="000F7DA6"/>
    <w:rsid w:val="00100C1B"/>
    <w:rsid w:val="00103379"/>
    <w:rsid w:val="00106530"/>
    <w:rsid w:val="00107B8A"/>
    <w:rsid w:val="001101BD"/>
    <w:rsid w:val="00111F0F"/>
    <w:rsid w:val="001131D6"/>
    <w:rsid w:val="00113B9B"/>
    <w:rsid w:val="00121FC0"/>
    <w:rsid w:val="00122D76"/>
    <w:rsid w:val="001257D4"/>
    <w:rsid w:val="0013015E"/>
    <w:rsid w:val="00131904"/>
    <w:rsid w:val="0013342E"/>
    <w:rsid w:val="001338D9"/>
    <w:rsid w:val="00133ADB"/>
    <w:rsid w:val="00134EE2"/>
    <w:rsid w:val="001351E3"/>
    <w:rsid w:val="00135AA2"/>
    <w:rsid w:val="00136D4A"/>
    <w:rsid w:val="00137E7B"/>
    <w:rsid w:val="00142244"/>
    <w:rsid w:val="001454AD"/>
    <w:rsid w:val="001455F6"/>
    <w:rsid w:val="001456C7"/>
    <w:rsid w:val="0015361E"/>
    <w:rsid w:val="00156ED5"/>
    <w:rsid w:val="001630D0"/>
    <w:rsid w:val="00164101"/>
    <w:rsid w:val="00164EE1"/>
    <w:rsid w:val="00166FD9"/>
    <w:rsid w:val="00167ECE"/>
    <w:rsid w:val="0017054A"/>
    <w:rsid w:val="00171A61"/>
    <w:rsid w:val="00173749"/>
    <w:rsid w:val="00173A35"/>
    <w:rsid w:val="0017410F"/>
    <w:rsid w:val="00174285"/>
    <w:rsid w:val="00175756"/>
    <w:rsid w:val="00176F0E"/>
    <w:rsid w:val="00184F72"/>
    <w:rsid w:val="00187846"/>
    <w:rsid w:val="00191A7E"/>
    <w:rsid w:val="00193B5F"/>
    <w:rsid w:val="001947E8"/>
    <w:rsid w:val="00194890"/>
    <w:rsid w:val="00196A1C"/>
    <w:rsid w:val="001A2103"/>
    <w:rsid w:val="001A5309"/>
    <w:rsid w:val="001A5764"/>
    <w:rsid w:val="001B0699"/>
    <w:rsid w:val="001B2019"/>
    <w:rsid w:val="001B49FD"/>
    <w:rsid w:val="001C0BA3"/>
    <w:rsid w:val="001C0BBD"/>
    <w:rsid w:val="001C25ED"/>
    <w:rsid w:val="001D1BCB"/>
    <w:rsid w:val="001D22C0"/>
    <w:rsid w:val="001D4171"/>
    <w:rsid w:val="001D576E"/>
    <w:rsid w:val="001D70BC"/>
    <w:rsid w:val="001E2BB9"/>
    <w:rsid w:val="001E6A70"/>
    <w:rsid w:val="001F2059"/>
    <w:rsid w:val="001F49A1"/>
    <w:rsid w:val="001F4ACC"/>
    <w:rsid w:val="001F7532"/>
    <w:rsid w:val="00201795"/>
    <w:rsid w:val="0020498C"/>
    <w:rsid w:val="00207790"/>
    <w:rsid w:val="00210CFC"/>
    <w:rsid w:val="00210FBE"/>
    <w:rsid w:val="002125C8"/>
    <w:rsid w:val="00213205"/>
    <w:rsid w:val="002137AF"/>
    <w:rsid w:val="002174B0"/>
    <w:rsid w:val="00220787"/>
    <w:rsid w:val="0022387C"/>
    <w:rsid w:val="00230C6A"/>
    <w:rsid w:val="00233D53"/>
    <w:rsid w:val="002345B9"/>
    <w:rsid w:val="00237A3F"/>
    <w:rsid w:val="00237C8C"/>
    <w:rsid w:val="0024210D"/>
    <w:rsid w:val="00244C29"/>
    <w:rsid w:val="00247B11"/>
    <w:rsid w:val="00250468"/>
    <w:rsid w:val="00250A0D"/>
    <w:rsid w:val="00250B6E"/>
    <w:rsid w:val="00252050"/>
    <w:rsid w:val="00253B74"/>
    <w:rsid w:val="002547E0"/>
    <w:rsid w:val="00255DBC"/>
    <w:rsid w:val="0025777A"/>
    <w:rsid w:val="00260306"/>
    <w:rsid w:val="00261898"/>
    <w:rsid w:val="00264014"/>
    <w:rsid w:val="0026501F"/>
    <w:rsid w:val="00266611"/>
    <w:rsid w:val="00267AE5"/>
    <w:rsid w:val="00267C8A"/>
    <w:rsid w:val="00271136"/>
    <w:rsid w:val="00273219"/>
    <w:rsid w:val="002742EA"/>
    <w:rsid w:val="0027449B"/>
    <w:rsid w:val="00276641"/>
    <w:rsid w:val="0028033D"/>
    <w:rsid w:val="00282837"/>
    <w:rsid w:val="00291777"/>
    <w:rsid w:val="0029384E"/>
    <w:rsid w:val="002938B0"/>
    <w:rsid w:val="002961E2"/>
    <w:rsid w:val="00296372"/>
    <w:rsid w:val="00297703"/>
    <w:rsid w:val="00297866"/>
    <w:rsid w:val="002A3B25"/>
    <w:rsid w:val="002A6815"/>
    <w:rsid w:val="002B35C4"/>
    <w:rsid w:val="002B36C2"/>
    <w:rsid w:val="002B59BE"/>
    <w:rsid w:val="002B65AB"/>
    <w:rsid w:val="002B696D"/>
    <w:rsid w:val="002C4511"/>
    <w:rsid w:val="002D2B5F"/>
    <w:rsid w:val="002D327B"/>
    <w:rsid w:val="002D41DD"/>
    <w:rsid w:val="002D7418"/>
    <w:rsid w:val="002E1660"/>
    <w:rsid w:val="002E43F6"/>
    <w:rsid w:val="002E7C3E"/>
    <w:rsid w:val="002F1C19"/>
    <w:rsid w:val="002F1C7D"/>
    <w:rsid w:val="002F1EC9"/>
    <w:rsid w:val="002F25EC"/>
    <w:rsid w:val="002F2EAB"/>
    <w:rsid w:val="002F30DD"/>
    <w:rsid w:val="002F3224"/>
    <w:rsid w:val="002F7D7D"/>
    <w:rsid w:val="00300067"/>
    <w:rsid w:val="00300B27"/>
    <w:rsid w:val="0030123B"/>
    <w:rsid w:val="00301FAE"/>
    <w:rsid w:val="003024CF"/>
    <w:rsid w:val="00305BAD"/>
    <w:rsid w:val="00306470"/>
    <w:rsid w:val="00311862"/>
    <w:rsid w:val="00316D60"/>
    <w:rsid w:val="003172BB"/>
    <w:rsid w:val="00322208"/>
    <w:rsid w:val="003245F8"/>
    <w:rsid w:val="00325D47"/>
    <w:rsid w:val="00325EF1"/>
    <w:rsid w:val="00332A7C"/>
    <w:rsid w:val="00337CFC"/>
    <w:rsid w:val="003406B1"/>
    <w:rsid w:val="00343305"/>
    <w:rsid w:val="003443D3"/>
    <w:rsid w:val="003450CD"/>
    <w:rsid w:val="00345F35"/>
    <w:rsid w:val="00351734"/>
    <w:rsid w:val="00354FCF"/>
    <w:rsid w:val="00360830"/>
    <w:rsid w:val="00364896"/>
    <w:rsid w:val="00366A2C"/>
    <w:rsid w:val="00372CF8"/>
    <w:rsid w:val="00373AE9"/>
    <w:rsid w:val="00374506"/>
    <w:rsid w:val="0037495D"/>
    <w:rsid w:val="00375819"/>
    <w:rsid w:val="00375C89"/>
    <w:rsid w:val="00376DAF"/>
    <w:rsid w:val="003833FB"/>
    <w:rsid w:val="00383F8F"/>
    <w:rsid w:val="00384AC1"/>
    <w:rsid w:val="003872CB"/>
    <w:rsid w:val="00387AFC"/>
    <w:rsid w:val="00390290"/>
    <w:rsid w:val="0039216D"/>
    <w:rsid w:val="00392EBD"/>
    <w:rsid w:val="00393459"/>
    <w:rsid w:val="003943D1"/>
    <w:rsid w:val="0039449C"/>
    <w:rsid w:val="00395695"/>
    <w:rsid w:val="003A0002"/>
    <w:rsid w:val="003A0295"/>
    <w:rsid w:val="003A0D83"/>
    <w:rsid w:val="003B0D75"/>
    <w:rsid w:val="003B3207"/>
    <w:rsid w:val="003C3325"/>
    <w:rsid w:val="003D2606"/>
    <w:rsid w:val="003D39C7"/>
    <w:rsid w:val="003D45F5"/>
    <w:rsid w:val="003D6B60"/>
    <w:rsid w:val="003E010E"/>
    <w:rsid w:val="003E1D81"/>
    <w:rsid w:val="003E7874"/>
    <w:rsid w:val="003F60A3"/>
    <w:rsid w:val="004001BE"/>
    <w:rsid w:val="0040124D"/>
    <w:rsid w:val="004017C8"/>
    <w:rsid w:val="0040181A"/>
    <w:rsid w:val="004024C2"/>
    <w:rsid w:val="004068A7"/>
    <w:rsid w:val="00406C11"/>
    <w:rsid w:val="004106B2"/>
    <w:rsid w:val="00412CBC"/>
    <w:rsid w:val="004156E2"/>
    <w:rsid w:val="0042388D"/>
    <w:rsid w:val="00427ABD"/>
    <w:rsid w:val="004317AB"/>
    <w:rsid w:val="00431DBF"/>
    <w:rsid w:val="00433512"/>
    <w:rsid w:val="0043432D"/>
    <w:rsid w:val="00441D7B"/>
    <w:rsid w:val="00444250"/>
    <w:rsid w:val="00444298"/>
    <w:rsid w:val="004456C5"/>
    <w:rsid w:val="00454666"/>
    <w:rsid w:val="004574A4"/>
    <w:rsid w:val="00463236"/>
    <w:rsid w:val="004657D3"/>
    <w:rsid w:val="0046690A"/>
    <w:rsid w:val="0046782F"/>
    <w:rsid w:val="00471E1E"/>
    <w:rsid w:val="0047278F"/>
    <w:rsid w:val="0047590B"/>
    <w:rsid w:val="00490F98"/>
    <w:rsid w:val="00491349"/>
    <w:rsid w:val="00493684"/>
    <w:rsid w:val="00493E48"/>
    <w:rsid w:val="00496ACE"/>
    <w:rsid w:val="00497530"/>
    <w:rsid w:val="004A00FD"/>
    <w:rsid w:val="004A5CFF"/>
    <w:rsid w:val="004A61D7"/>
    <w:rsid w:val="004A6B5A"/>
    <w:rsid w:val="004B1026"/>
    <w:rsid w:val="004B5992"/>
    <w:rsid w:val="004C093C"/>
    <w:rsid w:val="004C0B7A"/>
    <w:rsid w:val="004C0CA0"/>
    <w:rsid w:val="004C2A01"/>
    <w:rsid w:val="004C5B48"/>
    <w:rsid w:val="004C6493"/>
    <w:rsid w:val="004D2D8E"/>
    <w:rsid w:val="004D4879"/>
    <w:rsid w:val="004D7C23"/>
    <w:rsid w:val="004D7F2C"/>
    <w:rsid w:val="004E07B6"/>
    <w:rsid w:val="004E0B6D"/>
    <w:rsid w:val="004E63AF"/>
    <w:rsid w:val="004F411F"/>
    <w:rsid w:val="004F60D3"/>
    <w:rsid w:val="004F7D8F"/>
    <w:rsid w:val="0050182A"/>
    <w:rsid w:val="00502DB5"/>
    <w:rsid w:val="005053C1"/>
    <w:rsid w:val="00506ECC"/>
    <w:rsid w:val="00510D3F"/>
    <w:rsid w:val="00511E18"/>
    <w:rsid w:val="00512B77"/>
    <w:rsid w:val="00515ADE"/>
    <w:rsid w:val="00515E63"/>
    <w:rsid w:val="005176F4"/>
    <w:rsid w:val="005203BA"/>
    <w:rsid w:val="005220F8"/>
    <w:rsid w:val="00522932"/>
    <w:rsid w:val="0052539A"/>
    <w:rsid w:val="005309DD"/>
    <w:rsid w:val="0053320F"/>
    <w:rsid w:val="005406CD"/>
    <w:rsid w:val="00542C65"/>
    <w:rsid w:val="00544037"/>
    <w:rsid w:val="0054537C"/>
    <w:rsid w:val="00547AD0"/>
    <w:rsid w:val="005509F0"/>
    <w:rsid w:val="00553778"/>
    <w:rsid w:val="00553AC5"/>
    <w:rsid w:val="00554646"/>
    <w:rsid w:val="005555A0"/>
    <w:rsid w:val="0056216F"/>
    <w:rsid w:val="005627E9"/>
    <w:rsid w:val="00572506"/>
    <w:rsid w:val="00573AC9"/>
    <w:rsid w:val="00581DBA"/>
    <w:rsid w:val="00581F60"/>
    <w:rsid w:val="005829C2"/>
    <w:rsid w:val="00582A46"/>
    <w:rsid w:val="0058322B"/>
    <w:rsid w:val="00583A5C"/>
    <w:rsid w:val="0058471F"/>
    <w:rsid w:val="0058487A"/>
    <w:rsid w:val="00592CFD"/>
    <w:rsid w:val="00593C8A"/>
    <w:rsid w:val="005960B9"/>
    <w:rsid w:val="005A3DFC"/>
    <w:rsid w:val="005A5B0F"/>
    <w:rsid w:val="005A69F8"/>
    <w:rsid w:val="005A6B45"/>
    <w:rsid w:val="005A7B9D"/>
    <w:rsid w:val="005B0579"/>
    <w:rsid w:val="005B27CD"/>
    <w:rsid w:val="005B314D"/>
    <w:rsid w:val="005B353B"/>
    <w:rsid w:val="005B547C"/>
    <w:rsid w:val="005B65A5"/>
    <w:rsid w:val="005B67BE"/>
    <w:rsid w:val="005B7116"/>
    <w:rsid w:val="005C6C4F"/>
    <w:rsid w:val="005D000E"/>
    <w:rsid w:val="005D62E5"/>
    <w:rsid w:val="005D7216"/>
    <w:rsid w:val="005E12F7"/>
    <w:rsid w:val="005E548A"/>
    <w:rsid w:val="005E5BCC"/>
    <w:rsid w:val="005E5CCE"/>
    <w:rsid w:val="005E6CCC"/>
    <w:rsid w:val="005F19BB"/>
    <w:rsid w:val="005F3B5B"/>
    <w:rsid w:val="006022C0"/>
    <w:rsid w:val="00602E42"/>
    <w:rsid w:val="00603657"/>
    <w:rsid w:val="0060479B"/>
    <w:rsid w:val="00606A55"/>
    <w:rsid w:val="00611AC2"/>
    <w:rsid w:val="00613BB6"/>
    <w:rsid w:val="0061777B"/>
    <w:rsid w:val="00624066"/>
    <w:rsid w:val="00624620"/>
    <w:rsid w:val="00624946"/>
    <w:rsid w:val="00625173"/>
    <w:rsid w:val="00630CCB"/>
    <w:rsid w:val="00631E71"/>
    <w:rsid w:val="0063350A"/>
    <w:rsid w:val="006340A0"/>
    <w:rsid w:val="0063581A"/>
    <w:rsid w:val="00636BF4"/>
    <w:rsid w:val="00642CB1"/>
    <w:rsid w:val="006431A9"/>
    <w:rsid w:val="006466DF"/>
    <w:rsid w:val="006518D0"/>
    <w:rsid w:val="00652393"/>
    <w:rsid w:val="00656003"/>
    <w:rsid w:val="006571DD"/>
    <w:rsid w:val="0065774D"/>
    <w:rsid w:val="0065792C"/>
    <w:rsid w:val="0066668A"/>
    <w:rsid w:val="00675065"/>
    <w:rsid w:val="00675563"/>
    <w:rsid w:val="00675632"/>
    <w:rsid w:val="00685346"/>
    <w:rsid w:val="00685B24"/>
    <w:rsid w:val="006870E8"/>
    <w:rsid w:val="00690BC5"/>
    <w:rsid w:val="00690C8E"/>
    <w:rsid w:val="006933DD"/>
    <w:rsid w:val="0069471D"/>
    <w:rsid w:val="00695670"/>
    <w:rsid w:val="00695E20"/>
    <w:rsid w:val="006A3BA0"/>
    <w:rsid w:val="006A4EC6"/>
    <w:rsid w:val="006A6DF3"/>
    <w:rsid w:val="006B20D5"/>
    <w:rsid w:val="006B34F6"/>
    <w:rsid w:val="006B4952"/>
    <w:rsid w:val="006B5EA1"/>
    <w:rsid w:val="006B7F10"/>
    <w:rsid w:val="006C042B"/>
    <w:rsid w:val="006C2543"/>
    <w:rsid w:val="006C7C59"/>
    <w:rsid w:val="006D0312"/>
    <w:rsid w:val="006D214E"/>
    <w:rsid w:val="006D2DEA"/>
    <w:rsid w:val="006D2E9C"/>
    <w:rsid w:val="006D30BC"/>
    <w:rsid w:val="006E1A0E"/>
    <w:rsid w:val="006E6E8B"/>
    <w:rsid w:val="006E7C76"/>
    <w:rsid w:val="006F04CD"/>
    <w:rsid w:val="006F07C9"/>
    <w:rsid w:val="006F0A6B"/>
    <w:rsid w:val="006F0F75"/>
    <w:rsid w:val="006F5AC8"/>
    <w:rsid w:val="006F5F50"/>
    <w:rsid w:val="006F721C"/>
    <w:rsid w:val="00704218"/>
    <w:rsid w:val="00706102"/>
    <w:rsid w:val="00711356"/>
    <w:rsid w:val="00716375"/>
    <w:rsid w:val="00724763"/>
    <w:rsid w:val="007326D4"/>
    <w:rsid w:val="007331C5"/>
    <w:rsid w:val="00733D26"/>
    <w:rsid w:val="00733E96"/>
    <w:rsid w:val="00734BE2"/>
    <w:rsid w:val="00734DBA"/>
    <w:rsid w:val="007405AB"/>
    <w:rsid w:val="0074169B"/>
    <w:rsid w:val="007416A5"/>
    <w:rsid w:val="00742326"/>
    <w:rsid w:val="00743F8B"/>
    <w:rsid w:val="007552A7"/>
    <w:rsid w:val="00757FC1"/>
    <w:rsid w:val="00760265"/>
    <w:rsid w:val="00763522"/>
    <w:rsid w:val="00770D89"/>
    <w:rsid w:val="00771FBD"/>
    <w:rsid w:val="00772751"/>
    <w:rsid w:val="00772BFA"/>
    <w:rsid w:val="007732E5"/>
    <w:rsid w:val="00773A1F"/>
    <w:rsid w:val="007750D4"/>
    <w:rsid w:val="00775725"/>
    <w:rsid w:val="00781A2A"/>
    <w:rsid w:val="0079003B"/>
    <w:rsid w:val="00797959"/>
    <w:rsid w:val="007A0298"/>
    <w:rsid w:val="007A0EED"/>
    <w:rsid w:val="007A1F61"/>
    <w:rsid w:val="007A2D00"/>
    <w:rsid w:val="007A3433"/>
    <w:rsid w:val="007A5B38"/>
    <w:rsid w:val="007A7AC5"/>
    <w:rsid w:val="007B1707"/>
    <w:rsid w:val="007B1F48"/>
    <w:rsid w:val="007B4190"/>
    <w:rsid w:val="007B5A22"/>
    <w:rsid w:val="007B7795"/>
    <w:rsid w:val="007C1E2E"/>
    <w:rsid w:val="007C32E6"/>
    <w:rsid w:val="007C6103"/>
    <w:rsid w:val="007C7079"/>
    <w:rsid w:val="007C745E"/>
    <w:rsid w:val="007C7E4A"/>
    <w:rsid w:val="007D249E"/>
    <w:rsid w:val="007D2EE8"/>
    <w:rsid w:val="007D4745"/>
    <w:rsid w:val="007D596E"/>
    <w:rsid w:val="007D61F2"/>
    <w:rsid w:val="007D6288"/>
    <w:rsid w:val="007D7D00"/>
    <w:rsid w:val="007E1576"/>
    <w:rsid w:val="007E2BD2"/>
    <w:rsid w:val="007E5F41"/>
    <w:rsid w:val="007E6CF2"/>
    <w:rsid w:val="007F1EB4"/>
    <w:rsid w:val="007F5493"/>
    <w:rsid w:val="007F5B53"/>
    <w:rsid w:val="007F6DC7"/>
    <w:rsid w:val="0080075E"/>
    <w:rsid w:val="00802AAC"/>
    <w:rsid w:val="00806FED"/>
    <w:rsid w:val="00811115"/>
    <w:rsid w:val="008134C7"/>
    <w:rsid w:val="008139EB"/>
    <w:rsid w:val="008150A6"/>
    <w:rsid w:val="008151E2"/>
    <w:rsid w:val="00816091"/>
    <w:rsid w:val="00816182"/>
    <w:rsid w:val="00821BA2"/>
    <w:rsid w:val="00822824"/>
    <w:rsid w:val="008228B9"/>
    <w:rsid w:val="00824639"/>
    <w:rsid w:val="00826C95"/>
    <w:rsid w:val="00832985"/>
    <w:rsid w:val="008332CE"/>
    <w:rsid w:val="008345B9"/>
    <w:rsid w:val="008354ED"/>
    <w:rsid w:val="00835DAD"/>
    <w:rsid w:val="008376EF"/>
    <w:rsid w:val="00837760"/>
    <w:rsid w:val="00837F02"/>
    <w:rsid w:val="00840EF2"/>
    <w:rsid w:val="00843C41"/>
    <w:rsid w:val="0084500E"/>
    <w:rsid w:val="008455FB"/>
    <w:rsid w:val="0084584F"/>
    <w:rsid w:val="00850BC8"/>
    <w:rsid w:val="00850E33"/>
    <w:rsid w:val="00856715"/>
    <w:rsid w:val="00856DC0"/>
    <w:rsid w:val="00861CE7"/>
    <w:rsid w:val="00864D01"/>
    <w:rsid w:val="00865BFC"/>
    <w:rsid w:val="008669F7"/>
    <w:rsid w:val="0087394A"/>
    <w:rsid w:val="00874D32"/>
    <w:rsid w:val="00881B84"/>
    <w:rsid w:val="008876A3"/>
    <w:rsid w:val="00887DFB"/>
    <w:rsid w:val="0089283A"/>
    <w:rsid w:val="00892ADC"/>
    <w:rsid w:val="00893813"/>
    <w:rsid w:val="0089658C"/>
    <w:rsid w:val="00896F74"/>
    <w:rsid w:val="00897000"/>
    <w:rsid w:val="008A2458"/>
    <w:rsid w:val="008A66B8"/>
    <w:rsid w:val="008A7EED"/>
    <w:rsid w:val="008B2B1D"/>
    <w:rsid w:val="008B5009"/>
    <w:rsid w:val="008B7E45"/>
    <w:rsid w:val="008C1237"/>
    <w:rsid w:val="008C64FB"/>
    <w:rsid w:val="008C771B"/>
    <w:rsid w:val="008C77A4"/>
    <w:rsid w:val="008D0DB7"/>
    <w:rsid w:val="008D2DAF"/>
    <w:rsid w:val="008D4EEC"/>
    <w:rsid w:val="008E1C91"/>
    <w:rsid w:val="008E2EFF"/>
    <w:rsid w:val="008E3B9E"/>
    <w:rsid w:val="008E4E0F"/>
    <w:rsid w:val="008E738E"/>
    <w:rsid w:val="008F0A84"/>
    <w:rsid w:val="008F0CC3"/>
    <w:rsid w:val="008F44C7"/>
    <w:rsid w:val="008F5035"/>
    <w:rsid w:val="008F5056"/>
    <w:rsid w:val="0090408F"/>
    <w:rsid w:val="00906F8A"/>
    <w:rsid w:val="00915570"/>
    <w:rsid w:val="0091611D"/>
    <w:rsid w:val="00916267"/>
    <w:rsid w:val="00921082"/>
    <w:rsid w:val="00922EFB"/>
    <w:rsid w:val="00923A6C"/>
    <w:rsid w:val="009249C8"/>
    <w:rsid w:val="00933F00"/>
    <w:rsid w:val="00935401"/>
    <w:rsid w:val="0094003A"/>
    <w:rsid w:val="0094004A"/>
    <w:rsid w:val="00946A82"/>
    <w:rsid w:val="00951071"/>
    <w:rsid w:val="0095333C"/>
    <w:rsid w:val="00955186"/>
    <w:rsid w:val="00956EE8"/>
    <w:rsid w:val="009643C2"/>
    <w:rsid w:val="00966B6A"/>
    <w:rsid w:val="0097057C"/>
    <w:rsid w:val="009715C5"/>
    <w:rsid w:val="00971AF2"/>
    <w:rsid w:val="009723B8"/>
    <w:rsid w:val="00974455"/>
    <w:rsid w:val="0098281C"/>
    <w:rsid w:val="0098423D"/>
    <w:rsid w:val="009850E9"/>
    <w:rsid w:val="00985DFA"/>
    <w:rsid w:val="00986315"/>
    <w:rsid w:val="009911E3"/>
    <w:rsid w:val="00994E42"/>
    <w:rsid w:val="00995178"/>
    <w:rsid w:val="009A1C33"/>
    <w:rsid w:val="009A2439"/>
    <w:rsid w:val="009A2BFF"/>
    <w:rsid w:val="009A6D30"/>
    <w:rsid w:val="009B206F"/>
    <w:rsid w:val="009B5F6F"/>
    <w:rsid w:val="009B7A7F"/>
    <w:rsid w:val="009B7A90"/>
    <w:rsid w:val="009B7BA4"/>
    <w:rsid w:val="009C1007"/>
    <w:rsid w:val="009C1F6E"/>
    <w:rsid w:val="009C2514"/>
    <w:rsid w:val="009C3C03"/>
    <w:rsid w:val="009C3EBA"/>
    <w:rsid w:val="009C4C61"/>
    <w:rsid w:val="009C5377"/>
    <w:rsid w:val="009C7BA0"/>
    <w:rsid w:val="009D1B51"/>
    <w:rsid w:val="009D52BF"/>
    <w:rsid w:val="009D6DD3"/>
    <w:rsid w:val="009E3F57"/>
    <w:rsid w:val="009E4F8A"/>
    <w:rsid w:val="009E6771"/>
    <w:rsid w:val="009E67E4"/>
    <w:rsid w:val="009F0511"/>
    <w:rsid w:val="009F1DBD"/>
    <w:rsid w:val="009F22FE"/>
    <w:rsid w:val="009F750B"/>
    <w:rsid w:val="00A00435"/>
    <w:rsid w:val="00A03071"/>
    <w:rsid w:val="00A05B11"/>
    <w:rsid w:val="00A06B7F"/>
    <w:rsid w:val="00A07D9C"/>
    <w:rsid w:val="00A109CC"/>
    <w:rsid w:val="00A13EDB"/>
    <w:rsid w:val="00A14C4D"/>
    <w:rsid w:val="00A15845"/>
    <w:rsid w:val="00A17B52"/>
    <w:rsid w:val="00A2141C"/>
    <w:rsid w:val="00A21B16"/>
    <w:rsid w:val="00A22D76"/>
    <w:rsid w:val="00A24D47"/>
    <w:rsid w:val="00A30370"/>
    <w:rsid w:val="00A32017"/>
    <w:rsid w:val="00A3527C"/>
    <w:rsid w:val="00A37E7E"/>
    <w:rsid w:val="00A4098F"/>
    <w:rsid w:val="00A4193A"/>
    <w:rsid w:val="00A45C6F"/>
    <w:rsid w:val="00A46DCC"/>
    <w:rsid w:val="00A5014E"/>
    <w:rsid w:val="00A562E3"/>
    <w:rsid w:val="00A569D3"/>
    <w:rsid w:val="00A6062B"/>
    <w:rsid w:val="00A62089"/>
    <w:rsid w:val="00A654EF"/>
    <w:rsid w:val="00A658F2"/>
    <w:rsid w:val="00A65AFD"/>
    <w:rsid w:val="00A66B78"/>
    <w:rsid w:val="00A6769B"/>
    <w:rsid w:val="00A677C6"/>
    <w:rsid w:val="00A67E25"/>
    <w:rsid w:val="00A72C38"/>
    <w:rsid w:val="00A72FD2"/>
    <w:rsid w:val="00A7420A"/>
    <w:rsid w:val="00A74D3C"/>
    <w:rsid w:val="00A75DB1"/>
    <w:rsid w:val="00A761C2"/>
    <w:rsid w:val="00A76D29"/>
    <w:rsid w:val="00A86960"/>
    <w:rsid w:val="00A91A54"/>
    <w:rsid w:val="00A91B7E"/>
    <w:rsid w:val="00A96F13"/>
    <w:rsid w:val="00AA1080"/>
    <w:rsid w:val="00AA16D3"/>
    <w:rsid w:val="00AA18CA"/>
    <w:rsid w:val="00AA3BFA"/>
    <w:rsid w:val="00AA5A0A"/>
    <w:rsid w:val="00AA5E84"/>
    <w:rsid w:val="00AA725C"/>
    <w:rsid w:val="00AB3274"/>
    <w:rsid w:val="00AB7A0E"/>
    <w:rsid w:val="00AC0409"/>
    <w:rsid w:val="00AC0C60"/>
    <w:rsid w:val="00AC2E63"/>
    <w:rsid w:val="00AC2EA5"/>
    <w:rsid w:val="00AC3A70"/>
    <w:rsid w:val="00AC63F8"/>
    <w:rsid w:val="00AC7144"/>
    <w:rsid w:val="00AC75AF"/>
    <w:rsid w:val="00AD340C"/>
    <w:rsid w:val="00AD3849"/>
    <w:rsid w:val="00AD3D18"/>
    <w:rsid w:val="00AD4D41"/>
    <w:rsid w:val="00AD4DD2"/>
    <w:rsid w:val="00AD6114"/>
    <w:rsid w:val="00AD74EC"/>
    <w:rsid w:val="00AE01B3"/>
    <w:rsid w:val="00AE0CFD"/>
    <w:rsid w:val="00AE1DA8"/>
    <w:rsid w:val="00AE4D94"/>
    <w:rsid w:val="00AE5612"/>
    <w:rsid w:val="00AE6664"/>
    <w:rsid w:val="00AE6EED"/>
    <w:rsid w:val="00AE74AC"/>
    <w:rsid w:val="00B02758"/>
    <w:rsid w:val="00B02B5A"/>
    <w:rsid w:val="00B036CF"/>
    <w:rsid w:val="00B04B8A"/>
    <w:rsid w:val="00B04BFB"/>
    <w:rsid w:val="00B104AA"/>
    <w:rsid w:val="00B11872"/>
    <w:rsid w:val="00B13979"/>
    <w:rsid w:val="00B15E4F"/>
    <w:rsid w:val="00B2012B"/>
    <w:rsid w:val="00B20B29"/>
    <w:rsid w:val="00B20CB9"/>
    <w:rsid w:val="00B20D52"/>
    <w:rsid w:val="00B2167C"/>
    <w:rsid w:val="00B246D3"/>
    <w:rsid w:val="00B262C9"/>
    <w:rsid w:val="00B26A2C"/>
    <w:rsid w:val="00B30526"/>
    <w:rsid w:val="00B32FCD"/>
    <w:rsid w:val="00B34577"/>
    <w:rsid w:val="00B34E07"/>
    <w:rsid w:val="00B42D00"/>
    <w:rsid w:val="00B43464"/>
    <w:rsid w:val="00B45223"/>
    <w:rsid w:val="00B45C7D"/>
    <w:rsid w:val="00B461F3"/>
    <w:rsid w:val="00B50C36"/>
    <w:rsid w:val="00B51C5E"/>
    <w:rsid w:val="00B52083"/>
    <w:rsid w:val="00B52525"/>
    <w:rsid w:val="00B52B44"/>
    <w:rsid w:val="00B52D72"/>
    <w:rsid w:val="00B56BAC"/>
    <w:rsid w:val="00B571F4"/>
    <w:rsid w:val="00B64780"/>
    <w:rsid w:val="00B6494B"/>
    <w:rsid w:val="00B65E8E"/>
    <w:rsid w:val="00B67926"/>
    <w:rsid w:val="00B679FA"/>
    <w:rsid w:val="00B72B4C"/>
    <w:rsid w:val="00B75DE1"/>
    <w:rsid w:val="00B76EAC"/>
    <w:rsid w:val="00B81ECA"/>
    <w:rsid w:val="00B838D7"/>
    <w:rsid w:val="00B86A3E"/>
    <w:rsid w:val="00B9113C"/>
    <w:rsid w:val="00B91DE8"/>
    <w:rsid w:val="00B96111"/>
    <w:rsid w:val="00B975ED"/>
    <w:rsid w:val="00B979E2"/>
    <w:rsid w:val="00B97D1F"/>
    <w:rsid w:val="00B97E9D"/>
    <w:rsid w:val="00BA38E0"/>
    <w:rsid w:val="00BA619F"/>
    <w:rsid w:val="00BA7D43"/>
    <w:rsid w:val="00BB02EB"/>
    <w:rsid w:val="00BB0A6C"/>
    <w:rsid w:val="00BB2DBC"/>
    <w:rsid w:val="00BB4AC7"/>
    <w:rsid w:val="00BB4CD0"/>
    <w:rsid w:val="00BB61C1"/>
    <w:rsid w:val="00BB6B4A"/>
    <w:rsid w:val="00BB7E90"/>
    <w:rsid w:val="00BC03CC"/>
    <w:rsid w:val="00BC11D7"/>
    <w:rsid w:val="00BC1B9C"/>
    <w:rsid w:val="00BC2C14"/>
    <w:rsid w:val="00BC31EE"/>
    <w:rsid w:val="00BC3C19"/>
    <w:rsid w:val="00BC4B27"/>
    <w:rsid w:val="00BC5C23"/>
    <w:rsid w:val="00BD15BE"/>
    <w:rsid w:val="00BD3BF3"/>
    <w:rsid w:val="00BD5316"/>
    <w:rsid w:val="00BD6613"/>
    <w:rsid w:val="00BD7E81"/>
    <w:rsid w:val="00BE41BE"/>
    <w:rsid w:val="00BE6F8C"/>
    <w:rsid w:val="00BE735F"/>
    <w:rsid w:val="00BF0B0F"/>
    <w:rsid w:val="00BF150A"/>
    <w:rsid w:val="00BF30A5"/>
    <w:rsid w:val="00BF3210"/>
    <w:rsid w:val="00BF3B09"/>
    <w:rsid w:val="00C03270"/>
    <w:rsid w:val="00C048FB"/>
    <w:rsid w:val="00C04CFA"/>
    <w:rsid w:val="00C076EF"/>
    <w:rsid w:val="00C16C84"/>
    <w:rsid w:val="00C21DB4"/>
    <w:rsid w:val="00C224CD"/>
    <w:rsid w:val="00C25539"/>
    <w:rsid w:val="00C25C2B"/>
    <w:rsid w:val="00C34D95"/>
    <w:rsid w:val="00C357EB"/>
    <w:rsid w:val="00C37015"/>
    <w:rsid w:val="00C40072"/>
    <w:rsid w:val="00C4213E"/>
    <w:rsid w:val="00C438D5"/>
    <w:rsid w:val="00C45741"/>
    <w:rsid w:val="00C472A3"/>
    <w:rsid w:val="00C50C4A"/>
    <w:rsid w:val="00C524B1"/>
    <w:rsid w:val="00C56B9D"/>
    <w:rsid w:val="00C60706"/>
    <w:rsid w:val="00C6464D"/>
    <w:rsid w:val="00C64FE6"/>
    <w:rsid w:val="00C72DBC"/>
    <w:rsid w:val="00C76B39"/>
    <w:rsid w:val="00C8194B"/>
    <w:rsid w:val="00C8510F"/>
    <w:rsid w:val="00C856C4"/>
    <w:rsid w:val="00C8634C"/>
    <w:rsid w:val="00C86F92"/>
    <w:rsid w:val="00C90072"/>
    <w:rsid w:val="00C9533B"/>
    <w:rsid w:val="00CB0748"/>
    <w:rsid w:val="00CB18BD"/>
    <w:rsid w:val="00CB232C"/>
    <w:rsid w:val="00CB2D79"/>
    <w:rsid w:val="00CB2E90"/>
    <w:rsid w:val="00CB4405"/>
    <w:rsid w:val="00CB4EF4"/>
    <w:rsid w:val="00CB5BD0"/>
    <w:rsid w:val="00CB63F6"/>
    <w:rsid w:val="00CC042F"/>
    <w:rsid w:val="00CC11D6"/>
    <w:rsid w:val="00CD2668"/>
    <w:rsid w:val="00CD2FAC"/>
    <w:rsid w:val="00CD495B"/>
    <w:rsid w:val="00CD7C0B"/>
    <w:rsid w:val="00CD7C6C"/>
    <w:rsid w:val="00CE3BDB"/>
    <w:rsid w:val="00CE4305"/>
    <w:rsid w:val="00CE44AB"/>
    <w:rsid w:val="00CE4BC6"/>
    <w:rsid w:val="00CE52BF"/>
    <w:rsid w:val="00CE70DB"/>
    <w:rsid w:val="00CF001E"/>
    <w:rsid w:val="00CF50D5"/>
    <w:rsid w:val="00CF5C9B"/>
    <w:rsid w:val="00CF6662"/>
    <w:rsid w:val="00D01058"/>
    <w:rsid w:val="00D01136"/>
    <w:rsid w:val="00D03474"/>
    <w:rsid w:val="00D03476"/>
    <w:rsid w:val="00D03C0F"/>
    <w:rsid w:val="00D06B71"/>
    <w:rsid w:val="00D105D9"/>
    <w:rsid w:val="00D11FB0"/>
    <w:rsid w:val="00D129B0"/>
    <w:rsid w:val="00D1756F"/>
    <w:rsid w:val="00D21893"/>
    <w:rsid w:val="00D23DB6"/>
    <w:rsid w:val="00D242FC"/>
    <w:rsid w:val="00D26400"/>
    <w:rsid w:val="00D264F9"/>
    <w:rsid w:val="00D35E6A"/>
    <w:rsid w:val="00D361F7"/>
    <w:rsid w:val="00D37A4D"/>
    <w:rsid w:val="00D37BDA"/>
    <w:rsid w:val="00D409F8"/>
    <w:rsid w:val="00D41D8D"/>
    <w:rsid w:val="00D51C08"/>
    <w:rsid w:val="00D51F3E"/>
    <w:rsid w:val="00D55D74"/>
    <w:rsid w:val="00D568D6"/>
    <w:rsid w:val="00D613B2"/>
    <w:rsid w:val="00D61D4F"/>
    <w:rsid w:val="00D62526"/>
    <w:rsid w:val="00D65B3B"/>
    <w:rsid w:val="00D6655A"/>
    <w:rsid w:val="00D7158D"/>
    <w:rsid w:val="00D73BEF"/>
    <w:rsid w:val="00D75DD7"/>
    <w:rsid w:val="00D8461E"/>
    <w:rsid w:val="00D848AF"/>
    <w:rsid w:val="00D84D41"/>
    <w:rsid w:val="00D85867"/>
    <w:rsid w:val="00D90438"/>
    <w:rsid w:val="00D90F7C"/>
    <w:rsid w:val="00D93BBB"/>
    <w:rsid w:val="00D9483F"/>
    <w:rsid w:val="00D9612C"/>
    <w:rsid w:val="00DA0DFD"/>
    <w:rsid w:val="00DA26D1"/>
    <w:rsid w:val="00DB18FC"/>
    <w:rsid w:val="00DB2769"/>
    <w:rsid w:val="00DB4762"/>
    <w:rsid w:val="00DB630A"/>
    <w:rsid w:val="00DB6473"/>
    <w:rsid w:val="00DC4AE1"/>
    <w:rsid w:val="00DC6B38"/>
    <w:rsid w:val="00DC767D"/>
    <w:rsid w:val="00DC7A15"/>
    <w:rsid w:val="00DD0CDD"/>
    <w:rsid w:val="00DD26EA"/>
    <w:rsid w:val="00DD35BB"/>
    <w:rsid w:val="00DD7198"/>
    <w:rsid w:val="00DE3B48"/>
    <w:rsid w:val="00DF0FF1"/>
    <w:rsid w:val="00DF1557"/>
    <w:rsid w:val="00DF7223"/>
    <w:rsid w:val="00DF749E"/>
    <w:rsid w:val="00DF7988"/>
    <w:rsid w:val="00E0112E"/>
    <w:rsid w:val="00E02056"/>
    <w:rsid w:val="00E037D5"/>
    <w:rsid w:val="00E07EB9"/>
    <w:rsid w:val="00E10A87"/>
    <w:rsid w:val="00E114BC"/>
    <w:rsid w:val="00E11D50"/>
    <w:rsid w:val="00E13609"/>
    <w:rsid w:val="00E14B3C"/>
    <w:rsid w:val="00E16067"/>
    <w:rsid w:val="00E212E3"/>
    <w:rsid w:val="00E227F4"/>
    <w:rsid w:val="00E23903"/>
    <w:rsid w:val="00E2575E"/>
    <w:rsid w:val="00E27DAA"/>
    <w:rsid w:val="00E27FDC"/>
    <w:rsid w:val="00E30E7D"/>
    <w:rsid w:val="00E31BA9"/>
    <w:rsid w:val="00E40872"/>
    <w:rsid w:val="00E41594"/>
    <w:rsid w:val="00E46A08"/>
    <w:rsid w:val="00E55984"/>
    <w:rsid w:val="00E56FE8"/>
    <w:rsid w:val="00E57C5E"/>
    <w:rsid w:val="00E6057C"/>
    <w:rsid w:val="00E607A7"/>
    <w:rsid w:val="00E63BD1"/>
    <w:rsid w:val="00E6467D"/>
    <w:rsid w:val="00E66BCF"/>
    <w:rsid w:val="00E71342"/>
    <w:rsid w:val="00E728E4"/>
    <w:rsid w:val="00E75741"/>
    <w:rsid w:val="00E83DB2"/>
    <w:rsid w:val="00E85DAF"/>
    <w:rsid w:val="00E87864"/>
    <w:rsid w:val="00E9170D"/>
    <w:rsid w:val="00E9198A"/>
    <w:rsid w:val="00E931C1"/>
    <w:rsid w:val="00E93D73"/>
    <w:rsid w:val="00E94BFD"/>
    <w:rsid w:val="00E94E0E"/>
    <w:rsid w:val="00E97186"/>
    <w:rsid w:val="00E97F6C"/>
    <w:rsid w:val="00EA04D2"/>
    <w:rsid w:val="00EA68DB"/>
    <w:rsid w:val="00EB1A62"/>
    <w:rsid w:val="00EB7A4C"/>
    <w:rsid w:val="00EC2A66"/>
    <w:rsid w:val="00EC3672"/>
    <w:rsid w:val="00ED0960"/>
    <w:rsid w:val="00ED3782"/>
    <w:rsid w:val="00ED56C1"/>
    <w:rsid w:val="00EE1F49"/>
    <w:rsid w:val="00EE1F87"/>
    <w:rsid w:val="00EE3720"/>
    <w:rsid w:val="00EE3F92"/>
    <w:rsid w:val="00EE7634"/>
    <w:rsid w:val="00EF1FCF"/>
    <w:rsid w:val="00EF271D"/>
    <w:rsid w:val="00EF4228"/>
    <w:rsid w:val="00EF4DC8"/>
    <w:rsid w:val="00EF659E"/>
    <w:rsid w:val="00EF6A13"/>
    <w:rsid w:val="00F01751"/>
    <w:rsid w:val="00F02CF2"/>
    <w:rsid w:val="00F0385A"/>
    <w:rsid w:val="00F1070F"/>
    <w:rsid w:val="00F14992"/>
    <w:rsid w:val="00F14DE0"/>
    <w:rsid w:val="00F21D20"/>
    <w:rsid w:val="00F22674"/>
    <w:rsid w:val="00F22B78"/>
    <w:rsid w:val="00F244F9"/>
    <w:rsid w:val="00F25220"/>
    <w:rsid w:val="00F25320"/>
    <w:rsid w:val="00F26FA6"/>
    <w:rsid w:val="00F306D7"/>
    <w:rsid w:val="00F308B7"/>
    <w:rsid w:val="00F31CAB"/>
    <w:rsid w:val="00F32A46"/>
    <w:rsid w:val="00F37170"/>
    <w:rsid w:val="00F43040"/>
    <w:rsid w:val="00F44E00"/>
    <w:rsid w:val="00F44EC3"/>
    <w:rsid w:val="00F459DC"/>
    <w:rsid w:val="00F46B72"/>
    <w:rsid w:val="00F474AB"/>
    <w:rsid w:val="00F476F6"/>
    <w:rsid w:val="00F47A28"/>
    <w:rsid w:val="00F5050C"/>
    <w:rsid w:val="00F5134E"/>
    <w:rsid w:val="00F528DD"/>
    <w:rsid w:val="00F52A18"/>
    <w:rsid w:val="00F52C68"/>
    <w:rsid w:val="00F53CC6"/>
    <w:rsid w:val="00F564CD"/>
    <w:rsid w:val="00F61702"/>
    <w:rsid w:val="00F62E71"/>
    <w:rsid w:val="00F630C8"/>
    <w:rsid w:val="00F64C12"/>
    <w:rsid w:val="00F6552D"/>
    <w:rsid w:val="00F67278"/>
    <w:rsid w:val="00F710E9"/>
    <w:rsid w:val="00F733F0"/>
    <w:rsid w:val="00F76A72"/>
    <w:rsid w:val="00F77340"/>
    <w:rsid w:val="00F8042D"/>
    <w:rsid w:val="00F85256"/>
    <w:rsid w:val="00F87572"/>
    <w:rsid w:val="00F87CA2"/>
    <w:rsid w:val="00F91976"/>
    <w:rsid w:val="00F92C8D"/>
    <w:rsid w:val="00F931AD"/>
    <w:rsid w:val="00F9741A"/>
    <w:rsid w:val="00FA1F53"/>
    <w:rsid w:val="00FA2095"/>
    <w:rsid w:val="00FA244D"/>
    <w:rsid w:val="00FB1215"/>
    <w:rsid w:val="00FB4CB0"/>
    <w:rsid w:val="00FB6392"/>
    <w:rsid w:val="00FC39BA"/>
    <w:rsid w:val="00FC3DAC"/>
    <w:rsid w:val="00FD1428"/>
    <w:rsid w:val="00FD20C5"/>
    <w:rsid w:val="00FD2761"/>
    <w:rsid w:val="00FD37B5"/>
    <w:rsid w:val="00FD4568"/>
    <w:rsid w:val="00FD5B5E"/>
    <w:rsid w:val="00FD613E"/>
    <w:rsid w:val="00FD6F4D"/>
    <w:rsid w:val="00FE05A0"/>
    <w:rsid w:val="00FE3FCF"/>
    <w:rsid w:val="00FF2E19"/>
    <w:rsid w:val="00FF756F"/>
    <w:rsid w:val="02CB6FEA"/>
    <w:rsid w:val="086208CF"/>
    <w:rsid w:val="0C3127C4"/>
    <w:rsid w:val="0DF4646D"/>
    <w:rsid w:val="11384E65"/>
    <w:rsid w:val="13966E30"/>
    <w:rsid w:val="2560550F"/>
    <w:rsid w:val="2667034D"/>
    <w:rsid w:val="292F6EF4"/>
    <w:rsid w:val="2AD81F61"/>
    <w:rsid w:val="2B430715"/>
    <w:rsid w:val="34063CA0"/>
    <w:rsid w:val="365B47AF"/>
    <w:rsid w:val="3A6C4EA0"/>
    <w:rsid w:val="3D5C1616"/>
    <w:rsid w:val="40D709ED"/>
    <w:rsid w:val="427D0F8D"/>
    <w:rsid w:val="47B50018"/>
    <w:rsid w:val="4D7E57FA"/>
    <w:rsid w:val="569577C7"/>
    <w:rsid w:val="58F740A9"/>
    <w:rsid w:val="5C8F73ED"/>
    <w:rsid w:val="64942E6C"/>
    <w:rsid w:val="69F861F1"/>
    <w:rsid w:val="6B0F6AE4"/>
    <w:rsid w:val="6CFA1FFE"/>
    <w:rsid w:val="7C1E3C2F"/>
    <w:rsid w:val="7CFB20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35"/>
    <w:semiHidden/>
    <w:unhideWhenUsed/>
    <w:qFormat/>
    <w:uiPriority w:val="99"/>
    <w:pPr>
      <w:jc w:val="left"/>
    </w:pPr>
  </w:style>
  <w:style w:type="paragraph" w:styleId="3">
    <w:name w:val="Balloon Text"/>
    <w:basedOn w:val="1"/>
    <w:link w:val="37"/>
    <w:semiHidden/>
    <w:unhideWhenUsed/>
    <w:qFormat/>
    <w:uiPriority w:val="99"/>
    <w:rPr>
      <w:sz w:val="18"/>
      <w:szCs w:val="18"/>
    </w:rPr>
  </w:style>
  <w:style w:type="paragraph" w:styleId="4">
    <w:name w:val="footer"/>
    <w:basedOn w:val="1"/>
    <w:link w:val="34"/>
    <w:unhideWhenUsed/>
    <w:qFormat/>
    <w:uiPriority w:val="99"/>
    <w:pPr>
      <w:tabs>
        <w:tab w:val="center" w:pos="4153"/>
        <w:tab w:val="right" w:pos="8306"/>
      </w:tabs>
      <w:snapToGrid w:val="0"/>
      <w:jc w:val="left"/>
    </w:pPr>
    <w:rPr>
      <w:sz w:val="18"/>
      <w:szCs w:val="18"/>
    </w:rPr>
  </w:style>
  <w:style w:type="paragraph" w:styleId="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pPr>
    <w:rPr>
      <w:rFonts w:cs="Times New Roman"/>
      <w:sz w:val="24"/>
      <w:lang w:eastAsia="zh-CN"/>
    </w:rPr>
  </w:style>
  <w:style w:type="paragraph" w:styleId="7">
    <w:name w:val="annotation subject"/>
    <w:basedOn w:val="2"/>
    <w:next w:val="2"/>
    <w:link w:val="36"/>
    <w:semiHidden/>
    <w:unhideWhenUsed/>
    <w:qFormat/>
    <w:uiPriority w:val="99"/>
    <w:rPr>
      <w:b/>
      <w:bCs/>
    </w:rPr>
  </w:style>
  <w:style w:type="character" w:styleId="10">
    <w:name w:val="annotation reference"/>
    <w:basedOn w:val="9"/>
    <w:semiHidden/>
    <w:unhideWhenUsed/>
    <w:qFormat/>
    <w:uiPriority w:val="99"/>
    <w:rPr>
      <w:sz w:val="21"/>
      <w:szCs w:val="21"/>
    </w:rPr>
  </w:style>
  <w:style w:type="paragraph" w:customStyle="1" w:styleId="11">
    <w:name w:val="※封面大标题"/>
    <w:basedOn w:val="1"/>
    <w:next w:val="1"/>
    <w:qFormat/>
    <w:uiPriority w:val="0"/>
    <w:pPr>
      <w:widowControl/>
      <w:jc w:val="center"/>
    </w:pPr>
    <w:rPr>
      <w:rFonts w:ascii="华文中宋" w:hAnsi="华文中宋" w:eastAsia="华文中宋"/>
      <w:sz w:val="96"/>
      <w:szCs w:val="96"/>
    </w:rPr>
  </w:style>
  <w:style w:type="paragraph" w:customStyle="1" w:styleId="12">
    <w:name w:val="※封面题颌"/>
    <w:basedOn w:val="1"/>
    <w:next w:val="1"/>
    <w:qFormat/>
    <w:uiPriority w:val="0"/>
    <w:pPr>
      <w:widowControl/>
      <w:jc w:val="center"/>
    </w:pPr>
    <w:rPr>
      <w:rFonts w:ascii="Calibri Light" w:hAnsi="Calibri Light" w:eastAsia="华文仿宋"/>
      <w:sz w:val="36"/>
      <w:szCs w:val="36"/>
    </w:rPr>
  </w:style>
  <w:style w:type="paragraph" w:customStyle="1" w:styleId="13">
    <w:name w:val="※封面题眉"/>
    <w:basedOn w:val="1"/>
    <w:next w:val="11"/>
    <w:qFormat/>
    <w:uiPriority w:val="0"/>
    <w:pPr>
      <w:widowControl/>
      <w:jc w:val="center"/>
    </w:pPr>
    <w:rPr>
      <w:rFonts w:ascii="华文仿宋" w:hAnsi="华文仿宋" w:eastAsia="华文仿宋"/>
      <w:sz w:val="52"/>
      <w:szCs w:val="28"/>
    </w:rPr>
  </w:style>
  <w:style w:type="paragraph" w:customStyle="1" w:styleId="14">
    <w:name w:val="※封面题须"/>
    <w:basedOn w:val="1"/>
    <w:qFormat/>
    <w:uiPriority w:val="0"/>
    <w:pPr>
      <w:widowControl/>
      <w:ind w:left="850" w:leftChars="350" w:right="250" w:rightChars="250" w:hanging="500" w:hangingChars="500"/>
      <w:jc w:val="left"/>
    </w:pPr>
    <w:rPr>
      <w:rFonts w:ascii="Calibri Light" w:hAnsi="Calibri Light" w:eastAsia="华文仿宋"/>
      <w:sz w:val="36"/>
      <w:szCs w:val="36"/>
    </w:rPr>
  </w:style>
  <w:style w:type="paragraph" w:customStyle="1" w:styleId="15">
    <w:name w:val="※目录（次）"/>
    <w:basedOn w:val="1"/>
    <w:qFormat/>
    <w:uiPriority w:val="0"/>
    <w:pPr>
      <w:widowControl/>
      <w:tabs>
        <w:tab w:val="right" w:leader="hyphen" w:pos="8400"/>
      </w:tabs>
      <w:wordWrap w:val="0"/>
      <w:ind w:left="700" w:leftChars="200" w:right="300" w:rightChars="300" w:hanging="500" w:hangingChars="500"/>
      <w:jc w:val="left"/>
    </w:pPr>
    <w:rPr>
      <w:rFonts w:ascii="Calibri Light" w:hAnsi="Calibri Light" w:eastAsia="华文仿宋"/>
      <w:sz w:val="36"/>
      <w:szCs w:val="28"/>
    </w:rPr>
  </w:style>
  <w:style w:type="paragraph" w:customStyle="1" w:styleId="16">
    <w:name w:val="※目录（主）"/>
    <w:basedOn w:val="1"/>
    <w:qFormat/>
    <w:uiPriority w:val="0"/>
    <w:pPr>
      <w:widowControl/>
      <w:tabs>
        <w:tab w:val="right" w:leader="hyphen" w:pos="8400"/>
      </w:tabs>
      <w:spacing w:after="100" w:afterLines="100" w:line="400" w:lineRule="exact"/>
      <w:ind w:left="200" w:leftChars="200" w:right="200" w:rightChars="200" w:hanging="499" w:hangingChars="400"/>
      <w:jc w:val="left"/>
    </w:pPr>
    <w:rPr>
      <w:rFonts w:ascii="Calibri Light" w:hAnsi="Calibri Light" w:eastAsia="华文仿宋"/>
      <w:sz w:val="36"/>
      <w:szCs w:val="36"/>
    </w:rPr>
  </w:style>
  <w:style w:type="paragraph" w:customStyle="1" w:styleId="17">
    <w:name w:val="※小标题 1"/>
    <w:basedOn w:val="1"/>
    <w:next w:val="1"/>
    <w:qFormat/>
    <w:uiPriority w:val="0"/>
    <w:pPr>
      <w:widowControl/>
      <w:wordWrap w:val="0"/>
      <w:spacing w:before="20" w:after="20" w:line="400" w:lineRule="exact"/>
      <w:ind w:firstLine="200" w:firstLineChars="200"/>
      <w:jc w:val="left"/>
      <w:outlineLvl w:val="4"/>
    </w:pPr>
    <w:rPr>
      <w:rFonts w:ascii="Calibri Light" w:hAnsi="Calibri Light" w:eastAsia="华文仿宋"/>
      <w:b/>
      <w:sz w:val="28"/>
      <w:szCs w:val="28"/>
    </w:rPr>
  </w:style>
  <w:style w:type="paragraph" w:customStyle="1" w:styleId="18">
    <w:name w:val="※正文"/>
    <w:basedOn w:val="1"/>
    <w:next w:val="1"/>
    <w:qFormat/>
    <w:uiPriority w:val="0"/>
    <w:pPr>
      <w:widowControl/>
      <w:wordWrap w:val="0"/>
      <w:spacing w:line="400" w:lineRule="exact"/>
    </w:pPr>
    <w:rPr>
      <w:rFonts w:ascii="Calibri Light" w:hAnsi="Calibri Light" w:eastAsia="华文仿宋"/>
      <w:sz w:val="28"/>
      <w:szCs w:val="28"/>
    </w:rPr>
  </w:style>
  <w:style w:type="paragraph" w:customStyle="1" w:styleId="19">
    <w:name w:val="※小标题 一"/>
    <w:basedOn w:val="18"/>
    <w:next w:val="18"/>
    <w:qFormat/>
    <w:uiPriority w:val="0"/>
    <w:pPr>
      <w:spacing w:before="120" w:line="240" w:lineRule="auto"/>
      <w:outlineLvl w:val="2"/>
    </w:pPr>
    <w:rPr>
      <w:b/>
      <w:color w:val="203864" w:themeColor="accent5" w:themeShade="80"/>
      <w:sz w:val="32"/>
    </w:rPr>
  </w:style>
  <w:style w:type="paragraph" w:customStyle="1" w:styleId="20">
    <w:name w:val="※小标题（1）"/>
    <w:basedOn w:val="1"/>
    <w:next w:val="18"/>
    <w:qFormat/>
    <w:uiPriority w:val="0"/>
    <w:pPr>
      <w:widowControl/>
      <w:wordWrap w:val="0"/>
      <w:spacing w:line="400" w:lineRule="exact"/>
      <w:ind w:firstLine="200" w:firstLineChars="200"/>
      <w:outlineLvl w:val="5"/>
    </w:pPr>
    <w:rPr>
      <w:rFonts w:ascii="Calibri Light" w:hAnsi="Calibri Light" w:eastAsia="华文仿宋"/>
      <w:b/>
      <w:sz w:val="28"/>
      <w:szCs w:val="28"/>
    </w:rPr>
  </w:style>
  <w:style w:type="paragraph" w:customStyle="1" w:styleId="21">
    <w:name w:val="※小标题（一）"/>
    <w:basedOn w:val="1"/>
    <w:next w:val="18"/>
    <w:qFormat/>
    <w:uiPriority w:val="0"/>
    <w:pPr>
      <w:widowControl/>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22">
    <w:name w:val="※页脚（横屏）"/>
    <w:basedOn w:val="1"/>
    <w:qFormat/>
    <w:uiPriority w:val="0"/>
    <w:pPr>
      <w:widowControl/>
      <w:tabs>
        <w:tab w:val="center" w:pos="7000"/>
      </w:tabs>
      <w:wordWrap w:val="0"/>
      <w:spacing w:line="240" w:lineRule="atLeast"/>
      <w:jc w:val="left"/>
    </w:pPr>
    <w:rPr>
      <w:rFonts w:ascii="宋体" w:hAnsi="宋体"/>
      <w:sz w:val="18"/>
      <w:szCs w:val="18"/>
    </w:rPr>
  </w:style>
  <w:style w:type="paragraph" w:customStyle="1" w:styleId="23">
    <w:name w:val="※页脚（竖屏）"/>
    <w:basedOn w:val="1"/>
    <w:qFormat/>
    <w:uiPriority w:val="0"/>
    <w:pPr>
      <w:widowControl/>
      <w:tabs>
        <w:tab w:val="center" w:pos="4536"/>
      </w:tabs>
      <w:wordWrap w:val="0"/>
      <w:spacing w:line="240" w:lineRule="atLeast"/>
      <w:jc w:val="left"/>
    </w:pPr>
    <w:rPr>
      <w:rFonts w:ascii="宋体" w:hAnsi="宋体"/>
      <w:sz w:val="18"/>
      <w:szCs w:val="18"/>
    </w:rPr>
  </w:style>
  <w:style w:type="paragraph" w:customStyle="1" w:styleId="24">
    <w:name w:val="※页眉"/>
    <w:basedOn w:val="18"/>
    <w:qFormat/>
    <w:uiPriority w:val="0"/>
    <w:pPr>
      <w:pBdr>
        <w:bottom w:val="single" w:color="auto" w:sz="4" w:space="1"/>
      </w:pBdr>
      <w:spacing w:line="240" w:lineRule="atLeast"/>
      <w:jc w:val="right"/>
    </w:pPr>
    <w:rPr>
      <w:rFonts w:ascii="宋体" w:hAnsi="宋体" w:eastAsia="宋体"/>
      <w:sz w:val="18"/>
    </w:rPr>
  </w:style>
  <w:style w:type="paragraph" w:customStyle="1" w:styleId="25">
    <w:name w:val="※章节标题（第X章）"/>
    <w:basedOn w:val="1"/>
    <w:qFormat/>
    <w:uiPriority w:val="0"/>
    <w:pPr>
      <w:widowControl/>
      <w:jc w:val="center"/>
      <w:outlineLvl w:val="0"/>
    </w:pPr>
    <w:rPr>
      <w:rFonts w:ascii="Calibri Light" w:hAnsi="Calibri Light" w:eastAsia="黑体"/>
      <w:sz w:val="36"/>
      <w:szCs w:val="28"/>
    </w:rPr>
  </w:style>
  <w:style w:type="paragraph" w:customStyle="1" w:styleId="26">
    <w:name w:val="※章节标题（第Y部分）"/>
    <w:basedOn w:val="1"/>
    <w:next w:val="1"/>
    <w:qFormat/>
    <w:uiPriority w:val="0"/>
    <w:pPr>
      <w:widowControl/>
      <w:jc w:val="center"/>
      <w:outlineLvl w:val="1"/>
    </w:pPr>
    <w:rPr>
      <w:rFonts w:ascii="Calibri Light" w:hAnsi="Calibri Light" w:eastAsia="黑体"/>
      <w:color w:val="1F4E79" w:themeColor="accent1" w:themeShade="80"/>
      <w:sz w:val="32"/>
      <w:szCs w:val="36"/>
    </w:rPr>
  </w:style>
  <w:style w:type="paragraph" w:customStyle="1" w:styleId="27">
    <w:name w:val="※章节标题（第Z部分分项）"/>
    <w:basedOn w:val="26"/>
    <w:qFormat/>
    <w:uiPriority w:val="0"/>
    <w:pPr>
      <w:outlineLvl w:val="2"/>
    </w:pPr>
  </w:style>
  <w:style w:type="paragraph" w:customStyle="1" w:styleId="28">
    <w:name w:val="※正文（落款）"/>
    <w:basedOn w:val="1"/>
    <w:qFormat/>
    <w:uiPriority w:val="0"/>
    <w:pPr>
      <w:widowControl/>
      <w:tabs>
        <w:tab w:val="center" w:pos="6663"/>
      </w:tabs>
      <w:wordWrap w:val="0"/>
      <w:spacing w:line="240" w:lineRule="atLeast"/>
      <w:jc w:val="left"/>
    </w:pPr>
    <w:rPr>
      <w:rFonts w:ascii="Calibri Light" w:hAnsi="Calibri Light" w:eastAsia="华文仿宋"/>
      <w:sz w:val="28"/>
      <w:szCs w:val="28"/>
    </w:rPr>
  </w:style>
  <w:style w:type="paragraph" w:customStyle="1" w:styleId="29">
    <w:name w:val="※正文（缩进2）"/>
    <w:basedOn w:val="18"/>
    <w:qFormat/>
    <w:uiPriority w:val="0"/>
    <w:pPr>
      <w:ind w:firstLine="200" w:firstLineChars="200"/>
    </w:pPr>
  </w:style>
  <w:style w:type="paragraph" w:customStyle="1" w:styleId="30">
    <w:name w:val="※正文（缩进4）"/>
    <w:basedOn w:val="18"/>
    <w:qFormat/>
    <w:uiPriority w:val="0"/>
    <w:pPr>
      <w:ind w:firstLine="400" w:firstLineChars="400"/>
    </w:pPr>
  </w:style>
  <w:style w:type="paragraph" w:customStyle="1" w:styleId="31">
    <w:name w:val="样式"/>
    <w:link w:val="32"/>
    <w:qFormat/>
    <w:uiPriority w:val="0"/>
    <w:pPr>
      <w:widowControl w:val="0"/>
      <w:autoSpaceDE w:val="0"/>
      <w:autoSpaceDN w:val="0"/>
      <w:adjustRightInd w:val="0"/>
    </w:pPr>
    <w:rPr>
      <w:rFonts w:ascii="宋体" w:hAnsi="宋体" w:eastAsia="宋体" w:cs="宋体"/>
      <w:kern w:val="0"/>
      <w:sz w:val="24"/>
      <w:szCs w:val="24"/>
      <w:lang w:val="en-US" w:eastAsia="zh-CN" w:bidi="ar-SA"/>
    </w:rPr>
  </w:style>
  <w:style w:type="character" w:customStyle="1" w:styleId="32">
    <w:name w:val="样式 Char Char"/>
    <w:link w:val="31"/>
    <w:qFormat/>
    <w:locked/>
    <w:uiPriority w:val="0"/>
    <w:rPr>
      <w:rFonts w:ascii="宋体" w:hAnsi="宋体" w:eastAsia="宋体" w:cs="宋体"/>
      <w:kern w:val="0"/>
      <w:sz w:val="24"/>
      <w:szCs w:val="24"/>
    </w:rPr>
  </w:style>
  <w:style w:type="character" w:customStyle="1" w:styleId="33">
    <w:name w:val="页眉 Char"/>
    <w:basedOn w:val="9"/>
    <w:link w:val="5"/>
    <w:qFormat/>
    <w:uiPriority w:val="99"/>
    <w:rPr>
      <w:rFonts w:ascii="Calibri" w:hAnsi="Calibri" w:eastAsia="宋体" w:cs="Times New Roman"/>
      <w:sz w:val="18"/>
      <w:szCs w:val="18"/>
    </w:rPr>
  </w:style>
  <w:style w:type="character" w:customStyle="1" w:styleId="34">
    <w:name w:val="页脚 Char"/>
    <w:basedOn w:val="9"/>
    <w:link w:val="4"/>
    <w:qFormat/>
    <w:uiPriority w:val="99"/>
    <w:rPr>
      <w:rFonts w:ascii="Calibri" w:hAnsi="Calibri" w:eastAsia="宋体" w:cs="Times New Roman"/>
      <w:sz w:val="18"/>
      <w:szCs w:val="18"/>
    </w:rPr>
  </w:style>
  <w:style w:type="character" w:customStyle="1" w:styleId="35">
    <w:name w:val="批注文字 Char"/>
    <w:basedOn w:val="9"/>
    <w:link w:val="2"/>
    <w:semiHidden/>
    <w:qFormat/>
    <w:uiPriority w:val="99"/>
    <w:rPr>
      <w:rFonts w:ascii="Calibri" w:hAnsi="Calibri" w:eastAsia="宋体" w:cs="Times New Roman"/>
    </w:rPr>
  </w:style>
  <w:style w:type="character" w:customStyle="1" w:styleId="36">
    <w:name w:val="批注主题 Char"/>
    <w:basedOn w:val="35"/>
    <w:link w:val="7"/>
    <w:semiHidden/>
    <w:qFormat/>
    <w:uiPriority w:val="99"/>
    <w:rPr>
      <w:rFonts w:ascii="Calibri" w:hAnsi="Calibri" w:eastAsia="宋体" w:cs="Times New Roman"/>
      <w:b/>
      <w:bCs/>
    </w:rPr>
  </w:style>
  <w:style w:type="character" w:customStyle="1" w:styleId="37">
    <w:name w:val="批注框文本 Char"/>
    <w:basedOn w:val="9"/>
    <w:link w:val="3"/>
    <w:semiHidden/>
    <w:qFormat/>
    <w:uiPriority w:val="99"/>
    <w:rPr>
      <w:rFonts w:ascii="Calibri" w:hAnsi="Calibri" w:eastAsia="宋体" w:cs="Times New Roman"/>
      <w:sz w:val="18"/>
      <w:szCs w:val="18"/>
    </w:rPr>
  </w:style>
  <w:style w:type="paragraph" w:customStyle="1" w:styleId="38">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4</Pages>
  <Words>5956</Words>
  <Characters>6311</Characters>
  <Lines>21</Lines>
  <Paragraphs>6</Paragraphs>
  <TotalTime>2</TotalTime>
  <ScaleCrop>false</ScaleCrop>
  <LinksUpToDate>false</LinksUpToDate>
  <CharactersWithSpaces>6334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2021-03-19T04:39:00Z</dcterms:created>
  <dc:creator>lenovo</dc:creator>
  <cp:lastModifiedBy>良木</cp:lastModifiedBy>
  <dcterms:modified xsi:type="dcterms:W3CDTF">2025-10-24T07:35:46Z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3E39FCE17D17422CBDA0FCFABD6C972C_13</vt:lpwstr>
  </property>
  <property fmtid="{D5CDD505-2E9C-101B-9397-08002B2CF9AE}" pid="4" name="KSOTemplateDocerSaveRecord">
    <vt:lpwstr>eyJoZGlkIjoiZWYwYWZhMmQxZTU1MDE3NGYwMzA1MGZkMTBkZmU2ODIiLCJ1c2VySWQiOiIyNDE0NTEzNTQifQ==</vt:lpwstr>
  </property>
</Properties>
</file>