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BC81A2">
      <w:pPr>
        <w:rPr>
          <w:rFonts w:hint="eastAsia" w:ascii="宋体" w:hAnsi="宋体" w:eastAsia="宋体" w:cs="宋体"/>
          <w:b/>
          <w:color w:val="auto"/>
          <w:sz w:val="36"/>
          <w:szCs w:val="20"/>
          <w:highlight w:val="none"/>
        </w:rPr>
      </w:pPr>
      <w:r>
        <w:rPr>
          <w:rFonts w:hint="eastAsia" w:hAnsi="宋体" w:eastAsia="宋体" w:cs="宋体"/>
          <w:b/>
          <w:bCs/>
          <w:color w:val="auto"/>
          <w:sz w:val="32"/>
          <w:szCs w:val="32"/>
          <w:highlight w:val="none"/>
          <w:lang w:eastAsia="zh-CN"/>
        </w:rPr>
        <w:t>项目编号：</w:t>
      </w:r>
      <w:r>
        <w:rPr>
          <w:rFonts w:hint="eastAsia" w:hAnsi="宋体" w:cs="宋体"/>
          <w:b/>
          <w:bCs/>
          <w:color w:val="auto"/>
          <w:sz w:val="32"/>
          <w:szCs w:val="32"/>
          <w:highlight w:val="none"/>
          <w:lang w:eastAsia="zh-CN"/>
        </w:rPr>
        <w:t>SXZCZB2025-ZCCS-0935</w:t>
      </w:r>
    </w:p>
    <w:p w14:paraId="75BA5E75">
      <w:pPr>
        <w:pStyle w:val="8"/>
        <w:rPr>
          <w:rFonts w:hint="eastAsia"/>
          <w:color w:val="auto"/>
          <w:highlight w:val="none"/>
        </w:rPr>
      </w:pPr>
    </w:p>
    <w:p w14:paraId="0EEDF103">
      <w:pPr>
        <w:pStyle w:val="8"/>
        <w:jc w:val="center"/>
        <w:rPr>
          <w:rFonts w:hint="eastAsia" w:ascii="黑体" w:hAnsi="黑体" w:eastAsia="黑体" w:cs="黑体"/>
          <w:b/>
          <w:color w:val="auto"/>
          <w:w w:val="90"/>
          <w:sz w:val="52"/>
          <w:szCs w:val="52"/>
          <w:highlight w:val="none"/>
          <w:lang w:eastAsia="zh-CN"/>
        </w:rPr>
      </w:pPr>
    </w:p>
    <w:p w14:paraId="491F3F5A">
      <w:pPr>
        <w:pStyle w:val="8"/>
        <w:jc w:val="center"/>
        <w:rPr>
          <w:rFonts w:hint="eastAsia" w:ascii="黑体" w:hAnsi="黑体" w:eastAsia="黑体" w:cs="黑体"/>
          <w:b/>
          <w:color w:val="auto"/>
          <w:w w:val="90"/>
          <w:sz w:val="52"/>
          <w:szCs w:val="52"/>
          <w:highlight w:val="none"/>
          <w:lang w:eastAsia="zh-CN"/>
        </w:rPr>
      </w:pPr>
    </w:p>
    <w:p w14:paraId="65B2D19B">
      <w:pPr>
        <w:spacing w:line="780" w:lineRule="auto"/>
        <w:jc w:val="center"/>
        <w:rPr>
          <w:rFonts w:hint="eastAsia" w:ascii="宋体" w:hAnsi="宋体" w:eastAsia="宋体" w:cs="宋体"/>
          <w:b/>
          <w:color w:val="auto"/>
          <w:sz w:val="56"/>
          <w:szCs w:val="56"/>
          <w:highlight w:val="none"/>
          <w:lang w:eastAsia="zh-CN"/>
        </w:rPr>
      </w:pPr>
      <w:r>
        <w:rPr>
          <w:rFonts w:hint="eastAsia" w:hAnsi="宋体" w:cs="宋体"/>
          <w:b/>
          <w:color w:val="auto"/>
          <w:sz w:val="48"/>
          <w:szCs w:val="48"/>
          <w:highlight w:val="none"/>
          <w:lang w:eastAsia="zh-CN"/>
        </w:rPr>
        <w:t>2025年超星学习通、读秀知识库数字资源服务项目</w:t>
      </w:r>
    </w:p>
    <w:p w14:paraId="361B2C07">
      <w:pPr>
        <w:spacing w:line="780" w:lineRule="auto"/>
        <w:jc w:val="center"/>
        <w:rPr>
          <w:rFonts w:hint="eastAsia" w:ascii="宋体" w:hAnsi="宋体" w:eastAsia="宋体" w:cs="宋体"/>
          <w:b/>
          <w:color w:val="auto"/>
          <w:sz w:val="56"/>
          <w:szCs w:val="56"/>
          <w:highlight w:val="none"/>
          <w:lang w:eastAsia="zh-CN"/>
        </w:rPr>
      </w:pPr>
    </w:p>
    <w:p w14:paraId="75DD8CBD">
      <w:pPr>
        <w:spacing w:line="780" w:lineRule="auto"/>
        <w:jc w:val="center"/>
        <w:rPr>
          <w:rFonts w:hint="eastAsia" w:ascii="宋体" w:hAnsi="宋体" w:eastAsia="宋体" w:cs="宋体"/>
          <w:b/>
          <w:color w:val="auto"/>
          <w:sz w:val="56"/>
          <w:szCs w:val="56"/>
          <w:highlight w:val="none"/>
        </w:rPr>
      </w:pPr>
      <w:r>
        <w:rPr>
          <w:rFonts w:hint="eastAsia" w:ascii="宋体" w:hAnsi="宋体" w:eastAsia="宋体" w:cs="宋体"/>
          <w:b/>
          <w:color w:val="auto"/>
          <w:sz w:val="56"/>
          <w:szCs w:val="56"/>
          <w:highlight w:val="none"/>
        </w:rPr>
        <w:t>竞争性磋商文件</w:t>
      </w:r>
    </w:p>
    <w:p w14:paraId="038FE9A3">
      <w:pPr>
        <w:rPr>
          <w:rFonts w:hint="eastAsia" w:ascii="宋体" w:hAnsi="宋体" w:eastAsia="宋体" w:cs="宋体"/>
          <w:color w:val="auto"/>
          <w:highlight w:val="none"/>
        </w:rPr>
      </w:pPr>
      <w:bookmarkStart w:id="0" w:name="_Toc363463325"/>
    </w:p>
    <w:p w14:paraId="53BEB9EB">
      <w:pPr>
        <w:rPr>
          <w:rFonts w:hint="eastAsia" w:ascii="宋体" w:hAnsi="宋体" w:eastAsia="宋体" w:cs="宋体"/>
          <w:color w:val="auto"/>
          <w:highlight w:val="none"/>
        </w:rPr>
      </w:pPr>
    </w:p>
    <w:p w14:paraId="65FC6E82">
      <w:pPr>
        <w:rPr>
          <w:rFonts w:hint="eastAsia" w:ascii="宋体" w:hAnsi="宋体" w:eastAsia="宋体" w:cs="宋体"/>
          <w:color w:val="auto"/>
          <w:highlight w:val="none"/>
        </w:rPr>
      </w:pPr>
    </w:p>
    <w:bookmarkEnd w:id="0"/>
    <w:p w14:paraId="27B699F6">
      <w:pPr>
        <w:jc w:val="both"/>
        <w:rPr>
          <w:rFonts w:hint="eastAsia" w:ascii="宋体" w:hAnsi="宋体" w:eastAsia="宋体" w:cs="宋体"/>
          <w:b/>
          <w:color w:val="auto"/>
          <w:sz w:val="36"/>
          <w:szCs w:val="36"/>
          <w:highlight w:val="none"/>
        </w:rPr>
      </w:pPr>
    </w:p>
    <w:p w14:paraId="0B368B0A">
      <w:pPr>
        <w:rPr>
          <w:rFonts w:hint="eastAsia" w:ascii="宋体" w:hAnsi="宋体" w:eastAsia="宋体" w:cs="宋体"/>
          <w:color w:val="auto"/>
          <w:sz w:val="18"/>
          <w:szCs w:val="18"/>
          <w:highlight w:val="none"/>
        </w:rPr>
      </w:pPr>
    </w:p>
    <w:p w14:paraId="292E0F9C">
      <w:pPr>
        <w:rPr>
          <w:rFonts w:hint="eastAsia" w:ascii="宋体" w:hAnsi="宋体" w:eastAsia="宋体" w:cs="宋体"/>
          <w:color w:val="auto"/>
          <w:sz w:val="18"/>
          <w:szCs w:val="18"/>
          <w:highlight w:val="none"/>
        </w:rPr>
      </w:pPr>
    </w:p>
    <w:p w14:paraId="5319213B">
      <w:pPr>
        <w:jc w:val="center"/>
        <w:rPr>
          <w:rFonts w:hint="eastAsia" w:ascii="宋体" w:hAnsi="宋体" w:eastAsia="宋体" w:cs="宋体"/>
          <w:b/>
          <w:bCs/>
          <w:color w:val="auto"/>
          <w:sz w:val="32"/>
          <w:szCs w:val="32"/>
          <w:highlight w:val="none"/>
        </w:rPr>
      </w:pPr>
    </w:p>
    <w:p w14:paraId="5E5815D6">
      <w:pPr>
        <w:jc w:val="center"/>
        <w:rPr>
          <w:rFonts w:hint="eastAsia" w:ascii="宋体" w:hAnsi="宋体" w:eastAsia="宋体" w:cs="宋体"/>
          <w:b/>
          <w:bCs/>
          <w:color w:val="auto"/>
          <w:sz w:val="32"/>
          <w:szCs w:val="32"/>
          <w:highlight w:val="none"/>
        </w:rPr>
      </w:pPr>
    </w:p>
    <w:p w14:paraId="71DC2A48">
      <w:pPr>
        <w:keepNext w:val="0"/>
        <w:keepLines w:val="0"/>
        <w:pageBreakBefore w:val="0"/>
        <w:widowControl w:val="0"/>
        <w:kinsoku/>
        <w:wordWrap/>
        <w:overflowPunct/>
        <w:topLinePunct w:val="0"/>
        <w:autoSpaceDE/>
        <w:autoSpaceDN/>
        <w:bidi w:val="0"/>
        <w:adjustRightInd/>
        <w:snapToGrid/>
        <w:spacing w:line="600" w:lineRule="auto"/>
        <w:ind w:left="2160" w:leftChars="900"/>
        <w:jc w:val="both"/>
        <w:textAlignment w:val="auto"/>
        <w:rPr>
          <w:rFonts w:hint="eastAsia" w:hAnsi="宋体" w:cs="宋体"/>
          <w:b/>
          <w:color w:val="auto"/>
          <w:sz w:val="32"/>
          <w:szCs w:val="32"/>
          <w:highlight w:val="none"/>
          <w:lang w:eastAsia="zh-CN"/>
        </w:rPr>
      </w:pPr>
      <w:r>
        <w:rPr>
          <w:rFonts w:hint="eastAsia" w:hAnsi="宋体" w:cs="宋体"/>
          <w:b/>
          <w:color w:val="auto"/>
          <w:sz w:val="32"/>
          <w:szCs w:val="32"/>
          <w:highlight w:val="none"/>
          <w:lang w:eastAsia="zh-CN"/>
        </w:rPr>
        <w:t>采</w:t>
      </w:r>
      <w:r>
        <w:rPr>
          <w:rFonts w:hint="eastAsia" w:hAnsi="宋体" w:cs="宋体"/>
          <w:b/>
          <w:color w:val="auto"/>
          <w:sz w:val="32"/>
          <w:szCs w:val="32"/>
          <w:highlight w:val="none"/>
          <w:lang w:val="en-US" w:eastAsia="zh-CN"/>
        </w:rPr>
        <w:t xml:space="preserve"> </w:t>
      </w:r>
      <w:r>
        <w:rPr>
          <w:rFonts w:hint="eastAsia" w:hAnsi="宋体" w:cs="宋体"/>
          <w:b/>
          <w:color w:val="auto"/>
          <w:sz w:val="32"/>
          <w:szCs w:val="32"/>
          <w:highlight w:val="none"/>
          <w:lang w:eastAsia="zh-CN"/>
        </w:rPr>
        <w:t>购</w:t>
      </w:r>
      <w:r>
        <w:rPr>
          <w:rFonts w:hint="eastAsia" w:hAnsi="宋体" w:cs="宋体"/>
          <w:b/>
          <w:color w:val="auto"/>
          <w:sz w:val="32"/>
          <w:szCs w:val="32"/>
          <w:highlight w:val="none"/>
          <w:lang w:val="en-US" w:eastAsia="zh-CN"/>
        </w:rPr>
        <w:t xml:space="preserve"> </w:t>
      </w:r>
      <w:r>
        <w:rPr>
          <w:rFonts w:hint="eastAsia" w:hAnsi="宋体" w:cs="宋体"/>
          <w:b/>
          <w:color w:val="auto"/>
          <w:sz w:val="32"/>
          <w:szCs w:val="32"/>
          <w:highlight w:val="none"/>
          <w:lang w:eastAsia="zh-CN"/>
        </w:rPr>
        <w:t>人：安康职业技术学院</w:t>
      </w:r>
    </w:p>
    <w:p w14:paraId="2378707E">
      <w:pPr>
        <w:keepNext w:val="0"/>
        <w:keepLines w:val="0"/>
        <w:pageBreakBefore w:val="0"/>
        <w:widowControl w:val="0"/>
        <w:kinsoku/>
        <w:wordWrap/>
        <w:overflowPunct/>
        <w:topLinePunct w:val="0"/>
        <w:autoSpaceDE/>
        <w:autoSpaceDN/>
        <w:bidi w:val="0"/>
        <w:adjustRightInd/>
        <w:snapToGrid/>
        <w:spacing w:line="600" w:lineRule="auto"/>
        <w:ind w:left="2160" w:leftChars="900"/>
        <w:jc w:val="both"/>
        <w:textAlignment w:val="auto"/>
        <w:rPr>
          <w:rFonts w:hint="eastAsia" w:hAnsi="宋体" w:cs="宋体"/>
          <w:b/>
          <w:color w:val="auto"/>
          <w:sz w:val="32"/>
          <w:szCs w:val="32"/>
          <w:highlight w:val="none"/>
          <w:lang w:eastAsia="zh-CN"/>
        </w:rPr>
      </w:pPr>
      <w:r>
        <w:rPr>
          <w:rFonts w:hint="eastAsia" w:hAnsi="宋体" w:cs="宋体"/>
          <w:b/>
          <w:color w:val="auto"/>
          <w:sz w:val="32"/>
          <w:szCs w:val="32"/>
          <w:highlight w:val="none"/>
          <w:lang w:eastAsia="zh-CN"/>
        </w:rPr>
        <w:t>代理机构：陕西至诚项目管理集团有限公司</w:t>
      </w:r>
    </w:p>
    <w:p w14:paraId="0136809F">
      <w:pPr>
        <w:pStyle w:val="8"/>
        <w:keepNext w:val="0"/>
        <w:keepLines w:val="0"/>
        <w:pageBreakBefore w:val="0"/>
        <w:widowControl w:val="0"/>
        <w:kinsoku/>
        <w:wordWrap/>
        <w:overflowPunct/>
        <w:topLinePunct w:val="0"/>
        <w:autoSpaceDE/>
        <w:autoSpaceDN/>
        <w:bidi w:val="0"/>
        <w:adjustRightInd/>
        <w:snapToGrid/>
        <w:spacing w:after="0" w:line="600" w:lineRule="auto"/>
        <w:ind w:left="2160" w:leftChars="900"/>
        <w:jc w:val="both"/>
        <w:textAlignment w:val="auto"/>
        <w:rPr>
          <w:rFonts w:hint="eastAsia" w:ascii="宋体" w:hAnsi="宋体" w:eastAsia="宋体" w:cs="宋体"/>
          <w:b/>
          <w:color w:val="auto"/>
          <w:kern w:val="0"/>
          <w:sz w:val="32"/>
          <w:szCs w:val="32"/>
          <w:highlight w:val="none"/>
          <w:lang w:val="en-US" w:eastAsia="zh-CN" w:bidi="ar-SA"/>
        </w:rPr>
      </w:pPr>
      <w:r>
        <w:rPr>
          <w:rFonts w:hint="eastAsia" w:ascii="宋体" w:hAnsi="宋体" w:eastAsia="宋体" w:cs="宋体"/>
          <w:b/>
          <w:color w:val="auto"/>
          <w:kern w:val="0"/>
          <w:sz w:val="32"/>
          <w:szCs w:val="32"/>
          <w:highlight w:val="none"/>
          <w:lang w:val="en-US" w:eastAsia="zh-CN" w:bidi="ar-SA"/>
        </w:rPr>
        <w:t>日    期：二〇二</w:t>
      </w:r>
      <w:r>
        <w:rPr>
          <w:rFonts w:hint="eastAsia" w:ascii="宋体" w:hAnsi="宋体" w:cs="宋体"/>
          <w:b/>
          <w:color w:val="auto"/>
          <w:kern w:val="0"/>
          <w:sz w:val="32"/>
          <w:szCs w:val="32"/>
          <w:highlight w:val="none"/>
          <w:lang w:val="en-US" w:eastAsia="zh-CN" w:bidi="ar-SA"/>
        </w:rPr>
        <w:t>五</w:t>
      </w:r>
      <w:r>
        <w:rPr>
          <w:rFonts w:hint="eastAsia" w:ascii="宋体" w:hAnsi="宋体" w:eastAsia="宋体" w:cs="宋体"/>
          <w:b/>
          <w:color w:val="auto"/>
          <w:kern w:val="0"/>
          <w:sz w:val="32"/>
          <w:szCs w:val="32"/>
          <w:highlight w:val="none"/>
          <w:lang w:val="en-US" w:eastAsia="zh-CN" w:bidi="ar-SA"/>
        </w:rPr>
        <w:t>年</w:t>
      </w:r>
      <w:r>
        <w:rPr>
          <w:rFonts w:hint="eastAsia" w:ascii="宋体" w:hAnsi="宋体" w:cs="宋体"/>
          <w:b/>
          <w:color w:val="auto"/>
          <w:kern w:val="0"/>
          <w:sz w:val="32"/>
          <w:szCs w:val="32"/>
          <w:highlight w:val="none"/>
          <w:lang w:val="en-US" w:eastAsia="zh-CN" w:bidi="ar-SA"/>
        </w:rPr>
        <w:t>九</w:t>
      </w:r>
      <w:r>
        <w:rPr>
          <w:rFonts w:hint="eastAsia" w:ascii="宋体" w:hAnsi="宋体" w:eastAsia="宋体" w:cs="宋体"/>
          <w:b/>
          <w:color w:val="auto"/>
          <w:kern w:val="0"/>
          <w:sz w:val="32"/>
          <w:szCs w:val="32"/>
          <w:highlight w:val="none"/>
          <w:lang w:val="en-US" w:eastAsia="zh-CN" w:bidi="ar-SA"/>
        </w:rPr>
        <w:t>月</w:t>
      </w:r>
    </w:p>
    <w:p w14:paraId="68B25C6A">
      <w:pPr>
        <w:pStyle w:val="8"/>
        <w:jc w:val="center"/>
        <w:rPr>
          <w:rFonts w:hint="eastAsia" w:ascii="宋体" w:hAnsi="宋体" w:eastAsia="宋体" w:cs="宋体"/>
          <w:b/>
          <w:bCs/>
          <w:color w:val="auto"/>
          <w:sz w:val="32"/>
          <w:szCs w:val="32"/>
          <w:highlight w:val="none"/>
        </w:rPr>
      </w:pPr>
    </w:p>
    <w:p w14:paraId="3905E9FF">
      <w:pPr>
        <w:rPr>
          <w:rFonts w:hint="eastAsia"/>
          <w:color w:val="auto"/>
          <w:highlight w:val="none"/>
        </w:rPr>
        <w:sectPr>
          <w:headerReference r:id="rId5" w:type="first"/>
          <w:headerReference r:id="rId3" w:type="default"/>
          <w:footerReference r:id="rId6" w:type="default"/>
          <w:headerReference r:id="rId4" w:type="even"/>
          <w:footerReference r:id="rId7" w:type="even"/>
          <w:pgSz w:w="11906" w:h="16838"/>
          <w:pgMar w:top="1304" w:right="1361" w:bottom="1304" w:left="1361" w:header="851" w:footer="992" w:gutter="0"/>
          <w:cols w:space="720" w:num="1"/>
          <w:titlePg/>
          <w:docGrid w:type="lines" w:linePitch="312" w:charSpace="0"/>
        </w:sectPr>
      </w:pPr>
    </w:p>
    <w:p w14:paraId="59C2500F">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center"/>
        <w:textAlignment w:val="auto"/>
        <w:rPr>
          <w:rFonts w:hint="eastAsia" w:ascii="仿宋" w:hAnsi="仿宋" w:eastAsia="仿宋" w:cs="仿宋"/>
          <w:color w:val="auto"/>
          <w:sz w:val="22"/>
          <w:szCs w:val="22"/>
          <w:highlight w:val="none"/>
          <w:lang w:eastAsia="zh-CN"/>
        </w:rPr>
      </w:pPr>
      <w:r>
        <w:rPr>
          <w:rFonts w:hint="eastAsia" w:ascii="仿宋" w:hAnsi="仿宋" w:eastAsia="仿宋" w:cs="仿宋"/>
          <w:b/>
          <w:bCs/>
          <w:color w:val="auto"/>
          <w:sz w:val="32"/>
          <w:szCs w:val="32"/>
          <w:highlight w:val="none"/>
          <w:lang w:val="en-US" w:eastAsia="zh-CN"/>
        </w:rPr>
        <w:t>特别提醒</w:t>
      </w:r>
    </w:p>
    <w:p w14:paraId="571042E8">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宋体" w:hAnsi="宋体" w:eastAsia="宋体" w:cs="宋体"/>
          <w:b/>
          <w:bCs/>
          <w:snapToGrid w:val="0"/>
          <w:color w:val="auto"/>
          <w:sz w:val="24"/>
          <w:highlight w:val="none"/>
        </w:rPr>
      </w:pPr>
      <w:r>
        <w:rPr>
          <w:rFonts w:hint="eastAsia" w:hAnsi="宋体" w:cs="宋体"/>
          <w:b/>
          <w:bCs/>
          <w:snapToGrid w:val="0"/>
          <w:color w:val="auto"/>
          <w:sz w:val="24"/>
          <w:highlight w:val="none"/>
          <w:lang w:val="en-US" w:eastAsia="zh-CN"/>
        </w:rPr>
        <w:t>1</w:t>
      </w:r>
      <w:r>
        <w:rPr>
          <w:rFonts w:hint="eastAsia" w:ascii="宋体" w:hAnsi="宋体" w:eastAsia="宋体" w:cs="宋体"/>
          <w:b/>
          <w:bCs/>
          <w:snapToGrid w:val="0"/>
          <w:color w:val="auto"/>
          <w:sz w:val="24"/>
          <w:highlight w:val="none"/>
        </w:rPr>
        <w:t>、本项目采用不见面开标系统：电子化投标方式投标，投标人须使用数字认证证书（CA锁）对电子投标文件进行签章、加密、递交及开标时签到、解密等相关招投标事宜。开标时投标人须携带数字认证证书（CA锁），如因投标人自身原因未正确使用数字认证证书（CA锁）造成无法解密投标文件，按无效投标对待。</w:t>
      </w:r>
    </w:p>
    <w:p w14:paraId="38B248AE">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宋体" w:hAnsi="宋体" w:eastAsia="宋体" w:cs="宋体"/>
          <w:b/>
          <w:bCs/>
          <w:snapToGrid w:val="0"/>
          <w:color w:val="auto"/>
          <w:sz w:val="24"/>
          <w:highlight w:val="none"/>
        </w:rPr>
      </w:pPr>
      <w:r>
        <w:rPr>
          <w:rFonts w:hint="eastAsia" w:ascii="宋体" w:hAnsi="宋体" w:eastAsia="宋体" w:cs="宋体"/>
          <w:b/>
          <w:bCs/>
          <w:snapToGrid w:val="0"/>
          <w:color w:val="auto"/>
          <w:sz w:val="24"/>
          <w:highlight w:val="none"/>
        </w:rPr>
        <w:t>2、制作电子投标文件：电子招标文件需要使用专用软件打开、浏览供应商登录全国公共资源交易平台（陕西省）网站[服务指南-下载专区]免费下载《陕西省公共资源交易平台政府采购电子标书制作工具(V8.0.0.2)》，并升级至最新版本，使用该客户端可以打开电子招标文件。软件操作手册详见全国公共资源交易平台（陕西省）网站[服务指南-下载专区]中的《陕西省公共资源交易（政府采购类）投标文件制作软件操作手册》；制作工具下载地址：https://zhidao.bqpoint.com/epointknow2/bqepointknowquestion.html?producttype=1&amp;platformguid=684edb0d-467c-4a6a-b31b-9e7929e1fdee&amp;areacode=610000&amp;CategoryCode=16。</w:t>
      </w:r>
    </w:p>
    <w:p w14:paraId="2C2E53DC">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宋体" w:hAnsi="宋体" w:eastAsia="宋体" w:cs="宋体"/>
          <w:b/>
          <w:bCs/>
          <w:snapToGrid w:val="0"/>
          <w:color w:val="auto"/>
          <w:sz w:val="24"/>
          <w:highlight w:val="none"/>
        </w:rPr>
      </w:pPr>
      <w:r>
        <w:rPr>
          <w:rFonts w:hint="eastAsia" w:ascii="宋体" w:hAnsi="宋体" w:eastAsia="宋体" w:cs="宋体"/>
          <w:b/>
          <w:bCs/>
          <w:snapToGrid w:val="0"/>
          <w:color w:val="auto"/>
          <w:sz w:val="24"/>
          <w:highlight w:val="none"/>
        </w:rPr>
        <w:t>3、递交电子投标文件：登录全国公共资源交易中心平台（陕西省）（http://www.sxggzyjy.cn/），选择“电子交易平台—陕西政府采购交易系统—企业端”进行登录，登录后选择“交易乙方”身份进入，进入菜单“采购业务—我的项目——项目流程——上传响应文件”，上传加密的电子投标文件。上传成功后，电子化平台将予以记录。</w:t>
      </w:r>
    </w:p>
    <w:p w14:paraId="4D75267C">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宋体" w:hAnsi="宋体" w:eastAsia="宋体" w:cs="宋体"/>
          <w:b/>
          <w:bCs/>
          <w:snapToGrid w:val="0"/>
          <w:color w:val="auto"/>
          <w:sz w:val="24"/>
          <w:highlight w:val="none"/>
        </w:rPr>
      </w:pPr>
      <w:r>
        <w:rPr>
          <w:rFonts w:hint="eastAsia" w:ascii="宋体" w:hAnsi="宋体" w:eastAsia="宋体" w:cs="宋体"/>
          <w:b/>
          <w:bCs/>
          <w:snapToGrid w:val="0"/>
          <w:color w:val="auto"/>
          <w:sz w:val="24"/>
          <w:highlight w:val="none"/>
        </w:rPr>
        <w:t>4、不见面开标</w:t>
      </w:r>
      <w:r>
        <w:rPr>
          <w:rFonts w:hint="eastAsia" w:ascii="宋体" w:hAnsi="宋体" w:eastAsia="宋体" w:cs="宋体"/>
          <w:b/>
          <w:bCs/>
          <w:snapToGrid w:val="0"/>
          <w:color w:val="auto"/>
          <w:sz w:val="24"/>
          <w:highlight w:val="none"/>
          <w:lang w:eastAsia="zh-CN"/>
        </w:rPr>
        <w:t>系统</w:t>
      </w:r>
      <w:r>
        <w:rPr>
          <w:rFonts w:hint="eastAsia" w:ascii="宋体" w:hAnsi="宋体" w:eastAsia="宋体" w:cs="宋体"/>
          <w:b/>
          <w:bCs/>
          <w:snapToGrid w:val="0"/>
          <w:color w:val="auto"/>
          <w:sz w:val="24"/>
          <w:highlight w:val="none"/>
        </w:rPr>
        <w:t>：打开登录页面网址选择点击右上角“登录”，在左侧选择“投标人”身份，登录地区选择“安康市不见面开标”插入CA锁登录，输入密码后，点击“登录”：（http://122.112.246.33/BidOpening/bidopeninghallaction/hall/login），</w:t>
      </w:r>
    </w:p>
    <w:p w14:paraId="1A7DC33C">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宋体" w:hAnsi="宋体" w:eastAsia="宋体" w:cs="宋体"/>
          <w:b/>
          <w:bCs/>
          <w:snapToGrid w:val="0"/>
          <w:color w:val="auto"/>
          <w:sz w:val="24"/>
          <w:highlight w:val="none"/>
        </w:rPr>
      </w:pPr>
      <w:r>
        <w:rPr>
          <w:rFonts w:hint="eastAsia" w:ascii="宋体" w:hAnsi="宋体" w:eastAsia="宋体" w:cs="宋体"/>
          <w:b/>
          <w:bCs/>
          <w:snapToGrid w:val="0"/>
          <w:color w:val="auto"/>
          <w:sz w:val="24"/>
          <w:highlight w:val="none"/>
        </w:rPr>
        <w:t>投标人登录之后可以看到当前投标人今日开标项目；1、选择要开标的项目，点击进入，页面首先阅读开标流程，点击“我已阅读”进入开标大厅，点击“取消”返回项目列表页面。</w:t>
      </w:r>
    </w:p>
    <w:p w14:paraId="1481DDB3">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宋体" w:hAnsi="宋体" w:eastAsia="宋体" w:cs="宋体"/>
          <w:b/>
          <w:bCs/>
          <w:snapToGrid w:val="0"/>
          <w:color w:val="auto"/>
          <w:sz w:val="24"/>
          <w:highlight w:val="none"/>
        </w:rPr>
      </w:pPr>
      <w:r>
        <w:rPr>
          <w:rFonts w:hint="eastAsia" w:ascii="宋体" w:hAnsi="宋体" w:eastAsia="宋体" w:cs="宋体"/>
          <w:b/>
          <w:bCs/>
          <w:snapToGrid w:val="0"/>
          <w:color w:val="auto"/>
          <w:sz w:val="24"/>
          <w:highlight w:val="none"/>
        </w:rPr>
        <w:t>5、开标签到</w:t>
      </w:r>
    </w:p>
    <w:p w14:paraId="08A56774">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宋体" w:hAnsi="宋体" w:eastAsia="宋体" w:cs="宋体"/>
          <w:b/>
          <w:bCs/>
          <w:snapToGrid w:val="0"/>
          <w:color w:val="auto"/>
          <w:sz w:val="24"/>
          <w:highlight w:val="none"/>
        </w:rPr>
      </w:pPr>
      <w:r>
        <w:rPr>
          <w:rFonts w:hint="eastAsia" w:ascii="宋体" w:hAnsi="宋体" w:eastAsia="宋体" w:cs="宋体"/>
          <w:b/>
          <w:bCs/>
          <w:snapToGrid w:val="0"/>
          <w:color w:val="auto"/>
          <w:sz w:val="24"/>
          <w:highlight w:val="none"/>
        </w:rPr>
        <w:t>投标人等待开标时需要签到，等候开标。请在开标前完成签到，开标时间到了之后就不能签到；点击页面上“签到”按钮进行签到，开标前10分钟可以签到。签到成功之后，按钮灰化，无需再次签到，同时第一个座位图右下角出现绿色√；</w:t>
      </w:r>
    </w:p>
    <w:p w14:paraId="2222AB66">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int="eastAsia" w:hAnsi="宋体" w:eastAsia="宋体" w:cs="宋体"/>
          <w:b/>
          <w:bCs/>
          <w:snapToGrid w:val="0"/>
          <w:color w:val="auto"/>
          <w:sz w:val="24"/>
          <w:highlight w:val="none"/>
          <w:lang w:val="en-US" w:eastAsia="zh-CN"/>
        </w:rPr>
      </w:pPr>
      <w:r>
        <w:rPr>
          <w:rFonts w:hint="eastAsia" w:hAnsi="宋体" w:cs="宋体"/>
          <w:b/>
          <w:bCs/>
          <w:snapToGrid w:val="0"/>
          <w:color w:val="auto"/>
          <w:sz w:val="24"/>
          <w:highlight w:val="none"/>
          <w:lang w:val="en-US" w:eastAsia="zh-CN"/>
        </w:rPr>
        <w:t>6、磋商环节：供应商进入不见面开标系统进行一对一磋商；</w:t>
      </w:r>
    </w:p>
    <w:p w14:paraId="1A5875DB">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宋体" w:hAnsi="宋体" w:eastAsia="宋体" w:cs="宋体"/>
          <w:b/>
          <w:bCs/>
          <w:snapToGrid w:val="0"/>
          <w:color w:val="auto"/>
          <w:sz w:val="24"/>
          <w:highlight w:val="none"/>
        </w:rPr>
      </w:pPr>
      <w:r>
        <w:rPr>
          <w:rFonts w:hint="eastAsia" w:hAnsi="宋体" w:cs="宋体"/>
          <w:b/>
          <w:bCs/>
          <w:snapToGrid w:val="0"/>
          <w:color w:val="auto"/>
          <w:sz w:val="24"/>
          <w:highlight w:val="none"/>
          <w:lang w:val="en-US" w:eastAsia="zh-CN"/>
        </w:rPr>
        <w:t>7</w:t>
      </w:r>
      <w:r>
        <w:rPr>
          <w:rFonts w:hint="eastAsia" w:ascii="宋体" w:hAnsi="宋体" w:eastAsia="宋体" w:cs="宋体"/>
          <w:b/>
          <w:bCs/>
          <w:snapToGrid w:val="0"/>
          <w:color w:val="auto"/>
          <w:sz w:val="24"/>
          <w:highlight w:val="none"/>
        </w:rPr>
        <w:t xml:space="preserve">、评审过程中，磋商小组要求供应商提交多轮（最后）磋商报价时，供应商须登录全国公共资源交易平台（陕西省）在交易系统中提交多轮（最后）报价，并用数字认证证书（CA锁）签章。 </w:t>
      </w:r>
    </w:p>
    <w:p w14:paraId="3EDA71EB">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宋体" w:hAnsi="宋体" w:eastAsia="宋体" w:cs="宋体"/>
          <w:b/>
          <w:bCs/>
          <w:snapToGrid w:val="0"/>
          <w:color w:val="auto"/>
          <w:sz w:val="24"/>
          <w:highlight w:val="none"/>
        </w:rPr>
      </w:pPr>
      <w:r>
        <w:rPr>
          <w:rFonts w:hint="eastAsia" w:hAnsi="宋体" w:cs="宋体"/>
          <w:b/>
          <w:bCs/>
          <w:snapToGrid w:val="0"/>
          <w:color w:val="auto"/>
          <w:sz w:val="24"/>
          <w:highlight w:val="none"/>
          <w:lang w:val="en-US" w:eastAsia="zh-CN"/>
        </w:rPr>
        <w:t>8</w:t>
      </w:r>
      <w:r>
        <w:rPr>
          <w:rFonts w:hint="eastAsia" w:ascii="宋体" w:hAnsi="宋体" w:eastAsia="宋体" w:cs="宋体"/>
          <w:b/>
          <w:bCs/>
          <w:snapToGrid w:val="0"/>
          <w:color w:val="auto"/>
          <w:sz w:val="24"/>
          <w:highlight w:val="none"/>
        </w:rPr>
        <w:t>、注意事项</w:t>
      </w:r>
    </w:p>
    <w:p w14:paraId="27BE43D0">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宋体" w:hAnsi="宋体" w:eastAsia="宋体" w:cs="宋体"/>
          <w:b/>
          <w:bCs/>
          <w:snapToGrid w:val="0"/>
          <w:color w:val="auto"/>
          <w:sz w:val="24"/>
          <w:highlight w:val="none"/>
        </w:rPr>
      </w:pPr>
      <w:r>
        <w:rPr>
          <w:rFonts w:hint="eastAsia" w:ascii="宋体" w:hAnsi="宋体" w:eastAsia="宋体" w:cs="宋体"/>
          <w:b/>
          <w:bCs/>
          <w:snapToGrid w:val="0"/>
          <w:color w:val="auto"/>
          <w:sz w:val="24"/>
          <w:highlight w:val="none"/>
          <w:lang w:eastAsia="zh-CN"/>
        </w:rPr>
        <w:t>（</w:t>
      </w:r>
      <w:r>
        <w:rPr>
          <w:rFonts w:hint="eastAsia" w:ascii="宋体" w:hAnsi="宋体" w:eastAsia="宋体" w:cs="宋体"/>
          <w:b/>
          <w:bCs/>
          <w:snapToGrid w:val="0"/>
          <w:color w:val="auto"/>
          <w:sz w:val="24"/>
          <w:highlight w:val="none"/>
          <w:lang w:val="en-US" w:eastAsia="zh-CN"/>
        </w:rPr>
        <w:t>1</w:t>
      </w:r>
      <w:r>
        <w:rPr>
          <w:rFonts w:hint="eastAsia" w:ascii="宋体" w:hAnsi="宋体" w:eastAsia="宋体" w:cs="宋体"/>
          <w:b/>
          <w:bCs/>
          <w:snapToGrid w:val="0"/>
          <w:color w:val="auto"/>
          <w:sz w:val="24"/>
          <w:highlight w:val="none"/>
          <w:lang w:eastAsia="zh-CN"/>
        </w:rPr>
        <w:t>）</w:t>
      </w:r>
      <w:r>
        <w:rPr>
          <w:rFonts w:hint="eastAsia" w:ascii="宋体" w:hAnsi="宋体" w:eastAsia="宋体" w:cs="宋体"/>
          <w:b/>
          <w:bCs/>
          <w:snapToGrid w:val="0"/>
          <w:color w:val="auto"/>
          <w:sz w:val="24"/>
          <w:highlight w:val="none"/>
        </w:rPr>
        <w:t>、为顺利实现不见面开标系统的远程交互，建议投标人配置的软硬件设施有：高配置电脑、高速稳定的网络、电源（不间断）、CA锁、音视频设备（话筒、耳麦、高清摄像头、音响），浏览器要求使用IE11浏览器，且电脑已经正确安装了陕西省公共资源CA驱动。投标供应商需安装新点播放器，以便观看远程不见面开标直播画面（播放器下载链接为：https://download.bqpoint.com/download/downloaddetail.html?SourceFrom=Down&amp;SoftGuid=55aa4e06-c384-4005-bcb9-48932d410fd4）。</w:t>
      </w:r>
    </w:p>
    <w:p w14:paraId="597C8D9C">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宋体" w:hAnsi="宋体" w:eastAsia="宋体" w:cs="宋体"/>
          <w:b/>
          <w:bCs/>
          <w:snapToGrid w:val="0"/>
          <w:color w:val="auto"/>
          <w:sz w:val="24"/>
          <w:highlight w:val="none"/>
        </w:rPr>
      </w:pPr>
      <w:r>
        <w:rPr>
          <w:rFonts w:hint="eastAsia" w:ascii="宋体" w:hAnsi="宋体" w:eastAsia="宋体" w:cs="宋体"/>
          <w:b/>
          <w:bCs/>
          <w:snapToGrid w:val="0"/>
          <w:color w:val="auto"/>
          <w:sz w:val="24"/>
          <w:highlight w:val="none"/>
          <w:lang w:eastAsia="zh-CN"/>
        </w:rPr>
        <w:t>（</w:t>
      </w:r>
      <w:r>
        <w:rPr>
          <w:rFonts w:hint="eastAsia" w:ascii="宋体" w:hAnsi="宋体" w:eastAsia="宋体" w:cs="宋体"/>
          <w:b/>
          <w:bCs/>
          <w:snapToGrid w:val="0"/>
          <w:color w:val="auto"/>
          <w:sz w:val="24"/>
          <w:highlight w:val="none"/>
          <w:lang w:val="en-US" w:eastAsia="zh-CN"/>
        </w:rPr>
        <w:t>2</w:t>
      </w:r>
      <w:r>
        <w:rPr>
          <w:rFonts w:hint="eastAsia" w:ascii="宋体" w:hAnsi="宋体" w:eastAsia="宋体" w:cs="宋体"/>
          <w:b/>
          <w:bCs/>
          <w:snapToGrid w:val="0"/>
          <w:color w:val="auto"/>
          <w:sz w:val="24"/>
          <w:highlight w:val="none"/>
          <w:lang w:eastAsia="zh-CN"/>
        </w:rPr>
        <w:t>）</w:t>
      </w:r>
      <w:r>
        <w:rPr>
          <w:rFonts w:hint="eastAsia" w:ascii="宋体" w:hAnsi="宋体" w:eastAsia="宋体" w:cs="宋体"/>
          <w:b/>
          <w:bCs/>
          <w:snapToGrid w:val="0"/>
          <w:color w:val="auto"/>
          <w:sz w:val="24"/>
          <w:highlight w:val="none"/>
        </w:rPr>
        <w:t>、建议投标人在开标前半小时登录不见面开标大厅，并及时签到（开标前60分钟即可签到），遇到问题及时联系客服4009280095。</w:t>
      </w:r>
    </w:p>
    <w:p w14:paraId="1E69AD73">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宋体" w:hAnsi="宋体" w:eastAsia="宋体" w:cs="宋体"/>
          <w:b/>
          <w:bCs/>
          <w:snapToGrid w:val="0"/>
          <w:color w:val="auto"/>
          <w:sz w:val="24"/>
          <w:highlight w:val="none"/>
        </w:rPr>
      </w:pPr>
      <w:r>
        <w:rPr>
          <w:rFonts w:hint="eastAsia" w:ascii="宋体" w:hAnsi="宋体" w:eastAsia="宋体" w:cs="宋体"/>
          <w:b/>
          <w:bCs/>
          <w:snapToGrid w:val="0"/>
          <w:color w:val="auto"/>
          <w:sz w:val="24"/>
          <w:highlight w:val="none"/>
          <w:lang w:eastAsia="zh-CN"/>
        </w:rPr>
        <w:t>（</w:t>
      </w:r>
      <w:r>
        <w:rPr>
          <w:rFonts w:hint="eastAsia" w:ascii="宋体" w:hAnsi="宋体" w:eastAsia="宋体" w:cs="宋体"/>
          <w:b/>
          <w:bCs/>
          <w:snapToGrid w:val="0"/>
          <w:color w:val="auto"/>
          <w:sz w:val="24"/>
          <w:highlight w:val="none"/>
          <w:lang w:val="en-US" w:eastAsia="zh-CN"/>
        </w:rPr>
        <w:t>3</w:t>
      </w:r>
      <w:r>
        <w:rPr>
          <w:rFonts w:hint="eastAsia" w:ascii="宋体" w:hAnsi="宋体" w:eastAsia="宋体" w:cs="宋体"/>
          <w:b/>
          <w:bCs/>
          <w:snapToGrid w:val="0"/>
          <w:color w:val="auto"/>
          <w:sz w:val="24"/>
          <w:highlight w:val="none"/>
          <w:lang w:eastAsia="zh-CN"/>
        </w:rPr>
        <w:t>）</w:t>
      </w:r>
      <w:r>
        <w:rPr>
          <w:rFonts w:hint="eastAsia" w:ascii="宋体" w:hAnsi="宋体" w:eastAsia="宋体" w:cs="宋体"/>
          <w:b/>
          <w:bCs/>
          <w:snapToGrid w:val="0"/>
          <w:color w:val="auto"/>
          <w:sz w:val="24"/>
          <w:highlight w:val="none"/>
        </w:rPr>
        <w:t>、投标人需注意CA锁一定要提前准备好，并确保CA锁为制作投标文件的CA锁。</w:t>
      </w:r>
    </w:p>
    <w:p w14:paraId="7CE046C0">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宋体" w:hAnsi="宋体" w:eastAsia="宋体" w:cs="宋体"/>
          <w:b/>
          <w:bCs/>
          <w:snapToGrid w:val="0"/>
          <w:color w:val="auto"/>
          <w:sz w:val="24"/>
          <w:highlight w:val="none"/>
        </w:rPr>
      </w:pPr>
      <w:r>
        <w:rPr>
          <w:rFonts w:hint="eastAsia" w:ascii="宋体" w:hAnsi="宋体" w:eastAsia="宋体" w:cs="宋体"/>
          <w:b/>
          <w:bCs/>
          <w:snapToGrid w:val="0"/>
          <w:color w:val="auto"/>
          <w:sz w:val="24"/>
          <w:highlight w:val="none"/>
          <w:lang w:eastAsia="zh-CN"/>
        </w:rPr>
        <w:t>（</w:t>
      </w:r>
      <w:r>
        <w:rPr>
          <w:rFonts w:hint="eastAsia" w:ascii="宋体" w:hAnsi="宋体" w:eastAsia="宋体" w:cs="宋体"/>
          <w:b/>
          <w:bCs/>
          <w:snapToGrid w:val="0"/>
          <w:color w:val="auto"/>
          <w:sz w:val="24"/>
          <w:highlight w:val="none"/>
          <w:lang w:val="en-US" w:eastAsia="zh-CN"/>
        </w:rPr>
        <w:t>4</w:t>
      </w:r>
      <w:r>
        <w:rPr>
          <w:rFonts w:hint="eastAsia" w:ascii="宋体" w:hAnsi="宋体" w:eastAsia="宋体" w:cs="宋体"/>
          <w:b/>
          <w:bCs/>
          <w:snapToGrid w:val="0"/>
          <w:color w:val="auto"/>
          <w:sz w:val="24"/>
          <w:highlight w:val="none"/>
          <w:lang w:eastAsia="zh-CN"/>
        </w:rPr>
        <w:t>）</w:t>
      </w:r>
      <w:r>
        <w:rPr>
          <w:rFonts w:hint="eastAsia" w:ascii="宋体" w:hAnsi="宋体" w:eastAsia="宋体" w:cs="宋体"/>
          <w:b/>
          <w:bCs/>
          <w:snapToGrid w:val="0"/>
          <w:color w:val="auto"/>
          <w:sz w:val="24"/>
          <w:highlight w:val="none"/>
        </w:rPr>
        <w:t>、及时关注右侧公告及互动栏目信息。</w:t>
      </w:r>
    </w:p>
    <w:p w14:paraId="5F4744F7">
      <w:pP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br w:type="page"/>
      </w:r>
    </w:p>
    <w:p w14:paraId="2023C140">
      <w:pPr>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目 录</w:t>
      </w:r>
    </w:p>
    <w:p w14:paraId="2E3B646F">
      <w:pPr>
        <w:pStyle w:val="13"/>
        <w:tabs>
          <w:tab w:val="right" w:leader="dot" w:pos="8787"/>
        </w:tabs>
        <w:rPr>
          <w:color w:val="auto"/>
          <w:sz w:val="28"/>
          <w:szCs w:val="28"/>
          <w:highlight w:val="none"/>
        </w:rPr>
      </w:pPr>
      <w:bookmarkStart w:id="1" w:name="_Toc19886"/>
      <w:bookmarkStart w:id="2" w:name="_Toc5293"/>
      <w:bookmarkStart w:id="3" w:name="_Toc20652"/>
      <w:bookmarkStart w:id="4" w:name="_Toc389582033"/>
      <w:bookmarkStart w:id="5" w:name="_Toc21518"/>
      <w:bookmarkStart w:id="6" w:name="_Toc20858"/>
      <w:bookmarkStart w:id="7" w:name="_Toc16218"/>
      <w:bookmarkStart w:id="8" w:name="_Toc27420"/>
      <w:bookmarkStart w:id="9" w:name="_Toc363473971"/>
      <w:bookmarkStart w:id="10" w:name="_Toc403077638"/>
      <w:bookmarkStart w:id="11" w:name="_Toc363474016"/>
      <w:r>
        <w:rPr>
          <w:rFonts w:hint="eastAsia" w:ascii="宋体" w:hAnsi="宋体" w:eastAsia="宋体" w:cs="宋体"/>
          <w:bCs/>
          <w:color w:val="auto"/>
          <w:sz w:val="28"/>
          <w:szCs w:val="28"/>
          <w:highlight w:val="none"/>
        </w:rPr>
        <w:fldChar w:fldCharType="begin"/>
      </w:r>
      <w:r>
        <w:rPr>
          <w:rFonts w:hint="eastAsia" w:ascii="宋体" w:hAnsi="宋体" w:eastAsia="宋体" w:cs="宋体"/>
          <w:bCs/>
          <w:color w:val="auto"/>
          <w:sz w:val="28"/>
          <w:szCs w:val="28"/>
          <w:highlight w:val="none"/>
        </w:rPr>
        <w:instrText xml:space="preserve">TOC \o "1-4" \h \u </w:instrText>
      </w:r>
      <w:r>
        <w:rPr>
          <w:rFonts w:hint="eastAsia" w:ascii="宋体" w:hAnsi="宋体" w:eastAsia="宋体" w:cs="宋体"/>
          <w:bCs/>
          <w:color w:val="auto"/>
          <w:sz w:val="28"/>
          <w:szCs w:val="28"/>
          <w:highlight w:val="none"/>
        </w:rPr>
        <w:fldChar w:fldCharType="separate"/>
      </w:r>
      <w:r>
        <w:rPr>
          <w:rFonts w:hint="eastAsia" w:ascii="宋体" w:hAnsi="宋体" w:eastAsia="宋体" w:cs="宋体"/>
          <w:bCs/>
          <w:color w:val="auto"/>
          <w:sz w:val="28"/>
          <w:szCs w:val="28"/>
          <w:highlight w:val="none"/>
        </w:rPr>
        <w:fldChar w:fldCharType="begin"/>
      </w:r>
      <w:r>
        <w:rPr>
          <w:rFonts w:hint="eastAsia" w:ascii="宋体" w:hAnsi="宋体" w:eastAsia="宋体" w:cs="宋体"/>
          <w:bCs/>
          <w:color w:val="auto"/>
          <w:sz w:val="28"/>
          <w:szCs w:val="28"/>
          <w:highlight w:val="none"/>
        </w:rPr>
        <w:instrText xml:space="preserve"> HYPERLINK \l _Toc21888 </w:instrText>
      </w:r>
      <w:r>
        <w:rPr>
          <w:rFonts w:hint="eastAsia" w:ascii="宋体" w:hAnsi="宋体" w:eastAsia="宋体" w:cs="宋体"/>
          <w:bCs/>
          <w:color w:val="auto"/>
          <w:sz w:val="28"/>
          <w:szCs w:val="28"/>
          <w:highlight w:val="none"/>
        </w:rPr>
        <w:fldChar w:fldCharType="separate"/>
      </w:r>
      <w:r>
        <w:rPr>
          <w:rFonts w:hint="eastAsia" w:ascii="宋体" w:hAnsi="宋体" w:eastAsia="宋体" w:cs="宋体"/>
          <w:bCs/>
          <w:color w:val="auto"/>
          <w:sz w:val="28"/>
          <w:szCs w:val="28"/>
          <w:highlight w:val="none"/>
        </w:rPr>
        <w:t>第一章  竞争性磋商公告</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_Toc21888 </w:instrText>
      </w:r>
      <w:r>
        <w:rPr>
          <w:color w:val="auto"/>
          <w:sz w:val="28"/>
          <w:szCs w:val="28"/>
          <w:highlight w:val="none"/>
        </w:rPr>
        <w:fldChar w:fldCharType="separate"/>
      </w:r>
      <w:r>
        <w:rPr>
          <w:color w:val="auto"/>
          <w:sz w:val="28"/>
          <w:szCs w:val="28"/>
          <w:highlight w:val="none"/>
        </w:rPr>
        <w:t>4</w:t>
      </w:r>
      <w:r>
        <w:rPr>
          <w:color w:val="auto"/>
          <w:sz w:val="28"/>
          <w:szCs w:val="28"/>
          <w:highlight w:val="none"/>
        </w:rPr>
        <w:fldChar w:fldCharType="end"/>
      </w:r>
      <w:r>
        <w:rPr>
          <w:rFonts w:hint="eastAsia" w:ascii="宋体" w:hAnsi="宋体" w:eastAsia="宋体" w:cs="宋体"/>
          <w:bCs/>
          <w:color w:val="auto"/>
          <w:sz w:val="28"/>
          <w:szCs w:val="28"/>
          <w:highlight w:val="none"/>
        </w:rPr>
        <w:fldChar w:fldCharType="end"/>
      </w:r>
    </w:p>
    <w:p w14:paraId="4C620031">
      <w:pPr>
        <w:pStyle w:val="13"/>
        <w:tabs>
          <w:tab w:val="right" w:leader="dot" w:pos="8787"/>
        </w:tabs>
        <w:rPr>
          <w:color w:val="auto"/>
          <w:sz w:val="28"/>
          <w:szCs w:val="28"/>
          <w:highlight w:val="none"/>
        </w:rPr>
      </w:pPr>
      <w:r>
        <w:rPr>
          <w:rFonts w:hint="eastAsia" w:ascii="宋体" w:hAnsi="宋体" w:eastAsia="宋体" w:cs="宋体"/>
          <w:bCs/>
          <w:color w:val="auto"/>
          <w:sz w:val="28"/>
          <w:szCs w:val="28"/>
          <w:highlight w:val="none"/>
        </w:rPr>
        <w:fldChar w:fldCharType="begin"/>
      </w:r>
      <w:r>
        <w:rPr>
          <w:rFonts w:hint="eastAsia" w:ascii="宋体" w:hAnsi="宋体" w:eastAsia="宋体" w:cs="宋体"/>
          <w:bCs/>
          <w:color w:val="auto"/>
          <w:sz w:val="28"/>
          <w:szCs w:val="28"/>
          <w:highlight w:val="none"/>
        </w:rPr>
        <w:instrText xml:space="preserve"> HYPERLINK \l _Toc7526 </w:instrText>
      </w:r>
      <w:r>
        <w:rPr>
          <w:rFonts w:hint="eastAsia" w:ascii="宋体" w:hAnsi="宋体" w:eastAsia="宋体" w:cs="宋体"/>
          <w:bCs/>
          <w:color w:val="auto"/>
          <w:sz w:val="28"/>
          <w:szCs w:val="28"/>
          <w:highlight w:val="none"/>
        </w:rPr>
        <w:fldChar w:fldCharType="separate"/>
      </w:r>
      <w:r>
        <w:rPr>
          <w:rFonts w:hint="eastAsia" w:ascii="宋体" w:hAnsi="宋体" w:eastAsia="宋体" w:cs="宋体"/>
          <w:bCs/>
          <w:color w:val="auto"/>
          <w:kern w:val="2"/>
          <w:sz w:val="28"/>
          <w:szCs w:val="28"/>
          <w:highlight w:val="none"/>
        </w:rPr>
        <w:t>第二章  供应商须知</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_Toc7526 </w:instrText>
      </w:r>
      <w:r>
        <w:rPr>
          <w:color w:val="auto"/>
          <w:sz w:val="28"/>
          <w:szCs w:val="28"/>
          <w:highlight w:val="none"/>
        </w:rPr>
        <w:fldChar w:fldCharType="separate"/>
      </w:r>
      <w:r>
        <w:rPr>
          <w:color w:val="auto"/>
          <w:sz w:val="28"/>
          <w:szCs w:val="28"/>
          <w:highlight w:val="none"/>
        </w:rPr>
        <w:t>8</w:t>
      </w:r>
      <w:r>
        <w:rPr>
          <w:color w:val="auto"/>
          <w:sz w:val="28"/>
          <w:szCs w:val="28"/>
          <w:highlight w:val="none"/>
        </w:rPr>
        <w:fldChar w:fldCharType="end"/>
      </w:r>
      <w:r>
        <w:rPr>
          <w:rFonts w:hint="eastAsia" w:ascii="宋体" w:hAnsi="宋体" w:eastAsia="宋体" w:cs="宋体"/>
          <w:bCs/>
          <w:color w:val="auto"/>
          <w:sz w:val="28"/>
          <w:szCs w:val="28"/>
          <w:highlight w:val="none"/>
        </w:rPr>
        <w:fldChar w:fldCharType="end"/>
      </w:r>
    </w:p>
    <w:p w14:paraId="11330E3A">
      <w:pPr>
        <w:pStyle w:val="16"/>
        <w:tabs>
          <w:tab w:val="right" w:leader="dot" w:pos="8787"/>
        </w:tabs>
        <w:rPr>
          <w:color w:val="auto"/>
          <w:sz w:val="28"/>
          <w:szCs w:val="28"/>
          <w:highlight w:val="none"/>
        </w:rPr>
      </w:pPr>
      <w:r>
        <w:rPr>
          <w:rFonts w:hint="eastAsia" w:ascii="宋体" w:hAnsi="宋体" w:eastAsia="宋体" w:cs="宋体"/>
          <w:bCs/>
          <w:color w:val="auto"/>
          <w:sz w:val="28"/>
          <w:szCs w:val="28"/>
          <w:highlight w:val="none"/>
        </w:rPr>
        <w:fldChar w:fldCharType="begin"/>
      </w:r>
      <w:r>
        <w:rPr>
          <w:rFonts w:hint="eastAsia" w:ascii="宋体" w:hAnsi="宋体" w:eastAsia="宋体" w:cs="宋体"/>
          <w:bCs/>
          <w:color w:val="auto"/>
          <w:sz w:val="28"/>
          <w:szCs w:val="28"/>
          <w:highlight w:val="none"/>
        </w:rPr>
        <w:instrText xml:space="preserve"> HYPERLINK \l _Toc11936 </w:instrText>
      </w:r>
      <w:r>
        <w:rPr>
          <w:rFonts w:hint="eastAsia" w:ascii="宋体" w:hAnsi="宋体" w:eastAsia="宋体" w:cs="宋体"/>
          <w:bCs/>
          <w:color w:val="auto"/>
          <w:sz w:val="28"/>
          <w:szCs w:val="28"/>
          <w:highlight w:val="none"/>
        </w:rPr>
        <w:fldChar w:fldCharType="separate"/>
      </w:r>
      <w:r>
        <w:rPr>
          <w:rFonts w:hint="eastAsia" w:ascii="宋体" w:hAnsi="宋体" w:eastAsia="宋体" w:cs="宋体"/>
          <w:bCs/>
          <w:color w:val="auto"/>
          <w:sz w:val="28"/>
          <w:szCs w:val="28"/>
          <w:highlight w:val="none"/>
        </w:rPr>
        <w:t>供应商须知前附表</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_Toc11936 </w:instrText>
      </w:r>
      <w:r>
        <w:rPr>
          <w:color w:val="auto"/>
          <w:sz w:val="28"/>
          <w:szCs w:val="28"/>
          <w:highlight w:val="none"/>
        </w:rPr>
        <w:fldChar w:fldCharType="separate"/>
      </w:r>
      <w:r>
        <w:rPr>
          <w:color w:val="auto"/>
          <w:sz w:val="28"/>
          <w:szCs w:val="28"/>
          <w:highlight w:val="none"/>
        </w:rPr>
        <w:t>8</w:t>
      </w:r>
      <w:r>
        <w:rPr>
          <w:color w:val="auto"/>
          <w:sz w:val="28"/>
          <w:szCs w:val="28"/>
          <w:highlight w:val="none"/>
        </w:rPr>
        <w:fldChar w:fldCharType="end"/>
      </w:r>
      <w:r>
        <w:rPr>
          <w:rFonts w:hint="eastAsia" w:ascii="宋体" w:hAnsi="宋体" w:eastAsia="宋体" w:cs="宋体"/>
          <w:bCs/>
          <w:color w:val="auto"/>
          <w:sz w:val="28"/>
          <w:szCs w:val="28"/>
          <w:highlight w:val="none"/>
        </w:rPr>
        <w:fldChar w:fldCharType="end"/>
      </w:r>
    </w:p>
    <w:p w14:paraId="0B7261A2">
      <w:pPr>
        <w:pStyle w:val="13"/>
        <w:tabs>
          <w:tab w:val="right" w:leader="dot" w:pos="8787"/>
        </w:tabs>
        <w:rPr>
          <w:color w:val="auto"/>
          <w:sz w:val="28"/>
          <w:szCs w:val="28"/>
          <w:highlight w:val="none"/>
        </w:rPr>
      </w:pPr>
      <w:r>
        <w:rPr>
          <w:rFonts w:hint="eastAsia" w:ascii="宋体" w:hAnsi="宋体" w:eastAsia="宋体" w:cs="宋体"/>
          <w:bCs/>
          <w:color w:val="auto"/>
          <w:sz w:val="28"/>
          <w:szCs w:val="28"/>
          <w:highlight w:val="none"/>
        </w:rPr>
        <w:fldChar w:fldCharType="begin"/>
      </w:r>
      <w:r>
        <w:rPr>
          <w:rFonts w:hint="eastAsia" w:ascii="宋体" w:hAnsi="宋体" w:eastAsia="宋体" w:cs="宋体"/>
          <w:bCs/>
          <w:color w:val="auto"/>
          <w:sz w:val="28"/>
          <w:szCs w:val="28"/>
          <w:highlight w:val="none"/>
        </w:rPr>
        <w:instrText xml:space="preserve"> HYPERLINK \l _Toc4170 </w:instrText>
      </w:r>
      <w:r>
        <w:rPr>
          <w:rFonts w:hint="eastAsia" w:ascii="宋体" w:hAnsi="宋体" w:eastAsia="宋体" w:cs="宋体"/>
          <w:bCs/>
          <w:color w:val="auto"/>
          <w:sz w:val="28"/>
          <w:szCs w:val="28"/>
          <w:highlight w:val="none"/>
        </w:rPr>
        <w:fldChar w:fldCharType="separate"/>
      </w:r>
      <w:r>
        <w:rPr>
          <w:rFonts w:hint="eastAsia" w:ascii="宋体" w:hAnsi="宋体" w:eastAsia="宋体" w:cs="宋体"/>
          <w:bCs/>
          <w:color w:val="auto"/>
          <w:sz w:val="28"/>
          <w:szCs w:val="28"/>
          <w:highlight w:val="none"/>
        </w:rPr>
        <w:t xml:space="preserve">第三章 </w:t>
      </w:r>
      <w:r>
        <w:rPr>
          <w:rFonts w:hint="eastAsia" w:hAnsi="宋体" w:eastAsia="宋体" w:cs="宋体"/>
          <w:bCs/>
          <w:color w:val="auto"/>
          <w:sz w:val="28"/>
          <w:szCs w:val="28"/>
          <w:highlight w:val="none"/>
          <w:lang w:val="en-US" w:eastAsia="zh-CN"/>
        </w:rPr>
        <w:t xml:space="preserve"> </w:t>
      </w:r>
      <w:r>
        <w:rPr>
          <w:rFonts w:hint="eastAsia" w:ascii="宋体" w:hAnsi="宋体" w:eastAsia="宋体" w:cs="宋体"/>
          <w:bCs/>
          <w:color w:val="auto"/>
          <w:sz w:val="28"/>
          <w:szCs w:val="28"/>
          <w:highlight w:val="none"/>
        </w:rPr>
        <w:t>评审方法</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_Toc4170 </w:instrText>
      </w:r>
      <w:r>
        <w:rPr>
          <w:color w:val="auto"/>
          <w:sz w:val="28"/>
          <w:szCs w:val="28"/>
          <w:highlight w:val="none"/>
        </w:rPr>
        <w:fldChar w:fldCharType="separate"/>
      </w:r>
      <w:r>
        <w:rPr>
          <w:color w:val="auto"/>
          <w:sz w:val="28"/>
          <w:szCs w:val="28"/>
          <w:highlight w:val="none"/>
        </w:rPr>
        <w:t>25</w:t>
      </w:r>
      <w:r>
        <w:rPr>
          <w:color w:val="auto"/>
          <w:sz w:val="28"/>
          <w:szCs w:val="28"/>
          <w:highlight w:val="none"/>
        </w:rPr>
        <w:fldChar w:fldCharType="end"/>
      </w:r>
      <w:r>
        <w:rPr>
          <w:rFonts w:hint="eastAsia" w:ascii="宋体" w:hAnsi="宋体" w:eastAsia="宋体" w:cs="宋体"/>
          <w:bCs/>
          <w:color w:val="auto"/>
          <w:sz w:val="28"/>
          <w:szCs w:val="28"/>
          <w:highlight w:val="none"/>
        </w:rPr>
        <w:fldChar w:fldCharType="end"/>
      </w:r>
    </w:p>
    <w:p w14:paraId="0127DE3D">
      <w:pPr>
        <w:pStyle w:val="13"/>
        <w:tabs>
          <w:tab w:val="right" w:leader="dot" w:pos="8787"/>
        </w:tabs>
        <w:rPr>
          <w:color w:val="auto"/>
          <w:sz w:val="28"/>
          <w:szCs w:val="28"/>
          <w:highlight w:val="none"/>
        </w:rPr>
      </w:pPr>
      <w:r>
        <w:rPr>
          <w:rFonts w:hint="eastAsia" w:ascii="宋体" w:hAnsi="宋体" w:eastAsia="宋体" w:cs="宋体"/>
          <w:bCs/>
          <w:color w:val="auto"/>
          <w:sz w:val="28"/>
          <w:szCs w:val="28"/>
          <w:highlight w:val="none"/>
        </w:rPr>
        <w:fldChar w:fldCharType="begin"/>
      </w:r>
      <w:r>
        <w:rPr>
          <w:rFonts w:hint="eastAsia" w:ascii="宋体" w:hAnsi="宋体" w:eastAsia="宋体" w:cs="宋体"/>
          <w:bCs/>
          <w:color w:val="auto"/>
          <w:sz w:val="28"/>
          <w:szCs w:val="28"/>
          <w:highlight w:val="none"/>
        </w:rPr>
        <w:instrText xml:space="preserve"> HYPERLINK \l _Toc30377 </w:instrText>
      </w:r>
      <w:r>
        <w:rPr>
          <w:rFonts w:hint="eastAsia" w:ascii="宋体" w:hAnsi="宋体" w:eastAsia="宋体" w:cs="宋体"/>
          <w:bCs/>
          <w:color w:val="auto"/>
          <w:sz w:val="28"/>
          <w:szCs w:val="28"/>
          <w:highlight w:val="none"/>
        </w:rPr>
        <w:fldChar w:fldCharType="separate"/>
      </w:r>
      <w:r>
        <w:rPr>
          <w:rFonts w:hint="eastAsia" w:ascii="宋体" w:hAnsi="宋体" w:eastAsia="宋体" w:cs="宋体"/>
          <w:bCs/>
          <w:color w:val="auto"/>
          <w:sz w:val="28"/>
          <w:szCs w:val="28"/>
          <w:highlight w:val="none"/>
        </w:rPr>
        <w:t>第四章</w:t>
      </w:r>
      <w:r>
        <w:rPr>
          <w:rFonts w:hint="eastAsia" w:ascii="宋体" w:hAnsi="宋体" w:eastAsia="宋体" w:cs="宋体"/>
          <w:bCs/>
          <w:color w:val="auto"/>
          <w:sz w:val="28"/>
          <w:szCs w:val="28"/>
          <w:highlight w:val="none"/>
          <w:lang w:val="en-US" w:eastAsia="zh-CN"/>
        </w:rPr>
        <w:t xml:space="preserve">  </w:t>
      </w:r>
      <w:r>
        <w:rPr>
          <w:rFonts w:hint="eastAsia" w:ascii="宋体" w:hAnsi="宋体" w:eastAsia="宋体" w:cs="宋体"/>
          <w:bCs/>
          <w:color w:val="auto"/>
          <w:sz w:val="28"/>
          <w:szCs w:val="28"/>
          <w:highlight w:val="none"/>
        </w:rPr>
        <w:t>合同条款及格式</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_Toc30377 </w:instrText>
      </w:r>
      <w:r>
        <w:rPr>
          <w:color w:val="auto"/>
          <w:sz w:val="28"/>
          <w:szCs w:val="28"/>
          <w:highlight w:val="none"/>
        </w:rPr>
        <w:fldChar w:fldCharType="separate"/>
      </w:r>
      <w:r>
        <w:rPr>
          <w:color w:val="auto"/>
          <w:sz w:val="28"/>
          <w:szCs w:val="28"/>
          <w:highlight w:val="none"/>
        </w:rPr>
        <w:t>34</w:t>
      </w:r>
      <w:r>
        <w:rPr>
          <w:color w:val="auto"/>
          <w:sz w:val="28"/>
          <w:szCs w:val="28"/>
          <w:highlight w:val="none"/>
        </w:rPr>
        <w:fldChar w:fldCharType="end"/>
      </w:r>
      <w:r>
        <w:rPr>
          <w:rFonts w:hint="eastAsia" w:ascii="宋体" w:hAnsi="宋体" w:eastAsia="宋体" w:cs="宋体"/>
          <w:bCs/>
          <w:color w:val="auto"/>
          <w:sz w:val="28"/>
          <w:szCs w:val="28"/>
          <w:highlight w:val="none"/>
        </w:rPr>
        <w:fldChar w:fldCharType="end"/>
      </w:r>
    </w:p>
    <w:p w14:paraId="34854667">
      <w:pPr>
        <w:pStyle w:val="16"/>
        <w:tabs>
          <w:tab w:val="right" w:leader="dot" w:pos="8787"/>
        </w:tabs>
        <w:rPr>
          <w:color w:val="auto"/>
          <w:sz w:val="28"/>
          <w:szCs w:val="28"/>
          <w:highlight w:val="none"/>
        </w:rPr>
      </w:pPr>
      <w:r>
        <w:rPr>
          <w:rFonts w:hint="eastAsia" w:ascii="宋体" w:hAnsi="宋体" w:eastAsia="宋体" w:cs="宋体"/>
          <w:bCs/>
          <w:color w:val="auto"/>
          <w:sz w:val="28"/>
          <w:szCs w:val="28"/>
          <w:highlight w:val="none"/>
        </w:rPr>
        <w:fldChar w:fldCharType="begin"/>
      </w:r>
      <w:r>
        <w:rPr>
          <w:rFonts w:hint="eastAsia" w:ascii="宋体" w:hAnsi="宋体" w:eastAsia="宋体" w:cs="宋体"/>
          <w:bCs/>
          <w:color w:val="auto"/>
          <w:sz w:val="28"/>
          <w:szCs w:val="28"/>
          <w:highlight w:val="none"/>
        </w:rPr>
        <w:instrText xml:space="preserve"> HYPERLINK \l _Toc17801 </w:instrText>
      </w:r>
      <w:r>
        <w:rPr>
          <w:rFonts w:hint="eastAsia" w:ascii="宋体" w:hAnsi="宋体" w:eastAsia="宋体" w:cs="宋体"/>
          <w:bCs/>
          <w:color w:val="auto"/>
          <w:sz w:val="28"/>
          <w:szCs w:val="28"/>
          <w:highlight w:val="none"/>
        </w:rPr>
        <w:fldChar w:fldCharType="separate"/>
      </w:r>
      <w:r>
        <w:rPr>
          <w:rFonts w:hint="eastAsia" w:ascii="宋体" w:hAnsi="宋体" w:eastAsia="宋体" w:cs="宋体"/>
          <w:bCs/>
          <w:color w:val="auto"/>
          <w:sz w:val="28"/>
          <w:szCs w:val="28"/>
          <w:highlight w:val="none"/>
        </w:rPr>
        <w:t>合同前附表</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_Toc17801 </w:instrText>
      </w:r>
      <w:r>
        <w:rPr>
          <w:color w:val="auto"/>
          <w:sz w:val="28"/>
          <w:szCs w:val="28"/>
          <w:highlight w:val="none"/>
        </w:rPr>
        <w:fldChar w:fldCharType="separate"/>
      </w:r>
      <w:r>
        <w:rPr>
          <w:color w:val="auto"/>
          <w:sz w:val="28"/>
          <w:szCs w:val="28"/>
          <w:highlight w:val="none"/>
        </w:rPr>
        <w:t>34</w:t>
      </w:r>
      <w:r>
        <w:rPr>
          <w:color w:val="auto"/>
          <w:sz w:val="28"/>
          <w:szCs w:val="28"/>
          <w:highlight w:val="none"/>
        </w:rPr>
        <w:fldChar w:fldCharType="end"/>
      </w:r>
      <w:r>
        <w:rPr>
          <w:rFonts w:hint="eastAsia" w:ascii="宋体" w:hAnsi="宋体" w:eastAsia="宋体" w:cs="宋体"/>
          <w:bCs/>
          <w:color w:val="auto"/>
          <w:sz w:val="28"/>
          <w:szCs w:val="28"/>
          <w:highlight w:val="none"/>
        </w:rPr>
        <w:fldChar w:fldCharType="end"/>
      </w:r>
    </w:p>
    <w:p w14:paraId="77A47D34">
      <w:pPr>
        <w:pStyle w:val="13"/>
        <w:tabs>
          <w:tab w:val="right" w:leader="dot" w:pos="8787"/>
        </w:tabs>
        <w:rPr>
          <w:color w:val="auto"/>
          <w:sz w:val="28"/>
          <w:szCs w:val="28"/>
          <w:highlight w:val="none"/>
        </w:rPr>
      </w:pPr>
      <w:r>
        <w:rPr>
          <w:rFonts w:hint="eastAsia" w:ascii="宋体" w:hAnsi="宋体" w:eastAsia="宋体" w:cs="宋体"/>
          <w:bCs/>
          <w:color w:val="auto"/>
          <w:sz w:val="28"/>
          <w:szCs w:val="28"/>
          <w:highlight w:val="none"/>
        </w:rPr>
        <w:fldChar w:fldCharType="begin"/>
      </w:r>
      <w:r>
        <w:rPr>
          <w:rFonts w:hint="eastAsia" w:ascii="宋体" w:hAnsi="宋体" w:eastAsia="宋体" w:cs="宋体"/>
          <w:bCs/>
          <w:color w:val="auto"/>
          <w:sz w:val="28"/>
          <w:szCs w:val="28"/>
          <w:highlight w:val="none"/>
        </w:rPr>
        <w:instrText xml:space="preserve"> HYPERLINK \l _Toc23075 </w:instrText>
      </w:r>
      <w:r>
        <w:rPr>
          <w:rFonts w:hint="eastAsia" w:ascii="宋体" w:hAnsi="宋体" w:eastAsia="宋体" w:cs="宋体"/>
          <w:bCs/>
          <w:color w:val="auto"/>
          <w:sz w:val="28"/>
          <w:szCs w:val="28"/>
          <w:highlight w:val="none"/>
        </w:rPr>
        <w:fldChar w:fldCharType="separate"/>
      </w:r>
      <w:r>
        <w:rPr>
          <w:rFonts w:hint="eastAsia" w:ascii="宋体" w:hAnsi="宋体" w:eastAsia="宋体" w:cs="宋体"/>
          <w:bCs/>
          <w:color w:val="auto"/>
          <w:sz w:val="28"/>
          <w:szCs w:val="28"/>
          <w:highlight w:val="none"/>
        </w:rPr>
        <w:t xml:space="preserve">第五章 </w:t>
      </w:r>
      <w:r>
        <w:rPr>
          <w:rFonts w:hint="eastAsia" w:ascii="宋体" w:hAnsi="宋体" w:eastAsia="宋体" w:cs="宋体"/>
          <w:bCs/>
          <w:color w:val="auto"/>
          <w:sz w:val="28"/>
          <w:szCs w:val="28"/>
          <w:highlight w:val="none"/>
          <w:lang w:val="en-US" w:eastAsia="zh-CN"/>
        </w:rPr>
        <w:t xml:space="preserve"> </w:t>
      </w:r>
      <w:r>
        <w:rPr>
          <w:rFonts w:hint="eastAsia" w:ascii="宋体" w:hAnsi="宋体" w:eastAsia="宋体" w:cs="宋体"/>
          <w:bCs/>
          <w:color w:val="auto"/>
          <w:sz w:val="28"/>
          <w:szCs w:val="28"/>
          <w:highlight w:val="none"/>
        </w:rPr>
        <w:t>磋商内容及技术要求</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_Toc23075 </w:instrText>
      </w:r>
      <w:r>
        <w:rPr>
          <w:color w:val="auto"/>
          <w:sz w:val="28"/>
          <w:szCs w:val="28"/>
          <w:highlight w:val="none"/>
        </w:rPr>
        <w:fldChar w:fldCharType="separate"/>
      </w:r>
      <w:r>
        <w:rPr>
          <w:color w:val="auto"/>
          <w:sz w:val="28"/>
          <w:szCs w:val="28"/>
          <w:highlight w:val="none"/>
        </w:rPr>
        <w:t>41</w:t>
      </w:r>
      <w:r>
        <w:rPr>
          <w:color w:val="auto"/>
          <w:sz w:val="28"/>
          <w:szCs w:val="28"/>
          <w:highlight w:val="none"/>
        </w:rPr>
        <w:fldChar w:fldCharType="end"/>
      </w:r>
      <w:r>
        <w:rPr>
          <w:rFonts w:hint="eastAsia" w:ascii="宋体" w:hAnsi="宋体" w:eastAsia="宋体" w:cs="宋体"/>
          <w:bCs/>
          <w:color w:val="auto"/>
          <w:sz w:val="28"/>
          <w:szCs w:val="28"/>
          <w:highlight w:val="none"/>
        </w:rPr>
        <w:fldChar w:fldCharType="end"/>
      </w:r>
    </w:p>
    <w:p w14:paraId="1E483C6A">
      <w:pPr>
        <w:pStyle w:val="13"/>
        <w:tabs>
          <w:tab w:val="right" w:leader="dot" w:pos="8787"/>
        </w:tabs>
        <w:rPr>
          <w:color w:val="auto"/>
          <w:sz w:val="28"/>
          <w:szCs w:val="28"/>
          <w:highlight w:val="none"/>
        </w:rPr>
      </w:pPr>
      <w:r>
        <w:rPr>
          <w:rFonts w:hint="eastAsia" w:ascii="宋体" w:hAnsi="宋体" w:eastAsia="宋体" w:cs="宋体"/>
          <w:bCs/>
          <w:color w:val="auto"/>
          <w:sz w:val="28"/>
          <w:szCs w:val="28"/>
          <w:highlight w:val="none"/>
        </w:rPr>
        <w:fldChar w:fldCharType="begin"/>
      </w:r>
      <w:r>
        <w:rPr>
          <w:rFonts w:hint="eastAsia" w:ascii="宋体" w:hAnsi="宋体" w:eastAsia="宋体" w:cs="宋体"/>
          <w:bCs/>
          <w:color w:val="auto"/>
          <w:sz w:val="28"/>
          <w:szCs w:val="28"/>
          <w:highlight w:val="none"/>
        </w:rPr>
        <w:instrText xml:space="preserve"> HYPERLINK \l _Toc25319 </w:instrText>
      </w:r>
      <w:r>
        <w:rPr>
          <w:rFonts w:hint="eastAsia" w:ascii="宋体" w:hAnsi="宋体" w:eastAsia="宋体" w:cs="宋体"/>
          <w:bCs/>
          <w:color w:val="auto"/>
          <w:sz w:val="28"/>
          <w:szCs w:val="28"/>
          <w:highlight w:val="none"/>
        </w:rPr>
        <w:fldChar w:fldCharType="separate"/>
      </w:r>
      <w:r>
        <w:rPr>
          <w:rFonts w:hint="eastAsia" w:ascii="宋体" w:hAnsi="宋体" w:eastAsia="宋体" w:cs="宋体"/>
          <w:color w:val="auto"/>
          <w:sz w:val="28"/>
          <w:szCs w:val="28"/>
          <w:highlight w:val="none"/>
        </w:rPr>
        <w:t xml:space="preserve">第六章 </w:t>
      </w:r>
      <w:r>
        <w:rPr>
          <w:rFonts w:hint="eastAsia"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竞争性磋商响应文件格式</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_Toc25319 </w:instrText>
      </w:r>
      <w:r>
        <w:rPr>
          <w:color w:val="auto"/>
          <w:sz w:val="28"/>
          <w:szCs w:val="28"/>
          <w:highlight w:val="none"/>
        </w:rPr>
        <w:fldChar w:fldCharType="separate"/>
      </w:r>
      <w:r>
        <w:rPr>
          <w:color w:val="auto"/>
          <w:sz w:val="28"/>
          <w:szCs w:val="28"/>
          <w:highlight w:val="none"/>
        </w:rPr>
        <w:t>43</w:t>
      </w:r>
      <w:r>
        <w:rPr>
          <w:color w:val="auto"/>
          <w:sz w:val="28"/>
          <w:szCs w:val="28"/>
          <w:highlight w:val="none"/>
        </w:rPr>
        <w:fldChar w:fldCharType="end"/>
      </w:r>
      <w:r>
        <w:rPr>
          <w:rFonts w:hint="eastAsia" w:ascii="宋体" w:hAnsi="宋体" w:eastAsia="宋体" w:cs="宋体"/>
          <w:bCs/>
          <w:color w:val="auto"/>
          <w:sz w:val="28"/>
          <w:szCs w:val="28"/>
          <w:highlight w:val="none"/>
        </w:rPr>
        <w:fldChar w:fldCharType="end"/>
      </w:r>
    </w:p>
    <w:p w14:paraId="2D92EFCC">
      <w:pPr>
        <w:pStyle w:val="13"/>
        <w:keepNext w:val="0"/>
        <w:keepLines w:val="0"/>
        <w:pageBreakBefore w:val="0"/>
        <w:widowControl w:val="0"/>
        <w:tabs>
          <w:tab w:val="right" w:leader="dot" w:pos="8302"/>
        </w:tabs>
        <w:kinsoku/>
        <w:wordWrap/>
        <w:overflowPunct/>
        <w:topLinePunct w:val="0"/>
        <w:autoSpaceDE/>
        <w:autoSpaceDN/>
        <w:bidi w:val="0"/>
        <w:adjustRightInd/>
        <w:snapToGrid/>
        <w:spacing w:line="480" w:lineRule="auto"/>
        <w:textAlignment w:val="auto"/>
        <w:rPr>
          <w:rFonts w:hint="eastAsia" w:ascii="宋体" w:hAnsi="宋体" w:eastAsia="宋体" w:cs="宋体"/>
          <w:bCs/>
          <w:color w:val="auto"/>
          <w:sz w:val="36"/>
          <w:szCs w:val="36"/>
          <w:highlight w:val="none"/>
        </w:rPr>
      </w:pPr>
      <w:r>
        <w:rPr>
          <w:rFonts w:hint="eastAsia" w:ascii="宋体" w:hAnsi="宋体" w:eastAsia="宋体" w:cs="宋体"/>
          <w:bCs/>
          <w:color w:val="auto"/>
          <w:sz w:val="28"/>
          <w:szCs w:val="28"/>
          <w:highlight w:val="none"/>
        </w:rPr>
        <w:fldChar w:fldCharType="end"/>
      </w:r>
    </w:p>
    <w:p w14:paraId="1B81839D">
      <w:pPr>
        <w:pStyle w:val="2"/>
        <w:spacing w:before="312" w:beforeLines="100"/>
        <w:jc w:val="center"/>
        <w:outlineLvl w:val="9"/>
        <w:rPr>
          <w:rFonts w:hint="eastAsia" w:ascii="宋体" w:hAnsi="宋体" w:eastAsia="宋体" w:cs="宋体"/>
          <w:bCs/>
          <w:color w:val="auto"/>
          <w:sz w:val="36"/>
          <w:szCs w:val="36"/>
          <w:highlight w:val="none"/>
        </w:rPr>
        <w:sectPr>
          <w:footerReference r:id="rId9" w:type="first"/>
          <w:footerReference r:id="rId8" w:type="default"/>
          <w:pgSz w:w="11906" w:h="16838"/>
          <w:pgMar w:top="1304" w:right="1361" w:bottom="1304" w:left="1361" w:header="851" w:footer="992" w:gutter="0"/>
          <w:pgNumType w:start="1"/>
          <w:cols w:space="720" w:num="1"/>
          <w:titlePg/>
          <w:docGrid w:type="lines" w:linePitch="312" w:charSpace="0"/>
        </w:sectPr>
      </w:pPr>
    </w:p>
    <w:p w14:paraId="4646EC52">
      <w:pPr>
        <w:pStyle w:val="2"/>
        <w:keepNext w:val="0"/>
        <w:keepLines/>
        <w:pageBreakBefore/>
        <w:spacing w:before="156" w:beforeLines="50" w:after="156" w:afterLines="50" w:line="360" w:lineRule="auto"/>
        <w:jc w:val="center"/>
        <w:outlineLvl w:val="0"/>
        <w:rPr>
          <w:rFonts w:hint="eastAsia" w:ascii="宋体" w:hAnsi="宋体" w:eastAsia="宋体" w:cs="宋体"/>
          <w:bCs/>
          <w:color w:val="auto"/>
          <w:sz w:val="36"/>
          <w:szCs w:val="36"/>
          <w:highlight w:val="none"/>
        </w:rPr>
      </w:pPr>
      <w:bookmarkStart w:id="12" w:name="_Toc423973071"/>
      <w:bookmarkStart w:id="13" w:name="_Toc2705"/>
      <w:bookmarkStart w:id="14" w:name="_Toc21888"/>
      <w:r>
        <w:rPr>
          <w:rFonts w:hint="eastAsia" w:ascii="宋体" w:hAnsi="宋体" w:eastAsia="宋体" w:cs="宋体"/>
          <w:bCs/>
          <w:color w:val="auto"/>
          <w:sz w:val="36"/>
          <w:szCs w:val="36"/>
          <w:highlight w:val="none"/>
        </w:rPr>
        <w:t xml:space="preserve">第一章  </w:t>
      </w:r>
      <w:bookmarkEnd w:id="1"/>
      <w:bookmarkEnd w:id="2"/>
      <w:bookmarkEnd w:id="3"/>
      <w:bookmarkEnd w:id="4"/>
      <w:bookmarkEnd w:id="5"/>
      <w:bookmarkEnd w:id="6"/>
      <w:bookmarkEnd w:id="7"/>
      <w:r>
        <w:rPr>
          <w:rFonts w:hint="eastAsia" w:ascii="宋体" w:hAnsi="宋体" w:eastAsia="宋体" w:cs="宋体"/>
          <w:bCs/>
          <w:color w:val="auto"/>
          <w:sz w:val="36"/>
          <w:szCs w:val="36"/>
          <w:highlight w:val="none"/>
        </w:rPr>
        <w:t>竞争性磋商公告</w:t>
      </w:r>
      <w:bookmarkEnd w:id="8"/>
      <w:bookmarkEnd w:id="12"/>
      <w:bookmarkEnd w:id="13"/>
      <w:bookmarkEnd w:id="14"/>
    </w:p>
    <w:p w14:paraId="0B547D0E">
      <w:pPr>
        <w:pStyle w:val="38"/>
        <w:spacing w:line="360" w:lineRule="auto"/>
        <w:outlineLvl w:val="5"/>
        <w:rPr>
          <w:rFonts w:hint="eastAsia" w:ascii="宋体" w:hAnsi="宋体" w:eastAsia="宋体" w:cs="宋体"/>
          <w:sz w:val="24"/>
          <w:szCs w:val="24"/>
        </w:rPr>
      </w:pPr>
      <w:bookmarkStart w:id="15" w:name="_Toc389582035"/>
      <w:bookmarkStart w:id="16" w:name="_Toc2929"/>
      <w:bookmarkStart w:id="17" w:name="_Toc29249"/>
      <w:bookmarkStart w:id="18" w:name="_Toc423973072"/>
      <w:r>
        <w:rPr>
          <w:rFonts w:hint="eastAsia" w:ascii="宋体" w:hAnsi="宋体" w:eastAsia="宋体" w:cs="宋体"/>
          <w:b/>
          <w:sz w:val="24"/>
          <w:szCs w:val="24"/>
        </w:rPr>
        <w:t>项目概况</w:t>
      </w:r>
    </w:p>
    <w:p w14:paraId="67951730">
      <w:pPr>
        <w:pStyle w:val="38"/>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2025年超星学习通、读秀知识库数字资源服务项目采购项目的潜在供应商应在全国公共资源交易平台（陕西省·安康市）获取采购文件，并于 2025年10月23日 14时00分 （北京时间）前提交响应文件。</w:t>
      </w:r>
    </w:p>
    <w:p w14:paraId="4D5CC7D1">
      <w:pPr>
        <w:pStyle w:val="38"/>
        <w:spacing w:line="360" w:lineRule="auto"/>
        <w:outlineLvl w:val="3"/>
        <w:rPr>
          <w:rFonts w:hint="eastAsia" w:ascii="宋体" w:hAnsi="宋体" w:eastAsia="宋体" w:cs="宋体"/>
          <w:sz w:val="24"/>
          <w:szCs w:val="24"/>
        </w:rPr>
      </w:pPr>
      <w:r>
        <w:rPr>
          <w:rFonts w:hint="eastAsia" w:ascii="宋体" w:hAnsi="宋体" w:eastAsia="宋体" w:cs="宋体"/>
          <w:b/>
          <w:sz w:val="24"/>
          <w:szCs w:val="24"/>
        </w:rPr>
        <w:t>一、项目基本情况</w:t>
      </w:r>
    </w:p>
    <w:p w14:paraId="74CE0F45">
      <w:pPr>
        <w:pStyle w:val="38"/>
        <w:spacing w:line="360" w:lineRule="auto"/>
        <w:rPr>
          <w:rFonts w:hint="eastAsia" w:ascii="宋体" w:hAnsi="宋体" w:eastAsia="宋体" w:cs="宋体"/>
          <w:sz w:val="24"/>
          <w:szCs w:val="24"/>
        </w:rPr>
      </w:pPr>
      <w:r>
        <w:rPr>
          <w:rFonts w:hint="eastAsia" w:ascii="宋体" w:hAnsi="宋体" w:eastAsia="宋体" w:cs="宋体"/>
          <w:sz w:val="24"/>
          <w:szCs w:val="24"/>
        </w:rPr>
        <w:t>项目编号：SXZCZB2025-ZCCS-0935</w:t>
      </w:r>
    </w:p>
    <w:p w14:paraId="45D5862E">
      <w:pPr>
        <w:pStyle w:val="38"/>
        <w:spacing w:line="360" w:lineRule="auto"/>
        <w:rPr>
          <w:rFonts w:hint="eastAsia" w:ascii="宋体" w:hAnsi="宋体" w:eastAsia="宋体" w:cs="宋体"/>
          <w:sz w:val="24"/>
          <w:szCs w:val="24"/>
        </w:rPr>
      </w:pPr>
      <w:r>
        <w:rPr>
          <w:rFonts w:hint="eastAsia" w:ascii="宋体" w:hAnsi="宋体" w:eastAsia="宋体" w:cs="宋体"/>
          <w:sz w:val="24"/>
          <w:szCs w:val="24"/>
        </w:rPr>
        <w:t>项目名称：2025年超星学习通、读秀知识库数字资源服务项目</w:t>
      </w:r>
    </w:p>
    <w:p w14:paraId="35EF938E">
      <w:pPr>
        <w:pStyle w:val="38"/>
        <w:spacing w:line="360" w:lineRule="auto"/>
        <w:rPr>
          <w:rFonts w:hint="eastAsia" w:ascii="宋体" w:hAnsi="宋体" w:eastAsia="宋体" w:cs="宋体"/>
          <w:sz w:val="24"/>
          <w:szCs w:val="24"/>
        </w:rPr>
      </w:pPr>
      <w:r>
        <w:rPr>
          <w:rFonts w:hint="eastAsia" w:ascii="宋体" w:hAnsi="宋体" w:eastAsia="宋体" w:cs="宋体"/>
          <w:sz w:val="24"/>
          <w:szCs w:val="24"/>
        </w:rPr>
        <w:t>采购方式：竞争性磋商</w:t>
      </w:r>
    </w:p>
    <w:p w14:paraId="1BD1453A">
      <w:pPr>
        <w:pStyle w:val="38"/>
        <w:spacing w:line="360" w:lineRule="auto"/>
        <w:rPr>
          <w:rFonts w:hint="eastAsia" w:ascii="宋体" w:hAnsi="宋体" w:eastAsia="宋体" w:cs="宋体"/>
          <w:sz w:val="24"/>
          <w:szCs w:val="24"/>
        </w:rPr>
      </w:pPr>
      <w:r>
        <w:rPr>
          <w:rFonts w:hint="eastAsia" w:ascii="宋体" w:hAnsi="宋体" w:eastAsia="宋体" w:cs="宋体"/>
          <w:sz w:val="24"/>
          <w:szCs w:val="24"/>
        </w:rPr>
        <w:t>预算金额：150,000.00元</w:t>
      </w:r>
    </w:p>
    <w:p w14:paraId="26EF9941">
      <w:pPr>
        <w:pStyle w:val="38"/>
        <w:spacing w:line="360" w:lineRule="auto"/>
        <w:rPr>
          <w:rFonts w:hint="eastAsia" w:ascii="宋体" w:hAnsi="宋体" w:eastAsia="宋体" w:cs="宋体"/>
          <w:sz w:val="24"/>
          <w:szCs w:val="24"/>
        </w:rPr>
      </w:pPr>
      <w:r>
        <w:rPr>
          <w:rFonts w:hint="eastAsia" w:ascii="宋体" w:hAnsi="宋体" w:eastAsia="宋体" w:cs="宋体"/>
          <w:sz w:val="24"/>
          <w:szCs w:val="24"/>
        </w:rPr>
        <w:t>采购需求：</w:t>
      </w:r>
    </w:p>
    <w:p w14:paraId="3FF576E5">
      <w:pPr>
        <w:pStyle w:val="38"/>
        <w:spacing w:line="360" w:lineRule="auto"/>
        <w:rPr>
          <w:rFonts w:hint="eastAsia" w:ascii="宋体" w:hAnsi="宋体" w:eastAsia="宋体" w:cs="宋体"/>
          <w:sz w:val="24"/>
          <w:szCs w:val="24"/>
        </w:rPr>
      </w:pPr>
      <w:r>
        <w:rPr>
          <w:rFonts w:hint="eastAsia" w:ascii="宋体" w:hAnsi="宋体" w:eastAsia="宋体" w:cs="宋体"/>
          <w:sz w:val="24"/>
          <w:szCs w:val="24"/>
        </w:rPr>
        <w:t>合同包1(2025年超星学习通、读秀知识库数字资源服务项目):</w:t>
      </w:r>
    </w:p>
    <w:p w14:paraId="0105AD86">
      <w:pPr>
        <w:pStyle w:val="38"/>
        <w:spacing w:line="360" w:lineRule="auto"/>
        <w:ind w:firstLine="630"/>
        <w:rPr>
          <w:rFonts w:hint="eastAsia" w:ascii="宋体" w:hAnsi="宋体" w:eastAsia="宋体" w:cs="宋体"/>
          <w:sz w:val="24"/>
          <w:szCs w:val="24"/>
        </w:rPr>
      </w:pPr>
      <w:r>
        <w:rPr>
          <w:rFonts w:hint="eastAsia" w:ascii="宋体" w:hAnsi="宋体" w:eastAsia="宋体" w:cs="宋体"/>
          <w:sz w:val="24"/>
          <w:szCs w:val="24"/>
        </w:rPr>
        <w:t>合同包预算金额：150,000.00元</w:t>
      </w:r>
    </w:p>
    <w:p w14:paraId="124D760B">
      <w:pPr>
        <w:pStyle w:val="38"/>
        <w:spacing w:line="360" w:lineRule="auto"/>
        <w:ind w:firstLine="630"/>
        <w:rPr>
          <w:rFonts w:hint="eastAsia" w:ascii="宋体" w:hAnsi="宋体" w:eastAsia="宋体" w:cs="宋体"/>
          <w:sz w:val="24"/>
          <w:szCs w:val="24"/>
        </w:rPr>
      </w:pPr>
      <w:r>
        <w:rPr>
          <w:rFonts w:hint="eastAsia" w:ascii="宋体" w:hAnsi="宋体" w:eastAsia="宋体" w:cs="宋体"/>
          <w:sz w:val="24"/>
          <w:szCs w:val="24"/>
        </w:rPr>
        <w:t xml:space="preserve"> 合同包最高限价：150,000.00元</w:t>
      </w:r>
    </w:p>
    <w:tbl>
      <w:tblPr>
        <w:tblStyle w:val="2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30"/>
        <w:gridCol w:w="1530"/>
        <w:gridCol w:w="1530"/>
        <w:gridCol w:w="1530"/>
        <w:gridCol w:w="1530"/>
        <w:gridCol w:w="1566"/>
      </w:tblGrid>
      <w:tr w14:paraId="6BD7AA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04" w:hRule="atLeast"/>
        </w:trPr>
        <w:tc>
          <w:tcPr>
            <w:tcW w:w="1530" w:type="dxa"/>
            <w:vAlign w:val="center"/>
          </w:tcPr>
          <w:p w14:paraId="77BD6907">
            <w:pPr>
              <w:pStyle w:val="38"/>
              <w:spacing w:line="360" w:lineRule="auto"/>
              <w:jc w:val="center"/>
              <w:rPr>
                <w:rFonts w:hint="eastAsia" w:ascii="宋体" w:hAnsi="宋体" w:eastAsia="宋体" w:cs="宋体"/>
                <w:sz w:val="24"/>
                <w:szCs w:val="24"/>
              </w:rPr>
            </w:pPr>
            <w:r>
              <w:rPr>
                <w:rFonts w:hint="eastAsia" w:ascii="宋体" w:hAnsi="宋体" w:eastAsia="宋体" w:cs="宋体"/>
                <w:sz w:val="24"/>
                <w:szCs w:val="24"/>
              </w:rPr>
              <w:t>品目号</w:t>
            </w:r>
          </w:p>
        </w:tc>
        <w:tc>
          <w:tcPr>
            <w:tcW w:w="1530" w:type="dxa"/>
            <w:vAlign w:val="center"/>
          </w:tcPr>
          <w:p w14:paraId="164A43CD">
            <w:pPr>
              <w:pStyle w:val="38"/>
              <w:spacing w:line="360" w:lineRule="auto"/>
              <w:jc w:val="center"/>
              <w:rPr>
                <w:rFonts w:hint="eastAsia" w:ascii="宋体" w:hAnsi="宋体" w:eastAsia="宋体" w:cs="宋体"/>
                <w:sz w:val="24"/>
                <w:szCs w:val="24"/>
              </w:rPr>
            </w:pPr>
            <w:r>
              <w:rPr>
                <w:rFonts w:hint="eastAsia" w:ascii="宋体" w:hAnsi="宋体" w:eastAsia="宋体" w:cs="宋体"/>
                <w:sz w:val="24"/>
                <w:szCs w:val="24"/>
              </w:rPr>
              <w:t>品目名称</w:t>
            </w:r>
          </w:p>
        </w:tc>
        <w:tc>
          <w:tcPr>
            <w:tcW w:w="1530" w:type="dxa"/>
            <w:vAlign w:val="center"/>
          </w:tcPr>
          <w:p w14:paraId="134BF616">
            <w:pPr>
              <w:pStyle w:val="38"/>
              <w:spacing w:line="360" w:lineRule="auto"/>
              <w:jc w:val="center"/>
              <w:rPr>
                <w:rFonts w:hint="eastAsia" w:ascii="宋体" w:hAnsi="宋体" w:eastAsia="宋体" w:cs="宋体"/>
                <w:sz w:val="24"/>
                <w:szCs w:val="24"/>
              </w:rPr>
            </w:pPr>
            <w:r>
              <w:rPr>
                <w:rFonts w:hint="eastAsia" w:ascii="宋体" w:hAnsi="宋体" w:eastAsia="宋体" w:cs="宋体"/>
                <w:sz w:val="24"/>
                <w:szCs w:val="24"/>
              </w:rPr>
              <w:t>采购标的</w:t>
            </w:r>
          </w:p>
        </w:tc>
        <w:tc>
          <w:tcPr>
            <w:tcW w:w="1530" w:type="dxa"/>
            <w:vAlign w:val="center"/>
          </w:tcPr>
          <w:p w14:paraId="3BAC4A66">
            <w:pPr>
              <w:pStyle w:val="38"/>
              <w:spacing w:line="360" w:lineRule="auto"/>
              <w:jc w:val="center"/>
              <w:rPr>
                <w:rFonts w:hint="eastAsia" w:ascii="宋体" w:hAnsi="宋体" w:eastAsia="宋体" w:cs="宋体"/>
                <w:sz w:val="24"/>
                <w:szCs w:val="24"/>
              </w:rPr>
            </w:pPr>
            <w:r>
              <w:rPr>
                <w:rFonts w:hint="eastAsia" w:ascii="宋体" w:hAnsi="宋体" w:eastAsia="宋体" w:cs="宋体"/>
                <w:sz w:val="24"/>
                <w:szCs w:val="24"/>
              </w:rPr>
              <w:t>数量（单位）</w:t>
            </w:r>
          </w:p>
        </w:tc>
        <w:tc>
          <w:tcPr>
            <w:tcW w:w="1530" w:type="dxa"/>
            <w:vAlign w:val="center"/>
          </w:tcPr>
          <w:p w14:paraId="6D4ACF22">
            <w:pPr>
              <w:pStyle w:val="38"/>
              <w:spacing w:line="360" w:lineRule="auto"/>
              <w:jc w:val="center"/>
              <w:rPr>
                <w:rFonts w:hint="eastAsia" w:ascii="宋体" w:hAnsi="宋体" w:eastAsia="宋体" w:cs="宋体"/>
                <w:sz w:val="24"/>
                <w:szCs w:val="24"/>
              </w:rPr>
            </w:pPr>
            <w:r>
              <w:rPr>
                <w:rFonts w:hint="eastAsia" w:ascii="宋体" w:hAnsi="宋体" w:eastAsia="宋体" w:cs="宋体"/>
                <w:sz w:val="24"/>
                <w:szCs w:val="24"/>
              </w:rPr>
              <w:t>技术规格、参数及要求</w:t>
            </w:r>
          </w:p>
        </w:tc>
        <w:tc>
          <w:tcPr>
            <w:tcW w:w="1566" w:type="dxa"/>
            <w:vAlign w:val="center"/>
          </w:tcPr>
          <w:p w14:paraId="6A209D30">
            <w:pPr>
              <w:pStyle w:val="38"/>
              <w:spacing w:line="360" w:lineRule="auto"/>
              <w:jc w:val="center"/>
              <w:rPr>
                <w:rFonts w:hint="eastAsia" w:ascii="宋体" w:hAnsi="宋体" w:eastAsia="宋体" w:cs="宋体"/>
                <w:sz w:val="24"/>
                <w:szCs w:val="24"/>
              </w:rPr>
            </w:pPr>
            <w:r>
              <w:rPr>
                <w:rFonts w:hint="eastAsia" w:ascii="宋体" w:hAnsi="宋体" w:eastAsia="宋体" w:cs="宋体"/>
                <w:sz w:val="24"/>
                <w:szCs w:val="24"/>
              </w:rPr>
              <w:t>品目预算(元)</w:t>
            </w:r>
          </w:p>
        </w:tc>
      </w:tr>
      <w:tr w14:paraId="520646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340" w:hRule="atLeast"/>
        </w:trPr>
        <w:tc>
          <w:tcPr>
            <w:tcW w:w="1530" w:type="dxa"/>
            <w:vAlign w:val="center"/>
          </w:tcPr>
          <w:p w14:paraId="7EADFF7B">
            <w:pPr>
              <w:pStyle w:val="38"/>
              <w:spacing w:line="360" w:lineRule="auto"/>
              <w:jc w:val="center"/>
              <w:rPr>
                <w:rFonts w:hint="eastAsia" w:ascii="宋体" w:hAnsi="宋体" w:eastAsia="宋体" w:cs="宋体"/>
                <w:sz w:val="24"/>
                <w:szCs w:val="24"/>
              </w:rPr>
            </w:pPr>
            <w:r>
              <w:rPr>
                <w:rFonts w:hint="eastAsia" w:ascii="宋体" w:hAnsi="宋体" w:eastAsia="宋体" w:cs="宋体"/>
                <w:sz w:val="24"/>
                <w:szCs w:val="24"/>
              </w:rPr>
              <w:t>1-1</w:t>
            </w:r>
          </w:p>
        </w:tc>
        <w:tc>
          <w:tcPr>
            <w:tcW w:w="1530" w:type="dxa"/>
            <w:vAlign w:val="center"/>
          </w:tcPr>
          <w:p w14:paraId="0BBE92DD">
            <w:pPr>
              <w:pStyle w:val="38"/>
              <w:spacing w:line="360" w:lineRule="auto"/>
              <w:jc w:val="center"/>
              <w:rPr>
                <w:rFonts w:hint="eastAsia" w:ascii="宋体" w:hAnsi="宋体" w:eastAsia="宋体" w:cs="宋体"/>
                <w:sz w:val="24"/>
                <w:szCs w:val="24"/>
              </w:rPr>
            </w:pPr>
            <w:r>
              <w:rPr>
                <w:rFonts w:hint="eastAsia" w:ascii="宋体" w:hAnsi="宋体" w:eastAsia="宋体" w:cs="宋体"/>
                <w:sz w:val="24"/>
                <w:szCs w:val="24"/>
              </w:rPr>
              <w:t>高等教育服务</w:t>
            </w:r>
          </w:p>
        </w:tc>
        <w:tc>
          <w:tcPr>
            <w:tcW w:w="1530" w:type="dxa"/>
            <w:vAlign w:val="center"/>
          </w:tcPr>
          <w:p w14:paraId="53AF7B76">
            <w:pPr>
              <w:pStyle w:val="38"/>
              <w:spacing w:line="360" w:lineRule="auto"/>
              <w:jc w:val="center"/>
              <w:rPr>
                <w:rFonts w:hint="eastAsia" w:ascii="宋体" w:hAnsi="宋体" w:eastAsia="宋体" w:cs="宋体"/>
                <w:sz w:val="24"/>
                <w:szCs w:val="24"/>
              </w:rPr>
            </w:pPr>
            <w:r>
              <w:rPr>
                <w:rFonts w:hint="eastAsia" w:ascii="宋体" w:hAnsi="宋体" w:eastAsia="宋体" w:cs="宋体"/>
                <w:sz w:val="24"/>
                <w:szCs w:val="24"/>
              </w:rPr>
              <w:t>2025年超星学习通、读秀知识库数字资源服务</w:t>
            </w:r>
          </w:p>
        </w:tc>
        <w:tc>
          <w:tcPr>
            <w:tcW w:w="1530" w:type="dxa"/>
            <w:vAlign w:val="center"/>
          </w:tcPr>
          <w:p w14:paraId="1439027D">
            <w:pPr>
              <w:pStyle w:val="38"/>
              <w:spacing w:line="360" w:lineRule="auto"/>
              <w:jc w:val="center"/>
              <w:rPr>
                <w:rFonts w:hint="eastAsia" w:ascii="宋体" w:hAnsi="宋体" w:eastAsia="宋体" w:cs="宋体"/>
                <w:sz w:val="24"/>
                <w:szCs w:val="24"/>
              </w:rPr>
            </w:pPr>
            <w:r>
              <w:rPr>
                <w:rFonts w:hint="eastAsia" w:ascii="宋体" w:hAnsi="宋体" w:eastAsia="宋体" w:cs="宋体"/>
                <w:sz w:val="24"/>
                <w:szCs w:val="24"/>
              </w:rPr>
              <w:t>1(项)</w:t>
            </w:r>
          </w:p>
        </w:tc>
        <w:tc>
          <w:tcPr>
            <w:tcW w:w="1530" w:type="dxa"/>
            <w:vAlign w:val="center"/>
          </w:tcPr>
          <w:p w14:paraId="6B2C9AB2">
            <w:pPr>
              <w:pStyle w:val="38"/>
              <w:spacing w:line="360" w:lineRule="auto"/>
              <w:jc w:val="center"/>
              <w:rPr>
                <w:rFonts w:hint="eastAsia" w:ascii="宋体" w:hAnsi="宋体" w:eastAsia="宋体" w:cs="宋体"/>
                <w:sz w:val="24"/>
                <w:szCs w:val="24"/>
              </w:rPr>
            </w:pPr>
            <w:r>
              <w:rPr>
                <w:rFonts w:hint="eastAsia" w:ascii="宋体" w:hAnsi="宋体" w:eastAsia="宋体" w:cs="宋体"/>
                <w:sz w:val="24"/>
                <w:szCs w:val="24"/>
              </w:rPr>
              <w:t>详见采购文件</w:t>
            </w:r>
          </w:p>
        </w:tc>
        <w:tc>
          <w:tcPr>
            <w:tcW w:w="1566" w:type="dxa"/>
            <w:vAlign w:val="center"/>
          </w:tcPr>
          <w:p w14:paraId="2E02C787">
            <w:pPr>
              <w:pStyle w:val="38"/>
              <w:spacing w:line="360" w:lineRule="auto"/>
              <w:jc w:val="center"/>
              <w:rPr>
                <w:rFonts w:hint="eastAsia" w:ascii="宋体" w:hAnsi="宋体" w:eastAsia="宋体" w:cs="宋体"/>
                <w:sz w:val="24"/>
                <w:szCs w:val="24"/>
              </w:rPr>
            </w:pPr>
            <w:r>
              <w:rPr>
                <w:rFonts w:hint="eastAsia" w:ascii="宋体" w:hAnsi="宋体" w:eastAsia="宋体" w:cs="宋体"/>
                <w:sz w:val="24"/>
                <w:szCs w:val="24"/>
              </w:rPr>
              <w:t>150,000.00</w:t>
            </w:r>
          </w:p>
        </w:tc>
      </w:tr>
    </w:tbl>
    <w:p w14:paraId="1DA8E007">
      <w:pPr>
        <w:pStyle w:val="38"/>
        <w:spacing w:line="360" w:lineRule="auto"/>
        <w:rPr>
          <w:rFonts w:hint="eastAsia" w:ascii="宋体" w:hAnsi="宋体" w:eastAsia="宋体" w:cs="宋体"/>
          <w:sz w:val="24"/>
          <w:szCs w:val="24"/>
        </w:rPr>
      </w:pPr>
      <w:r>
        <w:rPr>
          <w:rFonts w:hint="eastAsia" w:ascii="宋体" w:hAnsi="宋体" w:eastAsia="宋体" w:cs="宋体"/>
          <w:sz w:val="24"/>
          <w:szCs w:val="24"/>
        </w:rPr>
        <w:t xml:space="preserve"> 本合同包不接受联合体投标</w:t>
      </w:r>
    </w:p>
    <w:p w14:paraId="23A97F0B">
      <w:pPr>
        <w:pStyle w:val="38"/>
        <w:spacing w:line="360" w:lineRule="auto"/>
        <w:rPr>
          <w:rFonts w:hint="eastAsia" w:ascii="宋体" w:hAnsi="宋体" w:eastAsia="宋体" w:cs="宋体"/>
          <w:sz w:val="24"/>
          <w:szCs w:val="24"/>
        </w:rPr>
      </w:pPr>
      <w:r>
        <w:rPr>
          <w:rFonts w:hint="eastAsia" w:ascii="宋体" w:hAnsi="宋体" w:eastAsia="宋体" w:cs="宋体"/>
          <w:sz w:val="24"/>
          <w:szCs w:val="24"/>
        </w:rPr>
        <w:t xml:space="preserve"> 合同履行期限：详见采购文件</w:t>
      </w:r>
    </w:p>
    <w:p w14:paraId="1ABFF0CD">
      <w:pPr>
        <w:pStyle w:val="38"/>
        <w:spacing w:line="360" w:lineRule="auto"/>
        <w:outlineLvl w:val="3"/>
        <w:rPr>
          <w:rFonts w:hint="eastAsia" w:ascii="宋体" w:hAnsi="宋体" w:eastAsia="宋体" w:cs="宋体"/>
          <w:sz w:val="24"/>
          <w:szCs w:val="24"/>
        </w:rPr>
      </w:pPr>
      <w:r>
        <w:rPr>
          <w:rFonts w:hint="eastAsia" w:ascii="宋体" w:hAnsi="宋体" w:eastAsia="宋体" w:cs="宋体"/>
          <w:b/>
          <w:sz w:val="24"/>
          <w:szCs w:val="24"/>
        </w:rPr>
        <w:t>二、申请人的资格要求：</w:t>
      </w:r>
    </w:p>
    <w:p w14:paraId="0F6B5BFE">
      <w:pPr>
        <w:pStyle w:val="38"/>
        <w:spacing w:line="360" w:lineRule="auto"/>
        <w:rPr>
          <w:rFonts w:hint="eastAsia" w:ascii="宋体" w:hAnsi="宋体" w:eastAsia="宋体" w:cs="宋体"/>
          <w:sz w:val="24"/>
          <w:szCs w:val="24"/>
        </w:rPr>
      </w:pPr>
      <w:r>
        <w:rPr>
          <w:rFonts w:hint="eastAsia" w:ascii="宋体" w:hAnsi="宋体" w:eastAsia="宋体" w:cs="宋体"/>
          <w:sz w:val="24"/>
          <w:szCs w:val="24"/>
        </w:rPr>
        <w:t>1.满足《中华人民共和国政府采购法》第二十二条规定;</w:t>
      </w:r>
    </w:p>
    <w:p w14:paraId="0BE03FFB">
      <w:pPr>
        <w:pStyle w:val="38"/>
        <w:spacing w:line="360" w:lineRule="auto"/>
        <w:rPr>
          <w:rFonts w:hint="eastAsia" w:ascii="宋体" w:hAnsi="宋体" w:eastAsia="宋体" w:cs="宋体"/>
          <w:sz w:val="24"/>
          <w:szCs w:val="24"/>
        </w:rPr>
      </w:pPr>
      <w:r>
        <w:rPr>
          <w:rFonts w:hint="eastAsia" w:ascii="宋体" w:hAnsi="宋体" w:eastAsia="宋体" w:cs="宋体"/>
          <w:sz w:val="24"/>
          <w:szCs w:val="24"/>
        </w:rPr>
        <w:t>2.落实政府采购政策需满足的资格要求：</w:t>
      </w:r>
    </w:p>
    <w:p w14:paraId="60AD811B">
      <w:pPr>
        <w:pStyle w:val="38"/>
        <w:spacing w:line="360" w:lineRule="auto"/>
        <w:rPr>
          <w:rFonts w:hint="eastAsia" w:ascii="宋体" w:hAnsi="宋体" w:eastAsia="宋体" w:cs="宋体"/>
          <w:sz w:val="24"/>
          <w:szCs w:val="24"/>
        </w:rPr>
      </w:pPr>
      <w:r>
        <w:rPr>
          <w:rFonts w:hint="eastAsia" w:ascii="宋体" w:hAnsi="宋体" w:eastAsia="宋体" w:cs="宋体"/>
          <w:sz w:val="24"/>
          <w:szCs w:val="24"/>
        </w:rPr>
        <w:t>合同包1(2025年超星学习通、读秀知识库数字资源服务项目)落实政府采购政策需满足的资格要求如下:</w:t>
      </w:r>
    </w:p>
    <w:p w14:paraId="22BDDB72">
      <w:pPr>
        <w:pStyle w:val="38"/>
        <w:spacing w:line="360" w:lineRule="auto"/>
        <w:ind w:left="480"/>
        <w:rPr>
          <w:rFonts w:hint="eastAsia" w:ascii="宋体" w:hAnsi="宋体" w:eastAsia="宋体" w:cs="宋体"/>
          <w:sz w:val="24"/>
          <w:szCs w:val="24"/>
        </w:rPr>
      </w:pPr>
      <w:r>
        <w:rPr>
          <w:rFonts w:hint="eastAsia" w:ascii="宋体" w:hAnsi="宋体" w:eastAsia="宋体" w:cs="宋体"/>
          <w:sz w:val="24"/>
          <w:szCs w:val="24"/>
        </w:rPr>
        <w:t>（1）《政府采购促进中小企业发展管理办法》（财库〔2020〕46号）；</w:t>
      </w:r>
      <w:r>
        <w:rPr>
          <w:rFonts w:hint="eastAsia" w:ascii="宋体" w:hAnsi="宋体" w:eastAsia="宋体" w:cs="宋体"/>
          <w:sz w:val="24"/>
          <w:szCs w:val="24"/>
        </w:rPr>
        <w:br w:type="textWrapping"/>
      </w:r>
      <w:r>
        <w:rPr>
          <w:rFonts w:hint="eastAsia" w:ascii="宋体" w:hAnsi="宋体" w:eastAsia="宋体" w:cs="宋体"/>
          <w:sz w:val="24"/>
          <w:szCs w:val="24"/>
        </w:rPr>
        <w:t>（2）《财政部司法部关于政府采购支持监狱企业发展有关问题的通知》（财库〔2014〕68号）；</w:t>
      </w:r>
      <w:r>
        <w:rPr>
          <w:rFonts w:hint="eastAsia" w:ascii="宋体" w:hAnsi="宋体" w:eastAsia="宋体" w:cs="宋体"/>
          <w:sz w:val="24"/>
          <w:szCs w:val="24"/>
        </w:rPr>
        <w:br w:type="textWrapping"/>
      </w:r>
      <w:r>
        <w:rPr>
          <w:rFonts w:hint="eastAsia" w:ascii="宋体" w:hAnsi="宋体" w:eastAsia="宋体" w:cs="宋体"/>
          <w:sz w:val="24"/>
          <w:szCs w:val="24"/>
        </w:rPr>
        <w:t>（3）《关于促进残疾人就业政府采购政策的通知》（财库〔2017〕141号）；</w:t>
      </w:r>
      <w:r>
        <w:rPr>
          <w:rFonts w:hint="eastAsia" w:ascii="宋体" w:hAnsi="宋体" w:eastAsia="宋体" w:cs="宋体"/>
          <w:sz w:val="24"/>
          <w:szCs w:val="24"/>
        </w:rPr>
        <w:br w:type="textWrapping"/>
      </w:r>
      <w:r>
        <w:rPr>
          <w:rFonts w:hint="eastAsia" w:ascii="宋体" w:hAnsi="宋体" w:eastAsia="宋体" w:cs="宋体"/>
          <w:sz w:val="24"/>
          <w:szCs w:val="24"/>
        </w:rPr>
        <w:t>（4）《节能产品政府采购实施意见》（财库〔2004〕185号）；</w:t>
      </w:r>
      <w:r>
        <w:rPr>
          <w:rFonts w:hint="eastAsia" w:ascii="宋体" w:hAnsi="宋体" w:eastAsia="宋体" w:cs="宋体"/>
          <w:sz w:val="24"/>
          <w:szCs w:val="24"/>
        </w:rPr>
        <w:br w:type="textWrapping"/>
      </w:r>
      <w:r>
        <w:rPr>
          <w:rFonts w:hint="eastAsia" w:ascii="宋体" w:hAnsi="宋体" w:eastAsia="宋体" w:cs="宋体"/>
          <w:sz w:val="24"/>
          <w:szCs w:val="24"/>
        </w:rPr>
        <w:t>（5）《环境标志产品政府采购实施的意见》（财库〔2006〕90号）；</w:t>
      </w:r>
      <w:r>
        <w:rPr>
          <w:rFonts w:hint="eastAsia" w:ascii="宋体" w:hAnsi="宋体" w:eastAsia="宋体" w:cs="宋体"/>
          <w:sz w:val="24"/>
          <w:szCs w:val="24"/>
        </w:rPr>
        <w:br w:type="textWrapping"/>
      </w:r>
      <w:r>
        <w:rPr>
          <w:rFonts w:hint="eastAsia" w:ascii="宋体" w:hAnsi="宋体" w:eastAsia="宋体" w:cs="宋体"/>
          <w:sz w:val="24"/>
          <w:szCs w:val="24"/>
        </w:rPr>
        <w:t>（6）《国务院办公厅关于建立政府强制采购节能产品制度的通知》（国办发〔2007〕51号）；</w:t>
      </w:r>
      <w:r>
        <w:rPr>
          <w:rFonts w:hint="eastAsia" w:ascii="宋体" w:hAnsi="宋体" w:eastAsia="宋体" w:cs="宋体"/>
          <w:sz w:val="24"/>
          <w:szCs w:val="24"/>
        </w:rPr>
        <w:br w:type="textWrapping"/>
      </w:r>
      <w:r>
        <w:rPr>
          <w:rFonts w:hint="eastAsia" w:ascii="宋体" w:hAnsi="宋体" w:eastAsia="宋体" w:cs="宋体"/>
          <w:sz w:val="24"/>
          <w:szCs w:val="24"/>
        </w:rPr>
        <w:t>（7）财政部发展改革委生态环境部市场监管总局关于调整优化节能产品、环境标志产品政府采购执行机制的通知（财库〔2019〕9号）；</w:t>
      </w:r>
      <w:r>
        <w:rPr>
          <w:rFonts w:hint="eastAsia" w:ascii="宋体" w:hAnsi="宋体" w:eastAsia="宋体" w:cs="宋体"/>
          <w:sz w:val="24"/>
          <w:szCs w:val="24"/>
        </w:rPr>
        <w:br w:type="textWrapping"/>
      </w:r>
      <w:r>
        <w:rPr>
          <w:rFonts w:hint="eastAsia" w:ascii="宋体" w:hAnsi="宋体" w:eastAsia="宋体" w:cs="宋体"/>
          <w:sz w:val="24"/>
          <w:szCs w:val="24"/>
        </w:rPr>
        <w:t>（8）《关于印发环境标志产品政府采购品目清单的通知》--（财库〔2019〕18号）；</w:t>
      </w:r>
      <w:r>
        <w:rPr>
          <w:rFonts w:hint="eastAsia" w:ascii="宋体" w:hAnsi="宋体" w:eastAsia="宋体" w:cs="宋体"/>
          <w:sz w:val="24"/>
          <w:szCs w:val="24"/>
        </w:rPr>
        <w:br w:type="textWrapping"/>
      </w:r>
      <w:r>
        <w:rPr>
          <w:rFonts w:hint="eastAsia" w:ascii="宋体" w:hAnsi="宋体" w:eastAsia="宋体" w:cs="宋体"/>
          <w:sz w:val="24"/>
          <w:szCs w:val="24"/>
        </w:rPr>
        <w:t>（9）《关于印发节能产品政府采购品目清单的通知》--（财库〔2019〕19号）；</w:t>
      </w:r>
      <w:r>
        <w:rPr>
          <w:rFonts w:hint="eastAsia" w:ascii="宋体" w:hAnsi="宋体" w:eastAsia="宋体" w:cs="宋体"/>
          <w:sz w:val="24"/>
          <w:szCs w:val="24"/>
        </w:rPr>
        <w:br w:type="textWrapping"/>
      </w:r>
      <w:r>
        <w:rPr>
          <w:rFonts w:hint="eastAsia" w:ascii="宋体" w:hAnsi="宋体" w:eastAsia="宋体" w:cs="宋体"/>
          <w:sz w:val="24"/>
          <w:szCs w:val="24"/>
        </w:rPr>
        <w:t>（10）《关于发布参与实施政府采购节能产品、环境标志产品认证机构名录的公告》—2019年第16号；</w:t>
      </w:r>
      <w:r>
        <w:rPr>
          <w:rFonts w:hint="eastAsia" w:ascii="宋体" w:hAnsi="宋体" w:eastAsia="宋体" w:cs="宋体"/>
          <w:sz w:val="24"/>
          <w:szCs w:val="24"/>
        </w:rPr>
        <w:br w:type="textWrapping"/>
      </w:r>
      <w:r>
        <w:rPr>
          <w:rFonts w:hint="eastAsia" w:ascii="宋体" w:hAnsi="宋体" w:eastAsia="宋体" w:cs="宋体"/>
          <w:sz w:val="24"/>
          <w:szCs w:val="24"/>
        </w:rPr>
        <w:t>（11）《关于运用政府采购政策支持乡村产业振兴的通知》（财库〔2021〕19号）；</w:t>
      </w:r>
      <w:r>
        <w:rPr>
          <w:rFonts w:hint="eastAsia" w:ascii="宋体" w:hAnsi="宋体" w:eastAsia="宋体" w:cs="宋体"/>
          <w:sz w:val="24"/>
          <w:szCs w:val="24"/>
        </w:rPr>
        <w:br w:type="textWrapping"/>
      </w:r>
      <w:r>
        <w:rPr>
          <w:rFonts w:hint="eastAsia" w:ascii="宋体" w:hAnsi="宋体" w:eastAsia="宋体" w:cs="宋体"/>
          <w:sz w:val="24"/>
          <w:szCs w:val="24"/>
        </w:rPr>
        <w:t>（12）陕西省财政厅关于印发《陕西省中小企业政府采购信用融资办法》（陕财办采〔2018〕23号），相关政策、业务流程、办理平台（详见http://www.ccgp-shaanxi.gov.cn/zcdservice/zcd/shanxi/）；</w:t>
      </w:r>
      <w:r>
        <w:rPr>
          <w:rFonts w:hint="eastAsia" w:ascii="宋体" w:hAnsi="宋体" w:eastAsia="宋体" w:cs="宋体"/>
          <w:sz w:val="24"/>
          <w:szCs w:val="24"/>
        </w:rPr>
        <w:br w:type="textWrapping"/>
      </w:r>
      <w:r>
        <w:rPr>
          <w:rFonts w:hint="eastAsia" w:ascii="宋体" w:hAnsi="宋体" w:eastAsia="宋体" w:cs="宋体"/>
          <w:sz w:val="24"/>
          <w:szCs w:val="24"/>
        </w:rPr>
        <w:t>（13）《陕西省财政厅关于加快推进我省中小企业政府采购信用融资工作的通知》（陕财办采〔2020〕15号）；</w:t>
      </w:r>
      <w:r>
        <w:rPr>
          <w:rFonts w:hint="eastAsia" w:ascii="宋体" w:hAnsi="宋体" w:eastAsia="宋体" w:cs="宋体"/>
          <w:sz w:val="24"/>
          <w:szCs w:val="24"/>
        </w:rPr>
        <w:br w:type="textWrapping"/>
      </w:r>
      <w:r>
        <w:rPr>
          <w:rFonts w:hint="eastAsia" w:ascii="宋体" w:hAnsi="宋体" w:eastAsia="宋体" w:cs="宋体"/>
          <w:sz w:val="24"/>
          <w:szCs w:val="24"/>
        </w:rPr>
        <w:t>（14）《关于进一步加强政府绿色采购有关问题的通知》（陕财办采〔2021〕29号）；</w:t>
      </w:r>
      <w:r>
        <w:rPr>
          <w:rFonts w:hint="eastAsia" w:ascii="宋体" w:hAnsi="宋体" w:eastAsia="宋体" w:cs="宋体"/>
          <w:sz w:val="24"/>
          <w:szCs w:val="24"/>
        </w:rPr>
        <w:br w:type="textWrapping"/>
      </w:r>
      <w:r>
        <w:rPr>
          <w:rFonts w:hint="eastAsia" w:ascii="宋体" w:hAnsi="宋体" w:eastAsia="宋体" w:cs="宋体"/>
          <w:sz w:val="24"/>
          <w:szCs w:val="24"/>
        </w:rPr>
        <w:t>（15）《陕西省财政厅陕西省工业和信息化厅关于运用政府采购政策支持首台（套）及创新产品有关事项的通知》（陕财办采〔2021〕17号）；</w:t>
      </w:r>
      <w:r>
        <w:rPr>
          <w:rFonts w:hint="eastAsia" w:ascii="宋体" w:hAnsi="宋体" w:eastAsia="宋体" w:cs="宋体"/>
          <w:sz w:val="24"/>
          <w:szCs w:val="24"/>
        </w:rPr>
        <w:br w:type="textWrapping"/>
      </w:r>
      <w:r>
        <w:rPr>
          <w:rFonts w:hint="eastAsia" w:ascii="宋体" w:hAnsi="宋体" w:eastAsia="宋体" w:cs="宋体"/>
          <w:sz w:val="24"/>
          <w:szCs w:val="24"/>
        </w:rPr>
        <w:t>（16）《关于进一步加大政府采购支持中小企业力度的通知》（财库〔2022〕19号）、《关于落实政府采购支持中小企业政策有关事项的通知》（陕财办采函〔2022〕10号）；</w:t>
      </w:r>
      <w:r>
        <w:rPr>
          <w:rFonts w:hint="eastAsia" w:ascii="宋体" w:hAnsi="宋体" w:eastAsia="宋体" w:cs="宋体"/>
          <w:sz w:val="24"/>
          <w:szCs w:val="24"/>
        </w:rPr>
        <w:br w:type="textWrapping"/>
      </w:r>
      <w:r>
        <w:rPr>
          <w:rFonts w:hint="eastAsia" w:ascii="宋体" w:hAnsi="宋体" w:eastAsia="宋体" w:cs="宋体"/>
          <w:sz w:val="24"/>
          <w:szCs w:val="24"/>
        </w:rPr>
        <w:t>（17）其他需要落实的政府采购政策。</w:t>
      </w:r>
    </w:p>
    <w:p w14:paraId="5D58B39A">
      <w:pPr>
        <w:pStyle w:val="38"/>
        <w:spacing w:line="360" w:lineRule="auto"/>
        <w:rPr>
          <w:rFonts w:hint="eastAsia" w:ascii="宋体" w:hAnsi="宋体" w:eastAsia="宋体" w:cs="宋体"/>
          <w:sz w:val="24"/>
          <w:szCs w:val="24"/>
        </w:rPr>
      </w:pPr>
      <w:r>
        <w:rPr>
          <w:rFonts w:hint="eastAsia" w:ascii="宋体" w:hAnsi="宋体" w:eastAsia="宋体" w:cs="宋体"/>
          <w:sz w:val="24"/>
          <w:szCs w:val="24"/>
        </w:rPr>
        <w:t>3.本项目的特定资格要求：</w:t>
      </w:r>
    </w:p>
    <w:p w14:paraId="0F86FC13">
      <w:pPr>
        <w:pStyle w:val="38"/>
        <w:spacing w:line="360" w:lineRule="auto"/>
        <w:rPr>
          <w:rFonts w:hint="eastAsia" w:ascii="宋体" w:hAnsi="宋体" w:eastAsia="宋体" w:cs="宋体"/>
          <w:sz w:val="24"/>
          <w:szCs w:val="24"/>
        </w:rPr>
      </w:pPr>
      <w:r>
        <w:rPr>
          <w:rFonts w:hint="eastAsia" w:ascii="宋体" w:hAnsi="宋体" w:eastAsia="宋体" w:cs="宋体"/>
          <w:sz w:val="24"/>
          <w:szCs w:val="24"/>
        </w:rPr>
        <w:t>合同包1(2025年超星学习通、读秀知识库数字资源服务项目)特定资格要求如下:</w:t>
      </w:r>
    </w:p>
    <w:p w14:paraId="08135EC7">
      <w:pPr>
        <w:pStyle w:val="38"/>
        <w:spacing w:line="360" w:lineRule="auto"/>
        <w:ind w:left="480"/>
        <w:rPr>
          <w:rFonts w:hint="eastAsia" w:ascii="宋体" w:hAnsi="宋体" w:eastAsia="宋体" w:cs="宋体"/>
          <w:sz w:val="24"/>
          <w:szCs w:val="24"/>
        </w:rPr>
      </w:pPr>
      <w:r>
        <w:rPr>
          <w:rFonts w:hint="eastAsia" w:ascii="宋体" w:hAnsi="宋体" w:eastAsia="宋体" w:cs="宋体"/>
          <w:sz w:val="24"/>
          <w:szCs w:val="24"/>
        </w:rPr>
        <w:t>（1）提供合格有效的法人或者其他组织的营业执照等证明文件，自然人的身份证明；</w:t>
      </w:r>
      <w:r>
        <w:rPr>
          <w:rFonts w:hint="eastAsia" w:ascii="宋体" w:hAnsi="宋体" w:eastAsia="宋体" w:cs="宋体"/>
          <w:sz w:val="24"/>
          <w:szCs w:val="24"/>
        </w:rPr>
        <w:br w:type="textWrapping"/>
      </w:r>
      <w:r>
        <w:rPr>
          <w:rFonts w:hint="eastAsia" w:ascii="宋体" w:hAnsi="宋体" w:eastAsia="宋体" w:cs="宋体"/>
          <w:sz w:val="24"/>
          <w:szCs w:val="24"/>
        </w:rPr>
        <w:t>（2）提供法定代表人授权书（附法定代表人、被授权人身份证复印件），法定代表人直接参加的，须提供法定代表人身份证明及身份证复印件；</w:t>
      </w:r>
      <w:r>
        <w:rPr>
          <w:rFonts w:hint="eastAsia" w:ascii="宋体" w:hAnsi="宋体" w:eastAsia="宋体" w:cs="宋体"/>
          <w:sz w:val="24"/>
          <w:szCs w:val="24"/>
        </w:rPr>
        <w:br w:type="textWrapping"/>
      </w:r>
      <w:r>
        <w:rPr>
          <w:rFonts w:hint="eastAsia" w:ascii="宋体" w:hAnsi="宋体" w:eastAsia="宋体" w:cs="宋体"/>
          <w:sz w:val="24"/>
          <w:szCs w:val="24"/>
        </w:rPr>
        <w:t>（3）财务状况：提供2024年度经审计完整的财务审计报告，内容至少包括资产负债表、利润表、现金流量表及附注（成立时间至提交响应文件截止时间不足一年的可提供成立后任意时段的资产负债表）或磋商时间前六个月内银行出具的资信证明；</w:t>
      </w:r>
      <w:r>
        <w:rPr>
          <w:rFonts w:hint="eastAsia" w:ascii="宋体" w:hAnsi="宋体" w:eastAsia="宋体" w:cs="宋体"/>
          <w:sz w:val="24"/>
          <w:szCs w:val="24"/>
        </w:rPr>
        <w:br w:type="textWrapping"/>
      </w:r>
      <w:r>
        <w:rPr>
          <w:rFonts w:hint="eastAsia" w:ascii="宋体" w:hAnsi="宋体" w:eastAsia="宋体" w:cs="宋体"/>
          <w:sz w:val="24"/>
          <w:szCs w:val="24"/>
        </w:rPr>
        <w:t>（4）税收缴纳证明：提供磋商截止日前近一年内任意一个月的纳税证明或完税证明（任意税种），依法免税的单位应提供相关证明材料；</w:t>
      </w:r>
      <w:r>
        <w:rPr>
          <w:rFonts w:hint="eastAsia" w:ascii="宋体" w:hAnsi="宋体" w:eastAsia="宋体" w:cs="宋体"/>
          <w:sz w:val="24"/>
          <w:szCs w:val="24"/>
        </w:rPr>
        <w:br w:type="textWrapping"/>
      </w:r>
      <w:r>
        <w:rPr>
          <w:rFonts w:hint="eastAsia" w:ascii="宋体" w:hAnsi="宋体" w:eastAsia="宋体" w:cs="宋体"/>
          <w:sz w:val="24"/>
          <w:szCs w:val="24"/>
        </w:rPr>
        <w:t>（5）社会保障资金缴纳证明：提供磋商截止日前一年内已缴存的至少一个月的社会保障资金缴存单据或社保机构开具的社会保险参保缴费情况证明，依法不需要缴纳社会保障资金的单位应提供相关证明材料；</w:t>
      </w:r>
      <w:r>
        <w:rPr>
          <w:rFonts w:hint="eastAsia" w:ascii="宋体" w:hAnsi="宋体" w:eastAsia="宋体" w:cs="宋体"/>
          <w:sz w:val="24"/>
          <w:szCs w:val="24"/>
        </w:rPr>
        <w:br w:type="textWrapping"/>
      </w:r>
      <w:r>
        <w:rPr>
          <w:rFonts w:hint="eastAsia" w:ascii="宋体" w:hAnsi="宋体" w:eastAsia="宋体" w:cs="宋体"/>
          <w:sz w:val="24"/>
          <w:szCs w:val="24"/>
        </w:rPr>
        <w:t>（6）供应商通过“信用中国”网站(www.creditchina.gov.cn)、中国政府采购网(www.ccgp.gov.cn)等查询相关主体信用记录；</w:t>
      </w:r>
      <w:r>
        <w:rPr>
          <w:rFonts w:hint="eastAsia" w:ascii="宋体" w:hAnsi="宋体" w:eastAsia="宋体" w:cs="宋体"/>
          <w:sz w:val="24"/>
          <w:szCs w:val="24"/>
        </w:rPr>
        <w:br w:type="textWrapping"/>
      </w:r>
      <w:r>
        <w:rPr>
          <w:rFonts w:hint="eastAsia" w:ascii="宋体" w:hAnsi="宋体" w:eastAsia="宋体" w:cs="宋体"/>
          <w:sz w:val="24"/>
          <w:szCs w:val="24"/>
        </w:rPr>
        <w:t>（7）参加政府采购活动前3年内，在经营活动中没有重大违法记录的书面声明；</w:t>
      </w:r>
      <w:r>
        <w:rPr>
          <w:rFonts w:hint="eastAsia" w:ascii="宋体" w:hAnsi="宋体" w:eastAsia="宋体" w:cs="宋体"/>
          <w:sz w:val="24"/>
          <w:szCs w:val="24"/>
        </w:rPr>
        <w:br w:type="textWrapping"/>
      </w:r>
      <w:r>
        <w:rPr>
          <w:rFonts w:hint="eastAsia" w:ascii="宋体" w:hAnsi="宋体" w:eastAsia="宋体" w:cs="宋体"/>
          <w:sz w:val="24"/>
          <w:szCs w:val="24"/>
        </w:rPr>
        <w:t>（8）提供具有履行合同所必需的设备和专业技术能力的书面承诺；</w:t>
      </w:r>
      <w:r>
        <w:rPr>
          <w:rFonts w:hint="eastAsia" w:ascii="宋体" w:hAnsi="宋体" w:eastAsia="宋体" w:cs="宋体"/>
          <w:sz w:val="24"/>
          <w:szCs w:val="24"/>
        </w:rPr>
        <w:br w:type="textWrapping"/>
      </w:r>
      <w:r>
        <w:rPr>
          <w:rFonts w:hint="eastAsia" w:ascii="宋体" w:hAnsi="宋体" w:eastAsia="宋体" w:cs="宋体"/>
          <w:sz w:val="24"/>
          <w:szCs w:val="24"/>
        </w:rPr>
        <w:t>（9）供应商提供中小企业声明函；</w:t>
      </w:r>
      <w:r>
        <w:rPr>
          <w:rFonts w:hint="eastAsia" w:ascii="宋体" w:hAnsi="宋体" w:eastAsia="宋体" w:cs="宋体"/>
          <w:sz w:val="24"/>
          <w:szCs w:val="24"/>
        </w:rPr>
        <w:br w:type="textWrapping"/>
      </w:r>
      <w:r>
        <w:rPr>
          <w:rFonts w:hint="eastAsia" w:ascii="宋体" w:hAnsi="宋体" w:eastAsia="宋体" w:cs="宋体"/>
          <w:sz w:val="24"/>
          <w:szCs w:val="24"/>
        </w:rPr>
        <w:t>（10）本项目不接受联合体磋商（提供承诺书）。</w:t>
      </w:r>
    </w:p>
    <w:p w14:paraId="67D324E9">
      <w:pPr>
        <w:pStyle w:val="38"/>
        <w:spacing w:line="360" w:lineRule="auto"/>
        <w:outlineLvl w:val="3"/>
        <w:rPr>
          <w:rFonts w:hint="eastAsia" w:ascii="宋体" w:hAnsi="宋体" w:eastAsia="宋体" w:cs="宋体"/>
          <w:sz w:val="24"/>
          <w:szCs w:val="24"/>
        </w:rPr>
      </w:pPr>
      <w:r>
        <w:rPr>
          <w:rFonts w:hint="eastAsia" w:ascii="宋体" w:hAnsi="宋体" w:eastAsia="宋体" w:cs="宋体"/>
          <w:b/>
          <w:sz w:val="24"/>
          <w:szCs w:val="24"/>
        </w:rPr>
        <w:t>三、获取采购文件</w:t>
      </w:r>
    </w:p>
    <w:p w14:paraId="3B317E1D">
      <w:pPr>
        <w:pStyle w:val="38"/>
        <w:spacing w:line="360" w:lineRule="auto"/>
        <w:rPr>
          <w:rFonts w:hint="eastAsia" w:ascii="宋体" w:hAnsi="宋体" w:eastAsia="宋体" w:cs="宋体"/>
          <w:sz w:val="24"/>
          <w:szCs w:val="24"/>
        </w:rPr>
      </w:pPr>
      <w:r>
        <w:rPr>
          <w:rFonts w:hint="eastAsia" w:ascii="宋体" w:hAnsi="宋体" w:eastAsia="宋体" w:cs="宋体"/>
          <w:sz w:val="24"/>
          <w:szCs w:val="24"/>
        </w:rPr>
        <w:t>时间： 2025年10月10日 至 2025年10月15日 ，每天上午 00:00:00 至 12:00:00 ，下午 12:00:00 至 23:59:59 （北京时间）</w:t>
      </w:r>
    </w:p>
    <w:p w14:paraId="651D9162">
      <w:pPr>
        <w:pStyle w:val="38"/>
        <w:spacing w:line="360" w:lineRule="auto"/>
        <w:rPr>
          <w:rFonts w:hint="eastAsia" w:ascii="宋体" w:hAnsi="宋体" w:eastAsia="宋体" w:cs="宋体"/>
          <w:sz w:val="24"/>
          <w:szCs w:val="24"/>
        </w:rPr>
      </w:pPr>
      <w:r>
        <w:rPr>
          <w:rFonts w:hint="eastAsia" w:ascii="宋体" w:hAnsi="宋体" w:eastAsia="宋体" w:cs="宋体"/>
          <w:sz w:val="24"/>
          <w:szCs w:val="24"/>
        </w:rPr>
        <w:t>途径：全国公共资源交易平台（陕西省·安康市）</w:t>
      </w:r>
    </w:p>
    <w:p w14:paraId="16F62238">
      <w:pPr>
        <w:pStyle w:val="38"/>
        <w:spacing w:line="360" w:lineRule="auto"/>
        <w:rPr>
          <w:rFonts w:hint="eastAsia" w:ascii="宋体" w:hAnsi="宋体" w:eastAsia="宋体" w:cs="宋体"/>
          <w:sz w:val="24"/>
          <w:szCs w:val="24"/>
        </w:rPr>
      </w:pPr>
      <w:r>
        <w:rPr>
          <w:rFonts w:hint="eastAsia" w:ascii="宋体" w:hAnsi="宋体" w:eastAsia="宋体" w:cs="宋体"/>
          <w:sz w:val="24"/>
          <w:szCs w:val="24"/>
        </w:rPr>
        <w:t>方式：在线获取</w:t>
      </w:r>
    </w:p>
    <w:p w14:paraId="23C09C7C">
      <w:pPr>
        <w:pStyle w:val="38"/>
        <w:spacing w:line="360" w:lineRule="auto"/>
        <w:rPr>
          <w:rFonts w:hint="eastAsia" w:ascii="宋体" w:hAnsi="宋体" w:eastAsia="宋体" w:cs="宋体"/>
          <w:sz w:val="24"/>
          <w:szCs w:val="24"/>
        </w:rPr>
      </w:pPr>
      <w:r>
        <w:rPr>
          <w:rFonts w:hint="eastAsia" w:ascii="宋体" w:hAnsi="宋体" w:eastAsia="宋体" w:cs="宋体"/>
          <w:sz w:val="24"/>
          <w:szCs w:val="24"/>
        </w:rPr>
        <w:t>售价： 0元</w:t>
      </w:r>
    </w:p>
    <w:p w14:paraId="0596A39D">
      <w:pPr>
        <w:pStyle w:val="38"/>
        <w:spacing w:line="360" w:lineRule="auto"/>
        <w:outlineLvl w:val="3"/>
        <w:rPr>
          <w:rFonts w:hint="eastAsia" w:ascii="宋体" w:hAnsi="宋体" w:eastAsia="宋体" w:cs="宋体"/>
          <w:sz w:val="24"/>
          <w:szCs w:val="24"/>
        </w:rPr>
      </w:pPr>
      <w:r>
        <w:rPr>
          <w:rFonts w:hint="eastAsia" w:ascii="宋体" w:hAnsi="宋体" w:eastAsia="宋体" w:cs="宋体"/>
          <w:b/>
          <w:sz w:val="24"/>
          <w:szCs w:val="24"/>
        </w:rPr>
        <w:t>四、响应文件提交</w:t>
      </w:r>
    </w:p>
    <w:p w14:paraId="4543F174">
      <w:pPr>
        <w:pStyle w:val="38"/>
        <w:spacing w:line="360" w:lineRule="auto"/>
        <w:rPr>
          <w:rFonts w:hint="eastAsia" w:ascii="宋体" w:hAnsi="宋体" w:eastAsia="宋体" w:cs="宋体"/>
          <w:sz w:val="24"/>
          <w:szCs w:val="24"/>
        </w:rPr>
      </w:pPr>
      <w:r>
        <w:rPr>
          <w:rFonts w:hint="eastAsia" w:ascii="宋体" w:hAnsi="宋体" w:eastAsia="宋体" w:cs="宋体"/>
          <w:sz w:val="24"/>
          <w:szCs w:val="24"/>
        </w:rPr>
        <w:t>截止时间： 2025年10月23日 14时00分00秒 （北京时间）</w:t>
      </w:r>
    </w:p>
    <w:p w14:paraId="7D84718D">
      <w:pPr>
        <w:pStyle w:val="38"/>
        <w:spacing w:line="360" w:lineRule="auto"/>
        <w:rPr>
          <w:rFonts w:hint="eastAsia" w:ascii="宋体" w:hAnsi="宋体" w:eastAsia="宋体" w:cs="宋体"/>
          <w:sz w:val="24"/>
          <w:szCs w:val="24"/>
        </w:rPr>
      </w:pPr>
      <w:r>
        <w:rPr>
          <w:rFonts w:hint="eastAsia" w:ascii="宋体" w:hAnsi="宋体" w:eastAsia="宋体" w:cs="宋体"/>
          <w:sz w:val="24"/>
          <w:szCs w:val="24"/>
        </w:rPr>
        <w:t>地点：全国公共资源交易平台（陕西省·安康市）-不见面开标系统</w:t>
      </w:r>
    </w:p>
    <w:p w14:paraId="71F23AC4">
      <w:pPr>
        <w:pStyle w:val="38"/>
        <w:spacing w:line="360" w:lineRule="auto"/>
        <w:outlineLvl w:val="3"/>
        <w:rPr>
          <w:rFonts w:hint="eastAsia" w:ascii="宋体" w:hAnsi="宋体" w:eastAsia="宋体" w:cs="宋体"/>
          <w:sz w:val="24"/>
          <w:szCs w:val="24"/>
        </w:rPr>
      </w:pPr>
      <w:r>
        <w:rPr>
          <w:rFonts w:hint="eastAsia" w:ascii="宋体" w:hAnsi="宋体" w:eastAsia="宋体" w:cs="宋体"/>
          <w:b/>
          <w:sz w:val="24"/>
          <w:szCs w:val="24"/>
        </w:rPr>
        <w:t>五、开启</w:t>
      </w:r>
    </w:p>
    <w:p w14:paraId="1F4CDF12">
      <w:pPr>
        <w:pStyle w:val="38"/>
        <w:spacing w:line="360" w:lineRule="auto"/>
        <w:rPr>
          <w:rFonts w:hint="eastAsia" w:ascii="宋体" w:hAnsi="宋体" w:eastAsia="宋体" w:cs="宋体"/>
          <w:sz w:val="24"/>
          <w:szCs w:val="24"/>
        </w:rPr>
      </w:pPr>
      <w:r>
        <w:rPr>
          <w:rFonts w:hint="eastAsia" w:ascii="宋体" w:hAnsi="宋体" w:eastAsia="宋体" w:cs="宋体"/>
          <w:sz w:val="24"/>
          <w:szCs w:val="24"/>
        </w:rPr>
        <w:t>时间： 2025年10月23日 14时00分00秒 （北京时间）</w:t>
      </w:r>
    </w:p>
    <w:p w14:paraId="39A05EDC">
      <w:pPr>
        <w:pStyle w:val="38"/>
        <w:spacing w:line="360" w:lineRule="auto"/>
        <w:rPr>
          <w:rFonts w:hint="eastAsia" w:ascii="宋体" w:hAnsi="宋体" w:eastAsia="宋体" w:cs="宋体"/>
          <w:sz w:val="24"/>
          <w:szCs w:val="24"/>
        </w:rPr>
      </w:pPr>
      <w:r>
        <w:rPr>
          <w:rFonts w:hint="eastAsia" w:ascii="宋体" w:hAnsi="宋体" w:eastAsia="宋体" w:cs="宋体"/>
          <w:sz w:val="24"/>
          <w:szCs w:val="24"/>
        </w:rPr>
        <w:t>地点：全国公共资源交易平台（陕西省·安康市）-不见面开标系统</w:t>
      </w:r>
    </w:p>
    <w:p w14:paraId="6D843E85">
      <w:pPr>
        <w:pStyle w:val="38"/>
        <w:spacing w:line="360" w:lineRule="auto"/>
        <w:outlineLvl w:val="3"/>
        <w:rPr>
          <w:rFonts w:hint="eastAsia" w:ascii="宋体" w:hAnsi="宋体" w:eastAsia="宋体" w:cs="宋体"/>
          <w:sz w:val="24"/>
          <w:szCs w:val="24"/>
        </w:rPr>
      </w:pPr>
      <w:r>
        <w:rPr>
          <w:rFonts w:hint="eastAsia" w:ascii="宋体" w:hAnsi="宋体" w:eastAsia="宋体" w:cs="宋体"/>
          <w:b/>
          <w:sz w:val="24"/>
          <w:szCs w:val="24"/>
        </w:rPr>
        <w:t>六、公告期限</w:t>
      </w:r>
    </w:p>
    <w:p w14:paraId="7F9999B3">
      <w:pPr>
        <w:pStyle w:val="38"/>
        <w:spacing w:line="360" w:lineRule="auto"/>
        <w:rPr>
          <w:rFonts w:hint="eastAsia" w:ascii="宋体" w:hAnsi="宋体" w:eastAsia="宋体" w:cs="宋体"/>
          <w:sz w:val="24"/>
          <w:szCs w:val="24"/>
        </w:rPr>
      </w:pPr>
      <w:r>
        <w:rPr>
          <w:rFonts w:hint="eastAsia" w:ascii="宋体" w:hAnsi="宋体" w:eastAsia="宋体" w:cs="宋体"/>
          <w:sz w:val="24"/>
          <w:szCs w:val="24"/>
        </w:rPr>
        <w:t>自本公告发布之日起3个工作日。</w:t>
      </w:r>
    </w:p>
    <w:p w14:paraId="4CE473C4">
      <w:pPr>
        <w:pStyle w:val="38"/>
        <w:spacing w:line="360" w:lineRule="auto"/>
        <w:outlineLvl w:val="3"/>
        <w:rPr>
          <w:rFonts w:hint="eastAsia" w:ascii="宋体" w:hAnsi="宋体" w:eastAsia="宋体" w:cs="宋体"/>
          <w:sz w:val="24"/>
          <w:szCs w:val="24"/>
        </w:rPr>
      </w:pPr>
      <w:r>
        <w:rPr>
          <w:rFonts w:hint="eastAsia" w:ascii="宋体" w:hAnsi="宋体" w:eastAsia="宋体" w:cs="宋体"/>
          <w:b/>
          <w:sz w:val="24"/>
          <w:szCs w:val="24"/>
        </w:rPr>
        <w:t>七、其他补充事宜</w:t>
      </w:r>
    </w:p>
    <w:p w14:paraId="51C29B19">
      <w:pPr>
        <w:pStyle w:val="38"/>
        <w:spacing w:line="360" w:lineRule="auto"/>
        <w:rPr>
          <w:rFonts w:hint="eastAsia" w:ascii="宋体" w:hAnsi="宋体" w:eastAsia="宋体" w:cs="宋体"/>
          <w:sz w:val="24"/>
          <w:szCs w:val="24"/>
        </w:rPr>
      </w:pPr>
      <w:r>
        <w:rPr>
          <w:rFonts w:hint="eastAsia" w:ascii="宋体" w:hAnsi="宋体" w:eastAsia="宋体" w:cs="宋体"/>
          <w:sz w:val="24"/>
          <w:szCs w:val="24"/>
          <w:shd w:val="clear" w:fill="FFFFFF"/>
        </w:rPr>
        <w:t>本项目为专门面向中小企业采购；</w:t>
      </w:r>
    </w:p>
    <w:p w14:paraId="03D67F3F">
      <w:pPr>
        <w:pStyle w:val="38"/>
        <w:spacing w:line="360" w:lineRule="auto"/>
        <w:jc w:val="both"/>
        <w:rPr>
          <w:rFonts w:hint="eastAsia" w:ascii="宋体" w:hAnsi="宋体" w:eastAsia="宋体" w:cs="宋体"/>
          <w:sz w:val="24"/>
          <w:szCs w:val="24"/>
        </w:rPr>
      </w:pPr>
      <w:r>
        <w:rPr>
          <w:rFonts w:hint="eastAsia" w:ascii="宋体" w:hAnsi="宋体" w:eastAsia="宋体" w:cs="宋体"/>
          <w:sz w:val="24"/>
          <w:szCs w:val="24"/>
          <w:shd w:val="clear" w:fill="FFFFFF"/>
        </w:rPr>
        <w:t>1、供应商于文件获取时间内登录全国公共资源交易平台（陕西省·安康市）系统（http://aq.sxggzyjy.cn/），选择本项目点击“我要投标”，参与投标活动；2、供应商须在获取文件时限内登录全国公共资源交易平台（陕西省·安康市）系统，直接下载磋商文件。逾期下载通道将关闭，未及时下载磋商文件将会影响后续开评标活动；3.本项目采用电子化投标方式（“不见面开标大厅”登录网址http://219.145.206.209/BidOpeningHall/bidopeninghallaction/hall/login），不提供纸质投标文件，相关操作流程详见全国公共资源交易平台（陕西省）网站[服务指南-下载专区]中的《陕西省公共资源交易中心政府采购项目投标指南》；4.电子投标文件技术支持：4009280095、4009980000；5.CA锁详询029-88860486。</w:t>
      </w:r>
    </w:p>
    <w:p w14:paraId="485EDCDB">
      <w:pPr>
        <w:pStyle w:val="38"/>
        <w:spacing w:line="360" w:lineRule="auto"/>
        <w:jc w:val="both"/>
        <w:outlineLvl w:val="3"/>
        <w:rPr>
          <w:rFonts w:hint="eastAsia" w:ascii="宋体" w:hAnsi="宋体" w:eastAsia="宋体" w:cs="宋体"/>
          <w:sz w:val="24"/>
          <w:szCs w:val="24"/>
        </w:rPr>
      </w:pPr>
      <w:r>
        <w:rPr>
          <w:rFonts w:hint="eastAsia" w:ascii="宋体" w:hAnsi="宋体" w:eastAsia="宋体" w:cs="宋体"/>
          <w:b/>
          <w:sz w:val="24"/>
          <w:szCs w:val="24"/>
        </w:rPr>
        <w:t>八、对本次招标提出询问，请按以下方式联系。</w:t>
      </w:r>
    </w:p>
    <w:p w14:paraId="39251739">
      <w:pPr>
        <w:pStyle w:val="38"/>
        <w:spacing w:line="360" w:lineRule="auto"/>
        <w:outlineLvl w:val="5"/>
        <w:rPr>
          <w:rFonts w:hint="eastAsia" w:ascii="宋体" w:hAnsi="宋体" w:eastAsia="宋体" w:cs="宋体"/>
          <w:sz w:val="24"/>
          <w:szCs w:val="24"/>
        </w:rPr>
      </w:pPr>
      <w:r>
        <w:rPr>
          <w:rFonts w:hint="eastAsia" w:ascii="宋体" w:hAnsi="宋体" w:eastAsia="宋体" w:cs="宋体"/>
          <w:b/>
          <w:sz w:val="24"/>
          <w:szCs w:val="24"/>
        </w:rPr>
        <w:t>1.采购人信息</w:t>
      </w:r>
    </w:p>
    <w:p w14:paraId="1A3A22F2">
      <w:pPr>
        <w:pStyle w:val="38"/>
        <w:spacing w:line="360" w:lineRule="auto"/>
        <w:rPr>
          <w:rFonts w:hint="eastAsia" w:ascii="宋体" w:hAnsi="宋体" w:eastAsia="宋体" w:cs="宋体"/>
          <w:sz w:val="24"/>
          <w:szCs w:val="24"/>
        </w:rPr>
      </w:pPr>
      <w:r>
        <w:rPr>
          <w:rFonts w:hint="eastAsia" w:ascii="宋体" w:hAnsi="宋体" w:eastAsia="宋体" w:cs="宋体"/>
          <w:sz w:val="24"/>
          <w:szCs w:val="24"/>
        </w:rPr>
        <w:t>名称：安康职业技术学院</w:t>
      </w:r>
    </w:p>
    <w:p w14:paraId="0BC51E70">
      <w:pPr>
        <w:pStyle w:val="38"/>
        <w:spacing w:line="360" w:lineRule="auto"/>
        <w:rPr>
          <w:rFonts w:hint="eastAsia" w:ascii="宋体" w:hAnsi="宋体" w:eastAsia="宋体" w:cs="宋体"/>
          <w:sz w:val="24"/>
          <w:szCs w:val="24"/>
        </w:rPr>
      </w:pPr>
      <w:r>
        <w:rPr>
          <w:rFonts w:hint="eastAsia" w:ascii="宋体" w:hAnsi="宋体" w:eastAsia="宋体" w:cs="宋体"/>
          <w:sz w:val="24"/>
          <w:szCs w:val="24"/>
        </w:rPr>
        <w:t>地址：安康大道2号</w:t>
      </w:r>
    </w:p>
    <w:p w14:paraId="52E966FB">
      <w:pPr>
        <w:pStyle w:val="38"/>
        <w:spacing w:line="360" w:lineRule="auto"/>
        <w:rPr>
          <w:rFonts w:hint="eastAsia" w:ascii="宋体" w:hAnsi="宋体" w:eastAsia="宋体" w:cs="宋体"/>
          <w:sz w:val="24"/>
          <w:szCs w:val="24"/>
        </w:rPr>
      </w:pPr>
      <w:r>
        <w:rPr>
          <w:rFonts w:hint="eastAsia" w:ascii="宋体" w:hAnsi="宋体" w:eastAsia="宋体" w:cs="宋体"/>
          <w:sz w:val="24"/>
          <w:szCs w:val="24"/>
        </w:rPr>
        <w:t>联系方式：13359150890</w:t>
      </w:r>
    </w:p>
    <w:p w14:paraId="67BFACA0">
      <w:pPr>
        <w:pStyle w:val="38"/>
        <w:spacing w:line="360" w:lineRule="auto"/>
        <w:outlineLvl w:val="5"/>
        <w:rPr>
          <w:rFonts w:hint="eastAsia" w:ascii="宋体" w:hAnsi="宋体" w:eastAsia="宋体" w:cs="宋体"/>
          <w:sz w:val="24"/>
          <w:szCs w:val="24"/>
        </w:rPr>
      </w:pPr>
      <w:r>
        <w:rPr>
          <w:rFonts w:hint="eastAsia" w:ascii="宋体" w:hAnsi="宋体" w:eastAsia="宋体" w:cs="宋体"/>
          <w:b/>
          <w:sz w:val="24"/>
          <w:szCs w:val="24"/>
        </w:rPr>
        <w:t>2.采购代理机构信息</w:t>
      </w:r>
    </w:p>
    <w:p w14:paraId="15A4BD3E">
      <w:pPr>
        <w:pStyle w:val="38"/>
        <w:spacing w:line="360" w:lineRule="auto"/>
        <w:rPr>
          <w:rFonts w:hint="eastAsia" w:ascii="宋体" w:hAnsi="宋体" w:eastAsia="宋体" w:cs="宋体"/>
          <w:sz w:val="24"/>
          <w:szCs w:val="24"/>
        </w:rPr>
      </w:pPr>
      <w:r>
        <w:rPr>
          <w:rFonts w:hint="eastAsia" w:ascii="宋体" w:hAnsi="宋体" w:eastAsia="宋体" w:cs="宋体"/>
          <w:sz w:val="24"/>
          <w:szCs w:val="24"/>
        </w:rPr>
        <w:t>名称：陕西至诚项目管理集团有限公司</w:t>
      </w:r>
    </w:p>
    <w:p w14:paraId="563CE34B">
      <w:pPr>
        <w:pStyle w:val="38"/>
        <w:spacing w:line="360" w:lineRule="auto"/>
        <w:rPr>
          <w:rFonts w:hint="eastAsia" w:ascii="宋体" w:hAnsi="宋体" w:eastAsia="宋体" w:cs="宋体"/>
          <w:sz w:val="24"/>
          <w:szCs w:val="24"/>
        </w:rPr>
      </w:pPr>
      <w:r>
        <w:rPr>
          <w:rFonts w:hint="eastAsia" w:ascii="宋体" w:hAnsi="宋体" w:eastAsia="宋体" w:cs="宋体"/>
          <w:sz w:val="24"/>
          <w:szCs w:val="24"/>
        </w:rPr>
        <w:t>地址：陕西省西安市经济技术开发区未央路171-1号银池道拉斯财富中心21楼03室</w:t>
      </w:r>
    </w:p>
    <w:p w14:paraId="1030E35E">
      <w:pPr>
        <w:pStyle w:val="38"/>
        <w:spacing w:line="360" w:lineRule="auto"/>
        <w:rPr>
          <w:rFonts w:hint="eastAsia" w:ascii="宋体" w:hAnsi="宋体" w:eastAsia="宋体" w:cs="宋体"/>
          <w:sz w:val="24"/>
          <w:szCs w:val="24"/>
        </w:rPr>
      </w:pPr>
      <w:r>
        <w:rPr>
          <w:rFonts w:hint="eastAsia" w:ascii="宋体" w:hAnsi="宋体" w:eastAsia="宋体" w:cs="宋体"/>
          <w:sz w:val="24"/>
          <w:szCs w:val="24"/>
        </w:rPr>
        <w:t>联系方式：029-88219779</w:t>
      </w:r>
    </w:p>
    <w:p w14:paraId="6512C0AD">
      <w:pPr>
        <w:pStyle w:val="38"/>
        <w:spacing w:line="360" w:lineRule="auto"/>
        <w:outlineLvl w:val="5"/>
        <w:rPr>
          <w:rFonts w:hint="eastAsia" w:ascii="宋体" w:hAnsi="宋体" w:eastAsia="宋体" w:cs="宋体"/>
          <w:sz w:val="24"/>
          <w:szCs w:val="24"/>
        </w:rPr>
      </w:pPr>
      <w:r>
        <w:rPr>
          <w:rFonts w:hint="eastAsia" w:ascii="宋体" w:hAnsi="宋体" w:eastAsia="宋体" w:cs="宋体"/>
          <w:b/>
          <w:sz w:val="24"/>
          <w:szCs w:val="24"/>
        </w:rPr>
        <w:t>3.项目联系方式</w:t>
      </w:r>
    </w:p>
    <w:p w14:paraId="1ED28554">
      <w:pPr>
        <w:pStyle w:val="38"/>
        <w:spacing w:line="360" w:lineRule="auto"/>
        <w:rPr>
          <w:rFonts w:hint="eastAsia" w:ascii="宋体" w:hAnsi="宋体" w:eastAsia="宋体" w:cs="宋体"/>
          <w:sz w:val="24"/>
          <w:szCs w:val="24"/>
        </w:rPr>
      </w:pPr>
      <w:r>
        <w:rPr>
          <w:rFonts w:hint="eastAsia" w:ascii="宋体" w:hAnsi="宋体" w:eastAsia="宋体" w:cs="宋体"/>
          <w:sz w:val="24"/>
          <w:szCs w:val="24"/>
        </w:rPr>
        <w:t>项目联系人：孙洋、康乐、常瑛</w:t>
      </w:r>
    </w:p>
    <w:p w14:paraId="7637EAB1">
      <w:pPr>
        <w:pStyle w:val="38"/>
        <w:spacing w:line="360" w:lineRule="auto"/>
        <w:rPr>
          <w:rFonts w:hint="eastAsia" w:ascii="宋体" w:hAnsi="宋体" w:eastAsia="宋体" w:cs="宋体"/>
          <w:sz w:val="24"/>
          <w:szCs w:val="24"/>
        </w:rPr>
      </w:pPr>
      <w:r>
        <w:rPr>
          <w:rFonts w:hint="eastAsia" w:ascii="宋体" w:hAnsi="宋体" w:eastAsia="宋体" w:cs="宋体"/>
          <w:sz w:val="24"/>
          <w:szCs w:val="24"/>
        </w:rPr>
        <w:t>电话：029-88219779</w:t>
      </w:r>
    </w:p>
    <w:p w14:paraId="0D9E8A78">
      <w:pPr>
        <w:pStyle w:val="38"/>
        <w:spacing w:line="360" w:lineRule="auto"/>
        <w:jc w:val="right"/>
        <w:rPr>
          <w:rFonts w:hint="eastAsia" w:ascii="宋体" w:hAnsi="宋体" w:eastAsia="宋体" w:cs="宋体"/>
          <w:sz w:val="24"/>
          <w:szCs w:val="24"/>
        </w:rPr>
      </w:pPr>
      <w:r>
        <w:rPr>
          <w:rFonts w:hint="eastAsia" w:ascii="宋体" w:hAnsi="宋体" w:eastAsia="宋体" w:cs="宋体"/>
          <w:sz w:val="24"/>
          <w:szCs w:val="24"/>
        </w:rPr>
        <w:t>陕西至诚项目管理集团有限公司</w:t>
      </w:r>
    </w:p>
    <w:p w14:paraId="4631CF07">
      <w:pPr>
        <w:jc w:val="right"/>
        <w:rPr>
          <w:rFonts w:hint="eastAsia" w:ascii="宋体" w:hAnsi="宋体" w:eastAsia="宋体" w:cs="宋体"/>
          <w:color w:val="auto"/>
          <w:highlight w:val="none"/>
        </w:rPr>
      </w:pPr>
      <w:r>
        <w:rPr>
          <w:rFonts w:hint="eastAsia" w:ascii="宋体" w:hAnsi="宋体" w:eastAsia="宋体" w:cs="宋体"/>
          <w:sz w:val="24"/>
          <w:szCs w:val="24"/>
          <w:lang w:val="en-US" w:eastAsia="zh-CN"/>
        </w:rPr>
        <w:t>2025年10月9日</w:t>
      </w:r>
      <w:r>
        <w:rPr>
          <w:rFonts w:hint="eastAsia" w:ascii="宋体" w:hAnsi="宋体" w:eastAsia="宋体" w:cs="宋体"/>
          <w:color w:val="auto"/>
          <w:highlight w:val="none"/>
        </w:rPr>
        <w:br w:type="page"/>
      </w:r>
    </w:p>
    <w:p w14:paraId="6CC43E6C">
      <w:pPr>
        <w:spacing w:line="348" w:lineRule="auto"/>
        <w:ind w:right="119"/>
        <w:jc w:val="center"/>
        <w:outlineLvl w:val="0"/>
        <w:rPr>
          <w:rFonts w:hint="eastAsia" w:ascii="宋体" w:hAnsi="宋体" w:eastAsia="宋体" w:cs="宋体"/>
          <w:bCs/>
          <w:color w:val="auto"/>
          <w:sz w:val="36"/>
          <w:szCs w:val="36"/>
          <w:highlight w:val="none"/>
        </w:rPr>
      </w:pPr>
      <w:bookmarkStart w:id="19" w:name="_Toc3334"/>
      <w:bookmarkStart w:id="20" w:name="_Toc7526"/>
      <w:r>
        <w:rPr>
          <w:rFonts w:hint="eastAsia" w:ascii="宋体" w:hAnsi="宋体" w:eastAsia="宋体" w:cs="宋体"/>
          <w:b/>
          <w:bCs/>
          <w:color w:val="auto"/>
          <w:kern w:val="2"/>
          <w:sz w:val="36"/>
          <w:szCs w:val="36"/>
          <w:highlight w:val="none"/>
        </w:rPr>
        <w:t xml:space="preserve">第二章  </w:t>
      </w:r>
      <w:bookmarkEnd w:id="15"/>
      <w:bookmarkEnd w:id="16"/>
      <w:bookmarkStart w:id="21" w:name="OLE_LINK3"/>
      <w:r>
        <w:rPr>
          <w:rFonts w:hint="eastAsia" w:ascii="宋体" w:hAnsi="宋体" w:eastAsia="宋体" w:cs="宋体"/>
          <w:b/>
          <w:bCs/>
          <w:color w:val="auto"/>
          <w:kern w:val="2"/>
          <w:sz w:val="36"/>
          <w:szCs w:val="36"/>
          <w:highlight w:val="none"/>
        </w:rPr>
        <w:t>供应商须知</w:t>
      </w:r>
      <w:bookmarkEnd w:id="17"/>
      <w:bookmarkEnd w:id="18"/>
      <w:bookmarkEnd w:id="19"/>
      <w:bookmarkEnd w:id="20"/>
      <w:bookmarkEnd w:id="21"/>
    </w:p>
    <w:p w14:paraId="0EDC6A67">
      <w:pPr>
        <w:spacing w:line="440" w:lineRule="exact"/>
        <w:jc w:val="center"/>
        <w:outlineLvl w:val="1"/>
        <w:rPr>
          <w:rFonts w:hint="eastAsia" w:ascii="宋体" w:hAnsi="宋体" w:eastAsia="宋体" w:cs="宋体"/>
          <w:b/>
          <w:bCs/>
          <w:color w:val="auto"/>
          <w:sz w:val="32"/>
          <w:szCs w:val="32"/>
          <w:highlight w:val="none"/>
        </w:rPr>
      </w:pPr>
      <w:bookmarkStart w:id="22" w:name="_Toc11936"/>
      <w:bookmarkStart w:id="23" w:name="_Toc16830"/>
      <w:bookmarkStart w:id="24" w:name="_Toc8846"/>
      <w:r>
        <w:rPr>
          <w:rFonts w:hint="eastAsia" w:ascii="宋体" w:hAnsi="宋体" w:eastAsia="宋体" w:cs="宋体"/>
          <w:b/>
          <w:bCs/>
          <w:color w:val="auto"/>
          <w:sz w:val="32"/>
          <w:szCs w:val="32"/>
          <w:highlight w:val="none"/>
        </w:rPr>
        <w:t>供应商须知前附表</w:t>
      </w:r>
      <w:bookmarkEnd w:id="22"/>
      <w:bookmarkEnd w:id="23"/>
      <w:bookmarkEnd w:id="24"/>
    </w:p>
    <w:p w14:paraId="7A5DB000">
      <w:pPr>
        <w:spacing w:line="44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本表是对供应商须知的具体补充和修改，如有矛盾，应以本资料表为准。</w:t>
      </w:r>
    </w:p>
    <w:tbl>
      <w:tblPr>
        <w:tblStyle w:val="21"/>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592"/>
        <w:gridCol w:w="951"/>
        <w:gridCol w:w="7354"/>
      </w:tblGrid>
      <w:tr w14:paraId="2AF5FE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4" w:hRule="atLeast"/>
          <w:jc w:val="center"/>
        </w:trPr>
        <w:tc>
          <w:tcPr>
            <w:tcW w:w="592" w:type="dxa"/>
            <w:noWrap w:val="0"/>
            <w:vAlign w:val="top"/>
          </w:tcPr>
          <w:p w14:paraId="16900E81">
            <w:pPr>
              <w:spacing w:before="156" w:beforeLines="50" w:line="360" w:lineRule="auto"/>
              <w:jc w:val="center"/>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序号</w:t>
            </w:r>
          </w:p>
        </w:tc>
        <w:tc>
          <w:tcPr>
            <w:tcW w:w="951" w:type="dxa"/>
            <w:noWrap w:val="0"/>
            <w:vAlign w:val="center"/>
          </w:tcPr>
          <w:p w14:paraId="1527F5C4">
            <w:pPr>
              <w:spacing w:before="156" w:beforeLines="50" w:line="360" w:lineRule="auto"/>
              <w:jc w:val="center"/>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条款号</w:t>
            </w:r>
          </w:p>
        </w:tc>
        <w:tc>
          <w:tcPr>
            <w:tcW w:w="7354" w:type="dxa"/>
            <w:noWrap w:val="0"/>
            <w:vAlign w:val="top"/>
          </w:tcPr>
          <w:p w14:paraId="7D9CAD5F">
            <w:pPr>
              <w:spacing w:before="156" w:beforeLines="50" w:line="360" w:lineRule="auto"/>
              <w:jc w:val="center"/>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 xml:space="preserve">编 列 内 容 </w:t>
            </w:r>
          </w:p>
        </w:tc>
      </w:tr>
      <w:tr w14:paraId="3D1154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592" w:type="dxa"/>
            <w:noWrap w:val="0"/>
            <w:vAlign w:val="center"/>
          </w:tcPr>
          <w:p w14:paraId="2947DA92">
            <w:pPr>
              <w:spacing w:line="360"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1</w:t>
            </w:r>
          </w:p>
        </w:tc>
        <w:tc>
          <w:tcPr>
            <w:tcW w:w="951" w:type="dxa"/>
            <w:noWrap w:val="0"/>
            <w:vAlign w:val="center"/>
          </w:tcPr>
          <w:p w14:paraId="3F18D2B9">
            <w:pPr>
              <w:spacing w:line="360"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2.3</w:t>
            </w:r>
          </w:p>
        </w:tc>
        <w:tc>
          <w:tcPr>
            <w:tcW w:w="7354" w:type="dxa"/>
            <w:noWrap w:val="0"/>
            <w:vAlign w:val="top"/>
          </w:tcPr>
          <w:p w14:paraId="368D66C5">
            <w:pPr>
              <w:spacing w:line="360" w:lineRule="auto"/>
              <w:rPr>
                <w:rFonts w:hint="eastAsia" w:hAnsi="宋体" w:eastAsia="宋体" w:cs="宋体"/>
                <w:color w:val="auto"/>
                <w:szCs w:val="24"/>
                <w:highlight w:val="none"/>
                <w:lang w:eastAsia="zh-CN"/>
              </w:rPr>
            </w:pPr>
            <w:r>
              <w:rPr>
                <w:rFonts w:hint="eastAsia" w:hAnsi="宋体" w:cs="宋体"/>
                <w:color w:val="auto"/>
                <w:szCs w:val="24"/>
                <w:highlight w:val="none"/>
              </w:rPr>
              <w:t>采购代理机构：</w:t>
            </w:r>
            <w:r>
              <w:rPr>
                <w:rFonts w:hint="eastAsia" w:hAnsi="宋体" w:cs="宋体"/>
                <w:color w:val="auto"/>
                <w:szCs w:val="24"/>
                <w:highlight w:val="none"/>
                <w:lang w:eastAsia="zh-CN"/>
              </w:rPr>
              <w:t>陕西至诚项目管理集团有限公司</w:t>
            </w:r>
          </w:p>
          <w:p w14:paraId="23BAD2F4">
            <w:pPr>
              <w:spacing w:line="360" w:lineRule="auto"/>
              <w:rPr>
                <w:rFonts w:hint="eastAsia" w:hAnsi="宋体" w:eastAsia="宋体" w:cs="宋体"/>
                <w:color w:val="auto"/>
                <w:szCs w:val="24"/>
                <w:highlight w:val="none"/>
                <w:lang w:eastAsia="zh-CN"/>
              </w:rPr>
            </w:pPr>
            <w:r>
              <w:rPr>
                <w:rFonts w:hint="eastAsia" w:hAnsi="宋体" w:cs="宋体"/>
                <w:color w:val="auto"/>
                <w:szCs w:val="24"/>
                <w:highlight w:val="none"/>
              </w:rPr>
              <w:t>地        址：</w:t>
            </w:r>
            <w:r>
              <w:rPr>
                <w:rFonts w:hint="eastAsia" w:hAnsi="宋体" w:cs="宋体"/>
                <w:color w:val="auto"/>
                <w:szCs w:val="24"/>
                <w:highlight w:val="none"/>
                <w:lang w:eastAsia="zh-CN"/>
              </w:rPr>
              <w:t>陕西省西安市经济技术开发区未央路171-1号银池道拉斯财富中心21楼03室</w:t>
            </w:r>
          </w:p>
          <w:p w14:paraId="22E5B18E">
            <w:pPr>
              <w:spacing w:line="360" w:lineRule="auto"/>
              <w:rPr>
                <w:rFonts w:hint="eastAsia" w:hAnsi="宋体" w:eastAsia="宋体" w:cs="宋体"/>
                <w:color w:val="auto"/>
                <w:szCs w:val="24"/>
                <w:highlight w:val="none"/>
                <w:lang w:val="en-US" w:eastAsia="zh-CN"/>
              </w:rPr>
            </w:pPr>
            <w:r>
              <w:rPr>
                <w:rFonts w:hint="eastAsia" w:hAnsi="宋体" w:cs="宋体"/>
                <w:color w:val="auto"/>
                <w:szCs w:val="24"/>
                <w:highlight w:val="none"/>
              </w:rPr>
              <w:t>邮        编：</w:t>
            </w:r>
            <w:r>
              <w:rPr>
                <w:rFonts w:hint="eastAsia" w:hAnsi="宋体" w:cs="宋体"/>
                <w:color w:val="auto"/>
                <w:szCs w:val="24"/>
                <w:highlight w:val="none"/>
                <w:lang w:eastAsia="zh-CN"/>
              </w:rPr>
              <w:t>710000</w:t>
            </w:r>
          </w:p>
          <w:p w14:paraId="0543F5C6">
            <w:pPr>
              <w:spacing w:line="360" w:lineRule="auto"/>
              <w:rPr>
                <w:rFonts w:hint="eastAsia" w:hAnsi="宋体" w:eastAsia="宋体" w:cs="宋体"/>
                <w:color w:val="auto"/>
                <w:szCs w:val="24"/>
                <w:highlight w:val="none"/>
                <w:lang w:eastAsia="zh-CN"/>
              </w:rPr>
            </w:pPr>
            <w:r>
              <w:rPr>
                <w:rFonts w:hint="eastAsia" w:hAnsi="宋体" w:cs="宋体"/>
                <w:color w:val="auto"/>
                <w:szCs w:val="24"/>
                <w:highlight w:val="none"/>
              </w:rPr>
              <w:t>电        话：</w:t>
            </w:r>
            <w:r>
              <w:rPr>
                <w:rFonts w:hint="eastAsia" w:hAnsi="宋体" w:cs="宋体"/>
                <w:color w:val="auto"/>
                <w:szCs w:val="24"/>
                <w:highlight w:val="none"/>
                <w:lang w:eastAsia="zh-CN"/>
              </w:rPr>
              <w:t>029-88219779</w:t>
            </w:r>
          </w:p>
          <w:p w14:paraId="78DA100B">
            <w:pPr>
              <w:spacing w:line="360" w:lineRule="auto"/>
              <w:rPr>
                <w:rFonts w:hint="eastAsia" w:ascii="宋体" w:hAnsi="宋体" w:eastAsia="宋体" w:cs="宋体"/>
                <w:color w:val="auto"/>
                <w:sz w:val="24"/>
                <w:szCs w:val="24"/>
                <w:highlight w:val="none"/>
                <w:lang w:val="en-US" w:eastAsia="zh-CN" w:bidi="ar-SA"/>
              </w:rPr>
            </w:pPr>
            <w:r>
              <w:rPr>
                <w:rFonts w:hint="eastAsia" w:hAnsi="宋体" w:cs="宋体"/>
                <w:color w:val="auto"/>
                <w:szCs w:val="24"/>
                <w:highlight w:val="none"/>
              </w:rPr>
              <w:t>邮        箱：</w:t>
            </w:r>
            <w:r>
              <w:rPr>
                <w:rFonts w:hint="eastAsia" w:hAnsi="宋体" w:cs="宋体"/>
                <w:color w:val="auto"/>
                <w:szCs w:val="24"/>
                <w:highlight w:val="none"/>
                <w:lang w:eastAsia="zh-CN"/>
              </w:rPr>
              <w:t>SXZCXMGLJT@163.com</w:t>
            </w:r>
          </w:p>
        </w:tc>
      </w:tr>
      <w:tr w14:paraId="564DC4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77" w:hRule="atLeast"/>
          <w:jc w:val="center"/>
        </w:trPr>
        <w:tc>
          <w:tcPr>
            <w:tcW w:w="592" w:type="dxa"/>
            <w:noWrap w:val="0"/>
            <w:vAlign w:val="center"/>
          </w:tcPr>
          <w:p w14:paraId="7F657592">
            <w:pPr>
              <w:spacing w:line="360"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2</w:t>
            </w:r>
          </w:p>
        </w:tc>
        <w:tc>
          <w:tcPr>
            <w:tcW w:w="951" w:type="dxa"/>
            <w:noWrap w:val="0"/>
            <w:vAlign w:val="center"/>
          </w:tcPr>
          <w:p w14:paraId="2EB55458">
            <w:pPr>
              <w:spacing w:line="360"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3.6</w:t>
            </w:r>
          </w:p>
        </w:tc>
        <w:tc>
          <w:tcPr>
            <w:tcW w:w="7354" w:type="dxa"/>
            <w:noWrap w:val="0"/>
            <w:vAlign w:val="center"/>
          </w:tcPr>
          <w:p w14:paraId="4E71D833">
            <w:pPr>
              <w:spacing w:line="360" w:lineRule="auto"/>
              <w:rPr>
                <w:rFonts w:hint="eastAsia" w:ascii="宋体" w:hAnsi="宋体" w:cs="宋体"/>
                <w:color w:val="auto"/>
                <w:sz w:val="24"/>
                <w:szCs w:val="24"/>
                <w:highlight w:val="none"/>
                <w:lang w:val="en-US" w:eastAsia="zh-CN" w:bidi="ar-SA"/>
              </w:rPr>
            </w:pPr>
            <w:r>
              <w:rPr>
                <w:rFonts w:hint="eastAsia" w:hAnsi="宋体" w:cs="宋体"/>
                <w:color w:val="auto"/>
                <w:szCs w:val="24"/>
                <w:highlight w:val="none"/>
              </w:rPr>
              <w:t>本项目不接受联合体磋商。</w:t>
            </w:r>
          </w:p>
        </w:tc>
      </w:tr>
      <w:tr w14:paraId="0BAAE4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71" w:hRule="atLeast"/>
          <w:jc w:val="center"/>
        </w:trPr>
        <w:tc>
          <w:tcPr>
            <w:tcW w:w="592" w:type="dxa"/>
            <w:noWrap w:val="0"/>
            <w:vAlign w:val="center"/>
          </w:tcPr>
          <w:p w14:paraId="26102686">
            <w:pPr>
              <w:spacing w:line="360"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3</w:t>
            </w:r>
          </w:p>
        </w:tc>
        <w:tc>
          <w:tcPr>
            <w:tcW w:w="951" w:type="dxa"/>
            <w:noWrap w:val="0"/>
            <w:vAlign w:val="center"/>
          </w:tcPr>
          <w:p w14:paraId="419A13AA">
            <w:pPr>
              <w:spacing w:line="360"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9.2</w:t>
            </w:r>
          </w:p>
        </w:tc>
        <w:tc>
          <w:tcPr>
            <w:tcW w:w="7354" w:type="dxa"/>
            <w:noWrap w:val="0"/>
            <w:vAlign w:val="center"/>
          </w:tcPr>
          <w:p w14:paraId="0BB822B5">
            <w:pPr>
              <w:spacing w:line="360" w:lineRule="auto"/>
              <w:rPr>
                <w:rFonts w:hint="eastAsia" w:ascii="宋体" w:hAnsi="宋体" w:cs="宋体"/>
                <w:color w:val="auto"/>
                <w:sz w:val="24"/>
                <w:szCs w:val="24"/>
                <w:highlight w:val="none"/>
                <w:lang w:val="en-US" w:eastAsia="zh-CN" w:bidi="ar-SA"/>
              </w:rPr>
            </w:pPr>
            <w:r>
              <w:rPr>
                <w:rFonts w:hint="eastAsia" w:hAnsi="宋体" w:cs="宋体"/>
                <w:color w:val="auto"/>
                <w:szCs w:val="24"/>
                <w:highlight w:val="none"/>
              </w:rPr>
              <w:t>不允许提供备选方案。</w:t>
            </w:r>
          </w:p>
        </w:tc>
      </w:tr>
      <w:tr w14:paraId="3635D4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401" w:hRule="atLeast"/>
          <w:jc w:val="center"/>
        </w:trPr>
        <w:tc>
          <w:tcPr>
            <w:tcW w:w="592" w:type="dxa"/>
            <w:noWrap w:val="0"/>
            <w:vAlign w:val="center"/>
          </w:tcPr>
          <w:p w14:paraId="1E63F2D9">
            <w:pPr>
              <w:spacing w:line="360"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4</w:t>
            </w:r>
          </w:p>
        </w:tc>
        <w:tc>
          <w:tcPr>
            <w:tcW w:w="951" w:type="dxa"/>
            <w:noWrap w:val="0"/>
            <w:vAlign w:val="center"/>
          </w:tcPr>
          <w:p w14:paraId="216AD25D">
            <w:pPr>
              <w:spacing w:line="360"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9.3</w:t>
            </w:r>
          </w:p>
        </w:tc>
        <w:tc>
          <w:tcPr>
            <w:tcW w:w="7354" w:type="dxa"/>
            <w:noWrap w:val="0"/>
            <w:vAlign w:val="center"/>
          </w:tcPr>
          <w:p w14:paraId="580CE1B2">
            <w:pPr>
              <w:spacing w:line="360" w:lineRule="auto"/>
              <w:ind w:firstLine="480" w:firstLineChars="0"/>
              <w:rPr>
                <w:rFonts w:hint="eastAsia" w:ascii="宋体" w:hAnsi="宋体" w:cs="宋体"/>
                <w:color w:val="auto"/>
                <w:sz w:val="24"/>
                <w:szCs w:val="24"/>
                <w:highlight w:val="none"/>
                <w:lang w:val="en-US" w:eastAsia="zh-CN" w:bidi="ar-SA"/>
              </w:rPr>
            </w:pPr>
            <w:r>
              <w:rPr>
                <w:rFonts w:hint="eastAsia" w:hAnsi="宋体" w:cs="宋体"/>
                <w:color w:val="auto"/>
                <w:szCs w:val="24"/>
                <w:highlight w:val="none"/>
              </w:rPr>
              <w:t>本次磋商的最小单元为“</w:t>
            </w:r>
            <w:r>
              <w:rPr>
                <w:rFonts w:hint="eastAsia" w:hAnsi="宋体" w:cs="宋体"/>
                <w:color w:val="auto"/>
                <w:szCs w:val="24"/>
                <w:highlight w:val="none"/>
                <w:lang w:val="en-US" w:eastAsia="zh-CN"/>
              </w:rPr>
              <w:t>项目</w:t>
            </w:r>
            <w:r>
              <w:rPr>
                <w:rFonts w:hint="eastAsia" w:hAnsi="宋体" w:cs="宋体"/>
                <w:color w:val="auto"/>
                <w:szCs w:val="24"/>
                <w:highlight w:val="none"/>
              </w:rPr>
              <w:t>”，供应商可根据自身的资质情况和经营范围对本次项目进行磋商，不得将其子目再行分解或只对本次项目中的品目进行不完全磋商，任何不完全的响应将会被拒绝。</w:t>
            </w:r>
          </w:p>
        </w:tc>
      </w:tr>
      <w:tr w14:paraId="635970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592" w:type="dxa"/>
            <w:noWrap w:val="0"/>
            <w:vAlign w:val="center"/>
          </w:tcPr>
          <w:p w14:paraId="4EE4DF71">
            <w:pPr>
              <w:spacing w:line="360" w:lineRule="auto"/>
              <w:jc w:val="center"/>
              <w:rPr>
                <w:rFonts w:hint="eastAsia" w:ascii="宋体" w:hAnsi="宋体" w:eastAsia="宋体" w:cs="宋体"/>
                <w:color w:val="auto"/>
                <w:szCs w:val="24"/>
                <w:highlight w:val="none"/>
                <w:lang w:eastAsia="zh-CN"/>
              </w:rPr>
            </w:pPr>
            <w:r>
              <w:rPr>
                <w:rFonts w:hint="eastAsia" w:hAnsi="宋体" w:eastAsia="宋体" w:cs="宋体"/>
                <w:color w:val="auto"/>
                <w:szCs w:val="24"/>
                <w:highlight w:val="none"/>
                <w:lang w:val="en-US" w:eastAsia="zh-CN"/>
              </w:rPr>
              <w:t>5</w:t>
            </w:r>
          </w:p>
        </w:tc>
        <w:tc>
          <w:tcPr>
            <w:tcW w:w="951" w:type="dxa"/>
            <w:noWrap w:val="0"/>
            <w:vAlign w:val="center"/>
          </w:tcPr>
          <w:p w14:paraId="305A2C75">
            <w:pPr>
              <w:spacing w:line="360"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11.1</w:t>
            </w:r>
          </w:p>
        </w:tc>
        <w:tc>
          <w:tcPr>
            <w:tcW w:w="7354" w:type="dxa"/>
            <w:noWrap w:val="0"/>
            <w:vAlign w:val="top"/>
          </w:tcPr>
          <w:p w14:paraId="4A6BB83B">
            <w:pPr>
              <w:spacing w:line="360" w:lineRule="auto"/>
              <w:ind w:firstLine="480" w:firstLineChars="200"/>
              <w:rPr>
                <w:rFonts w:hint="eastAsia" w:hAnsi="宋体" w:eastAsia="宋体" w:cs="宋体"/>
                <w:color w:val="auto"/>
                <w:szCs w:val="24"/>
                <w:highlight w:val="none"/>
              </w:rPr>
            </w:pPr>
            <w:r>
              <w:rPr>
                <w:rFonts w:hint="eastAsia" w:hAnsi="宋体" w:eastAsia="宋体" w:cs="宋体"/>
                <w:color w:val="auto"/>
                <w:szCs w:val="24"/>
                <w:highlight w:val="none"/>
              </w:rPr>
              <w:t>磋商报价：磋商报价是供应商为完成本项目要求的全部服务内容最终价格的体现。供应商所报的价格应考虑到可能发生的所有与完成本项目相关服务及履行合同义务有关的一切费用。</w:t>
            </w:r>
          </w:p>
          <w:p w14:paraId="63022917">
            <w:pPr>
              <w:spacing w:line="360" w:lineRule="auto"/>
              <w:ind w:firstLine="480" w:firstLineChars="0"/>
              <w:rPr>
                <w:rFonts w:hint="eastAsia" w:ascii="宋体" w:hAnsi="宋体" w:cs="宋体"/>
                <w:color w:val="auto"/>
                <w:sz w:val="24"/>
                <w:szCs w:val="24"/>
                <w:highlight w:val="none"/>
                <w:lang w:val="en-US" w:eastAsia="zh-CN" w:bidi="ar-SA"/>
              </w:rPr>
            </w:pPr>
            <w:r>
              <w:rPr>
                <w:rFonts w:hint="eastAsia" w:hAnsi="宋体" w:eastAsia="宋体" w:cs="宋体"/>
                <w:color w:val="auto"/>
                <w:szCs w:val="24"/>
                <w:highlight w:val="none"/>
              </w:rPr>
              <w:t>供应商所报的价格应考虑到可能发生的所有与完成本项目相关服务及履行合同义务有关的一切费用，任何有选择的报价将不予接受，按无效磋商处理。</w:t>
            </w:r>
          </w:p>
        </w:tc>
      </w:tr>
      <w:tr w14:paraId="651043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79" w:hRule="atLeast"/>
          <w:jc w:val="center"/>
        </w:trPr>
        <w:tc>
          <w:tcPr>
            <w:tcW w:w="592" w:type="dxa"/>
            <w:noWrap w:val="0"/>
            <w:vAlign w:val="center"/>
          </w:tcPr>
          <w:p w14:paraId="45BCF929">
            <w:pPr>
              <w:spacing w:line="360" w:lineRule="auto"/>
              <w:jc w:val="center"/>
              <w:rPr>
                <w:rFonts w:hint="eastAsia" w:ascii="宋体" w:hAnsi="宋体" w:eastAsia="宋体" w:cs="宋体"/>
                <w:color w:val="auto"/>
                <w:szCs w:val="24"/>
                <w:highlight w:val="none"/>
                <w:lang w:eastAsia="zh-CN"/>
              </w:rPr>
            </w:pPr>
            <w:r>
              <w:rPr>
                <w:rFonts w:hint="eastAsia" w:hAnsi="宋体" w:eastAsia="宋体" w:cs="宋体"/>
                <w:color w:val="auto"/>
                <w:szCs w:val="24"/>
                <w:highlight w:val="none"/>
                <w:lang w:val="en-US" w:eastAsia="zh-CN"/>
              </w:rPr>
              <w:t>6</w:t>
            </w:r>
          </w:p>
        </w:tc>
        <w:tc>
          <w:tcPr>
            <w:tcW w:w="951" w:type="dxa"/>
            <w:noWrap w:val="0"/>
            <w:vAlign w:val="center"/>
          </w:tcPr>
          <w:p w14:paraId="1BDBDEAB">
            <w:pPr>
              <w:spacing w:line="360"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12.1</w:t>
            </w:r>
          </w:p>
        </w:tc>
        <w:tc>
          <w:tcPr>
            <w:tcW w:w="7354" w:type="dxa"/>
            <w:noWrap w:val="0"/>
            <w:vAlign w:val="top"/>
          </w:tcPr>
          <w:p w14:paraId="6D50545E">
            <w:pPr>
              <w:spacing w:line="520" w:lineRule="exact"/>
              <w:rPr>
                <w:rFonts w:hint="eastAsia" w:hAnsi="宋体" w:cs="宋体"/>
                <w:b/>
                <w:bCs/>
                <w:color w:val="auto"/>
                <w:szCs w:val="24"/>
                <w:highlight w:val="none"/>
              </w:rPr>
            </w:pPr>
            <w:r>
              <w:rPr>
                <w:rFonts w:hint="eastAsia" w:hAnsi="宋体" w:cs="宋体"/>
                <w:b/>
                <w:bCs/>
                <w:color w:val="auto"/>
                <w:szCs w:val="24"/>
                <w:highlight w:val="none"/>
              </w:rPr>
              <w:t>供应商</w:t>
            </w:r>
            <w:r>
              <w:rPr>
                <w:rFonts w:hint="eastAsia" w:hAnsi="宋体" w:cs="宋体"/>
                <w:b/>
                <w:bCs/>
                <w:color w:val="auto"/>
                <w:szCs w:val="24"/>
                <w:highlight w:val="none"/>
                <w:lang w:eastAsia="zh-CN"/>
              </w:rPr>
              <w:t>特定</w:t>
            </w:r>
            <w:r>
              <w:rPr>
                <w:rFonts w:hint="eastAsia" w:hAnsi="宋体" w:cs="宋体"/>
                <w:b/>
                <w:bCs/>
                <w:color w:val="auto"/>
                <w:szCs w:val="24"/>
                <w:highlight w:val="none"/>
              </w:rPr>
              <w:t>资格要求：</w:t>
            </w:r>
          </w:p>
          <w:p w14:paraId="04687BB7">
            <w:pPr>
              <w:spacing w:line="360" w:lineRule="auto"/>
              <w:rPr>
                <w:rFonts w:hint="eastAsia" w:hAnsi="宋体" w:cs="宋体"/>
                <w:b w:val="0"/>
                <w:bCs/>
                <w:color w:val="auto"/>
                <w:szCs w:val="24"/>
                <w:highlight w:val="none"/>
              </w:rPr>
            </w:pPr>
            <w:r>
              <w:rPr>
                <w:rFonts w:hint="eastAsia" w:ascii="宋体" w:hAnsi="宋体" w:eastAsia="宋体" w:cs="宋体"/>
                <w:sz w:val="24"/>
                <w:szCs w:val="24"/>
              </w:rPr>
              <w:t>（1）提供合格有效的法人或者其他组织的营业执照等证明文件，自然人的身份证明；</w:t>
            </w:r>
            <w:r>
              <w:rPr>
                <w:rFonts w:hint="eastAsia" w:ascii="宋体" w:hAnsi="宋体" w:eastAsia="宋体" w:cs="宋体"/>
                <w:sz w:val="24"/>
                <w:szCs w:val="24"/>
              </w:rPr>
              <w:br w:type="textWrapping"/>
            </w:r>
            <w:r>
              <w:rPr>
                <w:rFonts w:hint="eastAsia" w:ascii="宋体" w:hAnsi="宋体" w:eastAsia="宋体" w:cs="宋体"/>
                <w:sz w:val="24"/>
                <w:szCs w:val="24"/>
              </w:rPr>
              <w:t>（2）提供法定代表人授权书（附法定代表人、被授权人身份证复印件），法定代表人直接参加的，须提供法定代表人身份证明及身份证复印件；</w:t>
            </w:r>
            <w:r>
              <w:rPr>
                <w:rFonts w:hint="eastAsia" w:ascii="宋体" w:hAnsi="宋体" w:eastAsia="宋体" w:cs="宋体"/>
                <w:sz w:val="24"/>
                <w:szCs w:val="24"/>
              </w:rPr>
              <w:br w:type="textWrapping"/>
            </w:r>
            <w:r>
              <w:rPr>
                <w:rFonts w:hint="eastAsia" w:ascii="宋体" w:hAnsi="宋体" w:eastAsia="宋体" w:cs="宋体"/>
                <w:sz w:val="24"/>
                <w:szCs w:val="24"/>
              </w:rPr>
              <w:t>（3）财务状况：提供2024年度经审计完整的财务审计报告，内容至少包括资产负债表、利润表、现金流量表及附注（成立时间至提交响应文件截止时间不足一年的可提供成立后任意时段的资产负债表）或磋商时间前六个月内银行出具的资信证明；</w:t>
            </w:r>
            <w:r>
              <w:rPr>
                <w:rFonts w:hint="eastAsia" w:ascii="宋体" w:hAnsi="宋体" w:eastAsia="宋体" w:cs="宋体"/>
                <w:sz w:val="24"/>
                <w:szCs w:val="24"/>
              </w:rPr>
              <w:br w:type="textWrapping"/>
            </w:r>
            <w:r>
              <w:rPr>
                <w:rFonts w:hint="eastAsia" w:ascii="宋体" w:hAnsi="宋体" w:eastAsia="宋体" w:cs="宋体"/>
                <w:sz w:val="24"/>
                <w:szCs w:val="24"/>
              </w:rPr>
              <w:t>（4）税收缴纳证明：提供磋商截止日前近一年内任意一个月的纳税证明或完税证明（任意税种），依法免税的单位应提供相关证明材料；</w:t>
            </w:r>
            <w:r>
              <w:rPr>
                <w:rFonts w:hint="eastAsia" w:ascii="宋体" w:hAnsi="宋体" w:eastAsia="宋体" w:cs="宋体"/>
                <w:sz w:val="24"/>
                <w:szCs w:val="24"/>
              </w:rPr>
              <w:br w:type="textWrapping"/>
            </w:r>
            <w:r>
              <w:rPr>
                <w:rFonts w:hint="eastAsia" w:ascii="宋体" w:hAnsi="宋体" w:eastAsia="宋体" w:cs="宋体"/>
                <w:sz w:val="24"/>
                <w:szCs w:val="24"/>
              </w:rPr>
              <w:t>（5）社会保障资金缴纳证明：提供磋商截止日前一年内已缴存的至少一个月的社会保障资金缴存单据或社保机构开具的社会保险参保缴费情况证明，依法不需要缴纳社会保障资金的单位应提供相关证明材料；</w:t>
            </w:r>
            <w:r>
              <w:rPr>
                <w:rFonts w:hint="eastAsia" w:ascii="宋体" w:hAnsi="宋体" w:eastAsia="宋体" w:cs="宋体"/>
                <w:sz w:val="24"/>
                <w:szCs w:val="24"/>
              </w:rPr>
              <w:br w:type="textWrapping"/>
            </w:r>
            <w:r>
              <w:rPr>
                <w:rFonts w:hint="eastAsia" w:ascii="宋体" w:hAnsi="宋体" w:eastAsia="宋体" w:cs="宋体"/>
                <w:sz w:val="24"/>
                <w:szCs w:val="24"/>
              </w:rPr>
              <w:t>（6）供应商通过“信用中国”网站(www.creditchina.gov.cn)、中国政府采购网(www.ccgp.gov.cn)等查询相关主体信用记录；</w:t>
            </w:r>
            <w:r>
              <w:rPr>
                <w:rFonts w:hint="eastAsia" w:ascii="宋体" w:hAnsi="宋体" w:eastAsia="宋体" w:cs="宋体"/>
                <w:sz w:val="24"/>
                <w:szCs w:val="24"/>
              </w:rPr>
              <w:br w:type="textWrapping"/>
            </w:r>
            <w:r>
              <w:rPr>
                <w:rFonts w:hint="eastAsia" w:ascii="宋体" w:hAnsi="宋体" w:eastAsia="宋体" w:cs="宋体"/>
                <w:sz w:val="24"/>
                <w:szCs w:val="24"/>
              </w:rPr>
              <w:t>（7）参加政府采购活动前3年内，在经营活动中没有重大违法记录的书面声明；</w:t>
            </w:r>
            <w:r>
              <w:rPr>
                <w:rFonts w:hint="eastAsia" w:ascii="宋体" w:hAnsi="宋体" w:eastAsia="宋体" w:cs="宋体"/>
                <w:sz w:val="24"/>
                <w:szCs w:val="24"/>
              </w:rPr>
              <w:br w:type="textWrapping"/>
            </w:r>
            <w:r>
              <w:rPr>
                <w:rFonts w:hint="eastAsia" w:ascii="宋体" w:hAnsi="宋体" w:eastAsia="宋体" w:cs="宋体"/>
                <w:sz w:val="24"/>
                <w:szCs w:val="24"/>
              </w:rPr>
              <w:t>（8）提供具有履行合同所必需的设备和专业技术能力的书面承诺；</w:t>
            </w:r>
            <w:r>
              <w:rPr>
                <w:rFonts w:hint="eastAsia" w:ascii="宋体" w:hAnsi="宋体" w:eastAsia="宋体" w:cs="宋体"/>
                <w:sz w:val="24"/>
                <w:szCs w:val="24"/>
              </w:rPr>
              <w:br w:type="textWrapping"/>
            </w:r>
            <w:r>
              <w:rPr>
                <w:rFonts w:hint="eastAsia" w:ascii="宋体" w:hAnsi="宋体" w:eastAsia="宋体" w:cs="宋体"/>
                <w:sz w:val="24"/>
                <w:szCs w:val="24"/>
              </w:rPr>
              <w:t>（9）供应商提供中小企业声明函；</w:t>
            </w:r>
            <w:r>
              <w:rPr>
                <w:rFonts w:hint="eastAsia" w:ascii="宋体" w:hAnsi="宋体" w:eastAsia="宋体" w:cs="宋体"/>
                <w:sz w:val="24"/>
                <w:szCs w:val="24"/>
              </w:rPr>
              <w:br w:type="textWrapping"/>
            </w:r>
            <w:r>
              <w:rPr>
                <w:rFonts w:hint="eastAsia" w:ascii="宋体" w:hAnsi="宋体" w:eastAsia="宋体" w:cs="宋体"/>
                <w:sz w:val="24"/>
                <w:szCs w:val="24"/>
              </w:rPr>
              <w:t>（10）本项目不接受联合体磋商（提供承诺书）。</w:t>
            </w:r>
          </w:p>
          <w:p w14:paraId="7E5A5733">
            <w:pPr>
              <w:spacing w:line="360" w:lineRule="auto"/>
              <w:ind w:firstLine="482" w:firstLineChars="200"/>
              <w:rPr>
                <w:rFonts w:hint="eastAsia" w:ascii="宋体" w:hAnsi="宋体" w:cs="宋体"/>
                <w:b/>
                <w:color w:val="auto"/>
                <w:sz w:val="24"/>
                <w:highlight w:val="none"/>
                <w:lang w:val="en-US" w:eastAsia="zh-CN" w:bidi="ar-SA"/>
              </w:rPr>
            </w:pPr>
            <w:r>
              <w:rPr>
                <w:rFonts w:hint="eastAsia" w:hAnsi="宋体" w:cs="宋体"/>
                <w:b/>
                <w:color w:val="auto"/>
                <w:szCs w:val="24"/>
                <w:highlight w:val="none"/>
              </w:rPr>
              <w:t>以上</w:t>
            </w:r>
            <w:r>
              <w:rPr>
                <w:rFonts w:hint="eastAsia" w:hAnsi="宋体" w:cs="宋体"/>
                <w:b/>
                <w:color w:val="auto"/>
                <w:szCs w:val="24"/>
                <w:highlight w:val="none"/>
                <w:lang w:val="en-US" w:eastAsia="zh-CN"/>
              </w:rPr>
              <w:t>1-10项</w:t>
            </w:r>
            <w:r>
              <w:rPr>
                <w:rFonts w:hint="eastAsia" w:hAnsi="宋体" w:cs="宋体"/>
                <w:b/>
                <w:color w:val="auto"/>
                <w:szCs w:val="24"/>
                <w:highlight w:val="none"/>
              </w:rPr>
              <w:t>为必备资质，</w:t>
            </w:r>
            <w:r>
              <w:rPr>
                <w:rFonts w:hint="eastAsia" w:hAnsi="宋体" w:cs="宋体"/>
                <w:b/>
                <w:color w:val="auto"/>
                <w:highlight w:val="none"/>
              </w:rPr>
              <w:t>缺一项或某项达不到要求，按无效磋商处理。</w:t>
            </w:r>
          </w:p>
        </w:tc>
      </w:tr>
      <w:tr w14:paraId="4D2F92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53" w:hRule="atLeast"/>
          <w:jc w:val="center"/>
        </w:trPr>
        <w:tc>
          <w:tcPr>
            <w:tcW w:w="592" w:type="dxa"/>
            <w:noWrap w:val="0"/>
            <w:vAlign w:val="center"/>
          </w:tcPr>
          <w:p w14:paraId="57D99340">
            <w:pPr>
              <w:spacing w:line="360" w:lineRule="auto"/>
              <w:jc w:val="center"/>
              <w:rPr>
                <w:rFonts w:hint="eastAsia" w:ascii="宋体" w:hAnsi="宋体" w:eastAsia="宋体" w:cs="宋体"/>
                <w:color w:val="auto"/>
                <w:szCs w:val="24"/>
                <w:highlight w:val="none"/>
                <w:lang w:eastAsia="zh-CN"/>
              </w:rPr>
            </w:pPr>
            <w:r>
              <w:rPr>
                <w:rFonts w:hint="eastAsia" w:hAnsi="宋体" w:eastAsia="宋体" w:cs="宋体"/>
                <w:color w:val="auto"/>
                <w:szCs w:val="24"/>
                <w:highlight w:val="none"/>
                <w:lang w:val="en-US" w:eastAsia="zh-CN"/>
              </w:rPr>
              <w:t>7</w:t>
            </w:r>
          </w:p>
        </w:tc>
        <w:tc>
          <w:tcPr>
            <w:tcW w:w="951" w:type="dxa"/>
            <w:noWrap w:val="0"/>
            <w:vAlign w:val="center"/>
          </w:tcPr>
          <w:p w14:paraId="3A7C52DB">
            <w:pPr>
              <w:spacing w:line="360"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14.4</w:t>
            </w:r>
          </w:p>
        </w:tc>
        <w:tc>
          <w:tcPr>
            <w:tcW w:w="7354" w:type="dxa"/>
            <w:noWrap w:val="0"/>
            <w:vAlign w:val="center"/>
          </w:tcPr>
          <w:p w14:paraId="0319EFEC">
            <w:pPr>
              <w:spacing w:line="360" w:lineRule="auto"/>
              <w:jc w:val="both"/>
              <w:rPr>
                <w:rFonts w:hint="eastAsia" w:ascii="宋体" w:hAnsi="宋体" w:eastAsia="宋体" w:cs="宋体"/>
                <w:color w:val="auto"/>
                <w:sz w:val="24"/>
                <w:szCs w:val="24"/>
                <w:highlight w:val="none"/>
                <w:lang w:val="en-US" w:eastAsia="zh-CN" w:bidi="ar-SA"/>
              </w:rPr>
            </w:pPr>
            <w:r>
              <w:rPr>
                <w:rFonts w:hint="eastAsia" w:hAnsi="宋体" w:eastAsia="宋体" w:cs="宋体"/>
                <w:b/>
                <w:bCs/>
                <w:color w:val="auto"/>
                <w:sz w:val="24"/>
                <w:szCs w:val="24"/>
                <w:highlight w:val="none"/>
                <w:lang w:val="en-US" w:eastAsia="zh-CN" w:bidi="ar-SA"/>
              </w:rPr>
              <w:t>磋商</w:t>
            </w:r>
            <w:r>
              <w:rPr>
                <w:rFonts w:hint="eastAsia" w:ascii="宋体" w:hAnsi="宋体" w:eastAsia="宋体" w:cs="宋体"/>
                <w:b/>
                <w:bCs/>
                <w:color w:val="auto"/>
                <w:sz w:val="24"/>
                <w:szCs w:val="24"/>
                <w:highlight w:val="none"/>
                <w:lang w:val="en-US" w:eastAsia="zh-CN" w:bidi="ar-SA"/>
              </w:rPr>
              <w:t>保证金：</w:t>
            </w:r>
            <w:r>
              <w:rPr>
                <w:rFonts w:hint="eastAsia" w:hAnsi="宋体" w:cs="宋体"/>
                <w:b/>
                <w:bCs/>
                <w:color w:val="auto"/>
                <w:sz w:val="24"/>
                <w:szCs w:val="24"/>
                <w:highlight w:val="none"/>
                <w:lang w:val="en-US" w:eastAsia="zh-CN" w:bidi="ar-SA"/>
              </w:rPr>
              <w:t>无</w:t>
            </w:r>
          </w:p>
        </w:tc>
      </w:tr>
      <w:tr w14:paraId="2B20A5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8" w:hRule="atLeast"/>
          <w:jc w:val="center"/>
        </w:trPr>
        <w:tc>
          <w:tcPr>
            <w:tcW w:w="592" w:type="dxa"/>
            <w:noWrap w:val="0"/>
            <w:vAlign w:val="center"/>
          </w:tcPr>
          <w:p w14:paraId="0F1902F3">
            <w:pPr>
              <w:spacing w:line="360" w:lineRule="auto"/>
              <w:jc w:val="center"/>
              <w:rPr>
                <w:rFonts w:hint="eastAsia" w:ascii="宋体" w:hAnsi="宋体" w:eastAsia="宋体" w:cs="宋体"/>
                <w:color w:val="auto"/>
                <w:szCs w:val="24"/>
                <w:highlight w:val="none"/>
                <w:lang w:eastAsia="zh-CN"/>
              </w:rPr>
            </w:pPr>
            <w:r>
              <w:rPr>
                <w:rFonts w:hint="eastAsia" w:hAnsi="宋体" w:eastAsia="宋体" w:cs="宋体"/>
                <w:color w:val="auto"/>
                <w:szCs w:val="24"/>
                <w:highlight w:val="none"/>
                <w:lang w:val="en-US" w:eastAsia="zh-CN"/>
              </w:rPr>
              <w:t>8</w:t>
            </w:r>
          </w:p>
        </w:tc>
        <w:tc>
          <w:tcPr>
            <w:tcW w:w="951" w:type="dxa"/>
            <w:noWrap w:val="0"/>
            <w:vAlign w:val="center"/>
          </w:tcPr>
          <w:p w14:paraId="5EA44AB6">
            <w:pPr>
              <w:spacing w:line="360"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15.1</w:t>
            </w:r>
          </w:p>
        </w:tc>
        <w:tc>
          <w:tcPr>
            <w:tcW w:w="7354" w:type="dxa"/>
            <w:noWrap w:val="0"/>
            <w:vAlign w:val="center"/>
          </w:tcPr>
          <w:p w14:paraId="2AEC28AF">
            <w:pPr>
              <w:spacing w:line="360" w:lineRule="auto"/>
              <w:rPr>
                <w:rFonts w:hint="eastAsia" w:ascii="宋体" w:hAnsi="宋体" w:cs="宋体"/>
                <w:color w:val="auto"/>
                <w:sz w:val="24"/>
                <w:highlight w:val="none"/>
                <w:lang w:val="en-US" w:eastAsia="zh-CN" w:bidi="ar-SA"/>
              </w:rPr>
            </w:pPr>
            <w:r>
              <w:rPr>
                <w:rFonts w:hint="eastAsia" w:hAnsi="宋体" w:cs="宋体"/>
                <w:color w:val="auto"/>
                <w:szCs w:val="24"/>
                <w:highlight w:val="none"/>
              </w:rPr>
              <w:t>磋商有效期：提交磋商响应文件的截止之日起90天。</w:t>
            </w:r>
          </w:p>
        </w:tc>
      </w:tr>
      <w:tr w14:paraId="03F7EE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523" w:hRule="atLeast"/>
          <w:jc w:val="center"/>
        </w:trPr>
        <w:tc>
          <w:tcPr>
            <w:tcW w:w="592" w:type="dxa"/>
            <w:noWrap w:val="0"/>
            <w:vAlign w:val="center"/>
          </w:tcPr>
          <w:p w14:paraId="4BAC24C4">
            <w:pPr>
              <w:spacing w:after="156" w:afterLines="50" w:line="360" w:lineRule="auto"/>
              <w:jc w:val="center"/>
              <w:rPr>
                <w:rFonts w:hint="eastAsia" w:ascii="宋体" w:hAnsi="宋体" w:eastAsia="宋体" w:cs="宋体"/>
                <w:color w:val="auto"/>
                <w:sz w:val="24"/>
                <w:szCs w:val="24"/>
                <w:highlight w:val="none"/>
                <w:lang w:val="en-US" w:eastAsia="zh-CN" w:bidi="ar-SA"/>
              </w:rPr>
            </w:pPr>
            <w:r>
              <w:rPr>
                <w:rFonts w:hint="eastAsia" w:hAnsi="宋体" w:cs="宋体"/>
                <w:color w:val="auto"/>
                <w:szCs w:val="24"/>
                <w:highlight w:val="none"/>
                <w:lang w:val="en-US" w:eastAsia="zh-CN"/>
              </w:rPr>
              <w:t>9</w:t>
            </w:r>
          </w:p>
        </w:tc>
        <w:tc>
          <w:tcPr>
            <w:tcW w:w="951" w:type="dxa"/>
            <w:noWrap w:val="0"/>
            <w:vAlign w:val="center"/>
          </w:tcPr>
          <w:p w14:paraId="240DB391">
            <w:pPr>
              <w:spacing w:after="120" w:afterLines="50" w:line="360" w:lineRule="auto"/>
              <w:jc w:val="center"/>
              <w:rPr>
                <w:rFonts w:hint="eastAsia" w:ascii="宋体"/>
                <w:color w:val="auto"/>
                <w:sz w:val="24"/>
                <w:szCs w:val="24"/>
                <w:highlight w:val="none"/>
                <w:lang w:val="en-US" w:eastAsia="zh-CN" w:bidi="ar-SA"/>
              </w:rPr>
            </w:pPr>
            <w:r>
              <w:rPr>
                <w:rFonts w:hint="eastAsia"/>
                <w:color w:val="auto"/>
                <w:szCs w:val="24"/>
                <w:highlight w:val="none"/>
              </w:rPr>
              <w:t>18.1</w:t>
            </w:r>
          </w:p>
        </w:tc>
        <w:tc>
          <w:tcPr>
            <w:tcW w:w="7354" w:type="dxa"/>
            <w:noWrap w:val="0"/>
            <w:vAlign w:val="top"/>
          </w:tcPr>
          <w:p w14:paraId="62A68B9E">
            <w:pPr>
              <w:spacing w:line="360" w:lineRule="auto"/>
              <w:rPr>
                <w:rFonts w:hint="eastAsia" w:hAnsi="宋体" w:cs="宋体"/>
                <w:color w:val="auto"/>
                <w:szCs w:val="24"/>
                <w:highlight w:val="none"/>
              </w:rPr>
            </w:pPr>
            <w:r>
              <w:rPr>
                <w:rFonts w:hint="eastAsia" w:hAnsi="宋体" w:cs="宋体"/>
                <w:color w:val="auto"/>
                <w:szCs w:val="24"/>
                <w:highlight w:val="none"/>
              </w:rPr>
              <w:t>磋商响应文件递交截止时间：</w:t>
            </w:r>
            <w:r>
              <w:rPr>
                <w:rFonts w:hint="eastAsia" w:hAnsi="宋体" w:cs="宋体"/>
                <w:color w:val="auto"/>
                <w:szCs w:val="24"/>
                <w:highlight w:val="none"/>
                <w:lang w:eastAsia="zh-CN"/>
              </w:rPr>
              <w:t>详见磋商公告</w:t>
            </w:r>
          </w:p>
          <w:p w14:paraId="5A03ECB3">
            <w:pPr>
              <w:spacing w:line="360" w:lineRule="auto"/>
              <w:jc w:val="left"/>
              <w:rPr>
                <w:rFonts w:hint="eastAsia" w:hAnsi="宋体" w:eastAsia="宋体" w:cs="宋体"/>
                <w:color w:val="auto"/>
                <w:szCs w:val="24"/>
                <w:highlight w:val="none"/>
                <w:lang w:eastAsia="zh-CN"/>
              </w:rPr>
            </w:pPr>
            <w:r>
              <w:rPr>
                <w:rFonts w:hint="eastAsia" w:hAnsi="宋体" w:cs="宋体"/>
                <w:color w:val="auto"/>
                <w:szCs w:val="24"/>
                <w:highlight w:val="none"/>
              </w:rPr>
              <w:t>磋商响应文件递交地址：</w:t>
            </w:r>
            <w:r>
              <w:rPr>
                <w:rFonts w:hint="eastAsia" w:hAnsi="宋体" w:cs="宋体"/>
                <w:color w:val="auto"/>
                <w:szCs w:val="24"/>
                <w:highlight w:val="none"/>
                <w:lang w:eastAsia="zh-CN"/>
              </w:rPr>
              <w:t>详见磋商公告</w:t>
            </w:r>
          </w:p>
          <w:p w14:paraId="4A91951C">
            <w:pPr>
              <w:spacing w:line="360" w:lineRule="auto"/>
              <w:rPr>
                <w:rFonts w:hint="eastAsia" w:ascii="宋体" w:hAnsi="宋体" w:eastAsia="宋体" w:cs="宋体"/>
                <w:color w:val="auto"/>
                <w:sz w:val="24"/>
                <w:szCs w:val="24"/>
                <w:highlight w:val="none"/>
                <w:lang w:val="en-US" w:eastAsia="zh-CN" w:bidi="ar-SA"/>
              </w:rPr>
            </w:pPr>
            <w:r>
              <w:rPr>
                <w:rFonts w:hint="eastAsia" w:hAnsi="宋体" w:cs="宋体"/>
                <w:color w:val="auto"/>
                <w:szCs w:val="24"/>
                <w:highlight w:val="none"/>
              </w:rPr>
              <w:t>磋商响应文件接收人：</w:t>
            </w:r>
            <w:r>
              <w:rPr>
                <w:rFonts w:hint="eastAsia" w:hAnsi="宋体" w:cs="宋体"/>
                <w:color w:val="auto"/>
                <w:szCs w:val="24"/>
                <w:highlight w:val="none"/>
                <w:lang w:eastAsia="zh-CN"/>
              </w:rPr>
              <w:t>陕西至诚项目管理集团有限公司</w:t>
            </w:r>
          </w:p>
        </w:tc>
      </w:tr>
      <w:tr w14:paraId="6DB910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075" w:hRule="atLeast"/>
          <w:jc w:val="center"/>
        </w:trPr>
        <w:tc>
          <w:tcPr>
            <w:tcW w:w="592" w:type="dxa"/>
            <w:noWrap w:val="0"/>
            <w:vAlign w:val="center"/>
          </w:tcPr>
          <w:p w14:paraId="4AC9CEDB">
            <w:pPr>
              <w:spacing w:after="156" w:afterLines="50" w:line="360" w:lineRule="auto"/>
              <w:jc w:val="center"/>
              <w:rPr>
                <w:rFonts w:hint="default" w:ascii="宋体" w:hAnsi="宋体" w:eastAsia="宋体" w:cs="宋体"/>
                <w:color w:val="auto"/>
                <w:sz w:val="24"/>
                <w:szCs w:val="24"/>
                <w:highlight w:val="none"/>
                <w:lang w:val="en-US" w:eastAsia="zh-CN" w:bidi="ar-SA"/>
              </w:rPr>
            </w:pPr>
            <w:r>
              <w:rPr>
                <w:rFonts w:hint="eastAsia" w:hAnsi="宋体" w:cs="宋体"/>
                <w:color w:val="auto"/>
                <w:szCs w:val="24"/>
                <w:highlight w:val="none"/>
                <w:lang w:val="en-US" w:eastAsia="zh-CN"/>
              </w:rPr>
              <w:t>10</w:t>
            </w:r>
          </w:p>
        </w:tc>
        <w:tc>
          <w:tcPr>
            <w:tcW w:w="951" w:type="dxa"/>
            <w:noWrap w:val="0"/>
            <w:vAlign w:val="center"/>
          </w:tcPr>
          <w:p w14:paraId="56675271">
            <w:pPr>
              <w:spacing w:after="120" w:afterLines="50" w:line="360" w:lineRule="auto"/>
              <w:jc w:val="center"/>
              <w:rPr>
                <w:rFonts w:hint="eastAsia" w:ascii="宋体"/>
                <w:color w:val="auto"/>
                <w:sz w:val="24"/>
                <w:szCs w:val="24"/>
                <w:highlight w:val="none"/>
                <w:lang w:val="en-US" w:eastAsia="zh-CN" w:bidi="ar-SA"/>
              </w:rPr>
            </w:pPr>
            <w:r>
              <w:rPr>
                <w:color w:val="auto"/>
                <w:szCs w:val="24"/>
                <w:highlight w:val="none"/>
              </w:rPr>
              <w:t>21.1</w:t>
            </w:r>
          </w:p>
        </w:tc>
        <w:tc>
          <w:tcPr>
            <w:tcW w:w="7354" w:type="dxa"/>
            <w:noWrap w:val="0"/>
            <w:vAlign w:val="center"/>
          </w:tcPr>
          <w:p w14:paraId="4103D84A">
            <w:pPr>
              <w:spacing w:line="360" w:lineRule="auto"/>
              <w:rPr>
                <w:rFonts w:hint="eastAsia" w:hAnsi="宋体" w:eastAsia="宋体" w:cs="宋体"/>
                <w:color w:val="auto"/>
                <w:szCs w:val="24"/>
                <w:highlight w:val="none"/>
                <w:lang w:eastAsia="zh-CN"/>
              </w:rPr>
            </w:pPr>
            <w:r>
              <w:rPr>
                <w:rFonts w:hint="eastAsia" w:hAnsi="宋体" w:cs="宋体"/>
                <w:color w:val="auto"/>
                <w:szCs w:val="24"/>
                <w:highlight w:val="none"/>
              </w:rPr>
              <w:t>磋商时间：</w:t>
            </w:r>
            <w:r>
              <w:rPr>
                <w:rFonts w:hint="eastAsia" w:hAnsi="宋体" w:cs="宋体"/>
                <w:color w:val="auto"/>
                <w:szCs w:val="24"/>
                <w:highlight w:val="none"/>
                <w:lang w:eastAsia="zh-CN"/>
              </w:rPr>
              <w:t>详见磋商公告</w:t>
            </w:r>
          </w:p>
          <w:p w14:paraId="1F4CD7F3">
            <w:pPr>
              <w:spacing w:line="360" w:lineRule="auto"/>
              <w:rPr>
                <w:rFonts w:hint="eastAsia" w:ascii="宋体" w:hAnsi="宋体" w:cs="宋体"/>
                <w:color w:val="auto"/>
                <w:sz w:val="24"/>
                <w:szCs w:val="24"/>
                <w:highlight w:val="none"/>
                <w:lang w:val="en-US" w:eastAsia="zh-CN" w:bidi="ar-SA"/>
              </w:rPr>
            </w:pPr>
            <w:r>
              <w:rPr>
                <w:rFonts w:hint="eastAsia" w:hAnsi="宋体" w:cs="宋体"/>
                <w:color w:val="auto"/>
                <w:szCs w:val="24"/>
                <w:highlight w:val="none"/>
              </w:rPr>
              <w:t>磋商地点：</w:t>
            </w:r>
            <w:r>
              <w:rPr>
                <w:rFonts w:hint="eastAsia" w:hAnsi="宋体" w:cs="宋体"/>
                <w:color w:val="auto"/>
                <w:szCs w:val="24"/>
                <w:highlight w:val="none"/>
                <w:lang w:eastAsia="zh-CN"/>
              </w:rPr>
              <w:t>详见磋商公告</w:t>
            </w:r>
          </w:p>
        </w:tc>
      </w:tr>
      <w:tr w14:paraId="5B54EB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50" w:hRule="atLeast"/>
          <w:jc w:val="center"/>
        </w:trPr>
        <w:tc>
          <w:tcPr>
            <w:tcW w:w="592" w:type="dxa"/>
            <w:noWrap w:val="0"/>
            <w:vAlign w:val="center"/>
          </w:tcPr>
          <w:p w14:paraId="1B8C2CD5">
            <w:pPr>
              <w:spacing w:after="156" w:afterLines="50" w:line="360" w:lineRule="auto"/>
              <w:jc w:val="center"/>
              <w:rPr>
                <w:rFonts w:hint="default" w:ascii="宋体" w:hAnsi="宋体" w:eastAsia="宋体" w:cs="宋体"/>
                <w:color w:val="auto"/>
                <w:sz w:val="24"/>
                <w:szCs w:val="24"/>
                <w:highlight w:val="none"/>
                <w:lang w:val="en-US" w:eastAsia="zh-CN" w:bidi="ar-SA"/>
              </w:rPr>
            </w:pPr>
            <w:r>
              <w:rPr>
                <w:rFonts w:hint="eastAsia" w:hAnsi="宋体" w:cs="宋体"/>
                <w:color w:val="auto"/>
                <w:szCs w:val="24"/>
                <w:highlight w:val="none"/>
                <w:lang w:val="en-US" w:eastAsia="zh-CN"/>
              </w:rPr>
              <w:t>11</w:t>
            </w:r>
          </w:p>
        </w:tc>
        <w:tc>
          <w:tcPr>
            <w:tcW w:w="951" w:type="dxa"/>
            <w:noWrap w:val="0"/>
            <w:vAlign w:val="center"/>
          </w:tcPr>
          <w:p w14:paraId="36890473">
            <w:pPr>
              <w:spacing w:after="120" w:afterLines="50" w:line="360" w:lineRule="auto"/>
              <w:jc w:val="center"/>
              <w:rPr>
                <w:rFonts w:hint="eastAsia" w:ascii="宋体"/>
                <w:color w:val="auto"/>
                <w:sz w:val="24"/>
                <w:szCs w:val="24"/>
                <w:highlight w:val="none"/>
                <w:lang w:val="en-US" w:eastAsia="zh-CN" w:bidi="ar-SA"/>
              </w:rPr>
            </w:pPr>
            <w:r>
              <w:rPr>
                <w:rFonts w:hint="eastAsia"/>
                <w:color w:val="auto"/>
                <w:szCs w:val="24"/>
                <w:highlight w:val="none"/>
              </w:rPr>
              <w:t>24.1</w:t>
            </w:r>
          </w:p>
        </w:tc>
        <w:tc>
          <w:tcPr>
            <w:tcW w:w="7354" w:type="dxa"/>
            <w:noWrap w:val="0"/>
            <w:vAlign w:val="center"/>
          </w:tcPr>
          <w:p w14:paraId="43F53DBD">
            <w:pPr>
              <w:spacing w:line="360" w:lineRule="auto"/>
              <w:jc w:val="left"/>
              <w:rPr>
                <w:rFonts w:hint="eastAsia" w:ascii="宋体" w:hAnsi="宋体" w:cs="宋体"/>
                <w:color w:val="auto"/>
                <w:sz w:val="24"/>
                <w:szCs w:val="24"/>
                <w:highlight w:val="none"/>
                <w:lang w:val="en-US" w:eastAsia="zh-CN" w:bidi="ar-SA"/>
              </w:rPr>
            </w:pPr>
            <w:r>
              <w:rPr>
                <w:rFonts w:hint="eastAsia" w:hAnsi="宋体" w:cs="宋体"/>
                <w:b/>
                <w:bCs/>
                <w:color w:val="auto"/>
                <w:szCs w:val="24"/>
                <w:highlight w:val="none"/>
              </w:rPr>
              <w:t>评审方法：综合评分法（详见第五章）</w:t>
            </w:r>
          </w:p>
        </w:tc>
      </w:tr>
      <w:tr w14:paraId="655A8B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020" w:hRule="atLeast"/>
          <w:jc w:val="center"/>
        </w:trPr>
        <w:tc>
          <w:tcPr>
            <w:tcW w:w="592" w:type="dxa"/>
            <w:noWrap w:val="0"/>
            <w:vAlign w:val="center"/>
          </w:tcPr>
          <w:p w14:paraId="03F567EA">
            <w:pPr>
              <w:spacing w:after="156" w:afterLines="50" w:line="360" w:lineRule="auto"/>
              <w:jc w:val="center"/>
              <w:rPr>
                <w:rFonts w:hint="default" w:ascii="宋体" w:hAnsi="宋体" w:eastAsia="宋体" w:cs="宋体"/>
                <w:color w:val="auto"/>
                <w:sz w:val="24"/>
                <w:szCs w:val="24"/>
                <w:highlight w:val="none"/>
                <w:lang w:val="en-US" w:eastAsia="zh-CN" w:bidi="ar-SA"/>
              </w:rPr>
            </w:pPr>
            <w:r>
              <w:rPr>
                <w:rFonts w:hint="eastAsia" w:hAnsi="宋体" w:cs="宋体"/>
                <w:color w:val="auto"/>
                <w:szCs w:val="24"/>
                <w:highlight w:val="none"/>
                <w:lang w:val="en-US" w:eastAsia="zh-CN"/>
              </w:rPr>
              <w:t>12</w:t>
            </w:r>
          </w:p>
        </w:tc>
        <w:tc>
          <w:tcPr>
            <w:tcW w:w="951" w:type="dxa"/>
            <w:noWrap w:val="0"/>
            <w:vAlign w:val="center"/>
          </w:tcPr>
          <w:p w14:paraId="34290BE3">
            <w:pPr>
              <w:spacing w:after="156" w:afterLines="50" w:line="360"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29</w:t>
            </w:r>
          </w:p>
        </w:tc>
        <w:tc>
          <w:tcPr>
            <w:tcW w:w="7354" w:type="dxa"/>
            <w:noWrap w:val="0"/>
            <w:vAlign w:val="center"/>
          </w:tcPr>
          <w:p w14:paraId="05EDA170">
            <w:pPr>
              <w:spacing w:after="156" w:afterLines="50" w:line="360" w:lineRule="auto"/>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磋商代理服务费： </w:t>
            </w:r>
          </w:p>
          <w:p w14:paraId="7D626357">
            <w:pPr>
              <w:spacing w:line="560" w:lineRule="exact"/>
              <w:ind w:firstLine="420" w:firstLineChars="200"/>
              <w:rPr>
                <w:rFonts w:hint="eastAsia" w:ascii="宋体" w:hAnsi="宋体" w:eastAsia="宋体" w:cs="宋体"/>
                <w:color w:val="auto"/>
                <w:szCs w:val="24"/>
                <w:highlight w:val="none"/>
              </w:rPr>
            </w:pPr>
            <w:r>
              <w:rPr>
                <w:rFonts w:hint="eastAsia" w:ascii="宋体" w:hAnsi="宋体" w:eastAsia="宋体" w:cs="宋体"/>
                <w:color w:val="auto"/>
                <w:sz w:val="21"/>
                <w:szCs w:val="21"/>
                <w:highlight w:val="none"/>
              </w:rPr>
              <w:t>29.1</w:t>
            </w:r>
            <w:r>
              <w:rPr>
                <w:rFonts w:hint="eastAsia" w:ascii="宋体" w:hAnsi="宋体" w:eastAsia="宋体" w:cs="宋体"/>
                <w:color w:val="auto"/>
                <w:szCs w:val="24"/>
                <w:highlight w:val="none"/>
              </w:rPr>
              <w:t>参见国家计委颁布的《招标代理服务收费管理暂行办法》（计价格[2002]1980号）规定的招标代理服务收费标准，按照中标金额差额定率累进法计算，按照标准的折扣率（60%）收取。</w:t>
            </w:r>
          </w:p>
          <w:p w14:paraId="4333A8D4">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29.2成交单位在领取成交通知书前，须向采购代理机构一次性支付代理服务费。</w:t>
            </w:r>
          </w:p>
        </w:tc>
      </w:tr>
      <w:tr w14:paraId="3C6547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noWrap w:val="0"/>
            <w:vAlign w:val="center"/>
          </w:tcPr>
          <w:p w14:paraId="515CDFED">
            <w:pPr>
              <w:spacing w:after="156" w:afterLines="50" w:line="360" w:lineRule="auto"/>
              <w:jc w:val="center"/>
              <w:rPr>
                <w:rFonts w:hint="default" w:ascii="宋体" w:hAnsi="宋体" w:eastAsia="宋体" w:cs="宋体"/>
                <w:color w:val="auto"/>
                <w:sz w:val="24"/>
                <w:szCs w:val="24"/>
                <w:highlight w:val="none"/>
                <w:lang w:val="en-US" w:eastAsia="zh-CN" w:bidi="ar-SA"/>
              </w:rPr>
            </w:pPr>
            <w:r>
              <w:rPr>
                <w:rFonts w:hint="eastAsia" w:hAnsi="宋体" w:cs="宋体"/>
                <w:color w:val="auto"/>
                <w:szCs w:val="24"/>
                <w:highlight w:val="none"/>
                <w:lang w:val="en-US" w:eastAsia="zh-CN"/>
              </w:rPr>
              <w:t>13</w:t>
            </w:r>
          </w:p>
        </w:tc>
        <w:tc>
          <w:tcPr>
            <w:tcW w:w="951" w:type="dxa"/>
            <w:noWrap w:val="0"/>
            <w:vAlign w:val="center"/>
          </w:tcPr>
          <w:p w14:paraId="1BBD5272">
            <w:pPr>
              <w:jc w:val="center"/>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银行</w:t>
            </w:r>
          </w:p>
          <w:p w14:paraId="2A06D843">
            <w:pPr>
              <w:jc w:val="center"/>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账户</w:t>
            </w:r>
          </w:p>
          <w:p w14:paraId="51FB2B3A">
            <w:pPr>
              <w:jc w:val="center"/>
              <w:rPr>
                <w:rFonts w:hint="eastAsia" w:ascii="宋体" w:hAnsi="宋体" w:eastAsia="宋体" w:cs="宋体"/>
                <w:color w:val="auto"/>
                <w:szCs w:val="24"/>
                <w:highlight w:val="none"/>
              </w:rPr>
            </w:pPr>
            <w:r>
              <w:rPr>
                <w:rFonts w:hint="eastAsia" w:ascii="宋体" w:hAnsi="宋体" w:eastAsia="宋体" w:cs="宋体"/>
                <w:b/>
                <w:bCs/>
                <w:color w:val="auto"/>
                <w:szCs w:val="24"/>
                <w:highlight w:val="none"/>
              </w:rPr>
              <w:t>信息</w:t>
            </w:r>
          </w:p>
        </w:tc>
        <w:tc>
          <w:tcPr>
            <w:tcW w:w="7354" w:type="dxa"/>
            <w:noWrap w:val="0"/>
            <w:vAlign w:val="center"/>
          </w:tcPr>
          <w:p w14:paraId="323C9C53">
            <w:pPr>
              <w:numPr>
                <w:ilvl w:val="0"/>
                <w:numId w:val="0"/>
              </w:numPr>
              <w:spacing w:line="520" w:lineRule="exact"/>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代理服务费账户：</w:t>
            </w:r>
          </w:p>
          <w:p w14:paraId="7DC1CA5F">
            <w:pPr>
              <w:spacing w:line="360" w:lineRule="auto"/>
              <w:ind w:firstLine="482" w:firstLineChars="200"/>
              <w:rPr>
                <w:rFonts w:hint="eastAsia" w:ascii="宋体" w:hAnsi="宋体" w:eastAsia="宋体" w:cs="宋体"/>
                <w:b/>
                <w:bCs/>
                <w:color w:val="auto"/>
                <w:szCs w:val="24"/>
                <w:highlight w:val="none"/>
                <w:lang w:eastAsia="zh-CN"/>
              </w:rPr>
            </w:pPr>
            <w:r>
              <w:rPr>
                <w:rFonts w:hint="eastAsia" w:ascii="宋体" w:hAnsi="宋体" w:eastAsia="宋体" w:cs="宋体"/>
                <w:b/>
                <w:bCs/>
                <w:color w:val="auto"/>
                <w:szCs w:val="24"/>
                <w:highlight w:val="none"/>
              </w:rPr>
              <w:t>采购代理机构开户名称:</w:t>
            </w:r>
            <w:r>
              <w:rPr>
                <w:rFonts w:hint="eastAsia" w:hAnsi="宋体" w:cs="宋体"/>
                <w:b/>
                <w:bCs/>
                <w:color w:val="auto"/>
                <w:szCs w:val="24"/>
                <w:highlight w:val="none"/>
                <w:lang w:eastAsia="zh-CN"/>
              </w:rPr>
              <w:t>陕西至诚项目管理集团有限公司</w:t>
            </w:r>
          </w:p>
          <w:p w14:paraId="1D29E890">
            <w:pPr>
              <w:spacing w:line="360" w:lineRule="auto"/>
              <w:ind w:firstLine="482" w:firstLineChars="200"/>
              <w:rPr>
                <w:rFonts w:hint="eastAsia" w:ascii="宋体" w:hAnsi="宋体" w:eastAsia="宋体" w:cs="宋体"/>
                <w:b/>
                <w:bCs/>
                <w:color w:val="auto"/>
                <w:szCs w:val="24"/>
                <w:highlight w:val="none"/>
                <w:lang w:eastAsia="zh-CN"/>
              </w:rPr>
            </w:pPr>
            <w:r>
              <w:rPr>
                <w:rFonts w:hint="eastAsia" w:ascii="宋体" w:hAnsi="宋体" w:eastAsia="宋体" w:cs="宋体"/>
                <w:b/>
                <w:bCs/>
                <w:color w:val="auto"/>
                <w:szCs w:val="24"/>
                <w:highlight w:val="none"/>
              </w:rPr>
              <w:t>开户行名称：</w:t>
            </w:r>
            <w:r>
              <w:rPr>
                <w:rFonts w:hint="eastAsia" w:hAnsi="宋体" w:cs="宋体"/>
                <w:b/>
                <w:bCs/>
                <w:color w:val="auto"/>
                <w:szCs w:val="24"/>
                <w:highlight w:val="none"/>
                <w:lang w:eastAsia="zh-CN"/>
              </w:rPr>
              <w:t>中国建设银行股份有限公司西安高新技术产业开发区支行</w:t>
            </w:r>
          </w:p>
          <w:p w14:paraId="08C45894">
            <w:pPr>
              <w:pStyle w:val="8"/>
              <w:ind w:firstLine="482" w:firstLineChars="200"/>
              <w:rPr>
                <w:rFonts w:hint="eastAsia" w:ascii="宋体" w:hAnsi="宋体" w:eastAsia="宋体" w:cs="宋体"/>
                <w:color w:val="auto"/>
                <w:highlight w:val="none"/>
                <w:lang w:val="en-US" w:eastAsia="zh-CN"/>
              </w:rPr>
            </w:pPr>
            <w:r>
              <w:rPr>
                <w:rFonts w:hint="eastAsia" w:ascii="宋体" w:hAnsi="宋体" w:eastAsia="宋体" w:cs="宋体"/>
                <w:b/>
                <w:bCs/>
                <w:color w:val="auto"/>
                <w:sz w:val="24"/>
                <w:szCs w:val="24"/>
                <w:highlight w:val="none"/>
                <w:lang w:val="en-US" w:eastAsia="zh-CN"/>
              </w:rPr>
              <w:t>账号：</w:t>
            </w:r>
            <w:r>
              <w:rPr>
                <w:rFonts w:hint="eastAsia" w:ascii="宋体" w:hAnsi="宋体" w:cs="宋体"/>
                <w:b/>
                <w:bCs/>
                <w:color w:val="auto"/>
                <w:sz w:val="24"/>
                <w:szCs w:val="24"/>
                <w:highlight w:val="none"/>
                <w:lang w:val="en-US" w:eastAsia="zh-CN"/>
              </w:rPr>
              <w:t>61050192090000002152</w:t>
            </w:r>
          </w:p>
          <w:p w14:paraId="7B2CDFD9">
            <w:pPr>
              <w:spacing w:line="520" w:lineRule="exact"/>
              <w:ind w:firstLine="482" w:firstLineChars="200"/>
              <w:rPr>
                <w:rFonts w:hint="eastAsia" w:ascii="宋体" w:hAnsi="宋体" w:eastAsia="宋体" w:cs="宋体"/>
                <w:color w:val="auto"/>
                <w:szCs w:val="24"/>
                <w:highlight w:val="none"/>
              </w:rPr>
            </w:pPr>
            <w:r>
              <w:rPr>
                <w:rFonts w:hint="eastAsia" w:hAnsi="宋体" w:eastAsia="宋体" w:cs="宋体"/>
                <w:b/>
                <w:bCs/>
                <w:color w:val="auto"/>
                <w:szCs w:val="24"/>
                <w:highlight w:val="none"/>
                <w:lang w:eastAsia="zh-CN"/>
              </w:rPr>
              <w:t>注：</w:t>
            </w:r>
            <w:r>
              <w:rPr>
                <w:rFonts w:hint="eastAsia" w:ascii="宋体" w:hAnsi="宋体" w:eastAsia="宋体" w:cs="宋体"/>
                <w:b/>
                <w:bCs/>
                <w:color w:val="auto"/>
                <w:szCs w:val="24"/>
                <w:highlight w:val="none"/>
              </w:rPr>
              <w:t>请各供应商按照要求分别将保证金和服务费汇入以上指定账户，如因自身原因发生错误，产生的不利后果均由供应商自行承担。</w:t>
            </w:r>
          </w:p>
        </w:tc>
      </w:tr>
      <w:tr w14:paraId="0A10E0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noWrap w:val="0"/>
            <w:vAlign w:val="center"/>
          </w:tcPr>
          <w:p w14:paraId="2CAAAD8C">
            <w:pPr>
              <w:spacing w:after="156" w:afterLines="50" w:line="360" w:lineRule="auto"/>
              <w:jc w:val="center"/>
              <w:rPr>
                <w:rFonts w:hint="default" w:ascii="宋体" w:hAnsi="宋体" w:eastAsia="宋体" w:cs="宋体"/>
                <w:color w:val="auto"/>
                <w:szCs w:val="24"/>
                <w:highlight w:val="none"/>
                <w:lang w:val="en-US" w:eastAsia="zh-CN"/>
              </w:rPr>
            </w:pPr>
            <w:r>
              <w:rPr>
                <w:rFonts w:hint="eastAsia" w:hAnsi="宋体" w:cs="宋体"/>
                <w:color w:val="auto"/>
                <w:szCs w:val="24"/>
                <w:highlight w:val="none"/>
                <w:lang w:val="en-US" w:eastAsia="zh-CN"/>
              </w:rPr>
              <w:t>14</w:t>
            </w:r>
          </w:p>
        </w:tc>
        <w:tc>
          <w:tcPr>
            <w:tcW w:w="951" w:type="dxa"/>
            <w:noWrap w:val="0"/>
            <w:vAlign w:val="center"/>
          </w:tcPr>
          <w:p w14:paraId="565F4AD8">
            <w:pPr>
              <w:widowControl/>
              <w:spacing w:line="360" w:lineRule="auto"/>
              <w:jc w:val="center"/>
              <w:rPr>
                <w:rFonts w:hint="eastAsia" w:hAnsi="宋体"/>
                <w:b/>
                <w:bCs/>
                <w:color w:val="auto"/>
                <w:szCs w:val="24"/>
                <w:highlight w:val="none"/>
                <w:lang w:eastAsia="zh-CN"/>
              </w:rPr>
            </w:pPr>
            <w:r>
              <w:rPr>
                <w:rFonts w:hint="eastAsia" w:hAnsi="宋体"/>
                <w:b/>
                <w:bCs/>
                <w:color w:val="auto"/>
                <w:szCs w:val="24"/>
                <w:highlight w:val="none"/>
                <w:lang w:eastAsia="zh-CN"/>
              </w:rPr>
              <w:t>项目</w:t>
            </w:r>
          </w:p>
          <w:p w14:paraId="31167942">
            <w:pPr>
              <w:widowControl/>
              <w:spacing w:line="360" w:lineRule="auto"/>
              <w:jc w:val="center"/>
              <w:rPr>
                <w:rFonts w:hint="eastAsia" w:ascii="宋体" w:hAnsi="宋体" w:eastAsia="宋体" w:cs="宋体"/>
                <w:b/>
                <w:bCs/>
                <w:color w:val="auto"/>
                <w:szCs w:val="24"/>
                <w:highlight w:val="none"/>
              </w:rPr>
            </w:pPr>
            <w:r>
              <w:rPr>
                <w:rFonts w:hint="eastAsia" w:hAnsi="宋体"/>
                <w:b/>
                <w:bCs/>
                <w:color w:val="auto"/>
                <w:szCs w:val="24"/>
                <w:highlight w:val="none"/>
                <w:lang w:eastAsia="zh-CN"/>
              </w:rPr>
              <w:t>性质</w:t>
            </w:r>
          </w:p>
        </w:tc>
        <w:tc>
          <w:tcPr>
            <w:tcW w:w="7354" w:type="dxa"/>
            <w:noWrap w:val="0"/>
            <w:vAlign w:val="center"/>
          </w:tcPr>
          <w:p w14:paraId="28F0D022">
            <w:pPr>
              <w:widowControl/>
              <w:spacing w:line="360" w:lineRule="auto"/>
              <w:rPr>
                <w:rFonts w:hint="eastAsia" w:hAnsi="宋体" w:eastAsia="宋体" w:cs="宋体"/>
                <w:b/>
                <w:bCs/>
                <w:color w:val="auto"/>
                <w:szCs w:val="24"/>
                <w:highlight w:val="none"/>
                <w:lang w:eastAsia="zh-CN"/>
              </w:rPr>
            </w:pPr>
            <w:r>
              <w:rPr>
                <w:rFonts w:hint="eastAsia" w:hAnsi="宋体"/>
                <w:b/>
                <w:bCs/>
                <w:color w:val="auto"/>
                <w:szCs w:val="24"/>
                <w:highlight w:val="none"/>
                <w:lang w:val="en-US" w:eastAsia="zh-CN"/>
              </w:rPr>
              <w:t>本项目专门面向中小企业</w:t>
            </w:r>
          </w:p>
        </w:tc>
      </w:tr>
      <w:tr w14:paraId="1F344F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noWrap w:val="0"/>
            <w:vAlign w:val="center"/>
          </w:tcPr>
          <w:p w14:paraId="7861D0E0">
            <w:pPr>
              <w:spacing w:after="156" w:afterLines="50" w:line="360" w:lineRule="auto"/>
              <w:jc w:val="center"/>
              <w:rPr>
                <w:rFonts w:hint="default" w:ascii="宋体" w:hAnsi="宋体" w:eastAsia="宋体" w:cs="宋体"/>
                <w:color w:val="auto"/>
                <w:szCs w:val="24"/>
                <w:highlight w:val="none"/>
                <w:lang w:val="en-US" w:eastAsia="zh-CN"/>
              </w:rPr>
            </w:pPr>
            <w:r>
              <w:rPr>
                <w:rFonts w:hint="eastAsia" w:hAnsi="宋体" w:cs="宋体"/>
                <w:color w:val="auto"/>
                <w:szCs w:val="24"/>
                <w:highlight w:val="none"/>
                <w:lang w:val="en-US" w:eastAsia="zh-CN"/>
              </w:rPr>
              <w:t>15</w:t>
            </w:r>
          </w:p>
        </w:tc>
        <w:tc>
          <w:tcPr>
            <w:tcW w:w="951" w:type="dxa"/>
            <w:noWrap w:val="0"/>
            <w:vAlign w:val="center"/>
          </w:tcPr>
          <w:p w14:paraId="10942D84">
            <w:pPr>
              <w:widowControl/>
              <w:spacing w:line="360" w:lineRule="auto"/>
              <w:jc w:val="center"/>
              <w:rPr>
                <w:rFonts w:hint="eastAsia" w:hAnsi="宋体"/>
                <w:b/>
                <w:bCs/>
                <w:color w:val="auto"/>
                <w:szCs w:val="24"/>
                <w:highlight w:val="none"/>
                <w:lang w:eastAsia="zh-CN"/>
              </w:rPr>
            </w:pPr>
            <w:r>
              <w:rPr>
                <w:rFonts w:hint="eastAsia" w:hAnsi="宋体"/>
                <w:b/>
                <w:bCs/>
                <w:color w:val="auto"/>
                <w:szCs w:val="24"/>
                <w:highlight w:val="none"/>
                <w:lang w:val="en-US" w:eastAsia="zh-CN"/>
              </w:rPr>
              <w:t>项目</w:t>
            </w:r>
            <w:r>
              <w:rPr>
                <w:rFonts w:hint="eastAsia" w:hAnsi="宋体"/>
                <w:b/>
                <w:bCs/>
                <w:color w:val="auto"/>
                <w:szCs w:val="24"/>
                <w:highlight w:val="none"/>
                <w:lang w:eastAsia="zh-CN"/>
              </w:rPr>
              <w:t>所属行业</w:t>
            </w:r>
          </w:p>
        </w:tc>
        <w:tc>
          <w:tcPr>
            <w:tcW w:w="7354" w:type="dxa"/>
            <w:noWrap w:val="0"/>
            <w:vAlign w:val="center"/>
          </w:tcPr>
          <w:p w14:paraId="6A620D39">
            <w:pPr>
              <w:widowControl/>
              <w:spacing w:line="360" w:lineRule="auto"/>
              <w:rPr>
                <w:rFonts w:hint="eastAsia" w:hAnsi="宋体"/>
                <w:b/>
                <w:bCs/>
                <w:color w:val="auto"/>
                <w:szCs w:val="24"/>
                <w:highlight w:val="none"/>
                <w:lang w:val="en-US" w:eastAsia="zh-CN"/>
              </w:rPr>
            </w:pPr>
            <w:r>
              <w:rPr>
                <w:rFonts w:hint="eastAsia" w:hAnsi="宋体"/>
                <w:b/>
                <w:bCs/>
                <w:color w:val="auto"/>
                <w:szCs w:val="24"/>
                <w:highlight w:val="none"/>
                <w:lang w:val="en-US" w:eastAsia="zh-CN"/>
              </w:rPr>
              <w:t>其他未列明行业</w:t>
            </w:r>
          </w:p>
        </w:tc>
      </w:tr>
      <w:tr w14:paraId="6E9A80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noWrap w:val="0"/>
            <w:vAlign w:val="center"/>
          </w:tcPr>
          <w:p w14:paraId="7B8C4B22">
            <w:pPr>
              <w:spacing w:after="156" w:afterLines="50" w:line="360" w:lineRule="auto"/>
              <w:jc w:val="center"/>
              <w:rPr>
                <w:rFonts w:hint="default" w:ascii="宋体" w:hAnsi="宋体" w:eastAsia="宋体" w:cs="宋体"/>
                <w:color w:val="auto"/>
                <w:szCs w:val="24"/>
                <w:highlight w:val="none"/>
                <w:lang w:val="en-US" w:eastAsia="zh-CN"/>
              </w:rPr>
            </w:pPr>
            <w:r>
              <w:rPr>
                <w:rFonts w:hint="eastAsia" w:hAnsi="宋体" w:cs="宋体"/>
                <w:color w:val="auto"/>
                <w:szCs w:val="24"/>
                <w:highlight w:val="none"/>
                <w:lang w:val="en-US" w:eastAsia="zh-CN"/>
              </w:rPr>
              <w:t>16</w:t>
            </w:r>
          </w:p>
        </w:tc>
        <w:tc>
          <w:tcPr>
            <w:tcW w:w="951" w:type="dxa"/>
            <w:noWrap w:val="0"/>
            <w:vAlign w:val="center"/>
          </w:tcPr>
          <w:p w14:paraId="4A8AB902">
            <w:pPr>
              <w:widowControl/>
              <w:spacing w:line="360" w:lineRule="auto"/>
              <w:jc w:val="center"/>
              <w:rPr>
                <w:rFonts w:hint="eastAsia" w:hAnsi="宋体"/>
                <w:b w:val="0"/>
                <w:bCs w:val="0"/>
                <w:color w:val="auto"/>
                <w:szCs w:val="24"/>
                <w:highlight w:val="none"/>
                <w:lang w:eastAsia="zh-CN"/>
              </w:rPr>
            </w:pPr>
            <w:r>
              <w:rPr>
                <w:rFonts w:hint="eastAsia" w:hAnsi="宋体"/>
                <w:b w:val="0"/>
                <w:bCs w:val="0"/>
                <w:color w:val="auto"/>
                <w:szCs w:val="24"/>
                <w:highlight w:val="none"/>
                <w:lang w:eastAsia="zh-CN"/>
              </w:rPr>
              <w:t>政策性扣减</w:t>
            </w:r>
          </w:p>
        </w:tc>
        <w:tc>
          <w:tcPr>
            <w:tcW w:w="7354" w:type="dxa"/>
            <w:noWrap w:val="0"/>
            <w:vAlign w:val="center"/>
          </w:tcPr>
          <w:p w14:paraId="049924AD">
            <w:pPr>
              <w:widowControl/>
              <w:spacing w:line="360" w:lineRule="auto"/>
              <w:rPr>
                <w:rFonts w:hint="eastAsia" w:hAnsi="宋体"/>
                <w:b w:val="0"/>
                <w:bCs w:val="0"/>
                <w:color w:val="auto"/>
                <w:szCs w:val="24"/>
                <w:highlight w:val="none"/>
                <w:lang w:val="en-US" w:eastAsia="zh-CN"/>
              </w:rPr>
            </w:pPr>
            <w:r>
              <w:rPr>
                <w:rFonts w:hint="eastAsia" w:hAnsi="宋体"/>
                <w:b w:val="0"/>
                <w:bCs w:val="0"/>
                <w:color w:val="auto"/>
                <w:szCs w:val="24"/>
                <w:highlight w:val="none"/>
                <w:lang w:val="en-US" w:eastAsia="zh-CN"/>
              </w:rPr>
              <w:t>对符合《政府采购促进中小企业发展管理办法》(财库(2020)46号)规定的小微企业(监狱企业视同小型、微型企业)的报价给予10%的扣除,用扣除后的价格参加评审。本项目为专门面向中小企业采购，不在进行价格分的扣减。</w:t>
            </w:r>
          </w:p>
        </w:tc>
      </w:tr>
      <w:tr w14:paraId="660652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noWrap w:val="0"/>
            <w:vAlign w:val="center"/>
          </w:tcPr>
          <w:p w14:paraId="5CFCA226">
            <w:pPr>
              <w:widowControl/>
              <w:spacing w:line="360" w:lineRule="auto"/>
              <w:jc w:val="center"/>
              <w:rPr>
                <w:rFonts w:hint="default" w:ascii="宋体" w:hAnsi="宋体" w:eastAsia="宋体" w:cs="宋体"/>
                <w:b/>
                <w:bCs/>
                <w:color w:val="auto"/>
                <w:szCs w:val="24"/>
                <w:highlight w:val="none"/>
                <w:lang w:val="en-US" w:eastAsia="zh-CN"/>
              </w:rPr>
            </w:pPr>
            <w:r>
              <w:rPr>
                <w:rFonts w:hint="eastAsia" w:hAnsi="宋体" w:cs="宋体"/>
                <w:b/>
                <w:bCs/>
                <w:color w:val="auto"/>
                <w:szCs w:val="24"/>
                <w:highlight w:val="none"/>
                <w:lang w:val="en-US" w:eastAsia="zh-CN"/>
              </w:rPr>
              <w:t>17</w:t>
            </w:r>
          </w:p>
        </w:tc>
        <w:tc>
          <w:tcPr>
            <w:tcW w:w="951" w:type="dxa"/>
            <w:noWrap w:val="0"/>
            <w:vAlign w:val="center"/>
          </w:tcPr>
          <w:p w14:paraId="25685C68">
            <w:pPr>
              <w:widowControl/>
              <w:spacing w:line="360" w:lineRule="auto"/>
              <w:jc w:val="center"/>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备注</w:t>
            </w:r>
          </w:p>
        </w:tc>
        <w:tc>
          <w:tcPr>
            <w:tcW w:w="7354" w:type="dxa"/>
            <w:noWrap w:val="0"/>
            <w:vAlign w:val="center"/>
          </w:tcPr>
          <w:p w14:paraId="5A97D2BE">
            <w:pPr>
              <w:spacing w:line="500" w:lineRule="exact"/>
              <w:ind w:firstLine="482" w:firstLineChars="200"/>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供应商注册登记提醒：</w:t>
            </w:r>
          </w:p>
          <w:p w14:paraId="6B18814C">
            <w:pPr>
              <w:spacing w:line="500" w:lineRule="exact"/>
              <w:ind w:firstLine="482" w:firstLineChars="200"/>
              <w:rPr>
                <w:rFonts w:hint="eastAsia" w:ascii="宋体" w:hAnsi="宋体" w:eastAsia="宋体" w:cs="宋体"/>
                <w:color w:val="auto"/>
                <w:szCs w:val="24"/>
                <w:highlight w:val="none"/>
              </w:rPr>
            </w:pPr>
            <w:r>
              <w:rPr>
                <w:rFonts w:hint="eastAsia" w:ascii="宋体" w:hAnsi="宋体" w:eastAsia="宋体" w:cs="宋体"/>
                <w:b/>
                <w:bCs/>
                <w:color w:val="auto"/>
                <w:szCs w:val="24"/>
                <w:highlight w:val="none"/>
              </w:rPr>
              <w:t>根据陕西省财政厅关于政府采购供应商注册登记有关事项的通知，如所投本项目的供应商未在陕西省政府采购网（</w:t>
            </w:r>
            <w:r>
              <w:rPr>
                <w:rFonts w:hint="eastAsia" w:ascii="宋体" w:hAnsi="宋体" w:eastAsia="宋体" w:cs="宋体"/>
                <w:b/>
                <w:bCs/>
                <w:color w:val="auto"/>
                <w:szCs w:val="24"/>
                <w:highlight w:val="none"/>
              </w:rPr>
              <w:fldChar w:fldCharType="begin"/>
            </w:r>
            <w:r>
              <w:rPr>
                <w:rFonts w:hint="eastAsia" w:ascii="宋体" w:hAnsi="宋体" w:eastAsia="宋体" w:cs="宋体"/>
                <w:b/>
                <w:bCs/>
                <w:color w:val="auto"/>
                <w:szCs w:val="24"/>
                <w:highlight w:val="none"/>
              </w:rPr>
              <w:instrText xml:space="preserve"> HYPERLINK "http://www.ccgp-shaanxi.gov.cn/information/informationDetail.do?informationguid=8a85be3567ed23460167ed36804d0009" </w:instrText>
            </w:r>
            <w:r>
              <w:rPr>
                <w:rFonts w:hint="eastAsia" w:ascii="宋体" w:hAnsi="宋体" w:eastAsia="宋体" w:cs="宋体"/>
                <w:b/>
                <w:bCs/>
                <w:color w:val="auto"/>
                <w:szCs w:val="24"/>
                <w:highlight w:val="none"/>
              </w:rPr>
              <w:fldChar w:fldCharType="separate"/>
            </w:r>
            <w:r>
              <w:rPr>
                <w:rFonts w:hint="eastAsia" w:ascii="宋体" w:hAnsi="宋体" w:eastAsia="宋体" w:cs="宋体"/>
                <w:b/>
                <w:bCs/>
                <w:color w:val="auto"/>
                <w:szCs w:val="24"/>
                <w:highlight w:val="none"/>
              </w:rPr>
              <w:t>http://www.ccgp-shaanxi.gov.cn/information/informationDetail.do?informationguid=8a85be3567ed23460167ed36804d0009</w:t>
            </w:r>
            <w:r>
              <w:rPr>
                <w:rFonts w:hint="eastAsia" w:ascii="宋体" w:hAnsi="宋体" w:eastAsia="宋体" w:cs="宋体"/>
                <w:b/>
                <w:bCs/>
                <w:color w:val="auto"/>
                <w:szCs w:val="24"/>
                <w:highlight w:val="none"/>
              </w:rPr>
              <w:fldChar w:fldCharType="end"/>
            </w:r>
            <w:r>
              <w:rPr>
                <w:rFonts w:hint="eastAsia" w:ascii="宋体" w:hAnsi="宋体" w:eastAsia="宋体" w:cs="宋体"/>
                <w:b/>
                <w:bCs/>
                <w:color w:val="auto"/>
                <w:szCs w:val="24"/>
                <w:highlight w:val="none"/>
              </w:rPr>
              <w:t>）注册登记加入陕西省政府采购供应商库的，应按要求及时办理注册登记，并接受财政部门监督管理。</w:t>
            </w:r>
          </w:p>
        </w:tc>
      </w:tr>
      <w:tr w14:paraId="01C9A6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noWrap w:val="0"/>
            <w:vAlign w:val="center"/>
          </w:tcPr>
          <w:p w14:paraId="12806AC2">
            <w:pPr>
              <w:widowControl/>
              <w:spacing w:line="360" w:lineRule="auto"/>
              <w:jc w:val="center"/>
              <w:rPr>
                <w:rFonts w:hint="default" w:hAnsi="宋体" w:cs="宋体"/>
                <w:b w:val="0"/>
                <w:bCs w:val="0"/>
                <w:color w:val="auto"/>
                <w:szCs w:val="24"/>
                <w:highlight w:val="none"/>
                <w:lang w:val="en-US" w:eastAsia="zh-CN"/>
              </w:rPr>
            </w:pPr>
            <w:bookmarkStart w:id="25" w:name="_Toc363474017"/>
            <w:bookmarkStart w:id="26" w:name="_Toc403077639"/>
            <w:bookmarkStart w:id="27" w:name="_Toc363473972"/>
            <w:r>
              <w:rPr>
                <w:rFonts w:hint="eastAsia" w:hAnsi="宋体" w:cs="宋体"/>
                <w:b w:val="0"/>
                <w:bCs w:val="0"/>
                <w:color w:val="auto"/>
                <w:szCs w:val="24"/>
                <w:highlight w:val="none"/>
                <w:lang w:val="en-US" w:eastAsia="zh-CN"/>
              </w:rPr>
              <w:t>18</w:t>
            </w:r>
          </w:p>
        </w:tc>
        <w:tc>
          <w:tcPr>
            <w:tcW w:w="951" w:type="dxa"/>
            <w:noWrap w:val="0"/>
            <w:vAlign w:val="center"/>
          </w:tcPr>
          <w:p w14:paraId="0F138C8D">
            <w:pPr>
              <w:widowControl/>
              <w:spacing w:line="360" w:lineRule="auto"/>
              <w:jc w:val="center"/>
              <w:rPr>
                <w:rFonts w:hint="eastAsia" w:ascii="宋体" w:hAnsi="宋体" w:eastAsia="宋体" w:cs="宋体"/>
                <w:b w:val="0"/>
                <w:bCs w:val="0"/>
                <w:color w:val="auto"/>
                <w:szCs w:val="24"/>
                <w:highlight w:val="none"/>
                <w:lang w:eastAsia="zh-CN"/>
              </w:rPr>
            </w:pPr>
            <w:r>
              <w:rPr>
                <w:rFonts w:hint="eastAsia" w:hAnsi="宋体" w:cs="宋体"/>
                <w:b w:val="0"/>
                <w:bCs w:val="0"/>
                <w:color w:val="auto"/>
                <w:szCs w:val="24"/>
                <w:highlight w:val="none"/>
                <w:lang w:eastAsia="zh-CN"/>
              </w:rPr>
              <w:t>其他</w:t>
            </w:r>
          </w:p>
        </w:tc>
        <w:tc>
          <w:tcPr>
            <w:tcW w:w="7354" w:type="dxa"/>
            <w:noWrap w:val="0"/>
            <w:vAlign w:val="center"/>
          </w:tcPr>
          <w:p w14:paraId="4299A23A">
            <w:pPr>
              <w:spacing w:line="360" w:lineRule="auto"/>
              <w:ind w:firstLine="480" w:firstLineChars="200"/>
              <w:rPr>
                <w:rFonts w:hint="eastAsia" w:ascii="宋体" w:hAnsi="宋体" w:eastAsia="宋体" w:cs="宋体"/>
                <w:color w:val="auto"/>
                <w:szCs w:val="32"/>
                <w:highlight w:val="none"/>
              </w:rPr>
            </w:pPr>
            <w:r>
              <w:rPr>
                <w:rFonts w:hint="eastAsia" w:ascii="宋体" w:hAnsi="宋体" w:eastAsia="宋体" w:cs="宋体"/>
                <w:color w:val="auto"/>
                <w:szCs w:val="32"/>
                <w:highlight w:val="none"/>
              </w:rPr>
              <w:t>为了进一步推动金融支持政策更好适应市场主体的需要，扎实落实国务院关于支持中小企业发展的政策措施，积极发挥政府采购政策功能，有效缓解中小企业融资难、融资贵问题，根据中办、国办《关于促进中小企业健康发展的指导意见》、财政部、工信部《政府采购促进中小企业发展管理办法》（财库〔2020〕46 号）、《陕西省中小企业政府采购信用融资办法》（陕财办采【2018】23 号）、《陕西省财政厅关于加快推进我省中小企业政府采购信用融资工作的通知》陕财办采 【2020】15 号）等有关规定，按照市场主导、财政引导、银企自愿、风险自担的原则，中标（成交）供应商可根据自身资金需求，登录陕西省政府采购信用融资平台</w:t>
            </w:r>
          </w:p>
          <w:p w14:paraId="74EA870F">
            <w:pPr>
              <w:spacing w:line="360" w:lineRule="auto"/>
              <w:rPr>
                <w:rFonts w:hint="eastAsia" w:ascii="宋体" w:hAnsi="宋体" w:eastAsia="宋体" w:cs="宋体"/>
                <w:color w:val="auto"/>
                <w:szCs w:val="32"/>
                <w:highlight w:val="none"/>
              </w:rPr>
            </w:pPr>
            <w:r>
              <w:rPr>
                <w:rFonts w:hint="eastAsia" w:ascii="宋体" w:hAnsi="宋体" w:eastAsia="宋体" w:cs="宋体"/>
                <w:color w:val="auto"/>
                <w:szCs w:val="32"/>
                <w:highlight w:val="none"/>
              </w:rPr>
              <w:t>(http://www.ccgp-shaanxi.gov.cn/zcdservice/zcd/shan xi/）在线申请，依法参加政府采购信用融资活动。</w:t>
            </w:r>
          </w:p>
          <w:p w14:paraId="61669FAA">
            <w:pPr>
              <w:spacing w:line="500" w:lineRule="exact"/>
              <w:ind w:firstLine="480" w:firstLineChars="200"/>
              <w:rPr>
                <w:rFonts w:hint="eastAsia" w:ascii="宋体" w:hAnsi="宋体" w:eastAsia="宋体" w:cs="宋体"/>
                <w:b/>
                <w:bCs/>
                <w:color w:val="auto"/>
                <w:szCs w:val="24"/>
                <w:highlight w:val="none"/>
              </w:rPr>
            </w:pPr>
            <w:r>
              <w:rPr>
                <w:rFonts w:hint="eastAsia" w:ascii="宋体" w:hAnsi="宋体" w:eastAsia="宋体" w:cs="宋体"/>
                <w:color w:val="auto"/>
                <w:szCs w:val="32"/>
                <w:highlight w:val="none"/>
              </w:rPr>
              <w:t>目前的合作银行有∶北京银行、中国建设银行、中信银行、中国平安银行、中国光大银行、浦发银行、兴业银行、中国工商银行、秦农银行、浙商银行、中国银行、西安银行、中国农业银行、中国邮政储蓄银行（排名不分先后）。</w:t>
            </w:r>
          </w:p>
        </w:tc>
      </w:tr>
      <w:bookmarkEnd w:id="9"/>
      <w:bookmarkEnd w:id="10"/>
      <w:bookmarkEnd w:id="11"/>
    </w:tbl>
    <w:p w14:paraId="313DAD9B">
      <w:pPr>
        <w:spacing w:before="156" w:beforeLines="50" w:after="156" w:afterLines="50"/>
        <w:jc w:val="center"/>
        <w:outlineLvl w:val="2"/>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rPr>
        <w:br w:type="page"/>
      </w:r>
      <w:bookmarkStart w:id="28" w:name="_Toc9312"/>
      <w:bookmarkStart w:id="29" w:name="_Toc3623"/>
      <w:bookmarkStart w:id="30" w:name="_Toc27537"/>
      <w:r>
        <w:rPr>
          <w:rFonts w:hint="eastAsia" w:ascii="宋体" w:hAnsi="宋体" w:eastAsia="宋体" w:cs="宋体"/>
          <w:b/>
          <w:color w:val="auto"/>
          <w:sz w:val="32"/>
          <w:szCs w:val="32"/>
          <w:highlight w:val="none"/>
        </w:rPr>
        <w:t>一.总  则</w:t>
      </w:r>
      <w:bookmarkEnd w:id="25"/>
      <w:bookmarkEnd w:id="26"/>
      <w:bookmarkEnd w:id="27"/>
      <w:bookmarkEnd w:id="28"/>
      <w:bookmarkEnd w:id="29"/>
      <w:bookmarkEnd w:id="30"/>
    </w:p>
    <w:p w14:paraId="53A95AEA">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1.资金来源</w:t>
      </w:r>
    </w:p>
    <w:p w14:paraId="6B69F051">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1.1本次竞争性磋商所签合同使用财政资金支付，资金已落实到位。</w:t>
      </w:r>
    </w:p>
    <w:p w14:paraId="111E8835">
      <w:pPr>
        <w:numPr>
          <w:ilvl w:val="0"/>
          <w:numId w:val="1"/>
        </w:numPr>
        <w:spacing w:line="500" w:lineRule="exact"/>
        <w:rPr>
          <w:rFonts w:hint="eastAsia" w:ascii="宋体" w:hAnsi="宋体" w:eastAsia="宋体" w:cs="宋体"/>
          <w:b/>
          <w:color w:val="auto"/>
          <w:szCs w:val="24"/>
          <w:highlight w:val="none"/>
        </w:rPr>
      </w:pPr>
      <w:bookmarkStart w:id="31" w:name="_Toc363473973"/>
      <w:bookmarkStart w:id="32" w:name="_Toc363474018"/>
      <w:bookmarkStart w:id="33" w:name="_Toc403077640"/>
      <w:r>
        <w:rPr>
          <w:rFonts w:hint="eastAsia" w:ascii="宋体" w:hAnsi="宋体" w:eastAsia="宋体" w:cs="宋体"/>
          <w:b/>
          <w:color w:val="auto"/>
          <w:szCs w:val="24"/>
          <w:highlight w:val="none"/>
        </w:rPr>
        <w:t>名词解释</w:t>
      </w:r>
    </w:p>
    <w:p w14:paraId="0BA4B548">
      <w:pPr>
        <w:tabs>
          <w:tab w:val="left" w:pos="7665"/>
        </w:tabs>
        <w:spacing w:line="360" w:lineRule="auto"/>
        <w:ind w:firstLine="480" w:firstLineChars="200"/>
        <w:rPr>
          <w:rFonts w:hint="eastAsia" w:ascii="宋体" w:hAnsi="宋体" w:eastAsia="宋体" w:cs="宋体"/>
          <w:color w:val="auto"/>
          <w:szCs w:val="22"/>
          <w:highlight w:val="none"/>
          <w:lang w:eastAsia="zh-CN"/>
        </w:rPr>
      </w:pPr>
      <w:r>
        <w:rPr>
          <w:rFonts w:hint="eastAsia" w:ascii="宋体" w:hAnsi="宋体" w:eastAsia="宋体" w:cs="宋体"/>
          <w:color w:val="auto"/>
          <w:szCs w:val="22"/>
          <w:highlight w:val="none"/>
        </w:rPr>
        <w:t>2.1采购人：</w:t>
      </w:r>
      <w:r>
        <w:rPr>
          <w:rFonts w:hint="eastAsia" w:hAnsi="宋体" w:cs="宋体"/>
          <w:color w:val="auto"/>
          <w:szCs w:val="22"/>
          <w:highlight w:val="none"/>
          <w:lang w:eastAsia="zh-CN"/>
        </w:rPr>
        <w:t>安康职业技术学院</w:t>
      </w:r>
    </w:p>
    <w:p w14:paraId="3515B8A0">
      <w:pPr>
        <w:tabs>
          <w:tab w:val="left" w:pos="7665"/>
        </w:tabs>
        <w:spacing w:line="360" w:lineRule="auto"/>
        <w:ind w:firstLine="480" w:firstLineChars="200"/>
        <w:rPr>
          <w:rFonts w:hint="eastAsia" w:ascii="宋体" w:hAnsi="宋体" w:eastAsia="宋体" w:cs="宋体"/>
          <w:color w:val="auto"/>
          <w:szCs w:val="22"/>
          <w:highlight w:val="none"/>
        </w:rPr>
      </w:pPr>
      <w:r>
        <w:rPr>
          <w:rFonts w:hint="eastAsia" w:ascii="宋体" w:hAnsi="宋体" w:eastAsia="宋体" w:cs="宋体"/>
          <w:color w:val="auto"/>
          <w:szCs w:val="22"/>
          <w:highlight w:val="none"/>
        </w:rPr>
        <w:t>2.2监督机构：</w:t>
      </w:r>
      <w:r>
        <w:rPr>
          <w:rFonts w:hint="eastAsia" w:hAnsi="宋体" w:cs="宋体"/>
          <w:color w:val="auto"/>
          <w:szCs w:val="22"/>
          <w:highlight w:val="none"/>
          <w:lang w:eastAsia="zh-CN"/>
        </w:rPr>
        <w:t>同级人民财政部门</w:t>
      </w:r>
    </w:p>
    <w:p w14:paraId="519A0B5D">
      <w:pPr>
        <w:tabs>
          <w:tab w:val="left" w:pos="7665"/>
        </w:tabs>
        <w:spacing w:line="360" w:lineRule="auto"/>
        <w:ind w:firstLine="480" w:firstLineChars="200"/>
        <w:rPr>
          <w:rFonts w:hint="eastAsia" w:ascii="宋体" w:hAnsi="宋体" w:eastAsia="宋体" w:cs="宋体"/>
          <w:color w:val="auto"/>
          <w:highlight w:val="none"/>
          <w:lang w:eastAsia="zh-CN"/>
        </w:rPr>
      </w:pPr>
      <w:r>
        <w:rPr>
          <w:rFonts w:hint="eastAsia" w:ascii="宋体" w:hAnsi="宋体" w:eastAsia="宋体" w:cs="宋体"/>
          <w:color w:val="auto"/>
          <w:szCs w:val="22"/>
          <w:highlight w:val="none"/>
        </w:rPr>
        <w:t>2.3采购代理机构：</w:t>
      </w:r>
      <w:r>
        <w:rPr>
          <w:rFonts w:hint="eastAsia" w:hAnsi="宋体" w:cs="宋体"/>
          <w:color w:val="auto"/>
          <w:szCs w:val="22"/>
          <w:highlight w:val="none"/>
          <w:lang w:eastAsia="zh-CN"/>
        </w:rPr>
        <w:t>陕西至诚项目管理集团有限公司</w:t>
      </w:r>
    </w:p>
    <w:p w14:paraId="5DAA0777">
      <w:pPr>
        <w:tabs>
          <w:tab w:val="left" w:pos="7665"/>
        </w:tabs>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2.4供应商：是指响应和符合竞争性磋商文件规定资格条件且参与竞争性磋商的法人、其他组织或者自然人。</w:t>
      </w:r>
    </w:p>
    <w:p w14:paraId="07F1A51F">
      <w:pPr>
        <w:adjustRightInd w:val="0"/>
        <w:snapToGrid w:val="0"/>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2.5产品是指本竞争性磋商文件中第四章所述所有产品。</w:t>
      </w:r>
    </w:p>
    <w:p w14:paraId="36B401FC">
      <w:pPr>
        <w:adjustRightInd w:val="0"/>
        <w:snapToGrid w:val="0"/>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2.6服务是指供应商为满足竞争性磋商文件要求而提供的服务。</w:t>
      </w:r>
    </w:p>
    <w:p w14:paraId="4E1060FC">
      <w:pPr>
        <w:adjustRightInd w:val="0"/>
        <w:snapToGrid w:val="0"/>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2.7节能产品或者环保产品是指依据国家确定的认证机构出具的、处于有效期之内的具有节能产品、环境标志产品认证证书的产品。</w:t>
      </w:r>
    </w:p>
    <w:p w14:paraId="56810264">
      <w:pPr>
        <w:adjustRightInd w:val="0"/>
        <w:snapToGrid w:val="0"/>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2.8进口产品是指通过中国海关报关验放进入中国境内且产自关境外的产品，详见《关于政府采购进口产品管理有关问题的通知》(财库[2007]119号)。</w:t>
      </w:r>
    </w:p>
    <w:p w14:paraId="05320D06">
      <w:pPr>
        <w:adjustRightInd w:val="0"/>
        <w:snapToGrid w:val="0"/>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2.9中小企业是指符合《工业和信息化部、国家统计局、国家发展和改革委员会、财政部关于印发中小企业划型标准规定的通知》（工信部联企业[2011]300号）规定的对中小企业的划分标准的企业。</w:t>
      </w:r>
    </w:p>
    <w:p w14:paraId="0707D8BB">
      <w:pPr>
        <w:adjustRightInd w:val="0"/>
        <w:snapToGrid w:val="0"/>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2.10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69FBF87">
      <w:pPr>
        <w:adjustRightInd w:val="0"/>
        <w:snapToGrid w:val="0"/>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2.11残疾人福利性单位是指符合《三部门联合发布关于促进残疾人就业政府采购政策的通知》财库〔2017〕141号规定的对残疾人福利性单位划分标准的单位。</w:t>
      </w:r>
    </w:p>
    <w:p w14:paraId="0C504036">
      <w:pPr>
        <w:spacing w:line="500" w:lineRule="exact"/>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3.合格的供应商</w:t>
      </w:r>
    </w:p>
    <w:p w14:paraId="7757D95D">
      <w:pPr>
        <w:tabs>
          <w:tab w:val="left" w:pos="851"/>
        </w:tabs>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3.1《</w:t>
      </w:r>
      <w:r>
        <w:rPr>
          <w:rFonts w:hint="eastAsia" w:hAnsi="宋体" w:cs="宋体"/>
          <w:color w:val="auto"/>
          <w:szCs w:val="24"/>
          <w:highlight w:val="none"/>
          <w:lang w:val="en-US" w:eastAsia="zh-CN"/>
        </w:rPr>
        <w:t>中华人民共和国</w:t>
      </w:r>
      <w:r>
        <w:rPr>
          <w:rFonts w:hint="eastAsia" w:ascii="宋体" w:hAnsi="宋体" w:eastAsia="宋体" w:cs="宋体"/>
          <w:color w:val="auto"/>
          <w:szCs w:val="24"/>
          <w:highlight w:val="none"/>
        </w:rPr>
        <w:t>政府采购法》第二十二条第一款规定的供应商基本资格条件:</w:t>
      </w:r>
    </w:p>
    <w:p w14:paraId="435A5005">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1）具有独立承担民事责任的能力；</w:t>
      </w:r>
    </w:p>
    <w:p w14:paraId="75B285D7">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2）具有良好的商业信誉和健全的财务会计制度；</w:t>
      </w:r>
    </w:p>
    <w:p w14:paraId="7F1FF689">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3）具有履行合同所必需的设备和专业技术能力；</w:t>
      </w:r>
    </w:p>
    <w:p w14:paraId="23338028">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4）有依法缴纳税收和社会保障资金的良好记录；</w:t>
      </w:r>
    </w:p>
    <w:p w14:paraId="5AC0BD9E">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5）参加政府采购活动前三年内，在经营活动中没有重大违法记录；</w:t>
      </w:r>
    </w:p>
    <w:p w14:paraId="7437F6C7">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6）法律、行政法规规定的其他条件。</w:t>
      </w:r>
    </w:p>
    <w:p w14:paraId="2D5690AD">
      <w:pPr>
        <w:spacing w:line="500" w:lineRule="exact"/>
        <w:ind w:firstLine="482" w:firstLineChars="200"/>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3.2根据本次采购项目的特殊要求，规定的供应商特殊条件（见供应商须知前附表）。</w:t>
      </w:r>
    </w:p>
    <w:p w14:paraId="58729D81">
      <w:pPr>
        <w:spacing w:line="500" w:lineRule="exact"/>
        <w:ind w:firstLine="482" w:firstLineChars="200"/>
        <w:rPr>
          <w:rFonts w:hint="eastAsia" w:ascii="宋体" w:hAnsi="宋体" w:eastAsia="宋体" w:cs="宋体"/>
          <w:color w:val="auto"/>
          <w:szCs w:val="24"/>
          <w:highlight w:val="none"/>
        </w:rPr>
      </w:pPr>
      <w:r>
        <w:rPr>
          <w:rFonts w:hint="eastAsia" w:ascii="宋体" w:hAnsi="宋体" w:eastAsia="宋体" w:cs="宋体"/>
          <w:b/>
          <w:bCs/>
          <w:color w:val="auto"/>
          <w:szCs w:val="24"/>
          <w:highlight w:val="none"/>
        </w:rPr>
        <w:t>3.3法定代表人为同一人的两个及两个以上的法人，母公司、全资子公司及其控股公司，都不得在同一项目（分包的按包）的采购中同时参与磋商，否则均为无效磋商。</w:t>
      </w:r>
    </w:p>
    <w:p w14:paraId="0BD3FBA2">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3.4供应商必须在</w:t>
      </w:r>
      <w:r>
        <w:rPr>
          <w:rFonts w:hint="eastAsia" w:hAnsi="宋体" w:cs="宋体"/>
          <w:color w:val="auto"/>
          <w:szCs w:val="24"/>
          <w:highlight w:val="none"/>
          <w:lang w:eastAsia="zh-CN"/>
        </w:rPr>
        <w:t>陕西至诚项目管理集团有限公司</w:t>
      </w:r>
      <w:r>
        <w:rPr>
          <w:rFonts w:hint="eastAsia" w:ascii="宋体" w:hAnsi="宋体" w:eastAsia="宋体" w:cs="宋体"/>
          <w:color w:val="auto"/>
          <w:szCs w:val="24"/>
          <w:highlight w:val="none"/>
        </w:rPr>
        <w:t>购买</w:t>
      </w:r>
      <w:r>
        <w:rPr>
          <w:rFonts w:hint="eastAsia" w:ascii="宋体" w:hAnsi="宋体" w:eastAsia="宋体" w:cs="宋体"/>
          <w:color w:val="auto"/>
          <w:highlight w:val="none"/>
        </w:rPr>
        <w:t>竞争性磋商文件</w:t>
      </w:r>
      <w:r>
        <w:rPr>
          <w:rFonts w:hint="eastAsia" w:ascii="宋体" w:hAnsi="宋体" w:eastAsia="宋体" w:cs="宋体"/>
          <w:color w:val="auto"/>
          <w:szCs w:val="24"/>
          <w:highlight w:val="none"/>
        </w:rPr>
        <w:t>，方可参加磋商。</w:t>
      </w:r>
      <w:r>
        <w:rPr>
          <w:rFonts w:hint="eastAsia" w:ascii="宋体" w:hAnsi="宋体" w:eastAsia="宋体" w:cs="宋体"/>
          <w:color w:val="auto"/>
          <w:highlight w:val="none"/>
        </w:rPr>
        <w:t>竞争性</w:t>
      </w:r>
      <w:r>
        <w:rPr>
          <w:rFonts w:hint="eastAsia" w:ascii="宋体" w:hAnsi="宋体" w:eastAsia="宋体" w:cs="宋体"/>
          <w:color w:val="auto"/>
          <w:szCs w:val="24"/>
          <w:highlight w:val="none"/>
        </w:rPr>
        <w:t>磋商文件售后不退。</w:t>
      </w:r>
    </w:p>
    <w:p w14:paraId="6D810FAB">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3.5本项目不接受联合体磋商。</w:t>
      </w:r>
    </w:p>
    <w:p w14:paraId="3E0A74EB">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3.6磋商费用自理。不论磋商的结果如何，供应商均应自行承担所有与参加磋商有关的费用。</w:t>
      </w:r>
    </w:p>
    <w:p w14:paraId="2378E834">
      <w:pPr>
        <w:tabs>
          <w:tab w:val="left" w:pos="747"/>
        </w:tabs>
        <w:snapToGrid w:val="0"/>
        <w:spacing w:line="500" w:lineRule="exact"/>
        <w:rPr>
          <w:rFonts w:hint="eastAsia" w:ascii="宋体" w:hAnsi="宋体" w:eastAsia="宋体" w:cs="宋体"/>
          <w:b/>
          <w:bCs/>
          <w:color w:val="auto"/>
          <w:highlight w:val="none"/>
        </w:rPr>
      </w:pPr>
      <w:r>
        <w:rPr>
          <w:rFonts w:hint="eastAsia" w:ascii="宋体" w:hAnsi="宋体" w:eastAsia="宋体" w:cs="宋体"/>
          <w:b/>
          <w:bCs/>
          <w:color w:val="auto"/>
          <w:highlight w:val="none"/>
        </w:rPr>
        <w:t>4.</w:t>
      </w:r>
      <w:r>
        <w:rPr>
          <w:rFonts w:hint="eastAsia" w:ascii="宋体" w:hAnsi="宋体" w:eastAsia="宋体" w:cs="宋体"/>
          <w:b/>
          <w:color w:val="auto"/>
          <w:szCs w:val="24"/>
          <w:highlight w:val="none"/>
        </w:rPr>
        <w:t>.竞争性磋商产品（含服务）的合格性和合法性</w:t>
      </w:r>
    </w:p>
    <w:p w14:paraId="103C7E44">
      <w:pPr>
        <w:tabs>
          <w:tab w:val="left" w:pos="747"/>
        </w:tabs>
        <w:snapToGrid w:val="0"/>
        <w:spacing w:line="5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szCs w:val="24"/>
          <w:highlight w:val="none"/>
        </w:rPr>
        <w:t>4.1竞争性磋商产品（含服务）应满足竞争性磋商文件的要求并应符合国家法律法规、行业管理部门要求的其他强制性标准。</w:t>
      </w:r>
      <w:r>
        <w:rPr>
          <w:rFonts w:hint="eastAsia" w:ascii="宋体" w:hAnsi="宋体" w:eastAsia="宋体" w:cs="宋体"/>
          <w:color w:val="auto"/>
          <w:highlight w:val="none"/>
        </w:rPr>
        <w:t>并满足竞争性磋商文件规定的质量、价格、有效期、售后服务及供应商须承担的运输、配送、技术支持和竞争性磋商文件规定的其他伴随服务等要求。</w:t>
      </w:r>
    </w:p>
    <w:p w14:paraId="3B66F907">
      <w:pPr>
        <w:tabs>
          <w:tab w:val="left" w:pos="747"/>
        </w:tabs>
        <w:snapToGrid w:val="0"/>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highlight w:val="none"/>
        </w:rPr>
        <w:t>4.2采购人有权拒绝接受任何不合格的产品和服务，由此产生的费用及相关后果均由供应商自行承担。</w:t>
      </w:r>
    </w:p>
    <w:p w14:paraId="281099F3">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5.竞争性磋商响应文件内容的真实性</w:t>
      </w:r>
    </w:p>
    <w:p w14:paraId="1F9D1969">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5.1供应商应保证其磋商响应文件中所提供的所有有关磋商的资料、信息是真实的、并且来源于合法的渠道。因磋商响应文件中所提供的有关磋商的资料、信息不真实、或者其来源不合法而导致的所有法律责任，由供应商自行承担。</w:t>
      </w:r>
    </w:p>
    <w:bookmarkEnd w:id="31"/>
    <w:bookmarkEnd w:id="32"/>
    <w:bookmarkEnd w:id="33"/>
    <w:p w14:paraId="2CC0CFF6">
      <w:pPr>
        <w:keepNext/>
        <w:keepLines/>
        <w:spacing w:before="312" w:beforeLines="100" w:after="156" w:afterLines="50" w:line="360" w:lineRule="auto"/>
        <w:jc w:val="center"/>
        <w:outlineLvl w:val="2"/>
        <w:rPr>
          <w:rFonts w:hint="eastAsia" w:ascii="宋体" w:hAnsi="宋体" w:eastAsia="宋体" w:cs="宋体"/>
          <w:b/>
          <w:color w:val="auto"/>
          <w:sz w:val="32"/>
          <w:szCs w:val="32"/>
          <w:highlight w:val="none"/>
        </w:rPr>
      </w:pPr>
      <w:bookmarkStart w:id="34" w:name="_Toc23109"/>
      <w:bookmarkStart w:id="35" w:name="_Toc27903"/>
      <w:bookmarkStart w:id="36" w:name="_Toc31742"/>
      <w:bookmarkStart w:id="37" w:name="_Toc403077641"/>
      <w:bookmarkStart w:id="38" w:name="_Toc363474019"/>
      <w:bookmarkStart w:id="39" w:name="_Toc26653"/>
      <w:bookmarkStart w:id="40" w:name="_Toc28227"/>
      <w:bookmarkStart w:id="41" w:name="_Toc363473974"/>
      <w:r>
        <w:rPr>
          <w:rFonts w:hint="eastAsia" w:ascii="宋体" w:hAnsi="宋体" w:eastAsia="宋体" w:cs="宋体"/>
          <w:b/>
          <w:color w:val="auto"/>
          <w:sz w:val="32"/>
          <w:szCs w:val="32"/>
          <w:highlight w:val="none"/>
        </w:rPr>
        <w:t>二.竞争性磋商文件</w:t>
      </w:r>
      <w:bookmarkEnd w:id="34"/>
      <w:bookmarkEnd w:id="35"/>
      <w:bookmarkEnd w:id="36"/>
    </w:p>
    <w:p w14:paraId="3664D4D3">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6.竞争性磋商文件构成</w:t>
      </w:r>
    </w:p>
    <w:p w14:paraId="35E1392A">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6.1 竞争性磋商文件规定了要求提供的产品和服务，磋商程序和合同条件在竞争性磋商文件中均有说明。竞争性磋商文件共六章，内容如下：</w:t>
      </w:r>
    </w:p>
    <w:p w14:paraId="7CB54C9E">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第一章 竞争性磋商公告</w:t>
      </w:r>
    </w:p>
    <w:p w14:paraId="4C86BFF1">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第二章 供应商须知</w:t>
      </w:r>
    </w:p>
    <w:p w14:paraId="0B107773">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第三章 评审方法    </w:t>
      </w:r>
    </w:p>
    <w:p w14:paraId="036DBF13">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第</w:t>
      </w:r>
      <w:r>
        <w:rPr>
          <w:rFonts w:hint="eastAsia" w:ascii="宋体" w:hAnsi="宋体" w:eastAsia="宋体" w:cs="宋体"/>
          <w:color w:val="auto"/>
          <w:szCs w:val="24"/>
          <w:highlight w:val="none"/>
          <w:lang w:val="en-US" w:eastAsia="zh-CN"/>
        </w:rPr>
        <w:t>四</w:t>
      </w:r>
      <w:r>
        <w:rPr>
          <w:rFonts w:hint="eastAsia" w:ascii="宋体" w:hAnsi="宋体" w:eastAsia="宋体" w:cs="宋体"/>
          <w:color w:val="auto"/>
          <w:szCs w:val="24"/>
          <w:highlight w:val="none"/>
        </w:rPr>
        <w:t>章 合同条款及格式</w:t>
      </w:r>
    </w:p>
    <w:p w14:paraId="4CC48D59">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第五章 磋商内容及技术要求</w:t>
      </w:r>
    </w:p>
    <w:p w14:paraId="399D7D94">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第六章 竞争性磋商响应文件构成及格式  </w:t>
      </w:r>
    </w:p>
    <w:p w14:paraId="6DE28321">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6.2 供应商应认真阅读竞争性磋商文件中所有的事项、格式、条款和规范等要求。如果供应商没有按照竞争性磋商文件要求提交全部资料，或者竞争性磋商响应文件没有对竞争性磋商文件在各方面都做出实质性响应，由此带来不利于供应商的磋商结果，其风险由供应商承担。</w:t>
      </w:r>
    </w:p>
    <w:p w14:paraId="5210CBFD">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6.3本竞争性磋商文件的解释权归</w:t>
      </w:r>
      <w:r>
        <w:rPr>
          <w:rFonts w:hint="eastAsia" w:hAnsi="宋体" w:cs="宋体"/>
          <w:color w:val="auto"/>
          <w:szCs w:val="24"/>
          <w:highlight w:val="none"/>
          <w:lang w:eastAsia="zh-CN"/>
        </w:rPr>
        <w:t>陕西至诚项目管理集团有限公司</w:t>
      </w:r>
      <w:r>
        <w:rPr>
          <w:rFonts w:hint="eastAsia" w:ascii="宋体" w:hAnsi="宋体" w:eastAsia="宋体" w:cs="宋体"/>
          <w:color w:val="auto"/>
          <w:szCs w:val="24"/>
          <w:highlight w:val="none"/>
        </w:rPr>
        <w:t>，如发现竞争性磋商响应文件内容与现行法律法规不相符的情况，以现行法律法规为准。</w:t>
      </w:r>
    </w:p>
    <w:p w14:paraId="1FA2F300">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7.竞争性磋商文件的修改和澄清</w:t>
      </w:r>
    </w:p>
    <w:p w14:paraId="130DEE22">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7.1在磋商响应文件递交截止时间3日前，采购代理机构可以视采购具体情况，延长竞争性磋商响应文件递交截止时间和磋商时间并在财政部门指定的媒体上发布变更公告，同时将变更时间书面通知所有获取竞争性磋商文件的供应商。</w:t>
      </w:r>
    </w:p>
    <w:p w14:paraId="053899A4">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7.2采购代理机构如果对已发出的竞争性磋商文件进行必要的澄清或者修改，将在竞争性磋商文件要求提交竞争性磋商响应文件截止时间5日前，以书面形式通知所有获取竞争性磋商文件的供应商。该澄清或者修改的内容为竞争性磋商文件的组成部分。</w:t>
      </w:r>
    </w:p>
    <w:p w14:paraId="751FE7BF">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7.3已经购买竞争性磋商文件的供应商对竞争性磋商文件有疑问的，均应在磋商截止日期3日前以书面形式向采购代理机构提出。采购代理机构视情况必要时将书面答复传送给所有获取竞争性磋商文件的供应商。</w:t>
      </w:r>
    </w:p>
    <w:p w14:paraId="31D14DE7">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7.4供应商在收到上述通知后，应立即向采购代理机构回函确认。</w:t>
      </w:r>
    </w:p>
    <w:p w14:paraId="1DFC2940">
      <w:pPr>
        <w:keepNext/>
        <w:keepLines/>
        <w:spacing w:before="312" w:beforeLines="100" w:after="156" w:afterLines="50" w:line="360" w:lineRule="auto"/>
        <w:jc w:val="center"/>
        <w:outlineLvl w:val="2"/>
        <w:rPr>
          <w:rFonts w:hint="eastAsia" w:ascii="宋体" w:hAnsi="宋体" w:eastAsia="宋体" w:cs="宋体"/>
          <w:b/>
          <w:color w:val="auto"/>
          <w:sz w:val="32"/>
          <w:szCs w:val="32"/>
          <w:highlight w:val="none"/>
        </w:rPr>
      </w:pPr>
      <w:bookmarkStart w:id="42" w:name="_Toc30934"/>
      <w:r>
        <w:rPr>
          <w:rFonts w:hint="eastAsia" w:ascii="宋体" w:hAnsi="宋体" w:eastAsia="宋体" w:cs="宋体"/>
          <w:b/>
          <w:color w:val="auto"/>
          <w:sz w:val="32"/>
          <w:szCs w:val="32"/>
          <w:highlight w:val="none"/>
        </w:rPr>
        <w:t>三.磋商响应文件的编制</w:t>
      </w:r>
      <w:bookmarkEnd w:id="37"/>
      <w:bookmarkEnd w:id="38"/>
      <w:bookmarkEnd w:id="39"/>
      <w:bookmarkEnd w:id="40"/>
      <w:bookmarkEnd w:id="41"/>
      <w:bookmarkEnd w:id="42"/>
    </w:p>
    <w:p w14:paraId="36B296D3">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8. 磋商语言和磋商货币</w:t>
      </w:r>
    </w:p>
    <w:p w14:paraId="00ED4776">
      <w:pPr>
        <w:spacing w:line="360" w:lineRule="auto"/>
        <w:ind w:firstLine="480" w:firstLineChars="200"/>
        <w:rPr>
          <w:rFonts w:hint="eastAsia" w:ascii="宋体" w:hAnsi="宋体" w:eastAsia="宋体" w:cs="宋体"/>
          <w:b/>
          <w:color w:val="auto"/>
          <w:szCs w:val="24"/>
          <w:highlight w:val="none"/>
        </w:rPr>
      </w:pPr>
      <w:r>
        <w:rPr>
          <w:rFonts w:hint="eastAsia" w:ascii="宋体" w:hAnsi="宋体" w:eastAsia="宋体" w:cs="宋体"/>
          <w:color w:val="auto"/>
          <w:szCs w:val="24"/>
          <w:highlight w:val="none"/>
        </w:rPr>
        <w:t>8.1供应商提交的竞争性磋商响应文件以及供应商与采购代理机构就有关磋商的所有来往函电均应使用中文。</w:t>
      </w:r>
    </w:p>
    <w:p w14:paraId="776ACF6E">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8.2磋商应以人民币报价。任何包含非人民币报价的磋商将按无效磋商处理。</w:t>
      </w:r>
    </w:p>
    <w:p w14:paraId="4A8E8583">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9.竞争性磋商响应文件的构成</w:t>
      </w:r>
    </w:p>
    <w:p w14:paraId="36472829">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9.1 供应商提交的竞争性磋商响应文件应包含下列部分的内容：</w:t>
      </w:r>
    </w:p>
    <w:p w14:paraId="1A1F2A75">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（1）按照供应商须知的要求和竞争性磋商文件规定格式填写的竞争性磋商响应函、磋商报价表、法定代表人授权委托书。</w:t>
      </w:r>
    </w:p>
    <w:p w14:paraId="136A3181">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（2）按照竞争性磋商文件的要求编制的磋商方案说明。</w:t>
      </w:r>
    </w:p>
    <w:p w14:paraId="0D0010FD">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（3）按照竞争性磋商文件供应商须知前附表的要求提交的资格证明文件；</w:t>
      </w:r>
    </w:p>
    <w:p w14:paraId="024CB122">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（4）按照本须知第14条要求提交的磋商保证金。</w:t>
      </w:r>
    </w:p>
    <w:p w14:paraId="3D4F2EF0">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（5）竞争磋商文件中要求的其他证明文件。</w:t>
      </w:r>
    </w:p>
    <w:p w14:paraId="5F381644">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9.2 如果在竞争性磋商文件中没有允许提供备选方案，则每个供应商只允许提交一个磋商方案，否则，其磋商将按照无效磋商处理。</w:t>
      </w:r>
    </w:p>
    <w:p w14:paraId="603C53B0">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9.3本次磋商的最小单元为“</w:t>
      </w:r>
      <w:r>
        <w:rPr>
          <w:rFonts w:hint="eastAsia" w:hAnsi="宋体" w:cs="宋体"/>
          <w:color w:val="auto"/>
          <w:szCs w:val="24"/>
          <w:highlight w:val="none"/>
          <w:lang w:val="en-US" w:eastAsia="zh-CN"/>
        </w:rPr>
        <w:t>标包</w:t>
      </w:r>
      <w:r>
        <w:rPr>
          <w:rFonts w:hint="eastAsia" w:ascii="宋体" w:hAnsi="宋体" w:eastAsia="宋体" w:cs="宋体"/>
          <w:color w:val="auto"/>
          <w:szCs w:val="24"/>
          <w:highlight w:val="none"/>
        </w:rPr>
        <w:t>”，供应商可根据自身的资质情况和经营范围对本次项目进行磋商，不得将其子目再行分解或只对本次项目中的品目进行不完全磋商，任何不完全的响应将会被拒绝。</w:t>
      </w:r>
    </w:p>
    <w:p w14:paraId="736E5B4B">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 xml:space="preserve">10.竞争性磋商响应文件格式 </w:t>
      </w:r>
    </w:p>
    <w:p w14:paraId="1E788C31">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10.1 供应商应按照竞争性磋商文件中第六章“竞争性磋商响应文件格式及构成”所提供的格式和要求制作竞争性磋商响应文件，明确表达磋商意愿，详细说明磋商方案、承诺及价格。</w:t>
      </w:r>
    </w:p>
    <w:p w14:paraId="0662B1D5">
      <w:pPr>
        <w:spacing w:line="360" w:lineRule="auto"/>
        <w:ind w:firstLine="480" w:firstLineChars="200"/>
        <w:rPr>
          <w:rFonts w:hint="eastAsia" w:ascii="宋体" w:hAnsi="宋体" w:eastAsia="宋体" w:cs="宋体"/>
          <w:b/>
          <w:bCs/>
          <w:color w:val="auto"/>
          <w:szCs w:val="24"/>
          <w:highlight w:val="none"/>
        </w:rPr>
      </w:pPr>
      <w:r>
        <w:rPr>
          <w:rFonts w:hint="eastAsia" w:ascii="宋体" w:hAnsi="宋体" w:eastAsia="宋体" w:cs="宋体"/>
          <w:color w:val="auto"/>
          <w:szCs w:val="24"/>
          <w:highlight w:val="none"/>
        </w:rPr>
        <w:t>10.2按竞争性磋商文件第9条的内容及要求和第六章提供的格式和要求编写其竞争性磋商响应文件，供应商不得缺少或留空任何竞争性磋商文件要求填写的表格或提交的资料。</w:t>
      </w:r>
    </w:p>
    <w:p w14:paraId="54011873">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11.磋商报价</w:t>
      </w:r>
    </w:p>
    <w:p w14:paraId="2345761A">
      <w:pPr>
        <w:spacing w:line="360" w:lineRule="auto"/>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11.1磋商报价：磋商报价是供应商为完成本项目要求的全部服务内容最终价格的体现。</w:t>
      </w:r>
    </w:p>
    <w:p w14:paraId="7CB33BDB">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供应商所报的价格应考虑到可能发生的所有与完成本项目相关服务及履行合同义务有关的一切费用。</w:t>
      </w:r>
    </w:p>
    <w:p w14:paraId="59E1EC2C">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11.2磋商报价表中标明本次服务的价格，任何有选择的报价将不予接受，按无效文件处理。所有价格均以人民币报价。</w:t>
      </w:r>
    </w:p>
    <w:p w14:paraId="174E931A">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11.3磋商报价表中标明的价格应为履行合同的总报价，不得以任何理由予以变更。以可调整的价格提交的竞争性磋商响应文件将按无效磋商处理。</w:t>
      </w:r>
    </w:p>
    <w:p w14:paraId="3A4B0CBD">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12.证明供应商合格的资格证明文件</w:t>
      </w:r>
    </w:p>
    <w:p w14:paraId="0595F6DE">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12.1供应商应按照竞争性磋商文件供应商须知前附表的要求，在竞争性磋商响应文件中提交合格的资格证明文件。如果资格证明文件不全或不合格的，其磋商响应文件将被作无效文件处理。</w:t>
      </w:r>
    </w:p>
    <w:p w14:paraId="3AB944A1">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13.证明服务符合竞争性磋商文件规定的文件</w:t>
      </w:r>
    </w:p>
    <w:p w14:paraId="0CBE3986">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13.1供应商应在竞争性磋商响应文件中提交服务满足竞争性磋商文件要求并符合国家法律法规、行业管理部门要求的其他强制性标准的证明文件。</w:t>
      </w:r>
    </w:p>
    <w:p w14:paraId="6F44E9C6">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13.2 供应商须提供全部服务内容的详细说明。</w:t>
      </w:r>
    </w:p>
    <w:p w14:paraId="74511051">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14.磋商保证金</w:t>
      </w:r>
    </w:p>
    <w:p w14:paraId="4D2A3CFF">
      <w:pPr>
        <w:spacing w:line="360" w:lineRule="auto"/>
        <w:ind w:firstLine="482" w:firstLineChars="200"/>
        <w:rPr>
          <w:rFonts w:hint="eastAsia" w:ascii="宋体" w:hAnsi="宋体" w:eastAsia="宋体" w:cs="宋体"/>
          <w:b/>
          <w:color w:val="auto"/>
          <w:szCs w:val="24"/>
          <w:highlight w:val="none"/>
          <w:lang w:val="en-US" w:eastAsia="zh-CN"/>
        </w:rPr>
      </w:pPr>
      <w:r>
        <w:rPr>
          <w:rFonts w:hint="eastAsia" w:hAnsi="宋体" w:cs="宋体"/>
          <w:b/>
          <w:color w:val="auto"/>
          <w:szCs w:val="24"/>
          <w:highlight w:val="none"/>
          <w:lang w:val="en-US" w:eastAsia="zh-CN"/>
        </w:rPr>
        <w:t>无</w:t>
      </w:r>
    </w:p>
    <w:p w14:paraId="7938B661">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15.磋商有效期</w:t>
      </w:r>
    </w:p>
    <w:p w14:paraId="216A61EA">
      <w:pPr>
        <w:spacing w:line="360" w:lineRule="auto"/>
        <w:ind w:firstLine="480" w:firstLineChars="200"/>
        <w:rPr>
          <w:rFonts w:hint="eastAsia" w:ascii="宋体" w:hAnsi="宋体" w:eastAsia="宋体" w:cs="宋体"/>
          <w:color w:val="auto"/>
          <w:szCs w:val="24"/>
          <w:highlight w:val="none"/>
        </w:rPr>
      </w:pPr>
      <w:bookmarkStart w:id="43" w:name="OLE_LINK4"/>
      <w:r>
        <w:rPr>
          <w:rFonts w:hint="eastAsia" w:ascii="宋体" w:hAnsi="宋体" w:eastAsia="宋体" w:cs="宋体"/>
          <w:color w:val="auto"/>
          <w:szCs w:val="24"/>
          <w:highlight w:val="none"/>
        </w:rPr>
        <w:t>15.1磋商响应文件应在“供应商须知前附表”中规定的期限内保持有效。磋商有效期不满足规定有效期的磋商响应文件将被视为非响应性磋商而予以拒绝。</w:t>
      </w:r>
      <w:bookmarkEnd w:id="43"/>
    </w:p>
    <w:p w14:paraId="2CC527C0">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15.2在特殊情况下，在原磋商有效期期满之前，采购代理机构可向供应商提出延长磋商有效期的要求。这种要求与答复均应以书面的形式。供应商可以拒绝采购代理机构的这种要求,其磋商保证金也不被没收。同意延长的供应商既不能要求也不允许修改其竞争性磋商响应文件，但要相应延长其磋商保证金的有效期。在这种情况下，本章第14条有关磋商保证金的退还和没收的规定将在延长了的有效期内继续有效。</w:t>
      </w:r>
    </w:p>
    <w:p w14:paraId="78627E7B">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16.竞争性磋商响应文件的式样和签署</w:t>
      </w:r>
    </w:p>
    <w:p w14:paraId="4559581C">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为确保采购项目顺利开展，本项目采用电子投标文件的方式进行。供应商在投标时须提供电子投标文件（*.SXSTF））。编制电子投标文件时，应使用最新发布的电子招标文件及专用制作工具进行编制。并使用数字认证证书（CA）对电子投标文件进行签署、加密、递交及开标时解密等相关操作。</w:t>
      </w:r>
    </w:p>
    <w:p w14:paraId="01B7AC68">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（1）电子招标文件下载</w:t>
      </w:r>
    </w:p>
    <w:p w14:paraId="76217E33">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供应商登录全国公共资源交易平台（陕西省）网站[电子交易平台-企业端]后，在[我的项目]中点击“项目流程-交易文件下载”下载电子招标文件（*.SXSZF）；投标供应商须在投标文件发售截止日期前登录电子交易平台下载招标文件，否则责任自负；</w:t>
      </w:r>
    </w:p>
    <w:p w14:paraId="118315BC">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特别注意：</w:t>
      </w:r>
    </w:p>
    <w:p w14:paraId="29366C55">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该项目如有变更文件，则应点击“项目流程&gt;答疑文件下载”下载更新后的电子招标文件（*.SXSCF），使用旧版电子招标文件制作的电子投标文件，系统将拒绝接收。</w:t>
      </w:r>
    </w:p>
    <w:p w14:paraId="5C01A1D0">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（2）电子招标文件需要使用专用软件打开、浏览</w:t>
      </w:r>
    </w:p>
    <w:p w14:paraId="5147E3D5">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供应商登录全国公共资源交易平台（陕西省）网站[服务指南-下载专区]免费下载《陕西省公共资源交易平台政府采购电子标书制作工具(V8.0.0.2)》，并升级至最新版本，使用该客户端可以打开电子招标文件。软件操作手册详见全国公共资源交易平台（陕西省）网站[服务指南-下载专区]中的《陕西省公共资源交易（政府采购类）投标文件制作软件操作手册》；</w:t>
      </w:r>
    </w:p>
    <w:p w14:paraId="3AF1E5CA">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（3）制作电子投标文件</w:t>
      </w:r>
    </w:p>
    <w:p w14:paraId="73A0704B">
      <w:pPr>
        <w:spacing w:line="5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szCs w:val="24"/>
          <w:highlight w:val="none"/>
        </w:rPr>
        <w:t>电子投标文件同样需要使用上述软件进行编制。在编制过程中，如有技术性问题，请先翻阅操作手册或致电软件开发商，技术支持热线：4009280095、4009980000。</w:t>
      </w:r>
    </w:p>
    <w:p w14:paraId="78FC5302">
      <w:pPr>
        <w:keepNext/>
        <w:keepLines/>
        <w:spacing w:before="312" w:beforeLines="100" w:after="156" w:afterLines="50" w:line="360" w:lineRule="auto"/>
        <w:jc w:val="center"/>
        <w:outlineLvl w:val="2"/>
        <w:rPr>
          <w:rFonts w:hint="eastAsia" w:ascii="宋体" w:hAnsi="宋体" w:eastAsia="宋体" w:cs="宋体"/>
          <w:b/>
          <w:color w:val="auto"/>
          <w:sz w:val="32"/>
          <w:szCs w:val="32"/>
          <w:highlight w:val="none"/>
        </w:rPr>
      </w:pPr>
      <w:bookmarkStart w:id="44" w:name="_Toc18686"/>
      <w:bookmarkStart w:id="45" w:name="_Toc20799"/>
      <w:bookmarkStart w:id="46" w:name="_Toc2902"/>
      <w:r>
        <w:rPr>
          <w:rFonts w:hint="eastAsia" w:ascii="宋体" w:hAnsi="宋体" w:eastAsia="宋体" w:cs="宋体"/>
          <w:b/>
          <w:color w:val="auto"/>
          <w:sz w:val="32"/>
          <w:szCs w:val="32"/>
          <w:highlight w:val="none"/>
        </w:rPr>
        <w:t>四.竞争性磋商响应文件的递交</w:t>
      </w:r>
      <w:bookmarkEnd w:id="44"/>
      <w:bookmarkEnd w:id="45"/>
      <w:bookmarkEnd w:id="46"/>
    </w:p>
    <w:p w14:paraId="43E6EEE8">
      <w:pPr>
        <w:spacing w:line="360" w:lineRule="auto"/>
        <w:rPr>
          <w:rFonts w:hAnsi="宋体" w:cs="宋体"/>
          <w:b w:val="0"/>
          <w:bCs w:val="0"/>
          <w:color w:val="auto"/>
          <w:szCs w:val="24"/>
          <w:highlight w:val="none"/>
        </w:rPr>
      </w:pPr>
      <w:r>
        <w:rPr>
          <w:rFonts w:hAnsi="宋体"/>
          <w:b w:val="0"/>
          <w:bCs w:val="0"/>
          <w:color w:val="auto"/>
          <w:szCs w:val="24"/>
          <w:highlight w:val="none"/>
        </w:rPr>
        <w:t>17.</w:t>
      </w:r>
      <w:r>
        <w:rPr>
          <w:rFonts w:hint="eastAsia" w:hAnsi="宋体" w:cs="宋体"/>
          <w:b w:val="0"/>
          <w:bCs w:val="0"/>
          <w:color w:val="auto"/>
          <w:szCs w:val="24"/>
          <w:highlight w:val="none"/>
        </w:rPr>
        <w:t>竞争性磋商响应文件的递交</w:t>
      </w:r>
    </w:p>
    <w:p w14:paraId="4DCDDA44">
      <w:pPr>
        <w:spacing w:line="360" w:lineRule="auto"/>
        <w:ind w:firstLine="480" w:firstLineChars="200"/>
        <w:rPr>
          <w:rFonts w:hint="eastAsia" w:ascii="宋体" w:hAnsi="宋体" w:eastAsia="宋体" w:cs="宋体"/>
          <w:b w:val="0"/>
          <w:bCs w:val="0"/>
          <w:color w:val="auto"/>
          <w:szCs w:val="24"/>
          <w:highlight w:val="none"/>
        </w:rPr>
      </w:pPr>
      <w:r>
        <w:rPr>
          <w:rFonts w:hint="eastAsia" w:hAnsi="宋体" w:cs="宋体"/>
          <w:b w:val="0"/>
          <w:bCs w:val="0"/>
          <w:color w:val="auto"/>
          <w:szCs w:val="24"/>
          <w:highlight w:val="none"/>
        </w:rPr>
        <w:t>供应商应按照竞争性磋商公告中规定的时间、地点，在规定的竞争性磋商响应文件递交截止时间前将全部竞争性磋商响应文件和磋商资料递交</w:t>
      </w:r>
      <w:r>
        <w:rPr>
          <w:rFonts w:hint="eastAsia" w:ascii="宋体" w:hAnsi="宋体" w:eastAsia="宋体" w:cs="宋体"/>
          <w:b w:val="0"/>
          <w:bCs w:val="0"/>
          <w:color w:val="auto"/>
          <w:szCs w:val="24"/>
          <w:highlight w:val="none"/>
        </w:rPr>
        <w:t>。</w:t>
      </w:r>
    </w:p>
    <w:p w14:paraId="63896CCA">
      <w:pPr>
        <w:spacing w:line="360" w:lineRule="auto"/>
        <w:rPr>
          <w:rFonts w:hAnsi="宋体"/>
          <w:b w:val="0"/>
          <w:bCs w:val="0"/>
          <w:color w:val="auto"/>
          <w:szCs w:val="24"/>
          <w:highlight w:val="none"/>
        </w:rPr>
      </w:pPr>
      <w:r>
        <w:rPr>
          <w:rFonts w:hint="eastAsia" w:hAnsi="宋体"/>
          <w:b w:val="0"/>
          <w:bCs w:val="0"/>
          <w:color w:val="auto"/>
          <w:szCs w:val="24"/>
          <w:highlight w:val="none"/>
        </w:rPr>
        <w:t>1</w:t>
      </w:r>
      <w:r>
        <w:rPr>
          <w:rFonts w:hAnsi="宋体"/>
          <w:b w:val="0"/>
          <w:bCs w:val="0"/>
          <w:color w:val="auto"/>
          <w:szCs w:val="24"/>
          <w:highlight w:val="none"/>
        </w:rPr>
        <w:t>8．</w:t>
      </w:r>
      <w:r>
        <w:rPr>
          <w:rFonts w:hint="eastAsia" w:hAnsi="宋体"/>
          <w:b w:val="0"/>
          <w:bCs w:val="0"/>
          <w:color w:val="auto"/>
          <w:szCs w:val="24"/>
          <w:highlight w:val="none"/>
        </w:rPr>
        <w:t>无论供应商成交与否，其竞争性磋商响应文件恕不退还。</w:t>
      </w:r>
    </w:p>
    <w:p w14:paraId="16DB01AE">
      <w:pPr>
        <w:spacing w:line="360" w:lineRule="auto"/>
        <w:rPr>
          <w:rFonts w:hAnsi="宋体"/>
          <w:b w:val="0"/>
          <w:bCs w:val="0"/>
          <w:color w:val="auto"/>
          <w:szCs w:val="24"/>
          <w:highlight w:val="none"/>
        </w:rPr>
      </w:pPr>
      <w:r>
        <w:rPr>
          <w:rFonts w:hAnsi="宋体"/>
          <w:b w:val="0"/>
          <w:bCs w:val="0"/>
          <w:color w:val="auto"/>
          <w:szCs w:val="24"/>
          <w:highlight w:val="none"/>
        </w:rPr>
        <w:t>19．</w:t>
      </w:r>
      <w:r>
        <w:rPr>
          <w:rFonts w:hint="eastAsia" w:hAnsi="宋体"/>
          <w:b w:val="0"/>
          <w:bCs w:val="0"/>
          <w:color w:val="auto"/>
          <w:szCs w:val="24"/>
          <w:highlight w:val="none"/>
        </w:rPr>
        <w:t>递交</w:t>
      </w:r>
      <w:r>
        <w:rPr>
          <w:rFonts w:hAnsi="宋体"/>
          <w:b w:val="0"/>
          <w:bCs w:val="0"/>
          <w:color w:val="auto"/>
          <w:szCs w:val="24"/>
          <w:highlight w:val="none"/>
        </w:rPr>
        <w:t>的</w:t>
      </w:r>
      <w:r>
        <w:rPr>
          <w:rFonts w:hint="eastAsia" w:hAnsi="宋体"/>
          <w:b w:val="0"/>
          <w:bCs w:val="0"/>
          <w:color w:val="auto"/>
          <w:szCs w:val="24"/>
          <w:highlight w:val="none"/>
        </w:rPr>
        <w:t>竞争性磋商响应文件</w:t>
      </w:r>
    </w:p>
    <w:p w14:paraId="47CD4912">
      <w:pPr>
        <w:spacing w:line="360" w:lineRule="auto"/>
        <w:ind w:firstLine="480" w:firstLineChars="200"/>
        <w:rPr>
          <w:rFonts w:hAnsi="宋体"/>
          <w:b w:val="0"/>
          <w:bCs w:val="0"/>
          <w:color w:val="auto"/>
          <w:szCs w:val="24"/>
          <w:highlight w:val="none"/>
        </w:rPr>
      </w:pPr>
      <w:r>
        <w:rPr>
          <w:rFonts w:hAnsi="宋体"/>
          <w:b w:val="0"/>
          <w:bCs w:val="0"/>
          <w:color w:val="auto"/>
          <w:szCs w:val="24"/>
          <w:highlight w:val="none"/>
        </w:rPr>
        <w:t>19.1按照</w:t>
      </w:r>
      <w:r>
        <w:rPr>
          <w:rFonts w:hint="eastAsia" w:hAnsi="宋体"/>
          <w:b w:val="0"/>
          <w:bCs w:val="0"/>
          <w:color w:val="auto"/>
          <w:szCs w:val="24"/>
          <w:highlight w:val="none"/>
        </w:rPr>
        <w:t>供应商</w:t>
      </w:r>
      <w:r>
        <w:rPr>
          <w:rFonts w:hAnsi="宋体"/>
          <w:b w:val="0"/>
          <w:bCs w:val="0"/>
          <w:color w:val="auto"/>
          <w:szCs w:val="24"/>
          <w:highlight w:val="none"/>
        </w:rPr>
        <w:t>须知的规定，采购代理机构将拒绝接受在规定的</w:t>
      </w:r>
      <w:r>
        <w:rPr>
          <w:rFonts w:hint="eastAsia" w:hAnsi="宋体"/>
          <w:b w:val="0"/>
          <w:bCs w:val="0"/>
          <w:color w:val="auto"/>
          <w:szCs w:val="24"/>
          <w:highlight w:val="none"/>
        </w:rPr>
        <w:t>磋商</w:t>
      </w:r>
      <w:r>
        <w:rPr>
          <w:rFonts w:hAnsi="宋体"/>
          <w:b w:val="0"/>
          <w:bCs w:val="0"/>
          <w:color w:val="auto"/>
          <w:szCs w:val="24"/>
          <w:highlight w:val="none"/>
        </w:rPr>
        <w:t>截止时间后</w:t>
      </w:r>
      <w:r>
        <w:rPr>
          <w:rFonts w:hint="eastAsia" w:hAnsi="宋体"/>
          <w:b w:val="0"/>
          <w:bCs w:val="0"/>
          <w:color w:val="auto"/>
          <w:szCs w:val="24"/>
          <w:highlight w:val="none"/>
        </w:rPr>
        <w:t>递交</w:t>
      </w:r>
      <w:r>
        <w:rPr>
          <w:rFonts w:hAnsi="宋体"/>
          <w:b w:val="0"/>
          <w:bCs w:val="0"/>
          <w:color w:val="auto"/>
          <w:szCs w:val="24"/>
          <w:highlight w:val="none"/>
        </w:rPr>
        <w:t>的任何</w:t>
      </w:r>
      <w:r>
        <w:rPr>
          <w:rFonts w:hint="eastAsia" w:hAnsi="宋体"/>
          <w:b w:val="0"/>
          <w:bCs w:val="0"/>
          <w:color w:val="auto"/>
          <w:szCs w:val="24"/>
          <w:highlight w:val="none"/>
        </w:rPr>
        <w:t>竞争性磋商响应文件</w:t>
      </w:r>
      <w:r>
        <w:rPr>
          <w:rFonts w:hAnsi="宋体"/>
          <w:b w:val="0"/>
          <w:bCs w:val="0"/>
          <w:color w:val="auto"/>
          <w:szCs w:val="24"/>
          <w:highlight w:val="none"/>
        </w:rPr>
        <w:t>。</w:t>
      </w:r>
    </w:p>
    <w:p w14:paraId="438E3C70">
      <w:pPr>
        <w:spacing w:line="360" w:lineRule="auto"/>
        <w:rPr>
          <w:rFonts w:hAnsi="宋体"/>
          <w:b w:val="0"/>
          <w:bCs w:val="0"/>
          <w:color w:val="auto"/>
          <w:szCs w:val="24"/>
          <w:highlight w:val="none"/>
        </w:rPr>
      </w:pPr>
      <w:r>
        <w:rPr>
          <w:rFonts w:hAnsi="宋体"/>
          <w:b w:val="0"/>
          <w:bCs w:val="0"/>
          <w:color w:val="auto"/>
          <w:szCs w:val="24"/>
          <w:highlight w:val="none"/>
        </w:rPr>
        <w:t>20．</w:t>
      </w:r>
      <w:r>
        <w:rPr>
          <w:rFonts w:hint="eastAsia" w:hAnsi="宋体"/>
          <w:b w:val="0"/>
          <w:bCs w:val="0"/>
          <w:color w:val="auto"/>
          <w:szCs w:val="24"/>
          <w:highlight w:val="none"/>
        </w:rPr>
        <w:t>磋商</w:t>
      </w:r>
      <w:r>
        <w:rPr>
          <w:rFonts w:hAnsi="宋体"/>
          <w:b w:val="0"/>
          <w:bCs w:val="0"/>
          <w:color w:val="auto"/>
          <w:szCs w:val="24"/>
          <w:highlight w:val="none"/>
        </w:rPr>
        <w:t>的修改与撤回</w:t>
      </w:r>
    </w:p>
    <w:p w14:paraId="69045AAE">
      <w:pPr>
        <w:spacing w:line="360" w:lineRule="auto"/>
        <w:ind w:firstLine="480" w:firstLineChars="200"/>
        <w:rPr>
          <w:rFonts w:hAnsi="宋体"/>
          <w:b w:val="0"/>
          <w:bCs w:val="0"/>
          <w:color w:val="auto"/>
          <w:szCs w:val="24"/>
          <w:highlight w:val="none"/>
        </w:rPr>
      </w:pPr>
      <w:r>
        <w:rPr>
          <w:rFonts w:hAnsi="宋体"/>
          <w:b w:val="0"/>
          <w:bCs w:val="0"/>
          <w:color w:val="auto"/>
          <w:szCs w:val="24"/>
          <w:highlight w:val="none"/>
        </w:rPr>
        <w:t xml:space="preserve">20.1 </w:t>
      </w:r>
      <w:r>
        <w:rPr>
          <w:rFonts w:hint="eastAsia" w:hAnsi="宋体"/>
          <w:b w:val="0"/>
          <w:bCs w:val="0"/>
          <w:color w:val="auto"/>
          <w:szCs w:val="24"/>
          <w:highlight w:val="none"/>
        </w:rPr>
        <w:t>供应商</w:t>
      </w:r>
      <w:r>
        <w:rPr>
          <w:rFonts w:hAnsi="宋体"/>
          <w:b w:val="0"/>
          <w:bCs w:val="0"/>
          <w:color w:val="auto"/>
          <w:szCs w:val="24"/>
          <w:highlight w:val="none"/>
        </w:rPr>
        <w:t>在递交</w:t>
      </w:r>
      <w:r>
        <w:rPr>
          <w:rFonts w:hint="eastAsia" w:hAnsi="宋体"/>
          <w:b w:val="0"/>
          <w:bCs w:val="0"/>
          <w:color w:val="auto"/>
          <w:szCs w:val="24"/>
          <w:highlight w:val="none"/>
        </w:rPr>
        <w:t>竞争性磋商响应文件</w:t>
      </w:r>
      <w:r>
        <w:rPr>
          <w:rFonts w:hAnsi="宋体"/>
          <w:b w:val="0"/>
          <w:bCs w:val="0"/>
          <w:color w:val="auto"/>
          <w:szCs w:val="24"/>
          <w:highlight w:val="none"/>
        </w:rPr>
        <w:t>后，可以修改或撤回其</w:t>
      </w:r>
      <w:r>
        <w:rPr>
          <w:rFonts w:hint="eastAsia" w:hAnsi="宋体"/>
          <w:b w:val="0"/>
          <w:bCs w:val="0"/>
          <w:color w:val="auto"/>
          <w:szCs w:val="24"/>
          <w:highlight w:val="none"/>
        </w:rPr>
        <w:t>竞争性磋商响应文件</w:t>
      </w:r>
      <w:r>
        <w:rPr>
          <w:rFonts w:hAnsi="宋体"/>
          <w:b w:val="0"/>
          <w:bCs w:val="0"/>
          <w:color w:val="auto"/>
          <w:szCs w:val="24"/>
          <w:highlight w:val="none"/>
        </w:rPr>
        <w:t>，也可以提出价格变动声明，但</w:t>
      </w:r>
      <w:r>
        <w:rPr>
          <w:rFonts w:hint="eastAsia" w:hAnsi="宋体"/>
          <w:b w:val="0"/>
          <w:bCs w:val="0"/>
          <w:color w:val="auto"/>
          <w:szCs w:val="24"/>
          <w:highlight w:val="none"/>
        </w:rPr>
        <w:t>供应商</w:t>
      </w:r>
      <w:r>
        <w:rPr>
          <w:rFonts w:hAnsi="宋体"/>
          <w:b w:val="0"/>
          <w:bCs w:val="0"/>
          <w:color w:val="auto"/>
          <w:szCs w:val="24"/>
          <w:highlight w:val="none"/>
        </w:rPr>
        <w:t>必须在规定的</w:t>
      </w:r>
      <w:r>
        <w:rPr>
          <w:rFonts w:hint="eastAsia" w:hAnsi="宋体"/>
          <w:b w:val="0"/>
          <w:bCs w:val="0"/>
          <w:color w:val="auto"/>
          <w:szCs w:val="24"/>
          <w:highlight w:val="none"/>
        </w:rPr>
        <w:t>磋商</w:t>
      </w:r>
      <w:r>
        <w:rPr>
          <w:rFonts w:hAnsi="宋体"/>
          <w:b w:val="0"/>
          <w:bCs w:val="0"/>
          <w:color w:val="auto"/>
          <w:szCs w:val="24"/>
          <w:highlight w:val="none"/>
        </w:rPr>
        <w:t>截止时间之前将修改或撤回或变动价格的书面通知文件递交到采购代理机构。</w:t>
      </w:r>
    </w:p>
    <w:p w14:paraId="0883D074">
      <w:pPr>
        <w:spacing w:line="360" w:lineRule="auto"/>
        <w:ind w:firstLine="480" w:firstLineChars="200"/>
        <w:rPr>
          <w:b w:val="0"/>
          <w:bCs w:val="0"/>
          <w:color w:val="auto"/>
          <w:szCs w:val="24"/>
          <w:highlight w:val="none"/>
        </w:rPr>
      </w:pPr>
      <w:r>
        <w:rPr>
          <w:rFonts w:hAnsi="宋体"/>
          <w:b w:val="0"/>
          <w:bCs w:val="0"/>
          <w:color w:val="auto"/>
          <w:szCs w:val="24"/>
          <w:highlight w:val="none"/>
        </w:rPr>
        <w:t>20.</w:t>
      </w:r>
      <w:r>
        <w:rPr>
          <w:rFonts w:hint="eastAsia" w:hAnsi="宋体"/>
          <w:b w:val="0"/>
          <w:bCs w:val="0"/>
          <w:color w:val="auto"/>
          <w:szCs w:val="24"/>
          <w:highlight w:val="none"/>
          <w:lang w:val="en-US" w:eastAsia="zh-CN"/>
        </w:rPr>
        <w:t>2</w:t>
      </w:r>
      <w:r>
        <w:rPr>
          <w:rFonts w:hAnsi="宋体"/>
          <w:b w:val="0"/>
          <w:bCs w:val="0"/>
          <w:color w:val="auto"/>
          <w:szCs w:val="24"/>
          <w:highlight w:val="none"/>
        </w:rPr>
        <w:t xml:space="preserve"> 在</w:t>
      </w:r>
      <w:r>
        <w:rPr>
          <w:rFonts w:hint="eastAsia" w:hAnsi="宋体"/>
          <w:b w:val="0"/>
          <w:bCs w:val="0"/>
          <w:color w:val="auto"/>
          <w:szCs w:val="24"/>
          <w:highlight w:val="none"/>
        </w:rPr>
        <w:t>磋商</w:t>
      </w:r>
      <w:r>
        <w:rPr>
          <w:rFonts w:hAnsi="宋体"/>
          <w:b w:val="0"/>
          <w:bCs w:val="0"/>
          <w:color w:val="auto"/>
          <w:szCs w:val="24"/>
          <w:highlight w:val="none"/>
        </w:rPr>
        <w:t>截止时间之后，</w:t>
      </w:r>
      <w:r>
        <w:rPr>
          <w:rFonts w:hint="eastAsia" w:hAnsi="宋体"/>
          <w:b w:val="0"/>
          <w:bCs w:val="0"/>
          <w:color w:val="auto"/>
          <w:szCs w:val="24"/>
          <w:highlight w:val="none"/>
        </w:rPr>
        <w:t>供应商</w:t>
      </w:r>
      <w:r>
        <w:rPr>
          <w:rFonts w:hAnsi="宋体"/>
          <w:b w:val="0"/>
          <w:bCs w:val="0"/>
          <w:color w:val="auto"/>
          <w:szCs w:val="24"/>
          <w:highlight w:val="none"/>
        </w:rPr>
        <w:t>不得对其</w:t>
      </w:r>
      <w:r>
        <w:rPr>
          <w:rFonts w:hint="eastAsia" w:hAnsi="宋体"/>
          <w:b w:val="0"/>
          <w:bCs w:val="0"/>
          <w:color w:val="auto"/>
          <w:szCs w:val="24"/>
          <w:highlight w:val="none"/>
        </w:rPr>
        <w:t>磋商响应文件</w:t>
      </w:r>
      <w:r>
        <w:rPr>
          <w:rFonts w:hAnsi="宋体"/>
          <w:b w:val="0"/>
          <w:bCs w:val="0"/>
          <w:color w:val="auto"/>
          <w:szCs w:val="24"/>
          <w:highlight w:val="none"/>
        </w:rPr>
        <w:t>做任何修改或撤回。</w:t>
      </w:r>
    </w:p>
    <w:p w14:paraId="23AEAFC5">
      <w:pPr>
        <w:keepNext/>
        <w:keepLines/>
        <w:spacing w:before="312" w:beforeLines="100" w:after="156" w:afterLines="50" w:line="360" w:lineRule="auto"/>
        <w:jc w:val="center"/>
        <w:outlineLvl w:val="2"/>
        <w:rPr>
          <w:rFonts w:hint="eastAsia" w:ascii="宋体" w:hAnsi="宋体" w:eastAsia="宋体" w:cs="宋体"/>
          <w:b/>
          <w:color w:val="auto"/>
          <w:sz w:val="32"/>
          <w:szCs w:val="32"/>
          <w:highlight w:val="none"/>
        </w:rPr>
      </w:pPr>
      <w:bookmarkStart w:id="47" w:name="_Toc13669"/>
      <w:bookmarkStart w:id="48" w:name="_Toc15436"/>
      <w:bookmarkStart w:id="49" w:name="_Toc363474021"/>
      <w:bookmarkStart w:id="50" w:name="_Toc363473976"/>
      <w:bookmarkStart w:id="51" w:name="_Toc403077643"/>
      <w:bookmarkStart w:id="52" w:name="_Toc15469"/>
      <w:r>
        <w:rPr>
          <w:rFonts w:hint="eastAsia" w:ascii="宋体" w:hAnsi="宋体" w:eastAsia="宋体" w:cs="宋体"/>
          <w:b/>
          <w:color w:val="auto"/>
          <w:sz w:val="32"/>
          <w:szCs w:val="32"/>
          <w:highlight w:val="none"/>
        </w:rPr>
        <w:t>五.磋商与评标</w:t>
      </w:r>
      <w:bookmarkEnd w:id="47"/>
      <w:bookmarkEnd w:id="48"/>
      <w:bookmarkEnd w:id="49"/>
      <w:bookmarkEnd w:id="50"/>
      <w:bookmarkEnd w:id="51"/>
      <w:bookmarkEnd w:id="52"/>
    </w:p>
    <w:p w14:paraId="6D2C7A0E">
      <w:pPr>
        <w:spacing w:line="360" w:lineRule="auto"/>
        <w:rPr>
          <w:rFonts w:hAnsi="宋体"/>
          <w:b w:val="0"/>
          <w:bCs w:val="0"/>
          <w:color w:val="auto"/>
          <w:szCs w:val="24"/>
          <w:highlight w:val="none"/>
        </w:rPr>
      </w:pPr>
      <w:r>
        <w:rPr>
          <w:rFonts w:hAnsi="宋体"/>
          <w:b w:val="0"/>
          <w:bCs w:val="0"/>
          <w:color w:val="auto"/>
          <w:szCs w:val="24"/>
          <w:highlight w:val="none"/>
        </w:rPr>
        <w:t>21.</w:t>
      </w:r>
      <w:r>
        <w:rPr>
          <w:rFonts w:hint="eastAsia" w:hAnsi="宋体"/>
          <w:b w:val="0"/>
          <w:bCs w:val="0"/>
          <w:color w:val="auto"/>
          <w:szCs w:val="24"/>
          <w:highlight w:val="none"/>
        </w:rPr>
        <w:t>磋商大会</w:t>
      </w:r>
    </w:p>
    <w:p w14:paraId="4474A869">
      <w:pPr>
        <w:spacing w:line="360" w:lineRule="auto"/>
        <w:ind w:firstLine="480" w:firstLineChars="200"/>
        <w:rPr>
          <w:rFonts w:hAnsi="宋体"/>
          <w:b w:val="0"/>
          <w:bCs w:val="0"/>
          <w:color w:val="auto"/>
          <w:szCs w:val="24"/>
          <w:highlight w:val="none"/>
        </w:rPr>
      </w:pPr>
      <w:r>
        <w:rPr>
          <w:rFonts w:hAnsi="宋体"/>
          <w:b w:val="0"/>
          <w:bCs w:val="0"/>
          <w:color w:val="auto"/>
          <w:szCs w:val="24"/>
          <w:highlight w:val="none"/>
        </w:rPr>
        <w:t>21.1 采购代理机构在规定的时间和地点组织</w:t>
      </w:r>
      <w:r>
        <w:rPr>
          <w:rFonts w:hint="eastAsia" w:hAnsi="宋体"/>
          <w:b w:val="0"/>
          <w:bCs w:val="0"/>
          <w:color w:val="auto"/>
          <w:szCs w:val="24"/>
          <w:highlight w:val="none"/>
        </w:rPr>
        <w:t>竞争性磋商</w:t>
      </w:r>
      <w:r>
        <w:rPr>
          <w:rFonts w:hAnsi="宋体"/>
          <w:b w:val="0"/>
          <w:bCs w:val="0"/>
          <w:color w:val="auto"/>
          <w:szCs w:val="24"/>
          <w:highlight w:val="none"/>
        </w:rPr>
        <w:t>。</w:t>
      </w:r>
      <w:r>
        <w:rPr>
          <w:rFonts w:hint="eastAsia" w:hAnsi="宋体"/>
          <w:b w:val="0"/>
          <w:bCs w:val="0"/>
          <w:color w:val="auto"/>
          <w:szCs w:val="24"/>
          <w:highlight w:val="none"/>
        </w:rPr>
        <w:t>磋商</w:t>
      </w:r>
      <w:r>
        <w:rPr>
          <w:rFonts w:hAnsi="宋体"/>
          <w:b w:val="0"/>
          <w:bCs w:val="0"/>
          <w:color w:val="auto"/>
          <w:szCs w:val="24"/>
          <w:highlight w:val="none"/>
        </w:rPr>
        <w:t>时所有</w:t>
      </w:r>
      <w:r>
        <w:rPr>
          <w:rFonts w:hint="eastAsia" w:hAnsi="宋体"/>
          <w:b w:val="0"/>
          <w:bCs w:val="0"/>
          <w:color w:val="auto"/>
          <w:szCs w:val="24"/>
          <w:highlight w:val="none"/>
        </w:rPr>
        <w:t>供应商</w:t>
      </w:r>
      <w:r>
        <w:rPr>
          <w:rFonts w:hAnsi="宋体"/>
          <w:b w:val="0"/>
          <w:bCs w:val="0"/>
          <w:color w:val="auto"/>
          <w:szCs w:val="24"/>
          <w:highlight w:val="none"/>
        </w:rPr>
        <w:t>代表自愿参加，参加</w:t>
      </w:r>
      <w:r>
        <w:rPr>
          <w:rFonts w:hint="eastAsia" w:hAnsi="宋体"/>
          <w:b w:val="0"/>
          <w:bCs w:val="0"/>
          <w:color w:val="auto"/>
          <w:szCs w:val="24"/>
          <w:highlight w:val="none"/>
        </w:rPr>
        <w:t>磋商</w:t>
      </w:r>
      <w:r>
        <w:rPr>
          <w:rFonts w:hAnsi="宋体"/>
          <w:b w:val="0"/>
          <w:bCs w:val="0"/>
          <w:color w:val="auto"/>
          <w:szCs w:val="24"/>
          <w:highlight w:val="none"/>
        </w:rPr>
        <w:t>的代表应签名报到以证明其出席。</w:t>
      </w:r>
    </w:p>
    <w:p w14:paraId="3AED60DA">
      <w:pPr>
        <w:spacing w:line="360" w:lineRule="auto"/>
        <w:ind w:firstLine="480" w:firstLineChars="200"/>
        <w:rPr>
          <w:rFonts w:hAnsi="宋体"/>
          <w:b w:val="0"/>
          <w:bCs w:val="0"/>
          <w:color w:val="auto"/>
          <w:szCs w:val="24"/>
          <w:highlight w:val="none"/>
        </w:rPr>
      </w:pPr>
      <w:r>
        <w:rPr>
          <w:rFonts w:hint="eastAsia" w:hAnsi="宋体"/>
          <w:b w:val="0"/>
          <w:bCs w:val="0"/>
          <w:color w:val="auto"/>
          <w:szCs w:val="24"/>
          <w:highlight w:val="none"/>
        </w:rPr>
        <w:t>21.2</w:t>
      </w:r>
      <w:r>
        <w:rPr>
          <w:rFonts w:hAnsi="宋体"/>
          <w:b w:val="0"/>
          <w:bCs w:val="0"/>
          <w:color w:val="auto"/>
          <w:szCs w:val="24"/>
          <w:highlight w:val="none"/>
        </w:rPr>
        <w:t>采购代理机构将做</w:t>
      </w:r>
      <w:r>
        <w:rPr>
          <w:rFonts w:hint="eastAsia" w:hAnsi="宋体"/>
          <w:b w:val="0"/>
          <w:bCs w:val="0"/>
          <w:color w:val="auto"/>
          <w:szCs w:val="24"/>
          <w:highlight w:val="none"/>
        </w:rPr>
        <w:t>磋商</w:t>
      </w:r>
      <w:r>
        <w:rPr>
          <w:rFonts w:hAnsi="宋体"/>
          <w:b w:val="0"/>
          <w:bCs w:val="0"/>
          <w:color w:val="auto"/>
          <w:szCs w:val="24"/>
          <w:highlight w:val="none"/>
        </w:rPr>
        <w:t>记录，存档备查。</w:t>
      </w:r>
    </w:p>
    <w:p w14:paraId="5D16A3E4">
      <w:pPr>
        <w:spacing w:line="360" w:lineRule="auto"/>
        <w:rPr>
          <w:rFonts w:hAnsi="宋体"/>
          <w:b w:val="0"/>
          <w:bCs w:val="0"/>
          <w:color w:val="auto"/>
          <w:szCs w:val="24"/>
          <w:highlight w:val="none"/>
        </w:rPr>
      </w:pPr>
      <w:r>
        <w:rPr>
          <w:rFonts w:hAnsi="宋体"/>
          <w:b w:val="0"/>
          <w:bCs w:val="0"/>
          <w:color w:val="auto"/>
          <w:szCs w:val="24"/>
          <w:highlight w:val="none"/>
        </w:rPr>
        <w:t>2</w:t>
      </w:r>
      <w:r>
        <w:rPr>
          <w:rFonts w:hint="eastAsia" w:hAnsi="宋体"/>
          <w:b w:val="0"/>
          <w:bCs w:val="0"/>
          <w:color w:val="auto"/>
          <w:szCs w:val="24"/>
          <w:highlight w:val="none"/>
        </w:rPr>
        <w:t>2</w:t>
      </w:r>
      <w:r>
        <w:rPr>
          <w:rFonts w:hAnsi="宋体"/>
          <w:b w:val="0"/>
          <w:bCs w:val="0"/>
          <w:color w:val="auto"/>
          <w:szCs w:val="24"/>
          <w:highlight w:val="none"/>
        </w:rPr>
        <w:t>．</w:t>
      </w:r>
      <w:r>
        <w:rPr>
          <w:rFonts w:hint="eastAsia" w:hAnsi="宋体"/>
          <w:b w:val="0"/>
          <w:bCs w:val="0"/>
          <w:color w:val="auto"/>
          <w:szCs w:val="24"/>
          <w:highlight w:val="none"/>
        </w:rPr>
        <w:t>评审</w:t>
      </w:r>
      <w:r>
        <w:rPr>
          <w:rFonts w:hAnsi="宋体"/>
          <w:b w:val="0"/>
          <w:bCs w:val="0"/>
          <w:color w:val="auto"/>
          <w:szCs w:val="24"/>
          <w:highlight w:val="none"/>
        </w:rPr>
        <w:t>程序</w:t>
      </w:r>
    </w:p>
    <w:p w14:paraId="6316D0A8">
      <w:pPr>
        <w:spacing w:line="480" w:lineRule="exact"/>
        <w:ind w:firstLine="480" w:firstLineChars="200"/>
        <w:rPr>
          <w:rFonts w:hAnsi="宋体" w:cs="宋体"/>
          <w:b w:val="0"/>
          <w:bCs w:val="0"/>
          <w:color w:val="auto"/>
          <w:szCs w:val="24"/>
          <w:highlight w:val="none"/>
        </w:rPr>
      </w:pPr>
      <w:r>
        <w:rPr>
          <w:rFonts w:hint="eastAsia" w:hAnsi="宋体" w:cs="宋体"/>
          <w:b w:val="0"/>
          <w:bCs w:val="0"/>
          <w:color w:val="auto"/>
          <w:szCs w:val="24"/>
          <w:highlight w:val="none"/>
        </w:rPr>
        <w:t>按照竞争性磋商响应文件初审、澄清有关问题、分别磋商、二次报价</w:t>
      </w:r>
      <w:r>
        <w:rPr>
          <w:rFonts w:hint="eastAsia" w:hAnsi="宋体" w:cs="宋体"/>
          <w:b w:val="0"/>
          <w:bCs w:val="0"/>
          <w:color w:val="auto"/>
          <w:szCs w:val="24"/>
          <w:highlight w:val="none"/>
          <w:lang w:eastAsia="zh-CN"/>
        </w:rPr>
        <w:t>（</w:t>
      </w:r>
      <w:r>
        <w:rPr>
          <w:rFonts w:hint="eastAsia" w:hAnsi="宋体" w:cs="宋体"/>
          <w:b w:val="0"/>
          <w:bCs w:val="0"/>
          <w:color w:val="auto"/>
          <w:szCs w:val="24"/>
          <w:highlight w:val="none"/>
        </w:rPr>
        <w:t>供应商在开标现场用数字认证证书（CA</w:t>
      </w:r>
      <w:r>
        <w:rPr>
          <w:rFonts w:hint="eastAsia" w:hAnsi="宋体" w:cs="宋体"/>
          <w:b w:val="0"/>
          <w:bCs w:val="0"/>
          <w:color w:val="auto"/>
          <w:szCs w:val="24"/>
          <w:highlight w:val="none"/>
          <w:lang w:eastAsia="zh-CN"/>
        </w:rPr>
        <w:t>主</w:t>
      </w:r>
      <w:r>
        <w:rPr>
          <w:rFonts w:hint="eastAsia" w:hAnsi="宋体" w:cs="宋体"/>
          <w:b w:val="0"/>
          <w:bCs w:val="0"/>
          <w:color w:val="auto"/>
          <w:szCs w:val="24"/>
          <w:highlight w:val="none"/>
        </w:rPr>
        <w:t>锁）登陆系统进行二次报价</w:t>
      </w:r>
      <w:r>
        <w:rPr>
          <w:rFonts w:hint="eastAsia" w:hAnsi="宋体" w:cs="宋体"/>
          <w:b w:val="0"/>
          <w:bCs w:val="0"/>
          <w:color w:val="auto"/>
          <w:szCs w:val="24"/>
          <w:highlight w:val="none"/>
          <w:lang w:eastAsia="zh-CN"/>
        </w:rPr>
        <w:t>）</w:t>
      </w:r>
      <w:r>
        <w:rPr>
          <w:rFonts w:hint="eastAsia" w:hAnsi="宋体" w:cs="宋体"/>
          <w:b w:val="0"/>
          <w:bCs w:val="0"/>
          <w:color w:val="auto"/>
          <w:szCs w:val="24"/>
          <w:highlight w:val="none"/>
        </w:rPr>
        <w:t>、比较与评审、推荐成交候选人名单的工作程序进行评审。在上一步评审中被认定为无效磋商者，不进入下一步的评审。</w:t>
      </w:r>
    </w:p>
    <w:p w14:paraId="217403E6">
      <w:pPr>
        <w:spacing w:line="360" w:lineRule="auto"/>
        <w:rPr>
          <w:rFonts w:hAnsi="宋体"/>
          <w:b w:val="0"/>
          <w:bCs w:val="0"/>
          <w:color w:val="auto"/>
          <w:szCs w:val="24"/>
          <w:highlight w:val="none"/>
        </w:rPr>
      </w:pPr>
      <w:r>
        <w:rPr>
          <w:rFonts w:hAnsi="宋体"/>
          <w:b w:val="0"/>
          <w:bCs w:val="0"/>
          <w:color w:val="auto"/>
          <w:szCs w:val="24"/>
          <w:highlight w:val="none"/>
        </w:rPr>
        <w:t>2</w:t>
      </w:r>
      <w:r>
        <w:rPr>
          <w:rFonts w:hint="eastAsia" w:hAnsi="宋体"/>
          <w:b w:val="0"/>
          <w:bCs w:val="0"/>
          <w:color w:val="auto"/>
          <w:szCs w:val="24"/>
          <w:highlight w:val="none"/>
        </w:rPr>
        <w:t>3</w:t>
      </w:r>
      <w:r>
        <w:rPr>
          <w:rFonts w:hAnsi="宋体"/>
          <w:b w:val="0"/>
          <w:bCs w:val="0"/>
          <w:color w:val="auto"/>
          <w:szCs w:val="24"/>
          <w:highlight w:val="none"/>
        </w:rPr>
        <w:t>．</w:t>
      </w:r>
      <w:r>
        <w:rPr>
          <w:rFonts w:hint="eastAsia" w:hAnsi="宋体"/>
          <w:b w:val="0"/>
          <w:bCs w:val="0"/>
          <w:color w:val="auto"/>
          <w:szCs w:val="24"/>
          <w:highlight w:val="none"/>
        </w:rPr>
        <w:t>评审</w:t>
      </w:r>
      <w:r>
        <w:rPr>
          <w:rFonts w:hAnsi="宋体"/>
          <w:b w:val="0"/>
          <w:bCs w:val="0"/>
          <w:color w:val="auto"/>
          <w:szCs w:val="24"/>
          <w:highlight w:val="none"/>
        </w:rPr>
        <w:t>组织及</w:t>
      </w:r>
      <w:r>
        <w:rPr>
          <w:rFonts w:hint="eastAsia" w:hAnsi="宋体"/>
          <w:b w:val="0"/>
          <w:bCs w:val="0"/>
          <w:color w:val="auto"/>
          <w:szCs w:val="24"/>
          <w:highlight w:val="none"/>
        </w:rPr>
        <w:t>评审</w:t>
      </w:r>
      <w:r>
        <w:rPr>
          <w:rFonts w:hAnsi="宋体"/>
          <w:b w:val="0"/>
          <w:bCs w:val="0"/>
          <w:color w:val="auto"/>
          <w:szCs w:val="24"/>
          <w:highlight w:val="none"/>
        </w:rPr>
        <w:t>原则</w:t>
      </w:r>
    </w:p>
    <w:p w14:paraId="09D387BC">
      <w:pPr>
        <w:spacing w:line="500" w:lineRule="exact"/>
        <w:ind w:firstLine="480" w:firstLineChars="200"/>
        <w:rPr>
          <w:rFonts w:hAnsi="宋体"/>
          <w:b w:val="0"/>
          <w:bCs w:val="0"/>
          <w:color w:val="auto"/>
          <w:szCs w:val="24"/>
          <w:highlight w:val="none"/>
        </w:rPr>
      </w:pPr>
      <w:r>
        <w:rPr>
          <w:rFonts w:hAnsi="宋体"/>
          <w:b w:val="0"/>
          <w:bCs w:val="0"/>
          <w:color w:val="auto"/>
          <w:szCs w:val="24"/>
          <w:highlight w:val="none"/>
        </w:rPr>
        <w:t>2</w:t>
      </w:r>
      <w:r>
        <w:rPr>
          <w:rFonts w:hint="eastAsia" w:hAnsi="宋体"/>
          <w:b w:val="0"/>
          <w:bCs w:val="0"/>
          <w:color w:val="auto"/>
          <w:szCs w:val="24"/>
          <w:highlight w:val="none"/>
        </w:rPr>
        <w:t>3</w:t>
      </w:r>
      <w:r>
        <w:rPr>
          <w:rFonts w:hAnsi="宋体"/>
          <w:b w:val="0"/>
          <w:bCs w:val="0"/>
          <w:color w:val="auto"/>
          <w:szCs w:val="24"/>
          <w:highlight w:val="none"/>
        </w:rPr>
        <w:t>.1按照《中华人民共和国政府采购法》</w:t>
      </w:r>
      <w:r>
        <w:rPr>
          <w:rFonts w:hint="eastAsia" w:hAnsi="宋体"/>
          <w:b w:val="0"/>
          <w:bCs w:val="0"/>
          <w:color w:val="auto"/>
          <w:szCs w:val="24"/>
          <w:highlight w:val="none"/>
        </w:rPr>
        <w:t>及实施条例和</w:t>
      </w:r>
      <w:r>
        <w:rPr>
          <w:rFonts w:hAnsi="宋体"/>
          <w:b w:val="0"/>
          <w:bCs w:val="0"/>
          <w:color w:val="auto"/>
          <w:szCs w:val="24"/>
          <w:highlight w:val="none"/>
        </w:rPr>
        <w:t>关于印发《政府采购竞争性磋商采购方式管理暂行办法》的通知</w:t>
      </w:r>
      <w:r>
        <w:rPr>
          <w:rFonts w:hint="eastAsia" w:hAnsi="宋体"/>
          <w:b w:val="0"/>
          <w:bCs w:val="0"/>
          <w:color w:val="auto"/>
          <w:szCs w:val="24"/>
          <w:highlight w:val="none"/>
        </w:rPr>
        <w:t>（</w:t>
      </w:r>
      <w:r>
        <w:rPr>
          <w:rFonts w:hAnsi="宋体"/>
          <w:b w:val="0"/>
          <w:bCs w:val="0"/>
          <w:color w:val="auto"/>
          <w:szCs w:val="24"/>
          <w:highlight w:val="none"/>
        </w:rPr>
        <w:t>财库【2014】214号</w:t>
      </w:r>
      <w:r>
        <w:rPr>
          <w:rFonts w:hint="eastAsia" w:hAnsi="宋体"/>
          <w:b w:val="0"/>
          <w:bCs w:val="0"/>
          <w:color w:val="auto"/>
          <w:szCs w:val="24"/>
          <w:highlight w:val="none"/>
        </w:rPr>
        <w:t>）</w:t>
      </w:r>
      <w:r>
        <w:rPr>
          <w:rFonts w:hAnsi="宋体"/>
          <w:b w:val="0"/>
          <w:bCs w:val="0"/>
          <w:color w:val="auto"/>
          <w:szCs w:val="24"/>
          <w:highlight w:val="none"/>
        </w:rPr>
        <w:t>，依法组建</w:t>
      </w:r>
      <w:r>
        <w:rPr>
          <w:rFonts w:hint="eastAsia" w:hAnsi="宋体"/>
          <w:b w:val="0"/>
          <w:bCs w:val="0"/>
          <w:color w:val="auto"/>
          <w:szCs w:val="24"/>
          <w:highlight w:val="none"/>
        </w:rPr>
        <w:t>磋商小组</w:t>
      </w:r>
      <w:r>
        <w:rPr>
          <w:rFonts w:hAnsi="宋体"/>
          <w:b w:val="0"/>
          <w:bCs w:val="0"/>
          <w:color w:val="auto"/>
          <w:szCs w:val="24"/>
          <w:highlight w:val="none"/>
        </w:rPr>
        <w:t>。</w:t>
      </w:r>
      <w:r>
        <w:rPr>
          <w:rFonts w:hint="eastAsia" w:hAnsi="宋体"/>
          <w:b w:val="0"/>
          <w:bCs w:val="0"/>
          <w:color w:val="auto"/>
          <w:szCs w:val="24"/>
          <w:highlight w:val="none"/>
        </w:rPr>
        <w:t>磋商小组由采购人代表和评审专家组成，成员人数应当为</w:t>
      </w:r>
      <w:r>
        <w:rPr>
          <w:rFonts w:hint="eastAsia" w:hAnsi="宋体"/>
          <w:b w:val="0"/>
          <w:bCs w:val="0"/>
          <w:color w:val="auto"/>
          <w:szCs w:val="24"/>
          <w:highlight w:val="none"/>
          <w:lang w:val="en-US" w:eastAsia="zh-CN"/>
        </w:rPr>
        <w:t>3</w:t>
      </w:r>
      <w:r>
        <w:rPr>
          <w:rFonts w:hint="eastAsia" w:hAnsi="宋体"/>
          <w:b w:val="0"/>
          <w:bCs w:val="0"/>
          <w:color w:val="auto"/>
          <w:szCs w:val="24"/>
          <w:highlight w:val="none"/>
        </w:rPr>
        <w:t>人以上单数，其中采购人代表须持有授权书。磋商小组</w:t>
      </w:r>
      <w:r>
        <w:rPr>
          <w:rFonts w:hAnsi="宋体"/>
          <w:b w:val="0"/>
          <w:bCs w:val="0"/>
          <w:color w:val="auto"/>
          <w:szCs w:val="24"/>
          <w:highlight w:val="none"/>
        </w:rPr>
        <w:t>按照</w:t>
      </w:r>
      <w:r>
        <w:rPr>
          <w:rFonts w:hint="eastAsia" w:hAnsi="宋体"/>
          <w:b w:val="0"/>
          <w:bCs w:val="0"/>
          <w:color w:val="auto"/>
          <w:szCs w:val="24"/>
          <w:highlight w:val="none"/>
        </w:rPr>
        <w:t>竞争性磋商</w:t>
      </w:r>
      <w:r>
        <w:rPr>
          <w:rFonts w:hAnsi="宋体"/>
          <w:b w:val="0"/>
          <w:bCs w:val="0"/>
          <w:color w:val="auto"/>
          <w:szCs w:val="24"/>
          <w:highlight w:val="none"/>
        </w:rPr>
        <w:t>文件规定的</w:t>
      </w:r>
      <w:r>
        <w:rPr>
          <w:rFonts w:hint="eastAsia" w:hAnsi="宋体"/>
          <w:b w:val="0"/>
          <w:bCs w:val="0"/>
          <w:color w:val="auto"/>
          <w:szCs w:val="24"/>
          <w:highlight w:val="none"/>
        </w:rPr>
        <w:t>评审</w:t>
      </w:r>
      <w:r>
        <w:rPr>
          <w:rFonts w:hAnsi="宋体"/>
          <w:b w:val="0"/>
          <w:bCs w:val="0"/>
          <w:color w:val="auto"/>
          <w:szCs w:val="24"/>
          <w:highlight w:val="none"/>
        </w:rPr>
        <w:t>方法独立进行</w:t>
      </w:r>
      <w:r>
        <w:rPr>
          <w:rFonts w:hint="eastAsia" w:hAnsi="宋体"/>
          <w:b w:val="0"/>
          <w:bCs w:val="0"/>
          <w:color w:val="auto"/>
          <w:szCs w:val="24"/>
          <w:highlight w:val="none"/>
        </w:rPr>
        <w:t>评审</w:t>
      </w:r>
      <w:r>
        <w:rPr>
          <w:rFonts w:hAnsi="宋体"/>
          <w:b w:val="0"/>
          <w:bCs w:val="0"/>
          <w:color w:val="auto"/>
          <w:szCs w:val="24"/>
          <w:highlight w:val="none"/>
        </w:rPr>
        <w:t>工作。</w:t>
      </w:r>
    </w:p>
    <w:p w14:paraId="5F73FA6C">
      <w:pPr>
        <w:spacing w:line="360" w:lineRule="auto"/>
        <w:ind w:firstLine="480" w:firstLineChars="200"/>
        <w:rPr>
          <w:rFonts w:hAnsi="宋体"/>
          <w:b w:val="0"/>
          <w:bCs w:val="0"/>
          <w:color w:val="auto"/>
          <w:szCs w:val="24"/>
          <w:highlight w:val="none"/>
        </w:rPr>
      </w:pPr>
      <w:r>
        <w:rPr>
          <w:rFonts w:hAnsi="宋体"/>
          <w:b w:val="0"/>
          <w:bCs w:val="0"/>
          <w:color w:val="auto"/>
          <w:szCs w:val="24"/>
          <w:highlight w:val="none"/>
        </w:rPr>
        <w:t>2</w:t>
      </w:r>
      <w:r>
        <w:rPr>
          <w:rFonts w:hint="eastAsia" w:hAnsi="宋体"/>
          <w:b w:val="0"/>
          <w:bCs w:val="0"/>
          <w:color w:val="auto"/>
          <w:szCs w:val="24"/>
          <w:highlight w:val="none"/>
        </w:rPr>
        <w:t>3</w:t>
      </w:r>
      <w:r>
        <w:rPr>
          <w:rFonts w:hAnsi="宋体"/>
          <w:b w:val="0"/>
          <w:bCs w:val="0"/>
          <w:color w:val="auto"/>
          <w:szCs w:val="24"/>
          <w:highlight w:val="none"/>
        </w:rPr>
        <w:t>.2</w:t>
      </w:r>
      <w:r>
        <w:rPr>
          <w:rFonts w:hint="eastAsia" w:hAnsi="宋体"/>
          <w:b w:val="0"/>
          <w:bCs w:val="0"/>
          <w:color w:val="auto"/>
          <w:szCs w:val="24"/>
          <w:highlight w:val="none"/>
        </w:rPr>
        <w:t>竞争性磋商</w:t>
      </w:r>
      <w:r>
        <w:rPr>
          <w:rFonts w:hAnsi="宋体"/>
          <w:b w:val="0"/>
          <w:bCs w:val="0"/>
          <w:color w:val="auto"/>
          <w:szCs w:val="24"/>
          <w:highlight w:val="none"/>
        </w:rPr>
        <w:t>文件和</w:t>
      </w:r>
      <w:r>
        <w:rPr>
          <w:rFonts w:hint="eastAsia" w:hAnsi="宋体"/>
          <w:b w:val="0"/>
          <w:bCs w:val="0"/>
          <w:color w:val="auto"/>
          <w:szCs w:val="24"/>
          <w:highlight w:val="none"/>
        </w:rPr>
        <w:t>竞争性磋商响应文件</w:t>
      </w:r>
      <w:r>
        <w:rPr>
          <w:rFonts w:hAnsi="宋体"/>
          <w:b w:val="0"/>
          <w:bCs w:val="0"/>
          <w:color w:val="auto"/>
          <w:szCs w:val="24"/>
          <w:highlight w:val="none"/>
        </w:rPr>
        <w:t>是</w:t>
      </w:r>
      <w:r>
        <w:rPr>
          <w:rFonts w:hint="eastAsia" w:hAnsi="宋体"/>
          <w:b w:val="0"/>
          <w:bCs w:val="0"/>
          <w:color w:val="auto"/>
          <w:szCs w:val="24"/>
          <w:highlight w:val="none"/>
        </w:rPr>
        <w:t>评审</w:t>
      </w:r>
      <w:r>
        <w:rPr>
          <w:rFonts w:hAnsi="宋体"/>
          <w:b w:val="0"/>
          <w:bCs w:val="0"/>
          <w:color w:val="auto"/>
          <w:szCs w:val="24"/>
          <w:highlight w:val="none"/>
        </w:rPr>
        <w:t>的依据。在</w:t>
      </w:r>
      <w:r>
        <w:rPr>
          <w:rFonts w:hint="eastAsia" w:hAnsi="宋体"/>
          <w:b w:val="0"/>
          <w:bCs w:val="0"/>
          <w:color w:val="auto"/>
          <w:szCs w:val="24"/>
          <w:highlight w:val="none"/>
        </w:rPr>
        <w:t>评审</w:t>
      </w:r>
      <w:r>
        <w:rPr>
          <w:rFonts w:hAnsi="宋体"/>
          <w:b w:val="0"/>
          <w:bCs w:val="0"/>
          <w:color w:val="auto"/>
          <w:szCs w:val="24"/>
          <w:highlight w:val="none"/>
        </w:rPr>
        <w:t>中，不得改变</w:t>
      </w:r>
      <w:r>
        <w:rPr>
          <w:rFonts w:hint="eastAsia" w:hAnsi="宋体"/>
          <w:b w:val="0"/>
          <w:bCs w:val="0"/>
          <w:color w:val="auto"/>
          <w:szCs w:val="24"/>
          <w:highlight w:val="none"/>
        </w:rPr>
        <w:t>竞争性磋商</w:t>
      </w:r>
      <w:r>
        <w:rPr>
          <w:rFonts w:hAnsi="宋体"/>
          <w:b w:val="0"/>
          <w:bCs w:val="0"/>
          <w:color w:val="auto"/>
          <w:szCs w:val="24"/>
          <w:highlight w:val="none"/>
        </w:rPr>
        <w:t>文件中规定的</w:t>
      </w:r>
      <w:r>
        <w:rPr>
          <w:rFonts w:hint="eastAsia" w:hAnsi="宋体"/>
          <w:b w:val="0"/>
          <w:bCs w:val="0"/>
          <w:color w:val="auto"/>
          <w:szCs w:val="24"/>
          <w:highlight w:val="none"/>
        </w:rPr>
        <w:t>评审</w:t>
      </w:r>
      <w:r>
        <w:rPr>
          <w:rFonts w:hAnsi="宋体"/>
          <w:b w:val="0"/>
          <w:bCs w:val="0"/>
          <w:color w:val="auto"/>
          <w:szCs w:val="24"/>
          <w:highlight w:val="none"/>
        </w:rPr>
        <w:t>标准、方法和</w:t>
      </w:r>
      <w:r>
        <w:rPr>
          <w:rFonts w:hint="eastAsia" w:hAnsi="宋体"/>
          <w:b w:val="0"/>
          <w:bCs w:val="0"/>
          <w:color w:val="auto"/>
          <w:szCs w:val="24"/>
          <w:highlight w:val="none"/>
        </w:rPr>
        <w:t>成交</w:t>
      </w:r>
      <w:r>
        <w:rPr>
          <w:rFonts w:hAnsi="宋体"/>
          <w:b w:val="0"/>
          <w:bCs w:val="0"/>
          <w:color w:val="auto"/>
          <w:szCs w:val="24"/>
          <w:highlight w:val="none"/>
        </w:rPr>
        <w:t>条件。</w:t>
      </w:r>
    </w:p>
    <w:p w14:paraId="3E4A4860">
      <w:pPr>
        <w:spacing w:line="360" w:lineRule="auto"/>
        <w:ind w:firstLine="480" w:firstLineChars="200"/>
        <w:rPr>
          <w:rFonts w:hAnsi="宋体"/>
          <w:b w:val="0"/>
          <w:bCs w:val="0"/>
          <w:color w:val="auto"/>
          <w:szCs w:val="24"/>
          <w:highlight w:val="none"/>
        </w:rPr>
      </w:pPr>
      <w:r>
        <w:rPr>
          <w:rFonts w:hAnsi="宋体"/>
          <w:b w:val="0"/>
          <w:bCs w:val="0"/>
          <w:color w:val="auto"/>
          <w:szCs w:val="24"/>
          <w:highlight w:val="none"/>
        </w:rPr>
        <w:t>2</w:t>
      </w:r>
      <w:r>
        <w:rPr>
          <w:rFonts w:hint="eastAsia" w:hAnsi="宋体"/>
          <w:b w:val="0"/>
          <w:bCs w:val="0"/>
          <w:color w:val="auto"/>
          <w:szCs w:val="24"/>
          <w:highlight w:val="none"/>
        </w:rPr>
        <w:t>3</w:t>
      </w:r>
      <w:r>
        <w:rPr>
          <w:rFonts w:hAnsi="宋体"/>
          <w:b w:val="0"/>
          <w:bCs w:val="0"/>
          <w:color w:val="auto"/>
          <w:szCs w:val="24"/>
          <w:highlight w:val="none"/>
        </w:rPr>
        <w:t>.3在</w:t>
      </w:r>
      <w:r>
        <w:rPr>
          <w:rFonts w:hint="eastAsia" w:hAnsi="宋体"/>
          <w:b w:val="0"/>
          <w:bCs w:val="0"/>
          <w:color w:val="auto"/>
          <w:szCs w:val="24"/>
          <w:highlight w:val="none"/>
        </w:rPr>
        <w:t>评审</w:t>
      </w:r>
      <w:r>
        <w:rPr>
          <w:rFonts w:hAnsi="宋体"/>
          <w:b w:val="0"/>
          <w:bCs w:val="0"/>
          <w:color w:val="auto"/>
          <w:szCs w:val="24"/>
          <w:highlight w:val="none"/>
        </w:rPr>
        <w:t>期间，对</w:t>
      </w:r>
      <w:r>
        <w:rPr>
          <w:rFonts w:hint="eastAsia" w:hAnsi="宋体"/>
          <w:b w:val="0"/>
          <w:bCs w:val="0"/>
          <w:color w:val="auto"/>
          <w:szCs w:val="24"/>
          <w:highlight w:val="none"/>
        </w:rPr>
        <w:t>竞争性磋商响应文件</w:t>
      </w:r>
      <w:r>
        <w:rPr>
          <w:rFonts w:hAnsi="宋体"/>
          <w:b w:val="0"/>
          <w:bCs w:val="0"/>
          <w:color w:val="auto"/>
          <w:szCs w:val="24"/>
          <w:highlight w:val="none"/>
        </w:rPr>
        <w:t>中含义不明确、同类问题表述不一致或者有明显文字和计算错误的内容，</w:t>
      </w:r>
      <w:r>
        <w:rPr>
          <w:rFonts w:hint="eastAsia" w:hAnsi="宋体"/>
          <w:b w:val="0"/>
          <w:bCs w:val="0"/>
          <w:color w:val="auto"/>
          <w:szCs w:val="24"/>
          <w:highlight w:val="none"/>
        </w:rPr>
        <w:t>磋商小组</w:t>
      </w:r>
      <w:r>
        <w:rPr>
          <w:rFonts w:hAnsi="宋体"/>
          <w:b w:val="0"/>
          <w:bCs w:val="0"/>
          <w:color w:val="auto"/>
          <w:szCs w:val="24"/>
          <w:highlight w:val="none"/>
        </w:rPr>
        <w:t>可以书面形式（由</w:t>
      </w:r>
      <w:r>
        <w:rPr>
          <w:rFonts w:hint="eastAsia" w:hAnsi="宋体"/>
          <w:b w:val="0"/>
          <w:bCs w:val="0"/>
          <w:color w:val="auto"/>
          <w:szCs w:val="24"/>
          <w:highlight w:val="none"/>
        </w:rPr>
        <w:t>磋商小组</w:t>
      </w:r>
      <w:r>
        <w:rPr>
          <w:rFonts w:hAnsi="宋体"/>
          <w:b w:val="0"/>
          <w:bCs w:val="0"/>
          <w:color w:val="auto"/>
          <w:szCs w:val="24"/>
          <w:highlight w:val="none"/>
        </w:rPr>
        <w:t>专家签字）要求</w:t>
      </w:r>
      <w:r>
        <w:rPr>
          <w:rFonts w:hint="eastAsia" w:hAnsi="宋体"/>
          <w:b w:val="0"/>
          <w:bCs w:val="0"/>
          <w:color w:val="auto"/>
          <w:szCs w:val="24"/>
          <w:highlight w:val="none"/>
        </w:rPr>
        <w:t>供应商</w:t>
      </w:r>
      <w:r>
        <w:rPr>
          <w:rFonts w:hAnsi="宋体"/>
          <w:b w:val="0"/>
          <w:bCs w:val="0"/>
          <w:color w:val="auto"/>
          <w:szCs w:val="24"/>
          <w:highlight w:val="none"/>
        </w:rPr>
        <w:t>作出必要的澄清、说明或者纠正。</w:t>
      </w:r>
      <w:r>
        <w:rPr>
          <w:rFonts w:hint="eastAsia" w:hAnsi="宋体"/>
          <w:b w:val="0"/>
          <w:bCs w:val="0"/>
          <w:color w:val="auto"/>
          <w:szCs w:val="24"/>
          <w:highlight w:val="none"/>
        </w:rPr>
        <w:t>供应商</w:t>
      </w:r>
      <w:r>
        <w:rPr>
          <w:rFonts w:hAnsi="宋体"/>
          <w:b w:val="0"/>
          <w:bCs w:val="0"/>
          <w:color w:val="auto"/>
          <w:szCs w:val="24"/>
          <w:highlight w:val="none"/>
        </w:rPr>
        <w:t>的澄清、说明或者补正应当采用书面形式，由其授权的代表签字，并不得超出</w:t>
      </w:r>
      <w:r>
        <w:rPr>
          <w:rFonts w:hint="eastAsia" w:hAnsi="宋体"/>
          <w:b w:val="0"/>
          <w:bCs w:val="0"/>
          <w:color w:val="auto"/>
          <w:szCs w:val="24"/>
          <w:highlight w:val="none"/>
        </w:rPr>
        <w:t>竞争性磋商响应文件</w:t>
      </w:r>
      <w:r>
        <w:rPr>
          <w:rFonts w:hAnsi="宋体"/>
          <w:b w:val="0"/>
          <w:bCs w:val="0"/>
          <w:color w:val="auto"/>
          <w:szCs w:val="24"/>
          <w:highlight w:val="none"/>
        </w:rPr>
        <w:t>的范围或者改变</w:t>
      </w:r>
      <w:r>
        <w:rPr>
          <w:rFonts w:hint="eastAsia" w:hAnsi="宋体"/>
          <w:b w:val="0"/>
          <w:bCs w:val="0"/>
          <w:color w:val="auto"/>
          <w:szCs w:val="24"/>
          <w:highlight w:val="none"/>
        </w:rPr>
        <w:t>竞争性磋商响应文件</w:t>
      </w:r>
      <w:r>
        <w:rPr>
          <w:rFonts w:hAnsi="宋体"/>
          <w:b w:val="0"/>
          <w:bCs w:val="0"/>
          <w:color w:val="auto"/>
          <w:szCs w:val="24"/>
          <w:highlight w:val="none"/>
        </w:rPr>
        <w:t>的实质性内容。</w:t>
      </w:r>
    </w:p>
    <w:p w14:paraId="13E5FA20">
      <w:pPr>
        <w:spacing w:line="360" w:lineRule="auto"/>
        <w:ind w:firstLine="480" w:firstLineChars="200"/>
        <w:rPr>
          <w:rFonts w:hAnsi="宋体"/>
          <w:b w:val="0"/>
          <w:bCs w:val="0"/>
          <w:color w:val="auto"/>
          <w:szCs w:val="24"/>
          <w:highlight w:val="none"/>
        </w:rPr>
      </w:pPr>
      <w:r>
        <w:rPr>
          <w:rFonts w:hAnsi="宋体"/>
          <w:b w:val="0"/>
          <w:bCs w:val="0"/>
          <w:color w:val="auto"/>
          <w:szCs w:val="24"/>
          <w:highlight w:val="none"/>
        </w:rPr>
        <w:t>2</w:t>
      </w:r>
      <w:r>
        <w:rPr>
          <w:rFonts w:hint="eastAsia" w:hAnsi="宋体"/>
          <w:b w:val="0"/>
          <w:bCs w:val="0"/>
          <w:color w:val="auto"/>
          <w:szCs w:val="24"/>
          <w:highlight w:val="none"/>
        </w:rPr>
        <w:t>3</w:t>
      </w:r>
      <w:r>
        <w:rPr>
          <w:rFonts w:hAnsi="宋体"/>
          <w:b w:val="0"/>
          <w:bCs w:val="0"/>
          <w:color w:val="auto"/>
          <w:szCs w:val="24"/>
          <w:highlight w:val="none"/>
        </w:rPr>
        <w:t>.4如果</w:t>
      </w:r>
      <w:r>
        <w:rPr>
          <w:rFonts w:hint="eastAsia" w:hAnsi="宋体"/>
          <w:b w:val="0"/>
          <w:bCs w:val="0"/>
          <w:color w:val="auto"/>
          <w:szCs w:val="24"/>
          <w:highlight w:val="none"/>
        </w:rPr>
        <w:t>供应商</w:t>
      </w:r>
      <w:r>
        <w:rPr>
          <w:rFonts w:hAnsi="宋体"/>
          <w:b w:val="0"/>
          <w:bCs w:val="0"/>
          <w:color w:val="auto"/>
          <w:szCs w:val="24"/>
          <w:highlight w:val="none"/>
        </w:rPr>
        <w:t>在澄清规定期限内，未能答复或拒绝答复</w:t>
      </w:r>
      <w:r>
        <w:rPr>
          <w:rFonts w:hint="eastAsia" w:hAnsi="宋体"/>
          <w:b w:val="0"/>
          <w:bCs w:val="0"/>
          <w:color w:val="auto"/>
          <w:szCs w:val="24"/>
          <w:highlight w:val="none"/>
        </w:rPr>
        <w:t>磋商小组</w:t>
      </w:r>
      <w:r>
        <w:rPr>
          <w:rFonts w:hAnsi="宋体"/>
          <w:b w:val="0"/>
          <w:bCs w:val="0"/>
          <w:color w:val="auto"/>
          <w:szCs w:val="24"/>
          <w:highlight w:val="none"/>
        </w:rPr>
        <w:t>提出的澄清要求，将由</w:t>
      </w:r>
      <w:r>
        <w:rPr>
          <w:rFonts w:hint="eastAsia" w:hAnsi="宋体"/>
          <w:b w:val="0"/>
          <w:bCs w:val="0"/>
          <w:color w:val="auto"/>
          <w:szCs w:val="24"/>
          <w:highlight w:val="none"/>
        </w:rPr>
        <w:t>磋商小组</w:t>
      </w:r>
      <w:r>
        <w:rPr>
          <w:rFonts w:hAnsi="宋体"/>
          <w:b w:val="0"/>
          <w:bCs w:val="0"/>
          <w:color w:val="auto"/>
          <w:szCs w:val="24"/>
          <w:highlight w:val="none"/>
        </w:rPr>
        <w:t>根据其</w:t>
      </w:r>
      <w:r>
        <w:rPr>
          <w:rFonts w:hint="eastAsia" w:hAnsi="宋体"/>
          <w:b w:val="0"/>
          <w:bCs w:val="0"/>
          <w:color w:val="auto"/>
          <w:szCs w:val="24"/>
          <w:highlight w:val="none"/>
        </w:rPr>
        <w:t>竞争性磋商响应文件</w:t>
      </w:r>
      <w:r>
        <w:rPr>
          <w:rFonts w:hAnsi="宋体"/>
          <w:b w:val="0"/>
          <w:bCs w:val="0"/>
          <w:color w:val="auto"/>
          <w:szCs w:val="24"/>
          <w:highlight w:val="none"/>
        </w:rPr>
        <w:t>按最大风险进行</w:t>
      </w:r>
      <w:r>
        <w:rPr>
          <w:rFonts w:hint="eastAsia" w:hAnsi="宋体"/>
          <w:b w:val="0"/>
          <w:bCs w:val="0"/>
          <w:color w:val="auto"/>
          <w:szCs w:val="24"/>
          <w:highlight w:val="none"/>
        </w:rPr>
        <w:t>评审</w:t>
      </w:r>
      <w:r>
        <w:rPr>
          <w:rFonts w:hAnsi="宋体"/>
          <w:b w:val="0"/>
          <w:bCs w:val="0"/>
          <w:color w:val="auto"/>
          <w:szCs w:val="24"/>
          <w:highlight w:val="none"/>
        </w:rPr>
        <w:t>。</w:t>
      </w:r>
    </w:p>
    <w:p w14:paraId="128B76D9">
      <w:pPr>
        <w:spacing w:line="360" w:lineRule="auto"/>
        <w:ind w:firstLine="480" w:firstLineChars="200"/>
        <w:rPr>
          <w:rFonts w:hAnsi="宋体"/>
          <w:b w:val="0"/>
          <w:bCs w:val="0"/>
          <w:color w:val="auto"/>
          <w:szCs w:val="24"/>
          <w:highlight w:val="none"/>
        </w:rPr>
      </w:pPr>
      <w:r>
        <w:rPr>
          <w:rFonts w:hint="eastAsia" w:hAnsi="宋体"/>
          <w:b w:val="0"/>
          <w:bCs w:val="0"/>
          <w:color w:val="auto"/>
          <w:szCs w:val="24"/>
          <w:highlight w:val="none"/>
        </w:rPr>
        <w:t>23.5磋商过程中的实质性变动：</w:t>
      </w:r>
    </w:p>
    <w:p w14:paraId="757D7011">
      <w:pPr>
        <w:spacing w:line="360" w:lineRule="auto"/>
        <w:ind w:firstLine="480" w:firstLineChars="200"/>
        <w:rPr>
          <w:rFonts w:hAnsi="宋体"/>
          <w:b w:val="0"/>
          <w:bCs w:val="0"/>
          <w:color w:val="auto"/>
          <w:szCs w:val="24"/>
          <w:highlight w:val="none"/>
        </w:rPr>
      </w:pPr>
      <w:r>
        <w:rPr>
          <w:rFonts w:hint="eastAsia" w:hAnsi="宋体"/>
          <w:b w:val="0"/>
          <w:bCs w:val="0"/>
          <w:color w:val="auto"/>
          <w:szCs w:val="24"/>
          <w:highlight w:val="none"/>
        </w:rPr>
        <w:t>23.5.1在磋商过程中，磋商小组可以根据磋商文件和磋商情况在最终报价之前实质性变动采购需求中的技术、服务要求以及合同草案条款，但不得变动竞争性磋商文件中的其他内容。实质性变动的内容，须经采购人代表确认。</w:t>
      </w:r>
    </w:p>
    <w:p w14:paraId="24DD153B">
      <w:pPr>
        <w:spacing w:line="360" w:lineRule="auto"/>
        <w:ind w:firstLine="480" w:firstLineChars="200"/>
        <w:rPr>
          <w:rFonts w:hAnsi="宋体"/>
          <w:b w:val="0"/>
          <w:bCs w:val="0"/>
          <w:color w:val="auto"/>
          <w:szCs w:val="24"/>
          <w:highlight w:val="none"/>
        </w:rPr>
      </w:pPr>
      <w:r>
        <w:rPr>
          <w:rFonts w:hint="eastAsia" w:hAnsi="宋体"/>
          <w:b w:val="0"/>
          <w:bCs w:val="0"/>
          <w:color w:val="auto"/>
          <w:szCs w:val="24"/>
          <w:highlight w:val="none"/>
        </w:rPr>
        <w:t>23.5.2对竞争性磋商文件做出的实质性变动是磋商文件的有效组成部分，磋商小组应当及时以书面形式通知所有参加磋商的供应商。</w:t>
      </w:r>
    </w:p>
    <w:p w14:paraId="2996804D">
      <w:pPr>
        <w:spacing w:line="360" w:lineRule="auto"/>
        <w:ind w:firstLine="480" w:firstLineChars="200"/>
        <w:rPr>
          <w:rFonts w:hAnsi="宋体"/>
          <w:b w:val="0"/>
          <w:bCs w:val="0"/>
          <w:color w:val="auto"/>
          <w:szCs w:val="24"/>
          <w:highlight w:val="none"/>
        </w:rPr>
      </w:pPr>
      <w:r>
        <w:rPr>
          <w:rFonts w:hint="eastAsia" w:hAnsi="宋体"/>
          <w:b w:val="0"/>
          <w:bCs w:val="0"/>
          <w:color w:val="auto"/>
          <w:szCs w:val="24"/>
          <w:highlight w:val="none"/>
        </w:rPr>
        <w:t>23.6竞争性磋商响应文件的初审（含资格性检查和符合性检查）</w:t>
      </w:r>
    </w:p>
    <w:p w14:paraId="0A32E8F8">
      <w:pPr>
        <w:spacing w:line="360" w:lineRule="auto"/>
        <w:ind w:firstLine="480" w:firstLineChars="200"/>
        <w:rPr>
          <w:rFonts w:hAnsi="宋体"/>
          <w:b w:val="0"/>
          <w:bCs w:val="0"/>
          <w:color w:val="auto"/>
          <w:szCs w:val="24"/>
          <w:highlight w:val="none"/>
        </w:rPr>
      </w:pPr>
      <w:r>
        <w:rPr>
          <w:rFonts w:hint="eastAsia" w:hAnsi="宋体"/>
          <w:b w:val="0"/>
          <w:bCs w:val="0"/>
          <w:color w:val="auto"/>
          <w:szCs w:val="24"/>
          <w:highlight w:val="none"/>
        </w:rPr>
        <w:t>23.6.1磋商小组将审查竞争性磋商响应文件是否完整、资格证明文件是否齐全，磋商保证金是否合格、有无计算上的错误等。</w:t>
      </w:r>
    </w:p>
    <w:p w14:paraId="6EAA23CD">
      <w:pPr>
        <w:spacing w:line="500" w:lineRule="exact"/>
        <w:ind w:firstLine="480" w:firstLineChars="200"/>
        <w:rPr>
          <w:rFonts w:hAnsi="宋体"/>
          <w:b w:val="0"/>
          <w:bCs w:val="0"/>
          <w:color w:val="auto"/>
          <w:szCs w:val="24"/>
          <w:highlight w:val="none"/>
        </w:rPr>
      </w:pPr>
      <w:r>
        <w:rPr>
          <w:rFonts w:hint="eastAsia" w:hAnsi="宋体"/>
          <w:b w:val="0"/>
          <w:bCs w:val="0"/>
          <w:color w:val="auto"/>
          <w:szCs w:val="24"/>
          <w:highlight w:val="none"/>
        </w:rPr>
        <w:t>23.6.2计算错误将按以下方法更正：</w:t>
      </w:r>
    </w:p>
    <w:p w14:paraId="4BA2A83B">
      <w:pPr>
        <w:spacing w:line="500" w:lineRule="exact"/>
        <w:ind w:firstLine="480" w:firstLineChars="200"/>
        <w:rPr>
          <w:rFonts w:hAnsi="宋体"/>
          <w:b w:val="0"/>
          <w:bCs w:val="0"/>
          <w:color w:val="auto"/>
          <w:szCs w:val="24"/>
          <w:highlight w:val="none"/>
        </w:rPr>
      </w:pPr>
      <w:r>
        <w:rPr>
          <w:rFonts w:hint="eastAsia" w:hAnsi="宋体"/>
          <w:b w:val="0"/>
          <w:bCs w:val="0"/>
          <w:color w:val="auto"/>
          <w:szCs w:val="24"/>
          <w:highlight w:val="none"/>
        </w:rPr>
        <w:t>（1）磋商响应文件中报价一览表(报价表)内容与磋商响应文件中相应内容不一致的，以报价一览表(报价表)为准；如果单独密封的报价一览表(报价表)与磋商响应文件正本的报价一览表(报价表)不一致，以单独密封的报价一览表(报价表)为准。</w:t>
      </w:r>
    </w:p>
    <w:p w14:paraId="3A5BB9CE">
      <w:pPr>
        <w:spacing w:line="500" w:lineRule="exact"/>
        <w:ind w:firstLine="480" w:firstLineChars="200"/>
        <w:rPr>
          <w:rFonts w:hAnsi="宋体"/>
          <w:b w:val="0"/>
          <w:bCs w:val="0"/>
          <w:color w:val="auto"/>
          <w:szCs w:val="24"/>
          <w:highlight w:val="none"/>
        </w:rPr>
      </w:pPr>
      <w:r>
        <w:rPr>
          <w:rFonts w:hint="eastAsia" w:hAnsi="宋体"/>
          <w:b w:val="0"/>
          <w:bCs w:val="0"/>
          <w:color w:val="auto"/>
          <w:szCs w:val="24"/>
          <w:highlight w:val="none"/>
        </w:rPr>
        <w:t>（2）磋商响应文件的大写金额和小写金额不一致的，以大写金额为准；</w:t>
      </w:r>
    </w:p>
    <w:p w14:paraId="44D29EF1">
      <w:pPr>
        <w:spacing w:line="500" w:lineRule="exact"/>
        <w:ind w:firstLine="480" w:firstLineChars="200"/>
        <w:rPr>
          <w:rFonts w:hAnsi="宋体"/>
          <w:b w:val="0"/>
          <w:bCs w:val="0"/>
          <w:color w:val="auto"/>
          <w:szCs w:val="24"/>
          <w:highlight w:val="none"/>
        </w:rPr>
      </w:pPr>
      <w:r>
        <w:rPr>
          <w:rFonts w:hint="eastAsia" w:hAnsi="宋体"/>
          <w:b w:val="0"/>
          <w:bCs w:val="0"/>
          <w:color w:val="auto"/>
          <w:szCs w:val="24"/>
          <w:highlight w:val="none"/>
        </w:rPr>
        <w:t>（3）单价金额小数点或者百分比有明显错位的，以单独密封的报价一览表的总价为准，并修改单价；</w:t>
      </w:r>
    </w:p>
    <w:p w14:paraId="4818DCB9">
      <w:pPr>
        <w:spacing w:line="500" w:lineRule="exact"/>
        <w:ind w:firstLine="480" w:firstLineChars="200"/>
        <w:rPr>
          <w:rFonts w:hAnsi="宋体"/>
          <w:b w:val="0"/>
          <w:bCs w:val="0"/>
          <w:color w:val="auto"/>
          <w:szCs w:val="24"/>
          <w:highlight w:val="none"/>
        </w:rPr>
      </w:pPr>
      <w:r>
        <w:rPr>
          <w:rFonts w:hint="eastAsia" w:hAnsi="宋体"/>
          <w:b w:val="0"/>
          <w:bCs w:val="0"/>
          <w:color w:val="auto"/>
          <w:szCs w:val="24"/>
          <w:highlight w:val="none"/>
        </w:rPr>
        <w:t>（4）总价金额与按单价汇总金额不一致的，以单价金额计算结果为准。</w:t>
      </w:r>
    </w:p>
    <w:p w14:paraId="1C96FF8B">
      <w:pPr>
        <w:spacing w:line="500" w:lineRule="exact"/>
        <w:ind w:firstLine="480" w:firstLineChars="200"/>
        <w:rPr>
          <w:rFonts w:hAnsi="宋体"/>
          <w:b w:val="0"/>
          <w:bCs w:val="0"/>
          <w:color w:val="auto"/>
          <w:szCs w:val="24"/>
          <w:highlight w:val="none"/>
        </w:rPr>
      </w:pPr>
      <w:r>
        <w:rPr>
          <w:rFonts w:hint="eastAsia" w:hAnsi="宋体"/>
          <w:b w:val="0"/>
          <w:bCs w:val="0"/>
          <w:color w:val="auto"/>
          <w:szCs w:val="24"/>
          <w:highlight w:val="none"/>
        </w:rPr>
        <w:t>按上述修正的顺序和方法调整的报价应对供应商具有约束力。如果供应商不接受修正后的价格，其响应文件将按无效响应处理。</w:t>
      </w:r>
    </w:p>
    <w:p w14:paraId="71D2B839">
      <w:pPr>
        <w:spacing w:line="360" w:lineRule="auto"/>
        <w:ind w:firstLine="480" w:firstLineChars="200"/>
        <w:rPr>
          <w:rFonts w:hAnsi="宋体"/>
          <w:b w:val="0"/>
          <w:bCs w:val="0"/>
          <w:color w:val="auto"/>
          <w:szCs w:val="24"/>
          <w:highlight w:val="none"/>
        </w:rPr>
      </w:pPr>
      <w:r>
        <w:rPr>
          <w:rFonts w:hint="eastAsia" w:hAnsi="宋体"/>
          <w:b w:val="0"/>
          <w:bCs w:val="0"/>
          <w:color w:val="auto"/>
          <w:szCs w:val="24"/>
          <w:highlight w:val="none"/>
        </w:rPr>
        <w:t>23.6.3对于竞争性磋商响应文件中明显的标点符号错误或不构成实质性偏差的不正规、不一致或不规则，采购人可以接受。</w:t>
      </w:r>
    </w:p>
    <w:p w14:paraId="4DACD843">
      <w:pPr>
        <w:spacing w:line="360" w:lineRule="auto"/>
        <w:ind w:firstLine="480" w:firstLineChars="200"/>
        <w:rPr>
          <w:rFonts w:hAnsi="宋体"/>
          <w:b w:val="0"/>
          <w:bCs w:val="0"/>
          <w:color w:val="auto"/>
          <w:szCs w:val="24"/>
          <w:highlight w:val="none"/>
        </w:rPr>
      </w:pPr>
      <w:r>
        <w:rPr>
          <w:rFonts w:hint="eastAsia" w:hAnsi="宋体"/>
          <w:b w:val="0"/>
          <w:bCs w:val="0"/>
          <w:color w:val="auto"/>
          <w:szCs w:val="24"/>
          <w:highlight w:val="none"/>
        </w:rPr>
        <w:t>23.6.4在详细评审之前，根据本须知第23.6.5条的规定，磋商小组要审查每份竞争性磋商响应文件是否实质上响应了竞争性磋商文件的要求。实质上响应的磋商应该是与竞争性磋商文件要求的全部条款、条件和规格参数相符，没有重大偏离的磋商。对关键条文的偏离、保留或反对将被认为是实质上的偏离。磋商小组决定磋商的响应性只根据磋商响应文件本身的内容，而不寻求外部的证据。</w:t>
      </w:r>
    </w:p>
    <w:p w14:paraId="358B88B0">
      <w:pPr>
        <w:spacing w:line="360" w:lineRule="auto"/>
        <w:ind w:firstLine="480" w:firstLineChars="200"/>
        <w:rPr>
          <w:rFonts w:hAnsi="宋体"/>
          <w:b w:val="0"/>
          <w:bCs w:val="0"/>
          <w:color w:val="auto"/>
          <w:szCs w:val="24"/>
          <w:highlight w:val="none"/>
        </w:rPr>
      </w:pPr>
      <w:r>
        <w:rPr>
          <w:rFonts w:hint="eastAsia" w:hAnsi="宋体"/>
          <w:b w:val="0"/>
          <w:bCs w:val="0"/>
          <w:color w:val="auto"/>
          <w:szCs w:val="24"/>
          <w:highlight w:val="none"/>
        </w:rPr>
        <w:t>23.6.5实质上没有响应竞争性磋商文件要求的磋商将被拒绝。供应商不得通过修正或撤销不合要求的偏离从而使其磋商成为实质性响应的磋商。如发现下列情况之一的，其磋商将构成非实质性响应，按无效磋商处理：</w:t>
      </w:r>
    </w:p>
    <w:p w14:paraId="1D5C69A2">
      <w:pPr>
        <w:tabs>
          <w:tab w:val="left" w:pos="1260"/>
        </w:tabs>
        <w:spacing w:line="360" w:lineRule="auto"/>
        <w:ind w:firstLine="480" w:firstLineChars="200"/>
        <w:rPr>
          <w:rFonts w:hAnsi="宋体" w:cs="宋体"/>
          <w:b w:val="0"/>
          <w:bCs w:val="0"/>
          <w:color w:val="auto"/>
          <w:szCs w:val="24"/>
          <w:highlight w:val="none"/>
        </w:rPr>
      </w:pPr>
      <w:r>
        <w:rPr>
          <w:rFonts w:hint="eastAsia" w:hAnsi="宋体" w:cs="宋体"/>
          <w:b w:val="0"/>
          <w:bCs w:val="0"/>
          <w:color w:val="auto"/>
          <w:szCs w:val="24"/>
          <w:highlight w:val="none"/>
        </w:rPr>
        <w:t>1）没有按照竞争性磋商文件要求提供的竞争性磋商响应文件或竞争性磋商响应文件构成有重大缺项；</w:t>
      </w:r>
    </w:p>
    <w:p w14:paraId="3FDCA705">
      <w:pPr>
        <w:tabs>
          <w:tab w:val="left" w:pos="1260"/>
        </w:tabs>
        <w:spacing w:line="360" w:lineRule="auto"/>
        <w:ind w:firstLine="480" w:firstLineChars="200"/>
        <w:rPr>
          <w:rFonts w:hAnsi="宋体" w:cs="宋体"/>
          <w:b w:val="0"/>
          <w:bCs w:val="0"/>
          <w:color w:val="auto"/>
          <w:szCs w:val="24"/>
          <w:highlight w:val="none"/>
        </w:rPr>
      </w:pPr>
      <w:r>
        <w:rPr>
          <w:rFonts w:hint="eastAsia" w:hAnsi="宋体" w:cs="宋体"/>
          <w:b w:val="0"/>
          <w:bCs w:val="0"/>
          <w:color w:val="auto"/>
          <w:szCs w:val="24"/>
          <w:highlight w:val="none"/>
          <w:lang w:val="en-US" w:eastAsia="zh-CN"/>
        </w:rPr>
        <w:t>2</w:t>
      </w:r>
      <w:r>
        <w:rPr>
          <w:rFonts w:hint="eastAsia" w:hAnsi="宋体" w:cs="宋体"/>
          <w:b w:val="0"/>
          <w:bCs w:val="0"/>
          <w:color w:val="auto"/>
          <w:szCs w:val="24"/>
          <w:highlight w:val="none"/>
        </w:rPr>
        <w:t>）供应商未提交有效的磋商保证金或金额不足的、磋商保证金形式不符合竞争性磋商文件要求的；</w:t>
      </w:r>
    </w:p>
    <w:p w14:paraId="5F77EA29">
      <w:pPr>
        <w:tabs>
          <w:tab w:val="left" w:pos="1260"/>
        </w:tabs>
        <w:spacing w:line="360" w:lineRule="auto"/>
        <w:ind w:firstLine="480" w:firstLineChars="200"/>
        <w:rPr>
          <w:rFonts w:hAnsi="宋体" w:cs="宋体"/>
          <w:b w:val="0"/>
          <w:bCs w:val="0"/>
          <w:color w:val="auto"/>
          <w:szCs w:val="24"/>
          <w:highlight w:val="none"/>
        </w:rPr>
      </w:pPr>
      <w:r>
        <w:rPr>
          <w:rFonts w:hint="eastAsia" w:hAnsi="宋体" w:cs="宋体"/>
          <w:b w:val="0"/>
          <w:bCs w:val="0"/>
          <w:color w:val="auto"/>
          <w:szCs w:val="24"/>
          <w:highlight w:val="none"/>
          <w:lang w:val="en-US" w:eastAsia="zh-CN"/>
        </w:rPr>
        <w:t>3</w:t>
      </w:r>
      <w:r>
        <w:rPr>
          <w:rFonts w:hint="eastAsia" w:hAnsi="宋体" w:cs="宋体"/>
          <w:b w:val="0"/>
          <w:bCs w:val="0"/>
          <w:color w:val="auto"/>
          <w:szCs w:val="24"/>
          <w:highlight w:val="none"/>
        </w:rPr>
        <w:t>）资格证明文件不全的或无效的，或不符合国家规定的；</w:t>
      </w:r>
    </w:p>
    <w:p w14:paraId="2AC18F93">
      <w:pPr>
        <w:tabs>
          <w:tab w:val="left" w:pos="1260"/>
        </w:tabs>
        <w:spacing w:line="360" w:lineRule="auto"/>
        <w:ind w:firstLine="480" w:firstLineChars="200"/>
        <w:rPr>
          <w:rFonts w:hAnsi="宋体" w:cs="宋体"/>
          <w:b w:val="0"/>
          <w:bCs w:val="0"/>
          <w:color w:val="auto"/>
          <w:szCs w:val="24"/>
          <w:highlight w:val="none"/>
        </w:rPr>
      </w:pPr>
      <w:r>
        <w:rPr>
          <w:rFonts w:hint="eastAsia" w:hAnsi="宋体" w:cs="宋体"/>
          <w:b w:val="0"/>
          <w:bCs w:val="0"/>
          <w:color w:val="auto"/>
          <w:szCs w:val="24"/>
          <w:highlight w:val="none"/>
          <w:lang w:val="en-US" w:eastAsia="zh-CN"/>
        </w:rPr>
        <w:t>4</w:t>
      </w:r>
      <w:r>
        <w:rPr>
          <w:rFonts w:hint="eastAsia" w:hAnsi="宋体" w:cs="宋体"/>
          <w:b w:val="0"/>
          <w:bCs w:val="0"/>
          <w:color w:val="auto"/>
          <w:szCs w:val="24"/>
          <w:highlight w:val="none"/>
        </w:rPr>
        <w:t>）竞争性磋商响应文件无供应商公章、无法定代表人签字或签字人无法定代表人有效委托书的；</w:t>
      </w:r>
    </w:p>
    <w:p w14:paraId="2D6FCD42">
      <w:pPr>
        <w:tabs>
          <w:tab w:val="left" w:pos="1260"/>
        </w:tabs>
        <w:spacing w:line="360" w:lineRule="auto"/>
        <w:ind w:firstLine="480" w:firstLineChars="200"/>
        <w:rPr>
          <w:rFonts w:hAnsi="宋体" w:cs="宋体"/>
          <w:b w:val="0"/>
          <w:bCs w:val="0"/>
          <w:color w:val="auto"/>
          <w:szCs w:val="24"/>
          <w:highlight w:val="none"/>
        </w:rPr>
      </w:pPr>
      <w:r>
        <w:rPr>
          <w:rFonts w:hint="eastAsia" w:hAnsi="宋体" w:cs="宋体"/>
          <w:b w:val="0"/>
          <w:bCs w:val="0"/>
          <w:color w:val="auto"/>
          <w:szCs w:val="24"/>
          <w:highlight w:val="none"/>
          <w:lang w:val="en-US" w:eastAsia="zh-CN"/>
        </w:rPr>
        <w:t>5</w:t>
      </w:r>
      <w:r>
        <w:rPr>
          <w:rFonts w:hint="eastAsia" w:hAnsi="宋体" w:cs="宋体"/>
          <w:b w:val="0"/>
          <w:bCs w:val="0"/>
          <w:color w:val="auto"/>
          <w:szCs w:val="24"/>
          <w:highlight w:val="none"/>
        </w:rPr>
        <w:t>）</w:t>
      </w:r>
      <w:r>
        <w:rPr>
          <w:rFonts w:hint="eastAsia" w:hAnsi="宋体" w:cs="宋体"/>
          <w:b w:val="0"/>
          <w:bCs w:val="0"/>
          <w:color w:val="auto"/>
          <w:spacing w:val="-6"/>
          <w:szCs w:val="24"/>
          <w:highlight w:val="none"/>
        </w:rPr>
        <w:t>无磋商有效期或有效期达不到竞争性磋商文件要求的</w:t>
      </w:r>
      <w:r>
        <w:rPr>
          <w:rFonts w:hint="eastAsia" w:hAnsi="宋体" w:cs="宋体"/>
          <w:b w:val="0"/>
          <w:bCs w:val="0"/>
          <w:color w:val="auto"/>
          <w:szCs w:val="24"/>
          <w:highlight w:val="none"/>
        </w:rPr>
        <w:t>；</w:t>
      </w:r>
    </w:p>
    <w:p w14:paraId="54EB3BD0">
      <w:pPr>
        <w:tabs>
          <w:tab w:val="left" w:pos="1260"/>
        </w:tabs>
        <w:spacing w:line="360" w:lineRule="auto"/>
        <w:ind w:firstLine="480" w:firstLineChars="200"/>
        <w:rPr>
          <w:rFonts w:hAnsi="宋体" w:cs="宋体"/>
          <w:b w:val="0"/>
          <w:bCs w:val="0"/>
          <w:color w:val="auto"/>
          <w:szCs w:val="24"/>
          <w:highlight w:val="none"/>
        </w:rPr>
      </w:pPr>
      <w:r>
        <w:rPr>
          <w:rFonts w:hint="eastAsia" w:hAnsi="宋体" w:cs="宋体"/>
          <w:b w:val="0"/>
          <w:bCs w:val="0"/>
          <w:color w:val="auto"/>
          <w:szCs w:val="24"/>
          <w:highlight w:val="none"/>
          <w:lang w:val="en-US" w:eastAsia="zh-CN"/>
        </w:rPr>
        <w:t>6</w:t>
      </w:r>
      <w:r>
        <w:rPr>
          <w:rFonts w:hint="eastAsia" w:hAnsi="宋体" w:cs="宋体"/>
          <w:b w:val="0"/>
          <w:bCs w:val="0"/>
          <w:color w:val="auto"/>
          <w:szCs w:val="24"/>
          <w:highlight w:val="none"/>
        </w:rPr>
        <w:t>）供应商在同一份竞争性磋商响应文件中，有两个或多个报价的；</w:t>
      </w:r>
    </w:p>
    <w:p w14:paraId="5A1C1334">
      <w:pPr>
        <w:tabs>
          <w:tab w:val="left" w:pos="1260"/>
        </w:tabs>
        <w:spacing w:line="360" w:lineRule="auto"/>
        <w:ind w:firstLine="480" w:firstLineChars="200"/>
        <w:rPr>
          <w:rFonts w:hAnsi="宋体" w:cs="宋体"/>
          <w:b w:val="0"/>
          <w:bCs w:val="0"/>
          <w:color w:val="auto"/>
          <w:szCs w:val="24"/>
          <w:highlight w:val="none"/>
        </w:rPr>
      </w:pPr>
      <w:r>
        <w:rPr>
          <w:rFonts w:hint="eastAsia" w:hAnsi="宋体" w:cs="宋体"/>
          <w:b w:val="0"/>
          <w:bCs w:val="0"/>
          <w:color w:val="auto"/>
          <w:szCs w:val="24"/>
          <w:highlight w:val="none"/>
          <w:lang w:val="en-US" w:eastAsia="zh-CN"/>
        </w:rPr>
        <w:t>7</w:t>
      </w:r>
      <w:r>
        <w:rPr>
          <w:rFonts w:hint="eastAsia" w:hAnsi="宋体" w:cs="宋体"/>
          <w:b w:val="0"/>
          <w:bCs w:val="0"/>
          <w:color w:val="auto"/>
          <w:szCs w:val="24"/>
          <w:highlight w:val="none"/>
        </w:rPr>
        <w:t>）存在有重大缺漏项和重大偏离的；</w:t>
      </w:r>
    </w:p>
    <w:p w14:paraId="09D2576A">
      <w:pPr>
        <w:tabs>
          <w:tab w:val="left" w:pos="1260"/>
        </w:tabs>
        <w:spacing w:line="360" w:lineRule="auto"/>
        <w:ind w:firstLine="480" w:firstLineChars="200"/>
        <w:rPr>
          <w:rFonts w:hAnsi="宋体" w:cs="宋体"/>
          <w:b w:val="0"/>
          <w:bCs w:val="0"/>
          <w:color w:val="auto"/>
          <w:szCs w:val="24"/>
          <w:highlight w:val="none"/>
        </w:rPr>
      </w:pPr>
      <w:r>
        <w:rPr>
          <w:rFonts w:hint="eastAsia" w:hAnsi="宋体" w:cs="宋体"/>
          <w:b w:val="0"/>
          <w:bCs w:val="0"/>
          <w:color w:val="auto"/>
          <w:szCs w:val="24"/>
          <w:highlight w:val="none"/>
          <w:lang w:val="en-US" w:eastAsia="zh-CN"/>
        </w:rPr>
        <w:t>8</w:t>
      </w:r>
      <w:r>
        <w:rPr>
          <w:rFonts w:hint="eastAsia" w:hAnsi="宋体" w:cs="宋体"/>
          <w:b w:val="0"/>
          <w:bCs w:val="0"/>
          <w:color w:val="auto"/>
          <w:szCs w:val="24"/>
          <w:highlight w:val="none"/>
        </w:rPr>
        <w:t>）供应商有串通磋商、以他人名义磋商、行贿、提供虚假证明（包括第三方提供的虚假证明），开具虚假资质，出现虚假应答的，除按无效文件处理外，还将按照政府采购的有关规定进行处罚；</w:t>
      </w:r>
    </w:p>
    <w:p w14:paraId="5BEBCF61">
      <w:pPr>
        <w:spacing w:line="360" w:lineRule="auto"/>
        <w:ind w:firstLine="480" w:firstLineChars="200"/>
        <w:rPr>
          <w:rFonts w:hint="eastAsia" w:hAnsi="宋体" w:cs="宋体"/>
          <w:b w:val="0"/>
          <w:bCs w:val="0"/>
          <w:color w:val="auto"/>
          <w:szCs w:val="24"/>
          <w:highlight w:val="none"/>
        </w:rPr>
      </w:pPr>
      <w:r>
        <w:rPr>
          <w:rFonts w:hint="eastAsia" w:hAnsi="宋体" w:cs="宋体"/>
          <w:b w:val="0"/>
          <w:bCs w:val="0"/>
          <w:color w:val="auto"/>
          <w:szCs w:val="24"/>
          <w:highlight w:val="none"/>
          <w:lang w:val="en-US" w:eastAsia="zh-CN"/>
        </w:rPr>
        <w:t>9</w:t>
      </w:r>
      <w:r>
        <w:rPr>
          <w:rFonts w:hint="eastAsia" w:hAnsi="宋体" w:cs="宋体"/>
          <w:b w:val="0"/>
          <w:bCs w:val="0"/>
          <w:color w:val="auto"/>
          <w:szCs w:val="24"/>
          <w:highlight w:val="none"/>
        </w:rPr>
        <w:t>）磋商总报价低于成本或者高于竞争性磋商文件公布的采购预算的。</w:t>
      </w:r>
    </w:p>
    <w:p w14:paraId="6669506B">
      <w:pPr>
        <w:spacing w:line="360" w:lineRule="auto"/>
        <w:ind w:firstLine="480" w:firstLineChars="200"/>
        <w:rPr>
          <w:rFonts w:cs="宋体"/>
          <w:b w:val="0"/>
          <w:bCs w:val="0"/>
          <w:color w:val="auto"/>
          <w:highlight w:val="none"/>
        </w:rPr>
      </w:pPr>
      <w:r>
        <w:rPr>
          <w:rFonts w:hint="eastAsia" w:cs="宋体"/>
          <w:b w:val="0"/>
          <w:bCs w:val="0"/>
          <w:color w:val="auto"/>
          <w:highlight w:val="none"/>
          <w:lang w:val="en-US" w:eastAsia="zh-CN"/>
        </w:rPr>
        <w:t>10</w:t>
      </w:r>
      <w:r>
        <w:rPr>
          <w:rFonts w:hint="eastAsia" w:cs="宋体"/>
          <w:b w:val="0"/>
          <w:bCs w:val="0"/>
          <w:color w:val="auto"/>
          <w:highlight w:val="none"/>
        </w:rPr>
        <w:t>）竞争性磋商响应文件含有采购人不能接受的附加条件的；</w:t>
      </w:r>
    </w:p>
    <w:p w14:paraId="4D1412AE">
      <w:pPr>
        <w:spacing w:line="500" w:lineRule="exact"/>
        <w:ind w:firstLine="480" w:firstLineChars="200"/>
        <w:rPr>
          <w:rFonts w:hAnsi="宋体" w:cs="宋体"/>
          <w:b w:val="0"/>
          <w:bCs w:val="0"/>
          <w:color w:val="auto"/>
          <w:szCs w:val="24"/>
          <w:highlight w:val="none"/>
        </w:rPr>
      </w:pPr>
      <w:r>
        <w:rPr>
          <w:rFonts w:hint="eastAsia" w:hAnsi="宋体" w:cs="宋体"/>
          <w:b w:val="0"/>
          <w:bCs w:val="0"/>
          <w:color w:val="auto"/>
          <w:szCs w:val="24"/>
          <w:highlight w:val="none"/>
          <w:lang w:val="en-US" w:eastAsia="zh-CN"/>
        </w:rPr>
        <w:t>11</w:t>
      </w:r>
      <w:r>
        <w:rPr>
          <w:rFonts w:hint="eastAsia" w:hAnsi="宋体" w:cs="宋体"/>
          <w:b w:val="0"/>
          <w:bCs w:val="0"/>
          <w:color w:val="auto"/>
          <w:szCs w:val="24"/>
          <w:highlight w:val="none"/>
        </w:rPr>
        <w:t>）竞争性磋商响应文件不符合法律法规要求的；</w:t>
      </w:r>
    </w:p>
    <w:p w14:paraId="27FF0974">
      <w:pPr>
        <w:pStyle w:val="18"/>
        <w:spacing w:before="0" w:beforeAutospacing="0" w:after="0" w:afterAutospacing="0" w:line="500" w:lineRule="exact"/>
        <w:ind w:firstLine="480" w:firstLineChars="200"/>
        <w:jc w:val="both"/>
        <w:rPr>
          <w:rFonts w:hint="eastAsia" w:cs="宋体"/>
          <w:b w:val="0"/>
          <w:bCs w:val="0"/>
          <w:color w:val="auto"/>
          <w:highlight w:val="none"/>
        </w:rPr>
      </w:pPr>
      <w:r>
        <w:rPr>
          <w:rFonts w:hint="eastAsia" w:cs="宋体"/>
          <w:b w:val="0"/>
          <w:bCs w:val="0"/>
          <w:color w:val="auto"/>
          <w:highlight w:val="none"/>
          <w:lang w:val="en-US" w:eastAsia="zh-CN"/>
        </w:rPr>
        <w:t>12</w:t>
      </w:r>
      <w:r>
        <w:rPr>
          <w:rFonts w:hint="eastAsia" w:cs="宋体"/>
          <w:b w:val="0"/>
          <w:bCs w:val="0"/>
          <w:color w:val="auto"/>
          <w:highlight w:val="none"/>
        </w:rPr>
        <w:t>）供应商被列入失信被执行人、重大税收违法案件当事人名单、政府采购严重违法失信行为记录名单及其他不符合《中华人民共和国政府采购法》第二十二条规定条件。</w:t>
      </w:r>
    </w:p>
    <w:p w14:paraId="6C793B50">
      <w:pPr>
        <w:spacing w:line="480" w:lineRule="exact"/>
        <w:ind w:firstLine="480" w:firstLineChars="200"/>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13）供应商拒绝对电子投标文件进行解密的；</w:t>
      </w:r>
    </w:p>
    <w:p w14:paraId="579F7790">
      <w:pPr>
        <w:spacing w:line="480" w:lineRule="exact"/>
        <w:ind w:firstLine="480" w:firstLineChars="200"/>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14）因供应商自身原因（如未带CA锁、或所带CA锁与制作电子投标文件使用的CA锁不一致），导致在规定时间内无法解密投标文件的；</w:t>
      </w:r>
    </w:p>
    <w:p w14:paraId="49144C11">
      <w:pPr>
        <w:spacing w:line="480" w:lineRule="exact"/>
        <w:ind w:firstLine="480" w:firstLineChars="200"/>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15）上传的电子投标文件无法打开的；</w:t>
      </w:r>
    </w:p>
    <w:p w14:paraId="052BEB44">
      <w:pPr>
        <w:spacing w:line="480" w:lineRule="exact"/>
        <w:ind w:firstLine="480" w:firstLineChars="200"/>
        <w:rPr>
          <w:rFonts w:hint="eastAsia" w:cs="宋体"/>
          <w:b w:val="0"/>
          <w:bCs w:val="0"/>
          <w:color w:val="auto"/>
          <w:highlight w:val="none"/>
        </w:rPr>
      </w:pPr>
      <w:r>
        <w:rPr>
          <w:rFonts w:hint="eastAsia" w:ascii="宋体" w:hAnsi="宋体" w:eastAsia="宋体" w:cs="宋体"/>
          <w:b w:val="0"/>
          <w:bCs w:val="0"/>
          <w:color w:val="auto"/>
          <w:sz w:val="24"/>
          <w:szCs w:val="24"/>
          <w:highlight w:val="none"/>
          <w:lang w:val="en-US" w:eastAsia="zh-CN" w:bidi="ar-SA"/>
        </w:rPr>
        <w:t>16）政府采购法律法规规定的其他无效情形。</w:t>
      </w:r>
    </w:p>
    <w:p w14:paraId="1CBBE77D">
      <w:pPr>
        <w:spacing w:line="360" w:lineRule="auto"/>
        <w:ind w:firstLine="480" w:firstLineChars="200"/>
        <w:rPr>
          <w:rFonts w:hAnsi="宋体"/>
          <w:b w:val="0"/>
          <w:bCs w:val="0"/>
          <w:color w:val="auto"/>
          <w:szCs w:val="24"/>
          <w:highlight w:val="none"/>
        </w:rPr>
      </w:pPr>
      <w:r>
        <w:rPr>
          <w:rFonts w:hint="eastAsia" w:hAnsi="宋体"/>
          <w:b w:val="0"/>
          <w:bCs w:val="0"/>
          <w:color w:val="auto"/>
          <w:szCs w:val="24"/>
          <w:highlight w:val="none"/>
        </w:rPr>
        <w:t>23.7竞争性磋商响应文件的详细评审</w:t>
      </w:r>
    </w:p>
    <w:p w14:paraId="3FC87320">
      <w:pPr>
        <w:spacing w:line="360" w:lineRule="auto"/>
        <w:ind w:firstLine="480" w:firstLineChars="200"/>
        <w:rPr>
          <w:rFonts w:hAnsi="宋体"/>
          <w:b w:val="0"/>
          <w:bCs w:val="0"/>
          <w:color w:val="auto"/>
          <w:szCs w:val="24"/>
          <w:highlight w:val="none"/>
        </w:rPr>
      </w:pPr>
      <w:r>
        <w:rPr>
          <w:rFonts w:hint="eastAsia" w:hAnsi="宋体"/>
          <w:b w:val="0"/>
          <w:bCs w:val="0"/>
          <w:color w:val="auto"/>
          <w:szCs w:val="24"/>
          <w:highlight w:val="none"/>
        </w:rPr>
        <w:t>23.7.1磋商小组将按照本须知第23.6.5条规定，只对确定为实质性响应竞争性磋商文件要求的磋商响应文件进行详细评审。</w:t>
      </w:r>
    </w:p>
    <w:p w14:paraId="202EF1ED">
      <w:pPr>
        <w:spacing w:line="360" w:lineRule="auto"/>
        <w:ind w:firstLine="480" w:firstLineChars="200"/>
        <w:rPr>
          <w:rFonts w:hAnsi="宋体"/>
          <w:b w:val="0"/>
          <w:bCs w:val="0"/>
          <w:color w:val="auto"/>
          <w:szCs w:val="24"/>
          <w:highlight w:val="none"/>
        </w:rPr>
      </w:pPr>
      <w:r>
        <w:rPr>
          <w:rFonts w:hint="eastAsia" w:hAnsi="宋体"/>
          <w:b w:val="0"/>
          <w:bCs w:val="0"/>
          <w:color w:val="auto"/>
          <w:szCs w:val="24"/>
          <w:highlight w:val="none"/>
        </w:rPr>
        <w:t>23.7.2详细评审按照“供应商须知前附表”的评审方法进行。</w:t>
      </w:r>
    </w:p>
    <w:p w14:paraId="095CD73A">
      <w:pPr>
        <w:spacing w:line="360" w:lineRule="auto"/>
        <w:ind w:firstLine="480" w:firstLineChars="200"/>
        <w:rPr>
          <w:rFonts w:hAnsi="宋体"/>
          <w:b w:val="0"/>
          <w:bCs w:val="0"/>
          <w:color w:val="auto"/>
          <w:szCs w:val="24"/>
          <w:highlight w:val="none"/>
        </w:rPr>
      </w:pPr>
      <w:r>
        <w:rPr>
          <w:rFonts w:hint="eastAsia" w:hAnsi="宋体"/>
          <w:b w:val="0"/>
          <w:bCs w:val="0"/>
          <w:color w:val="auto"/>
          <w:szCs w:val="24"/>
          <w:highlight w:val="none"/>
        </w:rPr>
        <w:t>23.8成交候选人的确定</w:t>
      </w:r>
    </w:p>
    <w:p w14:paraId="5E7046C6">
      <w:pPr>
        <w:spacing w:line="360" w:lineRule="auto"/>
        <w:ind w:firstLine="480" w:firstLineChars="200"/>
        <w:rPr>
          <w:rFonts w:hAnsi="宋体"/>
          <w:b w:val="0"/>
          <w:bCs w:val="0"/>
          <w:color w:val="auto"/>
          <w:szCs w:val="24"/>
          <w:highlight w:val="none"/>
        </w:rPr>
      </w:pPr>
      <w:r>
        <w:rPr>
          <w:rFonts w:hint="eastAsia" w:hAnsi="宋体"/>
          <w:b w:val="0"/>
          <w:bCs w:val="0"/>
          <w:color w:val="auto"/>
          <w:szCs w:val="24"/>
          <w:highlight w:val="none"/>
        </w:rPr>
        <w:t>磋商小组完成评审后，向采购人提出书面评审，并推荐1-3名成交候选人，标明排列顺序。</w:t>
      </w:r>
    </w:p>
    <w:p w14:paraId="7B9B1627">
      <w:pPr>
        <w:spacing w:line="360" w:lineRule="auto"/>
        <w:rPr>
          <w:rFonts w:hAnsi="宋体"/>
          <w:b w:val="0"/>
          <w:bCs w:val="0"/>
          <w:color w:val="auto"/>
          <w:szCs w:val="24"/>
          <w:highlight w:val="none"/>
        </w:rPr>
      </w:pPr>
      <w:r>
        <w:rPr>
          <w:rFonts w:hAnsi="宋体"/>
          <w:b w:val="0"/>
          <w:bCs w:val="0"/>
          <w:color w:val="auto"/>
          <w:szCs w:val="24"/>
          <w:highlight w:val="none"/>
        </w:rPr>
        <w:t>2</w:t>
      </w:r>
      <w:r>
        <w:rPr>
          <w:rFonts w:hint="eastAsia" w:hAnsi="宋体"/>
          <w:b w:val="0"/>
          <w:bCs w:val="0"/>
          <w:color w:val="auto"/>
          <w:szCs w:val="24"/>
          <w:highlight w:val="none"/>
        </w:rPr>
        <w:t>4</w:t>
      </w:r>
      <w:r>
        <w:rPr>
          <w:rFonts w:hAnsi="宋体"/>
          <w:b w:val="0"/>
          <w:bCs w:val="0"/>
          <w:color w:val="auto"/>
          <w:szCs w:val="24"/>
          <w:highlight w:val="none"/>
        </w:rPr>
        <w:t>．</w:t>
      </w:r>
      <w:r>
        <w:rPr>
          <w:rFonts w:hint="eastAsia" w:hAnsi="宋体"/>
          <w:b w:val="0"/>
          <w:bCs w:val="0"/>
          <w:color w:val="auto"/>
          <w:szCs w:val="24"/>
          <w:highlight w:val="none"/>
        </w:rPr>
        <w:t>评审</w:t>
      </w:r>
      <w:r>
        <w:rPr>
          <w:rFonts w:hAnsi="宋体"/>
          <w:b w:val="0"/>
          <w:bCs w:val="0"/>
          <w:color w:val="auto"/>
          <w:szCs w:val="24"/>
          <w:highlight w:val="none"/>
        </w:rPr>
        <w:t>过程的保密</w:t>
      </w:r>
    </w:p>
    <w:p w14:paraId="6624C872">
      <w:pPr>
        <w:spacing w:line="360" w:lineRule="auto"/>
        <w:ind w:firstLine="480" w:firstLineChars="200"/>
        <w:rPr>
          <w:rFonts w:hAnsi="宋体"/>
          <w:b w:val="0"/>
          <w:bCs w:val="0"/>
          <w:color w:val="auto"/>
          <w:szCs w:val="24"/>
          <w:highlight w:val="none"/>
        </w:rPr>
      </w:pPr>
      <w:r>
        <w:rPr>
          <w:rFonts w:hint="eastAsia" w:hAnsi="宋体"/>
          <w:b w:val="0"/>
          <w:bCs w:val="0"/>
          <w:color w:val="auto"/>
          <w:szCs w:val="24"/>
          <w:highlight w:val="none"/>
        </w:rPr>
        <w:t>磋商小组成员和与评审活动有关的工作人员不得泄露有关竞争性磋商响应文件的评审和比较、成交候选人的推荐以及与评审有关的其他情况。</w:t>
      </w:r>
    </w:p>
    <w:p w14:paraId="49D1CE92">
      <w:pPr>
        <w:jc w:val="left"/>
        <w:rPr>
          <w:rFonts w:hAnsi="宋体"/>
          <w:b w:val="0"/>
          <w:bCs w:val="0"/>
          <w:color w:val="auto"/>
          <w:szCs w:val="24"/>
          <w:highlight w:val="none"/>
        </w:rPr>
      </w:pPr>
      <w:r>
        <w:rPr>
          <w:rFonts w:hAnsi="宋体"/>
          <w:b w:val="0"/>
          <w:bCs w:val="0"/>
          <w:color w:val="auto"/>
          <w:szCs w:val="24"/>
          <w:highlight w:val="none"/>
        </w:rPr>
        <w:t>2</w:t>
      </w:r>
      <w:r>
        <w:rPr>
          <w:rFonts w:hint="eastAsia" w:hAnsi="宋体"/>
          <w:b w:val="0"/>
          <w:bCs w:val="0"/>
          <w:color w:val="auto"/>
          <w:szCs w:val="24"/>
          <w:highlight w:val="none"/>
        </w:rPr>
        <w:t>5</w:t>
      </w:r>
      <w:r>
        <w:rPr>
          <w:rFonts w:hAnsi="宋体"/>
          <w:b w:val="0"/>
          <w:bCs w:val="0"/>
          <w:color w:val="auto"/>
          <w:szCs w:val="24"/>
          <w:highlight w:val="none"/>
        </w:rPr>
        <w:t>．</w:t>
      </w:r>
      <w:r>
        <w:rPr>
          <w:rFonts w:hint="eastAsia" w:hAnsi="宋体"/>
          <w:b w:val="0"/>
          <w:bCs w:val="0"/>
          <w:color w:val="auto"/>
          <w:szCs w:val="24"/>
          <w:highlight w:val="none"/>
        </w:rPr>
        <w:t>评审</w:t>
      </w:r>
      <w:r>
        <w:rPr>
          <w:rFonts w:hAnsi="宋体"/>
          <w:b w:val="0"/>
          <w:bCs w:val="0"/>
          <w:color w:val="auto"/>
          <w:szCs w:val="24"/>
          <w:highlight w:val="none"/>
        </w:rPr>
        <w:t>方法</w:t>
      </w:r>
    </w:p>
    <w:p w14:paraId="40C627E4">
      <w:pPr>
        <w:spacing w:line="360" w:lineRule="auto"/>
        <w:ind w:firstLine="480" w:firstLineChars="200"/>
        <w:rPr>
          <w:rFonts w:hint="eastAsia" w:ascii="宋体" w:hAnsi="宋体" w:eastAsia="宋体" w:cs="宋体"/>
          <w:color w:val="auto"/>
          <w:szCs w:val="24"/>
          <w:highlight w:val="none"/>
        </w:rPr>
      </w:pPr>
      <w:r>
        <w:rPr>
          <w:rFonts w:hint="eastAsia" w:hAnsi="宋体"/>
          <w:b w:val="0"/>
          <w:bCs w:val="0"/>
          <w:color w:val="auto"/>
          <w:szCs w:val="24"/>
          <w:highlight w:val="none"/>
        </w:rPr>
        <w:t>24.1按照</w:t>
      </w:r>
      <w:r>
        <w:rPr>
          <w:rFonts w:hAnsi="宋体"/>
          <w:b w:val="0"/>
          <w:bCs w:val="0"/>
          <w:color w:val="auto"/>
          <w:szCs w:val="24"/>
          <w:highlight w:val="none"/>
        </w:rPr>
        <w:t>《中华人民共和国政府采购法》</w:t>
      </w:r>
      <w:r>
        <w:rPr>
          <w:rFonts w:hint="eastAsia" w:hAnsi="宋体"/>
          <w:b w:val="0"/>
          <w:bCs w:val="0"/>
          <w:color w:val="auto"/>
          <w:szCs w:val="24"/>
          <w:highlight w:val="none"/>
        </w:rPr>
        <w:t>及实施条例和</w:t>
      </w:r>
      <w:r>
        <w:rPr>
          <w:rFonts w:hAnsi="宋体"/>
          <w:b w:val="0"/>
          <w:bCs w:val="0"/>
          <w:color w:val="auto"/>
          <w:szCs w:val="24"/>
          <w:highlight w:val="none"/>
        </w:rPr>
        <w:t>关于印发《政府采购竞争性磋商采购方式管理暂行办法》的通知</w:t>
      </w:r>
      <w:r>
        <w:rPr>
          <w:rFonts w:hint="eastAsia" w:hAnsi="宋体"/>
          <w:b w:val="0"/>
          <w:bCs w:val="0"/>
          <w:color w:val="auto"/>
          <w:szCs w:val="24"/>
          <w:highlight w:val="none"/>
        </w:rPr>
        <w:t>（</w:t>
      </w:r>
      <w:r>
        <w:rPr>
          <w:rFonts w:hAnsi="宋体"/>
          <w:b w:val="0"/>
          <w:bCs w:val="0"/>
          <w:color w:val="auto"/>
          <w:szCs w:val="24"/>
          <w:highlight w:val="none"/>
        </w:rPr>
        <w:t>财库【2014】214号</w:t>
      </w:r>
      <w:r>
        <w:rPr>
          <w:rFonts w:hint="eastAsia" w:hAnsi="宋体"/>
          <w:b w:val="0"/>
          <w:bCs w:val="0"/>
          <w:color w:val="auto"/>
          <w:szCs w:val="24"/>
          <w:highlight w:val="none"/>
        </w:rPr>
        <w:t>），本次评审采用综合评分法，即在全部满足竞争性磋商文件实质性要求前提下，磋商小组应当根据综合评分情况，按照评审得分高低顺序</w:t>
      </w:r>
      <w:r>
        <w:rPr>
          <w:rFonts w:hint="eastAsia" w:hAnsi="宋体"/>
          <w:b w:val="0"/>
          <w:bCs w:val="0"/>
          <w:color w:val="auto"/>
          <w:szCs w:val="24"/>
          <w:highlight w:val="none"/>
          <w:lang w:val="en-US" w:eastAsia="zh-CN"/>
        </w:rPr>
        <w:t>推荐</w:t>
      </w:r>
      <w:r>
        <w:rPr>
          <w:rFonts w:hint="eastAsia" w:hAnsi="宋体"/>
          <w:b w:val="0"/>
          <w:bCs w:val="0"/>
          <w:color w:val="auto"/>
          <w:szCs w:val="24"/>
          <w:highlight w:val="none"/>
        </w:rPr>
        <w:t>1-3名成交候选人。</w:t>
      </w:r>
    </w:p>
    <w:p w14:paraId="0045EDE2">
      <w:pPr>
        <w:keepNext/>
        <w:keepLines/>
        <w:spacing w:before="312" w:beforeLines="100" w:after="156" w:afterLines="50" w:line="360" w:lineRule="auto"/>
        <w:jc w:val="center"/>
        <w:outlineLvl w:val="2"/>
        <w:rPr>
          <w:rFonts w:hint="eastAsia" w:ascii="宋体" w:hAnsi="宋体" w:eastAsia="宋体" w:cs="宋体"/>
          <w:b/>
          <w:color w:val="auto"/>
          <w:sz w:val="32"/>
          <w:szCs w:val="32"/>
          <w:highlight w:val="none"/>
        </w:rPr>
      </w:pPr>
      <w:bookmarkStart w:id="53" w:name="_Toc15100"/>
      <w:bookmarkStart w:id="54" w:name="_Toc29146"/>
      <w:bookmarkStart w:id="55" w:name="_Toc5589"/>
      <w:r>
        <w:rPr>
          <w:rFonts w:hint="eastAsia" w:ascii="宋体" w:hAnsi="宋体" w:eastAsia="宋体" w:cs="宋体"/>
          <w:b/>
          <w:color w:val="auto"/>
          <w:sz w:val="32"/>
          <w:szCs w:val="32"/>
          <w:highlight w:val="none"/>
        </w:rPr>
        <w:t>六.成交、通知与签约</w:t>
      </w:r>
      <w:bookmarkEnd w:id="53"/>
      <w:bookmarkEnd w:id="54"/>
      <w:bookmarkEnd w:id="55"/>
    </w:p>
    <w:p w14:paraId="37AE7B8C">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26．成交程序</w:t>
      </w:r>
    </w:p>
    <w:p w14:paraId="48122808">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26.1磋商小组根据评审方法的规定对供应商进行评审排序，推荐1-3名成交候选人，作为评审结果。评审结果由全体磋商小组成员签字确认。</w:t>
      </w:r>
    </w:p>
    <w:p w14:paraId="1685E213">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26.2采购人根据磋商报告中推荐的成交候选人排列顺序，确定排名第一的为成交供应商。</w:t>
      </w:r>
    </w:p>
    <w:p w14:paraId="4E1A4F59">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26.3排名第一的成交候选人放弃成交、在规定期限内未能签订合同、因不可抗力不能履行合同、不按照竞争性磋商文件要求提交履约保证金，或者被查实存在影响成交结果的违法行为等情形，不符合成交条件的，采购人可以按照磋商小组提出的成交候选人名单排序依次确定其他成交候选人为成交供应商，也可以重新组织竞争性磋商。</w:t>
      </w:r>
    </w:p>
    <w:p w14:paraId="73499C9B">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26.4采购人也可以授权磋商小组评审后直接确定成交供应商。</w:t>
      </w:r>
    </w:p>
    <w:p w14:paraId="6A78B3B9">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26.5成交供应商确定之后，成交结果将在财政部门指定的政府采购信息发布媒体上公告。</w:t>
      </w:r>
    </w:p>
    <w:p w14:paraId="2AF10E06">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26.6供应商或者其他利害关系人对评审结果有异议的，应当在法律规定的时间内提出。</w:t>
      </w:r>
    </w:p>
    <w:p w14:paraId="28BEE3B5">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27．成交通知</w:t>
      </w:r>
    </w:p>
    <w:p w14:paraId="22B238CF">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27.1采购代理机构向成交供应商发出《成交通知书》。</w:t>
      </w:r>
      <w:r>
        <w:rPr>
          <w:rFonts w:hint="eastAsia" w:ascii="宋体" w:hAnsi="宋体" w:eastAsia="宋体" w:cs="宋体"/>
          <w:b/>
          <w:bCs/>
          <w:color w:val="auto"/>
          <w:szCs w:val="24"/>
          <w:highlight w:val="none"/>
        </w:rPr>
        <w:t>成交供应商领取成交通知书时须携带法定代表人授权书及加盖单位公章的被授权人身份证复印件。</w:t>
      </w:r>
    </w:p>
    <w:p w14:paraId="58558518">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27.2成交通知书对采购人和成交供应商具有同等法律效力。成交通知书发出之后，采购人改变成交结果，或者成交供应商放弃成交，应当承担相应的法律责任。</w:t>
      </w:r>
    </w:p>
    <w:p w14:paraId="1F033339">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28. 采购合同的签订</w:t>
      </w:r>
    </w:p>
    <w:p w14:paraId="617734D4">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28.1采购人应当自成交通知书发出之日起</w:t>
      </w:r>
      <w:r>
        <w:rPr>
          <w:rFonts w:hint="eastAsia" w:hAnsi="宋体" w:cs="宋体"/>
          <w:color w:val="auto"/>
          <w:szCs w:val="24"/>
          <w:highlight w:val="none"/>
          <w:lang w:val="en-US" w:eastAsia="zh-CN"/>
        </w:rPr>
        <w:t>二十五</w:t>
      </w:r>
      <w:r>
        <w:rPr>
          <w:rFonts w:hint="eastAsia" w:ascii="宋体" w:hAnsi="宋体" w:eastAsia="宋体" w:cs="宋体"/>
          <w:color w:val="auto"/>
          <w:szCs w:val="24"/>
          <w:highlight w:val="none"/>
        </w:rPr>
        <w:t>日内，按照竞争性磋商文件和成交供应商竞争性磋商响应文件（包括评审中形成的澄清文件）的约定，与成交供应商签订书面合同。所签订的合同不得对竞争性磋商文件和成交供应商的竞争性磋商响应文件（包括评审中形成的澄清文件）作实质性修改。</w:t>
      </w:r>
    </w:p>
    <w:p w14:paraId="54DDEF9F">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28.2采购人自采购合同签订之日起七个工作日内，将采购合同副本报同级人民政府财政部门备案。</w:t>
      </w:r>
    </w:p>
    <w:p w14:paraId="0D0CF142">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29．成交代理服务费</w:t>
      </w:r>
      <w:r>
        <w:rPr>
          <w:rFonts w:hint="eastAsia" w:ascii="宋体" w:hAnsi="宋体" w:eastAsia="宋体" w:cs="宋体"/>
          <w:color w:val="auto"/>
          <w:szCs w:val="24"/>
          <w:highlight w:val="none"/>
        </w:rPr>
        <w:t xml:space="preserve"> </w:t>
      </w:r>
    </w:p>
    <w:p w14:paraId="458554E2">
      <w:pPr>
        <w:spacing w:line="56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29.1参见国家计委颁布的《招标代理服务收费管理暂行办法》（计价格[2002]1980 号）规定的招标代理服务收费标准，按照中标金额差额定率累进法计算，按照标准的折扣率（60%）收取。</w:t>
      </w:r>
    </w:p>
    <w:p w14:paraId="41F3151B">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29.2成交单位在领取成交通知书前，须向采购代理机构一次性支付代理服务费。</w:t>
      </w:r>
    </w:p>
    <w:p w14:paraId="5F179EE8">
      <w:pPr>
        <w:spacing w:line="360" w:lineRule="auto"/>
        <w:ind w:firstLine="482" w:firstLineChars="200"/>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代理服务费转账账户：</w:t>
      </w:r>
    </w:p>
    <w:p w14:paraId="756E8E57">
      <w:pPr>
        <w:spacing w:line="360" w:lineRule="auto"/>
        <w:ind w:firstLine="482" w:firstLineChars="200"/>
        <w:rPr>
          <w:rFonts w:hint="eastAsia" w:ascii="宋体" w:hAnsi="宋体" w:eastAsia="宋体" w:cs="宋体"/>
          <w:b/>
          <w:bCs/>
          <w:color w:val="auto"/>
          <w:szCs w:val="24"/>
          <w:highlight w:val="none"/>
          <w:lang w:eastAsia="zh-CN"/>
        </w:rPr>
      </w:pPr>
      <w:r>
        <w:rPr>
          <w:rFonts w:hint="eastAsia" w:ascii="宋体" w:hAnsi="宋体" w:eastAsia="宋体" w:cs="宋体"/>
          <w:b/>
          <w:bCs/>
          <w:color w:val="auto"/>
          <w:szCs w:val="24"/>
          <w:highlight w:val="none"/>
        </w:rPr>
        <w:t xml:space="preserve">1、采购代理机构开户名称: </w:t>
      </w:r>
      <w:r>
        <w:rPr>
          <w:rFonts w:hint="eastAsia" w:hAnsi="宋体" w:cs="宋体"/>
          <w:b/>
          <w:bCs/>
          <w:color w:val="auto"/>
          <w:szCs w:val="24"/>
          <w:highlight w:val="none"/>
          <w:lang w:eastAsia="zh-CN"/>
        </w:rPr>
        <w:t>陕西至诚项目管理集团有限公司</w:t>
      </w:r>
    </w:p>
    <w:p w14:paraId="7B68FA64">
      <w:pPr>
        <w:spacing w:line="360" w:lineRule="auto"/>
        <w:ind w:firstLine="482" w:firstLineChars="200"/>
        <w:rPr>
          <w:rFonts w:hint="eastAsia" w:ascii="宋体" w:hAnsi="宋体" w:eastAsia="宋体" w:cs="宋体"/>
          <w:b/>
          <w:bCs/>
          <w:color w:val="auto"/>
          <w:szCs w:val="24"/>
          <w:highlight w:val="none"/>
          <w:lang w:eastAsia="zh-CN"/>
        </w:rPr>
      </w:pPr>
      <w:r>
        <w:rPr>
          <w:rFonts w:hint="eastAsia" w:ascii="宋体" w:hAnsi="宋体" w:eastAsia="宋体" w:cs="宋体"/>
          <w:b/>
          <w:bCs/>
          <w:color w:val="auto"/>
          <w:szCs w:val="24"/>
          <w:highlight w:val="none"/>
        </w:rPr>
        <w:t>2、开户行名称：</w:t>
      </w:r>
      <w:r>
        <w:rPr>
          <w:rFonts w:hint="eastAsia" w:hAnsi="宋体" w:cs="宋体"/>
          <w:b/>
          <w:bCs/>
          <w:color w:val="auto"/>
          <w:szCs w:val="24"/>
          <w:highlight w:val="none"/>
          <w:lang w:eastAsia="zh-CN"/>
        </w:rPr>
        <w:t>中国建设银行股份有限公司西安高新技术产业开发区支行</w:t>
      </w:r>
    </w:p>
    <w:p w14:paraId="12D9E28B">
      <w:pPr>
        <w:pStyle w:val="8"/>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3、账号：</w:t>
      </w:r>
      <w:r>
        <w:rPr>
          <w:rFonts w:hint="eastAsia" w:ascii="宋体" w:hAnsi="宋体" w:cs="宋体"/>
          <w:b/>
          <w:bCs/>
          <w:color w:val="auto"/>
          <w:sz w:val="24"/>
          <w:szCs w:val="24"/>
          <w:highlight w:val="none"/>
          <w:lang w:eastAsia="zh-CN"/>
        </w:rPr>
        <w:t>61050192090000002152</w:t>
      </w:r>
    </w:p>
    <w:p w14:paraId="118BE01A">
      <w:pPr>
        <w:numPr>
          <w:ilvl w:val="0"/>
          <w:numId w:val="2"/>
        </w:numPr>
        <w:spacing w:line="600" w:lineRule="exact"/>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质疑</w:t>
      </w:r>
    </w:p>
    <w:p w14:paraId="044EFF00">
      <w:pPr>
        <w:spacing w:line="500" w:lineRule="exact"/>
        <w:ind w:right="12"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30.1供应商认为磋商文件、采购过程、成交结果使自己的权益受到损害的，可以在知道或者应知其权益受到损害之日起7个工作日内，以书面形式向采购人、采购代理机构提出质疑。</w:t>
      </w:r>
    </w:p>
    <w:p w14:paraId="1891F8DC">
      <w:pPr>
        <w:spacing w:line="500" w:lineRule="exact"/>
        <w:ind w:right="12" w:firstLine="480"/>
        <w:rPr>
          <w:rStyle w:val="24"/>
          <w:rFonts w:hint="eastAsia" w:ascii="宋体" w:hAnsi="宋体" w:eastAsia="宋体" w:cs="宋体"/>
          <w:bCs w:val="0"/>
          <w:color w:val="auto"/>
          <w:szCs w:val="24"/>
          <w:highlight w:val="none"/>
          <w:shd w:val="clear" w:color="auto" w:fill="FFFFFF"/>
        </w:rPr>
      </w:pPr>
      <w:r>
        <w:rPr>
          <w:rFonts w:hint="eastAsia" w:ascii="宋体" w:hAnsi="宋体" w:eastAsia="宋体" w:cs="宋体"/>
          <w:color w:val="auto"/>
          <w:szCs w:val="24"/>
          <w:highlight w:val="none"/>
        </w:rPr>
        <w:t>30.2供应商必须在法定质疑期内一次性提出针对同一采购程序环节的质疑。</w:t>
      </w:r>
    </w:p>
    <w:p w14:paraId="6CF13AAB">
      <w:pPr>
        <w:spacing w:line="500" w:lineRule="exact"/>
        <w:ind w:left="3" w:firstLine="518" w:firstLineChars="216"/>
        <w:rPr>
          <w:rStyle w:val="24"/>
          <w:rFonts w:hint="eastAsia" w:ascii="宋体" w:hAnsi="宋体" w:eastAsia="宋体" w:cs="宋体"/>
          <w:b w:val="0"/>
          <w:color w:val="auto"/>
          <w:szCs w:val="24"/>
          <w:highlight w:val="none"/>
          <w:shd w:val="clear" w:color="auto" w:fill="FFFFFF"/>
        </w:rPr>
      </w:pPr>
      <w:r>
        <w:rPr>
          <w:rStyle w:val="24"/>
          <w:rFonts w:hint="eastAsia" w:ascii="宋体" w:hAnsi="宋体" w:eastAsia="宋体" w:cs="宋体"/>
          <w:b w:val="0"/>
          <w:color w:val="auto"/>
          <w:szCs w:val="24"/>
          <w:highlight w:val="none"/>
          <w:shd w:val="clear" w:color="auto" w:fill="FFFFFF"/>
        </w:rPr>
        <w:t>30.3供应商可以委托代理人进行质疑。代理人提出质疑的，应当提交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5B78B8E3">
      <w:pPr>
        <w:spacing w:line="500" w:lineRule="exact"/>
        <w:ind w:left="3" w:firstLine="518" w:firstLineChars="216"/>
        <w:rPr>
          <w:rStyle w:val="24"/>
          <w:rFonts w:hint="eastAsia" w:ascii="宋体" w:hAnsi="宋体" w:eastAsia="宋体" w:cs="宋体"/>
          <w:b w:val="0"/>
          <w:color w:val="auto"/>
          <w:szCs w:val="24"/>
          <w:highlight w:val="none"/>
          <w:shd w:val="clear" w:color="auto" w:fill="FFFFFF"/>
        </w:rPr>
      </w:pPr>
      <w:r>
        <w:rPr>
          <w:rStyle w:val="24"/>
          <w:rFonts w:hint="eastAsia" w:ascii="宋体" w:hAnsi="宋体" w:eastAsia="宋体" w:cs="宋体"/>
          <w:b w:val="0"/>
          <w:color w:val="auto"/>
          <w:szCs w:val="24"/>
          <w:highlight w:val="none"/>
          <w:shd w:val="clear" w:color="auto" w:fill="FFFFFF"/>
        </w:rPr>
        <w:t>30.4以联合体形式参加政府采购活动的，其质疑应当由组成联合体的所有供应商共同提出。</w:t>
      </w:r>
    </w:p>
    <w:p w14:paraId="01ED7F18">
      <w:pPr>
        <w:spacing w:line="500" w:lineRule="exact"/>
        <w:ind w:right="12"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30.5供应商提出质疑应当提交质疑函和必要的证明材料。质疑函应当包括下列内容：</w:t>
      </w:r>
    </w:p>
    <w:p w14:paraId="1E09945F">
      <w:pPr>
        <w:spacing w:line="500" w:lineRule="exact"/>
        <w:ind w:right="12"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30.5.1供应商的姓名或者名称、地址、邮编、联系人及联系电话；</w:t>
      </w:r>
    </w:p>
    <w:p w14:paraId="02383053">
      <w:pPr>
        <w:spacing w:line="500" w:lineRule="exact"/>
        <w:ind w:right="12"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30.5.2质疑项目的名称、编号；</w:t>
      </w:r>
    </w:p>
    <w:p w14:paraId="04587FD4">
      <w:pPr>
        <w:spacing w:line="500" w:lineRule="exact"/>
        <w:ind w:right="12"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30.5.3具体、明确的质疑事项和与质疑事项相关的请求；</w:t>
      </w:r>
    </w:p>
    <w:p w14:paraId="4CCF9477">
      <w:pPr>
        <w:spacing w:line="500" w:lineRule="exact"/>
        <w:ind w:right="12"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30.5.4事实依据；</w:t>
      </w:r>
    </w:p>
    <w:p w14:paraId="5580EFE4">
      <w:pPr>
        <w:spacing w:line="500" w:lineRule="exact"/>
        <w:ind w:right="12"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30.5.5必要的法律依据；</w:t>
      </w:r>
    </w:p>
    <w:p w14:paraId="719277F9">
      <w:pPr>
        <w:spacing w:line="500" w:lineRule="exact"/>
        <w:ind w:right="12" w:firstLine="480" w:firstLineChars="200"/>
        <w:rPr>
          <w:rStyle w:val="24"/>
          <w:rFonts w:hint="eastAsia" w:ascii="宋体" w:hAnsi="宋体" w:eastAsia="宋体" w:cs="宋体"/>
          <w:b w:val="0"/>
          <w:color w:val="auto"/>
          <w:szCs w:val="24"/>
          <w:highlight w:val="none"/>
          <w:shd w:val="clear" w:color="auto" w:fill="FFFFFF"/>
        </w:rPr>
      </w:pPr>
      <w:r>
        <w:rPr>
          <w:rFonts w:hint="eastAsia" w:ascii="宋体" w:hAnsi="宋体" w:eastAsia="宋体" w:cs="宋体"/>
          <w:color w:val="auto"/>
          <w:szCs w:val="24"/>
          <w:highlight w:val="none"/>
        </w:rPr>
        <w:t>30.5.6提出质疑的日期。</w:t>
      </w:r>
    </w:p>
    <w:p w14:paraId="73D4F927">
      <w:pPr>
        <w:widowControl/>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30.6有下列情形之一的，属于无效质疑，采购代理机构和采购人不予受理：</w:t>
      </w:r>
    </w:p>
    <w:p w14:paraId="3C0567D9">
      <w:pPr>
        <w:widowControl/>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30.6.1质疑供应商不是参与本次政府采购项目的供应商；</w:t>
      </w:r>
    </w:p>
    <w:p w14:paraId="2C6919E3">
      <w:pPr>
        <w:widowControl/>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30.6.2质疑供应商与质疑事项不存在利害关系的；</w:t>
      </w:r>
    </w:p>
    <w:p w14:paraId="3F2ECF4F">
      <w:pPr>
        <w:widowControl/>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30.6.3未在法定期限内提出质疑的；</w:t>
      </w:r>
    </w:p>
    <w:p w14:paraId="6D234FD9">
      <w:pPr>
        <w:widowControl/>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30.6.4质疑未以书面形式提出，或质疑函主要内容构成不完整的；</w:t>
      </w:r>
    </w:p>
    <w:p w14:paraId="2DD670C2">
      <w:pPr>
        <w:widowControl/>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30.6.5应当提交授权书而未提交的；</w:t>
      </w:r>
    </w:p>
    <w:p w14:paraId="79918D9B">
      <w:pPr>
        <w:widowControl/>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30.6.6以非法手段取得证据、材料的；</w:t>
      </w:r>
    </w:p>
    <w:p w14:paraId="6430365A">
      <w:pPr>
        <w:widowControl/>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30.6.7质疑答复后，同一质疑人就同一事项或同一采购程序环节再次提出质疑的；</w:t>
      </w:r>
    </w:p>
    <w:p w14:paraId="4233AC24">
      <w:pPr>
        <w:widowControl/>
        <w:spacing w:line="360" w:lineRule="auto"/>
        <w:ind w:firstLine="480" w:firstLineChars="200"/>
        <w:rPr>
          <w:rStyle w:val="24"/>
          <w:rFonts w:hint="eastAsia" w:ascii="宋体" w:hAnsi="宋体" w:eastAsia="宋体" w:cs="宋体"/>
          <w:b w:val="0"/>
          <w:color w:val="auto"/>
          <w:szCs w:val="24"/>
          <w:highlight w:val="none"/>
          <w:shd w:val="clear" w:color="auto" w:fill="FFFFFF"/>
        </w:rPr>
      </w:pPr>
      <w:r>
        <w:rPr>
          <w:rFonts w:hint="eastAsia" w:ascii="宋体" w:hAnsi="宋体" w:eastAsia="宋体" w:cs="宋体"/>
          <w:color w:val="auto"/>
          <w:highlight w:val="none"/>
        </w:rPr>
        <w:t>30.6.8不符合法律、法规、规章和政府采购监管机构规定的其他条件的。</w:t>
      </w:r>
    </w:p>
    <w:p w14:paraId="592B00D6">
      <w:pPr>
        <w:spacing w:line="500" w:lineRule="exact"/>
        <w:ind w:right="12"/>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30.7质疑答复</w:t>
      </w:r>
    </w:p>
    <w:p w14:paraId="545ADE1C">
      <w:pPr>
        <w:pStyle w:val="27"/>
        <w:spacing w:line="500" w:lineRule="exact"/>
        <w:ind w:firstLine="48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30.7.1采购人或采购代理机构在收到质疑函后7个工作日内作出答复，并以书面形式通知质疑供应商和其他有关供应商。</w:t>
      </w:r>
    </w:p>
    <w:p w14:paraId="69557F75">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31.其他</w:t>
      </w:r>
    </w:p>
    <w:p w14:paraId="3BF8D2E5">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31.1磋商步骤为：第一次报价---初步评审---分别磋商---第二次报价---综合评审推荐成交候选人。（以供应商递交的磋商响应文件中的总报价为第一次报价。分别磋商后，供应商现场填报的磋商响应总报价为第二次报价）</w:t>
      </w:r>
    </w:p>
    <w:p w14:paraId="729EFF39">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31.2当第二次报价全部超过磋商文件规定的采购预算（或最高限价）或均低于公认的制作成本时，磋商小组有权决定是否磋商失败或进行第三次报价。当第三次报价若超出财政预算，且采购人又无力支付，磋商小组有权决定磋商失败。</w:t>
      </w:r>
    </w:p>
    <w:p w14:paraId="0BAD1078">
      <w:pPr>
        <w:spacing w:line="360" w:lineRule="auto"/>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31.3采用竞争性磋商采购方式采购的政府购买服务项目（含政府和社会资本合作项目），</w:t>
      </w:r>
      <w:r>
        <w:rPr>
          <w:rFonts w:hint="eastAsia" w:ascii="宋体" w:hAnsi="宋体" w:eastAsia="宋体" w:cs="宋体"/>
          <w:color w:val="auto"/>
          <w:highlight w:val="none"/>
        </w:rPr>
        <w:t>采购过程中符合要求的供应商</w:t>
      </w:r>
      <w:r>
        <w:rPr>
          <w:rFonts w:hint="eastAsia" w:ascii="宋体" w:hAnsi="宋体" w:eastAsia="宋体" w:cs="宋体"/>
          <w:color w:val="auto"/>
          <w:szCs w:val="24"/>
          <w:highlight w:val="none"/>
        </w:rPr>
        <w:t>（社会资本）只有2家的，竞争性磋商采购活动可以继续进行。采购过程中符合要求的供应商（社会资本）只有1家的，采购人或者采购代理机构应当终止竞争性磋商采购活动，发布项目终止公告并说明原因，重新开展采购活动。</w:t>
      </w:r>
    </w:p>
    <w:p w14:paraId="2A8344E1">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szCs w:val="24"/>
          <w:highlight w:val="none"/>
        </w:rPr>
        <w:t>31.4成交供应商确定后，成交供应商无正当理由拖延或拒签合同的，或未能按照规定的时间提供履约担保，采购人有权取消其成交资格，并按评审顺序重新确定成交供应商。同时报请监督机构予以通报，禁止其进入政府采购市场，并依法承担相应法律责任。</w:t>
      </w:r>
      <w:bookmarkStart w:id="56" w:name="_Toc363474023"/>
    </w:p>
    <w:p w14:paraId="55D35C98">
      <w:pPr>
        <w:spacing w:line="500" w:lineRule="exact"/>
        <w:outlineLvl w:val="9"/>
        <w:rPr>
          <w:rFonts w:hint="eastAsia" w:hAnsi="宋体" w:cs="宋体"/>
          <w:b/>
          <w:bCs/>
          <w:color w:val="auto"/>
          <w:szCs w:val="24"/>
          <w:highlight w:val="none"/>
          <w:lang w:val="en-US" w:eastAsia="zh-CN"/>
        </w:rPr>
      </w:pPr>
      <w:bookmarkStart w:id="57" w:name="_Toc25783"/>
      <w:bookmarkStart w:id="58" w:name="_Toc403077645"/>
      <w:bookmarkStart w:id="59" w:name="_Toc423973074"/>
      <w:r>
        <w:rPr>
          <w:rFonts w:hint="eastAsia" w:hAnsi="宋体" w:cs="宋体"/>
          <w:b/>
          <w:bCs/>
          <w:color w:val="auto"/>
          <w:szCs w:val="24"/>
          <w:highlight w:val="none"/>
          <w:lang w:val="en-US" w:eastAsia="zh-CN"/>
        </w:rPr>
        <w:t>32.电子投标注意事项</w:t>
      </w:r>
    </w:p>
    <w:p w14:paraId="328F52B0">
      <w:pPr>
        <w:spacing w:line="360" w:lineRule="auto"/>
        <w:ind w:firstLine="480" w:firstLineChars="200"/>
        <w:jc w:val="left"/>
        <w:rPr>
          <w:rFonts w:hint="default" w:ascii="宋体" w:hAnsi="宋体" w:eastAsia="宋体" w:cs="宋体"/>
          <w:color w:val="auto"/>
          <w:szCs w:val="24"/>
          <w:highlight w:val="none"/>
          <w:lang w:val="en-US" w:eastAsia="zh-CN"/>
        </w:rPr>
      </w:pPr>
      <w:r>
        <w:rPr>
          <w:rFonts w:hint="default" w:ascii="宋体" w:hAnsi="宋体" w:eastAsia="宋体" w:cs="宋体"/>
          <w:color w:val="auto"/>
          <w:szCs w:val="24"/>
          <w:highlight w:val="none"/>
          <w:lang w:val="en-US" w:eastAsia="zh-CN"/>
        </w:rPr>
        <w:t>1、本项目采用电子化投标</w:t>
      </w:r>
      <w:r>
        <w:rPr>
          <w:rFonts w:hint="eastAsia" w:ascii="宋体" w:hAnsi="宋体" w:eastAsia="宋体" w:cs="宋体"/>
          <w:b/>
          <w:bCs w:val="0"/>
          <w:color w:val="auto"/>
          <w:sz w:val="24"/>
          <w:highlight w:val="none"/>
          <w:lang w:eastAsia="zh-CN"/>
        </w:rPr>
        <w:t>（不见面开标方式）</w:t>
      </w:r>
      <w:r>
        <w:rPr>
          <w:rFonts w:hint="default" w:ascii="宋体" w:hAnsi="宋体" w:eastAsia="宋体" w:cs="宋体"/>
          <w:color w:val="auto"/>
          <w:szCs w:val="24"/>
          <w:highlight w:val="none"/>
          <w:lang w:val="en-US" w:eastAsia="zh-CN"/>
        </w:rPr>
        <w:t>的方式投标，投标人须使用数字认证证书（CA锁）对电子投标文件进行签章、加密、递交及开标时解密等相关招投标事宜。开标时投标人须携带数字认证证书（CA锁），如因投标人自身原因未携带数字认证证书（CA锁）造成无法解密投标文件，按无效投标对待。</w:t>
      </w:r>
    </w:p>
    <w:p w14:paraId="3D284C46">
      <w:pPr>
        <w:spacing w:line="360" w:lineRule="auto"/>
        <w:ind w:firstLine="480" w:firstLineChars="200"/>
        <w:jc w:val="left"/>
        <w:rPr>
          <w:rFonts w:hint="default" w:ascii="宋体" w:hAnsi="宋体" w:eastAsia="宋体" w:cs="宋体"/>
          <w:color w:val="auto"/>
          <w:szCs w:val="24"/>
          <w:highlight w:val="none"/>
          <w:lang w:val="en-US" w:eastAsia="zh-CN"/>
        </w:rPr>
      </w:pPr>
      <w:r>
        <w:rPr>
          <w:rFonts w:hint="eastAsia" w:hAnsi="宋体" w:cs="宋体"/>
          <w:color w:val="auto"/>
          <w:szCs w:val="24"/>
          <w:highlight w:val="none"/>
          <w:lang w:val="en-US" w:eastAsia="zh-CN"/>
        </w:rPr>
        <w:t>2</w:t>
      </w:r>
      <w:r>
        <w:rPr>
          <w:rFonts w:hint="default" w:ascii="宋体" w:hAnsi="宋体" w:eastAsia="宋体" w:cs="宋体"/>
          <w:color w:val="auto"/>
          <w:szCs w:val="24"/>
          <w:highlight w:val="none"/>
          <w:lang w:val="en-US" w:eastAsia="zh-CN"/>
        </w:rPr>
        <w:t>、制作电子投标文件</w:t>
      </w:r>
    </w:p>
    <w:p w14:paraId="01070A82">
      <w:pPr>
        <w:spacing w:line="360" w:lineRule="auto"/>
        <w:ind w:firstLine="480" w:firstLineChars="200"/>
        <w:jc w:val="left"/>
        <w:rPr>
          <w:rFonts w:hint="default" w:ascii="宋体" w:hAnsi="宋体" w:eastAsia="宋体" w:cs="宋体"/>
          <w:color w:val="auto"/>
          <w:szCs w:val="24"/>
          <w:highlight w:val="none"/>
          <w:lang w:val="en-US" w:eastAsia="zh-CN"/>
        </w:rPr>
      </w:pPr>
      <w:r>
        <w:rPr>
          <w:rFonts w:hint="default" w:ascii="宋体" w:hAnsi="宋体" w:eastAsia="宋体" w:cs="宋体"/>
          <w:color w:val="auto"/>
          <w:szCs w:val="24"/>
          <w:highlight w:val="none"/>
          <w:lang w:val="en-US" w:eastAsia="zh-CN"/>
        </w:rPr>
        <w:t>投标供应商须在“全国公共资源交易中心平台（陕西省）（http://www.sxggzyjy.cn/）”的“服务指南”栏目“下载专区”中，免费下载“陕西省公共资源交易平台政府采购电子标书制作工具(V8.0.0.2)”，并升级至最新版本，使用该客户端制作电子投标文件，制作扩展名为“.SXSTF”的电子投标文件。”</w:t>
      </w:r>
    </w:p>
    <w:p w14:paraId="2B317821">
      <w:pPr>
        <w:spacing w:line="360" w:lineRule="auto"/>
        <w:ind w:firstLine="480" w:firstLineChars="200"/>
        <w:jc w:val="left"/>
        <w:rPr>
          <w:rFonts w:hint="default" w:ascii="宋体" w:hAnsi="宋体" w:eastAsia="宋体" w:cs="宋体"/>
          <w:color w:val="auto"/>
          <w:szCs w:val="24"/>
          <w:highlight w:val="none"/>
          <w:lang w:val="en-US" w:eastAsia="zh-CN"/>
        </w:rPr>
      </w:pPr>
      <w:r>
        <w:rPr>
          <w:rFonts w:hint="eastAsia" w:hAnsi="宋体" w:cs="宋体"/>
          <w:color w:val="auto"/>
          <w:szCs w:val="24"/>
          <w:highlight w:val="none"/>
          <w:lang w:val="en-US" w:eastAsia="zh-CN"/>
        </w:rPr>
        <w:t>3</w:t>
      </w:r>
      <w:r>
        <w:rPr>
          <w:rFonts w:hint="default" w:ascii="宋体" w:hAnsi="宋体" w:eastAsia="宋体" w:cs="宋体"/>
          <w:color w:val="auto"/>
          <w:szCs w:val="24"/>
          <w:highlight w:val="none"/>
          <w:lang w:val="en-US" w:eastAsia="zh-CN"/>
        </w:rPr>
        <w:t>、递交电子投标文件</w:t>
      </w:r>
    </w:p>
    <w:p w14:paraId="24ACCAA7">
      <w:pPr>
        <w:spacing w:line="360" w:lineRule="auto"/>
        <w:ind w:firstLine="480" w:firstLineChars="200"/>
        <w:jc w:val="left"/>
        <w:rPr>
          <w:rFonts w:hint="default" w:ascii="宋体" w:hAnsi="宋体" w:eastAsia="宋体" w:cs="宋体"/>
          <w:color w:val="auto"/>
          <w:szCs w:val="24"/>
          <w:highlight w:val="none"/>
          <w:lang w:val="en-US" w:eastAsia="zh-CN"/>
        </w:rPr>
      </w:pPr>
      <w:r>
        <w:rPr>
          <w:rFonts w:hint="default" w:ascii="宋体" w:hAnsi="宋体" w:eastAsia="宋体" w:cs="宋体"/>
          <w:color w:val="auto"/>
          <w:szCs w:val="24"/>
          <w:highlight w:val="none"/>
          <w:lang w:val="en-US" w:eastAsia="zh-CN"/>
        </w:rPr>
        <w:t>登录全国公共资源交易中心平台（陕西省）（http://www.sxggzyjy.cn/），选择“电子交易平台—陕西政府采购交易系统—企业端”进行登录，登录后选择“交易乙方”身份进入，进入菜单“采购业务—我的项目——项目流程——上传响应文件”，上传加密的电子投标文件。上传成功后，电子化平台将予以记录。</w:t>
      </w:r>
    </w:p>
    <w:p w14:paraId="0A606182">
      <w:pPr>
        <w:spacing w:line="360" w:lineRule="auto"/>
        <w:ind w:firstLine="480" w:firstLineChars="200"/>
        <w:jc w:val="left"/>
        <w:rPr>
          <w:rFonts w:hint="eastAsia" w:ascii="宋体" w:hAnsi="宋体" w:eastAsia="宋体" w:cs="宋体"/>
          <w:color w:val="auto"/>
          <w:szCs w:val="24"/>
          <w:highlight w:val="none"/>
          <w:lang w:val="en-US" w:eastAsia="zh-CN"/>
        </w:rPr>
      </w:pPr>
      <w:r>
        <w:rPr>
          <w:rFonts w:hint="eastAsia" w:hAnsi="宋体" w:cs="宋体"/>
          <w:color w:val="auto"/>
          <w:szCs w:val="24"/>
          <w:highlight w:val="none"/>
          <w:lang w:val="en-US" w:eastAsia="zh-CN"/>
        </w:rPr>
        <w:t>4</w:t>
      </w:r>
      <w:r>
        <w:rPr>
          <w:rFonts w:hint="eastAsia" w:ascii="宋体" w:hAnsi="宋体" w:eastAsia="宋体" w:cs="宋体"/>
          <w:color w:val="auto"/>
          <w:szCs w:val="24"/>
          <w:highlight w:val="none"/>
          <w:lang w:val="en-US" w:eastAsia="zh-CN"/>
        </w:rPr>
        <w:t>、纸质投标文件</w:t>
      </w:r>
    </w:p>
    <w:p w14:paraId="3B49E287">
      <w:pPr>
        <w:spacing w:line="360" w:lineRule="auto"/>
        <w:ind w:firstLine="480" w:firstLineChars="200"/>
        <w:jc w:val="left"/>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本项目不提供纸质投标文件。</w:t>
      </w:r>
    </w:p>
    <w:p w14:paraId="17BE3DD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bCs/>
          <w:color w:val="auto"/>
          <w:szCs w:val="36"/>
          <w:highlight w:val="none"/>
          <w:lang w:val="en-US" w:eastAsia="zh-CN"/>
        </w:rPr>
      </w:pPr>
      <w:r>
        <w:rPr>
          <w:rFonts w:hint="eastAsia" w:cs="宋体"/>
          <w:bCs/>
          <w:color w:val="auto"/>
          <w:szCs w:val="36"/>
          <w:highlight w:val="none"/>
          <w:lang w:val="en-US" w:eastAsia="zh-CN"/>
        </w:rPr>
        <w:t>5、二次报价网上操作流程：</w:t>
      </w:r>
    </w:p>
    <w:p w14:paraId="669907B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bCs/>
          <w:color w:val="auto"/>
          <w:szCs w:val="36"/>
          <w:highlight w:val="none"/>
          <w:lang w:val="en-US" w:eastAsia="zh-CN"/>
        </w:rPr>
      </w:pPr>
      <w:r>
        <w:rPr>
          <w:rFonts w:hint="eastAsia" w:cs="宋体"/>
          <w:bCs/>
          <w:color w:val="auto"/>
          <w:szCs w:val="36"/>
          <w:highlight w:val="none"/>
          <w:lang w:val="en-US" w:eastAsia="zh-CN"/>
        </w:rPr>
        <w:t>（1）插入CA主锁，登录陕西省公共资源交易平台网站（http://www.sxggzyjy.cn/）；</w:t>
      </w:r>
    </w:p>
    <w:p w14:paraId="775E810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bCs/>
          <w:color w:val="auto"/>
          <w:szCs w:val="36"/>
          <w:highlight w:val="none"/>
          <w:lang w:val="en-US" w:eastAsia="zh-CN"/>
        </w:rPr>
      </w:pPr>
      <w:r>
        <w:rPr>
          <w:rFonts w:hint="eastAsia" w:cs="宋体"/>
          <w:bCs/>
          <w:color w:val="auto"/>
          <w:szCs w:val="36"/>
          <w:highlight w:val="none"/>
          <w:lang w:val="en-US" w:eastAsia="zh-CN"/>
        </w:rPr>
        <w:t>（2）点击右上角我的项目，选择本次开标项目，点击项目流程；</w:t>
      </w:r>
    </w:p>
    <w:p w14:paraId="53AA199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bCs/>
          <w:color w:val="auto"/>
          <w:szCs w:val="36"/>
          <w:highlight w:val="none"/>
          <w:lang w:val="en-US" w:eastAsia="zh-CN"/>
        </w:rPr>
      </w:pPr>
      <w:r>
        <w:rPr>
          <w:rFonts w:hint="eastAsia" w:cs="宋体"/>
          <w:bCs/>
          <w:color w:val="auto"/>
          <w:szCs w:val="36"/>
          <w:highlight w:val="none"/>
          <w:lang w:val="en-US" w:eastAsia="zh-CN"/>
        </w:rPr>
        <w:t>（3）点击网上报价；</w:t>
      </w:r>
    </w:p>
    <w:p w14:paraId="5C3B28A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bCs/>
          <w:color w:val="auto"/>
          <w:szCs w:val="36"/>
          <w:highlight w:val="none"/>
          <w:lang w:val="en-US" w:eastAsia="zh-CN"/>
        </w:rPr>
      </w:pPr>
      <w:r>
        <w:rPr>
          <w:rFonts w:hint="eastAsia" w:cs="宋体"/>
          <w:bCs/>
          <w:color w:val="auto"/>
          <w:szCs w:val="36"/>
          <w:highlight w:val="none"/>
          <w:lang w:val="en-US" w:eastAsia="zh-CN"/>
        </w:rPr>
        <w:t>（4）报价：点击</w:t>
      </w:r>
      <w:r>
        <w:rPr>
          <w:color w:val="auto"/>
          <w:sz w:val="24"/>
          <w:szCs w:val="24"/>
          <w:highlight w:val="none"/>
        </w:rPr>
        <w:drawing>
          <wp:inline distT="0" distB="0" distL="114300" distR="114300">
            <wp:extent cx="220980" cy="220980"/>
            <wp:effectExtent l="0" t="0" r="7620" b="762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14"/>
                    <a:stretch>
                      <a:fillRect/>
                    </a:stretch>
                  </pic:blipFill>
                  <pic:spPr>
                    <a:xfrm>
                      <a:off x="0" y="0"/>
                      <a:ext cx="220980" cy="220980"/>
                    </a:xfrm>
                    <a:prstGeom prst="rect">
                      <a:avLst/>
                    </a:prstGeom>
                    <a:noFill/>
                    <a:ln>
                      <a:noFill/>
                    </a:ln>
                  </pic:spPr>
                </pic:pic>
              </a:graphicData>
            </a:graphic>
          </wp:inline>
        </w:drawing>
      </w:r>
      <w:r>
        <w:rPr>
          <w:rFonts w:hint="eastAsia" w:cs="宋体"/>
          <w:bCs/>
          <w:color w:val="auto"/>
          <w:szCs w:val="36"/>
          <w:highlight w:val="none"/>
          <w:lang w:val="en-US" w:eastAsia="zh-CN"/>
        </w:rPr>
        <w:t>报价，输入金额（注意大小写一致）；</w:t>
      </w:r>
    </w:p>
    <w:p w14:paraId="2D4BC24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bCs/>
          <w:color w:val="auto"/>
          <w:szCs w:val="36"/>
          <w:highlight w:val="none"/>
          <w:lang w:val="en-US" w:eastAsia="zh-CN"/>
        </w:rPr>
      </w:pPr>
      <w:r>
        <w:rPr>
          <w:rFonts w:hint="eastAsia" w:cs="宋体"/>
          <w:bCs/>
          <w:color w:val="auto"/>
          <w:szCs w:val="36"/>
          <w:highlight w:val="none"/>
          <w:lang w:val="en-US" w:eastAsia="zh-CN"/>
        </w:rPr>
        <w:t>（5）签章查看：点击</w:t>
      </w:r>
      <w:r>
        <w:rPr>
          <w:color w:val="auto"/>
          <w:sz w:val="24"/>
          <w:szCs w:val="24"/>
          <w:highlight w:val="none"/>
        </w:rPr>
        <w:drawing>
          <wp:inline distT="0" distB="0" distL="114300" distR="114300">
            <wp:extent cx="269875" cy="281940"/>
            <wp:effectExtent l="0" t="0" r="15875" b="381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5"/>
                    <a:srcRect l="10774" t="18208" r="24734" b="15326"/>
                    <a:stretch>
                      <a:fillRect/>
                    </a:stretch>
                  </pic:blipFill>
                  <pic:spPr>
                    <a:xfrm>
                      <a:off x="0" y="0"/>
                      <a:ext cx="269875" cy="281940"/>
                    </a:xfrm>
                    <a:prstGeom prst="rect">
                      <a:avLst/>
                    </a:prstGeom>
                    <a:noFill/>
                    <a:ln>
                      <a:noFill/>
                    </a:ln>
                  </pic:spPr>
                </pic:pic>
              </a:graphicData>
            </a:graphic>
          </wp:inline>
        </w:drawing>
      </w:r>
      <w:r>
        <w:rPr>
          <w:rFonts w:hint="eastAsia" w:cs="宋体"/>
          <w:bCs/>
          <w:color w:val="auto"/>
          <w:szCs w:val="36"/>
          <w:highlight w:val="none"/>
          <w:lang w:val="en-US" w:eastAsia="zh-CN"/>
        </w:rPr>
        <w:t>，选择单页签章，点击报价表右下角签章；</w:t>
      </w:r>
    </w:p>
    <w:p w14:paraId="1911020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bCs/>
          <w:color w:val="auto"/>
          <w:szCs w:val="36"/>
          <w:highlight w:val="none"/>
          <w:lang w:val="en-US" w:eastAsia="zh-CN"/>
        </w:rPr>
      </w:pPr>
      <w:r>
        <w:rPr>
          <w:rFonts w:hint="eastAsia" w:cs="宋体"/>
          <w:bCs/>
          <w:color w:val="auto"/>
          <w:szCs w:val="36"/>
          <w:highlight w:val="none"/>
          <w:lang w:val="en-US" w:eastAsia="zh-CN"/>
        </w:rPr>
        <w:t>（6）确认无误如图：</w:t>
      </w:r>
      <w:r>
        <w:rPr>
          <w:color w:val="auto"/>
          <w:sz w:val="24"/>
          <w:szCs w:val="24"/>
          <w:highlight w:val="none"/>
        </w:rPr>
        <w:drawing>
          <wp:inline distT="0" distB="0" distL="114300" distR="114300">
            <wp:extent cx="4067175" cy="685800"/>
            <wp:effectExtent l="0" t="0" r="9525" b="0"/>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pic:cNvPicPr>
                      <a:picLocks noChangeAspect="1"/>
                    </pic:cNvPicPr>
                  </pic:nvPicPr>
                  <pic:blipFill>
                    <a:blip r:embed="rId16"/>
                    <a:stretch>
                      <a:fillRect/>
                    </a:stretch>
                  </pic:blipFill>
                  <pic:spPr>
                    <a:xfrm>
                      <a:off x="0" y="0"/>
                      <a:ext cx="4067175" cy="685800"/>
                    </a:xfrm>
                    <a:prstGeom prst="rect">
                      <a:avLst/>
                    </a:prstGeom>
                    <a:noFill/>
                    <a:ln>
                      <a:noFill/>
                    </a:ln>
                  </pic:spPr>
                </pic:pic>
              </a:graphicData>
            </a:graphic>
          </wp:inline>
        </w:drawing>
      </w:r>
    </w:p>
    <w:p w14:paraId="00695D8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eastAsia="宋体" w:cs="宋体"/>
          <w:bCs/>
          <w:color w:val="auto"/>
          <w:szCs w:val="36"/>
          <w:highlight w:val="none"/>
          <w:lang w:val="en-US" w:eastAsia="zh-CN"/>
        </w:rPr>
      </w:pPr>
      <w:r>
        <w:rPr>
          <w:rFonts w:hint="eastAsia" w:cs="宋体"/>
          <w:bCs/>
          <w:color w:val="auto"/>
          <w:szCs w:val="36"/>
          <w:highlight w:val="none"/>
          <w:lang w:val="en-US" w:eastAsia="zh-CN"/>
        </w:rPr>
        <w:t>（7）提交。</w:t>
      </w:r>
    </w:p>
    <w:p w14:paraId="281E13E2">
      <w:pPr>
        <w:numPr>
          <w:ilvl w:val="0"/>
          <w:numId w:val="0"/>
        </w:numPr>
        <w:bidi w:val="0"/>
        <w:rPr>
          <w:rFonts w:hint="eastAsia" w:ascii="宋体" w:hAnsi="宋体" w:eastAsia="宋体" w:cs="宋体"/>
          <w:bCs/>
          <w:color w:val="auto"/>
          <w:sz w:val="36"/>
          <w:szCs w:val="36"/>
          <w:highlight w:val="none"/>
        </w:rPr>
      </w:pPr>
      <w:r>
        <w:rPr>
          <w:rFonts w:hint="eastAsia" w:ascii="宋体" w:hAnsi="宋体" w:eastAsia="宋体" w:cs="宋体"/>
          <w:bCs/>
          <w:color w:val="auto"/>
          <w:sz w:val="36"/>
          <w:szCs w:val="36"/>
          <w:highlight w:val="none"/>
        </w:rPr>
        <w:br w:type="page"/>
      </w:r>
      <w:bookmarkStart w:id="60" w:name="_Toc22973"/>
    </w:p>
    <w:p w14:paraId="50D25D4D">
      <w:pPr>
        <w:spacing w:line="348" w:lineRule="auto"/>
        <w:ind w:right="119"/>
        <w:jc w:val="center"/>
        <w:outlineLvl w:val="0"/>
        <w:rPr>
          <w:rFonts w:hint="eastAsia" w:ascii="宋体" w:hAnsi="宋体" w:eastAsia="宋体" w:cs="宋体"/>
          <w:b/>
          <w:bCs/>
          <w:color w:val="auto"/>
          <w:kern w:val="2"/>
          <w:sz w:val="36"/>
          <w:szCs w:val="36"/>
          <w:highlight w:val="none"/>
        </w:rPr>
      </w:pPr>
      <w:r>
        <w:rPr>
          <w:rFonts w:hint="eastAsia" w:ascii="宋体" w:hAnsi="宋体" w:eastAsia="宋体" w:cs="宋体"/>
          <w:b/>
          <w:bCs/>
          <w:color w:val="auto"/>
          <w:kern w:val="2"/>
          <w:sz w:val="36"/>
          <w:szCs w:val="36"/>
          <w:highlight w:val="none"/>
          <w:lang w:eastAsia="zh-CN"/>
        </w:rPr>
        <w:t>第三章</w:t>
      </w:r>
      <w:r>
        <w:rPr>
          <w:rFonts w:hint="eastAsia" w:ascii="宋体" w:hAnsi="宋体" w:eastAsia="宋体" w:cs="宋体"/>
          <w:b/>
          <w:bCs/>
          <w:color w:val="auto"/>
          <w:kern w:val="2"/>
          <w:sz w:val="36"/>
          <w:szCs w:val="36"/>
          <w:highlight w:val="none"/>
          <w:lang w:val="en-US" w:eastAsia="zh-CN"/>
        </w:rPr>
        <w:t xml:space="preserve"> </w:t>
      </w:r>
      <w:bookmarkStart w:id="61" w:name="_Toc4170"/>
      <w:r>
        <w:rPr>
          <w:rFonts w:hint="eastAsia" w:ascii="宋体" w:hAnsi="宋体" w:eastAsia="宋体" w:cs="宋体"/>
          <w:b/>
          <w:bCs/>
          <w:color w:val="auto"/>
          <w:kern w:val="2"/>
          <w:sz w:val="36"/>
          <w:szCs w:val="36"/>
          <w:highlight w:val="none"/>
        </w:rPr>
        <w:t>评审方法</w:t>
      </w:r>
      <w:bookmarkEnd w:id="60"/>
      <w:bookmarkEnd w:id="61"/>
    </w:p>
    <w:p w14:paraId="471825DB">
      <w:pPr>
        <w:spacing w:line="360" w:lineRule="auto"/>
        <w:outlineLvl w:val="1"/>
        <w:rPr>
          <w:rFonts w:hint="eastAsia" w:ascii="宋体" w:hAnsi="宋体" w:eastAsia="宋体" w:cs="宋体"/>
          <w:b/>
          <w:color w:val="auto"/>
          <w:szCs w:val="24"/>
          <w:highlight w:val="none"/>
        </w:rPr>
      </w:pPr>
      <w:bookmarkStart w:id="62" w:name="_Toc32051"/>
      <w:bookmarkStart w:id="63" w:name="_Toc28665"/>
      <w:bookmarkStart w:id="64" w:name="_Toc26649"/>
      <w:bookmarkStart w:id="65" w:name="_Toc26320"/>
      <w:r>
        <w:rPr>
          <w:rFonts w:hint="eastAsia" w:ascii="宋体" w:hAnsi="宋体" w:eastAsia="宋体" w:cs="宋体"/>
          <w:b/>
          <w:color w:val="auto"/>
          <w:szCs w:val="24"/>
          <w:highlight w:val="none"/>
        </w:rPr>
        <w:t>一</w:t>
      </w:r>
      <w:r>
        <w:rPr>
          <w:rFonts w:hint="eastAsia" w:hAnsi="宋体" w:cs="宋体"/>
          <w:b/>
          <w:color w:val="auto"/>
          <w:szCs w:val="24"/>
          <w:highlight w:val="none"/>
          <w:lang w:eastAsia="zh-CN"/>
        </w:rPr>
        <w:t>、</w:t>
      </w:r>
      <w:r>
        <w:rPr>
          <w:rFonts w:hint="eastAsia" w:ascii="宋体" w:hAnsi="宋体" w:eastAsia="宋体" w:cs="宋体"/>
          <w:b/>
          <w:color w:val="auto"/>
          <w:szCs w:val="24"/>
          <w:highlight w:val="none"/>
        </w:rPr>
        <w:t>评审方法</w:t>
      </w:r>
      <w:bookmarkEnd w:id="62"/>
      <w:bookmarkEnd w:id="63"/>
      <w:bookmarkEnd w:id="64"/>
      <w:bookmarkEnd w:id="65"/>
    </w:p>
    <w:p w14:paraId="35ECC924">
      <w:pPr>
        <w:spacing w:line="500" w:lineRule="exact"/>
        <w:ind w:firstLine="520" w:firstLineChars="217"/>
        <w:rPr>
          <w:rFonts w:hint="eastAsia" w:ascii="宋体" w:hAnsi="宋体" w:eastAsia="宋体" w:cs="宋体"/>
          <w:color w:val="auto"/>
          <w:highlight w:val="none"/>
        </w:rPr>
      </w:pPr>
      <w:r>
        <w:rPr>
          <w:rFonts w:hint="eastAsia" w:ascii="宋体" w:hAnsi="宋体" w:eastAsia="宋体" w:cs="宋体"/>
          <w:color w:val="auto"/>
          <w:szCs w:val="24"/>
          <w:highlight w:val="none"/>
        </w:rPr>
        <w:t>按照《中华人民共和国政府采购法》及实施条例和关于印发《政府采购竞争性磋商采购方式管理暂行办法》的通知（财库【2014】214号）</w:t>
      </w:r>
      <w:r>
        <w:rPr>
          <w:rFonts w:hint="eastAsia" w:ascii="宋体" w:hAnsi="宋体" w:eastAsia="宋体" w:cs="宋体"/>
          <w:color w:val="auto"/>
          <w:spacing w:val="4"/>
          <w:szCs w:val="24"/>
          <w:highlight w:val="none"/>
        </w:rPr>
        <w:t>的规定，本次评标采用综合评分法，即在最大限度地满足竞争性磋商文件实质性要求前提下，按照竞争性磋商文件中规定的各项因素和相应的权重分值进行综合评审后，以总得分最高的供应商作为成交候选人并依次排序（最低报价不是成交的唯一标准）。</w:t>
      </w:r>
    </w:p>
    <w:p w14:paraId="2AB6C9C2">
      <w:pPr>
        <w:spacing w:line="500" w:lineRule="exact"/>
        <w:outlineLvl w:val="1"/>
        <w:rPr>
          <w:rFonts w:hint="eastAsia" w:ascii="宋体" w:hAnsi="宋体" w:eastAsia="宋体" w:cs="宋体"/>
          <w:b/>
          <w:color w:val="auto"/>
          <w:spacing w:val="4"/>
          <w:szCs w:val="24"/>
          <w:highlight w:val="none"/>
        </w:rPr>
      </w:pPr>
      <w:bookmarkStart w:id="66" w:name="_Toc20625"/>
      <w:bookmarkStart w:id="67" w:name="_Toc2374"/>
      <w:bookmarkStart w:id="68" w:name="_Toc17339"/>
      <w:bookmarkStart w:id="69" w:name="_Toc27615"/>
      <w:r>
        <w:rPr>
          <w:rFonts w:hint="eastAsia" w:ascii="宋体" w:hAnsi="宋体" w:eastAsia="宋体" w:cs="宋体"/>
          <w:b/>
          <w:color w:val="auto"/>
          <w:spacing w:val="4"/>
          <w:szCs w:val="24"/>
          <w:highlight w:val="none"/>
        </w:rPr>
        <w:t>二、评审程序</w:t>
      </w:r>
      <w:bookmarkEnd w:id="66"/>
      <w:bookmarkEnd w:id="67"/>
      <w:bookmarkEnd w:id="68"/>
      <w:bookmarkEnd w:id="69"/>
    </w:p>
    <w:p w14:paraId="79B94E0F">
      <w:pPr>
        <w:tabs>
          <w:tab w:val="left" w:pos="0"/>
        </w:tabs>
        <w:adjustRightInd w:val="0"/>
        <w:snapToGrid w:val="0"/>
        <w:spacing w:line="500" w:lineRule="exact"/>
        <w:ind w:firstLine="470" w:firstLineChars="196"/>
        <w:rPr>
          <w:rFonts w:hint="eastAsia" w:ascii="宋体" w:hAnsi="宋体" w:eastAsia="宋体" w:cs="宋体"/>
          <w:color w:val="auto"/>
          <w:highlight w:val="none"/>
        </w:rPr>
      </w:pPr>
      <w:r>
        <w:rPr>
          <w:rFonts w:hint="eastAsia" w:ascii="宋体" w:hAnsi="宋体" w:eastAsia="宋体" w:cs="宋体"/>
          <w:color w:val="auto"/>
          <w:szCs w:val="24"/>
          <w:highlight w:val="none"/>
        </w:rPr>
        <w:t>按照竞争性磋商响应文件初审、澄清有关问题、分别磋商、二次报价、比较与评审、推荐成交候选人名单。在上一步评审中被认定为无效磋商者，不进入下一步的评审。</w:t>
      </w:r>
    </w:p>
    <w:p w14:paraId="18C0C0A5">
      <w:pPr>
        <w:numPr>
          <w:ilvl w:val="0"/>
          <w:numId w:val="3"/>
        </w:numPr>
        <w:spacing w:line="500" w:lineRule="exact"/>
        <w:ind w:firstLine="498" w:firstLineChars="200"/>
        <w:rPr>
          <w:rFonts w:hint="eastAsia" w:ascii="宋体" w:hAnsi="宋体" w:eastAsia="宋体" w:cs="宋体"/>
          <w:b/>
          <w:bCs/>
          <w:color w:val="auto"/>
          <w:spacing w:val="4"/>
          <w:szCs w:val="24"/>
          <w:highlight w:val="none"/>
        </w:rPr>
      </w:pPr>
      <w:r>
        <w:rPr>
          <w:rFonts w:hint="eastAsia" w:ascii="宋体" w:hAnsi="宋体" w:eastAsia="宋体" w:cs="宋体"/>
          <w:b/>
          <w:bCs/>
          <w:color w:val="auto"/>
          <w:spacing w:val="4"/>
          <w:szCs w:val="24"/>
          <w:highlight w:val="none"/>
        </w:rPr>
        <w:t>对磋商响应文件的初审：</w:t>
      </w:r>
    </w:p>
    <w:p w14:paraId="279B6220">
      <w:pPr>
        <w:tabs>
          <w:tab w:val="left" w:pos="0"/>
        </w:tabs>
        <w:adjustRightInd w:val="0"/>
        <w:snapToGrid w:val="0"/>
        <w:spacing w:line="500" w:lineRule="exact"/>
        <w:ind w:firstLine="472" w:firstLineChars="196"/>
        <w:rPr>
          <w:rFonts w:hint="eastAsia" w:ascii="宋体" w:hAnsi="宋体" w:eastAsia="宋体" w:cs="宋体"/>
          <w:color w:val="auto"/>
          <w:highlight w:val="none"/>
        </w:rPr>
      </w:pPr>
      <w:r>
        <w:rPr>
          <w:rFonts w:hint="eastAsia" w:ascii="宋体" w:hAnsi="宋体" w:eastAsia="宋体" w:cs="宋体"/>
          <w:b/>
          <w:bCs/>
          <w:color w:val="auto"/>
          <w:highlight w:val="none"/>
        </w:rPr>
        <w:t>1.1资格性审查。</w:t>
      </w:r>
      <w:r>
        <w:rPr>
          <w:rFonts w:hint="eastAsia" w:ascii="宋体" w:hAnsi="宋体" w:eastAsia="宋体" w:cs="宋体"/>
          <w:color w:val="auto"/>
          <w:highlight w:val="none"/>
        </w:rPr>
        <w:t>磋商小组将依据磋商响应文件，按照磋商文件第二章供应商须知前附表12.1条所述资格要求进行资格性审查，如果供应商不满足磋商文件所规定的资格要求或提供资格证明文件不全,将被视为未实质性响应磋商文件。</w:t>
      </w:r>
    </w:p>
    <w:p w14:paraId="6166E07E">
      <w:pPr>
        <w:tabs>
          <w:tab w:val="left" w:pos="0"/>
        </w:tabs>
        <w:adjustRightInd w:val="0"/>
        <w:snapToGrid w:val="0"/>
        <w:spacing w:line="500" w:lineRule="exact"/>
        <w:ind w:firstLine="472" w:firstLineChars="196"/>
        <w:rPr>
          <w:rFonts w:hint="eastAsia" w:ascii="宋体" w:hAnsi="宋体" w:eastAsia="宋体" w:cs="宋体"/>
          <w:color w:val="auto"/>
          <w:highlight w:val="none"/>
        </w:rPr>
      </w:pPr>
      <w:r>
        <w:rPr>
          <w:rFonts w:hint="eastAsia" w:ascii="宋体" w:hAnsi="宋体" w:eastAsia="宋体" w:cs="宋体"/>
          <w:b/>
          <w:bCs/>
          <w:color w:val="auto"/>
          <w:highlight w:val="none"/>
        </w:rPr>
        <w:t>1.2符合性审查。</w:t>
      </w:r>
      <w:r>
        <w:rPr>
          <w:rFonts w:hint="eastAsia" w:ascii="宋体" w:hAnsi="宋体" w:eastAsia="宋体" w:cs="宋体"/>
          <w:color w:val="auto"/>
          <w:highlight w:val="none"/>
        </w:rPr>
        <w:t>磋商小组从磋商响应文件的完整性、有效性和对磋商文件的响应程度进行审查，以确定其是否对磋商文件实质性内容作出响应。</w:t>
      </w:r>
    </w:p>
    <w:tbl>
      <w:tblPr>
        <w:tblStyle w:val="21"/>
        <w:tblW w:w="9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4"/>
        <w:gridCol w:w="1111"/>
        <w:gridCol w:w="3009"/>
        <w:gridCol w:w="4571"/>
      </w:tblGrid>
      <w:tr w14:paraId="75904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4" w:type="dxa"/>
            <w:vAlign w:val="center"/>
          </w:tcPr>
          <w:p w14:paraId="565E455B">
            <w:pPr>
              <w:spacing w:line="276" w:lineRule="auto"/>
              <w:jc w:val="center"/>
              <w:rPr>
                <w:rFonts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序号</w:t>
            </w:r>
          </w:p>
        </w:tc>
        <w:tc>
          <w:tcPr>
            <w:tcW w:w="4120" w:type="dxa"/>
            <w:gridSpan w:val="2"/>
            <w:vAlign w:val="center"/>
          </w:tcPr>
          <w:p w14:paraId="454B4403">
            <w:pPr>
              <w:spacing w:line="276" w:lineRule="auto"/>
              <w:jc w:val="center"/>
              <w:rPr>
                <w:rFonts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评审因素</w:t>
            </w:r>
          </w:p>
        </w:tc>
        <w:tc>
          <w:tcPr>
            <w:tcW w:w="4571" w:type="dxa"/>
            <w:vAlign w:val="center"/>
          </w:tcPr>
          <w:p w14:paraId="1D66A3E6">
            <w:pPr>
              <w:spacing w:line="276" w:lineRule="auto"/>
              <w:jc w:val="center"/>
              <w:rPr>
                <w:rFonts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评审标准</w:t>
            </w:r>
          </w:p>
        </w:tc>
      </w:tr>
      <w:tr w14:paraId="49342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484" w:type="dxa"/>
            <w:vMerge w:val="restart"/>
            <w:vAlign w:val="center"/>
          </w:tcPr>
          <w:p w14:paraId="10217BA2">
            <w:pPr>
              <w:spacing w:line="276" w:lineRule="auto"/>
              <w:jc w:val="center"/>
              <w:rPr>
                <w:rFonts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w:t>
            </w:r>
          </w:p>
        </w:tc>
        <w:tc>
          <w:tcPr>
            <w:tcW w:w="1111" w:type="dxa"/>
            <w:vMerge w:val="restart"/>
            <w:vAlign w:val="center"/>
          </w:tcPr>
          <w:p w14:paraId="264B74B1">
            <w:pPr>
              <w:spacing w:line="276" w:lineRule="auto"/>
              <w:jc w:val="center"/>
              <w:rPr>
                <w:rFonts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有效性审查</w:t>
            </w:r>
          </w:p>
        </w:tc>
        <w:tc>
          <w:tcPr>
            <w:tcW w:w="3009" w:type="dxa"/>
            <w:vAlign w:val="center"/>
          </w:tcPr>
          <w:p w14:paraId="5BA502B8">
            <w:pPr>
              <w:spacing w:line="276" w:lineRule="auto"/>
              <w:rPr>
                <w:rFonts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w:t>
            </w:r>
            <w:r>
              <w:rPr>
                <w:rFonts w:hint="eastAsia" w:hAnsi="宋体" w:cs="宋体"/>
                <w:color w:val="auto"/>
                <w:kern w:val="2"/>
                <w:sz w:val="24"/>
                <w:szCs w:val="22"/>
                <w:highlight w:val="none"/>
                <w:lang w:eastAsia="zh-CN"/>
              </w:rPr>
              <w:t>响应文件</w:t>
            </w:r>
            <w:r>
              <w:rPr>
                <w:rFonts w:hint="eastAsia" w:ascii="宋体" w:hAnsi="宋体" w:eastAsia="宋体" w:cs="宋体"/>
                <w:color w:val="auto"/>
                <w:kern w:val="2"/>
                <w:sz w:val="24"/>
                <w:szCs w:val="22"/>
                <w:highlight w:val="none"/>
              </w:rPr>
              <w:t>的签署盖章</w:t>
            </w:r>
          </w:p>
        </w:tc>
        <w:tc>
          <w:tcPr>
            <w:tcW w:w="4571" w:type="dxa"/>
            <w:vAlign w:val="center"/>
          </w:tcPr>
          <w:p w14:paraId="22F42BA1">
            <w:pPr>
              <w:spacing w:line="276" w:lineRule="auto"/>
              <w:rPr>
                <w:rFonts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应符合“供应商须知前附表”签字盖章要求</w:t>
            </w:r>
          </w:p>
        </w:tc>
      </w:tr>
      <w:tr w14:paraId="0ACC0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484" w:type="dxa"/>
            <w:vMerge w:val="continue"/>
            <w:vAlign w:val="center"/>
          </w:tcPr>
          <w:p w14:paraId="590307D9">
            <w:pPr>
              <w:spacing w:line="276" w:lineRule="auto"/>
              <w:jc w:val="center"/>
              <w:rPr>
                <w:rFonts w:ascii="宋体" w:hAnsi="宋体" w:eastAsia="宋体" w:cs="宋体"/>
                <w:color w:val="auto"/>
                <w:kern w:val="2"/>
                <w:sz w:val="24"/>
                <w:szCs w:val="22"/>
                <w:highlight w:val="none"/>
              </w:rPr>
            </w:pPr>
          </w:p>
        </w:tc>
        <w:tc>
          <w:tcPr>
            <w:tcW w:w="1111" w:type="dxa"/>
            <w:vMerge w:val="continue"/>
            <w:vAlign w:val="center"/>
          </w:tcPr>
          <w:p w14:paraId="14CC7A4F">
            <w:pPr>
              <w:spacing w:line="276" w:lineRule="auto"/>
              <w:jc w:val="center"/>
              <w:rPr>
                <w:rFonts w:ascii="宋体" w:hAnsi="宋体" w:eastAsia="宋体" w:cs="宋体"/>
                <w:color w:val="auto"/>
                <w:kern w:val="2"/>
                <w:sz w:val="24"/>
                <w:szCs w:val="22"/>
                <w:highlight w:val="none"/>
              </w:rPr>
            </w:pPr>
          </w:p>
        </w:tc>
        <w:tc>
          <w:tcPr>
            <w:tcW w:w="3009" w:type="dxa"/>
            <w:vAlign w:val="center"/>
          </w:tcPr>
          <w:p w14:paraId="48A3AFF3">
            <w:pPr>
              <w:spacing w:line="276" w:lineRule="auto"/>
              <w:rPr>
                <w:rFonts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（2）</w:t>
            </w:r>
            <w:r>
              <w:rPr>
                <w:rFonts w:hint="eastAsia" w:hAnsi="宋体" w:cs="宋体"/>
                <w:color w:val="auto"/>
                <w:kern w:val="2"/>
                <w:sz w:val="24"/>
                <w:szCs w:val="22"/>
                <w:highlight w:val="none"/>
                <w:lang w:eastAsia="zh-CN"/>
              </w:rPr>
              <w:t>响应文件</w:t>
            </w:r>
            <w:r>
              <w:rPr>
                <w:rFonts w:hint="eastAsia" w:ascii="宋体" w:hAnsi="宋体" w:eastAsia="宋体" w:cs="宋体"/>
                <w:color w:val="auto"/>
                <w:kern w:val="2"/>
                <w:sz w:val="24"/>
                <w:szCs w:val="22"/>
                <w:highlight w:val="none"/>
              </w:rPr>
              <w:t>语言、计量单位、报价货币</w:t>
            </w:r>
          </w:p>
        </w:tc>
        <w:tc>
          <w:tcPr>
            <w:tcW w:w="4571" w:type="dxa"/>
            <w:vAlign w:val="center"/>
          </w:tcPr>
          <w:p w14:paraId="2C0FCA0C">
            <w:pPr>
              <w:spacing w:line="276" w:lineRule="auto"/>
              <w:rPr>
                <w:rFonts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应符合“</w:t>
            </w:r>
            <w:r>
              <w:rPr>
                <w:rFonts w:hint="eastAsia" w:hAnsi="宋体" w:cs="宋体"/>
                <w:color w:val="auto"/>
                <w:kern w:val="2"/>
                <w:sz w:val="24"/>
                <w:szCs w:val="22"/>
                <w:highlight w:val="none"/>
                <w:lang w:val="en-US" w:eastAsia="zh-CN"/>
              </w:rPr>
              <w:t>竞争性磋商</w:t>
            </w:r>
            <w:r>
              <w:rPr>
                <w:rFonts w:hint="eastAsia" w:hAnsi="宋体" w:cs="宋体"/>
                <w:color w:val="auto"/>
                <w:kern w:val="2"/>
                <w:sz w:val="24"/>
                <w:szCs w:val="22"/>
                <w:highlight w:val="none"/>
                <w:lang w:eastAsia="zh-CN"/>
              </w:rPr>
              <w:t>响应文件</w:t>
            </w:r>
            <w:r>
              <w:rPr>
                <w:rFonts w:hint="eastAsia" w:ascii="宋体" w:hAnsi="宋体" w:eastAsia="宋体" w:cs="宋体"/>
                <w:color w:val="auto"/>
                <w:kern w:val="2"/>
                <w:sz w:val="24"/>
                <w:szCs w:val="22"/>
                <w:highlight w:val="none"/>
              </w:rPr>
              <w:t>格式”要求</w:t>
            </w:r>
          </w:p>
        </w:tc>
      </w:tr>
      <w:tr w14:paraId="2FC23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484" w:type="dxa"/>
            <w:vMerge w:val="continue"/>
            <w:vAlign w:val="center"/>
          </w:tcPr>
          <w:p w14:paraId="363124A0">
            <w:pPr>
              <w:spacing w:line="276" w:lineRule="auto"/>
              <w:jc w:val="center"/>
              <w:rPr>
                <w:rFonts w:ascii="宋体" w:hAnsi="宋体" w:eastAsia="宋体" w:cs="宋体"/>
                <w:color w:val="auto"/>
                <w:kern w:val="2"/>
                <w:sz w:val="24"/>
                <w:szCs w:val="22"/>
                <w:highlight w:val="none"/>
              </w:rPr>
            </w:pPr>
          </w:p>
        </w:tc>
        <w:tc>
          <w:tcPr>
            <w:tcW w:w="1111" w:type="dxa"/>
            <w:vMerge w:val="continue"/>
            <w:vAlign w:val="center"/>
          </w:tcPr>
          <w:p w14:paraId="4FB478A2">
            <w:pPr>
              <w:spacing w:line="276" w:lineRule="auto"/>
              <w:jc w:val="center"/>
              <w:rPr>
                <w:rFonts w:ascii="宋体" w:hAnsi="宋体" w:eastAsia="宋体" w:cs="宋体"/>
                <w:color w:val="auto"/>
                <w:kern w:val="2"/>
                <w:sz w:val="24"/>
                <w:szCs w:val="22"/>
                <w:highlight w:val="none"/>
              </w:rPr>
            </w:pPr>
          </w:p>
        </w:tc>
        <w:tc>
          <w:tcPr>
            <w:tcW w:w="3009" w:type="dxa"/>
            <w:vAlign w:val="center"/>
          </w:tcPr>
          <w:p w14:paraId="45EA514E">
            <w:pPr>
              <w:spacing w:line="276" w:lineRule="auto"/>
              <w:rPr>
                <w:rFonts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w:t>
            </w:r>
            <w:r>
              <w:rPr>
                <w:rFonts w:hint="eastAsia" w:hAnsi="宋体" w:cs="宋体"/>
                <w:color w:val="auto"/>
                <w:kern w:val="2"/>
                <w:sz w:val="24"/>
                <w:szCs w:val="22"/>
                <w:highlight w:val="none"/>
                <w:lang w:val="en-US" w:eastAsia="zh-CN"/>
              </w:rPr>
              <w:t>3</w:t>
            </w:r>
            <w:r>
              <w:rPr>
                <w:rFonts w:hint="eastAsia" w:ascii="宋体" w:hAnsi="宋体" w:eastAsia="宋体" w:cs="宋体"/>
                <w:color w:val="auto"/>
                <w:kern w:val="2"/>
                <w:sz w:val="24"/>
                <w:szCs w:val="22"/>
                <w:highlight w:val="none"/>
              </w:rPr>
              <w:t>）报价唯一</w:t>
            </w:r>
          </w:p>
        </w:tc>
        <w:tc>
          <w:tcPr>
            <w:tcW w:w="4571" w:type="dxa"/>
            <w:vAlign w:val="center"/>
          </w:tcPr>
          <w:p w14:paraId="01A5D541">
            <w:pPr>
              <w:spacing w:line="276" w:lineRule="auto"/>
              <w:rPr>
                <w:rFonts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只能有一个有效报价，不得提交选择性报价，且报价不超过采购预算</w:t>
            </w:r>
          </w:p>
        </w:tc>
      </w:tr>
      <w:tr w14:paraId="6A514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484" w:type="dxa"/>
            <w:vMerge w:val="restart"/>
            <w:vAlign w:val="center"/>
          </w:tcPr>
          <w:p w14:paraId="64DB0C4C">
            <w:pPr>
              <w:spacing w:line="276" w:lineRule="auto"/>
              <w:jc w:val="center"/>
              <w:rPr>
                <w:rFonts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2</w:t>
            </w:r>
          </w:p>
        </w:tc>
        <w:tc>
          <w:tcPr>
            <w:tcW w:w="1111" w:type="dxa"/>
            <w:vMerge w:val="restart"/>
            <w:vAlign w:val="center"/>
          </w:tcPr>
          <w:p w14:paraId="4797F867">
            <w:pPr>
              <w:spacing w:line="276" w:lineRule="auto"/>
              <w:jc w:val="center"/>
              <w:rPr>
                <w:rFonts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完整性审查</w:t>
            </w:r>
          </w:p>
        </w:tc>
        <w:tc>
          <w:tcPr>
            <w:tcW w:w="3009" w:type="dxa"/>
            <w:vAlign w:val="center"/>
          </w:tcPr>
          <w:p w14:paraId="7C01BAA1">
            <w:pPr>
              <w:spacing w:line="276" w:lineRule="auto"/>
              <w:rPr>
                <w:rFonts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w:t>
            </w:r>
            <w:r>
              <w:rPr>
                <w:rFonts w:hint="eastAsia" w:hAnsi="宋体" w:cs="宋体"/>
                <w:color w:val="auto"/>
                <w:kern w:val="2"/>
                <w:sz w:val="24"/>
                <w:szCs w:val="22"/>
                <w:highlight w:val="none"/>
                <w:lang w:val="en-US" w:eastAsia="zh-CN"/>
              </w:rPr>
              <w:t>4</w:t>
            </w:r>
            <w:r>
              <w:rPr>
                <w:rFonts w:hint="eastAsia" w:ascii="宋体" w:hAnsi="宋体" w:eastAsia="宋体" w:cs="宋体"/>
                <w:color w:val="auto"/>
                <w:kern w:val="2"/>
                <w:sz w:val="24"/>
                <w:szCs w:val="22"/>
                <w:highlight w:val="none"/>
              </w:rPr>
              <w:t>）</w:t>
            </w:r>
            <w:r>
              <w:rPr>
                <w:rFonts w:hint="eastAsia" w:hAnsi="宋体" w:cs="宋体"/>
                <w:color w:val="auto"/>
                <w:kern w:val="2"/>
                <w:sz w:val="24"/>
                <w:szCs w:val="22"/>
                <w:highlight w:val="none"/>
                <w:lang w:eastAsia="zh-CN"/>
              </w:rPr>
              <w:t>响应文件</w:t>
            </w:r>
            <w:r>
              <w:rPr>
                <w:rFonts w:hint="eastAsia" w:ascii="宋体" w:hAnsi="宋体" w:eastAsia="宋体" w:cs="宋体"/>
                <w:color w:val="auto"/>
                <w:kern w:val="2"/>
                <w:sz w:val="24"/>
                <w:szCs w:val="22"/>
                <w:highlight w:val="none"/>
              </w:rPr>
              <w:t>内容</w:t>
            </w:r>
          </w:p>
        </w:tc>
        <w:tc>
          <w:tcPr>
            <w:tcW w:w="4571" w:type="dxa"/>
            <w:vAlign w:val="center"/>
          </w:tcPr>
          <w:p w14:paraId="318722B5">
            <w:pPr>
              <w:spacing w:line="276" w:lineRule="auto"/>
              <w:rPr>
                <w:rFonts w:ascii="宋体" w:hAnsi="宋体" w:eastAsia="宋体" w:cs="宋体"/>
                <w:color w:val="auto"/>
                <w:kern w:val="2"/>
                <w:sz w:val="24"/>
                <w:szCs w:val="22"/>
                <w:highlight w:val="none"/>
              </w:rPr>
            </w:pPr>
            <w:r>
              <w:rPr>
                <w:rFonts w:hint="eastAsia" w:hAnsi="宋体" w:cs="宋体"/>
                <w:color w:val="auto"/>
                <w:kern w:val="2"/>
                <w:sz w:val="24"/>
                <w:szCs w:val="22"/>
                <w:highlight w:val="none"/>
                <w:lang w:eastAsia="zh-CN"/>
              </w:rPr>
              <w:t>响应文件</w:t>
            </w:r>
            <w:r>
              <w:rPr>
                <w:rFonts w:hint="eastAsia" w:ascii="宋体" w:hAnsi="宋体" w:eastAsia="宋体" w:cs="宋体"/>
                <w:color w:val="auto"/>
                <w:kern w:val="2"/>
                <w:sz w:val="24"/>
                <w:szCs w:val="22"/>
                <w:highlight w:val="none"/>
              </w:rPr>
              <w:t>内容齐全、无遗漏</w:t>
            </w:r>
          </w:p>
        </w:tc>
      </w:tr>
      <w:tr w14:paraId="5782C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484" w:type="dxa"/>
            <w:vMerge w:val="restart"/>
            <w:vAlign w:val="center"/>
          </w:tcPr>
          <w:p w14:paraId="03721076">
            <w:pPr>
              <w:spacing w:line="276" w:lineRule="auto"/>
              <w:jc w:val="center"/>
              <w:rPr>
                <w:rFonts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3</w:t>
            </w:r>
          </w:p>
        </w:tc>
        <w:tc>
          <w:tcPr>
            <w:tcW w:w="1111" w:type="dxa"/>
            <w:vMerge w:val="restart"/>
            <w:vAlign w:val="center"/>
          </w:tcPr>
          <w:p w14:paraId="6E8B6AB0">
            <w:pPr>
              <w:spacing w:line="276" w:lineRule="auto"/>
              <w:jc w:val="center"/>
              <w:rPr>
                <w:rFonts w:ascii="宋体" w:hAnsi="宋体" w:eastAsia="宋体" w:cs="宋体"/>
                <w:color w:val="auto"/>
                <w:kern w:val="2"/>
                <w:sz w:val="24"/>
                <w:szCs w:val="22"/>
                <w:highlight w:val="none"/>
              </w:rPr>
            </w:pPr>
            <w:r>
              <w:rPr>
                <w:rFonts w:hint="eastAsia" w:hAnsi="宋体" w:cs="宋体"/>
                <w:color w:val="auto"/>
                <w:kern w:val="2"/>
                <w:sz w:val="24"/>
                <w:szCs w:val="22"/>
                <w:highlight w:val="none"/>
                <w:lang w:eastAsia="zh-CN"/>
              </w:rPr>
              <w:t>响应</w:t>
            </w:r>
            <w:r>
              <w:rPr>
                <w:rFonts w:hint="eastAsia" w:hAnsi="宋体" w:cs="宋体"/>
                <w:color w:val="auto"/>
                <w:kern w:val="2"/>
                <w:sz w:val="24"/>
                <w:szCs w:val="22"/>
                <w:highlight w:val="none"/>
                <w:lang w:val="en-US" w:eastAsia="zh-CN"/>
              </w:rPr>
              <w:t>性</w:t>
            </w:r>
            <w:r>
              <w:rPr>
                <w:rFonts w:hint="eastAsia" w:ascii="宋体" w:hAnsi="宋体" w:eastAsia="宋体" w:cs="宋体"/>
                <w:color w:val="auto"/>
                <w:kern w:val="2"/>
                <w:sz w:val="24"/>
                <w:szCs w:val="22"/>
                <w:highlight w:val="none"/>
              </w:rPr>
              <w:t>审查</w:t>
            </w:r>
          </w:p>
        </w:tc>
        <w:tc>
          <w:tcPr>
            <w:tcW w:w="3009" w:type="dxa"/>
            <w:vAlign w:val="center"/>
          </w:tcPr>
          <w:p w14:paraId="11C19669">
            <w:pPr>
              <w:spacing w:line="276" w:lineRule="auto"/>
              <w:rPr>
                <w:rFonts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w:t>
            </w:r>
            <w:r>
              <w:rPr>
                <w:rFonts w:hint="eastAsia" w:hAnsi="宋体" w:cs="宋体"/>
                <w:color w:val="auto"/>
                <w:kern w:val="2"/>
                <w:sz w:val="24"/>
                <w:szCs w:val="22"/>
                <w:highlight w:val="none"/>
                <w:lang w:val="en-US" w:eastAsia="zh-CN"/>
              </w:rPr>
              <w:t>5</w:t>
            </w:r>
            <w:r>
              <w:rPr>
                <w:rFonts w:hint="eastAsia" w:ascii="宋体" w:hAnsi="宋体" w:eastAsia="宋体" w:cs="宋体"/>
                <w:color w:val="auto"/>
                <w:kern w:val="2"/>
                <w:sz w:val="24"/>
                <w:szCs w:val="22"/>
                <w:highlight w:val="none"/>
              </w:rPr>
              <w:t>）对磋商文件技术响应程度</w:t>
            </w:r>
          </w:p>
        </w:tc>
        <w:tc>
          <w:tcPr>
            <w:tcW w:w="4571" w:type="dxa"/>
            <w:vAlign w:val="center"/>
          </w:tcPr>
          <w:p w14:paraId="71BD0509">
            <w:pPr>
              <w:spacing w:line="276" w:lineRule="auto"/>
              <w:rPr>
                <w:rFonts w:ascii="宋体" w:hAnsi="宋体" w:cs="宋体"/>
                <w:color w:val="auto"/>
                <w:kern w:val="2"/>
                <w:sz w:val="24"/>
                <w:szCs w:val="22"/>
                <w:highlight w:val="none"/>
              </w:rPr>
            </w:pPr>
            <w:r>
              <w:rPr>
                <w:rFonts w:hint="eastAsia" w:ascii="宋体" w:hAnsi="宋体" w:eastAsia="宋体" w:cs="宋体"/>
                <w:color w:val="auto"/>
                <w:kern w:val="2"/>
                <w:sz w:val="24"/>
                <w:szCs w:val="22"/>
                <w:highlight w:val="none"/>
              </w:rPr>
              <w:t>要求全面响应，不能有任何采购人不能接受的附加条件</w:t>
            </w:r>
          </w:p>
        </w:tc>
      </w:tr>
      <w:tr w14:paraId="46FDD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84" w:type="dxa"/>
            <w:vMerge w:val="continue"/>
            <w:vAlign w:val="center"/>
          </w:tcPr>
          <w:p w14:paraId="21FAD280">
            <w:pPr>
              <w:spacing w:line="276" w:lineRule="auto"/>
              <w:jc w:val="center"/>
              <w:rPr>
                <w:rFonts w:ascii="宋体" w:hAnsi="宋体" w:eastAsia="宋体" w:cs="宋体"/>
                <w:color w:val="auto"/>
                <w:kern w:val="2"/>
                <w:sz w:val="24"/>
                <w:szCs w:val="22"/>
                <w:highlight w:val="none"/>
              </w:rPr>
            </w:pPr>
          </w:p>
        </w:tc>
        <w:tc>
          <w:tcPr>
            <w:tcW w:w="1111" w:type="dxa"/>
            <w:vMerge w:val="continue"/>
            <w:vAlign w:val="center"/>
          </w:tcPr>
          <w:p w14:paraId="4DA79A3C">
            <w:pPr>
              <w:spacing w:line="276" w:lineRule="auto"/>
              <w:rPr>
                <w:rFonts w:ascii="宋体" w:hAnsi="宋体" w:eastAsia="宋体" w:cs="宋体"/>
                <w:color w:val="auto"/>
                <w:kern w:val="2"/>
                <w:sz w:val="24"/>
                <w:szCs w:val="22"/>
                <w:highlight w:val="none"/>
              </w:rPr>
            </w:pPr>
          </w:p>
        </w:tc>
        <w:tc>
          <w:tcPr>
            <w:tcW w:w="3009" w:type="dxa"/>
            <w:vAlign w:val="center"/>
          </w:tcPr>
          <w:p w14:paraId="4A24A58F">
            <w:pPr>
              <w:spacing w:line="276" w:lineRule="auto"/>
              <w:rPr>
                <w:rFonts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w:t>
            </w:r>
            <w:r>
              <w:rPr>
                <w:rFonts w:hint="eastAsia" w:hAnsi="宋体" w:cs="宋体"/>
                <w:color w:val="auto"/>
                <w:kern w:val="2"/>
                <w:sz w:val="24"/>
                <w:szCs w:val="22"/>
                <w:highlight w:val="none"/>
                <w:lang w:val="en-US" w:eastAsia="zh-CN"/>
              </w:rPr>
              <w:t>6</w:t>
            </w:r>
            <w:r>
              <w:rPr>
                <w:rFonts w:hint="eastAsia" w:ascii="宋体" w:hAnsi="宋体" w:eastAsia="宋体" w:cs="宋体"/>
                <w:color w:val="auto"/>
                <w:kern w:val="2"/>
                <w:sz w:val="24"/>
                <w:szCs w:val="22"/>
                <w:highlight w:val="none"/>
              </w:rPr>
              <w:t>）</w:t>
            </w:r>
            <w:r>
              <w:rPr>
                <w:rFonts w:hint="eastAsia"/>
                <w:color w:val="auto"/>
                <w:highlight w:val="none"/>
                <w:lang w:val="en-US" w:eastAsia="zh-CN"/>
              </w:rPr>
              <w:t>服务期</w:t>
            </w:r>
          </w:p>
        </w:tc>
        <w:tc>
          <w:tcPr>
            <w:tcW w:w="4571" w:type="dxa"/>
            <w:vAlign w:val="center"/>
          </w:tcPr>
          <w:p w14:paraId="3CE6C3C3">
            <w:pPr>
              <w:spacing w:line="276" w:lineRule="auto"/>
              <w:rPr>
                <w:rFonts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应满足</w:t>
            </w:r>
            <w:r>
              <w:rPr>
                <w:rFonts w:hint="eastAsia" w:hAnsi="宋体" w:cs="宋体"/>
                <w:color w:val="auto"/>
                <w:kern w:val="2"/>
                <w:sz w:val="24"/>
                <w:szCs w:val="22"/>
                <w:highlight w:val="none"/>
                <w:lang w:eastAsia="zh-CN"/>
              </w:rPr>
              <w:t>磋商文件</w:t>
            </w:r>
            <w:r>
              <w:rPr>
                <w:rFonts w:hint="eastAsia" w:ascii="宋体" w:hAnsi="宋体" w:eastAsia="宋体" w:cs="宋体"/>
                <w:color w:val="auto"/>
                <w:kern w:val="2"/>
                <w:sz w:val="24"/>
                <w:szCs w:val="22"/>
                <w:highlight w:val="none"/>
              </w:rPr>
              <w:t>中要求的</w:t>
            </w:r>
            <w:r>
              <w:rPr>
                <w:rFonts w:hint="eastAsia"/>
                <w:color w:val="auto"/>
                <w:highlight w:val="none"/>
                <w:lang w:val="en-US" w:eastAsia="zh-CN"/>
              </w:rPr>
              <w:t>服务期</w:t>
            </w:r>
            <w:r>
              <w:rPr>
                <w:rFonts w:hint="eastAsia" w:ascii="宋体" w:hAnsi="宋体" w:eastAsia="宋体" w:cs="宋体"/>
                <w:color w:val="auto"/>
                <w:kern w:val="2"/>
                <w:sz w:val="24"/>
                <w:szCs w:val="22"/>
                <w:highlight w:val="none"/>
              </w:rPr>
              <w:t>（开标一览表中）</w:t>
            </w:r>
          </w:p>
        </w:tc>
      </w:tr>
      <w:tr w14:paraId="17107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484" w:type="dxa"/>
            <w:vMerge w:val="continue"/>
            <w:vAlign w:val="center"/>
          </w:tcPr>
          <w:p w14:paraId="59530BCE">
            <w:pPr>
              <w:spacing w:line="276" w:lineRule="auto"/>
              <w:jc w:val="center"/>
              <w:rPr>
                <w:rFonts w:ascii="宋体" w:hAnsi="宋体" w:eastAsia="宋体" w:cs="宋体"/>
                <w:color w:val="auto"/>
                <w:kern w:val="2"/>
                <w:sz w:val="24"/>
                <w:szCs w:val="22"/>
                <w:highlight w:val="none"/>
              </w:rPr>
            </w:pPr>
          </w:p>
        </w:tc>
        <w:tc>
          <w:tcPr>
            <w:tcW w:w="1111" w:type="dxa"/>
            <w:vMerge w:val="continue"/>
            <w:vAlign w:val="center"/>
          </w:tcPr>
          <w:p w14:paraId="2D30AFA8">
            <w:pPr>
              <w:spacing w:line="276" w:lineRule="auto"/>
              <w:rPr>
                <w:rFonts w:ascii="宋体" w:hAnsi="宋体" w:eastAsia="宋体" w:cs="宋体"/>
                <w:color w:val="auto"/>
                <w:kern w:val="2"/>
                <w:sz w:val="24"/>
                <w:szCs w:val="22"/>
                <w:highlight w:val="none"/>
              </w:rPr>
            </w:pPr>
          </w:p>
        </w:tc>
        <w:tc>
          <w:tcPr>
            <w:tcW w:w="3009" w:type="dxa"/>
            <w:vAlign w:val="center"/>
          </w:tcPr>
          <w:p w14:paraId="44709ECF">
            <w:pPr>
              <w:spacing w:line="276" w:lineRule="auto"/>
              <w:rPr>
                <w:rFonts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w:t>
            </w:r>
            <w:r>
              <w:rPr>
                <w:rFonts w:hint="eastAsia" w:hAnsi="宋体" w:cs="宋体"/>
                <w:color w:val="auto"/>
                <w:kern w:val="2"/>
                <w:sz w:val="24"/>
                <w:szCs w:val="22"/>
                <w:highlight w:val="none"/>
                <w:lang w:val="en-US" w:eastAsia="zh-CN"/>
              </w:rPr>
              <w:t>7</w:t>
            </w:r>
            <w:r>
              <w:rPr>
                <w:rFonts w:hint="eastAsia" w:ascii="宋体" w:hAnsi="宋体" w:eastAsia="宋体" w:cs="宋体"/>
                <w:color w:val="auto"/>
                <w:kern w:val="2"/>
                <w:sz w:val="24"/>
                <w:szCs w:val="22"/>
                <w:highlight w:val="none"/>
              </w:rPr>
              <w:t>）</w:t>
            </w:r>
            <w:r>
              <w:rPr>
                <w:rFonts w:hint="eastAsia" w:hAnsi="宋体" w:cs="宋体"/>
                <w:color w:val="auto"/>
                <w:kern w:val="2"/>
                <w:sz w:val="24"/>
                <w:szCs w:val="22"/>
                <w:highlight w:val="none"/>
                <w:lang w:val="en-US" w:eastAsia="zh-CN"/>
              </w:rPr>
              <w:t>磋商</w:t>
            </w:r>
            <w:r>
              <w:rPr>
                <w:rFonts w:hint="eastAsia" w:ascii="宋体" w:hAnsi="宋体" w:eastAsia="宋体" w:cs="宋体"/>
                <w:color w:val="auto"/>
                <w:kern w:val="2"/>
                <w:sz w:val="24"/>
                <w:szCs w:val="22"/>
                <w:highlight w:val="none"/>
              </w:rPr>
              <w:t>有效期</w:t>
            </w:r>
          </w:p>
        </w:tc>
        <w:tc>
          <w:tcPr>
            <w:tcW w:w="4571" w:type="dxa"/>
            <w:vAlign w:val="center"/>
          </w:tcPr>
          <w:p w14:paraId="13F9C173">
            <w:pPr>
              <w:spacing w:line="276" w:lineRule="auto"/>
              <w:rPr>
                <w:rFonts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应满足</w:t>
            </w:r>
            <w:r>
              <w:rPr>
                <w:rFonts w:hint="eastAsia" w:hAnsi="宋体" w:cs="宋体"/>
                <w:color w:val="auto"/>
                <w:kern w:val="2"/>
                <w:sz w:val="24"/>
                <w:szCs w:val="22"/>
                <w:highlight w:val="none"/>
                <w:lang w:eastAsia="zh-CN"/>
              </w:rPr>
              <w:t>磋商文件</w:t>
            </w:r>
            <w:r>
              <w:rPr>
                <w:rFonts w:hint="eastAsia" w:ascii="宋体" w:hAnsi="宋体" w:eastAsia="宋体" w:cs="宋体"/>
                <w:color w:val="auto"/>
                <w:kern w:val="2"/>
                <w:sz w:val="24"/>
                <w:szCs w:val="22"/>
                <w:highlight w:val="none"/>
              </w:rPr>
              <w:t>中的规定（</w:t>
            </w:r>
            <w:r>
              <w:rPr>
                <w:rFonts w:hint="eastAsia" w:hAnsi="宋体" w:cs="宋体"/>
                <w:color w:val="auto"/>
                <w:kern w:val="2"/>
                <w:sz w:val="24"/>
                <w:szCs w:val="22"/>
                <w:highlight w:val="none"/>
                <w:lang w:val="en-US" w:eastAsia="zh-CN"/>
              </w:rPr>
              <w:t>响应</w:t>
            </w:r>
            <w:r>
              <w:rPr>
                <w:rFonts w:hint="eastAsia" w:ascii="宋体" w:hAnsi="宋体" w:eastAsia="宋体" w:cs="宋体"/>
                <w:color w:val="auto"/>
                <w:kern w:val="2"/>
                <w:sz w:val="24"/>
                <w:szCs w:val="22"/>
                <w:highlight w:val="none"/>
              </w:rPr>
              <w:t>函中）</w:t>
            </w:r>
          </w:p>
        </w:tc>
      </w:tr>
    </w:tbl>
    <w:p w14:paraId="191E4E5C">
      <w:pPr>
        <w:spacing w:after="156" w:afterLines="50" w:line="500" w:lineRule="exact"/>
        <w:ind w:firstLine="482" w:firstLineChars="200"/>
        <w:rPr>
          <w:rFonts w:hint="eastAsia" w:ascii="宋体" w:hAnsi="宋体" w:eastAsia="宋体" w:cs="宋体"/>
          <w:b/>
          <w:color w:val="auto"/>
          <w:highlight w:val="none"/>
        </w:rPr>
      </w:pPr>
      <w:r>
        <w:rPr>
          <w:rFonts w:hint="eastAsia" w:ascii="宋体" w:hAnsi="宋体" w:eastAsia="宋体" w:cs="宋体"/>
          <w:b/>
          <w:color w:val="auto"/>
          <w:highlight w:val="none"/>
        </w:rPr>
        <w:t>2、磋商响应文件的澄清</w:t>
      </w:r>
    </w:p>
    <w:p w14:paraId="78A8DE79">
      <w:pPr>
        <w:spacing w:line="500" w:lineRule="exact"/>
        <w:ind w:firstLine="496" w:firstLineChars="200"/>
        <w:rPr>
          <w:rFonts w:hint="eastAsia" w:ascii="宋体" w:hAnsi="宋体" w:eastAsia="宋体" w:cs="宋体"/>
          <w:bCs/>
          <w:color w:val="auto"/>
          <w:spacing w:val="4"/>
          <w:szCs w:val="24"/>
          <w:highlight w:val="none"/>
        </w:rPr>
      </w:pPr>
      <w:r>
        <w:rPr>
          <w:rFonts w:hint="eastAsia" w:ascii="宋体" w:hAnsi="宋体" w:eastAsia="宋体" w:cs="宋体"/>
          <w:bCs/>
          <w:color w:val="auto"/>
          <w:spacing w:val="4"/>
          <w:szCs w:val="24"/>
          <w:highlight w:val="none"/>
        </w:rPr>
        <w:t>1.3.1磋商小组发现供应商的报价明显低于其他磋商报价、或明显低于市场价格，使得其磋商报价可能低于其成本的，有可能影响产品质量或者不能诚信履约的，应当要求其在合理的时间内做出书面说明并提交相关证明材料。供应商不能证明其报价合理性的，由磋商小组认定该供应商以低于成本报价竞标，将其作为无效响应处理。</w:t>
      </w:r>
    </w:p>
    <w:p w14:paraId="4A5D4D06">
      <w:pPr>
        <w:spacing w:line="500" w:lineRule="exact"/>
        <w:ind w:firstLine="480" w:firstLineChars="200"/>
        <w:rPr>
          <w:rFonts w:hint="eastAsia" w:ascii="宋体" w:hAnsi="宋体" w:eastAsia="宋体" w:cs="宋体"/>
          <w:bCs/>
          <w:color w:val="auto"/>
          <w:spacing w:val="4"/>
          <w:szCs w:val="24"/>
          <w:highlight w:val="none"/>
        </w:rPr>
      </w:pPr>
      <w:r>
        <w:rPr>
          <w:rFonts w:hint="eastAsia" w:ascii="宋体" w:hAnsi="宋体" w:eastAsia="宋体" w:cs="宋体"/>
          <w:color w:val="auto"/>
          <w:szCs w:val="24"/>
          <w:highlight w:val="none"/>
        </w:rPr>
        <w:t>1.3.2有效的书面澄清材料，是磋商响应文件的补充材料，成为磋商响应文件的组成部分。</w:t>
      </w:r>
    </w:p>
    <w:p w14:paraId="52797FF5">
      <w:pPr>
        <w:spacing w:line="500" w:lineRule="exact"/>
        <w:ind w:firstLine="482" w:firstLineChars="200"/>
        <w:rPr>
          <w:rFonts w:hint="eastAsia" w:ascii="宋体" w:hAnsi="宋体" w:eastAsia="宋体" w:cs="宋体"/>
          <w:color w:val="auto"/>
          <w:szCs w:val="24"/>
          <w:highlight w:val="none"/>
        </w:rPr>
      </w:pPr>
      <w:r>
        <w:rPr>
          <w:rFonts w:hint="eastAsia" w:ascii="宋体" w:hAnsi="宋体" w:eastAsia="宋体" w:cs="宋体"/>
          <w:b/>
          <w:bCs/>
          <w:color w:val="auto"/>
          <w:szCs w:val="24"/>
          <w:highlight w:val="none"/>
        </w:rPr>
        <w:t>3、磋商：</w:t>
      </w:r>
      <w:r>
        <w:rPr>
          <w:rFonts w:hint="eastAsia" w:ascii="宋体" w:hAnsi="宋体" w:eastAsia="宋体" w:cs="宋体"/>
          <w:color w:val="auto"/>
          <w:szCs w:val="24"/>
          <w:highlight w:val="none"/>
        </w:rPr>
        <w:t>磋商小组所有成员集中与单一供应商分别进行磋商，并要求供应商在规定的时间内提交最后报价。在磋商过程中，磋商小组可以根据磋商文件和磋商情况实质性变动采购需求中的技术、服务要求以及合同草案条款，但不得变动磋商文件中的其它内容。实质性变动得内容，需经采购人代表确认。</w:t>
      </w:r>
    </w:p>
    <w:p w14:paraId="2DC88E3D">
      <w:pPr>
        <w:pStyle w:val="8"/>
        <w:spacing w:line="500" w:lineRule="exact"/>
        <w:ind w:firstLine="482" w:firstLineChars="200"/>
        <w:rPr>
          <w:rFonts w:hint="eastAsia" w:ascii="宋体" w:hAnsi="宋体" w:eastAsia="宋体" w:cs="宋体"/>
          <w:color w:val="auto"/>
          <w:highlight w:val="none"/>
        </w:rPr>
      </w:pPr>
      <w:r>
        <w:rPr>
          <w:rFonts w:hint="eastAsia" w:ascii="宋体" w:hAnsi="宋体" w:eastAsia="宋体" w:cs="宋体"/>
          <w:b/>
          <w:bCs/>
          <w:color w:val="auto"/>
          <w:sz w:val="24"/>
          <w:szCs w:val="24"/>
          <w:highlight w:val="none"/>
        </w:rPr>
        <w:t>4、综合评审：</w:t>
      </w:r>
      <w:r>
        <w:rPr>
          <w:rFonts w:hint="eastAsia" w:ascii="宋体" w:hAnsi="宋体" w:eastAsia="宋体" w:cs="宋体"/>
          <w:color w:val="auto"/>
          <w:kern w:val="0"/>
          <w:sz w:val="24"/>
          <w:szCs w:val="24"/>
          <w:highlight w:val="none"/>
        </w:rPr>
        <w:t>对于经初审合格的所有供应商，由磋商小组各成员依据磋商响应文件和最终报价，按照下列《评标要素和分值分解表》规定的内容独立进行综合评价、比较打分，然后汇总每个供应商的得分，从高到低依次排序，推荐中标候选人。</w:t>
      </w:r>
    </w:p>
    <w:p w14:paraId="10F9F334">
      <w:pPr>
        <w:spacing w:line="500" w:lineRule="exact"/>
        <w:jc w:val="left"/>
        <w:outlineLvl w:val="1"/>
        <w:rPr>
          <w:rFonts w:hint="eastAsia" w:ascii="宋体" w:hAnsi="宋体" w:eastAsia="宋体" w:cs="宋体"/>
          <w:b/>
          <w:color w:val="auto"/>
          <w:szCs w:val="24"/>
          <w:highlight w:val="none"/>
        </w:rPr>
      </w:pPr>
      <w:bookmarkStart w:id="70" w:name="_Toc13558"/>
      <w:bookmarkStart w:id="71" w:name="_Toc4428"/>
      <w:bookmarkStart w:id="72" w:name="_Toc24776"/>
      <w:bookmarkStart w:id="73" w:name="_Toc19221"/>
      <w:r>
        <w:rPr>
          <w:rFonts w:hint="eastAsia" w:ascii="宋体" w:hAnsi="宋体" w:eastAsia="宋体" w:cs="宋体"/>
          <w:b/>
          <w:color w:val="auto"/>
          <w:szCs w:val="24"/>
          <w:highlight w:val="none"/>
        </w:rPr>
        <w:t>三、政策性扣减</w:t>
      </w:r>
      <w:bookmarkEnd w:id="70"/>
      <w:bookmarkEnd w:id="71"/>
      <w:bookmarkEnd w:id="72"/>
      <w:bookmarkEnd w:id="73"/>
    </w:p>
    <w:p w14:paraId="0B81C8CC">
      <w:pPr>
        <w:spacing w:line="500" w:lineRule="exact"/>
        <w:ind w:firstLine="482" w:firstLineChars="200"/>
        <w:jc w:val="left"/>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1政策性扣减范围</w:t>
      </w:r>
    </w:p>
    <w:p w14:paraId="3D530B93">
      <w:pPr>
        <w:spacing w:line="500" w:lineRule="exact"/>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1.1供应商符合小型、微型企业或监狱企业、残疾人福利性单位条件的，其磋商报价价格评审时将按相应比例进行扣减。</w:t>
      </w:r>
    </w:p>
    <w:p w14:paraId="2D923FCA">
      <w:pPr>
        <w:spacing w:line="500" w:lineRule="exact"/>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1.2依照《政府采购促进中小企业发展管理办法》（财库﹝2020﹞46 号）的规定，小型、微型企业应当同时符合以下条件：</w:t>
      </w:r>
    </w:p>
    <w:p w14:paraId="1BD00EB0">
      <w:pPr>
        <w:spacing w:line="500" w:lineRule="exact"/>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1.2.1符合中小企业划分标准（中小企业划分标准是指国务院有关部门根据企业从业人员、营业收入、资产总额等指标制定的中小企业划型标准（工信部联企业〔2011〕300号））。</w:t>
      </w:r>
    </w:p>
    <w:p w14:paraId="28538B0D">
      <w:pPr>
        <w:spacing w:line="500" w:lineRule="exact"/>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1.2.2提供本企业制造的货物、承担的工程或者服务，或者提供其他中小企业制造的货物，不包括提供或使用大型企业注册商标的货物。</w:t>
      </w:r>
    </w:p>
    <w:p w14:paraId="357E0AE7">
      <w:pPr>
        <w:spacing w:line="500" w:lineRule="exact"/>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1.2.3小型、微型企业提供中型企业制造的货物的，视同为中型企业；小型、微型、中型企业提供大型企业制造的货物的，视同为大型企业。</w:t>
      </w:r>
    </w:p>
    <w:p w14:paraId="1072550A">
      <w:pPr>
        <w:spacing w:line="500" w:lineRule="exact"/>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1.3采购人拟采购产品属于优先采购节能环境标志产品范围的，应当优先采购节能环境标志产品，节能产品以财政部国家发展改革委关于调整公布第十七期节能产品政府采购清单所列产品为准。环保产品以财政部环境保护部关于调整公布第十五期环境标志产品政府采购清单所列产品为准。</w:t>
      </w:r>
    </w:p>
    <w:p w14:paraId="5392644D">
      <w:pPr>
        <w:spacing w:line="500" w:lineRule="exact"/>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1.3.1“节能产品政府采购清单”：符合政府采购优先采购政策的，所投产品属于“节能产品政府采购清单”中品目的产品，需提供最新一期“节能产品政府采购清单”中磋商产品所在清单页并加盖供应商公章。该清单可在中国政府采购网（</w:t>
      </w: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"http://www.ccgp.gov.cn/"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t>http://www.ccgp.gov.cn/</w:t>
      </w:r>
      <w:r>
        <w:rPr>
          <w:rFonts w:hint="eastAsia" w:ascii="宋体" w:hAnsi="宋体" w:eastAsia="宋体" w:cs="宋体"/>
          <w:color w:val="auto"/>
          <w:szCs w:val="24"/>
          <w:highlight w:val="none"/>
        </w:rPr>
        <w:fldChar w:fldCharType="end"/>
      </w:r>
      <w:r>
        <w:rPr>
          <w:rFonts w:hint="eastAsia" w:ascii="宋体" w:hAnsi="宋体" w:eastAsia="宋体" w:cs="宋体"/>
          <w:color w:val="auto"/>
          <w:szCs w:val="24"/>
          <w:highlight w:val="none"/>
        </w:rPr>
        <w:t>）上查找。</w:t>
      </w:r>
    </w:p>
    <w:p w14:paraId="17B32F12">
      <w:pPr>
        <w:spacing w:line="500" w:lineRule="exact"/>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1.3.2 “环境标志产品政府采购清单”：所投产品属于“环境标志产品政府采购清单”中品目的产品，需提供最新一期“环境标志产品政府采购清单”中磋商产品所在清单页并加盖供应商公章。该清单可在中国政府采购网（</w:t>
      </w: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"http://www.ccgp.gov.cn/"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t>http://www.ccgp.gov.cn/</w:t>
      </w:r>
      <w:r>
        <w:rPr>
          <w:rFonts w:hint="eastAsia" w:ascii="宋体" w:hAnsi="宋体" w:eastAsia="宋体" w:cs="宋体"/>
          <w:color w:val="auto"/>
          <w:szCs w:val="24"/>
          <w:highlight w:val="none"/>
        </w:rPr>
        <w:fldChar w:fldCharType="end"/>
      </w:r>
      <w:r>
        <w:rPr>
          <w:rFonts w:hint="eastAsia" w:ascii="宋体" w:hAnsi="宋体" w:eastAsia="宋体" w:cs="宋体"/>
          <w:color w:val="auto"/>
          <w:szCs w:val="24"/>
          <w:highlight w:val="none"/>
        </w:rPr>
        <w:t>）上查找。</w:t>
      </w:r>
    </w:p>
    <w:p w14:paraId="2C655B8F">
      <w:pPr>
        <w:spacing w:line="500" w:lineRule="exact"/>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1.4监狱企业参加政府采购活动时，应当提供由省级以上监狱管理局、戒毒管理局(含新疆生产建设兵团)出具的属于监狱企业的证明文件。监狱企业参加政府采购活动时，视同小型、微型企业。</w:t>
      </w:r>
    </w:p>
    <w:p w14:paraId="46EB6EFA">
      <w:pPr>
        <w:spacing w:line="500" w:lineRule="exact"/>
        <w:ind w:firstLine="600" w:firstLineChars="250"/>
        <w:rPr>
          <w:rFonts w:hint="eastAsia" w:ascii="宋体" w:hAnsi="宋体" w:eastAsia="宋体" w:cs="宋体"/>
          <w:color w:val="auto"/>
          <w:szCs w:val="24"/>
          <w:highlight w:val="none"/>
        </w:rPr>
      </w:pPr>
      <w:r>
        <w:rPr>
          <w:rFonts w:hint="eastAsia" w:ascii="宋体" w:hAnsi="宋体" w:eastAsia="宋体" w:cs="宋体"/>
          <w:color w:val="auto"/>
          <w:szCs w:val="24"/>
          <w:highlight w:val="none"/>
        </w:rPr>
        <w:t>1.5符合条件的残疾人福利性单位在参加政府采购活动时，应当提供本通知规定的《残疾人福利性单位声明函》，并对声明的真实性负责。残疾人福利性单位参加政府采购活动时，视同小型、微型企业；残疾人福利性单位属于小型、微型企业的，不重复享受政策。</w:t>
      </w:r>
    </w:p>
    <w:p w14:paraId="7D0D102F">
      <w:pPr>
        <w:spacing w:line="500" w:lineRule="exact"/>
        <w:ind w:firstLine="482" w:firstLineChars="200"/>
        <w:jc w:val="left"/>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2、政策性扣减方式：</w:t>
      </w:r>
    </w:p>
    <w:p w14:paraId="229A51D4">
      <w:pPr>
        <w:spacing w:line="500" w:lineRule="exact"/>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2.1供应商为非联合体参与磋商的情况：</w:t>
      </w:r>
    </w:p>
    <w:p w14:paraId="41F703CD">
      <w:pPr>
        <w:spacing w:line="500" w:lineRule="exact"/>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2.1.1在磋商最终报价的基础上，小型企业或达到小型企业划分标准的监狱企业（或残疾人福利性单位），按“磋商最终报价×</w:t>
      </w:r>
      <w:r>
        <w:rPr>
          <w:rFonts w:hint="eastAsia" w:hAnsi="宋体" w:cs="宋体"/>
          <w:color w:val="auto"/>
          <w:szCs w:val="24"/>
          <w:highlight w:val="none"/>
          <w:lang w:val="en-US" w:eastAsia="zh-CN"/>
        </w:rPr>
        <w:t>10</w:t>
      </w:r>
      <w:r>
        <w:rPr>
          <w:rFonts w:hint="eastAsia" w:ascii="宋体" w:hAnsi="宋体" w:eastAsia="宋体" w:cs="宋体"/>
          <w:color w:val="auto"/>
          <w:szCs w:val="24"/>
          <w:highlight w:val="none"/>
        </w:rPr>
        <w:t>%”进行扣减；</w:t>
      </w:r>
    </w:p>
    <w:p w14:paraId="2C95BB95">
      <w:pPr>
        <w:spacing w:line="500" w:lineRule="exact"/>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2.1.2在磋商最终报价的基础上，注册资金在十五万元以上的微型企业或注册资金在十五万元以上达到微型企业划分标准的监狱企业（或残疾人福利性单位），按“磋商最终报价×</w:t>
      </w:r>
      <w:r>
        <w:rPr>
          <w:rFonts w:hint="eastAsia" w:hAnsi="宋体" w:cs="宋体"/>
          <w:color w:val="auto"/>
          <w:szCs w:val="24"/>
          <w:highlight w:val="none"/>
          <w:lang w:val="en-US" w:eastAsia="zh-CN"/>
        </w:rPr>
        <w:t>10</w:t>
      </w:r>
      <w:r>
        <w:rPr>
          <w:rFonts w:hint="eastAsia" w:ascii="宋体" w:hAnsi="宋体" w:eastAsia="宋体" w:cs="宋体"/>
          <w:color w:val="auto"/>
          <w:szCs w:val="24"/>
          <w:highlight w:val="none"/>
        </w:rPr>
        <w:t>%”进行扣减；</w:t>
      </w:r>
    </w:p>
    <w:p w14:paraId="151EEC1F">
      <w:pPr>
        <w:spacing w:line="500" w:lineRule="exact"/>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2.1.3在磋商最终报价的基础上，注册资金在十五万元以下的微型企业或注册资金在十五万元以下达到微型企业划分标准的监狱企业（或残疾人福利性单位），按“磋商最终报价×10%”进行扣减。</w:t>
      </w:r>
    </w:p>
    <w:p w14:paraId="4C210189">
      <w:pPr>
        <w:spacing w:line="500" w:lineRule="exact"/>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2.2供应商为联合体参与磋商且联合协议中约定小型或微型企业的协议合同金额占到联合体协议合同总金额30％以上的情况：</w:t>
      </w:r>
    </w:p>
    <w:p w14:paraId="1B8A8E3D">
      <w:pPr>
        <w:spacing w:line="500" w:lineRule="exact"/>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2.2.1在磋商最终报价的基础上，与小型企业或达到小型企业划分标准的监狱企业（或残疾人福利性单位）联合的，按“磋商最终报价×2%”进行扣减；</w:t>
      </w:r>
    </w:p>
    <w:p w14:paraId="21F5E102">
      <w:pPr>
        <w:spacing w:line="500" w:lineRule="exact"/>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2.2.2在磋商最终报价的基础上，与微型企业或达到微型企业划分标准的监狱企业（或残疾人福利性单位）联合的，按“磋商最终报价×3%”进行扣减。</w:t>
      </w:r>
    </w:p>
    <w:p w14:paraId="081C0D0C">
      <w:pPr>
        <w:spacing w:line="500" w:lineRule="exact"/>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2.2.3在磋商最终报价的基础上，同时与小型、微型企业或达到小型、微型企业划分标准的监狱企业（或残疾人福利性单位）组成两家以上的联合体的，仅按照“磋商最终报价×3%”进行扣减。不累计扣减。</w:t>
      </w:r>
    </w:p>
    <w:p w14:paraId="2D953C30">
      <w:pPr>
        <w:spacing w:line="500" w:lineRule="exact"/>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2.3供应商享受支持中小型企业发展政策优惠的，可以同时享受节能、环境标志产品优先采购政策。</w:t>
      </w:r>
    </w:p>
    <w:p w14:paraId="254C4AED">
      <w:pPr>
        <w:spacing w:line="500" w:lineRule="exact"/>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2.3.1单个合同项为单一产品的，所投产品为节能、环境标志产品的在磋商最终报价的基础上，按“磋商最终报价×6%”进行扣减；</w:t>
      </w:r>
    </w:p>
    <w:p w14:paraId="3680507B">
      <w:pPr>
        <w:spacing w:line="500" w:lineRule="exact"/>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2.3.2单个合同项为多种产品的，所投产品为节能、环境标志产品报价占到总报价30％以上的，在磋商最终报价的基础上，按“磋商最终报价×3%”进行扣减；在磋商最终报价时须对此类产品单独分项报价，计算出小计及占总价的百分比，未提供节能、环境标志产品报价明细表及1.3.1和1.3.2条规定的证明材料，在评审时不享受政府采购优惠政策。</w:t>
      </w:r>
    </w:p>
    <w:p w14:paraId="14AB5852">
      <w:pPr>
        <w:spacing w:line="500" w:lineRule="exact"/>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3、成交价格=成交供应商的有效磋商报价。</w:t>
      </w:r>
    </w:p>
    <w:p w14:paraId="0F2D4414">
      <w:pPr>
        <w:pStyle w:val="8"/>
        <w:rPr>
          <w:rFonts w:hint="eastAsia" w:ascii="宋体" w:hAnsi="宋体" w:eastAsia="宋体" w:cs="宋体"/>
          <w:color w:val="auto"/>
          <w:highlight w:val="none"/>
        </w:rPr>
      </w:pPr>
    </w:p>
    <w:p w14:paraId="74253AC0">
      <w:pPr>
        <w:spacing w:line="360" w:lineRule="auto"/>
        <w:ind w:firstLine="498" w:firstLineChars="200"/>
        <w:jc w:val="center"/>
        <w:outlineLvl w:val="1"/>
        <w:rPr>
          <w:rFonts w:hint="eastAsia" w:ascii="宋体" w:hAnsi="宋体" w:eastAsia="宋体" w:cs="宋体"/>
          <w:b/>
          <w:color w:val="auto"/>
          <w:szCs w:val="24"/>
          <w:highlight w:val="none"/>
        </w:rPr>
      </w:pPr>
      <w:r>
        <w:rPr>
          <w:rFonts w:hint="eastAsia" w:ascii="宋体" w:hAnsi="宋体" w:eastAsia="宋体" w:cs="宋体"/>
          <w:b/>
          <w:color w:val="auto"/>
          <w:spacing w:val="4"/>
          <w:szCs w:val="24"/>
          <w:highlight w:val="none"/>
        </w:rPr>
        <w:br w:type="page"/>
      </w:r>
      <w:bookmarkStart w:id="74" w:name="_Toc4223"/>
      <w:bookmarkStart w:id="75" w:name="_Toc28532"/>
      <w:bookmarkStart w:id="76" w:name="_Toc3327"/>
      <w:bookmarkStart w:id="77" w:name="_Toc13330"/>
      <w:r>
        <w:rPr>
          <w:rFonts w:hint="eastAsia" w:ascii="宋体" w:hAnsi="宋体" w:eastAsia="宋体" w:cs="宋体"/>
          <w:b/>
          <w:color w:val="auto"/>
          <w:spacing w:val="4"/>
          <w:szCs w:val="24"/>
          <w:highlight w:val="none"/>
        </w:rPr>
        <w:t>四、</w:t>
      </w:r>
      <w:r>
        <w:rPr>
          <w:rFonts w:hint="eastAsia" w:ascii="宋体" w:hAnsi="宋体" w:eastAsia="宋体" w:cs="宋体"/>
          <w:b/>
          <w:color w:val="auto"/>
          <w:szCs w:val="24"/>
          <w:highlight w:val="none"/>
        </w:rPr>
        <w:t>评审要素和分值分解表</w:t>
      </w:r>
      <w:bookmarkEnd w:id="74"/>
      <w:bookmarkEnd w:id="75"/>
      <w:bookmarkEnd w:id="76"/>
      <w:bookmarkEnd w:id="77"/>
    </w:p>
    <w:tbl>
      <w:tblPr>
        <w:tblStyle w:val="21"/>
        <w:tblW w:w="5003"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139"/>
        <w:gridCol w:w="946"/>
        <w:gridCol w:w="7115"/>
      </w:tblGrid>
      <w:tr w14:paraId="25A282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jc w:val="center"/>
        </w:trPr>
        <w:tc>
          <w:tcPr>
            <w:tcW w:w="619" w:type="pct"/>
            <w:noWrap w:val="0"/>
            <w:vAlign w:val="center"/>
          </w:tcPr>
          <w:p w14:paraId="1AB98007">
            <w:pPr>
              <w:bidi w:val="0"/>
              <w:jc w:val="center"/>
              <w:rPr>
                <w:rFonts w:hint="eastAsia"/>
                <w:lang w:val="en-US" w:eastAsia="zh-CN"/>
              </w:rPr>
            </w:pPr>
            <w:r>
              <w:rPr>
                <w:rFonts w:hint="eastAsia"/>
                <w:lang w:val="en-US" w:eastAsia="zh-CN"/>
              </w:rPr>
              <w:t>评标因素</w:t>
            </w:r>
          </w:p>
        </w:tc>
        <w:tc>
          <w:tcPr>
            <w:tcW w:w="514" w:type="pct"/>
            <w:noWrap w:val="0"/>
            <w:vAlign w:val="center"/>
          </w:tcPr>
          <w:p w14:paraId="47DF14BE">
            <w:pPr>
              <w:bidi w:val="0"/>
              <w:jc w:val="center"/>
              <w:rPr>
                <w:rFonts w:hint="eastAsia"/>
                <w:lang w:val="en-US" w:eastAsia="zh-CN"/>
              </w:rPr>
            </w:pPr>
            <w:r>
              <w:rPr>
                <w:rFonts w:hint="eastAsia"/>
                <w:lang w:val="en-US" w:eastAsia="zh-CN"/>
              </w:rPr>
              <w:t>分值</w:t>
            </w:r>
          </w:p>
        </w:tc>
        <w:tc>
          <w:tcPr>
            <w:tcW w:w="3866" w:type="pct"/>
            <w:noWrap w:val="0"/>
            <w:vAlign w:val="center"/>
          </w:tcPr>
          <w:p w14:paraId="6173C4A5">
            <w:pPr>
              <w:bidi w:val="0"/>
              <w:jc w:val="center"/>
              <w:rPr>
                <w:rFonts w:hint="eastAsia"/>
                <w:lang w:val="en-US" w:eastAsia="zh-CN"/>
              </w:rPr>
            </w:pPr>
            <w:r>
              <w:rPr>
                <w:rFonts w:hint="eastAsia"/>
                <w:lang w:val="en-US" w:eastAsia="zh-CN"/>
              </w:rPr>
              <w:t>评价要素</w:t>
            </w:r>
          </w:p>
        </w:tc>
      </w:tr>
      <w:tr w14:paraId="5C6149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6" w:hRule="atLeast"/>
          <w:jc w:val="center"/>
        </w:trPr>
        <w:tc>
          <w:tcPr>
            <w:tcW w:w="619" w:type="pct"/>
            <w:noWrap w:val="0"/>
            <w:vAlign w:val="center"/>
          </w:tcPr>
          <w:p w14:paraId="63F86E0E">
            <w:pPr>
              <w:bidi w:val="0"/>
              <w:jc w:val="center"/>
            </w:pPr>
            <w:r>
              <w:rPr>
                <w:rFonts w:hint="eastAsia"/>
                <w:lang w:val="en-US" w:eastAsia="zh-CN"/>
              </w:rPr>
              <w:t>磋商</w:t>
            </w:r>
            <w:r>
              <w:t>报价</w:t>
            </w:r>
          </w:p>
        </w:tc>
        <w:tc>
          <w:tcPr>
            <w:tcW w:w="514" w:type="pct"/>
            <w:noWrap w:val="0"/>
            <w:vAlign w:val="center"/>
          </w:tcPr>
          <w:p w14:paraId="741D0DCE">
            <w:pPr>
              <w:bidi w:val="0"/>
              <w:jc w:val="center"/>
            </w:pPr>
            <w:r>
              <w:t>1</w:t>
            </w:r>
            <w:r>
              <w:rPr>
                <w:rFonts w:hint="eastAsia"/>
                <w:lang w:val="en-US" w:eastAsia="zh-CN"/>
              </w:rPr>
              <w:t>0</w:t>
            </w:r>
            <w:r>
              <w:t>分</w:t>
            </w:r>
          </w:p>
        </w:tc>
        <w:tc>
          <w:tcPr>
            <w:tcW w:w="3866" w:type="pct"/>
            <w:noWrap w:val="0"/>
            <w:vAlign w:val="top"/>
          </w:tcPr>
          <w:p w14:paraId="1D1E195D">
            <w:pPr>
              <w:pStyle w:val="35"/>
              <w:spacing w:line="360" w:lineRule="auto"/>
              <w:ind w:left="107" w:right="95"/>
              <w:jc w:val="left"/>
              <w:rPr>
                <w:sz w:val="24"/>
              </w:rPr>
            </w:pPr>
            <w:r>
              <w:rPr>
                <w:sz w:val="24"/>
              </w:rPr>
              <w:t>1、满足</w:t>
            </w:r>
            <w:r>
              <w:rPr>
                <w:rFonts w:hint="eastAsia"/>
                <w:sz w:val="24"/>
                <w:lang w:val="en-US" w:eastAsia="zh-CN"/>
              </w:rPr>
              <w:t>磋商</w:t>
            </w:r>
            <w:r>
              <w:rPr>
                <w:sz w:val="24"/>
              </w:rPr>
              <w:t>文件要求且报价最低的</w:t>
            </w:r>
            <w:r>
              <w:rPr>
                <w:rFonts w:hint="eastAsia"/>
                <w:sz w:val="24"/>
                <w:lang w:val="en-US" w:eastAsia="zh-CN"/>
              </w:rPr>
              <w:t>供应商</w:t>
            </w:r>
            <w:r>
              <w:rPr>
                <w:sz w:val="24"/>
              </w:rPr>
              <w:t>的价格为评标基准价，其价格分为满分。</w:t>
            </w:r>
          </w:p>
          <w:p w14:paraId="796B7091">
            <w:pPr>
              <w:pStyle w:val="35"/>
              <w:spacing w:before="5" w:line="360" w:lineRule="auto"/>
              <w:ind w:left="107" w:right="259" w:rightChars="0"/>
              <w:jc w:val="left"/>
              <w:rPr>
                <w:sz w:val="24"/>
              </w:rPr>
            </w:pPr>
            <w:r>
              <w:rPr>
                <w:sz w:val="24"/>
              </w:rPr>
              <w:t>2、其他</w:t>
            </w:r>
            <w:r>
              <w:rPr>
                <w:rFonts w:hint="eastAsia"/>
                <w:sz w:val="24"/>
                <w:lang w:val="en-US" w:eastAsia="zh-CN"/>
              </w:rPr>
              <w:t>供应商</w:t>
            </w:r>
            <w:r>
              <w:rPr>
                <w:sz w:val="24"/>
              </w:rPr>
              <w:t>的价格分统一按照下列公式计算：报价得分=（评标基准价/</w:t>
            </w:r>
            <w:r>
              <w:rPr>
                <w:rFonts w:hint="eastAsia"/>
                <w:sz w:val="24"/>
                <w:lang w:val="en-US" w:eastAsia="zh-CN"/>
              </w:rPr>
              <w:t>磋商</w:t>
            </w:r>
            <w:r>
              <w:rPr>
                <w:sz w:val="24"/>
              </w:rPr>
              <w:t>报价）×</w:t>
            </w:r>
            <w:r>
              <w:rPr>
                <w:rFonts w:hint="eastAsia"/>
                <w:sz w:val="24"/>
                <w:lang w:val="en-US" w:eastAsia="zh-CN"/>
              </w:rPr>
              <w:t>10</w:t>
            </w:r>
            <w:r>
              <w:rPr>
                <w:sz w:val="24"/>
              </w:rPr>
              <w:t>分值。</w:t>
            </w:r>
          </w:p>
        </w:tc>
      </w:tr>
      <w:tr w14:paraId="2F636E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2" w:hRule="atLeast"/>
          <w:jc w:val="center"/>
        </w:trPr>
        <w:tc>
          <w:tcPr>
            <w:tcW w:w="619" w:type="pct"/>
            <w:noWrap w:val="0"/>
            <w:vAlign w:val="center"/>
          </w:tcPr>
          <w:p w14:paraId="3B2B986B">
            <w:pPr>
              <w:bidi w:val="0"/>
              <w:jc w:val="center"/>
              <w:rPr>
                <w:rFonts w:hint="eastAsia"/>
                <w:lang w:val="en-US" w:eastAsia="zh-CN"/>
              </w:rPr>
            </w:pPr>
            <w:r>
              <w:rPr>
                <w:rFonts w:hint="eastAsia"/>
                <w:lang w:val="en-US" w:eastAsia="zh-CN"/>
              </w:rPr>
              <w:t>实施方案</w:t>
            </w:r>
          </w:p>
        </w:tc>
        <w:tc>
          <w:tcPr>
            <w:tcW w:w="514" w:type="pct"/>
            <w:noWrap w:val="0"/>
            <w:vAlign w:val="center"/>
          </w:tcPr>
          <w:p w14:paraId="40CF9D16">
            <w:pPr>
              <w:bidi w:val="0"/>
              <w:jc w:val="center"/>
              <w:rPr>
                <w:rFonts w:hint="eastAsia"/>
                <w:lang w:val="en-US" w:eastAsia="zh-CN"/>
              </w:rPr>
            </w:pPr>
            <w:r>
              <w:rPr>
                <w:rFonts w:hint="eastAsia"/>
                <w:lang w:val="en-US" w:eastAsia="zh-CN"/>
              </w:rPr>
              <w:t>18分</w:t>
            </w:r>
          </w:p>
        </w:tc>
        <w:tc>
          <w:tcPr>
            <w:tcW w:w="3866" w:type="pct"/>
            <w:noWrap w:val="0"/>
            <w:vAlign w:val="top"/>
          </w:tcPr>
          <w:p w14:paraId="0C2AFC6D">
            <w:pPr>
              <w:pStyle w:val="35"/>
              <w:spacing w:line="360" w:lineRule="auto"/>
              <w:ind w:left="107" w:right="95"/>
              <w:jc w:val="left"/>
              <w:rPr>
                <w:rFonts w:hint="eastAsia" w:ascii="宋体" w:hAnsi="Times New Roman" w:eastAsia="宋体" w:cs="Times New Roman"/>
                <w:sz w:val="24"/>
                <w:lang w:val="en-US" w:eastAsia="zh-CN"/>
              </w:rPr>
            </w:pPr>
            <w:r>
              <w:rPr>
                <w:rFonts w:hint="eastAsia" w:ascii="宋体" w:hAnsi="宋体" w:eastAsia="宋体" w:cs="宋体"/>
                <w:spacing w:val="1"/>
                <w:sz w:val="24"/>
                <w:szCs w:val="24"/>
                <w:lang w:val="en-US" w:eastAsia="zh-CN" w:bidi="ar-SA"/>
              </w:rPr>
              <w:t>供应商</w:t>
            </w:r>
            <w:r>
              <w:rPr>
                <w:rFonts w:ascii="宋体" w:hAnsi="宋体" w:eastAsia="宋体" w:cs="宋体"/>
                <w:spacing w:val="1"/>
                <w:sz w:val="24"/>
                <w:szCs w:val="24"/>
                <w:lang w:val="en-US" w:eastAsia="en-US" w:bidi="ar-SA"/>
              </w:rPr>
              <w:t>必</w:t>
            </w:r>
            <w:r>
              <w:rPr>
                <w:rFonts w:ascii="宋体" w:hAnsi="Times New Roman" w:eastAsia="宋体" w:cs="Times New Roman"/>
                <w:sz w:val="24"/>
                <w:lang w:val="en-US" w:eastAsia="en-US"/>
              </w:rPr>
              <w:t>须结合本项目的实际情况，</w:t>
            </w:r>
            <w:r>
              <w:rPr>
                <w:rFonts w:hint="eastAsia" w:ascii="宋体" w:hAnsi="Times New Roman" w:eastAsia="宋体" w:cs="Times New Roman"/>
                <w:sz w:val="24"/>
                <w:lang w:val="en-US" w:eastAsia="zh-CN"/>
              </w:rPr>
              <w:t>制定</w:t>
            </w:r>
            <w:r>
              <w:rPr>
                <w:rFonts w:hint="eastAsia" w:hAnsi="Times New Roman" w:cs="Times New Roman"/>
                <w:sz w:val="24"/>
                <w:lang w:val="en-US" w:eastAsia="zh-CN"/>
              </w:rPr>
              <w:t>实施</w:t>
            </w:r>
            <w:r>
              <w:rPr>
                <w:rFonts w:hint="eastAsia" w:ascii="宋体" w:hAnsi="Times New Roman" w:eastAsia="宋体" w:cs="Times New Roman"/>
                <w:sz w:val="24"/>
                <w:lang w:val="en-US" w:eastAsia="zh-CN"/>
              </w:rPr>
              <w:t>方案，方案内容包括：</w:t>
            </w:r>
          </w:p>
          <w:p w14:paraId="56ABEF6C">
            <w:pPr>
              <w:pStyle w:val="35"/>
              <w:spacing w:line="360" w:lineRule="auto"/>
              <w:ind w:left="107" w:right="95"/>
              <w:jc w:val="left"/>
              <w:rPr>
                <w:rFonts w:hint="default" w:ascii="宋体" w:hAnsi="宋体" w:eastAsia="宋体" w:cs="宋体"/>
                <w:spacing w:val="1"/>
                <w:sz w:val="24"/>
                <w:szCs w:val="24"/>
                <w:lang w:val="en-US" w:eastAsia="zh-CN" w:bidi="ar-SA"/>
              </w:rPr>
            </w:pPr>
            <w:r>
              <w:rPr>
                <w:rFonts w:hint="eastAsia" w:ascii="宋体" w:hAnsi="宋体" w:eastAsia="宋体" w:cs="宋体"/>
                <w:spacing w:val="1"/>
                <w:sz w:val="24"/>
                <w:szCs w:val="24"/>
                <w:lang w:val="en-US" w:eastAsia="zh-CN" w:bidi="ar-SA"/>
              </w:rPr>
              <w:t>①项目背景；（6分）</w:t>
            </w:r>
          </w:p>
          <w:p w14:paraId="6BFB5919">
            <w:pPr>
              <w:pStyle w:val="35"/>
              <w:spacing w:line="360" w:lineRule="auto"/>
              <w:ind w:left="107" w:right="95"/>
              <w:jc w:val="left"/>
              <w:rPr>
                <w:rFonts w:hint="eastAsia" w:ascii="宋体" w:hAnsi="宋体" w:eastAsia="宋体" w:cs="宋体"/>
                <w:spacing w:val="1"/>
                <w:sz w:val="24"/>
                <w:szCs w:val="24"/>
                <w:lang w:val="en-US" w:eastAsia="zh-CN" w:bidi="ar-SA"/>
              </w:rPr>
            </w:pPr>
            <w:r>
              <w:rPr>
                <w:rFonts w:hint="eastAsia" w:ascii="宋体" w:hAnsi="宋体" w:eastAsia="宋体" w:cs="宋体"/>
                <w:spacing w:val="1"/>
                <w:sz w:val="24"/>
                <w:szCs w:val="24"/>
                <w:lang w:val="en-US" w:eastAsia="zh-CN" w:bidi="ar-SA"/>
              </w:rPr>
              <w:t>②技术依据要求；（6分）</w:t>
            </w:r>
          </w:p>
          <w:p w14:paraId="44228A8E">
            <w:pPr>
              <w:pStyle w:val="35"/>
              <w:spacing w:line="360" w:lineRule="auto"/>
              <w:ind w:left="107" w:right="95"/>
              <w:jc w:val="left"/>
              <w:rPr>
                <w:rFonts w:hint="eastAsia" w:ascii="宋体" w:hAnsi="宋体" w:eastAsia="宋体" w:cs="宋体"/>
                <w:spacing w:val="1"/>
                <w:sz w:val="24"/>
                <w:szCs w:val="24"/>
                <w:lang w:val="en-US" w:eastAsia="zh-CN" w:bidi="ar-SA"/>
              </w:rPr>
            </w:pPr>
            <w:r>
              <w:rPr>
                <w:rFonts w:hint="eastAsia" w:ascii="宋体" w:hAnsi="宋体" w:eastAsia="宋体" w:cs="宋体"/>
                <w:spacing w:val="1"/>
                <w:sz w:val="24"/>
                <w:szCs w:val="24"/>
                <w:lang w:val="en-US" w:eastAsia="zh-CN" w:bidi="ar-SA"/>
              </w:rPr>
              <w:t>③</w:t>
            </w:r>
            <w:r>
              <w:rPr>
                <w:rFonts w:hint="eastAsia" w:cs="宋体"/>
                <w:spacing w:val="1"/>
                <w:sz w:val="24"/>
                <w:szCs w:val="24"/>
                <w:lang w:val="en-US" w:eastAsia="zh-CN" w:bidi="ar-SA"/>
              </w:rPr>
              <w:t>数字资源服务</w:t>
            </w:r>
            <w:r>
              <w:rPr>
                <w:rFonts w:hint="eastAsia" w:ascii="宋体" w:hAnsi="宋体" w:eastAsia="宋体" w:cs="宋体"/>
                <w:spacing w:val="1"/>
                <w:sz w:val="24"/>
                <w:szCs w:val="24"/>
                <w:lang w:val="en-US" w:eastAsia="zh-CN" w:bidi="ar-SA"/>
              </w:rPr>
              <w:t>实施方案；（6分）</w:t>
            </w:r>
          </w:p>
          <w:p w14:paraId="0DDEA5B8">
            <w:pPr>
              <w:pStyle w:val="35"/>
              <w:spacing w:line="360" w:lineRule="auto"/>
              <w:ind w:left="107" w:right="95"/>
              <w:jc w:val="left"/>
              <w:rPr>
                <w:rFonts w:hint="eastAsia" w:ascii="宋体" w:hAnsi="宋体" w:eastAsia="宋体" w:cs="宋体"/>
                <w:spacing w:val="1"/>
                <w:sz w:val="24"/>
                <w:szCs w:val="24"/>
                <w:lang w:val="en-US" w:eastAsia="zh-CN" w:bidi="ar-SA"/>
              </w:rPr>
            </w:pPr>
            <w:r>
              <w:rPr>
                <w:rFonts w:hint="eastAsia" w:ascii="宋体" w:hAnsi="宋体" w:eastAsia="宋体" w:cs="宋体"/>
                <w:spacing w:val="1"/>
                <w:sz w:val="24"/>
                <w:szCs w:val="24"/>
                <w:lang w:val="en-US" w:eastAsia="zh-CN" w:bidi="ar-SA"/>
              </w:rPr>
              <w:t>评审标准：</w:t>
            </w:r>
          </w:p>
          <w:p w14:paraId="6908CE79">
            <w:pPr>
              <w:pStyle w:val="35"/>
              <w:spacing w:line="360" w:lineRule="auto"/>
              <w:ind w:left="107" w:right="95"/>
              <w:jc w:val="left"/>
              <w:rPr>
                <w:rFonts w:hint="eastAsia" w:ascii="宋体" w:hAnsi="宋体" w:eastAsia="宋体" w:cs="宋体"/>
                <w:spacing w:val="1"/>
                <w:sz w:val="24"/>
                <w:szCs w:val="24"/>
                <w:lang w:val="en-US" w:eastAsia="zh-CN" w:bidi="ar-SA"/>
              </w:rPr>
            </w:pPr>
            <w:r>
              <w:rPr>
                <w:rFonts w:hint="eastAsia" w:ascii="宋体" w:hAnsi="宋体" w:eastAsia="宋体" w:cs="宋体"/>
                <w:spacing w:val="1"/>
                <w:sz w:val="24"/>
                <w:szCs w:val="24"/>
                <w:lang w:val="en-US" w:eastAsia="zh-CN" w:bidi="ar-SA"/>
              </w:rPr>
              <w:t>1、完善性：方案必须全面，对评审内容中的各项要求有详细阐述；</w:t>
            </w:r>
          </w:p>
          <w:p w14:paraId="289E3CA6">
            <w:pPr>
              <w:pStyle w:val="35"/>
              <w:spacing w:line="360" w:lineRule="auto"/>
              <w:ind w:left="107" w:right="95"/>
              <w:jc w:val="left"/>
              <w:rPr>
                <w:rFonts w:hint="eastAsia" w:ascii="宋体" w:hAnsi="宋体" w:eastAsia="宋体" w:cs="宋体"/>
                <w:spacing w:val="1"/>
                <w:sz w:val="24"/>
                <w:szCs w:val="24"/>
                <w:lang w:val="en-US" w:eastAsia="zh-CN" w:bidi="ar-SA"/>
              </w:rPr>
            </w:pPr>
            <w:r>
              <w:rPr>
                <w:rFonts w:hint="eastAsia" w:ascii="宋体" w:hAnsi="宋体" w:eastAsia="宋体" w:cs="宋体"/>
                <w:spacing w:val="1"/>
                <w:sz w:val="24"/>
                <w:szCs w:val="24"/>
                <w:lang w:val="en-US" w:eastAsia="zh-CN" w:bidi="ar-SA"/>
              </w:rPr>
              <w:t>2、可实施性：方案切合本项目实际情况，提出步骤清晰、合理的方案；</w:t>
            </w:r>
          </w:p>
          <w:p w14:paraId="2AD21FFE">
            <w:pPr>
              <w:pStyle w:val="35"/>
              <w:spacing w:line="360" w:lineRule="auto"/>
              <w:ind w:left="107" w:right="95"/>
              <w:jc w:val="left"/>
              <w:rPr>
                <w:rFonts w:hint="eastAsia" w:ascii="宋体" w:hAnsi="宋体" w:eastAsia="宋体" w:cs="宋体"/>
                <w:spacing w:val="1"/>
                <w:sz w:val="24"/>
                <w:szCs w:val="24"/>
                <w:lang w:val="en-US" w:eastAsia="zh-CN" w:bidi="ar-SA"/>
              </w:rPr>
            </w:pPr>
            <w:r>
              <w:rPr>
                <w:rFonts w:hint="eastAsia" w:ascii="宋体" w:hAnsi="宋体" w:eastAsia="宋体" w:cs="宋体"/>
                <w:spacing w:val="1"/>
                <w:sz w:val="24"/>
                <w:szCs w:val="24"/>
                <w:lang w:val="en-US" w:eastAsia="zh-CN" w:bidi="ar-SA"/>
              </w:rPr>
              <w:t>3、针对性：方案能够紧扣项目实际情况，内容科学合理。</w:t>
            </w:r>
          </w:p>
          <w:p w14:paraId="21D21A79">
            <w:pPr>
              <w:pStyle w:val="35"/>
              <w:spacing w:line="360" w:lineRule="auto"/>
              <w:ind w:left="107" w:right="95"/>
              <w:jc w:val="left"/>
              <w:rPr>
                <w:rFonts w:hint="default" w:ascii="宋体" w:hAnsi="宋体" w:eastAsia="宋体" w:cs="宋体"/>
                <w:spacing w:val="1"/>
                <w:sz w:val="24"/>
                <w:szCs w:val="24"/>
                <w:lang w:val="en-US" w:eastAsia="zh-CN" w:bidi="ar-SA"/>
              </w:rPr>
            </w:pPr>
            <w:r>
              <w:rPr>
                <w:rFonts w:hint="eastAsia" w:ascii="宋体" w:hAnsi="宋体" w:eastAsia="宋体" w:cs="宋体"/>
                <w:spacing w:val="1"/>
                <w:sz w:val="24"/>
                <w:szCs w:val="24"/>
                <w:lang w:val="en-US" w:eastAsia="zh-CN" w:bidi="ar-SA"/>
              </w:rPr>
              <w:t>上述3项评审内容全部满足评审标准得18分，每有一个单项评审内容缺项，单项分值扣完，评审内容中每存在一处缺陷，扣1分，扣完为止。</w:t>
            </w:r>
          </w:p>
          <w:p w14:paraId="15D046BC">
            <w:pPr>
              <w:pStyle w:val="35"/>
              <w:spacing w:line="360" w:lineRule="auto"/>
              <w:ind w:left="107" w:right="95"/>
              <w:jc w:val="left"/>
              <w:rPr>
                <w:rFonts w:hint="eastAsia" w:eastAsia="宋体"/>
                <w:sz w:val="24"/>
                <w:lang w:val="en-US" w:eastAsia="zh-CN"/>
              </w:rPr>
            </w:pPr>
            <w:r>
              <w:rPr>
                <w:rFonts w:hint="eastAsia" w:ascii="宋体" w:hAnsi="宋体" w:eastAsia="宋体" w:cs="宋体"/>
                <w:spacing w:val="1"/>
                <w:sz w:val="24"/>
                <w:szCs w:val="24"/>
                <w:lang w:val="en-US" w:eastAsia="zh-CN" w:bidi="ar-SA"/>
              </w:rPr>
              <w:t>说明：缺陷是指内容缺项、不完整或缺少关键点、虽有内容但不完善、不全面；内容表述前后不一；非专门针对本项目或不适用本项目特性；套用其他项目内容；对同一问题前后表述矛盾；存在逻辑漏洞、科学原理或常识错误；不利于本项目目标的实现、现有技术条件下不可能出现的情形等任意一种情形。</w:t>
            </w:r>
          </w:p>
        </w:tc>
      </w:tr>
      <w:tr w14:paraId="5E70CB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31" w:hRule="atLeast"/>
          <w:jc w:val="center"/>
        </w:trPr>
        <w:tc>
          <w:tcPr>
            <w:tcW w:w="619" w:type="pct"/>
            <w:noWrap w:val="0"/>
            <w:vAlign w:val="center"/>
          </w:tcPr>
          <w:p w14:paraId="583C2F8B">
            <w:pPr>
              <w:bidi w:val="0"/>
              <w:jc w:val="center"/>
              <w:rPr>
                <w:rFonts w:hint="eastAsia"/>
                <w:lang w:val="en-US" w:eastAsia="zh-CN"/>
              </w:rPr>
            </w:pPr>
            <w:r>
              <w:rPr>
                <w:rFonts w:hint="eastAsia"/>
                <w:lang w:val="en-US" w:eastAsia="zh-CN"/>
              </w:rPr>
              <w:t>项目实施计划</w:t>
            </w:r>
          </w:p>
        </w:tc>
        <w:tc>
          <w:tcPr>
            <w:tcW w:w="514" w:type="pct"/>
            <w:noWrap w:val="0"/>
            <w:vAlign w:val="center"/>
          </w:tcPr>
          <w:p w14:paraId="4A9DD168">
            <w:pPr>
              <w:bidi w:val="0"/>
              <w:jc w:val="center"/>
              <w:rPr>
                <w:rFonts w:hint="default"/>
                <w:lang w:val="en-US" w:eastAsia="zh-CN"/>
              </w:rPr>
            </w:pPr>
            <w:r>
              <w:rPr>
                <w:rFonts w:hint="eastAsia"/>
                <w:lang w:val="en-US" w:eastAsia="zh-CN"/>
              </w:rPr>
              <w:t>14分</w:t>
            </w:r>
          </w:p>
        </w:tc>
        <w:tc>
          <w:tcPr>
            <w:tcW w:w="3866" w:type="pct"/>
            <w:noWrap w:val="0"/>
            <w:vAlign w:val="top"/>
          </w:tcPr>
          <w:p w14:paraId="5C510409">
            <w:pPr>
              <w:pStyle w:val="35"/>
              <w:spacing w:line="360" w:lineRule="auto"/>
              <w:ind w:left="107" w:right="95"/>
              <w:jc w:val="left"/>
              <w:rPr>
                <w:rFonts w:hint="eastAsia" w:ascii="宋体" w:hAnsi="宋体" w:eastAsia="宋体" w:cs="宋体"/>
                <w:spacing w:val="1"/>
                <w:sz w:val="24"/>
                <w:szCs w:val="24"/>
                <w:lang w:val="en-US" w:eastAsia="zh-CN" w:bidi="ar-SA"/>
              </w:rPr>
            </w:pPr>
            <w:r>
              <w:rPr>
                <w:rFonts w:hint="eastAsia" w:ascii="宋体" w:hAnsi="宋体" w:eastAsia="宋体" w:cs="宋体"/>
                <w:spacing w:val="1"/>
                <w:sz w:val="24"/>
                <w:szCs w:val="24"/>
                <w:lang w:val="en-US" w:eastAsia="zh-CN" w:bidi="ar-SA"/>
              </w:rPr>
              <w:t>供应商</w:t>
            </w:r>
            <w:r>
              <w:rPr>
                <w:rFonts w:hint="eastAsia" w:ascii="宋体" w:hAnsi="宋体" w:eastAsia="宋体" w:cs="宋体"/>
                <w:spacing w:val="1"/>
                <w:sz w:val="24"/>
                <w:szCs w:val="24"/>
                <w:lang w:val="en-US" w:eastAsia="en-US" w:bidi="ar-SA"/>
              </w:rPr>
              <w:t>必须结合本项目的实际情况，</w:t>
            </w:r>
            <w:r>
              <w:rPr>
                <w:rFonts w:hint="eastAsia" w:ascii="宋体" w:hAnsi="宋体" w:eastAsia="宋体" w:cs="宋体"/>
                <w:spacing w:val="1"/>
                <w:sz w:val="24"/>
                <w:szCs w:val="24"/>
                <w:lang w:val="en-US" w:eastAsia="zh-CN" w:bidi="ar-SA"/>
              </w:rPr>
              <w:t>制定项目实施进度计划方案，方案内容包括：</w:t>
            </w:r>
          </w:p>
          <w:p w14:paraId="32BF1211">
            <w:pPr>
              <w:pStyle w:val="35"/>
              <w:spacing w:line="360" w:lineRule="auto"/>
              <w:ind w:left="107" w:right="95"/>
              <w:jc w:val="left"/>
              <w:rPr>
                <w:rFonts w:hint="eastAsia" w:ascii="宋体" w:hAnsi="宋体" w:eastAsia="宋体" w:cs="宋体"/>
                <w:spacing w:val="1"/>
                <w:sz w:val="24"/>
                <w:szCs w:val="24"/>
                <w:lang w:val="en-US" w:eastAsia="zh-CN" w:bidi="ar-SA"/>
              </w:rPr>
            </w:pPr>
            <w:r>
              <w:rPr>
                <w:rFonts w:hint="eastAsia" w:ascii="宋体" w:hAnsi="宋体" w:eastAsia="宋体" w:cs="宋体"/>
                <w:spacing w:val="1"/>
                <w:sz w:val="24"/>
                <w:szCs w:val="24"/>
                <w:lang w:val="en-US" w:eastAsia="zh-CN" w:bidi="ar-SA"/>
              </w:rPr>
              <w:t>①项目实施前期准备；（5分）</w:t>
            </w:r>
          </w:p>
          <w:p w14:paraId="23A0B0EC">
            <w:pPr>
              <w:pStyle w:val="35"/>
              <w:spacing w:line="360" w:lineRule="auto"/>
              <w:ind w:left="107" w:right="95"/>
              <w:jc w:val="left"/>
              <w:rPr>
                <w:rFonts w:hint="default" w:ascii="宋体" w:hAnsi="宋体" w:eastAsia="宋体" w:cs="宋体"/>
                <w:spacing w:val="1"/>
                <w:sz w:val="24"/>
                <w:szCs w:val="24"/>
                <w:lang w:val="en-US" w:eastAsia="zh-CN" w:bidi="ar-SA"/>
              </w:rPr>
            </w:pPr>
            <w:r>
              <w:rPr>
                <w:rFonts w:hint="eastAsia" w:ascii="宋体" w:hAnsi="宋体" w:eastAsia="宋体" w:cs="宋体"/>
                <w:spacing w:val="1"/>
                <w:sz w:val="24"/>
                <w:szCs w:val="24"/>
                <w:lang w:val="en-US" w:eastAsia="zh-CN" w:bidi="ar-SA"/>
              </w:rPr>
              <w:t>②项目实施整体的计划；（5分）</w:t>
            </w:r>
          </w:p>
          <w:p w14:paraId="64487532">
            <w:pPr>
              <w:pStyle w:val="35"/>
              <w:spacing w:line="360" w:lineRule="auto"/>
              <w:ind w:left="107" w:right="95"/>
              <w:jc w:val="left"/>
              <w:rPr>
                <w:rFonts w:hint="eastAsia" w:ascii="宋体" w:hAnsi="宋体" w:eastAsia="宋体" w:cs="宋体"/>
                <w:spacing w:val="1"/>
                <w:sz w:val="24"/>
                <w:szCs w:val="24"/>
                <w:lang w:val="en-US" w:eastAsia="zh-CN" w:bidi="ar-SA"/>
              </w:rPr>
            </w:pPr>
            <w:r>
              <w:rPr>
                <w:rFonts w:hint="eastAsia" w:ascii="宋体" w:hAnsi="宋体" w:eastAsia="宋体" w:cs="宋体"/>
                <w:spacing w:val="1"/>
                <w:sz w:val="24"/>
                <w:szCs w:val="24"/>
                <w:lang w:val="en-US" w:eastAsia="zh-CN" w:bidi="ar-SA"/>
              </w:rPr>
              <w:t>③项目实施的控制方法；（4分）</w:t>
            </w:r>
          </w:p>
          <w:p w14:paraId="65B5AA7D">
            <w:pPr>
              <w:pStyle w:val="35"/>
              <w:spacing w:line="360" w:lineRule="auto"/>
              <w:ind w:left="107" w:right="95"/>
              <w:jc w:val="left"/>
              <w:rPr>
                <w:rFonts w:hint="eastAsia" w:ascii="宋体" w:hAnsi="宋体" w:eastAsia="宋体" w:cs="宋体"/>
                <w:spacing w:val="1"/>
                <w:sz w:val="24"/>
                <w:szCs w:val="24"/>
                <w:lang w:val="en-US" w:eastAsia="zh-CN" w:bidi="ar-SA"/>
              </w:rPr>
            </w:pPr>
            <w:r>
              <w:rPr>
                <w:rFonts w:hint="eastAsia" w:ascii="宋体" w:hAnsi="宋体" w:eastAsia="宋体" w:cs="宋体"/>
                <w:spacing w:val="1"/>
                <w:sz w:val="24"/>
                <w:szCs w:val="24"/>
                <w:lang w:val="en-US" w:eastAsia="zh-CN" w:bidi="ar-SA"/>
              </w:rPr>
              <w:t>评审标准：</w:t>
            </w:r>
          </w:p>
          <w:p w14:paraId="0CE8FE96">
            <w:pPr>
              <w:pStyle w:val="35"/>
              <w:spacing w:line="360" w:lineRule="auto"/>
              <w:ind w:left="107" w:right="95"/>
              <w:jc w:val="left"/>
              <w:rPr>
                <w:rFonts w:hint="eastAsia" w:ascii="宋体" w:hAnsi="宋体" w:eastAsia="宋体" w:cs="宋体"/>
                <w:spacing w:val="1"/>
                <w:sz w:val="24"/>
                <w:szCs w:val="24"/>
                <w:lang w:val="en-US" w:eastAsia="zh-CN" w:bidi="ar-SA"/>
              </w:rPr>
            </w:pPr>
            <w:r>
              <w:rPr>
                <w:rFonts w:hint="eastAsia" w:ascii="宋体" w:hAnsi="宋体" w:eastAsia="宋体" w:cs="宋体"/>
                <w:spacing w:val="1"/>
                <w:sz w:val="24"/>
                <w:szCs w:val="24"/>
                <w:lang w:val="en-US" w:eastAsia="zh-CN" w:bidi="ar-SA"/>
              </w:rPr>
              <w:t xml:space="preserve">1、完善性：方案必须全面，对评审内容中的各项要求有详细阐述； </w:t>
            </w:r>
          </w:p>
          <w:p w14:paraId="19D6D0F6">
            <w:pPr>
              <w:pStyle w:val="35"/>
              <w:spacing w:line="360" w:lineRule="auto"/>
              <w:ind w:left="107" w:right="95"/>
              <w:jc w:val="left"/>
              <w:rPr>
                <w:rFonts w:hint="eastAsia" w:ascii="宋体" w:hAnsi="宋体" w:eastAsia="宋体" w:cs="宋体"/>
                <w:spacing w:val="1"/>
                <w:sz w:val="24"/>
                <w:szCs w:val="24"/>
                <w:lang w:val="en-US" w:eastAsia="zh-CN" w:bidi="ar-SA"/>
              </w:rPr>
            </w:pPr>
            <w:r>
              <w:rPr>
                <w:rFonts w:hint="eastAsia" w:ascii="宋体" w:hAnsi="宋体" w:eastAsia="宋体" w:cs="宋体"/>
                <w:spacing w:val="1"/>
                <w:sz w:val="24"/>
                <w:szCs w:val="24"/>
                <w:lang w:val="en-US" w:eastAsia="zh-CN" w:bidi="ar-SA"/>
              </w:rPr>
              <w:t>2、可实施性：切合本项目实际情况，提出步骤清晰、合理的方案；</w:t>
            </w:r>
          </w:p>
          <w:p w14:paraId="2D740620">
            <w:pPr>
              <w:pStyle w:val="35"/>
              <w:spacing w:line="360" w:lineRule="auto"/>
              <w:ind w:left="107" w:right="95"/>
              <w:jc w:val="left"/>
              <w:rPr>
                <w:rFonts w:hint="eastAsia" w:ascii="宋体" w:hAnsi="宋体" w:eastAsia="宋体" w:cs="宋体"/>
                <w:spacing w:val="1"/>
                <w:sz w:val="24"/>
                <w:szCs w:val="24"/>
                <w:lang w:val="en-US" w:eastAsia="zh-CN" w:bidi="ar-SA"/>
              </w:rPr>
            </w:pPr>
            <w:r>
              <w:rPr>
                <w:rFonts w:hint="eastAsia" w:ascii="宋体" w:hAnsi="宋体" w:eastAsia="宋体" w:cs="宋体"/>
                <w:spacing w:val="1"/>
                <w:sz w:val="24"/>
                <w:szCs w:val="24"/>
                <w:lang w:val="en-US" w:eastAsia="zh-CN" w:bidi="ar-SA"/>
              </w:rPr>
              <w:t>3、针对性：方案能够紧扣项目实际情况，内容科学合理。</w:t>
            </w:r>
          </w:p>
          <w:p w14:paraId="541DED06">
            <w:pPr>
              <w:pStyle w:val="35"/>
              <w:spacing w:line="360" w:lineRule="auto"/>
              <w:ind w:left="107" w:right="95"/>
              <w:jc w:val="left"/>
              <w:rPr>
                <w:rFonts w:hint="default" w:ascii="宋体" w:hAnsi="宋体" w:eastAsia="宋体" w:cs="宋体"/>
                <w:spacing w:val="1"/>
                <w:sz w:val="24"/>
                <w:szCs w:val="24"/>
                <w:lang w:val="en-US" w:eastAsia="zh-CN" w:bidi="ar-SA"/>
              </w:rPr>
            </w:pPr>
            <w:r>
              <w:rPr>
                <w:rFonts w:hint="eastAsia" w:ascii="宋体" w:hAnsi="宋体" w:eastAsia="宋体" w:cs="宋体"/>
                <w:spacing w:val="1"/>
                <w:sz w:val="24"/>
                <w:szCs w:val="24"/>
                <w:lang w:val="en-US" w:eastAsia="zh-CN" w:bidi="ar-SA"/>
              </w:rPr>
              <w:t>上述3项评审内容全部满足评审标准得14分，每有一个单项评审内容缺项，单项分值扣完，评审内容中每存在一处缺陷，扣1分，扣完为止。</w:t>
            </w:r>
          </w:p>
          <w:p w14:paraId="3E5FDF0D">
            <w:pPr>
              <w:pStyle w:val="35"/>
              <w:spacing w:line="360" w:lineRule="auto"/>
              <w:ind w:left="107" w:right="95"/>
              <w:jc w:val="left"/>
              <w:rPr>
                <w:rFonts w:hint="eastAsia" w:eastAsia="宋体"/>
                <w:sz w:val="24"/>
                <w:lang w:eastAsia="zh-CN"/>
              </w:rPr>
            </w:pPr>
            <w:r>
              <w:rPr>
                <w:rFonts w:hint="eastAsia" w:ascii="宋体" w:hAnsi="宋体" w:eastAsia="宋体" w:cs="宋体"/>
                <w:spacing w:val="1"/>
                <w:sz w:val="24"/>
                <w:szCs w:val="24"/>
                <w:lang w:val="en-US" w:eastAsia="zh-CN" w:bidi="ar-SA"/>
              </w:rPr>
              <w:t>说明：缺陷是指内容缺项、不完整或缺少关键点、虽有内容但不完善、不全面、内容表述前后不一；非专门针对本项目或不适用本项目特性；套用其他项目内容；对同一问题前后表述矛盾；存在逻辑漏洞、科学原理或常识错误；不利于本项目目标的实现、现有技术条件下不可能出现的情形等任意一种情形。</w:t>
            </w:r>
          </w:p>
        </w:tc>
      </w:tr>
      <w:tr w14:paraId="45A31E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7" w:hRule="atLeast"/>
          <w:jc w:val="center"/>
        </w:trPr>
        <w:tc>
          <w:tcPr>
            <w:tcW w:w="619" w:type="pct"/>
            <w:noWrap w:val="0"/>
            <w:vAlign w:val="center"/>
          </w:tcPr>
          <w:p w14:paraId="32921623">
            <w:pPr>
              <w:bidi w:val="0"/>
              <w:jc w:val="center"/>
              <w:rPr>
                <w:rFonts w:hint="eastAsia"/>
                <w:lang w:val="en-US" w:eastAsia="zh-CN"/>
              </w:rPr>
            </w:pPr>
            <w:r>
              <w:rPr>
                <w:rFonts w:hint="eastAsia"/>
                <w:lang w:val="en-US" w:eastAsia="zh-CN"/>
              </w:rPr>
              <w:t>服务质量保障措施方案</w:t>
            </w:r>
          </w:p>
        </w:tc>
        <w:tc>
          <w:tcPr>
            <w:tcW w:w="514" w:type="pct"/>
            <w:noWrap w:val="0"/>
            <w:vAlign w:val="center"/>
          </w:tcPr>
          <w:p w14:paraId="39605DBD">
            <w:pPr>
              <w:bidi w:val="0"/>
              <w:jc w:val="center"/>
              <w:rPr>
                <w:rFonts w:hint="eastAsia"/>
                <w:lang w:val="en-US" w:eastAsia="zh-CN"/>
              </w:rPr>
            </w:pPr>
            <w:r>
              <w:rPr>
                <w:rFonts w:hint="eastAsia"/>
                <w:lang w:val="en-US" w:eastAsia="zh-CN"/>
              </w:rPr>
              <w:t>12分</w:t>
            </w:r>
          </w:p>
        </w:tc>
        <w:tc>
          <w:tcPr>
            <w:tcW w:w="3866" w:type="pct"/>
            <w:noWrap w:val="0"/>
            <w:vAlign w:val="top"/>
          </w:tcPr>
          <w:p w14:paraId="0A24DE81">
            <w:pPr>
              <w:pStyle w:val="35"/>
              <w:spacing w:line="360" w:lineRule="auto"/>
              <w:ind w:left="107" w:right="95"/>
              <w:jc w:val="left"/>
              <w:rPr>
                <w:rFonts w:hint="eastAsia" w:ascii="宋体" w:hAnsi="宋体" w:eastAsia="宋体" w:cs="宋体"/>
                <w:spacing w:val="1"/>
                <w:sz w:val="24"/>
                <w:szCs w:val="24"/>
                <w:lang w:val="en-US" w:eastAsia="zh-CN" w:bidi="ar-SA"/>
              </w:rPr>
            </w:pPr>
            <w:r>
              <w:rPr>
                <w:rFonts w:hint="eastAsia" w:ascii="宋体" w:hAnsi="宋体" w:eastAsia="宋体" w:cs="宋体"/>
                <w:spacing w:val="1"/>
                <w:sz w:val="24"/>
                <w:szCs w:val="24"/>
                <w:lang w:val="en-US" w:eastAsia="zh-CN" w:bidi="ar-SA"/>
              </w:rPr>
              <w:t>供应商</w:t>
            </w:r>
            <w:r>
              <w:rPr>
                <w:rFonts w:hint="eastAsia" w:ascii="宋体" w:hAnsi="宋体" w:eastAsia="宋体" w:cs="宋体"/>
                <w:spacing w:val="1"/>
                <w:sz w:val="24"/>
                <w:szCs w:val="24"/>
                <w:lang w:val="en-US" w:eastAsia="en-US" w:bidi="ar-SA"/>
              </w:rPr>
              <w:t>必须结合本项目的实际情况，</w:t>
            </w:r>
            <w:r>
              <w:rPr>
                <w:rFonts w:hint="eastAsia" w:ascii="宋体" w:hAnsi="宋体" w:eastAsia="宋体" w:cs="宋体"/>
                <w:spacing w:val="1"/>
                <w:sz w:val="24"/>
                <w:szCs w:val="24"/>
                <w:lang w:val="en-US" w:eastAsia="zh-CN" w:bidi="ar-SA"/>
              </w:rPr>
              <w:t>制定项目服务质量保障措施方案，方案内容包括：</w:t>
            </w:r>
          </w:p>
          <w:p w14:paraId="33762F76">
            <w:pPr>
              <w:pStyle w:val="35"/>
              <w:spacing w:line="360" w:lineRule="auto"/>
              <w:ind w:left="107" w:right="95"/>
              <w:jc w:val="left"/>
              <w:rPr>
                <w:rFonts w:hint="eastAsia" w:ascii="宋体" w:hAnsi="宋体" w:eastAsia="宋体" w:cs="宋体"/>
                <w:spacing w:val="1"/>
                <w:sz w:val="24"/>
                <w:szCs w:val="24"/>
                <w:lang w:val="en-US" w:eastAsia="zh-CN" w:bidi="ar-SA"/>
              </w:rPr>
            </w:pPr>
            <w:r>
              <w:rPr>
                <w:rFonts w:hint="eastAsia" w:ascii="宋体" w:hAnsi="宋体" w:eastAsia="宋体" w:cs="宋体"/>
                <w:spacing w:val="1"/>
                <w:sz w:val="24"/>
                <w:szCs w:val="24"/>
                <w:lang w:val="en-US" w:eastAsia="zh-CN" w:bidi="ar-SA"/>
              </w:rPr>
              <w:t>①服务质量保障措施的方针、目标和承诺；（4分）</w:t>
            </w:r>
          </w:p>
          <w:p w14:paraId="2E5BC332">
            <w:pPr>
              <w:pStyle w:val="35"/>
              <w:spacing w:line="360" w:lineRule="auto"/>
              <w:ind w:left="107" w:right="95"/>
              <w:jc w:val="left"/>
              <w:rPr>
                <w:rFonts w:hint="default" w:ascii="宋体" w:hAnsi="宋体" w:eastAsia="宋体" w:cs="宋体"/>
                <w:spacing w:val="1"/>
                <w:sz w:val="24"/>
                <w:szCs w:val="24"/>
                <w:lang w:val="en-US" w:eastAsia="zh-CN" w:bidi="ar-SA"/>
              </w:rPr>
            </w:pPr>
            <w:r>
              <w:rPr>
                <w:rFonts w:hint="eastAsia" w:ascii="宋体" w:hAnsi="宋体" w:eastAsia="宋体" w:cs="宋体"/>
                <w:spacing w:val="1"/>
                <w:sz w:val="24"/>
                <w:szCs w:val="24"/>
                <w:lang w:val="en-US" w:eastAsia="zh-CN" w:bidi="ar-SA"/>
              </w:rPr>
              <w:t>②服务质量保障措施方案；（4分）</w:t>
            </w:r>
          </w:p>
          <w:p w14:paraId="09671AB8">
            <w:pPr>
              <w:pStyle w:val="35"/>
              <w:spacing w:line="360" w:lineRule="auto"/>
              <w:ind w:left="107" w:right="95"/>
              <w:jc w:val="left"/>
              <w:rPr>
                <w:rFonts w:hint="eastAsia" w:ascii="宋体" w:hAnsi="宋体" w:eastAsia="宋体" w:cs="宋体"/>
                <w:spacing w:val="1"/>
                <w:sz w:val="24"/>
                <w:szCs w:val="24"/>
                <w:lang w:val="en-US" w:eastAsia="zh-CN" w:bidi="ar-SA"/>
              </w:rPr>
            </w:pPr>
            <w:r>
              <w:rPr>
                <w:rFonts w:hint="eastAsia" w:ascii="宋体" w:hAnsi="宋体" w:eastAsia="宋体" w:cs="宋体"/>
                <w:spacing w:val="1"/>
                <w:sz w:val="24"/>
                <w:szCs w:val="24"/>
                <w:lang w:val="en-US" w:eastAsia="zh-CN" w:bidi="ar-SA"/>
              </w:rPr>
              <w:t>③服务质量保障措施机构；（4分）</w:t>
            </w:r>
          </w:p>
          <w:p w14:paraId="56C63868">
            <w:pPr>
              <w:pStyle w:val="35"/>
              <w:spacing w:line="360" w:lineRule="auto"/>
              <w:ind w:left="107" w:right="95"/>
              <w:jc w:val="left"/>
              <w:rPr>
                <w:rFonts w:hint="eastAsia" w:ascii="宋体" w:hAnsi="宋体" w:eastAsia="宋体" w:cs="宋体"/>
                <w:spacing w:val="1"/>
                <w:sz w:val="24"/>
                <w:szCs w:val="24"/>
                <w:lang w:val="en-US" w:eastAsia="zh-CN" w:bidi="ar-SA"/>
              </w:rPr>
            </w:pPr>
            <w:r>
              <w:rPr>
                <w:rFonts w:hint="eastAsia" w:ascii="宋体" w:hAnsi="宋体" w:eastAsia="宋体" w:cs="宋体"/>
                <w:spacing w:val="1"/>
                <w:sz w:val="24"/>
                <w:szCs w:val="24"/>
                <w:lang w:val="en-US" w:eastAsia="zh-CN" w:bidi="ar-SA"/>
              </w:rPr>
              <w:t>评审标准：</w:t>
            </w:r>
          </w:p>
          <w:p w14:paraId="4217E2FF">
            <w:pPr>
              <w:pStyle w:val="35"/>
              <w:spacing w:line="360" w:lineRule="auto"/>
              <w:ind w:left="107" w:right="95"/>
              <w:jc w:val="left"/>
              <w:rPr>
                <w:rFonts w:hint="eastAsia" w:ascii="宋体" w:hAnsi="宋体" w:eastAsia="宋体" w:cs="宋体"/>
                <w:spacing w:val="1"/>
                <w:sz w:val="24"/>
                <w:szCs w:val="24"/>
                <w:lang w:val="en-US" w:eastAsia="zh-CN" w:bidi="ar-SA"/>
              </w:rPr>
            </w:pPr>
            <w:r>
              <w:rPr>
                <w:rFonts w:hint="eastAsia" w:ascii="宋体" w:hAnsi="宋体" w:eastAsia="宋体" w:cs="宋体"/>
                <w:spacing w:val="1"/>
                <w:sz w:val="24"/>
                <w:szCs w:val="24"/>
                <w:lang w:val="en-US" w:eastAsia="zh-CN" w:bidi="ar-SA"/>
              </w:rPr>
              <w:t xml:space="preserve">1、完善性：方案必须全面，对评审内容中的各项要求有详细阐述； </w:t>
            </w:r>
          </w:p>
          <w:p w14:paraId="6884EED5">
            <w:pPr>
              <w:pStyle w:val="35"/>
              <w:spacing w:line="360" w:lineRule="auto"/>
              <w:ind w:left="107" w:right="95"/>
              <w:jc w:val="left"/>
              <w:rPr>
                <w:rFonts w:hint="eastAsia" w:ascii="宋体" w:hAnsi="宋体" w:eastAsia="宋体" w:cs="宋体"/>
                <w:spacing w:val="1"/>
                <w:sz w:val="24"/>
                <w:szCs w:val="24"/>
                <w:lang w:val="en-US" w:eastAsia="zh-CN" w:bidi="ar-SA"/>
              </w:rPr>
            </w:pPr>
            <w:r>
              <w:rPr>
                <w:rFonts w:hint="eastAsia" w:ascii="宋体" w:hAnsi="宋体" w:eastAsia="宋体" w:cs="宋体"/>
                <w:spacing w:val="1"/>
                <w:sz w:val="24"/>
                <w:szCs w:val="24"/>
                <w:lang w:val="en-US" w:eastAsia="zh-CN" w:bidi="ar-SA"/>
              </w:rPr>
              <w:t>2、可实施性：切合本项目实际情况，提出步骤清晰、合理的方案；</w:t>
            </w:r>
          </w:p>
          <w:p w14:paraId="36C43BB8">
            <w:pPr>
              <w:pStyle w:val="35"/>
              <w:spacing w:line="360" w:lineRule="auto"/>
              <w:ind w:left="107" w:right="95"/>
              <w:jc w:val="left"/>
              <w:rPr>
                <w:rFonts w:hint="eastAsia" w:ascii="宋体" w:hAnsi="宋体" w:eastAsia="宋体" w:cs="宋体"/>
                <w:spacing w:val="1"/>
                <w:sz w:val="24"/>
                <w:szCs w:val="24"/>
                <w:lang w:val="en-US" w:eastAsia="zh-CN" w:bidi="ar-SA"/>
              </w:rPr>
            </w:pPr>
            <w:r>
              <w:rPr>
                <w:rFonts w:hint="eastAsia" w:ascii="宋体" w:hAnsi="宋体" w:eastAsia="宋体" w:cs="宋体"/>
                <w:spacing w:val="1"/>
                <w:sz w:val="24"/>
                <w:szCs w:val="24"/>
                <w:lang w:val="en-US" w:eastAsia="zh-CN" w:bidi="ar-SA"/>
              </w:rPr>
              <w:t>3、针对性：方案能够紧扣项目实际情况，内容科学合理。</w:t>
            </w:r>
          </w:p>
          <w:p w14:paraId="0FF3EFB0">
            <w:pPr>
              <w:pStyle w:val="35"/>
              <w:spacing w:line="360" w:lineRule="auto"/>
              <w:ind w:left="107" w:right="95"/>
              <w:jc w:val="left"/>
              <w:rPr>
                <w:rFonts w:hint="default" w:ascii="宋体" w:hAnsi="宋体" w:eastAsia="宋体" w:cs="宋体"/>
                <w:spacing w:val="1"/>
                <w:sz w:val="24"/>
                <w:szCs w:val="24"/>
                <w:lang w:val="en-US" w:eastAsia="zh-CN" w:bidi="ar-SA"/>
              </w:rPr>
            </w:pPr>
            <w:r>
              <w:rPr>
                <w:rFonts w:hint="eastAsia" w:ascii="宋体" w:hAnsi="宋体" w:eastAsia="宋体" w:cs="宋体"/>
                <w:spacing w:val="1"/>
                <w:sz w:val="24"/>
                <w:szCs w:val="24"/>
                <w:lang w:val="en-US" w:eastAsia="zh-CN" w:bidi="ar-SA"/>
              </w:rPr>
              <w:t>上述3项评审内容全部满足评审标准得12分，每有一个单项评审内容缺项，单项分值扣完，评审内容中每存在一处缺陷，扣1分，扣完为止。</w:t>
            </w:r>
          </w:p>
          <w:p w14:paraId="36B1DB75">
            <w:pPr>
              <w:pStyle w:val="35"/>
              <w:spacing w:line="360" w:lineRule="auto"/>
              <w:ind w:left="107" w:right="95"/>
              <w:jc w:val="left"/>
              <w:rPr>
                <w:rFonts w:hint="default"/>
                <w:sz w:val="24"/>
                <w:lang w:val="en-US"/>
              </w:rPr>
            </w:pPr>
            <w:r>
              <w:rPr>
                <w:rFonts w:hint="eastAsia" w:ascii="宋体" w:hAnsi="宋体" w:eastAsia="宋体" w:cs="宋体"/>
                <w:spacing w:val="1"/>
                <w:sz w:val="24"/>
                <w:szCs w:val="24"/>
                <w:lang w:val="en-US" w:eastAsia="zh-CN" w:bidi="ar-SA"/>
              </w:rPr>
              <w:t>说明：缺陷是指内容缺项、不完整或缺少关键点、虽有内容但不完善、不全面、内容表述前后不一；非专门针对本项目或不适用本项目特性；套用其他项目内容；对同一问题前后表述矛盾；存在逻辑漏洞、科学原理或常识错误；不利于本项目目标的实现、现有技术条件下不可能出现的情形等任意一种情形。</w:t>
            </w:r>
          </w:p>
        </w:tc>
      </w:tr>
      <w:tr w14:paraId="61F91C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jc w:val="center"/>
        </w:trPr>
        <w:tc>
          <w:tcPr>
            <w:tcW w:w="619" w:type="pct"/>
            <w:noWrap w:val="0"/>
            <w:vAlign w:val="center"/>
          </w:tcPr>
          <w:p w14:paraId="0EFEBB75">
            <w:pPr>
              <w:bidi w:val="0"/>
              <w:jc w:val="center"/>
              <w:rPr>
                <w:rFonts w:hint="eastAsia"/>
                <w:lang w:val="en-US" w:eastAsia="zh-CN"/>
              </w:rPr>
            </w:pPr>
            <w:r>
              <w:rPr>
                <w:rFonts w:hint="eastAsia"/>
                <w:lang w:val="en-US" w:eastAsia="zh-CN"/>
              </w:rPr>
              <w:t>项目资料数据移交方案</w:t>
            </w:r>
          </w:p>
        </w:tc>
        <w:tc>
          <w:tcPr>
            <w:tcW w:w="514" w:type="pct"/>
            <w:noWrap w:val="0"/>
            <w:vAlign w:val="center"/>
          </w:tcPr>
          <w:p w14:paraId="71318C45">
            <w:pPr>
              <w:bidi w:val="0"/>
              <w:jc w:val="center"/>
              <w:rPr>
                <w:rFonts w:hint="eastAsia"/>
                <w:lang w:val="en-US" w:eastAsia="zh-CN"/>
              </w:rPr>
            </w:pPr>
            <w:r>
              <w:rPr>
                <w:rFonts w:hint="eastAsia"/>
                <w:lang w:val="en-US" w:eastAsia="zh-CN"/>
              </w:rPr>
              <w:t>12分</w:t>
            </w:r>
          </w:p>
        </w:tc>
        <w:tc>
          <w:tcPr>
            <w:tcW w:w="3866" w:type="pct"/>
            <w:noWrap w:val="0"/>
            <w:vAlign w:val="top"/>
          </w:tcPr>
          <w:p w14:paraId="3AD39DE9">
            <w:pPr>
              <w:pStyle w:val="35"/>
              <w:spacing w:line="360" w:lineRule="auto"/>
              <w:ind w:left="107" w:right="95"/>
              <w:jc w:val="left"/>
              <w:rPr>
                <w:rFonts w:hint="eastAsia" w:ascii="宋体" w:hAnsi="宋体" w:eastAsia="宋体" w:cs="宋体"/>
                <w:spacing w:val="1"/>
                <w:sz w:val="24"/>
                <w:szCs w:val="24"/>
                <w:lang w:val="en-US" w:eastAsia="zh-CN" w:bidi="ar-SA"/>
              </w:rPr>
            </w:pPr>
            <w:r>
              <w:rPr>
                <w:rFonts w:hint="eastAsia" w:ascii="宋体" w:hAnsi="宋体" w:eastAsia="宋体" w:cs="宋体"/>
                <w:spacing w:val="1"/>
                <w:sz w:val="24"/>
                <w:szCs w:val="24"/>
                <w:lang w:val="en-US" w:eastAsia="zh-CN" w:bidi="ar-SA"/>
              </w:rPr>
              <w:t>供应商</w:t>
            </w:r>
            <w:r>
              <w:rPr>
                <w:rFonts w:hint="eastAsia" w:ascii="宋体" w:hAnsi="宋体" w:eastAsia="宋体" w:cs="宋体"/>
                <w:spacing w:val="1"/>
                <w:sz w:val="24"/>
                <w:szCs w:val="24"/>
                <w:lang w:val="en-US" w:eastAsia="en-US" w:bidi="ar-SA"/>
              </w:rPr>
              <w:t>必须结合本项目的实际情况，</w:t>
            </w:r>
            <w:r>
              <w:rPr>
                <w:rFonts w:hint="eastAsia" w:ascii="宋体" w:hAnsi="宋体" w:eastAsia="宋体" w:cs="宋体"/>
                <w:spacing w:val="1"/>
                <w:sz w:val="24"/>
                <w:szCs w:val="24"/>
                <w:lang w:val="en-US" w:eastAsia="zh-CN" w:bidi="ar-SA"/>
              </w:rPr>
              <w:t>制定项目资料数据移交方案，方案内容包括：</w:t>
            </w:r>
          </w:p>
          <w:p w14:paraId="031839F7">
            <w:pPr>
              <w:pStyle w:val="35"/>
              <w:spacing w:line="360" w:lineRule="auto"/>
              <w:ind w:left="107" w:right="95"/>
              <w:jc w:val="left"/>
              <w:rPr>
                <w:rFonts w:hint="eastAsia" w:ascii="宋体" w:hAnsi="宋体" w:eastAsia="宋体" w:cs="宋体"/>
                <w:spacing w:val="1"/>
                <w:sz w:val="24"/>
                <w:szCs w:val="24"/>
                <w:lang w:val="en-US" w:eastAsia="zh-CN" w:bidi="ar-SA"/>
              </w:rPr>
            </w:pPr>
            <w:r>
              <w:rPr>
                <w:rFonts w:hint="eastAsia" w:ascii="宋体" w:hAnsi="宋体" w:eastAsia="宋体" w:cs="宋体"/>
                <w:spacing w:val="1"/>
                <w:sz w:val="24"/>
                <w:szCs w:val="24"/>
                <w:lang w:val="en-US" w:eastAsia="zh-CN" w:bidi="ar-SA"/>
              </w:rPr>
              <w:t>①项目资料数据的保存及备份；（4分）</w:t>
            </w:r>
          </w:p>
          <w:p w14:paraId="473B0D11">
            <w:pPr>
              <w:pStyle w:val="35"/>
              <w:spacing w:line="360" w:lineRule="auto"/>
              <w:ind w:left="107" w:right="95"/>
              <w:jc w:val="left"/>
              <w:rPr>
                <w:rFonts w:hint="default" w:ascii="宋体" w:hAnsi="宋体" w:eastAsia="宋体" w:cs="宋体"/>
                <w:spacing w:val="1"/>
                <w:sz w:val="24"/>
                <w:szCs w:val="24"/>
                <w:lang w:val="en-US" w:eastAsia="zh-CN" w:bidi="ar-SA"/>
              </w:rPr>
            </w:pPr>
            <w:r>
              <w:rPr>
                <w:rFonts w:hint="eastAsia" w:ascii="宋体" w:hAnsi="宋体" w:eastAsia="宋体" w:cs="宋体"/>
                <w:spacing w:val="1"/>
                <w:sz w:val="24"/>
                <w:szCs w:val="24"/>
                <w:lang w:val="en-US" w:eastAsia="zh-CN" w:bidi="ar-SA"/>
              </w:rPr>
              <w:t>②项目资料数据的交接及查阅；（4分）</w:t>
            </w:r>
          </w:p>
          <w:p w14:paraId="3586012C">
            <w:pPr>
              <w:pStyle w:val="35"/>
              <w:spacing w:line="360" w:lineRule="auto"/>
              <w:ind w:left="107" w:right="95"/>
              <w:jc w:val="left"/>
              <w:rPr>
                <w:rFonts w:hint="eastAsia" w:ascii="宋体" w:hAnsi="宋体" w:eastAsia="宋体" w:cs="宋体"/>
                <w:spacing w:val="1"/>
                <w:sz w:val="24"/>
                <w:szCs w:val="24"/>
                <w:lang w:val="en-US" w:eastAsia="zh-CN" w:bidi="ar-SA"/>
              </w:rPr>
            </w:pPr>
            <w:r>
              <w:rPr>
                <w:rFonts w:hint="eastAsia" w:ascii="宋体" w:hAnsi="宋体" w:eastAsia="宋体" w:cs="宋体"/>
                <w:spacing w:val="1"/>
                <w:sz w:val="24"/>
                <w:szCs w:val="24"/>
                <w:lang w:val="en-US" w:eastAsia="zh-CN" w:bidi="ar-SA"/>
              </w:rPr>
              <w:t>③项目资料数据的保密；（4分）</w:t>
            </w:r>
          </w:p>
          <w:p w14:paraId="26088A68">
            <w:pPr>
              <w:pStyle w:val="35"/>
              <w:spacing w:line="360" w:lineRule="auto"/>
              <w:ind w:left="107" w:right="95"/>
              <w:jc w:val="left"/>
              <w:rPr>
                <w:rFonts w:hint="eastAsia" w:ascii="宋体" w:hAnsi="宋体" w:eastAsia="宋体" w:cs="宋体"/>
                <w:spacing w:val="1"/>
                <w:sz w:val="24"/>
                <w:szCs w:val="24"/>
                <w:lang w:val="en-US" w:eastAsia="zh-CN" w:bidi="ar-SA"/>
              </w:rPr>
            </w:pPr>
            <w:r>
              <w:rPr>
                <w:rFonts w:hint="eastAsia" w:ascii="宋体" w:hAnsi="宋体" w:eastAsia="宋体" w:cs="宋体"/>
                <w:spacing w:val="1"/>
                <w:sz w:val="24"/>
                <w:szCs w:val="24"/>
                <w:lang w:val="en-US" w:eastAsia="zh-CN" w:bidi="ar-SA"/>
              </w:rPr>
              <w:t>评审标准：</w:t>
            </w:r>
          </w:p>
          <w:p w14:paraId="12BF60E9">
            <w:pPr>
              <w:pStyle w:val="35"/>
              <w:spacing w:line="360" w:lineRule="auto"/>
              <w:ind w:left="107" w:right="95"/>
              <w:jc w:val="left"/>
              <w:rPr>
                <w:rFonts w:hint="eastAsia" w:ascii="宋体" w:hAnsi="宋体" w:eastAsia="宋体" w:cs="宋体"/>
                <w:spacing w:val="1"/>
                <w:sz w:val="24"/>
                <w:szCs w:val="24"/>
                <w:lang w:val="en-US" w:eastAsia="zh-CN" w:bidi="ar-SA"/>
              </w:rPr>
            </w:pPr>
            <w:r>
              <w:rPr>
                <w:rFonts w:hint="eastAsia" w:ascii="宋体" w:hAnsi="宋体" w:eastAsia="宋体" w:cs="宋体"/>
                <w:spacing w:val="1"/>
                <w:sz w:val="24"/>
                <w:szCs w:val="24"/>
                <w:lang w:val="en-US" w:eastAsia="zh-CN" w:bidi="ar-SA"/>
              </w:rPr>
              <w:t xml:space="preserve">1、完善性：方案必须全面，对评审内容中的各项要求有详细阐述； </w:t>
            </w:r>
          </w:p>
          <w:p w14:paraId="40ADC9C5">
            <w:pPr>
              <w:pStyle w:val="35"/>
              <w:spacing w:line="360" w:lineRule="auto"/>
              <w:ind w:left="107" w:right="95"/>
              <w:jc w:val="left"/>
              <w:rPr>
                <w:rFonts w:hint="eastAsia" w:ascii="宋体" w:hAnsi="宋体" w:eastAsia="宋体" w:cs="宋体"/>
                <w:spacing w:val="1"/>
                <w:sz w:val="24"/>
                <w:szCs w:val="24"/>
                <w:lang w:val="en-US" w:eastAsia="zh-CN" w:bidi="ar-SA"/>
              </w:rPr>
            </w:pPr>
            <w:r>
              <w:rPr>
                <w:rFonts w:hint="eastAsia" w:ascii="宋体" w:hAnsi="宋体" w:eastAsia="宋体" w:cs="宋体"/>
                <w:spacing w:val="1"/>
                <w:sz w:val="24"/>
                <w:szCs w:val="24"/>
                <w:lang w:val="en-US" w:eastAsia="zh-CN" w:bidi="ar-SA"/>
              </w:rPr>
              <w:t>2、可实施性：切合本项目实际情况，提出步骤清晰、合理的方案；</w:t>
            </w:r>
          </w:p>
          <w:p w14:paraId="564E00CB">
            <w:pPr>
              <w:pStyle w:val="35"/>
              <w:spacing w:line="360" w:lineRule="auto"/>
              <w:ind w:left="107" w:right="95"/>
              <w:jc w:val="left"/>
              <w:rPr>
                <w:rFonts w:hint="eastAsia" w:ascii="宋体" w:hAnsi="宋体" w:eastAsia="宋体" w:cs="宋体"/>
                <w:spacing w:val="1"/>
                <w:sz w:val="24"/>
                <w:szCs w:val="24"/>
                <w:lang w:val="en-US" w:eastAsia="zh-CN" w:bidi="ar-SA"/>
              </w:rPr>
            </w:pPr>
            <w:r>
              <w:rPr>
                <w:rFonts w:hint="eastAsia" w:ascii="宋体" w:hAnsi="宋体" w:eastAsia="宋体" w:cs="宋体"/>
                <w:spacing w:val="1"/>
                <w:sz w:val="24"/>
                <w:szCs w:val="24"/>
                <w:lang w:val="en-US" w:eastAsia="zh-CN" w:bidi="ar-SA"/>
              </w:rPr>
              <w:t>3、针对性：方案能够紧扣项目实际情况，内容科学合理。</w:t>
            </w:r>
          </w:p>
          <w:p w14:paraId="5CE64749">
            <w:pPr>
              <w:pStyle w:val="35"/>
              <w:spacing w:line="360" w:lineRule="auto"/>
              <w:ind w:left="107" w:right="95"/>
              <w:jc w:val="left"/>
              <w:rPr>
                <w:rFonts w:hint="default" w:ascii="宋体" w:hAnsi="宋体" w:eastAsia="宋体" w:cs="宋体"/>
                <w:spacing w:val="1"/>
                <w:sz w:val="24"/>
                <w:szCs w:val="24"/>
                <w:lang w:val="en-US" w:eastAsia="zh-CN" w:bidi="ar-SA"/>
              </w:rPr>
            </w:pPr>
            <w:r>
              <w:rPr>
                <w:rFonts w:hint="eastAsia" w:ascii="宋体" w:hAnsi="宋体" w:eastAsia="宋体" w:cs="宋体"/>
                <w:spacing w:val="1"/>
                <w:sz w:val="24"/>
                <w:szCs w:val="24"/>
                <w:lang w:val="en-US" w:eastAsia="zh-CN" w:bidi="ar-SA"/>
              </w:rPr>
              <w:t>上述3项评审内容全部满足评审标准得12分，每有一个单项评审内容缺项，单项分值扣完，评审内容中每存在一处缺陷，扣1分，扣完为止。</w:t>
            </w:r>
          </w:p>
          <w:p w14:paraId="59AC678D">
            <w:pPr>
              <w:pStyle w:val="35"/>
              <w:spacing w:line="360" w:lineRule="auto"/>
              <w:ind w:left="107" w:right="95"/>
              <w:jc w:val="left"/>
              <w:rPr>
                <w:sz w:val="24"/>
              </w:rPr>
            </w:pPr>
            <w:r>
              <w:rPr>
                <w:rFonts w:hint="eastAsia" w:ascii="宋体" w:hAnsi="宋体" w:eastAsia="宋体" w:cs="宋体"/>
                <w:spacing w:val="1"/>
                <w:sz w:val="24"/>
                <w:szCs w:val="24"/>
                <w:lang w:val="en-US" w:eastAsia="zh-CN" w:bidi="ar-SA"/>
              </w:rPr>
              <w:t>说明：缺陷是指内容缺项、不完整或缺少关键点、虽有内容但不完善、不全面、内容表述前后不一；非专门针对本项目或不适用本项目特性；套用其他项目内容；对同一问题前后表述矛盾；存在逻辑漏洞、科学原理或常识错误；不利于本项目目标的实现、现有技术条件下不可能出现的情形等任意一种情形。</w:t>
            </w:r>
          </w:p>
        </w:tc>
      </w:tr>
      <w:tr w14:paraId="1F844B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2" w:hRule="atLeast"/>
          <w:jc w:val="center"/>
        </w:trPr>
        <w:tc>
          <w:tcPr>
            <w:tcW w:w="619" w:type="pct"/>
            <w:noWrap w:val="0"/>
            <w:vAlign w:val="center"/>
          </w:tcPr>
          <w:p w14:paraId="5A6E5F3F">
            <w:pPr>
              <w:bidi w:val="0"/>
              <w:jc w:val="center"/>
              <w:rPr>
                <w:rFonts w:hint="eastAsia"/>
                <w:lang w:val="en-US" w:eastAsia="zh-CN"/>
              </w:rPr>
            </w:pPr>
            <w:r>
              <w:rPr>
                <w:rFonts w:hint="eastAsia"/>
                <w:lang w:val="en-US" w:eastAsia="zh-CN"/>
              </w:rPr>
              <w:t>应急预案</w:t>
            </w:r>
          </w:p>
        </w:tc>
        <w:tc>
          <w:tcPr>
            <w:tcW w:w="514" w:type="pct"/>
            <w:noWrap w:val="0"/>
            <w:vAlign w:val="center"/>
          </w:tcPr>
          <w:p w14:paraId="46E6FFC3">
            <w:pPr>
              <w:bidi w:val="0"/>
              <w:jc w:val="center"/>
              <w:rPr>
                <w:rFonts w:hint="eastAsia"/>
                <w:lang w:val="en-US" w:eastAsia="zh-CN"/>
              </w:rPr>
            </w:pPr>
            <w:r>
              <w:rPr>
                <w:rFonts w:hint="eastAsia"/>
                <w:lang w:val="en-US" w:eastAsia="zh-CN"/>
              </w:rPr>
              <w:t>14分</w:t>
            </w:r>
          </w:p>
        </w:tc>
        <w:tc>
          <w:tcPr>
            <w:tcW w:w="3866" w:type="pct"/>
            <w:noWrap w:val="0"/>
            <w:vAlign w:val="top"/>
          </w:tcPr>
          <w:p w14:paraId="6276123D">
            <w:pPr>
              <w:pStyle w:val="35"/>
              <w:spacing w:line="360" w:lineRule="auto"/>
              <w:ind w:left="107" w:right="95"/>
              <w:jc w:val="left"/>
              <w:rPr>
                <w:rFonts w:hint="eastAsia" w:ascii="宋体" w:hAnsi="宋体" w:eastAsia="宋体" w:cs="宋体"/>
                <w:spacing w:val="1"/>
                <w:sz w:val="24"/>
                <w:szCs w:val="24"/>
                <w:lang w:val="en-US" w:eastAsia="zh-CN" w:bidi="ar-SA"/>
              </w:rPr>
            </w:pPr>
            <w:r>
              <w:rPr>
                <w:rFonts w:hint="eastAsia" w:ascii="宋体" w:hAnsi="宋体" w:eastAsia="宋体" w:cs="宋体"/>
                <w:spacing w:val="1"/>
                <w:sz w:val="24"/>
                <w:szCs w:val="24"/>
                <w:lang w:val="en-US" w:eastAsia="zh-CN" w:bidi="ar-SA"/>
              </w:rPr>
              <w:t>供应商</w:t>
            </w:r>
            <w:r>
              <w:rPr>
                <w:rFonts w:hint="eastAsia" w:ascii="宋体" w:hAnsi="宋体" w:eastAsia="宋体" w:cs="宋体"/>
                <w:spacing w:val="1"/>
                <w:sz w:val="24"/>
                <w:szCs w:val="24"/>
                <w:lang w:val="en-US" w:eastAsia="en-US" w:bidi="ar-SA"/>
              </w:rPr>
              <w:t>必须结合本项目的实际情况，</w:t>
            </w:r>
            <w:r>
              <w:rPr>
                <w:rFonts w:hint="eastAsia" w:ascii="宋体" w:hAnsi="宋体" w:eastAsia="宋体" w:cs="宋体"/>
                <w:spacing w:val="1"/>
                <w:sz w:val="24"/>
                <w:szCs w:val="24"/>
                <w:lang w:val="en-US" w:eastAsia="zh-CN" w:bidi="ar-SA"/>
              </w:rPr>
              <w:t>制定项目应急预案，方案内容包括：</w:t>
            </w:r>
          </w:p>
          <w:p w14:paraId="53BEA337">
            <w:pPr>
              <w:pStyle w:val="35"/>
              <w:spacing w:line="360" w:lineRule="auto"/>
              <w:ind w:left="107" w:right="95"/>
              <w:jc w:val="left"/>
              <w:rPr>
                <w:rFonts w:hint="eastAsia" w:ascii="宋体" w:hAnsi="宋体" w:eastAsia="宋体" w:cs="宋体"/>
                <w:spacing w:val="1"/>
                <w:sz w:val="24"/>
                <w:szCs w:val="24"/>
                <w:lang w:val="en-US" w:eastAsia="zh-CN" w:bidi="ar-SA"/>
              </w:rPr>
            </w:pPr>
            <w:r>
              <w:rPr>
                <w:rFonts w:hint="eastAsia" w:ascii="宋体" w:hAnsi="宋体" w:eastAsia="宋体" w:cs="宋体"/>
                <w:spacing w:val="1"/>
                <w:sz w:val="24"/>
                <w:szCs w:val="24"/>
                <w:lang w:val="en-US" w:eastAsia="zh-CN" w:bidi="ar-SA"/>
              </w:rPr>
              <w:t>①应急预案总体实施方案；（5分）</w:t>
            </w:r>
          </w:p>
          <w:p w14:paraId="3DE78364">
            <w:pPr>
              <w:pStyle w:val="35"/>
              <w:spacing w:line="360" w:lineRule="auto"/>
              <w:ind w:left="107" w:right="95"/>
              <w:jc w:val="left"/>
              <w:rPr>
                <w:rFonts w:hint="eastAsia" w:ascii="宋体" w:hAnsi="宋体" w:eastAsia="宋体" w:cs="宋体"/>
                <w:spacing w:val="1"/>
                <w:sz w:val="24"/>
                <w:szCs w:val="24"/>
                <w:lang w:val="en-US" w:eastAsia="zh-CN" w:bidi="ar-SA"/>
              </w:rPr>
            </w:pPr>
            <w:r>
              <w:rPr>
                <w:rFonts w:hint="eastAsia" w:ascii="宋体" w:hAnsi="宋体" w:eastAsia="宋体" w:cs="宋体"/>
                <w:spacing w:val="1"/>
                <w:sz w:val="24"/>
                <w:szCs w:val="24"/>
                <w:lang w:val="en-US" w:eastAsia="zh-CN" w:bidi="ar-SA"/>
              </w:rPr>
              <w:t>②突发事项应急预案；（5分）</w:t>
            </w:r>
          </w:p>
          <w:p w14:paraId="264F9E23">
            <w:pPr>
              <w:pStyle w:val="35"/>
              <w:spacing w:line="360" w:lineRule="auto"/>
              <w:ind w:left="107" w:right="95"/>
              <w:jc w:val="left"/>
              <w:rPr>
                <w:rFonts w:hint="eastAsia" w:ascii="宋体" w:hAnsi="宋体" w:eastAsia="宋体" w:cs="宋体"/>
                <w:spacing w:val="1"/>
                <w:sz w:val="24"/>
                <w:szCs w:val="24"/>
                <w:lang w:val="en-US" w:eastAsia="zh-CN" w:bidi="ar-SA"/>
              </w:rPr>
            </w:pPr>
            <w:r>
              <w:rPr>
                <w:rFonts w:hint="eastAsia" w:ascii="宋体" w:hAnsi="宋体" w:eastAsia="宋体" w:cs="宋体"/>
                <w:spacing w:val="1"/>
                <w:sz w:val="24"/>
                <w:szCs w:val="24"/>
                <w:lang w:val="en-US" w:eastAsia="zh-CN" w:bidi="ar-SA"/>
              </w:rPr>
              <w:t>③其他事项应急预案；（4分）</w:t>
            </w:r>
          </w:p>
          <w:p w14:paraId="580365DC">
            <w:pPr>
              <w:pStyle w:val="35"/>
              <w:spacing w:line="360" w:lineRule="auto"/>
              <w:ind w:left="107" w:right="95"/>
              <w:jc w:val="left"/>
              <w:rPr>
                <w:rFonts w:hint="eastAsia" w:ascii="宋体" w:hAnsi="宋体" w:eastAsia="宋体" w:cs="宋体"/>
                <w:spacing w:val="1"/>
                <w:sz w:val="24"/>
                <w:szCs w:val="24"/>
                <w:lang w:val="en-US" w:eastAsia="zh-CN" w:bidi="ar-SA"/>
              </w:rPr>
            </w:pPr>
            <w:r>
              <w:rPr>
                <w:rFonts w:hint="eastAsia" w:ascii="宋体" w:hAnsi="宋体" w:eastAsia="宋体" w:cs="宋体"/>
                <w:spacing w:val="1"/>
                <w:sz w:val="24"/>
                <w:szCs w:val="24"/>
                <w:lang w:val="en-US" w:eastAsia="zh-CN" w:bidi="ar-SA"/>
              </w:rPr>
              <w:t>评审标准：</w:t>
            </w:r>
          </w:p>
          <w:p w14:paraId="63AB4ADD">
            <w:pPr>
              <w:pStyle w:val="35"/>
              <w:spacing w:line="360" w:lineRule="auto"/>
              <w:ind w:left="107" w:right="95"/>
              <w:jc w:val="left"/>
              <w:rPr>
                <w:rFonts w:hint="eastAsia" w:ascii="宋体" w:hAnsi="宋体" w:eastAsia="宋体" w:cs="宋体"/>
                <w:spacing w:val="1"/>
                <w:sz w:val="24"/>
                <w:szCs w:val="24"/>
                <w:lang w:val="en-US" w:eastAsia="zh-CN" w:bidi="ar-SA"/>
              </w:rPr>
            </w:pPr>
            <w:r>
              <w:rPr>
                <w:rFonts w:hint="eastAsia" w:ascii="宋体" w:hAnsi="宋体" w:eastAsia="宋体" w:cs="宋体"/>
                <w:spacing w:val="1"/>
                <w:sz w:val="24"/>
                <w:szCs w:val="24"/>
                <w:lang w:val="en-US" w:eastAsia="zh-CN" w:bidi="ar-SA"/>
              </w:rPr>
              <w:t xml:space="preserve">1、完善性：方案必须全面，对评审内容中的各项要求有详细阐述； </w:t>
            </w:r>
          </w:p>
          <w:p w14:paraId="590CECB1">
            <w:pPr>
              <w:pStyle w:val="35"/>
              <w:spacing w:line="360" w:lineRule="auto"/>
              <w:ind w:left="107" w:right="95"/>
              <w:jc w:val="left"/>
              <w:rPr>
                <w:rFonts w:hint="eastAsia" w:ascii="宋体" w:hAnsi="宋体" w:eastAsia="宋体" w:cs="宋体"/>
                <w:spacing w:val="1"/>
                <w:sz w:val="24"/>
                <w:szCs w:val="24"/>
                <w:lang w:val="en-US" w:eastAsia="zh-CN" w:bidi="ar-SA"/>
              </w:rPr>
            </w:pPr>
            <w:r>
              <w:rPr>
                <w:rFonts w:hint="eastAsia" w:ascii="宋体" w:hAnsi="宋体" w:eastAsia="宋体" w:cs="宋体"/>
                <w:spacing w:val="1"/>
                <w:sz w:val="24"/>
                <w:szCs w:val="24"/>
                <w:lang w:val="en-US" w:eastAsia="zh-CN" w:bidi="ar-SA"/>
              </w:rPr>
              <w:t>2、可实施性：切合本项目实际情况，提出步骤清晰、合理的方案；</w:t>
            </w:r>
          </w:p>
          <w:p w14:paraId="110E91AE">
            <w:pPr>
              <w:pStyle w:val="35"/>
              <w:spacing w:line="360" w:lineRule="auto"/>
              <w:ind w:left="107" w:right="95"/>
              <w:jc w:val="left"/>
              <w:rPr>
                <w:rFonts w:hint="eastAsia" w:ascii="宋体" w:hAnsi="宋体" w:eastAsia="宋体" w:cs="宋体"/>
                <w:spacing w:val="1"/>
                <w:sz w:val="24"/>
                <w:szCs w:val="24"/>
                <w:lang w:val="en-US" w:eastAsia="zh-CN" w:bidi="ar-SA"/>
              </w:rPr>
            </w:pPr>
            <w:r>
              <w:rPr>
                <w:rFonts w:hint="eastAsia" w:ascii="宋体" w:hAnsi="宋体" w:eastAsia="宋体" w:cs="宋体"/>
                <w:spacing w:val="1"/>
                <w:sz w:val="24"/>
                <w:szCs w:val="24"/>
                <w:lang w:val="en-US" w:eastAsia="zh-CN" w:bidi="ar-SA"/>
              </w:rPr>
              <w:t>3、针对性：方案能够紧扣项目实际情况，内容科学合理。</w:t>
            </w:r>
          </w:p>
          <w:p w14:paraId="4B5063ED">
            <w:pPr>
              <w:pStyle w:val="35"/>
              <w:spacing w:line="360" w:lineRule="auto"/>
              <w:ind w:left="107" w:right="95"/>
              <w:jc w:val="left"/>
              <w:rPr>
                <w:rFonts w:hint="default" w:ascii="宋体" w:hAnsi="宋体" w:eastAsia="宋体" w:cs="宋体"/>
                <w:spacing w:val="1"/>
                <w:sz w:val="24"/>
                <w:szCs w:val="24"/>
                <w:lang w:val="en-US" w:eastAsia="zh-CN" w:bidi="ar-SA"/>
              </w:rPr>
            </w:pPr>
            <w:r>
              <w:rPr>
                <w:rFonts w:hint="eastAsia" w:ascii="宋体" w:hAnsi="宋体" w:eastAsia="宋体" w:cs="宋体"/>
                <w:spacing w:val="1"/>
                <w:sz w:val="24"/>
                <w:szCs w:val="24"/>
                <w:lang w:val="en-US" w:eastAsia="zh-CN" w:bidi="ar-SA"/>
              </w:rPr>
              <w:t>上述3项评审内容全部满足评审标准得14分，每有一个单项评审内容缺项，单项分值扣完，评审内容中每存在一处缺陷，扣1分，扣完为止。</w:t>
            </w:r>
          </w:p>
          <w:p w14:paraId="32CB775C">
            <w:pPr>
              <w:pStyle w:val="35"/>
              <w:spacing w:line="360" w:lineRule="auto"/>
              <w:ind w:left="107" w:right="95"/>
              <w:jc w:val="left"/>
              <w:rPr>
                <w:rFonts w:hint="eastAsia" w:eastAsia="宋体"/>
                <w:sz w:val="24"/>
                <w:lang w:eastAsia="zh-CN"/>
              </w:rPr>
            </w:pPr>
            <w:r>
              <w:rPr>
                <w:rFonts w:hint="eastAsia" w:ascii="宋体" w:hAnsi="宋体" w:eastAsia="宋体" w:cs="宋体"/>
                <w:spacing w:val="1"/>
                <w:sz w:val="24"/>
                <w:szCs w:val="24"/>
                <w:lang w:val="en-US" w:eastAsia="zh-CN" w:bidi="ar-SA"/>
              </w:rPr>
              <w:t>说明：缺陷是指内容缺项、不完整或缺少关键点、虽有内容但不完善、不全面、内容表述前后不一；非专门针对本项目或不适用本项目特性；套用其他项目内容；对同一问题前后表述矛盾；存在逻辑漏洞、科学原理或常识错误；不利于本项目目标的实现、现有技术条件下不可能出现的情形等任意一种情形。</w:t>
            </w:r>
          </w:p>
        </w:tc>
      </w:tr>
      <w:tr w14:paraId="7D536D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8" w:hRule="atLeast"/>
          <w:jc w:val="center"/>
        </w:trPr>
        <w:tc>
          <w:tcPr>
            <w:tcW w:w="619" w:type="pct"/>
            <w:noWrap w:val="0"/>
            <w:vAlign w:val="center"/>
          </w:tcPr>
          <w:p w14:paraId="42BE0D91">
            <w:pPr>
              <w:bidi w:val="0"/>
              <w:jc w:val="center"/>
              <w:rPr>
                <w:rFonts w:hint="eastAsia"/>
                <w:lang w:val="en-US" w:eastAsia="zh-CN"/>
              </w:rPr>
            </w:pPr>
            <w:r>
              <w:rPr>
                <w:rFonts w:hint="eastAsia"/>
                <w:lang w:val="en-US" w:eastAsia="zh-CN"/>
              </w:rPr>
              <w:t>重难点分析，合理化建议</w:t>
            </w:r>
          </w:p>
        </w:tc>
        <w:tc>
          <w:tcPr>
            <w:tcW w:w="514" w:type="pct"/>
            <w:noWrap w:val="0"/>
            <w:vAlign w:val="center"/>
          </w:tcPr>
          <w:p w14:paraId="7FA97624">
            <w:pPr>
              <w:bidi w:val="0"/>
              <w:jc w:val="center"/>
              <w:rPr>
                <w:rFonts w:hint="eastAsia"/>
                <w:lang w:val="en-US" w:eastAsia="zh-CN"/>
              </w:rPr>
            </w:pPr>
            <w:r>
              <w:rPr>
                <w:rFonts w:hint="eastAsia"/>
                <w:lang w:val="en-US" w:eastAsia="zh-CN"/>
              </w:rPr>
              <w:t>9分</w:t>
            </w:r>
          </w:p>
        </w:tc>
        <w:tc>
          <w:tcPr>
            <w:tcW w:w="3866" w:type="pct"/>
            <w:noWrap w:val="0"/>
            <w:vAlign w:val="center"/>
          </w:tcPr>
          <w:p w14:paraId="396313B2">
            <w:pPr>
              <w:pStyle w:val="35"/>
              <w:spacing w:line="360" w:lineRule="auto"/>
              <w:ind w:left="107" w:right="95"/>
              <w:jc w:val="left"/>
              <w:rPr>
                <w:rFonts w:hint="eastAsia" w:ascii="宋体" w:hAnsi="宋体" w:eastAsia="宋体" w:cs="宋体"/>
                <w:spacing w:val="1"/>
                <w:sz w:val="24"/>
                <w:szCs w:val="24"/>
                <w:lang w:val="en-US" w:eastAsia="zh-CN" w:bidi="ar-SA"/>
              </w:rPr>
            </w:pPr>
            <w:r>
              <w:rPr>
                <w:rFonts w:hint="eastAsia" w:ascii="宋体" w:hAnsi="宋体" w:eastAsia="宋体" w:cs="宋体"/>
                <w:spacing w:val="1"/>
                <w:sz w:val="24"/>
                <w:szCs w:val="24"/>
                <w:lang w:val="en-US" w:eastAsia="zh-CN" w:bidi="ar-SA"/>
              </w:rPr>
              <w:t>供应商</w:t>
            </w:r>
            <w:r>
              <w:rPr>
                <w:rFonts w:hint="eastAsia" w:ascii="宋体" w:hAnsi="宋体" w:eastAsia="宋体" w:cs="宋体"/>
                <w:spacing w:val="1"/>
                <w:sz w:val="24"/>
                <w:szCs w:val="24"/>
                <w:lang w:val="en-US" w:eastAsia="en-US" w:bidi="ar-SA"/>
              </w:rPr>
              <w:t>必须结合本项目的实际情况，</w:t>
            </w:r>
            <w:r>
              <w:rPr>
                <w:rFonts w:hint="eastAsia" w:ascii="宋体" w:hAnsi="宋体" w:eastAsia="宋体" w:cs="宋体"/>
                <w:spacing w:val="1"/>
                <w:sz w:val="24"/>
                <w:szCs w:val="24"/>
                <w:lang w:val="en-US" w:eastAsia="zh-CN" w:bidi="ar-SA"/>
              </w:rPr>
              <w:t>制定项目重难点分析，合理化建议，方案内容包括：</w:t>
            </w:r>
          </w:p>
          <w:p w14:paraId="6990B006">
            <w:pPr>
              <w:pStyle w:val="35"/>
              <w:spacing w:line="360" w:lineRule="auto"/>
              <w:ind w:left="107" w:right="95"/>
              <w:jc w:val="left"/>
              <w:rPr>
                <w:rFonts w:hint="eastAsia" w:ascii="宋体" w:hAnsi="宋体" w:eastAsia="宋体" w:cs="宋体"/>
                <w:spacing w:val="1"/>
                <w:sz w:val="24"/>
                <w:szCs w:val="24"/>
                <w:lang w:val="en-US" w:eastAsia="zh-CN" w:bidi="ar-SA"/>
              </w:rPr>
            </w:pPr>
            <w:r>
              <w:rPr>
                <w:rFonts w:hint="eastAsia" w:ascii="宋体" w:hAnsi="宋体" w:eastAsia="宋体" w:cs="宋体"/>
                <w:spacing w:val="1"/>
                <w:sz w:val="24"/>
                <w:szCs w:val="24"/>
                <w:lang w:val="en-US" w:eastAsia="zh-CN" w:bidi="ar-SA"/>
              </w:rPr>
              <w:t>①项目重难点分析；（</w:t>
            </w:r>
            <w:r>
              <w:rPr>
                <w:rFonts w:hint="eastAsia" w:cs="宋体"/>
                <w:spacing w:val="1"/>
                <w:sz w:val="24"/>
                <w:szCs w:val="24"/>
                <w:lang w:val="en-US" w:eastAsia="zh-CN" w:bidi="ar-SA"/>
              </w:rPr>
              <w:t>6</w:t>
            </w:r>
            <w:r>
              <w:rPr>
                <w:rFonts w:hint="eastAsia" w:ascii="宋体" w:hAnsi="宋体" w:eastAsia="宋体" w:cs="宋体"/>
                <w:spacing w:val="1"/>
                <w:sz w:val="24"/>
                <w:szCs w:val="24"/>
                <w:lang w:val="en-US" w:eastAsia="zh-CN" w:bidi="ar-SA"/>
              </w:rPr>
              <w:t>分）</w:t>
            </w:r>
          </w:p>
          <w:p w14:paraId="5BE61C6A">
            <w:pPr>
              <w:pStyle w:val="35"/>
              <w:spacing w:line="360" w:lineRule="auto"/>
              <w:ind w:left="107" w:right="95"/>
              <w:jc w:val="left"/>
              <w:rPr>
                <w:rFonts w:hint="eastAsia" w:ascii="宋体" w:hAnsi="宋体" w:eastAsia="宋体" w:cs="宋体"/>
                <w:spacing w:val="1"/>
                <w:sz w:val="24"/>
                <w:szCs w:val="24"/>
                <w:lang w:val="en-US" w:eastAsia="zh-CN" w:bidi="ar-SA"/>
              </w:rPr>
            </w:pPr>
            <w:r>
              <w:rPr>
                <w:rFonts w:hint="eastAsia" w:ascii="宋体" w:hAnsi="宋体" w:eastAsia="宋体" w:cs="宋体"/>
                <w:spacing w:val="1"/>
                <w:sz w:val="24"/>
                <w:szCs w:val="24"/>
                <w:lang w:val="en-US" w:eastAsia="zh-CN" w:bidi="ar-SA"/>
              </w:rPr>
              <w:t>②合理化建议。（3分）</w:t>
            </w:r>
          </w:p>
          <w:p w14:paraId="22FAAF0A">
            <w:pPr>
              <w:pStyle w:val="35"/>
              <w:spacing w:line="360" w:lineRule="auto"/>
              <w:ind w:left="107" w:right="95"/>
              <w:jc w:val="left"/>
              <w:rPr>
                <w:rFonts w:hint="eastAsia" w:ascii="宋体" w:hAnsi="宋体" w:eastAsia="宋体" w:cs="宋体"/>
                <w:spacing w:val="1"/>
                <w:sz w:val="24"/>
                <w:szCs w:val="24"/>
                <w:lang w:val="en-US" w:eastAsia="zh-CN" w:bidi="ar-SA"/>
              </w:rPr>
            </w:pPr>
            <w:r>
              <w:rPr>
                <w:rFonts w:hint="eastAsia" w:ascii="宋体" w:hAnsi="宋体" w:eastAsia="宋体" w:cs="宋体"/>
                <w:spacing w:val="1"/>
                <w:sz w:val="24"/>
                <w:szCs w:val="24"/>
                <w:lang w:val="en-US" w:eastAsia="zh-CN" w:bidi="ar-SA"/>
              </w:rPr>
              <w:t>评审标准：</w:t>
            </w:r>
          </w:p>
          <w:p w14:paraId="459BB9B2">
            <w:pPr>
              <w:pStyle w:val="35"/>
              <w:spacing w:line="360" w:lineRule="auto"/>
              <w:ind w:left="107" w:right="95"/>
              <w:jc w:val="left"/>
              <w:rPr>
                <w:rFonts w:hint="eastAsia" w:ascii="宋体" w:hAnsi="宋体" w:eastAsia="宋体" w:cs="宋体"/>
                <w:spacing w:val="1"/>
                <w:sz w:val="24"/>
                <w:szCs w:val="24"/>
                <w:lang w:val="en-US" w:eastAsia="zh-CN" w:bidi="ar-SA"/>
              </w:rPr>
            </w:pPr>
            <w:r>
              <w:rPr>
                <w:rFonts w:hint="eastAsia" w:ascii="宋体" w:hAnsi="宋体" w:eastAsia="宋体" w:cs="宋体"/>
                <w:spacing w:val="1"/>
                <w:sz w:val="24"/>
                <w:szCs w:val="24"/>
                <w:lang w:val="en-US" w:eastAsia="zh-CN" w:bidi="ar-SA"/>
              </w:rPr>
              <w:t xml:space="preserve">1、完善性：方案必须全面，对评审内容中的各项要求有详细阐述； </w:t>
            </w:r>
          </w:p>
          <w:p w14:paraId="06249D48">
            <w:pPr>
              <w:pStyle w:val="35"/>
              <w:spacing w:line="360" w:lineRule="auto"/>
              <w:ind w:left="107" w:right="95"/>
              <w:jc w:val="left"/>
              <w:rPr>
                <w:rFonts w:hint="eastAsia" w:ascii="宋体" w:hAnsi="宋体" w:eastAsia="宋体" w:cs="宋体"/>
                <w:spacing w:val="1"/>
                <w:sz w:val="24"/>
                <w:szCs w:val="24"/>
                <w:lang w:val="en-US" w:eastAsia="zh-CN" w:bidi="ar-SA"/>
              </w:rPr>
            </w:pPr>
            <w:r>
              <w:rPr>
                <w:rFonts w:hint="eastAsia" w:ascii="宋体" w:hAnsi="宋体" w:eastAsia="宋体" w:cs="宋体"/>
                <w:spacing w:val="1"/>
                <w:sz w:val="24"/>
                <w:szCs w:val="24"/>
                <w:lang w:val="en-US" w:eastAsia="zh-CN" w:bidi="ar-SA"/>
              </w:rPr>
              <w:t>2、可实施性：切合本项目实际情况，提出步骤清晰、合理的方案；</w:t>
            </w:r>
          </w:p>
          <w:p w14:paraId="41139849">
            <w:pPr>
              <w:pStyle w:val="35"/>
              <w:spacing w:line="360" w:lineRule="auto"/>
              <w:ind w:left="107" w:right="95"/>
              <w:jc w:val="left"/>
              <w:rPr>
                <w:rFonts w:hint="eastAsia" w:ascii="宋体" w:hAnsi="宋体" w:eastAsia="宋体" w:cs="宋体"/>
                <w:spacing w:val="1"/>
                <w:sz w:val="24"/>
                <w:szCs w:val="24"/>
                <w:lang w:val="en-US" w:eastAsia="zh-CN" w:bidi="ar-SA"/>
              </w:rPr>
            </w:pPr>
            <w:r>
              <w:rPr>
                <w:rFonts w:hint="eastAsia" w:ascii="宋体" w:hAnsi="宋体" w:eastAsia="宋体" w:cs="宋体"/>
                <w:spacing w:val="1"/>
                <w:sz w:val="24"/>
                <w:szCs w:val="24"/>
                <w:lang w:val="en-US" w:eastAsia="zh-CN" w:bidi="ar-SA"/>
              </w:rPr>
              <w:t>3、针对性：方案能够紧扣项目实际情况，内容科学合理。</w:t>
            </w:r>
          </w:p>
          <w:p w14:paraId="4A46176B">
            <w:pPr>
              <w:pStyle w:val="35"/>
              <w:spacing w:line="360" w:lineRule="auto"/>
              <w:ind w:left="107" w:right="95"/>
              <w:jc w:val="left"/>
              <w:rPr>
                <w:rFonts w:hint="default" w:ascii="宋体" w:hAnsi="宋体" w:eastAsia="宋体" w:cs="宋体"/>
                <w:spacing w:val="1"/>
                <w:sz w:val="24"/>
                <w:szCs w:val="24"/>
                <w:lang w:val="en-US" w:eastAsia="zh-CN" w:bidi="ar-SA"/>
              </w:rPr>
            </w:pPr>
            <w:r>
              <w:rPr>
                <w:rFonts w:hint="eastAsia" w:ascii="宋体" w:hAnsi="宋体" w:eastAsia="宋体" w:cs="宋体"/>
                <w:spacing w:val="1"/>
                <w:sz w:val="24"/>
                <w:szCs w:val="24"/>
                <w:lang w:val="en-US" w:eastAsia="zh-CN" w:bidi="ar-SA"/>
              </w:rPr>
              <w:t>上述</w:t>
            </w:r>
            <w:r>
              <w:rPr>
                <w:rFonts w:hint="eastAsia" w:cs="宋体"/>
                <w:spacing w:val="1"/>
                <w:sz w:val="24"/>
                <w:szCs w:val="24"/>
                <w:lang w:val="en-US" w:eastAsia="zh-CN" w:bidi="ar-SA"/>
              </w:rPr>
              <w:t>2</w:t>
            </w:r>
            <w:r>
              <w:rPr>
                <w:rFonts w:hint="eastAsia" w:ascii="宋体" w:hAnsi="宋体" w:eastAsia="宋体" w:cs="宋体"/>
                <w:spacing w:val="1"/>
                <w:sz w:val="24"/>
                <w:szCs w:val="24"/>
                <w:lang w:val="en-US" w:eastAsia="zh-CN" w:bidi="ar-SA"/>
              </w:rPr>
              <w:t>项评审内容全部满足评审标准得9分，每有一个单项评审内容缺项，单项分值扣完，评审内容中每存在一处缺陷，扣1分，扣完为止。</w:t>
            </w:r>
          </w:p>
          <w:p w14:paraId="2F950444">
            <w:pPr>
              <w:pStyle w:val="35"/>
              <w:spacing w:line="360" w:lineRule="auto"/>
              <w:ind w:left="107" w:right="95"/>
              <w:jc w:val="left"/>
              <w:rPr>
                <w:rFonts w:hint="eastAsia" w:ascii="宋体" w:hAnsi="Times New Roman" w:eastAsia="宋体" w:cs="Times New Roman"/>
                <w:spacing w:val="-3"/>
                <w:sz w:val="24"/>
                <w:lang w:val="en-US" w:eastAsia="zh-CN"/>
              </w:rPr>
            </w:pPr>
            <w:r>
              <w:rPr>
                <w:rFonts w:hint="eastAsia" w:ascii="宋体" w:hAnsi="宋体" w:eastAsia="宋体" w:cs="宋体"/>
                <w:spacing w:val="1"/>
                <w:sz w:val="24"/>
                <w:szCs w:val="24"/>
                <w:lang w:val="en-US" w:eastAsia="zh-CN" w:bidi="ar-SA"/>
              </w:rPr>
              <w:t>说明：缺陷是指内容缺项、不完整或缺少关键点、虽有内容但不完善、不全面、内容表述前后不一；非专门针对本项目或不适用本项目特性；套用其他项目内容；对同一问题前后表述矛盾；存在逻辑漏洞、科学原理或常识错误；不利于本项目目标的实现、现有技术条件下不可能出现的情形等任意一种情形。</w:t>
            </w:r>
          </w:p>
        </w:tc>
      </w:tr>
      <w:tr w14:paraId="59B993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8" w:hRule="atLeast"/>
          <w:jc w:val="center"/>
        </w:trPr>
        <w:tc>
          <w:tcPr>
            <w:tcW w:w="619" w:type="pct"/>
            <w:vMerge w:val="restart"/>
            <w:noWrap w:val="0"/>
            <w:vAlign w:val="center"/>
          </w:tcPr>
          <w:p w14:paraId="3FCD7669">
            <w:pPr>
              <w:bidi w:val="0"/>
              <w:jc w:val="center"/>
              <w:rPr>
                <w:rFonts w:hint="eastAsia"/>
                <w:lang w:val="en-US" w:eastAsia="zh-CN"/>
              </w:rPr>
            </w:pPr>
            <w:r>
              <w:rPr>
                <w:rFonts w:hint="eastAsia"/>
                <w:lang w:val="en-US" w:eastAsia="zh-CN"/>
              </w:rPr>
              <w:t>人员配备</w:t>
            </w:r>
          </w:p>
        </w:tc>
        <w:tc>
          <w:tcPr>
            <w:tcW w:w="514" w:type="pct"/>
            <w:noWrap w:val="0"/>
            <w:vAlign w:val="center"/>
          </w:tcPr>
          <w:p w14:paraId="22D16564">
            <w:pPr>
              <w:bidi w:val="0"/>
              <w:jc w:val="center"/>
              <w:rPr>
                <w:rFonts w:hint="eastAsia"/>
                <w:lang w:val="en-US" w:eastAsia="zh-CN"/>
              </w:rPr>
            </w:pPr>
            <w:r>
              <w:rPr>
                <w:rFonts w:hint="eastAsia"/>
                <w:lang w:val="en-US" w:eastAsia="zh-CN"/>
              </w:rPr>
              <w:t>项目负责人</w:t>
            </w:r>
          </w:p>
          <w:p w14:paraId="2568085E">
            <w:pPr>
              <w:bidi w:val="0"/>
              <w:jc w:val="center"/>
              <w:rPr>
                <w:rFonts w:hint="eastAsia"/>
                <w:lang w:val="en-US" w:eastAsia="zh-CN"/>
              </w:rPr>
            </w:pPr>
            <w:r>
              <w:rPr>
                <w:rFonts w:hint="eastAsia"/>
                <w:lang w:val="en-US" w:eastAsia="zh-CN"/>
              </w:rPr>
              <w:t>（3分）</w:t>
            </w:r>
          </w:p>
        </w:tc>
        <w:tc>
          <w:tcPr>
            <w:tcW w:w="3866" w:type="pct"/>
            <w:noWrap w:val="0"/>
            <w:vAlign w:val="top"/>
          </w:tcPr>
          <w:p w14:paraId="47ACF8EB">
            <w:pPr>
              <w:pStyle w:val="35"/>
              <w:spacing w:line="360" w:lineRule="auto"/>
              <w:ind w:left="107" w:right="95"/>
              <w:jc w:val="left"/>
              <w:rPr>
                <w:rFonts w:hint="eastAsia" w:ascii="宋体" w:hAnsi="宋体" w:eastAsia="宋体" w:cs="宋体"/>
                <w:spacing w:val="1"/>
                <w:sz w:val="24"/>
                <w:szCs w:val="24"/>
                <w:lang w:val="en-US" w:eastAsia="zh-CN" w:bidi="ar-SA"/>
              </w:rPr>
            </w:pPr>
            <w:r>
              <w:rPr>
                <w:rFonts w:hint="eastAsia" w:ascii="宋体" w:hAnsi="宋体" w:eastAsia="宋体" w:cs="宋体"/>
                <w:spacing w:val="1"/>
                <w:sz w:val="24"/>
                <w:szCs w:val="24"/>
                <w:lang w:val="en-US" w:eastAsia="zh-CN" w:bidi="ar-SA"/>
              </w:rPr>
              <w:t>项目负责人具有高级职称的得3分，具有中级职称的得1分；未提供不得分。</w:t>
            </w:r>
          </w:p>
          <w:p w14:paraId="58E35B52">
            <w:pPr>
              <w:pStyle w:val="35"/>
              <w:spacing w:line="360" w:lineRule="auto"/>
              <w:ind w:left="107" w:right="95"/>
              <w:jc w:val="left"/>
              <w:rPr>
                <w:rFonts w:hint="default" w:ascii="宋体" w:hAnsi="Times New Roman" w:eastAsia="宋体" w:cs="Times New Roman"/>
                <w:spacing w:val="-3"/>
                <w:sz w:val="24"/>
                <w:lang w:val="en-US" w:eastAsia="zh-CN"/>
              </w:rPr>
            </w:pPr>
            <w:r>
              <w:rPr>
                <w:rFonts w:hint="eastAsia" w:ascii="宋体" w:hAnsi="宋体" w:eastAsia="宋体" w:cs="宋体"/>
                <w:spacing w:val="1"/>
                <w:sz w:val="24"/>
                <w:szCs w:val="24"/>
                <w:lang w:val="en-US" w:eastAsia="zh-CN" w:bidi="ar-SA"/>
              </w:rPr>
              <w:t>（提供人员职称证书、身份证及近三个月任意一个月本单位缴纳社保证明材料或劳动合同，退休人员须提供退休证及劳动合同）</w:t>
            </w:r>
          </w:p>
        </w:tc>
      </w:tr>
      <w:tr w14:paraId="1582F5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619" w:type="pct"/>
            <w:vMerge w:val="continue"/>
            <w:noWrap w:val="0"/>
            <w:vAlign w:val="center"/>
          </w:tcPr>
          <w:p w14:paraId="0C3F4909">
            <w:pPr>
              <w:bidi w:val="0"/>
              <w:jc w:val="center"/>
              <w:rPr>
                <w:rFonts w:hint="eastAsia"/>
                <w:lang w:val="en-US" w:eastAsia="zh-CN"/>
              </w:rPr>
            </w:pPr>
          </w:p>
        </w:tc>
        <w:tc>
          <w:tcPr>
            <w:tcW w:w="514" w:type="pct"/>
            <w:noWrap w:val="0"/>
            <w:vAlign w:val="center"/>
          </w:tcPr>
          <w:p w14:paraId="563A6BFD">
            <w:pPr>
              <w:bidi w:val="0"/>
              <w:jc w:val="center"/>
              <w:rPr>
                <w:rFonts w:hint="eastAsia"/>
                <w:lang w:val="en-US" w:eastAsia="zh-CN"/>
              </w:rPr>
            </w:pPr>
            <w:r>
              <w:rPr>
                <w:rFonts w:hint="eastAsia"/>
                <w:lang w:val="en-US" w:eastAsia="zh-CN"/>
              </w:rPr>
              <w:t>服务团队</w:t>
            </w:r>
          </w:p>
          <w:p w14:paraId="6AB48424">
            <w:pPr>
              <w:bidi w:val="0"/>
              <w:jc w:val="center"/>
              <w:rPr>
                <w:rFonts w:hint="default"/>
                <w:lang w:val="en-US" w:eastAsia="zh-CN"/>
              </w:rPr>
            </w:pPr>
            <w:r>
              <w:rPr>
                <w:rFonts w:hint="eastAsia"/>
                <w:lang w:val="en-US" w:eastAsia="zh-CN"/>
              </w:rPr>
              <w:t>（2分）</w:t>
            </w:r>
          </w:p>
        </w:tc>
        <w:tc>
          <w:tcPr>
            <w:tcW w:w="3866" w:type="pct"/>
            <w:noWrap w:val="0"/>
            <w:vAlign w:val="top"/>
          </w:tcPr>
          <w:p w14:paraId="3CE5819C">
            <w:pPr>
              <w:pStyle w:val="35"/>
              <w:spacing w:line="360" w:lineRule="auto"/>
              <w:ind w:left="107" w:right="95"/>
              <w:jc w:val="left"/>
              <w:rPr>
                <w:rFonts w:hint="eastAsia" w:ascii="宋体" w:hAnsi="宋体" w:eastAsia="宋体" w:cs="宋体"/>
                <w:spacing w:val="1"/>
                <w:sz w:val="24"/>
                <w:szCs w:val="24"/>
                <w:lang w:val="en-US" w:eastAsia="zh-CN" w:bidi="ar-SA"/>
              </w:rPr>
            </w:pPr>
            <w:r>
              <w:rPr>
                <w:rFonts w:hint="eastAsia" w:ascii="宋体" w:hAnsi="宋体" w:eastAsia="宋体" w:cs="宋体"/>
                <w:spacing w:val="1"/>
                <w:sz w:val="24"/>
                <w:szCs w:val="24"/>
                <w:lang w:val="en-US" w:eastAsia="zh-CN" w:bidi="ar-SA"/>
              </w:rPr>
              <w:t>除项目负责人外，至少1名运维人员，满足此人员配备要求的得 2 分；未提供不得分。</w:t>
            </w:r>
          </w:p>
          <w:p w14:paraId="36731FFA">
            <w:pPr>
              <w:pStyle w:val="35"/>
              <w:spacing w:line="360" w:lineRule="auto"/>
              <w:ind w:left="107" w:right="95"/>
              <w:jc w:val="left"/>
              <w:rPr>
                <w:rFonts w:hint="default"/>
                <w:color w:val="auto"/>
                <w:spacing w:val="-8"/>
                <w:sz w:val="24"/>
                <w:szCs w:val="24"/>
                <w:lang w:val="en-US" w:eastAsia="zh-CN"/>
              </w:rPr>
            </w:pPr>
            <w:r>
              <w:rPr>
                <w:rFonts w:hint="default" w:ascii="宋体" w:hAnsi="宋体" w:eastAsia="宋体" w:cs="宋体"/>
                <w:spacing w:val="1"/>
                <w:sz w:val="24"/>
                <w:szCs w:val="24"/>
                <w:lang w:val="en-US" w:eastAsia="zh-CN" w:bidi="ar-SA"/>
              </w:rPr>
              <w:t>（提供人员身份证及</w:t>
            </w:r>
            <w:r>
              <w:rPr>
                <w:rFonts w:hint="eastAsia" w:ascii="宋体" w:hAnsi="宋体" w:eastAsia="宋体" w:cs="宋体"/>
                <w:spacing w:val="1"/>
                <w:sz w:val="24"/>
                <w:szCs w:val="24"/>
                <w:lang w:val="en-US" w:eastAsia="zh-CN" w:bidi="ar-SA"/>
              </w:rPr>
              <w:t>近三个月任意一个月本单位缴纳</w:t>
            </w:r>
            <w:r>
              <w:rPr>
                <w:rFonts w:hint="default" w:ascii="宋体" w:hAnsi="宋体" w:eastAsia="宋体" w:cs="宋体"/>
                <w:spacing w:val="1"/>
                <w:sz w:val="24"/>
                <w:szCs w:val="24"/>
                <w:lang w:val="en-US" w:eastAsia="zh-CN" w:bidi="ar-SA"/>
              </w:rPr>
              <w:t>社保证明材料或劳动合同）</w:t>
            </w:r>
          </w:p>
        </w:tc>
      </w:tr>
      <w:tr w14:paraId="62528D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5" w:hRule="atLeast"/>
          <w:jc w:val="center"/>
        </w:trPr>
        <w:tc>
          <w:tcPr>
            <w:tcW w:w="619" w:type="pct"/>
            <w:noWrap w:val="0"/>
            <w:vAlign w:val="center"/>
          </w:tcPr>
          <w:p w14:paraId="6E15FEC7">
            <w:pPr>
              <w:bidi w:val="0"/>
              <w:jc w:val="center"/>
              <w:rPr>
                <w:rFonts w:hint="eastAsia"/>
                <w:lang w:val="en-US" w:eastAsia="zh-CN"/>
              </w:rPr>
            </w:pPr>
            <w:r>
              <w:rPr>
                <w:rFonts w:hint="eastAsia"/>
                <w:lang w:val="en-US" w:eastAsia="zh-CN"/>
              </w:rPr>
              <w:t>类似业绩</w:t>
            </w:r>
          </w:p>
        </w:tc>
        <w:tc>
          <w:tcPr>
            <w:tcW w:w="514" w:type="pct"/>
            <w:noWrap w:val="0"/>
            <w:vAlign w:val="center"/>
          </w:tcPr>
          <w:p w14:paraId="340AF9AB">
            <w:pPr>
              <w:bidi w:val="0"/>
              <w:jc w:val="center"/>
              <w:rPr>
                <w:rFonts w:hint="eastAsia"/>
                <w:lang w:val="en-US" w:eastAsia="zh-CN"/>
              </w:rPr>
            </w:pPr>
            <w:r>
              <w:rPr>
                <w:rFonts w:hint="eastAsia"/>
                <w:lang w:val="en-US" w:eastAsia="zh-CN"/>
              </w:rPr>
              <w:t>6分</w:t>
            </w:r>
          </w:p>
        </w:tc>
        <w:tc>
          <w:tcPr>
            <w:tcW w:w="3866" w:type="pct"/>
            <w:noWrap w:val="0"/>
            <w:vAlign w:val="top"/>
          </w:tcPr>
          <w:p w14:paraId="142FD67E">
            <w:pPr>
              <w:pStyle w:val="35"/>
              <w:spacing w:line="360" w:lineRule="auto"/>
              <w:ind w:left="107" w:right="95"/>
              <w:jc w:val="left"/>
              <w:rPr>
                <w:rFonts w:hint="eastAsia" w:ascii="宋体" w:hAnsi="宋体" w:eastAsia="宋体" w:cs="宋体"/>
                <w:spacing w:val="1"/>
                <w:sz w:val="24"/>
                <w:szCs w:val="24"/>
                <w:lang w:val="en-US" w:eastAsia="zh-CN" w:bidi="ar-SA"/>
              </w:rPr>
            </w:pPr>
            <w:r>
              <w:rPr>
                <w:rFonts w:hint="eastAsia" w:cs="宋体"/>
                <w:spacing w:val="1"/>
                <w:sz w:val="24"/>
                <w:szCs w:val="24"/>
                <w:lang w:val="en-US" w:eastAsia="zh-CN" w:bidi="ar-SA"/>
              </w:rPr>
              <w:t>供应商</w:t>
            </w:r>
            <w:r>
              <w:rPr>
                <w:rFonts w:hint="eastAsia" w:ascii="宋体" w:hAnsi="宋体" w:eastAsia="宋体" w:cs="宋体"/>
                <w:spacing w:val="1"/>
                <w:sz w:val="24"/>
                <w:szCs w:val="24"/>
                <w:lang w:val="en-US" w:eastAsia="zh-CN" w:bidi="ar-SA"/>
              </w:rPr>
              <w:t>提供近3年（2022年7月1日至投标文件递交截止时间）类似项目业绩，每提供一份计2分，最高得6分；</w:t>
            </w:r>
          </w:p>
          <w:p w14:paraId="6AB7EE91">
            <w:pPr>
              <w:pStyle w:val="35"/>
              <w:spacing w:line="360" w:lineRule="auto"/>
              <w:ind w:left="107" w:right="95"/>
              <w:jc w:val="left"/>
              <w:rPr>
                <w:sz w:val="24"/>
              </w:rPr>
            </w:pPr>
            <w:r>
              <w:rPr>
                <w:rFonts w:hint="eastAsia" w:ascii="宋体" w:hAnsi="宋体" w:eastAsia="宋体" w:cs="宋体"/>
                <w:spacing w:val="1"/>
                <w:sz w:val="24"/>
                <w:szCs w:val="24"/>
                <w:lang w:val="en-US" w:eastAsia="zh-CN" w:bidi="ar-SA"/>
              </w:rPr>
              <w:t>【评审依据：以</w:t>
            </w:r>
            <w:r>
              <w:rPr>
                <w:rFonts w:hint="eastAsia" w:cs="宋体"/>
                <w:spacing w:val="1"/>
                <w:sz w:val="24"/>
                <w:szCs w:val="24"/>
                <w:lang w:val="en-US" w:eastAsia="zh-CN" w:bidi="ar-SA"/>
              </w:rPr>
              <w:t>磋商响应</w:t>
            </w:r>
            <w:r>
              <w:rPr>
                <w:rFonts w:hint="eastAsia" w:ascii="宋体" w:hAnsi="宋体" w:eastAsia="宋体" w:cs="宋体"/>
                <w:spacing w:val="1"/>
                <w:sz w:val="24"/>
                <w:szCs w:val="24"/>
                <w:lang w:val="en-US" w:eastAsia="zh-CN" w:bidi="ar-SA"/>
              </w:rPr>
              <w:t>文件中所附的合同复印件</w:t>
            </w:r>
            <w:r>
              <w:rPr>
                <w:rFonts w:hint="eastAsia" w:cs="宋体"/>
                <w:spacing w:val="1"/>
                <w:sz w:val="24"/>
                <w:szCs w:val="24"/>
                <w:lang w:val="en-US" w:eastAsia="zh-CN" w:bidi="ar-SA"/>
              </w:rPr>
              <w:t>或</w:t>
            </w:r>
            <w:r>
              <w:rPr>
                <w:rFonts w:hint="eastAsia" w:ascii="宋体" w:hAnsi="宋体" w:eastAsia="宋体" w:cs="宋体"/>
                <w:spacing w:val="1"/>
                <w:sz w:val="24"/>
                <w:szCs w:val="24"/>
                <w:lang w:val="en-US" w:eastAsia="zh-CN" w:bidi="ar-SA"/>
              </w:rPr>
              <w:t>中标通知书加盖公章为准】</w:t>
            </w:r>
          </w:p>
        </w:tc>
      </w:tr>
    </w:tbl>
    <w:p w14:paraId="5E7877B6">
      <w:pPr>
        <w:spacing w:line="460" w:lineRule="exact"/>
        <w:rPr>
          <w:rFonts w:hint="eastAsia" w:ascii="宋体" w:hAnsi="宋体" w:eastAsia="宋体" w:cs="宋体"/>
          <w:b/>
          <w:color w:val="auto"/>
          <w:spacing w:val="4"/>
          <w:sz w:val="28"/>
          <w:szCs w:val="24"/>
          <w:highlight w:val="none"/>
        </w:rPr>
      </w:pPr>
      <w:r>
        <w:rPr>
          <w:rFonts w:hint="eastAsia" w:ascii="宋体" w:hAnsi="宋体" w:eastAsia="宋体" w:cs="宋体"/>
          <w:b/>
          <w:color w:val="auto"/>
          <w:spacing w:val="4"/>
          <w:sz w:val="28"/>
          <w:szCs w:val="24"/>
          <w:highlight w:val="none"/>
        </w:rPr>
        <w:t>五、定标：</w:t>
      </w:r>
    </w:p>
    <w:p w14:paraId="4CC78B36">
      <w:pPr>
        <w:spacing w:line="460" w:lineRule="exact"/>
        <w:ind w:firstLine="496" w:firstLineChars="200"/>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1、评标结果由</w:t>
      </w:r>
      <w:r>
        <w:rPr>
          <w:rFonts w:hint="eastAsia" w:hAnsi="宋体" w:cs="宋体"/>
          <w:color w:val="auto"/>
          <w:szCs w:val="24"/>
          <w:highlight w:val="none"/>
          <w:lang w:val="en-US" w:eastAsia="zh-CN"/>
        </w:rPr>
        <w:t>磋商小组</w:t>
      </w:r>
      <w:r>
        <w:rPr>
          <w:rFonts w:hint="eastAsia" w:ascii="宋体" w:hAnsi="宋体" w:eastAsia="宋体" w:cs="宋体"/>
          <w:color w:val="auto"/>
          <w:spacing w:val="4"/>
          <w:szCs w:val="24"/>
          <w:highlight w:val="none"/>
        </w:rPr>
        <w:t>全体</w:t>
      </w:r>
      <w:r>
        <w:rPr>
          <w:rFonts w:hint="eastAsia" w:ascii="宋体" w:hAnsi="宋体" w:eastAsia="宋体" w:cs="宋体"/>
          <w:color w:val="auto"/>
          <w:szCs w:val="24"/>
          <w:highlight w:val="none"/>
        </w:rPr>
        <w:t>成员</w:t>
      </w:r>
      <w:r>
        <w:rPr>
          <w:rFonts w:hint="eastAsia" w:ascii="宋体" w:hAnsi="宋体" w:eastAsia="宋体" w:cs="宋体"/>
          <w:color w:val="auto"/>
          <w:spacing w:val="4"/>
          <w:szCs w:val="24"/>
          <w:highlight w:val="none"/>
        </w:rPr>
        <w:t>签字确认。</w:t>
      </w:r>
    </w:p>
    <w:p w14:paraId="42390C2D">
      <w:pPr>
        <w:spacing w:line="460" w:lineRule="exact"/>
        <w:ind w:firstLine="496" w:firstLineChars="200"/>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2、采购人根据评标报告中推荐的中标候选人排列顺序确定</w:t>
      </w:r>
      <w:r>
        <w:rPr>
          <w:rFonts w:hint="eastAsia" w:hAnsi="宋体" w:eastAsia="宋体" w:cs="宋体"/>
          <w:color w:val="auto"/>
          <w:spacing w:val="4"/>
          <w:szCs w:val="24"/>
          <w:highlight w:val="none"/>
          <w:lang w:eastAsia="zh-CN"/>
        </w:rPr>
        <w:t>供应商</w:t>
      </w:r>
      <w:r>
        <w:rPr>
          <w:rFonts w:hint="eastAsia" w:ascii="宋体" w:hAnsi="宋体" w:eastAsia="宋体" w:cs="宋体"/>
          <w:color w:val="auto"/>
          <w:spacing w:val="4"/>
          <w:szCs w:val="24"/>
          <w:highlight w:val="none"/>
        </w:rPr>
        <w:t>，以复函通知招标代理机构。</w:t>
      </w:r>
    </w:p>
    <w:p w14:paraId="53FC03CE">
      <w:pPr>
        <w:rPr>
          <w:rFonts w:hint="eastAsia" w:ascii="宋体" w:hAnsi="宋体" w:eastAsia="宋体" w:cs="宋体"/>
          <w:color w:val="auto"/>
          <w:highlight w:val="none"/>
        </w:rPr>
      </w:pPr>
    </w:p>
    <w:p w14:paraId="4F10AA20">
      <w:pPr>
        <w:pStyle w:val="14"/>
        <w:spacing w:line="360" w:lineRule="auto"/>
        <w:ind w:left="0" w:leftChars="0" w:firstLine="0" w:firstLineChars="0"/>
        <w:rPr>
          <w:rFonts w:hint="eastAsia" w:ascii="宋体" w:hAnsi="宋体" w:eastAsia="宋体" w:cs="宋体"/>
          <w:b/>
          <w:color w:val="auto"/>
          <w:sz w:val="24"/>
          <w:szCs w:val="24"/>
          <w:highlight w:val="none"/>
        </w:rPr>
      </w:pPr>
    </w:p>
    <w:p w14:paraId="48E32AE9">
      <w:pPr>
        <w:pStyle w:val="2"/>
        <w:jc w:val="center"/>
        <w:outlineLvl w:val="0"/>
        <w:rPr>
          <w:rFonts w:hint="eastAsia" w:ascii="宋体" w:hAnsi="宋体" w:eastAsia="宋体" w:cs="宋体"/>
          <w:bCs/>
          <w:color w:val="auto"/>
          <w:sz w:val="36"/>
          <w:szCs w:val="36"/>
          <w:highlight w:val="none"/>
        </w:rPr>
      </w:pPr>
      <w:bookmarkStart w:id="78" w:name="_Toc10029"/>
      <w:r>
        <w:rPr>
          <w:rFonts w:hint="eastAsia" w:ascii="宋体" w:hAnsi="宋体" w:eastAsia="宋体" w:cs="宋体"/>
          <w:bCs/>
          <w:color w:val="auto"/>
          <w:sz w:val="36"/>
          <w:szCs w:val="36"/>
          <w:highlight w:val="none"/>
        </w:rPr>
        <w:br w:type="page"/>
      </w:r>
      <w:bookmarkStart w:id="79" w:name="_Toc30377"/>
      <w:r>
        <w:rPr>
          <w:rFonts w:hint="eastAsia" w:ascii="宋体" w:hAnsi="宋体" w:eastAsia="宋体" w:cs="宋体"/>
          <w:bCs/>
          <w:color w:val="auto"/>
          <w:sz w:val="36"/>
          <w:szCs w:val="36"/>
          <w:highlight w:val="none"/>
        </w:rPr>
        <w:t>第四章</w:t>
      </w:r>
      <w:r>
        <w:rPr>
          <w:rFonts w:hint="eastAsia" w:ascii="宋体" w:hAnsi="宋体" w:eastAsia="宋体" w:cs="宋体"/>
          <w:bCs/>
          <w:color w:val="auto"/>
          <w:sz w:val="36"/>
          <w:szCs w:val="36"/>
          <w:highlight w:val="none"/>
          <w:lang w:val="en-US" w:eastAsia="zh-CN"/>
        </w:rPr>
        <w:t xml:space="preserve">  </w:t>
      </w:r>
      <w:r>
        <w:rPr>
          <w:rFonts w:hint="eastAsia" w:ascii="宋体" w:hAnsi="宋体" w:eastAsia="宋体" w:cs="宋体"/>
          <w:bCs/>
          <w:color w:val="auto"/>
          <w:sz w:val="36"/>
          <w:szCs w:val="36"/>
          <w:highlight w:val="none"/>
        </w:rPr>
        <w:t>合同条款及格式</w:t>
      </w:r>
      <w:bookmarkEnd w:id="57"/>
      <w:bookmarkEnd w:id="58"/>
      <w:bookmarkEnd w:id="59"/>
      <w:bookmarkEnd w:id="78"/>
      <w:bookmarkEnd w:id="79"/>
    </w:p>
    <w:p w14:paraId="6B356126">
      <w:pPr>
        <w:tabs>
          <w:tab w:val="left" w:pos="210"/>
          <w:tab w:val="left" w:pos="525"/>
        </w:tabs>
        <w:spacing w:line="360" w:lineRule="auto"/>
        <w:jc w:val="center"/>
        <w:outlineLvl w:val="1"/>
        <w:rPr>
          <w:rFonts w:hint="eastAsia" w:ascii="宋体" w:hAnsi="宋体" w:eastAsia="宋体" w:cs="宋体"/>
          <w:color w:val="auto"/>
          <w:sz w:val="32"/>
          <w:szCs w:val="32"/>
          <w:highlight w:val="none"/>
        </w:rPr>
      </w:pPr>
      <w:bookmarkStart w:id="80" w:name="_Toc3424"/>
      <w:bookmarkStart w:id="81" w:name="_Toc23705"/>
      <w:bookmarkStart w:id="82" w:name="_Toc32476"/>
      <w:bookmarkStart w:id="83" w:name="_Toc17801"/>
      <w:r>
        <w:rPr>
          <w:rFonts w:hint="eastAsia" w:ascii="宋体" w:hAnsi="宋体" w:eastAsia="宋体" w:cs="宋体"/>
          <w:b/>
          <w:bCs/>
          <w:color w:val="auto"/>
          <w:sz w:val="32"/>
          <w:szCs w:val="32"/>
          <w:highlight w:val="none"/>
        </w:rPr>
        <w:t>合同前附表</w:t>
      </w:r>
      <w:bookmarkEnd w:id="80"/>
      <w:bookmarkEnd w:id="81"/>
      <w:bookmarkEnd w:id="82"/>
      <w:bookmarkEnd w:id="83"/>
    </w:p>
    <w:p w14:paraId="3780DE98">
      <w:pPr>
        <w:rPr>
          <w:rFonts w:hint="eastAsia" w:ascii="宋体" w:hAnsi="宋体" w:eastAsia="宋体" w:cs="宋体"/>
          <w:color w:val="auto"/>
          <w:szCs w:val="24"/>
          <w:highlight w:val="none"/>
        </w:rPr>
      </w:pPr>
      <w:r>
        <w:rPr>
          <w:rFonts w:hint="eastAsia" w:ascii="宋体" w:hAnsi="宋体" w:eastAsia="宋体" w:cs="宋体"/>
          <w:color w:val="auto"/>
          <w:szCs w:val="24"/>
          <w:highlight w:val="none"/>
        </w:rPr>
        <w:t>本表是对合同条款的具体补充和修改，如有矛盾，应以本资料表为准。</w:t>
      </w:r>
    </w:p>
    <w:tbl>
      <w:tblPr>
        <w:tblStyle w:val="21"/>
        <w:tblW w:w="4998"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156"/>
        <w:gridCol w:w="8080"/>
      </w:tblGrid>
      <w:tr w14:paraId="296E82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3" w:hRule="atLeast"/>
        </w:trPr>
        <w:tc>
          <w:tcPr>
            <w:tcW w:w="626" w:type="pct"/>
            <w:noWrap w:val="0"/>
            <w:vAlign w:val="center"/>
          </w:tcPr>
          <w:p w14:paraId="0E0AE73A">
            <w:pPr>
              <w:spacing w:line="360"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条款号</w:t>
            </w:r>
          </w:p>
        </w:tc>
        <w:tc>
          <w:tcPr>
            <w:tcW w:w="4373" w:type="pct"/>
            <w:noWrap w:val="0"/>
            <w:vAlign w:val="center"/>
          </w:tcPr>
          <w:p w14:paraId="37904185">
            <w:pPr>
              <w:spacing w:line="360"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内      容</w:t>
            </w:r>
          </w:p>
        </w:tc>
      </w:tr>
      <w:tr w14:paraId="70F155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83" w:hRule="exact"/>
        </w:trPr>
        <w:tc>
          <w:tcPr>
            <w:tcW w:w="626" w:type="pct"/>
            <w:noWrap w:val="0"/>
            <w:vAlign w:val="center"/>
          </w:tcPr>
          <w:p w14:paraId="1AAAA757">
            <w:pPr>
              <w:spacing w:line="360"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1</w:t>
            </w:r>
          </w:p>
        </w:tc>
        <w:tc>
          <w:tcPr>
            <w:tcW w:w="4373" w:type="pct"/>
            <w:noWrap w:val="0"/>
            <w:vAlign w:val="center"/>
          </w:tcPr>
          <w:p w14:paraId="20C7DDA6">
            <w:pPr>
              <w:spacing w:line="360" w:lineRule="auto"/>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采购人名称：</w:t>
            </w:r>
            <w:r>
              <w:rPr>
                <w:rFonts w:hint="eastAsia" w:hAnsi="宋体" w:cs="宋体"/>
                <w:i w:val="0"/>
                <w:iCs w:val="0"/>
                <w:caps w:val="0"/>
                <w:color w:val="auto"/>
                <w:spacing w:val="0"/>
                <w:sz w:val="24"/>
                <w:szCs w:val="24"/>
                <w:shd w:val="clear" w:fill="FFFFFF"/>
                <w:lang w:eastAsia="zh-CN"/>
              </w:rPr>
              <w:t>安康职业技术学院</w:t>
            </w:r>
          </w:p>
          <w:p w14:paraId="20678C71">
            <w:pPr>
              <w:spacing w:line="360" w:lineRule="auto"/>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地      址：</w:t>
            </w:r>
            <w:r>
              <w:rPr>
                <w:rFonts w:hint="eastAsia" w:hAnsi="宋体" w:cs="宋体"/>
                <w:i w:val="0"/>
                <w:iCs w:val="0"/>
                <w:caps w:val="0"/>
                <w:color w:val="auto"/>
                <w:spacing w:val="0"/>
                <w:sz w:val="24"/>
                <w:szCs w:val="24"/>
                <w:shd w:val="clear" w:fill="FFFFFF"/>
                <w:lang w:eastAsia="zh-CN"/>
              </w:rPr>
              <w:t>安康大道2号</w:t>
            </w:r>
          </w:p>
          <w:p w14:paraId="1303BBC7">
            <w:pPr>
              <w:spacing w:line="360" w:lineRule="auto"/>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项目名称：</w:t>
            </w:r>
            <w:r>
              <w:rPr>
                <w:rFonts w:hint="eastAsia" w:hAnsi="宋体" w:cs="宋体"/>
                <w:i w:val="0"/>
                <w:iCs w:val="0"/>
                <w:caps w:val="0"/>
                <w:color w:val="auto"/>
                <w:spacing w:val="0"/>
                <w:sz w:val="24"/>
                <w:szCs w:val="24"/>
                <w:shd w:val="clear" w:fill="FFFFFF"/>
                <w:lang w:eastAsia="zh-CN"/>
              </w:rPr>
              <w:t>2025年超星学习通、读秀知识库数字资源服务项目</w:t>
            </w:r>
          </w:p>
        </w:tc>
      </w:tr>
      <w:tr w14:paraId="42F483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8" w:hRule="exact"/>
        </w:trPr>
        <w:tc>
          <w:tcPr>
            <w:tcW w:w="626" w:type="pct"/>
            <w:noWrap w:val="0"/>
            <w:vAlign w:val="center"/>
          </w:tcPr>
          <w:p w14:paraId="2B6739A7">
            <w:pPr>
              <w:spacing w:line="360"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2</w:t>
            </w:r>
          </w:p>
        </w:tc>
        <w:tc>
          <w:tcPr>
            <w:tcW w:w="4373" w:type="pct"/>
            <w:noWrap w:val="0"/>
            <w:vAlign w:val="center"/>
          </w:tcPr>
          <w:p w14:paraId="1F7B0716">
            <w:pPr>
              <w:spacing w:line="360" w:lineRule="auto"/>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项目实施地点：</w:t>
            </w:r>
            <w:r>
              <w:rPr>
                <w:rFonts w:hint="eastAsia" w:hAnsi="宋体" w:cs="宋体"/>
                <w:color w:val="auto"/>
                <w:szCs w:val="24"/>
                <w:highlight w:val="none"/>
                <w:lang w:val="en-US" w:eastAsia="zh-CN"/>
              </w:rPr>
              <w:t>安康职业技术学院院内</w:t>
            </w:r>
          </w:p>
        </w:tc>
      </w:tr>
      <w:tr w14:paraId="261CED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exact"/>
        </w:trPr>
        <w:tc>
          <w:tcPr>
            <w:tcW w:w="626" w:type="pct"/>
            <w:noWrap w:val="0"/>
            <w:vAlign w:val="center"/>
          </w:tcPr>
          <w:p w14:paraId="4BC1E840">
            <w:pPr>
              <w:spacing w:line="360"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3</w:t>
            </w:r>
          </w:p>
        </w:tc>
        <w:tc>
          <w:tcPr>
            <w:tcW w:w="4373" w:type="pct"/>
            <w:noWrap w:val="0"/>
            <w:vAlign w:val="center"/>
          </w:tcPr>
          <w:p w14:paraId="6BA703CB">
            <w:pPr>
              <w:spacing w:line="360" w:lineRule="auto"/>
              <w:rPr>
                <w:rFonts w:hint="default"/>
                <w:color w:val="auto"/>
                <w:highlight w:val="none"/>
                <w:lang w:val="en-US" w:eastAsia="zh-CN"/>
              </w:rPr>
            </w:pPr>
            <w:r>
              <w:rPr>
                <w:rFonts w:hint="eastAsia"/>
                <w:color w:val="auto"/>
                <w:highlight w:val="none"/>
                <w:lang w:val="en-US" w:eastAsia="zh-CN"/>
              </w:rPr>
              <w:t>服务期</w:t>
            </w:r>
            <w:r>
              <w:rPr>
                <w:rFonts w:hint="eastAsia" w:ascii="宋体" w:hAnsi="宋体" w:eastAsia="宋体" w:cs="宋体"/>
                <w:color w:val="auto"/>
                <w:szCs w:val="24"/>
                <w:highlight w:val="none"/>
                <w:lang w:eastAsia="zh-CN"/>
              </w:rPr>
              <w:t>：</w:t>
            </w:r>
            <w:r>
              <w:rPr>
                <w:rFonts w:hint="eastAsia" w:hAnsi="宋体" w:cs="宋体"/>
                <w:color w:val="auto"/>
                <w:szCs w:val="24"/>
                <w:highlight w:val="none"/>
                <w:lang w:val="en-US" w:eastAsia="zh-CN"/>
              </w:rPr>
              <w:t>自合同签订之日起1年</w:t>
            </w:r>
          </w:p>
        </w:tc>
      </w:tr>
      <w:tr w14:paraId="446C01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0" w:hRule="exact"/>
        </w:trPr>
        <w:tc>
          <w:tcPr>
            <w:tcW w:w="626" w:type="pct"/>
            <w:noWrap w:val="0"/>
            <w:vAlign w:val="center"/>
          </w:tcPr>
          <w:p w14:paraId="0BCB1B84">
            <w:pPr>
              <w:spacing w:line="360" w:lineRule="auto"/>
              <w:jc w:val="center"/>
              <w:rPr>
                <w:rFonts w:hint="eastAsia" w:ascii="宋体" w:hAnsi="宋体" w:eastAsia="宋体" w:cs="宋体"/>
                <w:color w:val="auto"/>
                <w:szCs w:val="24"/>
                <w:highlight w:val="none"/>
                <w:lang w:val="en-US" w:eastAsia="zh-CN"/>
              </w:rPr>
            </w:pPr>
            <w:r>
              <w:rPr>
                <w:rFonts w:hint="eastAsia" w:hAnsi="宋体" w:cs="宋体"/>
                <w:color w:val="auto"/>
                <w:szCs w:val="24"/>
                <w:highlight w:val="none"/>
                <w:lang w:val="en-US" w:eastAsia="zh-CN"/>
              </w:rPr>
              <w:t>4</w:t>
            </w:r>
          </w:p>
        </w:tc>
        <w:tc>
          <w:tcPr>
            <w:tcW w:w="4373" w:type="pct"/>
            <w:noWrap w:val="0"/>
            <w:vAlign w:val="center"/>
          </w:tcPr>
          <w:p w14:paraId="68143787">
            <w:pPr>
              <w:spacing w:line="360" w:lineRule="auto"/>
              <w:rPr>
                <w:rFonts w:hint="default"/>
                <w:color w:val="auto"/>
                <w:highlight w:val="none"/>
                <w:lang w:val="en-US" w:eastAsia="zh-CN"/>
              </w:rPr>
            </w:pPr>
            <w:r>
              <w:rPr>
                <w:rFonts w:hint="eastAsia"/>
                <w:color w:val="auto"/>
                <w:highlight w:val="none"/>
                <w:lang w:val="en-US" w:eastAsia="zh-CN"/>
              </w:rPr>
              <w:t>质量保证：项目的质保期为一年，质保期内涉及的任何质量问题，乙方无条件维护</w:t>
            </w:r>
          </w:p>
        </w:tc>
      </w:tr>
      <w:tr w14:paraId="4EC411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2" w:hRule="atLeast"/>
        </w:trPr>
        <w:tc>
          <w:tcPr>
            <w:tcW w:w="626" w:type="pct"/>
            <w:noWrap w:val="0"/>
            <w:vAlign w:val="center"/>
          </w:tcPr>
          <w:p w14:paraId="43865380">
            <w:pPr>
              <w:spacing w:line="360" w:lineRule="auto"/>
              <w:jc w:val="center"/>
              <w:rPr>
                <w:rFonts w:hint="eastAsia" w:ascii="宋体" w:hAnsi="宋体" w:eastAsia="宋体" w:cs="宋体"/>
                <w:color w:val="auto"/>
                <w:szCs w:val="24"/>
                <w:highlight w:val="none"/>
                <w:lang w:eastAsia="zh-CN"/>
              </w:rPr>
            </w:pPr>
            <w:r>
              <w:rPr>
                <w:rFonts w:hint="eastAsia" w:hAnsi="宋体" w:cs="宋体"/>
                <w:color w:val="auto"/>
                <w:szCs w:val="24"/>
                <w:highlight w:val="none"/>
                <w:lang w:val="en-US" w:eastAsia="zh-CN"/>
              </w:rPr>
              <w:t>5</w:t>
            </w:r>
          </w:p>
        </w:tc>
        <w:tc>
          <w:tcPr>
            <w:tcW w:w="4373" w:type="pct"/>
            <w:noWrap w:val="0"/>
            <w:vAlign w:val="center"/>
          </w:tcPr>
          <w:p w14:paraId="2B5C0BF8">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付款：</w:t>
            </w:r>
          </w:p>
          <w:p w14:paraId="3F0044D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1.合同总价即成交价，不受市场价变化或实际工作量变化的影响。供应商应在磋商报价表中标明完成本次磋商所要求的全部服务的所有费用</w:t>
            </w:r>
            <w:r>
              <w:rPr>
                <w:rFonts w:hint="eastAsia" w:hAnsi="宋体" w:eastAsia="宋体" w:cs="宋体"/>
                <w:color w:val="auto"/>
                <w:sz w:val="24"/>
                <w:szCs w:val="24"/>
                <w:highlight w:val="none"/>
                <w:lang w:eastAsia="zh-CN"/>
              </w:rPr>
              <w:t>。</w:t>
            </w:r>
          </w:p>
          <w:p w14:paraId="4AD1D82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2.付款方式和程序：</w:t>
            </w:r>
          </w:p>
          <w:p w14:paraId="6BB6771C">
            <w:pPr>
              <w:spacing w:line="360" w:lineRule="auto"/>
              <w:ind w:firstLine="482" w:firstLineChars="200"/>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2.1由采购人负责结算，在付款前，供应商必须开具全额发票给采购人</w:t>
            </w:r>
            <w:r>
              <w:rPr>
                <w:rFonts w:hint="eastAsia" w:hAnsi="宋体" w:cs="宋体"/>
                <w:b/>
                <w:bCs/>
                <w:color w:val="auto"/>
                <w:sz w:val="24"/>
                <w:szCs w:val="24"/>
                <w:highlight w:val="none"/>
                <w:lang w:eastAsia="zh-CN"/>
              </w:rPr>
              <w:t>；</w:t>
            </w:r>
          </w:p>
          <w:p w14:paraId="4B94252A">
            <w:pPr>
              <w:spacing w:line="360" w:lineRule="auto"/>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2.2付款方式：</w:t>
            </w:r>
            <w:r>
              <w:rPr>
                <w:rFonts w:hint="eastAsia" w:hAnsi="宋体" w:eastAsia="宋体" w:cs="宋体"/>
                <w:b/>
                <w:bCs/>
                <w:color w:val="auto"/>
                <w:sz w:val="24"/>
                <w:szCs w:val="24"/>
                <w:highlight w:val="none"/>
                <w:lang w:eastAsia="zh-CN"/>
              </w:rPr>
              <w:t>项目完成验收合格后付合同总价的100%</w:t>
            </w:r>
            <w:r>
              <w:rPr>
                <w:rFonts w:hint="eastAsia" w:hAnsi="宋体" w:cs="宋体"/>
                <w:b/>
                <w:bCs/>
                <w:color w:val="auto"/>
                <w:sz w:val="24"/>
                <w:szCs w:val="24"/>
                <w:highlight w:val="none"/>
                <w:lang w:eastAsia="zh-CN"/>
              </w:rPr>
              <w:t>；</w:t>
            </w:r>
          </w:p>
          <w:p w14:paraId="264D4383">
            <w:pPr>
              <w:spacing w:line="360" w:lineRule="auto"/>
              <w:ind w:firstLine="482" w:firstLineChars="200"/>
              <w:rPr>
                <w:rFonts w:hint="eastAsia" w:ascii="宋体" w:hAnsi="宋体" w:eastAsia="宋体" w:cs="宋体"/>
                <w:color w:val="auto"/>
                <w:szCs w:val="24"/>
                <w:highlight w:val="none"/>
                <w:lang w:eastAsia="zh-CN"/>
              </w:rPr>
            </w:pPr>
            <w:r>
              <w:rPr>
                <w:rFonts w:hint="eastAsia" w:ascii="宋体" w:hAnsi="宋体" w:eastAsia="宋体" w:cs="宋体"/>
                <w:b/>
                <w:bCs/>
                <w:color w:val="auto"/>
                <w:sz w:val="24"/>
                <w:szCs w:val="24"/>
                <w:highlight w:val="none"/>
              </w:rPr>
              <w:t>2.3支付方式：银行转账</w:t>
            </w:r>
            <w:r>
              <w:rPr>
                <w:rFonts w:hint="eastAsia" w:hAnsi="宋体" w:cs="宋体"/>
                <w:b/>
                <w:bCs/>
                <w:color w:val="auto"/>
                <w:sz w:val="24"/>
                <w:szCs w:val="24"/>
                <w:highlight w:val="none"/>
                <w:lang w:eastAsia="zh-CN"/>
              </w:rPr>
              <w:t>。</w:t>
            </w:r>
          </w:p>
        </w:tc>
      </w:tr>
      <w:tr w14:paraId="263501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trPr>
        <w:tc>
          <w:tcPr>
            <w:tcW w:w="626" w:type="pct"/>
            <w:noWrap w:val="0"/>
            <w:vAlign w:val="center"/>
          </w:tcPr>
          <w:p w14:paraId="6FF27520">
            <w:pPr>
              <w:spacing w:line="360" w:lineRule="auto"/>
              <w:jc w:val="center"/>
              <w:rPr>
                <w:rFonts w:hint="eastAsia" w:ascii="宋体" w:hAnsi="宋体" w:eastAsia="宋体" w:cs="宋体"/>
                <w:color w:val="auto"/>
                <w:szCs w:val="24"/>
                <w:highlight w:val="none"/>
                <w:lang w:eastAsia="zh-CN"/>
              </w:rPr>
            </w:pPr>
            <w:r>
              <w:rPr>
                <w:rFonts w:hint="eastAsia" w:hAnsi="宋体" w:cs="宋体"/>
                <w:color w:val="auto"/>
                <w:szCs w:val="24"/>
                <w:highlight w:val="none"/>
                <w:lang w:val="en-US" w:eastAsia="zh-CN"/>
              </w:rPr>
              <w:t>6</w:t>
            </w:r>
          </w:p>
        </w:tc>
        <w:tc>
          <w:tcPr>
            <w:tcW w:w="4373" w:type="pct"/>
            <w:noWrap w:val="0"/>
            <w:vAlign w:val="center"/>
          </w:tcPr>
          <w:p w14:paraId="00B6C8EE">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服务支持：</w:t>
            </w:r>
          </w:p>
          <w:p w14:paraId="082FE2AE">
            <w:pPr>
              <w:spacing w:line="360" w:lineRule="auto"/>
              <w:ind w:firstLine="48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提供服务期内每周7×24小时的技术咨询服务响应。供应商怠于或无法提供技术支持的，采购人有权委托第三方处理，由此产生的费用和后果由供应商负责，费用直接从应付款或服务费中扣除。供应商指定的项目总协调人必须是供应商公司管理层人员。项目</w:t>
            </w:r>
            <w:r>
              <w:rPr>
                <w:rFonts w:hint="eastAsia" w:hAnsi="宋体" w:eastAsia="宋体" w:cs="宋体"/>
                <w:bCs/>
                <w:color w:val="auto"/>
                <w:szCs w:val="21"/>
                <w:highlight w:val="none"/>
                <w:lang w:eastAsia="zh-CN"/>
              </w:rPr>
              <w:t>服务</w:t>
            </w:r>
            <w:r>
              <w:rPr>
                <w:rFonts w:hint="eastAsia" w:ascii="宋体" w:hAnsi="宋体" w:eastAsia="宋体" w:cs="宋体"/>
                <w:bCs/>
                <w:color w:val="auto"/>
                <w:szCs w:val="21"/>
                <w:highlight w:val="none"/>
              </w:rPr>
              <w:t>过程中一旦出现重大问题，项目总协调人应能及时赶到现场。供应商更换项目负责人和主要技术人员，须将变更人及其工作影响、替换人资历等情况以书面材料报告项目采购人审核，经同意后方可更换。因供应商的人员变更原因所造成的任何项目质量、进度滞后的后果，由供应商承担。</w:t>
            </w:r>
          </w:p>
          <w:p w14:paraId="0531BF4F">
            <w:pPr>
              <w:spacing w:line="360" w:lineRule="auto"/>
              <w:ind w:firstLine="480" w:firstLineChars="200"/>
              <w:jc w:val="left"/>
              <w:rPr>
                <w:rFonts w:hint="eastAsia" w:ascii="宋体" w:hAnsi="宋体" w:eastAsia="宋体" w:cs="宋体"/>
                <w:color w:val="auto"/>
                <w:szCs w:val="24"/>
                <w:highlight w:val="none"/>
                <w:lang w:eastAsia="zh-CN"/>
              </w:rPr>
            </w:pPr>
            <w:r>
              <w:rPr>
                <w:rFonts w:hint="eastAsia" w:ascii="宋体" w:hAnsi="宋体" w:eastAsia="宋体" w:cs="宋体"/>
                <w:bCs/>
                <w:color w:val="auto"/>
                <w:szCs w:val="21"/>
                <w:highlight w:val="none"/>
              </w:rPr>
              <w:t>2.供应商在项目实施过程中，质量保障人员、资源不足或者执行不力，给项目质量带来的风险超出采购人认定的允许范围时，采购人可终止本项目的合作并进行索赔。</w:t>
            </w:r>
          </w:p>
        </w:tc>
      </w:tr>
      <w:tr w14:paraId="503789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trPr>
        <w:tc>
          <w:tcPr>
            <w:tcW w:w="626" w:type="pct"/>
            <w:noWrap w:val="0"/>
            <w:vAlign w:val="center"/>
          </w:tcPr>
          <w:p w14:paraId="3961173F">
            <w:pPr>
              <w:spacing w:line="360" w:lineRule="auto"/>
              <w:jc w:val="center"/>
              <w:rPr>
                <w:rFonts w:hint="eastAsia" w:ascii="宋体" w:hAnsi="宋体" w:eastAsia="宋体" w:cs="宋体"/>
                <w:color w:val="auto"/>
                <w:szCs w:val="24"/>
                <w:highlight w:val="none"/>
                <w:lang w:val="en-US" w:eastAsia="zh-CN"/>
              </w:rPr>
            </w:pPr>
            <w:r>
              <w:rPr>
                <w:rFonts w:hint="eastAsia" w:hAnsi="宋体" w:cs="宋体"/>
                <w:color w:val="auto"/>
                <w:szCs w:val="24"/>
                <w:highlight w:val="none"/>
                <w:lang w:val="en-US" w:eastAsia="zh-CN"/>
              </w:rPr>
              <w:t>7</w:t>
            </w:r>
          </w:p>
        </w:tc>
        <w:tc>
          <w:tcPr>
            <w:tcW w:w="4373" w:type="pct"/>
            <w:noWrap w:val="0"/>
            <w:vAlign w:val="center"/>
          </w:tcPr>
          <w:p w14:paraId="7EDDB95D">
            <w:pPr>
              <w:pStyle w:val="10"/>
              <w:tabs>
                <w:tab w:val="left" w:pos="0"/>
              </w:tabs>
              <w:spacing w:line="360" w:lineRule="auto"/>
              <w:rPr>
                <w:rFonts w:hint="eastAsia" w:ascii="宋体" w:hAnsi="宋体" w:eastAsia="宋体" w:cs="宋体"/>
                <w:b/>
                <w:color w:val="auto"/>
                <w:kern w:val="0"/>
                <w:sz w:val="24"/>
                <w:szCs w:val="24"/>
                <w:highlight w:val="none"/>
                <w:lang w:val="en-US" w:eastAsia="zh-CN" w:bidi="ar-SA"/>
              </w:rPr>
            </w:pPr>
            <w:r>
              <w:rPr>
                <w:rFonts w:hint="eastAsia" w:ascii="宋体" w:hAnsi="宋体" w:eastAsia="宋体" w:cs="宋体"/>
                <w:b/>
                <w:color w:val="auto"/>
                <w:kern w:val="0"/>
                <w:sz w:val="24"/>
                <w:szCs w:val="24"/>
                <w:highlight w:val="none"/>
                <w:lang w:val="en-US" w:eastAsia="zh-CN" w:bidi="ar-SA"/>
              </w:rPr>
              <w:t>验收：</w:t>
            </w:r>
          </w:p>
          <w:p w14:paraId="4B82B11C">
            <w:pPr>
              <w:pStyle w:val="10"/>
              <w:keepNext w:val="0"/>
              <w:keepLines w:val="0"/>
              <w:pageBreakBefore w:val="0"/>
              <w:widowControl w:val="0"/>
              <w:tabs>
                <w:tab w:val="left" w:pos="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1、乙方应对提交的服务成果作出全面检查和整理并出具情况报告，附检测记录表，作为甲方验收和使用的技术条件依据，评估记录表应随提交的服务成果交给甲方。</w:t>
            </w:r>
          </w:p>
          <w:p w14:paraId="1E8DDB79">
            <w:pPr>
              <w:pStyle w:val="10"/>
              <w:keepNext w:val="0"/>
              <w:keepLines w:val="0"/>
              <w:pageBreakBefore w:val="0"/>
              <w:widowControl w:val="0"/>
              <w:tabs>
                <w:tab w:val="left" w:pos="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hAnsi="宋体" w:cs="宋体"/>
                <w:color w:val="auto"/>
                <w:kern w:val="0"/>
                <w:sz w:val="24"/>
                <w:szCs w:val="24"/>
                <w:highlight w:val="none"/>
                <w:lang w:val="en-US" w:eastAsia="zh-CN" w:bidi="ar-SA"/>
              </w:rPr>
              <w:t>2、</w:t>
            </w:r>
            <w:r>
              <w:rPr>
                <w:rFonts w:hint="eastAsia" w:ascii="宋体" w:hAnsi="宋体" w:eastAsia="宋体" w:cs="宋体"/>
                <w:color w:val="auto"/>
                <w:kern w:val="0"/>
                <w:sz w:val="24"/>
                <w:szCs w:val="24"/>
                <w:highlight w:val="none"/>
                <w:lang w:val="en-US" w:eastAsia="zh-CN" w:bidi="ar-SA"/>
              </w:rPr>
              <w:t>对复杂的服务，甲方可请国家认可的专业机构参与验收，并由其出具验收报告，相关费用由甲方承担。</w:t>
            </w:r>
          </w:p>
          <w:p w14:paraId="21AE6C8C">
            <w:pPr>
              <w:pStyle w:val="10"/>
              <w:keepNext w:val="0"/>
              <w:keepLines w:val="0"/>
              <w:pageBreakBefore w:val="0"/>
              <w:widowControl w:val="0"/>
              <w:tabs>
                <w:tab w:val="left" w:pos="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Cs w:val="21"/>
                <w:highlight w:val="none"/>
              </w:rPr>
            </w:pPr>
            <w:r>
              <w:rPr>
                <w:rFonts w:hint="eastAsia" w:hAnsi="宋体" w:cs="宋体"/>
                <w:color w:val="auto"/>
                <w:kern w:val="0"/>
                <w:sz w:val="24"/>
                <w:szCs w:val="24"/>
                <w:highlight w:val="none"/>
                <w:lang w:val="en-US" w:eastAsia="zh-CN" w:bidi="ar-SA"/>
              </w:rPr>
              <w:t>3</w:t>
            </w:r>
            <w:r>
              <w:rPr>
                <w:rFonts w:hint="eastAsia" w:ascii="宋体" w:hAnsi="宋体" w:eastAsia="宋体" w:cs="宋体"/>
                <w:color w:val="auto"/>
                <w:kern w:val="0"/>
                <w:sz w:val="24"/>
                <w:szCs w:val="24"/>
                <w:highlight w:val="none"/>
                <w:lang w:val="en-US" w:eastAsia="zh-CN" w:bidi="ar-SA"/>
              </w:rPr>
              <w:t>、如政府出具新的政策，则按照最新政策进行执行。并对服务合同进行相应修正。</w:t>
            </w:r>
          </w:p>
        </w:tc>
      </w:tr>
      <w:tr w14:paraId="565E88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trPr>
        <w:tc>
          <w:tcPr>
            <w:tcW w:w="626" w:type="pct"/>
            <w:noWrap w:val="0"/>
            <w:vAlign w:val="center"/>
          </w:tcPr>
          <w:p w14:paraId="3612613F">
            <w:pPr>
              <w:spacing w:line="360" w:lineRule="auto"/>
              <w:jc w:val="center"/>
              <w:rPr>
                <w:rFonts w:hint="eastAsia" w:ascii="宋体" w:hAnsi="宋体" w:eastAsia="宋体" w:cs="宋体"/>
                <w:color w:val="auto"/>
                <w:szCs w:val="24"/>
                <w:highlight w:val="none"/>
                <w:lang w:eastAsia="zh-CN"/>
              </w:rPr>
            </w:pPr>
            <w:r>
              <w:rPr>
                <w:rFonts w:hint="eastAsia" w:hAnsi="宋体" w:cs="宋体"/>
                <w:color w:val="auto"/>
                <w:szCs w:val="24"/>
                <w:highlight w:val="none"/>
                <w:lang w:val="en-US" w:eastAsia="zh-CN"/>
              </w:rPr>
              <w:t>8</w:t>
            </w:r>
          </w:p>
        </w:tc>
        <w:tc>
          <w:tcPr>
            <w:tcW w:w="4373" w:type="pct"/>
            <w:noWrap w:val="0"/>
            <w:vAlign w:val="center"/>
          </w:tcPr>
          <w:p w14:paraId="2A8E8CA1">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知识产权、专利权：</w:t>
            </w:r>
          </w:p>
          <w:p w14:paraId="60A1A98A">
            <w:pPr>
              <w:tabs>
                <w:tab w:val="left" w:pos="498"/>
              </w:tabs>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供应商应对所提供的文稿及图像、影像材料</w:t>
            </w:r>
            <w:r>
              <w:rPr>
                <w:rFonts w:hint="eastAsia" w:hAnsi="宋体" w:eastAsia="宋体" w:cs="宋体"/>
                <w:color w:val="auto"/>
                <w:szCs w:val="24"/>
                <w:highlight w:val="none"/>
                <w:lang w:eastAsia="zh-CN"/>
              </w:rPr>
              <w:t>、设备</w:t>
            </w:r>
            <w:r>
              <w:rPr>
                <w:rFonts w:hint="eastAsia" w:ascii="宋体" w:hAnsi="宋体" w:eastAsia="宋体" w:cs="宋体"/>
                <w:color w:val="auto"/>
                <w:szCs w:val="24"/>
                <w:highlight w:val="none"/>
              </w:rPr>
              <w:t>，已取得合法知识产权或其使用权，供应商应保证所提供的服务不会出现因第三方提出侵犯其版权、商标权或其它知识产权而引发法律或经济纠纷，否则由供应商负责解决并承担全部责任；如因此影响到采购人的正常使用，采购人有权单方解除本合同，供应商应无条件向采购人退回已收取的全部合同价款。</w:t>
            </w:r>
          </w:p>
        </w:tc>
      </w:tr>
      <w:tr w14:paraId="50B2DA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trPr>
        <w:tc>
          <w:tcPr>
            <w:tcW w:w="626" w:type="pct"/>
            <w:noWrap w:val="0"/>
            <w:vAlign w:val="center"/>
          </w:tcPr>
          <w:p w14:paraId="5A8824FA">
            <w:pPr>
              <w:spacing w:line="360" w:lineRule="auto"/>
              <w:jc w:val="center"/>
              <w:rPr>
                <w:rFonts w:hint="default" w:hAnsi="宋体" w:eastAsia="宋体" w:cs="宋体"/>
                <w:color w:val="auto"/>
                <w:szCs w:val="24"/>
                <w:highlight w:val="none"/>
                <w:lang w:val="en-US" w:eastAsia="zh-CN"/>
              </w:rPr>
            </w:pPr>
            <w:r>
              <w:rPr>
                <w:rFonts w:hint="eastAsia" w:hAnsi="宋体" w:cs="宋体"/>
                <w:color w:val="auto"/>
                <w:szCs w:val="24"/>
                <w:highlight w:val="none"/>
                <w:lang w:val="en-US" w:eastAsia="zh-CN"/>
              </w:rPr>
              <w:t>9</w:t>
            </w:r>
          </w:p>
        </w:tc>
        <w:tc>
          <w:tcPr>
            <w:tcW w:w="4373" w:type="pct"/>
            <w:noWrap w:val="0"/>
            <w:vAlign w:val="center"/>
          </w:tcPr>
          <w:p w14:paraId="0B1E2B39">
            <w:pPr>
              <w:tabs>
                <w:tab w:val="left" w:pos="498"/>
              </w:tabs>
              <w:spacing w:line="360" w:lineRule="auto"/>
              <w:rPr>
                <w:rFonts w:hint="eastAsia" w:ascii="宋体" w:hAnsi="宋体" w:eastAsia="宋体" w:cs="宋体"/>
                <w:b/>
                <w:color w:val="auto"/>
                <w:szCs w:val="24"/>
                <w:highlight w:val="none"/>
                <w:lang w:eastAsia="zh-CN"/>
              </w:rPr>
            </w:pPr>
            <w:r>
              <w:rPr>
                <w:rFonts w:hint="eastAsia" w:ascii="宋体" w:hAnsi="宋体" w:eastAsia="宋体" w:cs="宋体"/>
                <w:b/>
                <w:color w:val="auto"/>
                <w:szCs w:val="24"/>
                <w:highlight w:val="none"/>
                <w:lang w:eastAsia="zh-CN"/>
              </w:rPr>
              <w:t>保密：</w:t>
            </w:r>
          </w:p>
          <w:p w14:paraId="641F2163">
            <w:pPr>
              <w:tabs>
                <w:tab w:val="left" w:pos="498"/>
              </w:tabs>
              <w:spacing w:line="360" w:lineRule="auto"/>
              <w:ind w:firstLine="480" w:firstLineChars="200"/>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lang w:eastAsia="zh-CN"/>
              </w:rPr>
              <w:t>乙方对服务过程中</w:t>
            </w:r>
            <w:r>
              <w:rPr>
                <w:rFonts w:hint="eastAsia" w:hAnsi="宋体" w:eastAsia="宋体" w:cs="宋体"/>
                <w:color w:val="auto"/>
                <w:szCs w:val="24"/>
                <w:highlight w:val="none"/>
                <w:lang w:eastAsia="zh-CN"/>
              </w:rPr>
              <w:t>所</w:t>
            </w:r>
            <w:r>
              <w:rPr>
                <w:rFonts w:hint="eastAsia" w:ascii="宋体" w:hAnsi="宋体" w:eastAsia="宋体" w:cs="宋体"/>
                <w:color w:val="auto"/>
                <w:szCs w:val="24"/>
                <w:highlight w:val="none"/>
                <w:lang w:eastAsia="zh-CN"/>
              </w:rPr>
              <w:t>涉及到的</w:t>
            </w:r>
            <w:r>
              <w:rPr>
                <w:rFonts w:hint="eastAsia" w:hAnsi="宋体" w:eastAsia="宋体" w:cs="宋体"/>
                <w:color w:val="auto"/>
                <w:szCs w:val="24"/>
                <w:highlight w:val="none"/>
                <w:lang w:eastAsia="zh-CN"/>
              </w:rPr>
              <w:t>信息、</w:t>
            </w:r>
            <w:r>
              <w:rPr>
                <w:rFonts w:hint="eastAsia" w:ascii="宋体" w:hAnsi="宋体" w:eastAsia="宋体" w:cs="宋体"/>
                <w:color w:val="auto"/>
                <w:szCs w:val="24"/>
                <w:highlight w:val="none"/>
                <w:lang w:eastAsia="zh-CN"/>
              </w:rPr>
              <w:t>资料，需进行有效的</w:t>
            </w:r>
            <w:r>
              <w:rPr>
                <w:rFonts w:hint="eastAsia" w:hAnsi="宋体" w:eastAsia="宋体" w:cs="宋体"/>
                <w:color w:val="auto"/>
                <w:szCs w:val="24"/>
                <w:highlight w:val="none"/>
                <w:lang w:eastAsia="zh-CN"/>
              </w:rPr>
              <w:t>管理及</w:t>
            </w:r>
            <w:r>
              <w:rPr>
                <w:rFonts w:hint="eastAsia" w:ascii="宋体" w:hAnsi="宋体" w:eastAsia="宋体" w:cs="宋体"/>
                <w:color w:val="auto"/>
                <w:szCs w:val="24"/>
                <w:highlight w:val="none"/>
                <w:lang w:eastAsia="zh-CN"/>
              </w:rPr>
              <w:t>保密，防止</w:t>
            </w:r>
            <w:r>
              <w:rPr>
                <w:rFonts w:hint="eastAsia" w:hAnsi="宋体" w:eastAsia="宋体" w:cs="宋体"/>
                <w:color w:val="auto"/>
                <w:szCs w:val="24"/>
                <w:highlight w:val="none"/>
                <w:lang w:eastAsia="zh-CN"/>
              </w:rPr>
              <w:t>损坏、遗失及</w:t>
            </w:r>
            <w:r>
              <w:rPr>
                <w:rFonts w:hint="eastAsia" w:ascii="宋体" w:hAnsi="宋体" w:eastAsia="宋体" w:cs="宋体"/>
                <w:color w:val="auto"/>
                <w:szCs w:val="24"/>
                <w:highlight w:val="none"/>
                <w:lang w:eastAsia="zh-CN"/>
              </w:rPr>
              <w:t>泄露</w:t>
            </w:r>
            <w:r>
              <w:rPr>
                <w:rFonts w:hint="eastAsia" w:hAnsi="宋体" w:eastAsia="宋体" w:cs="宋体"/>
                <w:color w:val="auto"/>
                <w:szCs w:val="24"/>
                <w:highlight w:val="none"/>
                <w:lang w:eastAsia="zh-CN"/>
              </w:rPr>
              <w:t>。</w:t>
            </w:r>
            <w:r>
              <w:rPr>
                <w:rFonts w:hint="eastAsia" w:ascii="宋体" w:hAnsi="宋体" w:eastAsia="宋体" w:cs="宋体"/>
                <w:color w:val="auto"/>
                <w:szCs w:val="24"/>
                <w:highlight w:val="none"/>
                <w:lang w:eastAsia="zh-CN"/>
              </w:rPr>
              <w:t>如因乙方原因导致资料损坏</w:t>
            </w:r>
            <w:r>
              <w:rPr>
                <w:rFonts w:hint="eastAsia" w:hAnsi="宋体" w:eastAsia="宋体" w:cs="宋体"/>
                <w:color w:val="auto"/>
                <w:szCs w:val="24"/>
                <w:highlight w:val="none"/>
                <w:lang w:eastAsia="zh-CN"/>
              </w:rPr>
              <w:t>、遗失</w:t>
            </w:r>
            <w:r>
              <w:rPr>
                <w:rFonts w:hint="eastAsia" w:ascii="宋体" w:hAnsi="宋体" w:eastAsia="宋体" w:cs="宋体"/>
                <w:color w:val="auto"/>
                <w:szCs w:val="24"/>
                <w:highlight w:val="none"/>
                <w:lang w:eastAsia="zh-CN"/>
              </w:rPr>
              <w:t>或信息泄露等情况，</w:t>
            </w:r>
            <w:r>
              <w:rPr>
                <w:rFonts w:hint="eastAsia" w:hAnsi="宋体" w:eastAsia="宋体" w:cs="宋体"/>
                <w:color w:val="auto"/>
                <w:szCs w:val="24"/>
                <w:highlight w:val="none"/>
                <w:lang w:eastAsia="zh-CN"/>
              </w:rPr>
              <w:t>甲方</w:t>
            </w:r>
            <w:r>
              <w:rPr>
                <w:rFonts w:hint="eastAsia" w:ascii="宋体" w:hAnsi="宋体" w:eastAsia="宋体" w:cs="宋体"/>
                <w:color w:val="auto"/>
                <w:szCs w:val="24"/>
                <w:highlight w:val="none"/>
                <w:lang w:eastAsia="zh-CN"/>
              </w:rPr>
              <w:t>有权进行追究相关经济及法律责任。</w:t>
            </w:r>
          </w:p>
        </w:tc>
      </w:tr>
      <w:tr w14:paraId="1DC9FC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trPr>
        <w:tc>
          <w:tcPr>
            <w:tcW w:w="626" w:type="pct"/>
            <w:noWrap w:val="0"/>
            <w:vAlign w:val="center"/>
          </w:tcPr>
          <w:p w14:paraId="026A3C8C">
            <w:pPr>
              <w:spacing w:line="360" w:lineRule="auto"/>
              <w:jc w:val="center"/>
              <w:rPr>
                <w:rFonts w:hint="default" w:ascii="宋体" w:hAnsi="宋体" w:eastAsia="宋体" w:cs="宋体"/>
                <w:color w:val="auto"/>
                <w:szCs w:val="24"/>
                <w:highlight w:val="none"/>
                <w:lang w:val="en-US" w:eastAsia="zh-CN"/>
              </w:rPr>
            </w:pPr>
            <w:r>
              <w:rPr>
                <w:rFonts w:hint="eastAsia" w:hAnsi="宋体" w:cs="宋体"/>
                <w:color w:val="auto"/>
                <w:szCs w:val="24"/>
                <w:highlight w:val="none"/>
                <w:lang w:val="en-US" w:eastAsia="zh-CN"/>
              </w:rPr>
              <w:t>10</w:t>
            </w:r>
          </w:p>
        </w:tc>
        <w:tc>
          <w:tcPr>
            <w:tcW w:w="4373" w:type="pct"/>
            <w:noWrap w:val="0"/>
            <w:vAlign w:val="center"/>
          </w:tcPr>
          <w:p w14:paraId="3F2D57EE">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违约责任：</w:t>
            </w:r>
          </w:p>
          <w:p w14:paraId="1B65E57E">
            <w:pPr>
              <w:tabs>
                <w:tab w:val="left" w:pos="152"/>
              </w:tabs>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1、按《</w:t>
            </w:r>
            <w:r>
              <w:rPr>
                <w:rFonts w:hint="eastAsia" w:hAnsi="宋体" w:cs="宋体"/>
                <w:color w:val="auto"/>
                <w:szCs w:val="24"/>
                <w:highlight w:val="none"/>
                <w:lang w:eastAsia="zh-CN"/>
              </w:rPr>
              <w:t>中华人民共和国民法典</w:t>
            </w:r>
            <w:r>
              <w:rPr>
                <w:rFonts w:hint="eastAsia" w:ascii="宋体" w:hAnsi="宋体" w:eastAsia="宋体" w:cs="宋体"/>
                <w:color w:val="auto"/>
                <w:szCs w:val="24"/>
                <w:highlight w:val="none"/>
              </w:rPr>
              <w:t>》中的相关条款执行。</w:t>
            </w:r>
          </w:p>
          <w:p w14:paraId="0C16D51E">
            <w:pPr>
              <w:snapToGrid w:val="0"/>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2、未按合同要求提供服务或服务不能满足合同要求，采购人应当将服务商违约的情况以及拟采取的措施以书面形式报政府采购监管部门，根据政府采购监管部门的处理意见，采购人有权依据《</w:t>
            </w:r>
            <w:r>
              <w:rPr>
                <w:rFonts w:hint="eastAsia" w:hAnsi="宋体" w:cs="宋体"/>
                <w:color w:val="auto"/>
                <w:szCs w:val="24"/>
                <w:highlight w:val="none"/>
                <w:lang w:eastAsia="zh-CN"/>
              </w:rPr>
              <w:t>中华人民共和国民法典</w:t>
            </w:r>
            <w:r>
              <w:rPr>
                <w:rFonts w:hint="eastAsia" w:ascii="宋体" w:hAnsi="宋体" w:eastAsia="宋体" w:cs="宋体"/>
                <w:color w:val="auto"/>
                <w:szCs w:val="24"/>
                <w:highlight w:val="none"/>
              </w:rPr>
              <w:t>》有关条款及合同约定终止合同，并要求服务商承担违约责任。同时，政府采购监管部门有权依据《</w:t>
            </w:r>
            <w:r>
              <w:rPr>
                <w:rFonts w:hint="eastAsia" w:hAnsi="宋体" w:cs="宋体"/>
                <w:color w:val="auto"/>
                <w:szCs w:val="24"/>
                <w:highlight w:val="none"/>
                <w:lang w:val="en-US" w:eastAsia="zh-CN"/>
              </w:rPr>
              <w:t>中华人民共和国</w:t>
            </w:r>
            <w:r>
              <w:rPr>
                <w:rFonts w:hint="eastAsia" w:ascii="宋体" w:hAnsi="宋体" w:eastAsia="宋体" w:cs="宋体"/>
                <w:color w:val="auto"/>
                <w:szCs w:val="24"/>
                <w:highlight w:val="none"/>
              </w:rPr>
              <w:t>政府采购法》及相关法律法规对服务商的违法行为进行相应的处罚。</w:t>
            </w:r>
          </w:p>
        </w:tc>
      </w:tr>
      <w:tr w14:paraId="18707B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trPr>
        <w:tc>
          <w:tcPr>
            <w:tcW w:w="626" w:type="pct"/>
            <w:noWrap w:val="0"/>
            <w:vAlign w:val="center"/>
          </w:tcPr>
          <w:p w14:paraId="742A1180">
            <w:pPr>
              <w:spacing w:line="360" w:lineRule="auto"/>
              <w:jc w:val="center"/>
              <w:rPr>
                <w:rFonts w:hint="default" w:ascii="宋体" w:hAnsi="宋体" w:eastAsia="宋体" w:cs="宋体"/>
                <w:color w:val="auto"/>
                <w:szCs w:val="24"/>
                <w:highlight w:val="none"/>
                <w:lang w:val="en-US" w:eastAsia="zh-CN"/>
              </w:rPr>
            </w:pPr>
            <w:r>
              <w:rPr>
                <w:rFonts w:hint="eastAsia" w:hAnsi="宋体" w:eastAsia="宋体" w:cs="宋体"/>
                <w:color w:val="auto"/>
                <w:szCs w:val="24"/>
                <w:highlight w:val="none"/>
                <w:lang w:val="en-US" w:eastAsia="zh-CN"/>
              </w:rPr>
              <w:t>1</w:t>
            </w:r>
            <w:r>
              <w:rPr>
                <w:rFonts w:hint="eastAsia" w:hAnsi="宋体" w:cs="宋体"/>
                <w:color w:val="auto"/>
                <w:szCs w:val="24"/>
                <w:highlight w:val="none"/>
                <w:lang w:val="en-US" w:eastAsia="zh-CN"/>
              </w:rPr>
              <w:t>1</w:t>
            </w:r>
          </w:p>
        </w:tc>
        <w:tc>
          <w:tcPr>
            <w:tcW w:w="4373" w:type="pct"/>
            <w:noWrap w:val="0"/>
            <w:vAlign w:val="center"/>
          </w:tcPr>
          <w:p w14:paraId="7AA6A616">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政府采购合同：</w:t>
            </w:r>
          </w:p>
          <w:p w14:paraId="67B6B754">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政府采购合同适用</w:t>
            </w:r>
            <w:r>
              <w:rPr>
                <w:rFonts w:hint="eastAsia" w:hAnsi="宋体" w:cs="宋体"/>
                <w:color w:val="auto"/>
                <w:szCs w:val="24"/>
                <w:highlight w:val="none"/>
                <w:lang w:eastAsia="zh-CN"/>
              </w:rPr>
              <w:t>中华人民共和国民法典</w:t>
            </w:r>
            <w:r>
              <w:rPr>
                <w:rFonts w:hint="eastAsia" w:ascii="宋体" w:hAnsi="宋体" w:eastAsia="宋体" w:cs="宋体"/>
                <w:color w:val="auto"/>
                <w:szCs w:val="24"/>
                <w:highlight w:val="none"/>
              </w:rPr>
              <w:t>。采购人和供应商之间的权利和义务，应当按照平等、自愿的原则以合同方式约定。</w:t>
            </w:r>
            <w:r>
              <w:rPr>
                <w:rFonts w:hint="eastAsia" w:ascii="宋体" w:hAnsi="宋体" w:eastAsia="宋体" w:cs="宋体"/>
                <w:color w:val="auto"/>
                <w:szCs w:val="24"/>
                <w:highlight w:val="none"/>
              </w:rPr>
              <w:br w:type="textWrapping"/>
            </w:r>
            <w:r>
              <w:rPr>
                <w:rFonts w:hint="eastAsia" w:ascii="宋体" w:hAnsi="宋体" w:eastAsia="宋体" w:cs="宋体"/>
                <w:color w:val="auto"/>
                <w:szCs w:val="24"/>
                <w:highlight w:val="none"/>
              </w:rPr>
              <w:t xml:space="preserve">    采购人可以委托采购代理机构代表其与供应商签订政府采购合同。由采购代理机构以采购人名义签订合同的，应当提交采购人的授权委托书，作为合同附件。</w:t>
            </w:r>
            <w:r>
              <w:rPr>
                <w:rFonts w:hint="eastAsia" w:ascii="宋体" w:hAnsi="宋体" w:eastAsia="宋体" w:cs="宋体"/>
                <w:color w:val="auto"/>
                <w:szCs w:val="24"/>
                <w:highlight w:val="none"/>
              </w:rPr>
              <w:br w:type="textWrapping"/>
            </w:r>
            <w:r>
              <w:rPr>
                <w:rFonts w:hint="eastAsia" w:ascii="宋体" w:hAnsi="宋体" w:eastAsia="宋体" w:cs="宋体"/>
                <w:color w:val="auto"/>
                <w:szCs w:val="24"/>
                <w:highlight w:val="none"/>
              </w:rPr>
              <w:t xml:space="preserve">    采购人与中标、成交供应商应当在中标、成交通知书发出之日起三十日内，按照采购文件确定的事项签订政府采购合同。</w:t>
            </w:r>
            <w:r>
              <w:rPr>
                <w:rFonts w:hint="eastAsia" w:ascii="宋体" w:hAnsi="宋体" w:eastAsia="宋体" w:cs="宋体"/>
                <w:color w:val="auto"/>
                <w:szCs w:val="24"/>
                <w:highlight w:val="none"/>
              </w:rPr>
              <w:br w:type="textWrapping"/>
            </w:r>
            <w:r>
              <w:rPr>
                <w:rFonts w:hint="eastAsia" w:ascii="宋体" w:hAnsi="宋体" w:eastAsia="宋体" w:cs="宋体"/>
                <w:color w:val="auto"/>
                <w:szCs w:val="24"/>
                <w:highlight w:val="none"/>
              </w:rPr>
              <w:t xml:space="preserve">    中标、成交通知书对采购人和中标、成交供应商均具有法律效力。中标、成交通知书发出后，采购人改变中标、成交结果的，或者中标、成交供应商放弃中标、成交项目的，应当依法承担法律责任。</w:t>
            </w:r>
          </w:p>
          <w:p w14:paraId="0365BC9D">
            <w:pPr>
              <w:pStyle w:val="1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经采购人同意，中标、成交供应商可以依法采取分包方式履行合同。政府采购合同分包履行的，中标、成交供应商就采购项目和分包项目向采购人负责，分包供应商就分包项目承担责任。</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 xml:space="preserve">    政府采购合同履行中，采购人需追加与合同标的相同的货物、工程或者服务的，在不改变合同其他条款的前提下，可以与供应商协商签订补充合同，但所有补充合同的采购金额不得超过原合同采购金额的百分之十。</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 xml:space="preserve">    政府采购合同的双方当事人不得擅自变更、中止或者终止合同。</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政府采购合同继续履行将损害国家利益和社会公共利益的，双方当事人应当变更、中止或者终止合同。有过错的一方应当承担赔偿责任，双方都有过错的，各自承担相应的责任。</w:t>
            </w:r>
          </w:p>
        </w:tc>
      </w:tr>
    </w:tbl>
    <w:p w14:paraId="448E1F60">
      <w:pPr>
        <w:rPr>
          <w:rFonts w:hint="eastAsia" w:ascii="宋体" w:hAnsi="宋体" w:eastAsia="宋体" w:cs="宋体"/>
          <w:color w:val="auto"/>
          <w:sz w:val="32"/>
          <w:highlight w:val="none"/>
        </w:rPr>
      </w:pPr>
      <w:bookmarkStart w:id="84" w:name="_Toc423973075"/>
      <w:bookmarkStart w:id="85" w:name="_Toc29888"/>
      <w:bookmarkStart w:id="86" w:name="_Toc26595"/>
      <w:bookmarkStart w:id="87" w:name="_Toc31520"/>
      <w:bookmarkStart w:id="88" w:name="_Toc389582037"/>
      <w:bookmarkStart w:id="89" w:name="_Toc19246"/>
      <w:bookmarkStart w:id="90" w:name="_Toc8333"/>
      <w:bookmarkStart w:id="91" w:name="_Toc19199"/>
      <w:bookmarkStart w:id="92" w:name="_Toc4679"/>
      <w:r>
        <w:rPr>
          <w:rFonts w:hint="eastAsia" w:ascii="宋体" w:hAnsi="宋体" w:eastAsia="宋体" w:cs="宋体"/>
          <w:b/>
          <w:bCs/>
          <w:color w:val="auto"/>
          <w:sz w:val="48"/>
          <w:szCs w:val="48"/>
          <w:highlight w:val="none"/>
        </w:rPr>
        <w:br w:type="page"/>
      </w:r>
    </w:p>
    <w:tbl>
      <w:tblPr>
        <w:tblStyle w:val="21"/>
        <w:tblpPr w:leftFromText="180" w:rightFromText="180" w:vertAnchor="text" w:horzAnchor="page" w:tblpX="7952" w:tblpY="7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5"/>
      </w:tblGrid>
      <w:tr w14:paraId="3F510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475" w:type="dxa"/>
            <w:noWrap w:val="0"/>
            <w:vAlign w:val="top"/>
          </w:tcPr>
          <w:p w14:paraId="4DC63656">
            <w:pPr>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竞争性磋商采购</w:t>
            </w:r>
          </w:p>
        </w:tc>
      </w:tr>
    </w:tbl>
    <w:p w14:paraId="3EAA67CA">
      <w:pPr>
        <w:outlineLvl w:val="1"/>
        <w:rPr>
          <w:rFonts w:hAnsi="宋体" w:cs="宋体"/>
          <w:b/>
          <w:color w:val="auto"/>
          <w:sz w:val="32"/>
          <w:szCs w:val="32"/>
          <w:highlight w:val="none"/>
        </w:rPr>
      </w:pPr>
      <w:bookmarkStart w:id="93" w:name="_Toc5216"/>
      <w:bookmarkStart w:id="94" w:name="_Toc18120"/>
      <w:bookmarkStart w:id="95" w:name="_Toc7874"/>
      <w:bookmarkStart w:id="96" w:name="_Toc1362"/>
      <w:bookmarkStart w:id="97" w:name="_Toc22328"/>
      <w:bookmarkStart w:id="98" w:name="_Toc24004"/>
      <w:r>
        <w:rPr>
          <w:rFonts w:hint="eastAsia" w:hAnsi="宋体" w:cs="宋体"/>
          <w:b/>
          <w:color w:val="auto"/>
          <w:sz w:val="32"/>
          <w:szCs w:val="32"/>
          <w:highlight w:val="none"/>
        </w:rPr>
        <w:t>政府采购项目</w:t>
      </w:r>
      <w:r>
        <w:rPr>
          <w:rFonts w:hint="eastAsia" w:hAnsi="宋体" w:cs="宋体"/>
          <w:b/>
          <w:bCs/>
          <w:color w:val="auto"/>
          <w:sz w:val="28"/>
          <w:szCs w:val="28"/>
          <w:highlight w:val="none"/>
        </w:rPr>
        <w:t>（</w:t>
      </w:r>
      <w:r>
        <w:rPr>
          <w:rFonts w:hint="eastAsia" w:hAnsi="宋体" w:cs="宋体"/>
          <w:b/>
          <w:color w:val="auto"/>
          <w:sz w:val="32"/>
          <w:szCs w:val="32"/>
          <w:highlight w:val="none"/>
        </w:rPr>
        <w:t>仅供参考）</w:t>
      </w:r>
      <w:bookmarkEnd w:id="93"/>
      <w:bookmarkEnd w:id="94"/>
      <w:bookmarkEnd w:id="95"/>
      <w:bookmarkEnd w:id="96"/>
      <w:bookmarkEnd w:id="97"/>
      <w:bookmarkEnd w:id="98"/>
      <w:r>
        <w:rPr>
          <w:rFonts w:hint="eastAsia" w:hAnsi="宋体" w:cs="宋体"/>
          <w:b/>
          <w:color w:val="auto"/>
          <w:sz w:val="32"/>
          <w:szCs w:val="32"/>
          <w:highlight w:val="none"/>
        </w:rPr>
        <w:t xml:space="preserve">                  </w:t>
      </w:r>
    </w:p>
    <w:p w14:paraId="370ADD14">
      <w:pPr>
        <w:rPr>
          <w:rFonts w:hAnsi="宋体" w:cs="宋体"/>
          <w:b/>
          <w:color w:val="auto"/>
          <w:sz w:val="32"/>
          <w:szCs w:val="32"/>
          <w:highlight w:val="none"/>
        </w:rPr>
      </w:pPr>
      <w:r>
        <w:rPr>
          <w:rFonts w:hint="eastAsia" w:hAnsi="宋体" w:cs="宋体"/>
          <w:b/>
          <w:color w:val="auto"/>
          <w:sz w:val="32"/>
          <w:szCs w:val="32"/>
          <w:highlight w:val="none"/>
        </w:rPr>
        <w:t xml:space="preserve">          </w:t>
      </w:r>
    </w:p>
    <w:p w14:paraId="59B487EE">
      <w:pPr>
        <w:jc w:val="center"/>
        <w:rPr>
          <w:rFonts w:hAnsi="宋体" w:cs="宋体"/>
          <w:color w:val="auto"/>
          <w:sz w:val="52"/>
          <w:szCs w:val="52"/>
          <w:highlight w:val="none"/>
        </w:rPr>
      </w:pPr>
    </w:p>
    <w:p w14:paraId="07AABEC9">
      <w:pPr>
        <w:jc w:val="center"/>
        <w:rPr>
          <w:rFonts w:hAnsi="宋体" w:cs="宋体"/>
          <w:color w:val="auto"/>
          <w:sz w:val="52"/>
          <w:szCs w:val="52"/>
          <w:highlight w:val="none"/>
        </w:rPr>
      </w:pPr>
    </w:p>
    <w:p w14:paraId="34927123">
      <w:pPr>
        <w:jc w:val="center"/>
        <w:rPr>
          <w:rFonts w:hAnsi="宋体" w:cs="宋体"/>
          <w:b/>
          <w:snapToGrid w:val="0"/>
          <w:color w:val="auto"/>
          <w:sz w:val="48"/>
          <w:szCs w:val="48"/>
          <w:highlight w:val="none"/>
          <w:u w:val="single"/>
        </w:rPr>
      </w:pPr>
      <w:r>
        <w:rPr>
          <w:rFonts w:hint="eastAsia" w:hAnsi="宋体" w:cs="宋体"/>
          <w:b/>
          <w:snapToGrid w:val="0"/>
          <w:color w:val="auto"/>
          <w:sz w:val="48"/>
          <w:szCs w:val="48"/>
          <w:highlight w:val="none"/>
          <w:u w:val="single"/>
        </w:rPr>
        <w:t>(项目名称)</w:t>
      </w:r>
    </w:p>
    <w:p w14:paraId="582BF8DC">
      <w:pPr>
        <w:jc w:val="center"/>
        <w:rPr>
          <w:rFonts w:hAnsi="宋体" w:cs="宋体"/>
          <w:b/>
          <w:color w:val="auto"/>
          <w:sz w:val="72"/>
          <w:szCs w:val="72"/>
          <w:highlight w:val="none"/>
        </w:rPr>
      </w:pPr>
      <w:r>
        <w:rPr>
          <w:rFonts w:hint="eastAsia" w:hAnsi="宋体" w:cs="宋体"/>
          <w:b/>
          <w:color w:val="auto"/>
          <w:sz w:val="72"/>
          <w:szCs w:val="72"/>
          <w:highlight w:val="none"/>
        </w:rPr>
        <w:t>服 务 合 同</w:t>
      </w:r>
    </w:p>
    <w:p w14:paraId="3859833D">
      <w:pPr>
        <w:jc w:val="center"/>
        <w:rPr>
          <w:rFonts w:hAnsi="宋体" w:cs="宋体"/>
          <w:color w:val="auto"/>
          <w:sz w:val="30"/>
          <w:szCs w:val="30"/>
          <w:highlight w:val="none"/>
        </w:rPr>
      </w:pPr>
      <w:r>
        <w:rPr>
          <w:rFonts w:hint="eastAsia" w:hAnsi="宋体" w:cs="宋体"/>
          <w:color w:val="auto"/>
          <w:sz w:val="30"/>
          <w:szCs w:val="30"/>
          <w:highlight w:val="none"/>
        </w:rPr>
        <w:t xml:space="preserve">（项目编号：      </w:t>
      </w:r>
      <w:r>
        <w:rPr>
          <w:rFonts w:hint="eastAsia" w:hAnsi="宋体" w:cs="宋体"/>
          <w:color w:val="auto"/>
          <w:sz w:val="28"/>
          <w:szCs w:val="28"/>
          <w:highlight w:val="none"/>
        </w:rPr>
        <w:t>）</w:t>
      </w:r>
    </w:p>
    <w:p w14:paraId="6B88E84B">
      <w:pPr>
        <w:jc w:val="center"/>
        <w:rPr>
          <w:rFonts w:hAnsi="宋体" w:cs="宋体"/>
          <w:color w:val="auto"/>
          <w:sz w:val="30"/>
          <w:szCs w:val="30"/>
          <w:highlight w:val="none"/>
        </w:rPr>
      </w:pPr>
    </w:p>
    <w:p w14:paraId="2F5BE5FB">
      <w:pPr>
        <w:jc w:val="center"/>
        <w:rPr>
          <w:rFonts w:hAnsi="宋体" w:cs="宋体"/>
          <w:color w:val="auto"/>
          <w:sz w:val="30"/>
          <w:szCs w:val="30"/>
          <w:highlight w:val="none"/>
        </w:rPr>
      </w:pPr>
    </w:p>
    <w:p w14:paraId="2055036E">
      <w:pPr>
        <w:jc w:val="center"/>
        <w:rPr>
          <w:rFonts w:hAnsi="宋体" w:cs="宋体"/>
          <w:color w:val="auto"/>
          <w:sz w:val="30"/>
          <w:szCs w:val="30"/>
          <w:highlight w:val="none"/>
        </w:rPr>
      </w:pPr>
    </w:p>
    <w:p w14:paraId="7431A35B">
      <w:pPr>
        <w:jc w:val="center"/>
        <w:rPr>
          <w:rFonts w:hAnsi="宋体" w:cs="宋体"/>
          <w:color w:val="auto"/>
          <w:sz w:val="30"/>
          <w:szCs w:val="30"/>
          <w:highlight w:val="none"/>
        </w:rPr>
      </w:pPr>
    </w:p>
    <w:p w14:paraId="22A267AE">
      <w:pPr>
        <w:jc w:val="center"/>
        <w:rPr>
          <w:rFonts w:hAnsi="宋体" w:cs="宋体"/>
          <w:color w:val="auto"/>
          <w:sz w:val="30"/>
          <w:szCs w:val="30"/>
          <w:highlight w:val="none"/>
        </w:rPr>
      </w:pPr>
    </w:p>
    <w:p w14:paraId="37AE7BB3">
      <w:pPr>
        <w:ind w:firstLine="2080" w:firstLineChars="650"/>
        <w:rPr>
          <w:rFonts w:hAnsi="宋体" w:cs="宋体"/>
          <w:color w:val="auto"/>
          <w:sz w:val="32"/>
          <w:szCs w:val="32"/>
          <w:highlight w:val="none"/>
        </w:rPr>
      </w:pPr>
      <w:r>
        <w:rPr>
          <w:rFonts w:hint="eastAsia" w:hAnsi="宋体" w:cs="宋体"/>
          <w:color w:val="auto"/>
          <w:sz w:val="32"/>
          <w:szCs w:val="32"/>
          <w:highlight w:val="none"/>
        </w:rPr>
        <w:t xml:space="preserve">甲  方： </w:t>
      </w:r>
    </w:p>
    <w:p w14:paraId="310A0954">
      <w:pPr>
        <w:tabs>
          <w:tab w:val="left" w:pos="480"/>
        </w:tabs>
        <w:ind w:firstLine="640" w:firstLineChars="200"/>
        <w:rPr>
          <w:rFonts w:hAnsi="宋体" w:cs="宋体"/>
          <w:color w:val="auto"/>
          <w:sz w:val="32"/>
          <w:szCs w:val="32"/>
          <w:highlight w:val="none"/>
        </w:rPr>
      </w:pPr>
      <w:r>
        <w:rPr>
          <w:rFonts w:hint="eastAsia" w:hAnsi="宋体" w:cs="宋体"/>
          <w:color w:val="auto"/>
          <w:sz w:val="32"/>
          <w:szCs w:val="32"/>
          <w:highlight w:val="none"/>
        </w:rPr>
        <w:t xml:space="preserve">         乙  方：</w:t>
      </w:r>
    </w:p>
    <w:p w14:paraId="07D80F41">
      <w:pPr>
        <w:jc w:val="center"/>
        <w:rPr>
          <w:rFonts w:hAnsi="宋体" w:cs="宋体"/>
          <w:color w:val="auto"/>
          <w:sz w:val="30"/>
          <w:szCs w:val="30"/>
          <w:highlight w:val="none"/>
        </w:rPr>
      </w:pPr>
    </w:p>
    <w:p w14:paraId="1D0411B5">
      <w:pPr>
        <w:jc w:val="center"/>
        <w:rPr>
          <w:rFonts w:hAnsi="宋体" w:cs="宋体"/>
          <w:color w:val="auto"/>
          <w:sz w:val="32"/>
          <w:szCs w:val="32"/>
          <w:highlight w:val="none"/>
        </w:rPr>
      </w:pPr>
      <w:r>
        <w:rPr>
          <w:rFonts w:hint="eastAsia" w:hAnsi="宋体" w:cs="宋体"/>
          <w:color w:val="auto"/>
          <w:sz w:val="32"/>
          <w:szCs w:val="32"/>
          <w:highlight w:val="none"/>
        </w:rPr>
        <w:t xml:space="preserve">  年  月</w:t>
      </w:r>
    </w:p>
    <w:p w14:paraId="7015152E">
      <w:pPr>
        <w:jc w:val="center"/>
        <w:rPr>
          <w:rFonts w:hAnsi="宋体" w:cs="宋体"/>
          <w:color w:val="auto"/>
          <w:sz w:val="32"/>
          <w:szCs w:val="32"/>
          <w:highlight w:val="none"/>
        </w:rPr>
      </w:pPr>
    </w:p>
    <w:p w14:paraId="604CAE62">
      <w:pPr>
        <w:spacing w:line="590" w:lineRule="exact"/>
        <w:rPr>
          <w:rFonts w:hAnsi="宋体" w:cs="宋体"/>
          <w:b/>
          <w:color w:val="auto"/>
          <w:sz w:val="36"/>
          <w:szCs w:val="36"/>
          <w:highlight w:val="none"/>
        </w:rPr>
      </w:pPr>
    </w:p>
    <w:p w14:paraId="4DBB2205">
      <w:pPr>
        <w:jc w:val="center"/>
        <w:outlineLvl w:val="2"/>
        <w:rPr>
          <w:rFonts w:ascii="黑体"/>
          <w:b/>
          <w:color w:val="auto"/>
          <w:sz w:val="36"/>
          <w:szCs w:val="36"/>
          <w:highlight w:val="none"/>
        </w:rPr>
      </w:pPr>
      <w:r>
        <w:rPr>
          <w:rFonts w:hint="eastAsia" w:hAnsi="宋体" w:cs="宋体"/>
          <w:b/>
          <w:color w:val="auto"/>
          <w:szCs w:val="21"/>
          <w:highlight w:val="none"/>
        </w:rPr>
        <w:br w:type="page"/>
      </w:r>
      <w:bookmarkStart w:id="99" w:name="_Toc20561"/>
      <w:bookmarkStart w:id="100" w:name="_Toc28398"/>
      <w:bookmarkStart w:id="101" w:name="_Toc24621"/>
      <w:bookmarkStart w:id="102" w:name="_Toc7965"/>
      <w:r>
        <w:rPr>
          <w:rFonts w:hint="eastAsia" w:ascii="黑体" w:eastAsia="黑体"/>
          <w:b/>
          <w:color w:val="auto"/>
          <w:sz w:val="36"/>
          <w:szCs w:val="36"/>
          <w:highlight w:val="none"/>
        </w:rPr>
        <w:t>协 议 书</w:t>
      </w:r>
      <w:bookmarkEnd w:id="99"/>
      <w:bookmarkEnd w:id="100"/>
      <w:bookmarkEnd w:id="101"/>
      <w:bookmarkEnd w:id="102"/>
    </w:p>
    <w:p w14:paraId="33919AF2">
      <w:pPr>
        <w:spacing w:line="360" w:lineRule="auto"/>
        <w:rPr>
          <w:rFonts w:hAnsi="宋体" w:cs="宋体"/>
          <w:color w:val="auto"/>
          <w:szCs w:val="21"/>
          <w:highlight w:val="none"/>
          <w:u w:val="single"/>
        </w:rPr>
      </w:pPr>
      <w:r>
        <w:rPr>
          <w:rFonts w:hint="eastAsia" w:hAnsi="宋体" w:cs="宋体"/>
          <w:color w:val="auto"/>
          <w:szCs w:val="21"/>
          <w:highlight w:val="none"/>
        </w:rPr>
        <w:t>甲方：</w:t>
      </w:r>
      <w:r>
        <w:rPr>
          <w:rFonts w:hint="eastAsia" w:hAnsi="宋体" w:cs="宋体"/>
          <w:color w:val="auto"/>
          <w:szCs w:val="21"/>
          <w:highlight w:val="none"/>
          <w:u w:val="single"/>
        </w:rPr>
        <w:t xml:space="preserve">             </w:t>
      </w:r>
    </w:p>
    <w:p w14:paraId="059ED6B7">
      <w:pPr>
        <w:spacing w:line="360" w:lineRule="auto"/>
        <w:rPr>
          <w:rFonts w:hAnsi="宋体" w:cs="宋体"/>
          <w:color w:val="auto"/>
          <w:szCs w:val="21"/>
          <w:highlight w:val="none"/>
          <w:u w:val="single"/>
        </w:rPr>
      </w:pPr>
      <w:r>
        <w:rPr>
          <w:rFonts w:hint="eastAsia" w:hAnsi="宋体" w:cs="宋体"/>
          <w:color w:val="auto"/>
          <w:szCs w:val="21"/>
          <w:highlight w:val="none"/>
        </w:rPr>
        <w:t>乙方：</w:t>
      </w:r>
      <w:r>
        <w:rPr>
          <w:rFonts w:hint="eastAsia" w:hAnsi="宋体" w:cs="宋体"/>
          <w:color w:val="auto"/>
          <w:szCs w:val="21"/>
          <w:highlight w:val="none"/>
          <w:u w:val="single"/>
        </w:rPr>
        <w:t xml:space="preserve">             </w:t>
      </w:r>
    </w:p>
    <w:p w14:paraId="0DB7ACF7">
      <w:pPr>
        <w:spacing w:line="360" w:lineRule="auto"/>
        <w:ind w:firstLine="480" w:firstLineChars="200"/>
        <w:rPr>
          <w:rFonts w:hAnsi="宋体" w:cs="宋体"/>
          <w:color w:val="auto"/>
          <w:szCs w:val="21"/>
          <w:highlight w:val="none"/>
        </w:rPr>
      </w:pPr>
      <w:r>
        <w:rPr>
          <w:rFonts w:hint="eastAsia" w:hAnsi="宋体" w:cs="宋体"/>
          <w:color w:val="auto"/>
          <w:szCs w:val="21"/>
          <w:highlight w:val="none"/>
        </w:rPr>
        <w:t>根据《中华人民共和国民法典》、《中华人民共和国政府采购法》与项目行业有关的法律法规，以及本项目（</w:t>
      </w:r>
      <w:r>
        <w:rPr>
          <w:rFonts w:hint="eastAsia" w:hAnsi="宋体" w:cs="宋体"/>
          <w:color w:val="auto"/>
          <w:szCs w:val="21"/>
          <w:highlight w:val="none"/>
          <w:lang w:eastAsia="zh-CN"/>
        </w:rPr>
        <w:t>2025年超星学习通、读秀知识库数字资源服务项目</w:t>
      </w:r>
      <w:r>
        <w:rPr>
          <w:rFonts w:hint="eastAsia" w:hAnsi="宋体" w:cs="宋体"/>
          <w:color w:val="auto"/>
          <w:szCs w:val="21"/>
          <w:highlight w:val="none"/>
        </w:rPr>
        <w:t>）相关采购要求的规定，合同双方就乙方向采购方提供</w:t>
      </w:r>
      <w:r>
        <w:rPr>
          <w:rFonts w:hint="eastAsia" w:hAnsi="宋体" w:cs="宋体"/>
          <w:color w:val="auto"/>
          <w:szCs w:val="21"/>
          <w:highlight w:val="none"/>
          <w:lang w:eastAsia="zh-CN"/>
        </w:rPr>
        <w:t>2025年超星学习通、读秀知识库数字资源服务项目</w:t>
      </w:r>
      <w:r>
        <w:rPr>
          <w:rFonts w:hint="eastAsia" w:hAnsi="宋体" w:cs="宋体"/>
          <w:color w:val="auto"/>
          <w:szCs w:val="21"/>
          <w:highlight w:val="none"/>
        </w:rPr>
        <w:t>协商达成一致，确立本合同。</w:t>
      </w:r>
    </w:p>
    <w:p w14:paraId="4EFF5F06">
      <w:pPr>
        <w:tabs>
          <w:tab w:val="left" w:pos="480"/>
        </w:tabs>
        <w:spacing w:line="360" w:lineRule="auto"/>
        <w:outlineLvl w:val="1"/>
        <w:rPr>
          <w:rFonts w:hAnsi="宋体" w:cs="宋体"/>
          <w:b/>
          <w:color w:val="auto"/>
          <w:szCs w:val="21"/>
          <w:highlight w:val="none"/>
        </w:rPr>
      </w:pPr>
      <w:bookmarkStart w:id="103" w:name="_Toc8841"/>
      <w:bookmarkStart w:id="104" w:name="_Toc7407"/>
      <w:bookmarkStart w:id="105" w:name="_Toc30883"/>
      <w:bookmarkStart w:id="106" w:name="_Toc15362"/>
      <w:bookmarkStart w:id="107" w:name="_Toc12769"/>
      <w:r>
        <w:rPr>
          <w:rFonts w:hint="eastAsia" w:hAnsi="宋体" w:cs="宋体"/>
          <w:b/>
          <w:color w:val="auto"/>
          <w:szCs w:val="21"/>
          <w:highlight w:val="none"/>
        </w:rPr>
        <w:t>一、合同标的物内容、数量及单价</w:t>
      </w:r>
      <w:r>
        <w:rPr>
          <w:rFonts w:hint="eastAsia" w:hAnsi="宋体" w:cs="宋体"/>
          <w:color w:val="auto"/>
          <w:szCs w:val="21"/>
          <w:highlight w:val="none"/>
        </w:rPr>
        <w:t>（以竞争性磋商响应文件正本和澄清表〈函〉为准）</w:t>
      </w:r>
      <w:bookmarkEnd w:id="103"/>
      <w:bookmarkEnd w:id="104"/>
      <w:bookmarkEnd w:id="105"/>
      <w:bookmarkEnd w:id="106"/>
      <w:bookmarkEnd w:id="107"/>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8"/>
        <w:gridCol w:w="1855"/>
        <w:gridCol w:w="1421"/>
        <w:gridCol w:w="2648"/>
        <w:gridCol w:w="1096"/>
      </w:tblGrid>
      <w:tr w14:paraId="4A910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198" w:type="dxa"/>
            <w:tcBorders>
              <w:top w:val="single" w:color="auto" w:sz="4" w:space="0"/>
              <w:left w:val="single" w:color="auto" w:sz="4" w:space="0"/>
              <w:bottom w:val="single" w:color="auto" w:sz="4" w:space="0"/>
              <w:right w:val="single" w:color="auto" w:sz="4" w:space="0"/>
            </w:tcBorders>
            <w:vAlign w:val="center"/>
          </w:tcPr>
          <w:p w14:paraId="0A05D446">
            <w:pPr>
              <w:tabs>
                <w:tab w:val="left" w:pos="480"/>
              </w:tabs>
              <w:spacing w:line="396" w:lineRule="exact"/>
              <w:jc w:val="center"/>
              <w:rPr>
                <w:rFonts w:hAnsi="宋体" w:cs="宋体"/>
                <w:color w:val="auto"/>
                <w:szCs w:val="21"/>
                <w:highlight w:val="none"/>
              </w:rPr>
            </w:pPr>
            <w:r>
              <w:rPr>
                <w:rFonts w:hint="eastAsia" w:hAnsi="宋体" w:cs="宋体"/>
                <w:color w:val="auto"/>
                <w:szCs w:val="21"/>
                <w:highlight w:val="none"/>
              </w:rPr>
              <w:t>序号</w:t>
            </w:r>
          </w:p>
        </w:tc>
        <w:tc>
          <w:tcPr>
            <w:tcW w:w="1855" w:type="dxa"/>
            <w:tcBorders>
              <w:top w:val="single" w:color="auto" w:sz="4" w:space="0"/>
              <w:left w:val="single" w:color="auto" w:sz="4" w:space="0"/>
              <w:bottom w:val="single" w:color="auto" w:sz="4" w:space="0"/>
              <w:right w:val="single" w:color="auto" w:sz="4" w:space="0"/>
            </w:tcBorders>
            <w:vAlign w:val="center"/>
          </w:tcPr>
          <w:p w14:paraId="2CD39A13">
            <w:pPr>
              <w:tabs>
                <w:tab w:val="left" w:pos="480"/>
              </w:tabs>
              <w:spacing w:line="396" w:lineRule="exact"/>
              <w:jc w:val="center"/>
              <w:rPr>
                <w:rFonts w:hAnsi="宋体" w:cs="宋体"/>
                <w:color w:val="auto"/>
                <w:szCs w:val="21"/>
                <w:highlight w:val="none"/>
              </w:rPr>
            </w:pPr>
            <w:r>
              <w:rPr>
                <w:rFonts w:hint="eastAsia" w:hAnsi="宋体" w:cs="宋体"/>
                <w:color w:val="auto"/>
                <w:szCs w:val="21"/>
                <w:highlight w:val="none"/>
              </w:rPr>
              <w:t>服务内容</w:t>
            </w:r>
          </w:p>
        </w:tc>
        <w:tc>
          <w:tcPr>
            <w:tcW w:w="1421" w:type="dxa"/>
            <w:tcBorders>
              <w:top w:val="single" w:color="auto" w:sz="4" w:space="0"/>
              <w:left w:val="single" w:color="auto" w:sz="4" w:space="0"/>
              <w:bottom w:val="single" w:color="auto" w:sz="4" w:space="0"/>
              <w:right w:val="single" w:color="auto" w:sz="4" w:space="0"/>
            </w:tcBorders>
            <w:vAlign w:val="center"/>
          </w:tcPr>
          <w:p w14:paraId="56CAD306">
            <w:pPr>
              <w:tabs>
                <w:tab w:val="left" w:pos="480"/>
              </w:tabs>
              <w:spacing w:line="396" w:lineRule="exact"/>
              <w:jc w:val="center"/>
              <w:rPr>
                <w:rFonts w:hAnsi="宋体" w:cs="宋体"/>
                <w:color w:val="auto"/>
                <w:szCs w:val="21"/>
                <w:highlight w:val="none"/>
              </w:rPr>
            </w:pPr>
            <w:r>
              <w:rPr>
                <w:rFonts w:hint="eastAsia" w:hAnsi="宋体" w:cs="宋体"/>
                <w:color w:val="auto"/>
                <w:szCs w:val="21"/>
                <w:highlight w:val="none"/>
              </w:rPr>
              <w:t>服务期限</w:t>
            </w:r>
          </w:p>
        </w:tc>
        <w:tc>
          <w:tcPr>
            <w:tcW w:w="2648" w:type="dxa"/>
            <w:tcBorders>
              <w:top w:val="single" w:color="auto" w:sz="4" w:space="0"/>
              <w:left w:val="single" w:color="auto" w:sz="4" w:space="0"/>
              <w:bottom w:val="single" w:color="auto" w:sz="4" w:space="0"/>
              <w:right w:val="single" w:color="auto" w:sz="4" w:space="0"/>
            </w:tcBorders>
            <w:vAlign w:val="center"/>
          </w:tcPr>
          <w:p w14:paraId="31E659AD">
            <w:pPr>
              <w:tabs>
                <w:tab w:val="left" w:pos="480"/>
              </w:tabs>
              <w:spacing w:line="396" w:lineRule="exact"/>
              <w:jc w:val="center"/>
              <w:rPr>
                <w:rFonts w:hAnsi="宋体" w:cs="宋体"/>
                <w:color w:val="auto"/>
                <w:szCs w:val="21"/>
                <w:highlight w:val="none"/>
              </w:rPr>
            </w:pPr>
            <w:r>
              <w:rPr>
                <w:rFonts w:hint="eastAsia" w:hAnsi="宋体" w:cs="宋体"/>
                <w:color w:val="auto"/>
                <w:szCs w:val="21"/>
                <w:highlight w:val="none"/>
              </w:rPr>
              <w:t>相关要求</w:t>
            </w:r>
          </w:p>
        </w:tc>
        <w:tc>
          <w:tcPr>
            <w:tcW w:w="1096" w:type="dxa"/>
            <w:tcBorders>
              <w:top w:val="single" w:color="auto" w:sz="4" w:space="0"/>
              <w:left w:val="single" w:color="auto" w:sz="4" w:space="0"/>
              <w:bottom w:val="single" w:color="auto" w:sz="4" w:space="0"/>
              <w:right w:val="single" w:color="auto" w:sz="4" w:space="0"/>
            </w:tcBorders>
            <w:vAlign w:val="center"/>
          </w:tcPr>
          <w:p w14:paraId="67C80532">
            <w:pPr>
              <w:tabs>
                <w:tab w:val="left" w:pos="480"/>
              </w:tabs>
              <w:spacing w:line="396" w:lineRule="exact"/>
              <w:jc w:val="center"/>
              <w:rPr>
                <w:rFonts w:hAnsi="宋体" w:cs="宋体"/>
                <w:color w:val="auto"/>
                <w:szCs w:val="21"/>
                <w:highlight w:val="none"/>
              </w:rPr>
            </w:pPr>
            <w:r>
              <w:rPr>
                <w:rFonts w:hint="eastAsia" w:hAnsi="宋体" w:cs="宋体"/>
                <w:color w:val="auto"/>
                <w:szCs w:val="21"/>
                <w:highlight w:val="none"/>
              </w:rPr>
              <w:t>备注</w:t>
            </w:r>
          </w:p>
        </w:tc>
      </w:tr>
      <w:tr w14:paraId="4D343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198" w:type="dxa"/>
            <w:tcBorders>
              <w:top w:val="single" w:color="auto" w:sz="4" w:space="0"/>
              <w:left w:val="single" w:color="auto" w:sz="4" w:space="0"/>
              <w:bottom w:val="single" w:color="auto" w:sz="4" w:space="0"/>
              <w:right w:val="single" w:color="auto" w:sz="4" w:space="0"/>
            </w:tcBorders>
            <w:vAlign w:val="center"/>
          </w:tcPr>
          <w:p w14:paraId="56CB0C6A">
            <w:pPr>
              <w:tabs>
                <w:tab w:val="left" w:pos="480"/>
              </w:tabs>
              <w:spacing w:line="396" w:lineRule="exact"/>
              <w:jc w:val="center"/>
              <w:rPr>
                <w:rFonts w:hAnsi="宋体" w:cs="宋体"/>
                <w:color w:val="auto"/>
                <w:szCs w:val="21"/>
                <w:highlight w:val="none"/>
              </w:rPr>
            </w:pPr>
            <w:r>
              <w:rPr>
                <w:rFonts w:hint="eastAsia" w:hAnsi="宋体" w:cs="宋体"/>
                <w:color w:val="auto"/>
                <w:szCs w:val="21"/>
                <w:highlight w:val="none"/>
              </w:rPr>
              <w:t>1</w:t>
            </w:r>
          </w:p>
        </w:tc>
        <w:tc>
          <w:tcPr>
            <w:tcW w:w="1855" w:type="dxa"/>
            <w:tcBorders>
              <w:top w:val="single" w:color="auto" w:sz="4" w:space="0"/>
              <w:left w:val="single" w:color="auto" w:sz="4" w:space="0"/>
              <w:bottom w:val="single" w:color="auto" w:sz="4" w:space="0"/>
              <w:right w:val="single" w:color="auto" w:sz="4" w:space="0"/>
            </w:tcBorders>
            <w:vAlign w:val="center"/>
          </w:tcPr>
          <w:p w14:paraId="0BE4DA39">
            <w:pPr>
              <w:tabs>
                <w:tab w:val="left" w:pos="480"/>
              </w:tabs>
              <w:spacing w:line="396" w:lineRule="exact"/>
              <w:jc w:val="center"/>
              <w:rPr>
                <w:rFonts w:hAnsi="宋体" w:cs="宋体"/>
                <w:color w:val="auto"/>
                <w:szCs w:val="21"/>
                <w:highlight w:val="none"/>
              </w:rPr>
            </w:pPr>
          </w:p>
        </w:tc>
        <w:tc>
          <w:tcPr>
            <w:tcW w:w="1421" w:type="dxa"/>
            <w:tcBorders>
              <w:top w:val="single" w:color="auto" w:sz="4" w:space="0"/>
              <w:left w:val="single" w:color="auto" w:sz="4" w:space="0"/>
              <w:bottom w:val="single" w:color="auto" w:sz="4" w:space="0"/>
              <w:right w:val="single" w:color="auto" w:sz="4" w:space="0"/>
            </w:tcBorders>
            <w:vAlign w:val="center"/>
          </w:tcPr>
          <w:p w14:paraId="7F45C237">
            <w:pPr>
              <w:tabs>
                <w:tab w:val="left" w:pos="480"/>
              </w:tabs>
              <w:spacing w:line="396" w:lineRule="exact"/>
              <w:jc w:val="center"/>
              <w:rPr>
                <w:rFonts w:hAnsi="宋体" w:cs="宋体"/>
                <w:color w:val="auto"/>
                <w:szCs w:val="21"/>
                <w:highlight w:val="none"/>
              </w:rPr>
            </w:pPr>
          </w:p>
        </w:tc>
        <w:tc>
          <w:tcPr>
            <w:tcW w:w="2648" w:type="dxa"/>
            <w:tcBorders>
              <w:top w:val="single" w:color="auto" w:sz="4" w:space="0"/>
              <w:left w:val="single" w:color="auto" w:sz="4" w:space="0"/>
              <w:bottom w:val="single" w:color="auto" w:sz="4" w:space="0"/>
              <w:right w:val="single" w:color="auto" w:sz="4" w:space="0"/>
            </w:tcBorders>
            <w:vAlign w:val="center"/>
          </w:tcPr>
          <w:p w14:paraId="4A42D445">
            <w:pPr>
              <w:tabs>
                <w:tab w:val="left" w:pos="480"/>
              </w:tabs>
              <w:spacing w:line="396" w:lineRule="exact"/>
              <w:jc w:val="center"/>
              <w:rPr>
                <w:rFonts w:hAnsi="宋体" w:cs="宋体"/>
                <w:color w:val="auto"/>
                <w:szCs w:val="21"/>
                <w:highlight w:val="none"/>
              </w:rPr>
            </w:pPr>
          </w:p>
        </w:tc>
        <w:tc>
          <w:tcPr>
            <w:tcW w:w="1096" w:type="dxa"/>
            <w:tcBorders>
              <w:top w:val="single" w:color="auto" w:sz="4" w:space="0"/>
              <w:left w:val="single" w:color="auto" w:sz="4" w:space="0"/>
              <w:bottom w:val="single" w:color="auto" w:sz="4" w:space="0"/>
              <w:right w:val="single" w:color="auto" w:sz="4" w:space="0"/>
            </w:tcBorders>
            <w:vAlign w:val="center"/>
          </w:tcPr>
          <w:p w14:paraId="5CCF526A">
            <w:pPr>
              <w:tabs>
                <w:tab w:val="left" w:pos="480"/>
              </w:tabs>
              <w:spacing w:line="396" w:lineRule="exact"/>
              <w:jc w:val="center"/>
              <w:rPr>
                <w:rFonts w:hAnsi="宋体" w:cs="宋体"/>
                <w:color w:val="auto"/>
                <w:szCs w:val="21"/>
                <w:highlight w:val="none"/>
              </w:rPr>
            </w:pPr>
          </w:p>
        </w:tc>
      </w:tr>
      <w:tr w14:paraId="1AFDB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198" w:type="dxa"/>
            <w:tcBorders>
              <w:top w:val="single" w:color="auto" w:sz="4" w:space="0"/>
              <w:left w:val="single" w:color="auto" w:sz="4" w:space="0"/>
              <w:bottom w:val="single" w:color="auto" w:sz="4" w:space="0"/>
              <w:right w:val="single" w:color="auto" w:sz="4" w:space="0"/>
            </w:tcBorders>
            <w:vAlign w:val="center"/>
          </w:tcPr>
          <w:p w14:paraId="1E6E2B6E">
            <w:pPr>
              <w:tabs>
                <w:tab w:val="left" w:pos="480"/>
              </w:tabs>
              <w:spacing w:line="396" w:lineRule="exact"/>
              <w:jc w:val="center"/>
              <w:rPr>
                <w:rFonts w:hAnsi="宋体" w:cs="宋体"/>
                <w:color w:val="auto"/>
                <w:szCs w:val="21"/>
                <w:highlight w:val="none"/>
              </w:rPr>
            </w:pPr>
            <w:r>
              <w:rPr>
                <w:rFonts w:hint="eastAsia" w:hAnsi="宋体" w:cs="宋体"/>
                <w:color w:val="auto"/>
                <w:szCs w:val="21"/>
                <w:highlight w:val="none"/>
              </w:rPr>
              <w:t>……</w:t>
            </w:r>
          </w:p>
        </w:tc>
        <w:tc>
          <w:tcPr>
            <w:tcW w:w="1855" w:type="dxa"/>
            <w:tcBorders>
              <w:top w:val="single" w:color="auto" w:sz="4" w:space="0"/>
              <w:left w:val="single" w:color="auto" w:sz="4" w:space="0"/>
              <w:bottom w:val="single" w:color="auto" w:sz="4" w:space="0"/>
              <w:right w:val="single" w:color="auto" w:sz="4" w:space="0"/>
            </w:tcBorders>
            <w:vAlign w:val="center"/>
          </w:tcPr>
          <w:p w14:paraId="14BCD66D">
            <w:pPr>
              <w:tabs>
                <w:tab w:val="left" w:pos="480"/>
              </w:tabs>
              <w:spacing w:line="396" w:lineRule="exact"/>
              <w:jc w:val="center"/>
              <w:rPr>
                <w:rFonts w:hAnsi="宋体" w:cs="宋体"/>
                <w:color w:val="auto"/>
                <w:szCs w:val="21"/>
                <w:highlight w:val="none"/>
              </w:rPr>
            </w:pPr>
          </w:p>
        </w:tc>
        <w:tc>
          <w:tcPr>
            <w:tcW w:w="1421" w:type="dxa"/>
            <w:tcBorders>
              <w:top w:val="single" w:color="auto" w:sz="4" w:space="0"/>
              <w:left w:val="single" w:color="auto" w:sz="4" w:space="0"/>
              <w:bottom w:val="single" w:color="auto" w:sz="4" w:space="0"/>
              <w:right w:val="single" w:color="auto" w:sz="4" w:space="0"/>
            </w:tcBorders>
            <w:vAlign w:val="center"/>
          </w:tcPr>
          <w:p w14:paraId="4B4BD6EB">
            <w:pPr>
              <w:tabs>
                <w:tab w:val="left" w:pos="480"/>
              </w:tabs>
              <w:spacing w:line="396" w:lineRule="exact"/>
              <w:jc w:val="center"/>
              <w:rPr>
                <w:rFonts w:hAnsi="宋体" w:cs="宋体"/>
                <w:color w:val="auto"/>
                <w:szCs w:val="21"/>
                <w:highlight w:val="none"/>
              </w:rPr>
            </w:pPr>
          </w:p>
        </w:tc>
        <w:tc>
          <w:tcPr>
            <w:tcW w:w="2648" w:type="dxa"/>
            <w:tcBorders>
              <w:top w:val="single" w:color="auto" w:sz="4" w:space="0"/>
              <w:left w:val="single" w:color="auto" w:sz="4" w:space="0"/>
              <w:bottom w:val="single" w:color="auto" w:sz="4" w:space="0"/>
              <w:right w:val="single" w:color="auto" w:sz="4" w:space="0"/>
            </w:tcBorders>
            <w:vAlign w:val="center"/>
          </w:tcPr>
          <w:p w14:paraId="507AB150">
            <w:pPr>
              <w:tabs>
                <w:tab w:val="left" w:pos="480"/>
              </w:tabs>
              <w:spacing w:line="396" w:lineRule="exact"/>
              <w:jc w:val="center"/>
              <w:rPr>
                <w:rFonts w:hAnsi="宋体" w:cs="宋体"/>
                <w:color w:val="auto"/>
                <w:szCs w:val="21"/>
                <w:highlight w:val="none"/>
              </w:rPr>
            </w:pPr>
          </w:p>
        </w:tc>
        <w:tc>
          <w:tcPr>
            <w:tcW w:w="1096" w:type="dxa"/>
            <w:tcBorders>
              <w:top w:val="single" w:color="auto" w:sz="4" w:space="0"/>
              <w:left w:val="single" w:color="auto" w:sz="4" w:space="0"/>
              <w:bottom w:val="single" w:color="auto" w:sz="4" w:space="0"/>
              <w:right w:val="single" w:color="auto" w:sz="4" w:space="0"/>
            </w:tcBorders>
            <w:vAlign w:val="center"/>
          </w:tcPr>
          <w:p w14:paraId="098E2F4A">
            <w:pPr>
              <w:tabs>
                <w:tab w:val="left" w:pos="480"/>
              </w:tabs>
              <w:spacing w:line="396" w:lineRule="exact"/>
              <w:jc w:val="center"/>
              <w:rPr>
                <w:rFonts w:hAnsi="宋体" w:cs="宋体"/>
                <w:color w:val="auto"/>
                <w:szCs w:val="21"/>
                <w:highlight w:val="none"/>
              </w:rPr>
            </w:pPr>
          </w:p>
        </w:tc>
      </w:tr>
    </w:tbl>
    <w:p w14:paraId="1C66BB72">
      <w:pPr>
        <w:tabs>
          <w:tab w:val="left" w:pos="480"/>
        </w:tabs>
        <w:spacing w:line="360" w:lineRule="auto"/>
        <w:outlineLvl w:val="1"/>
        <w:rPr>
          <w:rFonts w:hAnsi="宋体" w:cs="宋体"/>
          <w:b/>
          <w:color w:val="auto"/>
          <w:szCs w:val="21"/>
          <w:highlight w:val="none"/>
        </w:rPr>
      </w:pPr>
      <w:bookmarkStart w:id="108" w:name="_Toc8887"/>
      <w:bookmarkStart w:id="109" w:name="_Toc4137"/>
      <w:bookmarkStart w:id="110" w:name="_Toc3926"/>
      <w:bookmarkStart w:id="111" w:name="_Toc18749"/>
      <w:bookmarkStart w:id="112" w:name="_Toc29331"/>
      <w:r>
        <w:rPr>
          <w:rFonts w:hint="eastAsia" w:hAnsi="宋体" w:cs="宋体"/>
          <w:b/>
          <w:color w:val="auto"/>
          <w:szCs w:val="21"/>
          <w:highlight w:val="none"/>
        </w:rPr>
        <w:t>二、合同价款</w:t>
      </w:r>
      <w:bookmarkEnd w:id="108"/>
      <w:bookmarkEnd w:id="109"/>
      <w:bookmarkEnd w:id="110"/>
      <w:bookmarkEnd w:id="111"/>
      <w:bookmarkEnd w:id="112"/>
    </w:p>
    <w:p w14:paraId="5783FE84">
      <w:pPr>
        <w:tabs>
          <w:tab w:val="left" w:pos="480"/>
        </w:tabs>
        <w:spacing w:line="360" w:lineRule="auto"/>
        <w:ind w:firstLine="480" w:firstLineChars="200"/>
        <w:rPr>
          <w:rFonts w:hAnsi="宋体" w:cs="宋体"/>
          <w:color w:val="auto"/>
          <w:szCs w:val="21"/>
          <w:highlight w:val="none"/>
          <w:u w:val="single"/>
        </w:rPr>
      </w:pPr>
      <w:r>
        <w:rPr>
          <w:rFonts w:hint="eastAsia" w:hAnsi="宋体" w:cs="宋体"/>
          <w:color w:val="auto"/>
          <w:szCs w:val="21"/>
          <w:highlight w:val="none"/>
        </w:rPr>
        <w:t>（一）本合同为总价合同，各项服务的合同总价为其磋商最终报价。</w:t>
      </w:r>
    </w:p>
    <w:p w14:paraId="74FF3E78">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（二）合同价包括：</w:t>
      </w:r>
    </w:p>
    <w:p w14:paraId="720BD287">
      <w:pPr>
        <w:tabs>
          <w:tab w:val="left" w:pos="480"/>
        </w:tabs>
        <w:spacing w:line="360" w:lineRule="auto"/>
        <w:outlineLvl w:val="1"/>
        <w:rPr>
          <w:rFonts w:hAnsi="宋体" w:cs="宋体"/>
          <w:b/>
          <w:color w:val="auto"/>
          <w:szCs w:val="21"/>
          <w:highlight w:val="none"/>
        </w:rPr>
      </w:pPr>
      <w:bookmarkStart w:id="113" w:name="_Toc9765"/>
      <w:bookmarkStart w:id="114" w:name="_Toc23247"/>
      <w:bookmarkStart w:id="115" w:name="_Toc22511"/>
      <w:bookmarkStart w:id="116" w:name="_Toc28664"/>
      <w:bookmarkStart w:id="117" w:name="_Toc6296"/>
      <w:r>
        <w:rPr>
          <w:rFonts w:hint="eastAsia" w:hAnsi="宋体" w:cs="宋体"/>
          <w:b/>
          <w:color w:val="auto"/>
          <w:szCs w:val="21"/>
          <w:highlight w:val="none"/>
        </w:rPr>
        <w:t>三、款项结算</w:t>
      </w:r>
      <w:bookmarkEnd w:id="113"/>
      <w:bookmarkEnd w:id="114"/>
      <w:bookmarkEnd w:id="115"/>
      <w:bookmarkEnd w:id="116"/>
      <w:bookmarkEnd w:id="117"/>
    </w:p>
    <w:p w14:paraId="1E7CF767">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详见合同前附表。</w:t>
      </w:r>
    </w:p>
    <w:p w14:paraId="3C677911">
      <w:pPr>
        <w:tabs>
          <w:tab w:val="left" w:pos="480"/>
        </w:tabs>
        <w:spacing w:line="360" w:lineRule="auto"/>
        <w:outlineLvl w:val="1"/>
        <w:rPr>
          <w:rFonts w:hAnsi="宋体" w:cs="宋体"/>
          <w:color w:val="auto"/>
          <w:szCs w:val="21"/>
          <w:highlight w:val="none"/>
        </w:rPr>
      </w:pPr>
      <w:bookmarkStart w:id="118" w:name="_Toc21171"/>
      <w:bookmarkStart w:id="119" w:name="_Toc21714"/>
      <w:bookmarkStart w:id="120" w:name="_Toc9555"/>
      <w:bookmarkStart w:id="121" w:name="_Toc21110"/>
      <w:bookmarkStart w:id="122" w:name="_Toc24406"/>
      <w:r>
        <w:rPr>
          <w:rFonts w:hint="eastAsia" w:hAnsi="宋体" w:cs="宋体"/>
          <w:b/>
          <w:color w:val="auto"/>
          <w:szCs w:val="21"/>
          <w:highlight w:val="none"/>
        </w:rPr>
        <w:t>四、服务条件：</w:t>
      </w:r>
      <w:bookmarkEnd w:id="118"/>
      <w:bookmarkEnd w:id="119"/>
      <w:bookmarkEnd w:id="120"/>
      <w:bookmarkEnd w:id="121"/>
      <w:bookmarkEnd w:id="122"/>
    </w:p>
    <w:p w14:paraId="33AF94F5">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（一）服务地点：</w:t>
      </w:r>
    </w:p>
    <w:p w14:paraId="773128B9">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（二）服务期限：</w:t>
      </w:r>
    </w:p>
    <w:p w14:paraId="30EB7157">
      <w:pPr>
        <w:tabs>
          <w:tab w:val="left" w:pos="480"/>
        </w:tabs>
        <w:spacing w:line="360" w:lineRule="auto"/>
        <w:outlineLvl w:val="1"/>
        <w:rPr>
          <w:rFonts w:hAnsi="宋体" w:cs="宋体"/>
          <w:b/>
          <w:color w:val="auto"/>
          <w:szCs w:val="21"/>
          <w:highlight w:val="none"/>
        </w:rPr>
      </w:pPr>
      <w:bookmarkStart w:id="123" w:name="_Toc32459"/>
      <w:bookmarkStart w:id="124" w:name="_Toc15947"/>
      <w:bookmarkStart w:id="125" w:name="_Toc15118"/>
      <w:bookmarkStart w:id="126" w:name="_Toc27382"/>
      <w:bookmarkStart w:id="127" w:name="_Toc7966"/>
      <w:r>
        <w:rPr>
          <w:rFonts w:hint="eastAsia" w:hAnsi="宋体" w:cs="宋体"/>
          <w:b/>
          <w:color w:val="auto"/>
          <w:szCs w:val="21"/>
          <w:highlight w:val="none"/>
        </w:rPr>
        <w:t>五、质量保证</w:t>
      </w:r>
      <w:bookmarkEnd w:id="123"/>
      <w:bookmarkEnd w:id="124"/>
      <w:bookmarkEnd w:id="125"/>
      <w:bookmarkEnd w:id="126"/>
      <w:bookmarkEnd w:id="127"/>
    </w:p>
    <w:p w14:paraId="46B9253D">
      <w:pPr>
        <w:tabs>
          <w:tab w:val="left" w:pos="480"/>
        </w:tabs>
        <w:spacing w:line="360" w:lineRule="auto"/>
        <w:ind w:firstLine="470" w:firstLineChars="196"/>
        <w:rPr>
          <w:rFonts w:hAnsi="宋体" w:cs="宋体"/>
          <w:color w:val="auto"/>
          <w:szCs w:val="21"/>
          <w:highlight w:val="none"/>
        </w:rPr>
      </w:pPr>
      <w:r>
        <w:rPr>
          <w:rFonts w:hint="eastAsia" w:hAnsi="宋体" w:cs="宋体"/>
          <w:color w:val="auto"/>
          <w:szCs w:val="21"/>
          <w:highlight w:val="none"/>
        </w:rPr>
        <w:t>1.乙方所提供货物和服务保证技术指标符合要求、质量性能可靠、必须符合国家相关法律法规的要求。</w:t>
      </w:r>
    </w:p>
    <w:p w14:paraId="09580232">
      <w:pPr>
        <w:tabs>
          <w:tab w:val="left" w:pos="480"/>
        </w:tabs>
        <w:spacing w:line="360" w:lineRule="auto"/>
        <w:ind w:firstLine="470" w:firstLineChars="196"/>
        <w:rPr>
          <w:rFonts w:hAnsi="宋体" w:cs="宋体"/>
          <w:color w:val="auto"/>
          <w:szCs w:val="21"/>
          <w:highlight w:val="none"/>
        </w:rPr>
      </w:pPr>
      <w:r>
        <w:rPr>
          <w:rFonts w:hint="eastAsia" w:hAnsi="宋体" w:cs="宋体"/>
          <w:color w:val="auto"/>
          <w:szCs w:val="21"/>
          <w:highlight w:val="none"/>
        </w:rPr>
        <w:t>2、成交单位应当保证其具有完成本项目所要求的货物和服务所必须具备的专业设备和服务能力。</w:t>
      </w:r>
    </w:p>
    <w:p w14:paraId="5F40F305">
      <w:pPr>
        <w:tabs>
          <w:tab w:val="left" w:pos="480"/>
        </w:tabs>
        <w:spacing w:line="360" w:lineRule="auto"/>
        <w:outlineLvl w:val="1"/>
        <w:rPr>
          <w:rFonts w:hAnsi="宋体" w:cs="宋体"/>
          <w:b/>
          <w:color w:val="auto"/>
          <w:szCs w:val="21"/>
          <w:highlight w:val="none"/>
        </w:rPr>
      </w:pPr>
      <w:bookmarkStart w:id="128" w:name="_Toc23868"/>
      <w:bookmarkStart w:id="129" w:name="_Toc12558"/>
      <w:bookmarkStart w:id="130" w:name="_Toc9903"/>
      <w:bookmarkStart w:id="131" w:name="_Toc21314"/>
      <w:bookmarkStart w:id="132" w:name="_Toc13959"/>
      <w:r>
        <w:rPr>
          <w:rFonts w:hint="eastAsia" w:hAnsi="宋体" w:cs="宋体"/>
          <w:b/>
          <w:color w:val="auto"/>
          <w:szCs w:val="21"/>
          <w:highlight w:val="none"/>
        </w:rPr>
        <w:t>六、技术与服务</w:t>
      </w:r>
      <w:bookmarkEnd w:id="128"/>
      <w:bookmarkEnd w:id="129"/>
      <w:bookmarkEnd w:id="130"/>
      <w:bookmarkEnd w:id="131"/>
      <w:bookmarkEnd w:id="132"/>
    </w:p>
    <w:p w14:paraId="4920F04C">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（一）技术资料：</w:t>
      </w:r>
    </w:p>
    <w:p w14:paraId="4CB2FB36">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技术资料：</w:t>
      </w:r>
    </w:p>
    <w:p w14:paraId="69222B05">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成交供应商应随同服务提供相应的中文技术文件。</w:t>
      </w:r>
    </w:p>
    <w:p w14:paraId="43D206C5">
      <w:pPr>
        <w:tabs>
          <w:tab w:val="left" w:pos="480"/>
        </w:tabs>
        <w:spacing w:line="360" w:lineRule="auto"/>
        <w:ind w:firstLine="480" w:firstLineChars="200"/>
        <w:rPr>
          <w:color w:val="auto"/>
          <w:highlight w:val="none"/>
        </w:rPr>
      </w:pPr>
      <w:r>
        <w:rPr>
          <w:rFonts w:hint="eastAsia" w:hAnsi="宋体" w:cs="宋体"/>
          <w:color w:val="auto"/>
          <w:szCs w:val="21"/>
          <w:highlight w:val="none"/>
        </w:rPr>
        <w:t>（二）服务承诺：以竞争性磋商响应文件、澄清表（函）、合同和随货物的相关文件为准。</w:t>
      </w:r>
    </w:p>
    <w:p w14:paraId="5C66AE7C">
      <w:pPr>
        <w:tabs>
          <w:tab w:val="left" w:pos="480"/>
        </w:tabs>
        <w:spacing w:line="360" w:lineRule="auto"/>
        <w:outlineLvl w:val="1"/>
        <w:rPr>
          <w:rFonts w:hAnsi="宋体" w:cs="宋体"/>
          <w:b/>
          <w:color w:val="auto"/>
          <w:szCs w:val="21"/>
          <w:highlight w:val="none"/>
        </w:rPr>
      </w:pPr>
      <w:bookmarkStart w:id="133" w:name="_Toc28855"/>
      <w:bookmarkStart w:id="134" w:name="_Toc22161"/>
      <w:bookmarkStart w:id="135" w:name="_Toc12975"/>
      <w:bookmarkStart w:id="136" w:name="_Toc14409"/>
      <w:bookmarkStart w:id="137" w:name="_Toc13572"/>
      <w:r>
        <w:rPr>
          <w:rFonts w:hint="eastAsia" w:hAnsi="宋体" w:cs="宋体"/>
          <w:b/>
          <w:color w:val="auto"/>
          <w:szCs w:val="21"/>
          <w:highlight w:val="none"/>
        </w:rPr>
        <w:t>七、验收</w:t>
      </w:r>
      <w:bookmarkEnd w:id="133"/>
      <w:bookmarkEnd w:id="134"/>
      <w:bookmarkEnd w:id="135"/>
      <w:bookmarkEnd w:id="136"/>
      <w:bookmarkEnd w:id="137"/>
    </w:p>
    <w:p w14:paraId="63F654A5">
      <w:pPr>
        <w:spacing w:line="360" w:lineRule="auto"/>
        <w:ind w:firstLine="480" w:firstLineChars="200"/>
        <w:rPr>
          <w:color w:val="auto"/>
          <w:highlight w:val="none"/>
        </w:rPr>
      </w:pPr>
      <w:r>
        <w:rPr>
          <w:rFonts w:hint="eastAsia"/>
          <w:color w:val="auto"/>
          <w:highlight w:val="none"/>
        </w:rPr>
        <w:t>1、所验服务最终验收达不到磋商文件要求和磋商响应文件承诺及国家或行业标准的，或在使用中发现甲方不能容忍的缺陷等，将视为验收不合格，乙方应在甲方要求的时间内无条件完善或要求赔付甲方损失。</w:t>
      </w:r>
    </w:p>
    <w:p w14:paraId="40CB8F31">
      <w:pPr>
        <w:spacing w:line="360" w:lineRule="auto"/>
        <w:ind w:firstLine="480" w:firstLineChars="200"/>
        <w:rPr>
          <w:color w:val="auto"/>
          <w:highlight w:val="none"/>
        </w:rPr>
      </w:pPr>
      <w:r>
        <w:rPr>
          <w:rFonts w:hint="eastAsia"/>
          <w:color w:val="auto"/>
          <w:highlight w:val="none"/>
        </w:rPr>
        <w:t>2、若发现乙方有弄虚作假的，及在项目实施阶段故意或随意夸大服务，本合同解除，乙方赔偿甲方相应的损失。</w:t>
      </w:r>
    </w:p>
    <w:p w14:paraId="54F34E74">
      <w:pPr>
        <w:spacing w:line="360" w:lineRule="auto"/>
        <w:ind w:firstLine="480" w:firstLineChars="200"/>
        <w:rPr>
          <w:color w:val="auto"/>
          <w:highlight w:val="none"/>
        </w:rPr>
      </w:pPr>
      <w:r>
        <w:rPr>
          <w:rFonts w:hint="eastAsia"/>
          <w:color w:val="auto"/>
          <w:highlight w:val="none"/>
        </w:rPr>
        <w:t>3、验收标准：按磋商文件、磋商响应文件及磋商记录表等技术指标进行逐项验收。各项指标均应符合验收标准及要求。</w:t>
      </w:r>
    </w:p>
    <w:p w14:paraId="5C248121">
      <w:pPr>
        <w:tabs>
          <w:tab w:val="left" w:pos="480"/>
        </w:tabs>
        <w:spacing w:line="360" w:lineRule="auto"/>
        <w:outlineLvl w:val="1"/>
        <w:rPr>
          <w:rFonts w:hAnsi="宋体" w:cs="宋体"/>
          <w:b/>
          <w:color w:val="auto"/>
          <w:szCs w:val="21"/>
          <w:highlight w:val="none"/>
        </w:rPr>
      </w:pPr>
      <w:bookmarkStart w:id="138" w:name="_Toc30681"/>
      <w:bookmarkStart w:id="139" w:name="_Toc7598"/>
      <w:bookmarkStart w:id="140" w:name="_Toc20026"/>
      <w:bookmarkStart w:id="141" w:name="_Toc9858"/>
      <w:bookmarkStart w:id="142" w:name="_Toc31076"/>
      <w:r>
        <w:rPr>
          <w:rFonts w:hint="eastAsia" w:hAnsi="宋体" w:cs="宋体"/>
          <w:b/>
          <w:color w:val="auto"/>
          <w:szCs w:val="21"/>
          <w:highlight w:val="none"/>
        </w:rPr>
        <w:t>八、违约责任</w:t>
      </w:r>
      <w:bookmarkEnd w:id="138"/>
      <w:bookmarkEnd w:id="139"/>
      <w:bookmarkEnd w:id="140"/>
      <w:bookmarkEnd w:id="141"/>
      <w:bookmarkEnd w:id="142"/>
    </w:p>
    <w:p w14:paraId="39E61C29">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1、按《中华人民共和国民法典》中的相关条款执行。</w:t>
      </w:r>
    </w:p>
    <w:p w14:paraId="3E9B6E34">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2、未按合同要求提供服务或服务不能满足合同要求，采购人应当将服务商违约的情况以及拟采取的措施以书面形式报政府采购监管部门，根据政府采购监管部门的处理意见，采购人有权依据《中华人民共和国民法典》有关条款及合同约定终止合同，并要求服务商承担违约责任。同时，政府采购监管部门有权依据《中华人民共和国政府采购法》及相关法律法规对服务商的违法行为进行相应的处罚。</w:t>
      </w:r>
    </w:p>
    <w:p w14:paraId="64CADEAF">
      <w:pPr>
        <w:tabs>
          <w:tab w:val="left" w:pos="480"/>
        </w:tabs>
        <w:spacing w:line="360" w:lineRule="auto"/>
        <w:outlineLvl w:val="1"/>
        <w:rPr>
          <w:rFonts w:hAnsi="宋体" w:cs="宋体"/>
          <w:b/>
          <w:color w:val="auto"/>
          <w:szCs w:val="21"/>
          <w:highlight w:val="none"/>
        </w:rPr>
      </w:pPr>
      <w:bookmarkStart w:id="143" w:name="_Toc27523"/>
      <w:bookmarkStart w:id="144" w:name="_Toc13662"/>
      <w:bookmarkStart w:id="145" w:name="_Toc30630"/>
      <w:bookmarkStart w:id="146" w:name="_Toc15856"/>
      <w:bookmarkStart w:id="147" w:name="_Toc29958"/>
      <w:r>
        <w:rPr>
          <w:rFonts w:hint="eastAsia" w:hAnsi="宋体" w:cs="宋体"/>
          <w:b/>
          <w:color w:val="auto"/>
          <w:szCs w:val="21"/>
          <w:highlight w:val="none"/>
        </w:rPr>
        <w:t>九、合同争议解决的方式</w:t>
      </w:r>
      <w:bookmarkEnd w:id="143"/>
      <w:bookmarkEnd w:id="144"/>
      <w:bookmarkEnd w:id="145"/>
      <w:bookmarkEnd w:id="146"/>
      <w:bookmarkEnd w:id="147"/>
    </w:p>
    <w:p w14:paraId="52DA4996">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本合同在履行过程中发生的争议，由甲、乙双方当事人协商解决，协商不成的按下列第</w:t>
      </w:r>
      <w:r>
        <w:rPr>
          <w:rFonts w:hint="eastAsia" w:hAnsi="宋体" w:cs="宋体"/>
          <w:color w:val="auto"/>
          <w:szCs w:val="21"/>
          <w:highlight w:val="none"/>
          <w:u w:val="single"/>
        </w:rPr>
        <w:t xml:space="preserve">    </w:t>
      </w:r>
      <w:r>
        <w:rPr>
          <w:rFonts w:hint="eastAsia" w:hAnsi="宋体" w:cs="宋体"/>
          <w:color w:val="auto"/>
          <w:szCs w:val="21"/>
          <w:highlight w:val="none"/>
        </w:rPr>
        <w:t>种方式解决：</w:t>
      </w:r>
    </w:p>
    <w:p w14:paraId="617FA4D5">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（一）提交</w:t>
      </w:r>
      <w:r>
        <w:rPr>
          <w:rFonts w:hint="eastAsia" w:hAnsi="宋体" w:cs="宋体"/>
          <w:color w:val="auto"/>
          <w:szCs w:val="21"/>
          <w:highlight w:val="none"/>
          <w:u w:val="single"/>
        </w:rPr>
        <w:t xml:space="preserve">        </w:t>
      </w:r>
      <w:r>
        <w:rPr>
          <w:rFonts w:hint="eastAsia" w:hAnsi="宋体" w:cs="宋体"/>
          <w:color w:val="auto"/>
          <w:szCs w:val="21"/>
          <w:highlight w:val="none"/>
        </w:rPr>
        <w:t>仲裁委员会仲裁；</w:t>
      </w:r>
    </w:p>
    <w:p w14:paraId="23C22BAB">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 xml:space="preserve">（二）依法向 </w:t>
      </w:r>
      <w:r>
        <w:rPr>
          <w:rFonts w:hint="eastAsia" w:hAnsi="宋体" w:cs="宋体"/>
          <w:color w:val="auto"/>
          <w:szCs w:val="21"/>
          <w:highlight w:val="none"/>
          <w:u w:val="single"/>
        </w:rPr>
        <w:t xml:space="preserve">       </w:t>
      </w:r>
      <w:r>
        <w:rPr>
          <w:rFonts w:hint="eastAsia" w:hAnsi="宋体" w:cs="宋体"/>
          <w:color w:val="auto"/>
          <w:szCs w:val="21"/>
          <w:highlight w:val="none"/>
        </w:rPr>
        <w:t>所在地人民法院起诉。</w:t>
      </w:r>
    </w:p>
    <w:p w14:paraId="5FAC98DF">
      <w:pPr>
        <w:tabs>
          <w:tab w:val="left" w:pos="480"/>
        </w:tabs>
        <w:spacing w:line="360" w:lineRule="auto"/>
        <w:outlineLvl w:val="1"/>
        <w:rPr>
          <w:rFonts w:hAnsi="宋体" w:cs="宋体"/>
          <w:b/>
          <w:color w:val="auto"/>
          <w:szCs w:val="21"/>
          <w:highlight w:val="none"/>
        </w:rPr>
      </w:pPr>
      <w:bookmarkStart w:id="148" w:name="_Toc11478"/>
      <w:bookmarkStart w:id="149" w:name="_Toc25612"/>
      <w:bookmarkStart w:id="150" w:name="_Toc2858"/>
      <w:bookmarkStart w:id="151" w:name="_Toc7342"/>
      <w:bookmarkStart w:id="152" w:name="_Toc18389"/>
      <w:r>
        <w:rPr>
          <w:rFonts w:hint="eastAsia" w:hAnsi="宋体" w:cs="宋体"/>
          <w:b/>
          <w:color w:val="auto"/>
          <w:szCs w:val="21"/>
          <w:highlight w:val="none"/>
        </w:rPr>
        <w:t>十、合同生效</w:t>
      </w:r>
      <w:bookmarkEnd w:id="148"/>
      <w:bookmarkEnd w:id="149"/>
      <w:bookmarkEnd w:id="150"/>
      <w:bookmarkEnd w:id="151"/>
      <w:bookmarkEnd w:id="152"/>
    </w:p>
    <w:p w14:paraId="33EE046C">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本合同一式</w:t>
      </w:r>
      <w:r>
        <w:rPr>
          <w:rFonts w:hint="eastAsia" w:hAnsi="宋体" w:cs="宋体"/>
          <w:color w:val="auto"/>
          <w:szCs w:val="21"/>
          <w:highlight w:val="none"/>
          <w:u w:val="single"/>
        </w:rPr>
        <w:t xml:space="preserve">   </w:t>
      </w:r>
      <w:r>
        <w:rPr>
          <w:rFonts w:hint="eastAsia" w:hAnsi="宋体" w:cs="宋体"/>
          <w:color w:val="auto"/>
          <w:szCs w:val="21"/>
          <w:highlight w:val="none"/>
        </w:rPr>
        <w:t>份，甲方执</w:t>
      </w:r>
      <w:r>
        <w:rPr>
          <w:rFonts w:hint="eastAsia" w:hAnsi="宋体" w:cs="宋体"/>
          <w:color w:val="auto"/>
          <w:szCs w:val="21"/>
          <w:highlight w:val="none"/>
          <w:u w:val="single"/>
        </w:rPr>
        <w:t xml:space="preserve">   </w:t>
      </w:r>
      <w:r>
        <w:rPr>
          <w:rFonts w:hint="eastAsia" w:hAnsi="宋体" w:cs="宋体"/>
          <w:color w:val="auto"/>
          <w:szCs w:val="21"/>
          <w:highlight w:val="none"/>
        </w:rPr>
        <w:t>份，乙方执</w:t>
      </w:r>
      <w:r>
        <w:rPr>
          <w:rFonts w:hint="eastAsia" w:hAnsi="宋体" w:cs="宋体"/>
          <w:color w:val="auto"/>
          <w:szCs w:val="21"/>
          <w:highlight w:val="none"/>
          <w:u w:val="single"/>
        </w:rPr>
        <w:t xml:space="preserve">    </w:t>
      </w:r>
      <w:r>
        <w:rPr>
          <w:rFonts w:hint="eastAsia" w:hAnsi="宋体" w:cs="宋体"/>
          <w:color w:val="auto"/>
          <w:szCs w:val="21"/>
          <w:highlight w:val="none"/>
        </w:rPr>
        <w:t>份，本合同甲、乙、确认各方签字盖章后生效，合同执行完毕后，自动失效（合同的服务承诺则长期有效）。</w:t>
      </w:r>
    </w:p>
    <w:p w14:paraId="19FE5284">
      <w:pPr>
        <w:tabs>
          <w:tab w:val="left" w:pos="480"/>
        </w:tabs>
        <w:spacing w:line="360" w:lineRule="auto"/>
        <w:outlineLvl w:val="1"/>
        <w:rPr>
          <w:rFonts w:hAnsi="宋体" w:cs="宋体"/>
          <w:b/>
          <w:color w:val="auto"/>
          <w:szCs w:val="21"/>
          <w:highlight w:val="none"/>
        </w:rPr>
      </w:pPr>
      <w:bookmarkStart w:id="153" w:name="_Toc823"/>
      <w:bookmarkStart w:id="154" w:name="_Toc18225"/>
      <w:bookmarkStart w:id="155" w:name="_Toc31909"/>
      <w:bookmarkStart w:id="156" w:name="_Toc21232"/>
      <w:bookmarkStart w:id="157" w:name="_Toc18381"/>
      <w:r>
        <w:rPr>
          <w:rFonts w:hint="eastAsia" w:hAnsi="宋体" w:cs="宋体"/>
          <w:b/>
          <w:color w:val="auto"/>
          <w:szCs w:val="21"/>
          <w:highlight w:val="none"/>
        </w:rPr>
        <w:t>十一、其他事项</w:t>
      </w:r>
      <w:bookmarkEnd w:id="153"/>
      <w:bookmarkEnd w:id="154"/>
      <w:bookmarkEnd w:id="155"/>
      <w:bookmarkEnd w:id="156"/>
      <w:bookmarkEnd w:id="157"/>
    </w:p>
    <w:p w14:paraId="54B242A6">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（一）竞争性磋商文件、竞争性磋商响应文件、澄清表（函）、成交通知书、合同附件均成为合同不可分割的部分。</w:t>
      </w:r>
    </w:p>
    <w:p w14:paraId="42F78C3E">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（二）合同未尽事宜，由甲、乙双方协商，作为合同补充，与原合同具有同等法律效力。</w:t>
      </w:r>
    </w:p>
    <w:p w14:paraId="20688963">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（三）合同一经签订，不得擅自变更、中止或终止合同。但若与甲方的上级管理机关的政策性行为或其他规定发生冲突，甲方有权与乙方协商调整协议内容或终止协议执行。</w:t>
      </w:r>
    </w:p>
    <w:p w14:paraId="4A66F14D">
      <w:pPr>
        <w:spacing w:line="360" w:lineRule="auto"/>
        <w:ind w:firstLine="420"/>
        <w:rPr>
          <w:color w:val="auto"/>
          <w:szCs w:val="24"/>
          <w:highlight w:val="none"/>
        </w:rPr>
      </w:pPr>
      <w:r>
        <w:rPr>
          <w:rFonts w:hint="eastAsia" w:hAnsi="宋体"/>
          <w:color w:val="auto"/>
          <w:szCs w:val="24"/>
          <w:highlight w:val="none"/>
        </w:rPr>
        <w:t>（四）执行本合同过程中发生争议，由当事人双方协商解决。协商不成，可向采购方所在地人民法院提起诉讼。</w:t>
      </w:r>
    </w:p>
    <w:p w14:paraId="38A1A53B">
      <w:pPr>
        <w:spacing w:line="360" w:lineRule="auto"/>
        <w:ind w:firstLine="420"/>
        <w:rPr>
          <w:color w:val="auto"/>
          <w:szCs w:val="24"/>
          <w:highlight w:val="none"/>
        </w:rPr>
      </w:pPr>
      <w:r>
        <w:rPr>
          <w:rFonts w:hint="eastAsia" w:hAnsi="宋体"/>
          <w:color w:val="auto"/>
          <w:szCs w:val="24"/>
          <w:highlight w:val="none"/>
        </w:rPr>
        <w:t>（五）如因不可抗力致使双方不能履行本合同中的部分或全部义务时，双方均不负违约责任。但不能履行义务一方应在合理的时间内，向对方报告所发生的不可抗力并提供有关部门的证明文件。本条所称“不可抗力”是指自然灾害、重大疫情、恶劣天气条件、政府行为、社会异常事件（包括罢工、政变、骚乱、游行等）或新颁布的法律、法规等不能预见、不能避免并不能克服的客观情况。</w:t>
      </w:r>
    </w:p>
    <w:p w14:paraId="25555D2E">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w:t>
      </w:r>
      <w:r>
        <w:rPr>
          <w:rFonts w:hint="eastAsia" w:hAnsi="宋体"/>
          <w:color w:val="auto"/>
          <w:szCs w:val="24"/>
          <w:highlight w:val="none"/>
        </w:rPr>
        <w:t>六</w:t>
      </w:r>
      <w:r>
        <w:rPr>
          <w:rFonts w:hint="eastAsia" w:hAnsi="宋体" w:cs="宋体"/>
          <w:color w:val="auto"/>
          <w:szCs w:val="21"/>
          <w:highlight w:val="none"/>
        </w:rPr>
        <w:t>）本合同按照中华人民共和国的现行法律进行解释。</w:t>
      </w:r>
    </w:p>
    <w:p w14:paraId="24C25A72">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甲  方：（盖章）                          乙  方：（盖章）</w:t>
      </w:r>
    </w:p>
    <w:p w14:paraId="0A27078B">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单位名称：                                单位名称：</w:t>
      </w:r>
    </w:p>
    <w:p w14:paraId="149593C0">
      <w:pPr>
        <w:tabs>
          <w:tab w:val="left" w:pos="480"/>
        </w:tabs>
        <w:spacing w:line="360" w:lineRule="auto"/>
        <w:ind w:left="6720" w:leftChars="200" w:hanging="6240" w:hangingChars="2600"/>
        <w:rPr>
          <w:rFonts w:hAnsi="宋体" w:cs="宋体"/>
          <w:color w:val="auto"/>
          <w:szCs w:val="21"/>
          <w:highlight w:val="none"/>
        </w:rPr>
      </w:pPr>
      <w:r>
        <w:rPr>
          <w:rFonts w:hint="eastAsia" w:hAnsi="宋体" w:cs="宋体"/>
          <w:color w:val="auto"/>
          <w:szCs w:val="21"/>
          <w:highlight w:val="none"/>
        </w:rPr>
        <w:t>地  址：                                  地  址：</w:t>
      </w:r>
    </w:p>
    <w:p w14:paraId="6A3BD43E">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法定代表人                                法定代表人</w:t>
      </w:r>
    </w:p>
    <w:p w14:paraId="1665A730">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或委托代理人：                            或委托代理人：</w:t>
      </w:r>
    </w:p>
    <w:p w14:paraId="3D20BD34">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 xml:space="preserve">                                          开户银行：</w:t>
      </w:r>
    </w:p>
    <w:p w14:paraId="79CBC73A">
      <w:pPr>
        <w:tabs>
          <w:tab w:val="left" w:pos="480"/>
        </w:tabs>
        <w:spacing w:line="360" w:lineRule="auto"/>
        <w:ind w:firstLine="5520" w:firstLineChars="2300"/>
        <w:rPr>
          <w:rFonts w:hAnsi="宋体" w:cs="宋体"/>
          <w:color w:val="auto"/>
          <w:szCs w:val="21"/>
          <w:highlight w:val="none"/>
        </w:rPr>
      </w:pPr>
      <w:r>
        <w:rPr>
          <w:rFonts w:hint="eastAsia" w:hAnsi="宋体" w:cs="宋体"/>
          <w:color w:val="auto"/>
          <w:szCs w:val="21"/>
          <w:highlight w:val="none"/>
        </w:rPr>
        <w:t xml:space="preserve">账  号：       </w:t>
      </w:r>
    </w:p>
    <w:p w14:paraId="0916EADE">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联系电话：                                联系电话：</w:t>
      </w:r>
    </w:p>
    <w:p w14:paraId="08514C4F">
      <w:pPr>
        <w:spacing w:line="360" w:lineRule="auto"/>
        <w:ind w:firstLine="480" w:firstLineChars="200"/>
        <w:rPr>
          <w:rFonts w:hint="eastAsia" w:ascii="宋体" w:hAnsi="宋体" w:eastAsia="宋体" w:cs="宋体"/>
          <w:sz w:val="24"/>
          <w:szCs w:val="24"/>
        </w:rPr>
      </w:pPr>
      <w:r>
        <w:rPr>
          <w:rFonts w:hint="eastAsia" w:hAnsi="宋体" w:cs="宋体"/>
          <w:color w:val="auto"/>
          <w:szCs w:val="21"/>
          <w:highlight w:val="none"/>
        </w:rPr>
        <w:t>签订日期：     年    月      日           签订日期：     年    月   日</w:t>
      </w:r>
    </w:p>
    <w:p w14:paraId="4BA8FCCE">
      <w:pPr>
        <w:bidi w:val="0"/>
        <w:rPr>
          <w:rFonts w:hint="eastAsia"/>
          <w:color w:val="auto"/>
          <w:highlight w:val="none"/>
        </w:rPr>
      </w:pPr>
    </w:p>
    <w:p w14:paraId="5062DC63">
      <w:pPr>
        <w:pStyle w:val="2"/>
        <w:keepNext/>
        <w:keepLines w:val="0"/>
        <w:pageBreakBefore w:val="0"/>
        <w:widowControl w:val="0"/>
        <w:kinsoku/>
        <w:wordWrap/>
        <w:overflowPunct/>
        <w:topLinePunct w:val="0"/>
        <w:autoSpaceDE/>
        <w:autoSpaceDN/>
        <w:bidi w:val="0"/>
        <w:adjustRightInd/>
        <w:snapToGrid w:val="0"/>
        <w:spacing w:line="360" w:lineRule="auto"/>
        <w:jc w:val="center"/>
        <w:textAlignment w:val="auto"/>
        <w:outlineLvl w:val="0"/>
        <w:rPr>
          <w:rFonts w:hint="eastAsia" w:ascii="宋体" w:hAnsi="宋体" w:eastAsia="宋体" w:cs="宋体"/>
          <w:b w:val="0"/>
          <w:bCs w:val="0"/>
          <w:color w:val="auto"/>
          <w:kern w:val="2"/>
          <w:sz w:val="28"/>
          <w:szCs w:val="28"/>
          <w:highlight w:val="none"/>
          <w:lang w:eastAsia="zh-CN"/>
        </w:rPr>
      </w:pPr>
      <w:r>
        <w:rPr>
          <w:rFonts w:hint="eastAsia" w:ascii="宋体" w:hAnsi="宋体" w:eastAsia="宋体" w:cs="宋体"/>
          <w:b w:val="0"/>
          <w:color w:val="auto"/>
          <w:szCs w:val="21"/>
          <w:highlight w:val="none"/>
        </w:rPr>
        <w:br w:type="page"/>
      </w:r>
      <w:bookmarkStart w:id="158" w:name="_Toc4254"/>
      <w:bookmarkStart w:id="159" w:name="_Toc23075"/>
      <w:r>
        <w:rPr>
          <w:rFonts w:hint="eastAsia" w:ascii="宋体" w:hAnsi="宋体" w:eastAsia="宋体" w:cs="宋体"/>
          <w:bCs/>
          <w:color w:val="auto"/>
          <w:sz w:val="36"/>
          <w:szCs w:val="36"/>
          <w:highlight w:val="none"/>
        </w:rPr>
        <w:t xml:space="preserve">第五章 </w:t>
      </w:r>
      <w:bookmarkEnd w:id="84"/>
      <w:bookmarkEnd w:id="85"/>
      <w:bookmarkEnd w:id="86"/>
      <w:bookmarkEnd w:id="87"/>
      <w:bookmarkEnd w:id="88"/>
      <w:bookmarkEnd w:id="89"/>
      <w:bookmarkEnd w:id="90"/>
      <w:bookmarkEnd w:id="91"/>
      <w:bookmarkEnd w:id="92"/>
      <w:r>
        <w:rPr>
          <w:rFonts w:hint="eastAsia" w:ascii="宋体" w:hAnsi="宋体" w:eastAsia="宋体" w:cs="宋体"/>
          <w:bCs/>
          <w:color w:val="auto"/>
          <w:sz w:val="36"/>
          <w:szCs w:val="36"/>
          <w:highlight w:val="none"/>
          <w:lang w:val="en-US" w:eastAsia="zh-CN"/>
        </w:rPr>
        <w:t xml:space="preserve"> </w:t>
      </w:r>
      <w:r>
        <w:rPr>
          <w:rFonts w:hint="eastAsia" w:ascii="宋体" w:hAnsi="宋体" w:eastAsia="宋体" w:cs="宋体"/>
          <w:bCs/>
          <w:color w:val="auto"/>
          <w:sz w:val="36"/>
          <w:szCs w:val="36"/>
          <w:highlight w:val="none"/>
        </w:rPr>
        <w:t>磋商内容及技术要求</w:t>
      </w:r>
      <w:bookmarkEnd w:id="56"/>
      <w:bookmarkEnd w:id="158"/>
      <w:bookmarkEnd w:id="159"/>
      <w:bookmarkStart w:id="160" w:name="_Toc5084"/>
      <w:bookmarkStart w:id="161" w:name="_Toc403077646"/>
      <w:bookmarkStart w:id="162" w:name="_Toc363474025"/>
      <w:bookmarkStart w:id="163" w:name="_Toc423973079"/>
    </w:p>
    <w:p w14:paraId="2D7CFBB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按照“学生第一，教师为先”的宗旨，根据</w:t>
      </w:r>
      <w:r>
        <w:rPr>
          <w:rFonts w:hint="eastAsia" w:ascii="宋体" w:hAnsi="宋体" w:eastAsia="宋体" w:cs="宋体"/>
          <w:sz w:val="24"/>
          <w:szCs w:val="24"/>
          <w:lang w:val="en-US" w:eastAsia="zh-CN"/>
        </w:rPr>
        <w:t>学</w:t>
      </w:r>
      <w:r>
        <w:rPr>
          <w:rFonts w:hint="eastAsia" w:ascii="宋体" w:hAnsi="宋体" w:eastAsia="宋体" w:cs="宋体"/>
          <w:sz w:val="24"/>
          <w:szCs w:val="24"/>
        </w:rPr>
        <w:t>院教育教学、科研和管理的以及图书馆馆藏的特点、要求，进一步更好地服务学院教育教学、管理，提高图书馆服务质量</w:t>
      </w:r>
      <w:r>
        <w:rPr>
          <w:rFonts w:hint="eastAsia" w:ascii="宋体" w:hAnsi="宋体" w:eastAsia="宋体" w:cs="宋体"/>
          <w:sz w:val="24"/>
          <w:szCs w:val="24"/>
          <w:lang w:eastAsia="zh-CN"/>
        </w:rPr>
        <w:t>。</w:t>
      </w:r>
    </w:p>
    <w:p w14:paraId="679BE1B7">
      <w:pPr>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本次拟采购的内容如下：</w:t>
      </w:r>
    </w:p>
    <w:tbl>
      <w:tblPr>
        <w:tblStyle w:val="21"/>
        <w:tblpPr w:leftFromText="180" w:rightFromText="180" w:vertAnchor="text" w:horzAnchor="page" w:tblpX="1402" w:tblpY="15"/>
        <w:tblOverlap w:val="never"/>
        <w:tblW w:w="9150" w:type="dxa"/>
        <w:tblInd w:w="0" w:type="dxa"/>
        <w:tblLayout w:type="fixed"/>
        <w:tblCellMar>
          <w:top w:w="15" w:type="dxa"/>
          <w:left w:w="15" w:type="dxa"/>
          <w:bottom w:w="15" w:type="dxa"/>
          <w:right w:w="15" w:type="dxa"/>
        </w:tblCellMar>
      </w:tblPr>
      <w:tblGrid>
        <w:gridCol w:w="2303"/>
        <w:gridCol w:w="1399"/>
        <w:gridCol w:w="2373"/>
        <w:gridCol w:w="3075"/>
      </w:tblGrid>
      <w:tr w14:paraId="67ADACEE">
        <w:tblPrEx>
          <w:tblCellMar>
            <w:top w:w="15" w:type="dxa"/>
            <w:left w:w="15" w:type="dxa"/>
            <w:bottom w:w="15" w:type="dxa"/>
            <w:right w:w="15" w:type="dxa"/>
          </w:tblCellMar>
        </w:tblPrEx>
        <w:trPr>
          <w:trHeight w:val="448" w:hRule="atLeast"/>
        </w:trPr>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5DA51">
            <w:pPr>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rPr>
            </w:pPr>
            <w:r>
              <w:rPr>
                <w:rFonts w:hint="eastAsia" w:ascii="宋体" w:hAnsi="宋体" w:eastAsia="宋体" w:cs="宋体"/>
                <w:sz w:val="24"/>
                <w:szCs w:val="24"/>
              </w:rPr>
              <w:t>产品</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E91AF">
            <w:pPr>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rPr>
            </w:pPr>
            <w:r>
              <w:rPr>
                <w:rFonts w:hint="eastAsia" w:ascii="宋体" w:hAnsi="宋体" w:eastAsia="宋体" w:cs="宋体"/>
                <w:sz w:val="24"/>
                <w:szCs w:val="24"/>
              </w:rPr>
              <w:t>年度</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E2EAB">
            <w:pPr>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rPr>
            </w:pPr>
            <w:r>
              <w:rPr>
                <w:rFonts w:hint="eastAsia" w:ascii="宋体" w:hAnsi="宋体" w:eastAsia="宋体" w:cs="宋体"/>
                <w:sz w:val="24"/>
                <w:szCs w:val="24"/>
              </w:rPr>
              <w:t>使用模式</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F5407">
            <w:pPr>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服务时间</w:t>
            </w:r>
          </w:p>
        </w:tc>
      </w:tr>
      <w:tr w14:paraId="515F2008">
        <w:tblPrEx>
          <w:tblCellMar>
            <w:top w:w="15" w:type="dxa"/>
            <w:left w:w="15" w:type="dxa"/>
            <w:bottom w:w="15" w:type="dxa"/>
            <w:right w:w="15" w:type="dxa"/>
          </w:tblCellMar>
        </w:tblPrEx>
        <w:trPr>
          <w:trHeight w:val="1467" w:hRule="atLeast"/>
        </w:trPr>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EF8AC">
            <w:pPr>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rPr>
            </w:pPr>
            <w:r>
              <w:rPr>
                <w:rFonts w:hint="eastAsia" w:ascii="宋体" w:hAnsi="宋体" w:eastAsia="宋体" w:cs="宋体"/>
                <w:sz w:val="24"/>
                <w:szCs w:val="24"/>
              </w:rPr>
              <w:t>超星学习通数据库</w:t>
            </w:r>
          </w:p>
          <w:p w14:paraId="6BE4639D">
            <w:pPr>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rPr>
            </w:pPr>
            <w:r>
              <w:rPr>
                <w:rFonts w:hint="eastAsia" w:ascii="宋体" w:hAnsi="宋体" w:eastAsia="宋体" w:cs="宋体"/>
                <w:sz w:val="24"/>
                <w:szCs w:val="24"/>
                <w:lang w:eastAsia="zh-CN"/>
              </w:rPr>
              <w:t>读秀知识库</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F5D85">
            <w:pPr>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rPr>
            </w:pPr>
            <w:r>
              <w:rPr>
                <w:rFonts w:hint="eastAsia" w:ascii="宋体" w:hAnsi="宋体" w:eastAsia="宋体" w:cs="宋体"/>
                <w:sz w:val="24"/>
                <w:szCs w:val="24"/>
              </w:rPr>
              <w:t>202</w:t>
            </w:r>
            <w:r>
              <w:rPr>
                <w:rFonts w:hint="eastAsia" w:ascii="宋体" w:hAnsi="宋体" w:eastAsia="宋体" w:cs="宋体"/>
                <w:sz w:val="24"/>
                <w:szCs w:val="24"/>
                <w:lang w:val="en-US" w:eastAsia="zh-CN"/>
              </w:rPr>
              <w:t>5</w:t>
            </w:r>
            <w:r>
              <w:rPr>
                <w:rFonts w:hint="eastAsia" w:ascii="宋体" w:hAnsi="宋体" w:eastAsia="宋体" w:cs="宋体"/>
                <w:sz w:val="24"/>
                <w:szCs w:val="24"/>
              </w:rPr>
              <w:t>年</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747F9">
            <w:pPr>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rPr>
            </w:pPr>
            <w:r>
              <w:rPr>
                <w:rFonts w:hint="eastAsia" w:ascii="宋体" w:hAnsi="宋体" w:eastAsia="宋体" w:cs="宋体"/>
                <w:sz w:val="24"/>
                <w:szCs w:val="24"/>
              </w:rPr>
              <w:t>数据镜像+IP控制下的远程访问</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AFC14">
            <w:pPr>
              <w:pageBreakBefore w:val="0"/>
              <w:kinsoku/>
              <w:wordWrap/>
              <w:overflowPunct/>
              <w:topLinePunct w:val="0"/>
              <w:autoSpaceDE/>
              <w:autoSpaceDN/>
              <w:bidi w:val="0"/>
              <w:adjustRightInd/>
              <w:snapToGrid/>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自合同签订之日起1年</w:t>
            </w:r>
          </w:p>
        </w:tc>
      </w:tr>
    </w:tbl>
    <w:p w14:paraId="58F2E587">
      <w:pPr>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2.学习通资源量：</w:t>
      </w:r>
    </w:p>
    <w:tbl>
      <w:tblPr>
        <w:tblStyle w:val="36"/>
        <w:tblW w:w="91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07"/>
        <w:gridCol w:w="2542"/>
        <w:gridCol w:w="2455"/>
        <w:gridCol w:w="2954"/>
      </w:tblGrid>
      <w:tr w14:paraId="1678BD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1207" w:type="dxa"/>
            <w:noWrap w:val="0"/>
            <w:vAlign w:val="center"/>
          </w:tcPr>
          <w:p w14:paraId="45137246">
            <w:pPr>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rPr>
            </w:pPr>
            <w:r>
              <w:rPr>
                <w:rFonts w:hint="eastAsia" w:ascii="宋体" w:hAnsi="宋体" w:eastAsia="宋体" w:cs="宋体"/>
                <w:sz w:val="24"/>
                <w:szCs w:val="24"/>
              </w:rPr>
              <w:t>序号</w:t>
            </w:r>
          </w:p>
        </w:tc>
        <w:tc>
          <w:tcPr>
            <w:tcW w:w="2542" w:type="dxa"/>
            <w:noWrap w:val="0"/>
            <w:vAlign w:val="center"/>
          </w:tcPr>
          <w:p w14:paraId="41A4396D">
            <w:pPr>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rPr>
            </w:pPr>
            <w:r>
              <w:rPr>
                <w:rFonts w:hint="eastAsia" w:ascii="宋体" w:hAnsi="宋体" w:eastAsia="宋体" w:cs="宋体"/>
                <w:sz w:val="24"/>
                <w:szCs w:val="24"/>
              </w:rPr>
              <w:t>资源类型</w:t>
            </w:r>
          </w:p>
        </w:tc>
        <w:tc>
          <w:tcPr>
            <w:tcW w:w="2455" w:type="dxa"/>
            <w:noWrap w:val="0"/>
            <w:vAlign w:val="center"/>
          </w:tcPr>
          <w:p w14:paraId="2E49BD3D">
            <w:pPr>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rPr>
            </w:pPr>
            <w:r>
              <w:rPr>
                <w:rFonts w:hint="eastAsia" w:ascii="宋体" w:hAnsi="宋体" w:eastAsia="宋体" w:cs="宋体"/>
                <w:sz w:val="24"/>
                <w:szCs w:val="24"/>
              </w:rPr>
              <w:t>数量</w:t>
            </w:r>
          </w:p>
        </w:tc>
        <w:tc>
          <w:tcPr>
            <w:tcW w:w="2954" w:type="dxa"/>
            <w:noWrap w:val="0"/>
            <w:vAlign w:val="center"/>
          </w:tcPr>
          <w:p w14:paraId="4D9990FF">
            <w:pPr>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rPr>
            </w:pPr>
            <w:r>
              <w:rPr>
                <w:rFonts w:hint="eastAsia" w:ascii="宋体" w:hAnsi="宋体" w:eastAsia="宋体" w:cs="宋体"/>
                <w:sz w:val="24"/>
                <w:szCs w:val="24"/>
              </w:rPr>
              <w:t>时长</w:t>
            </w:r>
          </w:p>
        </w:tc>
      </w:tr>
      <w:tr w14:paraId="60C518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207" w:type="dxa"/>
            <w:noWrap w:val="0"/>
            <w:vAlign w:val="center"/>
          </w:tcPr>
          <w:p w14:paraId="77600FA8">
            <w:pPr>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2542" w:type="dxa"/>
            <w:noWrap w:val="0"/>
            <w:vAlign w:val="center"/>
          </w:tcPr>
          <w:p w14:paraId="22EE9E02">
            <w:pPr>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rPr>
            </w:pPr>
            <w:r>
              <w:rPr>
                <w:rFonts w:hint="eastAsia" w:ascii="宋体" w:hAnsi="宋体" w:eastAsia="宋体" w:cs="宋体"/>
                <w:sz w:val="24"/>
                <w:szCs w:val="24"/>
              </w:rPr>
              <w:t>图书</w:t>
            </w:r>
          </w:p>
        </w:tc>
        <w:tc>
          <w:tcPr>
            <w:tcW w:w="2455" w:type="dxa"/>
            <w:noWrap w:val="0"/>
            <w:vAlign w:val="center"/>
          </w:tcPr>
          <w:p w14:paraId="6C33F3A0">
            <w:pPr>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00</w:t>
            </w:r>
            <w:r>
              <w:rPr>
                <w:rFonts w:hint="eastAsia" w:ascii="宋体" w:hAnsi="宋体" w:eastAsia="宋体" w:cs="宋体"/>
                <w:sz w:val="24"/>
                <w:szCs w:val="24"/>
              </w:rPr>
              <w:t>万包库</w:t>
            </w:r>
          </w:p>
        </w:tc>
        <w:tc>
          <w:tcPr>
            <w:tcW w:w="2954" w:type="dxa"/>
            <w:noWrap w:val="0"/>
            <w:vAlign w:val="center"/>
          </w:tcPr>
          <w:p w14:paraId="5579B6DF">
            <w:pPr>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rPr>
            </w:pPr>
          </w:p>
        </w:tc>
      </w:tr>
      <w:tr w14:paraId="2AB7DF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207" w:type="dxa"/>
            <w:noWrap w:val="0"/>
            <w:vAlign w:val="center"/>
          </w:tcPr>
          <w:p w14:paraId="7178EFE8">
            <w:pPr>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rPr>
            </w:pPr>
            <w:r>
              <w:rPr>
                <w:rFonts w:hint="eastAsia" w:ascii="宋体" w:hAnsi="宋体" w:eastAsia="宋体" w:cs="宋体"/>
                <w:sz w:val="24"/>
                <w:szCs w:val="24"/>
              </w:rPr>
              <w:t>2</w:t>
            </w:r>
          </w:p>
        </w:tc>
        <w:tc>
          <w:tcPr>
            <w:tcW w:w="2542" w:type="dxa"/>
            <w:noWrap w:val="0"/>
            <w:vAlign w:val="center"/>
          </w:tcPr>
          <w:p w14:paraId="6AD95C4C">
            <w:pPr>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rPr>
            </w:pPr>
            <w:r>
              <w:rPr>
                <w:rFonts w:hint="eastAsia" w:ascii="宋体" w:hAnsi="宋体" w:eastAsia="宋体" w:cs="宋体"/>
                <w:sz w:val="24"/>
                <w:szCs w:val="24"/>
              </w:rPr>
              <w:t>期刊</w:t>
            </w:r>
          </w:p>
        </w:tc>
        <w:tc>
          <w:tcPr>
            <w:tcW w:w="2455" w:type="dxa"/>
            <w:noWrap w:val="0"/>
            <w:vAlign w:val="center"/>
          </w:tcPr>
          <w:p w14:paraId="69996581">
            <w:pPr>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rPr>
            </w:pPr>
            <w:r>
              <w:rPr>
                <w:rFonts w:hint="eastAsia" w:ascii="宋体" w:hAnsi="宋体" w:eastAsia="宋体" w:cs="宋体"/>
                <w:sz w:val="24"/>
                <w:szCs w:val="24"/>
              </w:rPr>
              <w:t>3000 种</w:t>
            </w:r>
          </w:p>
        </w:tc>
        <w:tc>
          <w:tcPr>
            <w:tcW w:w="2954" w:type="dxa"/>
            <w:noWrap w:val="0"/>
            <w:vAlign w:val="center"/>
          </w:tcPr>
          <w:p w14:paraId="0FC41B41">
            <w:pPr>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rPr>
            </w:pPr>
          </w:p>
        </w:tc>
      </w:tr>
      <w:tr w14:paraId="5A127C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207" w:type="dxa"/>
            <w:noWrap w:val="0"/>
            <w:vAlign w:val="center"/>
          </w:tcPr>
          <w:p w14:paraId="64B98A20">
            <w:pPr>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rPr>
            </w:pPr>
            <w:r>
              <w:rPr>
                <w:rFonts w:hint="eastAsia" w:ascii="宋体" w:hAnsi="宋体" w:eastAsia="宋体" w:cs="宋体"/>
                <w:sz w:val="24"/>
                <w:szCs w:val="24"/>
              </w:rPr>
              <w:t>3</w:t>
            </w:r>
          </w:p>
        </w:tc>
        <w:tc>
          <w:tcPr>
            <w:tcW w:w="2542" w:type="dxa"/>
            <w:noWrap w:val="0"/>
            <w:vAlign w:val="center"/>
          </w:tcPr>
          <w:p w14:paraId="1F4ECA99">
            <w:pPr>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rPr>
            </w:pPr>
            <w:r>
              <w:rPr>
                <w:rFonts w:hint="eastAsia" w:ascii="宋体" w:hAnsi="宋体" w:eastAsia="宋体" w:cs="宋体"/>
                <w:sz w:val="24"/>
                <w:szCs w:val="24"/>
              </w:rPr>
              <w:t>视频</w:t>
            </w:r>
          </w:p>
        </w:tc>
        <w:tc>
          <w:tcPr>
            <w:tcW w:w="2455" w:type="dxa"/>
            <w:noWrap w:val="0"/>
            <w:vAlign w:val="center"/>
          </w:tcPr>
          <w:p w14:paraId="75E0E31E">
            <w:pPr>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6</w:t>
            </w:r>
            <w:r>
              <w:rPr>
                <w:rFonts w:hint="eastAsia" w:ascii="宋体" w:hAnsi="宋体" w:eastAsia="宋体" w:cs="宋体"/>
                <w:sz w:val="24"/>
                <w:szCs w:val="24"/>
              </w:rPr>
              <w:t xml:space="preserve"> 万集</w:t>
            </w:r>
          </w:p>
        </w:tc>
        <w:tc>
          <w:tcPr>
            <w:tcW w:w="2954" w:type="dxa"/>
            <w:noWrap w:val="0"/>
            <w:vAlign w:val="center"/>
          </w:tcPr>
          <w:p w14:paraId="40B63269">
            <w:pPr>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rPr>
            </w:pPr>
            <w:r>
              <w:rPr>
                <w:rFonts w:hint="eastAsia" w:ascii="宋体" w:hAnsi="宋体" w:eastAsia="宋体" w:cs="宋体"/>
                <w:sz w:val="24"/>
                <w:szCs w:val="24"/>
              </w:rPr>
              <w:t xml:space="preserve">共计 </w:t>
            </w:r>
            <w:r>
              <w:rPr>
                <w:rFonts w:hint="eastAsia" w:ascii="宋体" w:hAnsi="宋体" w:eastAsia="宋体" w:cs="宋体"/>
                <w:sz w:val="24"/>
                <w:szCs w:val="24"/>
                <w:lang w:val="en-US" w:eastAsia="zh-CN"/>
              </w:rPr>
              <w:t>10759</w:t>
            </w:r>
            <w:r>
              <w:rPr>
                <w:rFonts w:hint="eastAsia" w:ascii="宋体" w:hAnsi="宋体" w:eastAsia="宋体" w:cs="宋体"/>
                <w:sz w:val="24"/>
                <w:szCs w:val="24"/>
              </w:rPr>
              <w:t xml:space="preserve"> 小时</w:t>
            </w:r>
          </w:p>
        </w:tc>
      </w:tr>
      <w:tr w14:paraId="11BEBF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207" w:type="dxa"/>
            <w:noWrap w:val="0"/>
            <w:vAlign w:val="center"/>
          </w:tcPr>
          <w:p w14:paraId="1BEE4F2D">
            <w:pPr>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rPr>
            </w:pPr>
            <w:r>
              <w:rPr>
                <w:rFonts w:hint="eastAsia" w:ascii="宋体" w:hAnsi="宋体" w:eastAsia="宋体" w:cs="宋体"/>
                <w:sz w:val="24"/>
                <w:szCs w:val="24"/>
              </w:rPr>
              <w:t>4</w:t>
            </w:r>
          </w:p>
        </w:tc>
        <w:tc>
          <w:tcPr>
            <w:tcW w:w="2542" w:type="dxa"/>
            <w:noWrap w:val="0"/>
            <w:vAlign w:val="center"/>
          </w:tcPr>
          <w:p w14:paraId="3970572D">
            <w:pPr>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rPr>
            </w:pPr>
            <w:r>
              <w:rPr>
                <w:rFonts w:hint="eastAsia" w:ascii="宋体" w:hAnsi="宋体" w:eastAsia="宋体" w:cs="宋体"/>
                <w:sz w:val="24"/>
                <w:szCs w:val="24"/>
              </w:rPr>
              <w:t>音频</w:t>
            </w:r>
          </w:p>
        </w:tc>
        <w:tc>
          <w:tcPr>
            <w:tcW w:w="2455" w:type="dxa"/>
            <w:noWrap w:val="0"/>
            <w:vAlign w:val="center"/>
          </w:tcPr>
          <w:p w14:paraId="491001B8">
            <w:pPr>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46</w:t>
            </w:r>
            <w:r>
              <w:rPr>
                <w:rFonts w:hint="eastAsia" w:ascii="宋体" w:hAnsi="宋体" w:eastAsia="宋体" w:cs="宋体"/>
                <w:sz w:val="24"/>
                <w:szCs w:val="24"/>
              </w:rPr>
              <w:t xml:space="preserve"> 万集</w:t>
            </w:r>
          </w:p>
        </w:tc>
        <w:tc>
          <w:tcPr>
            <w:tcW w:w="2954" w:type="dxa"/>
            <w:noWrap w:val="0"/>
            <w:vAlign w:val="center"/>
          </w:tcPr>
          <w:p w14:paraId="04198822">
            <w:pPr>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rPr>
            </w:pPr>
            <w:r>
              <w:rPr>
                <w:rFonts w:hint="eastAsia" w:ascii="宋体" w:hAnsi="宋体" w:eastAsia="宋体" w:cs="宋体"/>
                <w:sz w:val="24"/>
                <w:szCs w:val="24"/>
              </w:rPr>
              <w:t xml:space="preserve">共计 </w:t>
            </w:r>
            <w:r>
              <w:rPr>
                <w:rFonts w:hint="eastAsia" w:ascii="宋体" w:hAnsi="宋体" w:eastAsia="宋体" w:cs="宋体"/>
                <w:sz w:val="24"/>
                <w:szCs w:val="24"/>
                <w:lang w:val="en-US" w:eastAsia="zh-CN"/>
              </w:rPr>
              <w:t>5873</w:t>
            </w:r>
            <w:r>
              <w:rPr>
                <w:rFonts w:hint="eastAsia" w:ascii="宋体" w:hAnsi="宋体" w:eastAsia="宋体" w:cs="宋体"/>
                <w:sz w:val="24"/>
                <w:szCs w:val="24"/>
              </w:rPr>
              <w:t>小时</w:t>
            </w:r>
          </w:p>
        </w:tc>
      </w:tr>
    </w:tbl>
    <w:p w14:paraId="1DEAFFA0">
      <w:pPr>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3.读秀知识库资源量：</w:t>
      </w:r>
    </w:p>
    <w:tbl>
      <w:tblPr>
        <w:tblStyle w:val="36"/>
        <w:tblW w:w="915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0"/>
        <w:gridCol w:w="4050"/>
        <w:gridCol w:w="2929"/>
      </w:tblGrid>
      <w:tr w14:paraId="480197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2180" w:type="dxa"/>
            <w:noWrap w:val="0"/>
            <w:vAlign w:val="center"/>
          </w:tcPr>
          <w:p w14:paraId="496AF1F0">
            <w:pPr>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rPr>
            </w:pPr>
            <w:r>
              <w:rPr>
                <w:rFonts w:hint="eastAsia" w:ascii="宋体" w:hAnsi="宋体" w:eastAsia="宋体" w:cs="宋体"/>
                <w:sz w:val="24"/>
                <w:szCs w:val="24"/>
              </w:rPr>
              <w:t>序号</w:t>
            </w:r>
          </w:p>
        </w:tc>
        <w:tc>
          <w:tcPr>
            <w:tcW w:w="4050" w:type="dxa"/>
            <w:noWrap w:val="0"/>
            <w:vAlign w:val="center"/>
          </w:tcPr>
          <w:p w14:paraId="3CDBF312">
            <w:pPr>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rPr>
            </w:pPr>
            <w:r>
              <w:rPr>
                <w:rFonts w:hint="eastAsia" w:ascii="宋体" w:hAnsi="宋体" w:eastAsia="宋体" w:cs="宋体"/>
                <w:sz w:val="24"/>
                <w:szCs w:val="24"/>
              </w:rPr>
              <w:t>数据量</w:t>
            </w:r>
          </w:p>
        </w:tc>
        <w:tc>
          <w:tcPr>
            <w:tcW w:w="2929" w:type="dxa"/>
            <w:noWrap w:val="0"/>
            <w:vAlign w:val="center"/>
          </w:tcPr>
          <w:p w14:paraId="2F7E874C">
            <w:pPr>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rPr>
            </w:pPr>
            <w:r>
              <w:rPr>
                <w:rFonts w:hint="eastAsia" w:ascii="宋体" w:hAnsi="宋体" w:eastAsia="宋体" w:cs="宋体"/>
                <w:sz w:val="24"/>
                <w:szCs w:val="24"/>
              </w:rPr>
              <w:t>数量</w:t>
            </w:r>
          </w:p>
        </w:tc>
      </w:tr>
      <w:tr w14:paraId="636ED3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7" w:hRule="atLeast"/>
        </w:trPr>
        <w:tc>
          <w:tcPr>
            <w:tcW w:w="2180" w:type="dxa"/>
            <w:noWrap w:val="0"/>
            <w:vAlign w:val="center"/>
          </w:tcPr>
          <w:p w14:paraId="0B96D11C">
            <w:pPr>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4050" w:type="dxa"/>
            <w:noWrap w:val="0"/>
            <w:vAlign w:val="center"/>
          </w:tcPr>
          <w:p w14:paraId="54EBC1B8">
            <w:pPr>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rPr>
            </w:pPr>
            <w:r>
              <w:rPr>
                <w:rFonts w:hint="eastAsia" w:ascii="宋体" w:hAnsi="宋体" w:eastAsia="宋体" w:cs="宋体"/>
                <w:sz w:val="24"/>
                <w:szCs w:val="24"/>
              </w:rPr>
              <w:t>中文图书试读</w:t>
            </w:r>
          </w:p>
        </w:tc>
        <w:tc>
          <w:tcPr>
            <w:tcW w:w="2929" w:type="dxa"/>
            <w:noWrap w:val="0"/>
            <w:vAlign w:val="center"/>
          </w:tcPr>
          <w:p w14:paraId="724E2D11">
            <w:pPr>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rPr>
            </w:pPr>
            <w:r>
              <w:rPr>
                <w:rFonts w:hint="eastAsia" w:ascii="宋体" w:hAnsi="宋体" w:eastAsia="宋体" w:cs="宋体"/>
                <w:sz w:val="24"/>
                <w:szCs w:val="24"/>
              </w:rPr>
              <w:t>35</w:t>
            </w:r>
            <w:r>
              <w:rPr>
                <w:rFonts w:hint="eastAsia" w:ascii="宋体" w:hAnsi="宋体" w:eastAsia="宋体" w:cs="宋体"/>
                <w:sz w:val="24"/>
                <w:szCs w:val="24"/>
                <w:lang w:val="en-US" w:eastAsia="zh-CN"/>
              </w:rPr>
              <w:t>6</w:t>
            </w:r>
            <w:r>
              <w:rPr>
                <w:rFonts w:hint="eastAsia" w:ascii="宋体" w:hAnsi="宋体" w:eastAsia="宋体" w:cs="宋体"/>
                <w:sz w:val="24"/>
                <w:szCs w:val="24"/>
              </w:rPr>
              <w:t xml:space="preserve"> 万种</w:t>
            </w:r>
          </w:p>
        </w:tc>
      </w:tr>
      <w:tr w14:paraId="31FA5B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48" w:hRule="atLeast"/>
        </w:trPr>
        <w:tc>
          <w:tcPr>
            <w:tcW w:w="2180" w:type="dxa"/>
            <w:noWrap w:val="0"/>
            <w:vAlign w:val="center"/>
          </w:tcPr>
          <w:p w14:paraId="40159584">
            <w:pPr>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rPr>
            </w:pPr>
            <w:r>
              <w:rPr>
                <w:rFonts w:hint="eastAsia" w:ascii="宋体" w:hAnsi="宋体" w:eastAsia="宋体" w:cs="宋体"/>
                <w:sz w:val="24"/>
                <w:szCs w:val="24"/>
              </w:rPr>
              <w:t>2</w:t>
            </w:r>
          </w:p>
        </w:tc>
        <w:tc>
          <w:tcPr>
            <w:tcW w:w="4050" w:type="dxa"/>
            <w:noWrap w:val="0"/>
            <w:vAlign w:val="center"/>
          </w:tcPr>
          <w:p w14:paraId="223E99F5">
            <w:pPr>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rPr>
            </w:pPr>
            <w:r>
              <w:rPr>
                <w:rFonts w:hint="eastAsia" w:ascii="宋体" w:hAnsi="宋体" w:eastAsia="宋体" w:cs="宋体"/>
                <w:sz w:val="24"/>
                <w:szCs w:val="24"/>
              </w:rPr>
              <w:t>中文图书目录</w:t>
            </w:r>
          </w:p>
        </w:tc>
        <w:tc>
          <w:tcPr>
            <w:tcW w:w="2929" w:type="dxa"/>
            <w:noWrap w:val="0"/>
            <w:vAlign w:val="center"/>
          </w:tcPr>
          <w:p w14:paraId="105494AC">
            <w:pPr>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rPr>
            </w:pPr>
            <w:r>
              <w:rPr>
                <w:rFonts w:hint="eastAsia" w:ascii="宋体" w:hAnsi="宋体" w:eastAsia="宋体" w:cs="宋体"/>
                <w:sz w:val="24"/>
                <w:szCs w:val="24"/>
              </w:rPr>
              <w:t>7</w:t>
            </w:r>
            <w:r>
              <w:rPr>
                <w:rFonts w:hint="eastAsia" w:ascii="宋体" w:hAnsi="宋体" w:eastAsia="宋体" w:cs="宋体"/>
                <w:sz w:val="24"/>
                <w:szCs w:val="24"/>
                <w:lang w:val="en-US" w:eastAsia="zh-CN"/>
              </w:rPr>
              <w:t>32</w:t>
            </w:r>
            <w:r>
              <w:rPr>
                <w:rFonts w:hint="eastAsia" w:ascii="宋体" w:hAnsi="宋体" w:eastAsia="宋体" w:cs="宋体"/>
                <w:sz w:val="24"/>
                <w:szCs w:val="24"/>
              </w:rPr>
              <w:t xml:space="preserve"> 万种</w:t>
            </w:r>
          </w:p>
        </w:tc>
      </w:tr>
    </w:tbl>
    <w:p w14:paraId="6737183D">
      <w:pPr>
        <w:pageBreakBefore w:val="0"/>
        <w:kinsoku/>
        <w:wordWrap/>
        <w:overflowPunct/>
        <w:topLinePunct w:val="0"/>
        <w:autoSpaceDE/>
        <w:autoSpaceDN/>
        <w:bidi w:val="0"/>
        <w:adjustRightInd/>
        <w:snapToGrid/>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参数：</w:t>
      </w:r>
    </w:p>
    <w:p w14:paraId="26887503">
      <w:pPr>
        <w:pageBreakBefore w:val="0"/>
        <w:kinsoku/>
        <w:wordWrap/>
        <w:overflowPunct/>
        <w:topLinePunct w:val="0"/>
        <w:autoSpaceDE/>
        <w:autoSpaceDN/>
        <w:bidi w:val="0"/>
        <w:adjustRightInd/>
        <w:snapToGrid/>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（一）学习通：</w:t>
      </w:r>
    </w:p>
    <w:p w14:paraId="61C728EB">
      <w:pPr>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1、用户可以根据自己的喜好建立本单位的移动端首页，将资源、服务、活动以模块的形式呈现在首页。</w:t>
      </w:r>
    </w:p>
    <w:p w14:paraId="540C8744">
      <w:pPr>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2、提供资源的移动阅读，并可根据自己的阅读兴趣将资源进行重组，建立自己感兴趣的专题、资源域。</w:t>
      </w:r>
    </w:p>
    <w:p w14:paraId="2B37A05D">
      <w:pPr>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3、提供表单引擎、预约引擎、审批引擎和活动引擎服务；用户可以根据自己的需求建立表单采集、预约服务、审批流程及线上阅读活动。</w:t>
      </w:r>
    </w:p>
    <w:p w14:paraId="11939ED2">
      <w:pPr>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4、为读者提供网络云盘，读者可以将自己感兴趣的资料、阅读感受、记录创新思想等收集至云盘中，为读者永久保留个人空间。</w:t>
      </w:r>
    </w:p>
    <w:p w14:paraId="3840E816">
      <w:pPr>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5、建立阅读兴趣小组，让读者的阅读学习不再是一个人的行为。</w:t>
      </w:r>
    </w:p>
    <w:p w14:paraId="40564446">
      <w:pPr>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6、有良好的售后服务。能及时解决数据库使用过程中发生的故障，故障响应时间不超过4小时，故障处理时间不超过24小时，能及时反馈用户在数据库使用过程中提出的问题。</w:t>
      </w:r>
    </w:p>
    <w:p w14:paraId="61F46B87">
      <w:pPr>
        <w:pageBreakBefore w:val="0"/>
        <w:kinsoku/>
        <w:wordWrap/>
        <w:overflowPunct/>
        <w:topLinePunct w:val="0"/>
        <w:autoSpaceDE/>
        <w:autoSpaceDN/>
        <w:bidi w:val="0"/>
        <w:adjustRightInd/>
        <w:snapToGrid/>
        <w:spacing w:line="360" w:lineRule="auto"/>
        <w:rPr>
          <w:rFonts w:hint="eastAsia" w:ascii="宋体" w:hAnsi="宋体" w:eastAsia="宋体" w:cs="宋体"/>
          <w:b/>
          <w:bCs/>
          <w:sz w:val="24"/>
          <w:szCs w:val="24"/>
          <w:lang w:val="en-US" w:eastAsia="zh-CN"/>
        </w:rPr>
      </w:pPr>
      <w:r>
        <w:rPr>
          <w:rFonts w:hint="eastAsia" w:ascii="宋体" w:hAnsi="宋体" w:eastAsia="宋体" w:cs="宋体"/>
          <w:sz w:val="24"/>
          <w:szCs w:val="24"/>
          <w:lang w:val="en-US" w:eastAsia="zh-CN"/>
        </w:rPr>
        <w:t>7、能提供上门读者培训服务。</w:t>
      </w:r>
    </w:p>
    <w:p w14:paraId="22D0ED9B">
      <w:pPr>
        <w:pageBreakBefore w:val="0"/>
        <w:kinsoku/>
        <w:wordWrap/>
        <w:overflowPunct/>
        <w:topLinePunct w:val="0"/>
        <w:autoSpaceDE/>
        <w:autoSpaceDN/>
        <w:bidi w:val="0"/>
        <w:adjustRightInd/>
        <w:snapToGrid/>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（二）读秀知识库：</w:t>
      </w:r>
    </w:p>
    <w:p w14:paraId="46FB564A">
      <w:pPr>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1、保证产品的正版版权，确保产品安全、可靠和先进、及时性。</w:t>
      </w:r>
    </w:p>
    <w:p w14:paraId="02095B00">
      <w:pPr>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2、确保搜索平台资源内容丰富，能满足学院广大师生的服务需求。</w:t>
      </w:r>
    </w:p>
    <w:p w14:paraId="4515A2C0">
      <w:pPr>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3、保证产品的完整使用权，不得随意限制、更改用户的使用权限。</w:t>
      </w:r>
    </w:p>
    <w:p w14:paraId="59B423BE">
      <w:pPr>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4、搜索平台功能完善，用户可以检索、浏览、下载资源。</w:t>
      </w:r>
    </w:p>
    <w:p w14:paraId="4E056730">
      <w:pPr>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5、能及时更新维护，保证搜索平台的高效、及时性。</w:t>
      </w:r>
    </w:p>
    <w:p w14:paraId="7070C6AC">
      <w:pPr>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6、及时更新本馆馆藏数据，不超过三个工作日。</w:t>
      </w:r>
    </w:p>
    <w:p w14:paraId="049089D1">
      <w:pPr>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7、文献传递时，如检索到结果，保证文献传递时间不超过48小时。</w:t>
      </w:r>
    </w:p>
    <w:p w14:paraId="6905F034">
      <w:pPr>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8、访问方式：远程访问。</w:t>
      </w:r>
    </w:p>
    <w:p w14:paraId="00946A5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kern w:val="2"/>
          <w:sz w:val="28"/>
          <w:szCs w:val="28"/>
          <w:highlight w:val="none"/>
          <w:lang w:val="en-US" w:eastAsia="zh-CN"/>
        </w:rPr>
      </w:pPr>
      <w:r>
        <w:rPr>
          <w:rFonts w:hint="eastAsia" w:ascii="宋体" w:hAnsi="宋体" w:eastAsia="宋体" w:cs="宋体"/>
          <w:sz w:val="24"/>
          <w:szCs w:val="24"/>
          <w:lang w:val="en-US" w:eastAsia="zh-CN"/>
        </w:rPr>
        <w:t>9、提供优良的软件售后服务，及时维护搜索平台使用过程中发生的故障，保证用户使用不受影响。故障响应时间不超过4小时，故障处理时间不超过24小时。</w:t>
      </w:r>
      <w:r>
        <w:rPr>
          <w:rFonts w:hint="eastAsia" w:ascii="宋体" w:hAnsi="宋体" w:eastAsia="宋体" w:cs="宋体"/>
          <w:b w:val="0"/>
          <w:bCs w:val="0"/>
          <w:color w:val="auto"/>
          <w:kern w:val="2"/>
          <w:sz w:val="28"/>
          <w:szCs w:val="28"/>
          <w:highlight w:val="none"/>
          <w:lang w:val="en-US" w:eastAsia="zh-CN"/>
        </w:rPr>
        <w:br w:type="page"/>
      </w:r>
    </w:p>
    <w:p w14:paraId="23183C69">
      <w:pPr>
        <w:pStyle w:val="2"/>
        <w:jc w:val="center"/>
        <w:outlineLvl w:val="0"/>
        <w:rPr>
          <w:rFonts w:hint="eastAsia" w:ascii="宋体" w:hAnsi="宋体" w:eastAsia="宋体" w:cs="宋体"/>
          <w:b/>
          <w:bCs/>
          <w:color w:val="auto"/>
          <w:sz w:val="36"/>
          <w:szCs w:val="36"/>
          <w:highlight w:val="none"/>
        </w:rPr>
      </w:pPr>
      <w:bookmarkStart w:id="164" w:name="_Toc25319"/>
      <w:r>
        <w:rPr>
          <w:rFonts w:hint="eastAsia" w:ascii="宋体" w:hAnsi="宋体" w:eastAsia="宋体" w:cs="宋体"/>
          <w:b/>
          <w:bCs/>
          <w:color w:val="auto"/>
          <w:sz w:val="36"/>
          <w:szCs w:val="36"/>
          <w:highlight w:val="none"/>
        </w:rPr>
        <w:t xml:space="preserve">第六章 </w:t>
      </w:r>
      <w:r>
        <w:rPr>
          <w:rFonts w:hint="eastAsia" w:ascii="宋体" w:hAnsi="宋体" w:eastAsia="宋体" w:cs="宋体"/>
          <w:b/>
          <w:bCs/>
          <w:color w:val="auto"/>
          <w:sz w:val="36"/>
          <w:szCs w:val="36"/>
          <w:highlight w:val="none"/>
          <w:lang w:val="en-US" w:eastAsia="zh-CN"/>
        </w:rPr>
        <w:t xml:space="preserve"> </w:t>
      </w:r>
      <w:r>
        <w:rPr>
          <w:rFonts w:hint="eastAsia" w:ascii="宋体" w:hAnsi="宋体" w:eastAsia="宋体" w:cs="宋体"/>
          <w:b/>
          <w:bCs/>
          <w:color w:val="auto"/>
          <w:sz w:val="36"/>
          <w:szCs w:val="36"/>
          <w:highlight w:val="none"/>
        </w:rPr>
        <w:t>竞争性磋商响应文件格式</w:t>
      </w:r>
      <w:bookmarkEnd w:id="160"/>
      <w:bookmarkEnd w:id="161"/>
      <w:bookmarkEnd w:id="162"/>
      <w:bookmarkEnd w:id="163"/>
      <w:bookmarkEnd w:id="164"/>
    </w:p>
    <w:p w14:paraId="195AE1F1">
      <w:pPr>
        <w:rPr>
          <w:rFonts w:hint="eastAsia" w:ascii="宋体" w:hAnsi="宋体" w:eastAsia="宋体" w:cs="宋体"/>
          <w:color w:val="auto"/>
          <w:highlight w:val="none"/>
        </w:rPr>
      </w:pPr>
    </w:p>
    <w:p w14:paraId="4CA52925">
      <w:pPr>
        <w:rPr>
          <w:rFonts w:hint="eastAsia" w:ascii="宋体" w:hAnsi="宋体" w:eastAsia="宋体" w:cs="宋体"/>
          <w:color w:val="auto"/>
          <w:highlight w:val="none"/>
        </w:rPr>
      </w:pPr>
    </w:p>
    <w:p w14:paraId="62429377">
      <w:pPr>
        <w:framePr w:hSpace="180" w:wrap="around" w:vAnchor="text" w:hAnchor="page" w:x="1488" w:y="3"/>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rPr>
        <w:t>项目编号：</w:t>
      </w:r>
      <w:r>
        <w:rPr>
          <w:rFonts w:hint="eastAsia" w:hAnsi="宋体" w:cs="宋体"/>
          <w:b/>
          <w:bCs/>
          <w:color w:val="auto"/>
          <w:sz w:val="32"/>
          <w:szCs w:val="32"/>
          <w:highlight w:val="none"/>
          <w:lang w:eastAsia="zh-CN"/>
        </w:rPr>
        <w:t>SXZCZB2025-ZCCS-0935</w:t>
      </w:r>
      <w:r>
        <w:rPr>
          <w:rFonts w:hint="eastAsia" w:hAnsi="宋体" w:eastAsia="宋体" w:cs="宋体"/>
          <w:b/>
          <w:bCs/>
          <w:color w:val="auto"/>
          <w:sz w:val="32"/>
          <w:szCs w:val="32"/>
          <w:highlight w:val="none"/>
          <w:lang w:eastAsia="zh-CN"/>
        </w:rPr>
        <w:t xml:space="preserve">  </w:t>
      </w:r>
    </w:p>
    <w:p w14:paraId="47ADAEDF">
      <w:pPr>
        <w:outlineLvl w:val="9"/>
        <w:rPr>
          <w:rFonts w:hint="eastAsia" w:ascii="宋体" w:hAnsi="宋体" w:eastAsia="宋体" w:cs="宋体"/>
          <w:b/>
          <w:color w:val="auto"/>
          <w:sz w:val="32"/>
          <w:szCs w:val="32"/>
          <w:highlight w:val="none"/>
        </w:rPr>
      </w:pPr>
    </w:p>
    <w:p w14:paraId="65FB66EF">
      <w:pPr>
        <w:jc w:val="right"/>
        <w:outlineLvl w:val="9"/>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（正本或副本）</w:t>
      </w:r>
    </w:p>
    <w:p w14:paraId="5D2EEE99">
      <w:pPr>
        <w:jc w:val="right"/>
        <w:rPr>
          <w:rFonts w:hint="eastAsia" w:ascii="宋体" w:hAnsi="宋体" w:eastAsia="宋体" w:cs="宋体"/>
          <w:b/>
          <w:color w:val="auto"/>
          <w:sz w:val="32"/>
          <w:szCs w:val="32"/>
          <w:highlight w:val="none"/>
        </w:rPr>
      </w:pPr>
    </w:p>
    <w:p w14:paraId="7ADC8DFD">
      <w:pPr>
        <w:jc w:val="right"/>
        <w:rPr>
          <w:rFonts w:hint="eastAsia" w:ascii="宋体" w:hAnsi="宋体" w:eastAsia="宋体" w:cs="宋体"/>
          <w:b/>
          <w:color w:val="auto"/>
          <w:sz w:val="32"/>
          <w:szCs w:val="32"/>
          <w:highlight w:val="none"/>
        </w:rPr>
      </w:pPr>
    </w:p>
    <w:p w14:paraId="0384B00A">
      <w:pPr>
        <w:pStyle w:val="8"/>
        <w:rPr>
          <w:rFonts w:hint="eastAsia" w:ascii="宋体" w:hAnsi="宋体" w:eastAsia="宋体" w:cs="宋体"/>
          <w:color w:val="auto"/>
          <w:highlight w:val="none"/>
        </w:rPr>
      </w:pPr>
    </w:p>
    <w:p w14:paraId="438B599F">
      <w:pPr>
        <w:jc w:val="center"/>
        <w:rPr>
          <w:rFonts w:hint="eastAsia" w:ascii="宋体" w:hAnsi="宋体" w:eastAsia="宋体" w:cs="宋体"/>
          <w:b/>
          <w:color w:val="auto"/>
          <w:kern w:val="2"/>
          <w:sz w:val="56"/>
          <w:szCs w:val="56"/>
          <w:highlight w:val="none"/>
          <w:lang w:val="en-US" w:eastAsia="zh-CN" w:bidi="ar-SA"/>
        </w:rPr>
      </w:pPr>
      <w:r>
        <w:rPr>
          <w:rFonts w:hint="eastAsia" w:hAnsi="宋体" w:cs="宋体"/>
          <w:b/>
          <w:color w:val="auto"/>
          <w:kern w:val="2"/>
          <w:sz w:val="52"/>
          <w:szCs w:val="52"/>
          <w:highlight w:val="none"/>
          <w:lang w:val="en-US" w:eastAsia="zh-CN" w:bidi="ar-SA"/>
        </w:rPr>
        <w:t>2025年超星学习通、读秀知识库数字资源服务项目</w:t>
      </w:r>
    </w:p>
    <w:p w14:paraId="2805ED85">
      <w:pPr>
        <w:jc w:val="center"/>
        <w:outlineLvl w:val="9"/>
        <w:rPr>
          <w:rFonts w:hint="eastAsia" w:hAnsi="宋体" w:cs="宋体"/>
          <w:b/>
          <w:color w:val="auto"/>
          <w:sz w:val="56"/>
          <w:szCs w:val="56"/>
          <w:highlight w:val="none"/>
          <w:lang w:eastAsia="zh-CN"/>
        </w:rPr>
      </w:pPr>
    </w:p>
    <w:p w14:paraId="455CBC20">
      <w:pPr>
        <w:jc w:val="center"/>
        <w:outlineLvl w:val="9"/>
        <w:rPr>
          <w:rFonts w:hint="eastAsia" w:hAnsi="宋体" w:cs="宋体"/>
          <w:b/>
          <w:color w:val="auto"/>
          <w:sz w:val="56"/>
          <w:szCs w:val="56"/>
          <w:highlight w:val="none"/>
          <w:lang w:eastAsia="zh-CN"/>
        </w:rPr>
      </w:pPr>
    </w:p>
    <w:p w14:paraId="0F882C03">
      <w:pPr>
        <w:jc w:val="center"/>
        <w:outlineLvl w:val="9"/>
        <w:rPr>
          <w:rFonts w:hint="eastAsia" w:ascii="宋体" w:hAnsi="宋体" w:eastAsia="宋体" w:cs="宋体"/>
          <w:b/>
          <w:color w:val="auto"/>
          <w:sz w:val="56"/>
          <w:szCs w:val="56"/>
          <w:highlight w:val="none"/>
        </w:rPr>
      </w:pPr>
      <w:r>
        <w:rPr>
          <w:rFonts w:hint="eastAsia" w:ascii="宋体" w:hAnsi="宋体" w:eastAsia="宋体" w:cs="宋体"/>
          <w:b/>
          <w:color w:val="auto"/>
          <w:sz w:val="56"/>
          <w:szCs w:val="56"/>
          <w:highlight w:val="none"/>
        </w:rPr>
        <w:t>竞争性磋商响应文件</w:t>
      </w:r>
    </w:p>
    <w:p w14:paraId="2DA39A79">
      <w:pPr>
        <w:jc w:val="center"/>
        <w:rPr>
          <w:rFonts w:hint="eastAsia" w:ascii="宋体" w:hAnsi="宋体" w:eastAsia="宋体" w:cs="宋体"/>
          <w:b/>
          <w:color w:val="auto"/>
          <w:sz w:val="36"/>
          <w:szCs w:val="36"/>
          <w:highlight w:val="none"/>
        </w:rPr>
      </w:pPr>
    </w:p>
    <w:p w14:paraId="2392DD21">
      <w:pPr>
        <w:rPr>
          <w:rFonts w:hint="eastAsia" w:ascii="宋体" w:hAnsi="宋体" w:eastAsia="宋体" w:cs="宋体"/>
          <w:b/>
          <w:color w:val="auto"/>
          <w:sz w:val="36"/>
          <w:szCs w:val="36"/>
          <w:highlight w:val="none"/>
        </w:rPr>
      </w:pPr>
    </w:p>
    <w:p w14:paraId="46A57BD2">
      <w:pPr>
        <w:pStyle w:val="8"/>
        <w:rPr>
          <w:rFonts w:hint="eastAsia" w:ascii="宋体" w:hAnsi="宋体" w:eastAsia="宋体" w:cs="宋体"/>
          <w:color w:val="auto"/>
          <w:highlight w:val="none"/>
        </w:rPr>
      </w:pPr>
    </w:p>
    <w:p w14:paraId="1B323F9C">
      <w:pPr>
        <w:rPr>
          <w:rFonts w:hint="eastAsia" w:ascii="宋体" w:hAnsi="宋体" w:eastAsia="宋体" w:cs="宋体"/>
          <w:b/>
          <w:color w:val="auto"/>
          <w:sz w:val="36"/>
          <w:szCs w:val="36"/>
          <w:highlight w:val="none"/>
        </w:rPr>
      </w:pPr>
    </w:p>
    <w:p w14:paraId="633A3ED9">
      <w:pPr>
        <w:tabs>
          <w:tab w:val="center" w:pos="5346"/>
        </w:tabs>
        <w:spacing w:line="480" w:lineRule="auto"/>
        <w:jc w:val="both"/>
        <w:outlineLvl w:val="9"/>
        <w:rPr>
          <w:rFonts w:hint="eastAsia" w:ascii="宋体" w:hAnsi="宋体" w:eastAsia="宋体" w:cs="宋体"/>
          <w:b/>
          <w:color w:val="auto"/>
          <w:sz w:val="32"/>
          <w:szCs w:val="32"/>
          <w:highlight w:val="none"/>
        </w:rPr>
      </w:pPr>
    </w:p>
    <w:p w14:paraId="5495BA55">
      <w:pPr>
        <w:tabs>
          <w:tab w:val="center" w:pos="5346"/>
        </w:tabs>
        <w:spacing w:line="480" w:lineRule="auto"/>
        <w:jc w:val="center"/>
        <w:outlineLvl w:val="9"/>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供应商名称（公章）</w:t>
      </w:r>
    </w:p>
    <w:p w14:paraId="12F3DCE7">
      <w:pPr>
        <w:jc w:val="center"/>
        <w:outlineLvl w:val="9"/>
        <w:rPr>
          <w:rFonts w:hint="eastAsia" w:ascii="宋体" w:hAnsi="宋体" w:eastAsia="宋体" w:cs="宋体"/>
          <w:b/>
          <w:color w:val="auto"/>
          <w:sz w:val="44"/>
          <w:highlight w:val="none"/>
        </w:rPr>
      </w:pPr>
      <w:r>
        <w:rPr>
          <w:rFonts w:hint="eastAsia" w:ascii="宋体" w:hAnsi="宋体" w:eastAsia="宋体" w:cs="宋体"/>
          <w:b/>
          <w:color w:val="auto"/>
          <w:sz w:val="32"/>
          <w:szCs w:val="32"/>
          <w:highlight w:val="none"/>
        </w:rPr>
        <w:t xml:space="preserve"> 年   月</w:t>
      </w:r>
      <w:r>
        <w:rPr>
          <w:rFonts w:hint="eastAsia" w:hAnsi="宋体" w:eastAsia="宋体" w:cs="宋体"/>
          <w:b/>
          <w:color w:val="auto"/>
          <w:sz w:val="32"/>
          <w:szCs w:val="32"/>
          <w:highlight w:val="none"/>
          <w:lang w:val="en-US" w:eastAsia="zh-CN"/>
        </w:rPr>
        <w:t xml:space="preserve">  日</w:t>
      </w:r>
      <w:r>
        <w:rPr>
          <w:rFonts w:hint="eastAsia" w:ascii="宋体" w:hAnsi="宋体" w:eastAsia="宋体" w:cs="宋体"/>
          <w:b/>
          <w:color w:val="auto"/>
          <w:sz w:val="36"/>
          <w:szCs w:val="36"/>
          <w:highlight w:val="none"/>
        </w:rPr>
        <w:br w:type="page"/>
      </w:r>
      <w:bookmarkStart w:id="165" w:name="_Toc344572156"/>
    </w:p>
    <w:p w14:paraId="07A6985A">
      <w:pPr>
        <w:jc w:val="center"/>
        <w:outlineLvl w:val="9"/>
        <w:rPr>
          <w:rFonts w:hint="eastAsia" w:ascii="宋体" w:hAnsi="宋体" w:eastAsia="宋体" w:cs="宋体"/>
          <w:b/>
          <w:color w:val="auto"/>
          <w:sz w:val="44"/>
          <w:highlight w:val="none"/>
        </w:rPr>
      </w:pPr>
      <w:r>
        <w:rPr>
          <w:rFonts w:hint="eastAsia" w:ascii="宋体" w:hAnsi="宋体" w:eastAsia="宋体" w:cs="宋体"/>
          <w:b/>
          <w:color w:val="auto"/>
          <w:sz w:val="44"/>
          <w:highlight w:val="none"/>
        </w:rPr>
        <w:t>目  录</w:t>
      </w:r>
    </w:p>
    <w:p w14:paraId="7EC473B0">
      <w:pPr>
        <w:pStyle w:val="8"/>
        <w:rPr>
          <w:rFonts w:hint="eastAsia" w:ascii="宋体" w:hAnsi="宋体" w:eastAsia="宋体" w:cs="宋体"/>
          <w:color w:val="auto"/>
          <w:highlight w:val="none"/>
        </w:rPr>
      </w:pPr>
    </w:p>
    <w:p w14:paraId="3983C54C">
      <w:pPr>
        <w:spacing w:line="360" w:lineRule="auto"/>
        <w:ind w:firstLine="496" w:firstLineChars="200"/>
        <w:jc w:val="left"/>
        <w:outlineLvl w:val="9"/>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一、磋商响应函</w:t>
      </w:r>
    </w:p>
    <w:p w14:paraId="4045163E">
      <w:pPr>
        <w:spacing w:line="360" w:lineRule="auto"/>
        <w:ind w:firstLine="496" w:firstLineChars="200"/>
        <w:jc w:val="left"/>
        <w:outlineLvl w:val="9"/>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二、磋商报价表</w:t>
      </w:r>
    </w:p>
    <w:p w14:paraId="18E9EF49">
      <w:pPr>
        <w:spacing w:line="360" w:lineRule="auto"/>
        <w:ind w:firstLine="496" w:firstLineChars="200"/>
        <w:jc w:val="left"/>
        <w:outlineLvl w:val="9"/>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三、磋商方案说明书</w:t>
      </w:r>
    </w:p>
    <w:p w14:paraId="3046931B">
      <w:pPr>
        <w:spacing w:line="360" w:lineRule="auto"/>
        <w:ind w:firstLine="496" w:firstLineChars="200"/>
        <w:jc w:val="left"/>
        <w:outlineLvl w:val="9"/>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rPr>
        <w:t>四、商务</w:t>
      </w:r>
      <w:r>
        <w:rPr>
          <w:rFonts w:hint="eastAsia" w:hAnsi="宋体" w:eastAsia="宋体" w:cs="宋体"/>
          <w:color w:val="auto"/>
          <w:spacing w:val="4"/>
          <w:sz w:val="24"/>
          <w:szCs w:val="24"/>
          <w:highlight w:val="none"/>
          <w:lang w:eastAsia="zh-CN"/>
        </w:rPr>
        <w:t>条款偏离表</w:t>
      </w:r>
    </w:p>
    <w:p w14:paraId="53EB0221">
      <w:pPr>
        <w:spacing w:line="360" w:lineRule="auto"/>
        <w:ind w:firstLine="496" w:firstLineChars="200"/>
        <w:jc w:val="left"/>
        <w:outlineLvl w:val="9"/>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五、陕西省政府采购供应商拒绝政府采购领域商业贿赂承诺书</w:t>
      </w:r>
    </w:p>
    <w:p w14:paraId="2B2E7EF4">
      <w:pPr>
        <w:spacing w:line="360" w:lineRule="auto"/>
        <w:ind w:firstLine="496" w:firstLineChars="200"/>
        <w:jc w:val="left"/>
        <w:outlineLvl w:val="9"/>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六、</w:t>
      </w:r>
      <w:r>
        <w:rPr>
          <w:rFonts w:hint="eastAsia" w:ascii="宋体" w:hAnsi="宋体" w:eastAsia="宋体" w:cs="宋体"/>
          <w:color w:val="auto"/>
          <w:spacing w:val="4"/>
          <w:sz w:val="24"/>
          <w:szCs w:val="24"/>
          <w:highlight w:val="none"/>
          <w:lang w:eastAsia="zh-CN"/>
        </w:rPr>
        <w:t>特定</w:t>
      </w:r>
      <w:r>
        <w:rPr>
          <w:rFonts w:hint="eastAsia" w:ascii="宋体" w:hAnsi="宋体" w:eastAsia="宋体" w:cs="宋体"/>
          <w:color w:val="auto"/>
          <w:spacing w:val="4"/>
          <w:sz w:val="24"/>
          <w:szCs w:val="24"/>
          <w:highlight w:val="none"/>
        </w:rPr>
        <w:t>资格证明文件</w:t>
      </w:r>
    </w:p>
    <w:p w14:paraId="2BEC2DEB">
      <w:pPr>
        <w:spacing w:line="360" w:lineRule="auto"/>
        <w:ind w:firstLine="496" w:firstLineChars="200"/>
        <w:jc w:val="left"/>
        <w:outlineLvl w:val="9"/>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rPr>
        <w:t>七、</w:t>
      </w:r>
      <w:r>
        <w:rPr>
          <w:rFonts w:hint="eastAsia" w:ascii="宋体" w:hAnsi="宋体" w:eastAsia="宋体" w:cs="宋体"/>
          <w:color w:val="auto"/>
          <w:spacing w:val="4"/>
          <w:sz w:val="24"/>
          <w:szCs w:val="24"/>
          <w:highlight w:val="none"/>
          <w:lang w:eastAsia="zh-CN"/>
        </w:rPr>
        <w:t>其他</w:t>
      </w:r>
    </w:p>
    <w:p w14:paraId="1B721C03">
      <w:pPr>
        <w:pStyle w:val="6"/>
        <w:spacing w:line="360" w:lineRule="auto"/>
        <w:rPr>
          <w:rFonts w:hint="eastAsia" w:ascii="宋体" w:hAnsi="宋体" w:eastAsia="宋体" w:cs="宋体"/>
          <w:color w:val="auto"/>
          <w:highlight w:val="none"/>
        </w:rPr>
      </w:pPr>
    </w:p>
    <w:p w14:paraId="70408493">
      <w:pPr>
        <w:pStyle w:val="6"/>
        <w:spacing w:line="360" w:lineRule="auto"/>
        <w:rPr>
          <w:rFonts w:hint="eastAsia" w:ascii="宋体" w:hAnsi="宋体" w:eastAsia="宋体" w:cs="宋体"/>
          <w:color w:val="auto"/>
          <w:highlight w:val="none"/>
        </w:rPr>
      </w:pPr>
    </w:p>
    <w:p w14:paraId="704BC192">
      <w:pPr>
        <w:keepNext/>
        <w:keepLines/>
        <w:widowControl/>
        <w:tabs>
          <w:tab w:val="left" w:pos="3705"/>
        </w:tabs>
        <w:spacing w:line="360" w:lineRule="auto"/>
        <w:ind w:left="3708"/>
        <w:rPr>
          <w:rFonts w:hint="eastAsia" w:ascii="宋体" w:hAnsi="宋体" w:eastAsia="宋体" w:cs="宋体"/>
          <w:bCs/>
          <w:color w:val="auto"/>
          <w:sz w:val="44"/>
          <w:highlight w:val="none"/>
        </w:rPr>
      </w:pPr>
    </w:p>
    <w:p w14:paraId="32D85B6D">
      <w:pPr>
        <w:pStyle w:val="6"/>
        <w:ind w:firstLine="880"/>
        <w:rPr>
          <w:rFonts w:hint="eastAsia" w:ascii="宋体" w:hAnsi="宋体" w:eastAsia="宋体" w:cs="宋体"/>
          <w:bCs/>
          <w:color w:val="auto"/>
          <w:sz w:val="44"/>
          <w:highlight w:val="none"/>
        </w:rPr>
      </w:pPr>
    </w:p>
    <w:p w14:paraId="0F0D97E3">
      <w:pPr>
        <w:pStyle w:val="6"/>
        <w:ind w:firstLine="880"/>
        <w:rPr>
          <w:rFonts w:hint="eastAsia" w:ascii="宋体" w:hAnsi="宋体" w:eastAsia="宋体" w:cs="宋体"/>
          <w:bCs/>
          <w:color w:val="auto"/>
          <w:sz w:val="44"/>
          <w:highlight w:val="none"/>
        </w:rPr>
      </w:pPr>
    </w:p>
    <w:bookmarkEnd w:id="165"/>
    <w:p w14:paraId="44C91EEF">
      <w:pPr>
        <w:pStyle w:val="8"/>
        <w:rPr>
          <w:rFonts w:hint="eastAsia" w:ascii="宋体" w:hAnsi="宋体" w:eastAsia="宋体" w:cs="宋体"/>
          <w:b/>
          <w:color w:val="auto"/>
          <w:sz w:val="32"/>
          <w:szCs w:val="32"/>
          <w:highlight w:val="none"/>
        </w:rPr>
      </w:pPr>
      <w:bookmarkStart w:id="166" w:name="_Toc403077648"/>
      <w:bookmarkStart w:id="167" w:name="_Toc363474027"/>
      <w:bookmarkStart w:id="168" w:name="_Toc204524343"/>
    </w:p>
    <w:p w14:paraId="45D26CD6">
      <w:pPr>
        <w:pStyle w:val="8"/>
        <w:rPr>
          <w:rFonts w:hint="eastAsia" w:ascii="宋体" w:hAnsi="宋体" w:eastAsia="宋体" w:cs="宋体"/>
          <w:b/>
          <w:color w:val="auto"/>
          <w:sz w:val="32"/>
          <w:szCs w:val="32"/>
          <w:highlight w:val="none"/>
        </w:rPr>
      </w:pPr>
    </w:p>
    <w:p w14:paraId="17FF2E09">
      <w:pPr>
        <w:pStyle w:val="8"/>
        <w:rPr>
          <w:rFonts w:hint="eastAsia" w:ascii="宋体" w:hAnsi="宋体" w:eastAsia="宋体" w:cs="宋体"/>
          <w:b/>
          <w:color w:val="auto"/>
          <w:sz w:val="32"/>
          <w:szCs w:val="32"/>
          <w:highlight w:val="none"/>
        </w:rPr>
      </w:pPr>
    </w:p>
    <w:p w14:paraId="41F38A47">
      <w:pPr>
        <w:spacing w:line="520" w:lineRule="exact"/>
        <w:jc w:val="center"/>
        <w:outlineLvl w:val="1"/>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bookmarkStart w:id="169" w:name="_Toc32002"/>
      <w:bookmarkStart w:id="170" w:name="_Toc10710"/>
      <w:bookmarkStart w:id="171" w:name="_Toc4367"/>
      <w:bookmarkStart w:id="172" w:name="_Toc15762"/>
      <w:r>
        <w:rPr>
          <w:rFonts w:hint="eastAsia" w:ascii="宋体" w:hAnsi="宋体" w:eastAsia="宋体" w:cs="宋体"/>
          <w:b/>
          <w:color w:val="auto"/>
          <w:sz w:val="32"/>
          <w:szCs w:val="32"/>
          <w:highlight w:val="none"/>
        </w:rPr>
        <w:t>一、磋商</w:t>
      </w:r>
      <w:bookmarkEnd w:id="166"/>
      <w:bookmarkEnd w:id="167"/>
      <w:r>
        <w:rPr>
          <w:rFonts w:hint="eastAsia" w:ascii="宋体" w:hAnsi="宋体" w:eastAsia="宋体" w:cs="宋体"/>
          <w:b/>
          <w:color w:val="auto"/>
          <w:sz w:val="32"/>
          <w:szCs w:val="32"/>
          <w:highlight w:val="none"/>
        </w:rPr>
        <w:t>响应函</w:t>
      </w:r>
      <w:bookmarkEnd w:id="169"/>
      <w:bookmarkEnd w:id="170"/>
      <w:bookmarkEnd w:id="171"/>
      <w:bookmarkEnd w:id="172"/>
    </w:p>
    <w:p w14:paraId="03600120">
      <w:pPr>
        <w:spacing w:line="360" w:lineRule="auto"/>
        <w:jc w:val="left"/>
        <w:rPr>
          <w:rFonts w:hint="eastAsia" w:ascii="宋体" w:hAnsi="宋体" w:eastAsia="宋体" w:cs="宋体"/>
          <w:color w:val="auto"/>
          <w:spacing w:val="4"/>
          <w:szCs w:val="24"/>
          <w:highlight w:val="none"/>
          <w:lang w:eastAsia="zh-CN"/>
        </w:rPr>
      </w:pPr>
      <w:r>
        <w:rPr>
          <w:rFonts w:hint="eastAsia" w:ascii="宋体" w:hAnsi="宋体" w:eastAsia="宋体" w:cs="宋体"/>
          <w:color w:val="auto"/>
          <w:spacing w:val="4"/>
          <w:szCs w:val="24"/>
          <w:highlight w:val="none"/>
        </w:rPr>
        <w:t>致：</w:t>
      </w:r>
      <w:r>
        <w:rPr>
          <w:rFonts w:hint="eastAsia" w:hAnsi="宋体" w:cs="宋体"/>
          <w:color w:val="auto"/>
          <w:spacing w:val="4"/>
          <w:szCs w:val="24"/>
          <w:highlight w:val="none"/>
          <w:u w:val="single"/>
          <w:lang w:eastAsia="zh-CN"/>
        </w:rPr>
        <w:t>陕西至诚项目管理集团有限公司</w:t>
      </w:r>
    </w:p>
    <w:p w14:paraId="60CECA46">
      <w:pPr>
        <w:spacing w:line="360" w:lineRule="auto"/>
        <w:ind w:firstLine="496" w:firstLineChars="200"/>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根据贵方“</w:t>
      </w:r>
      <w:r>
        <w:rPr>
          <w:rFonts w:hint="eastAsia" w:ascii="宋体" w:hAnsi="宋体" w:eastAsia="宋体" w:cs="宋体"/>
          <w:color w:val="auto"/>
          <w:spacing w:val="4"/>
          <w:szCs w:val="24"/>
          <w:highlight w:val="none"/>
          <w:u w:val="single"/>
        </w:rPr>
        <w:t xml:space="preserve">               </w:t>
      </w:r>
      <w:r>
        <w:rPr>
          <w:rFonts w:hint="eastAsia" w:hAnsi="宋体" w:cs="宋体"/>
          <w:color w:val="auto"/>
          <w:spacing w:val="4"/>
          <w:szCs w:val="24"/>
          <w:highlight w:val="none"/>
          <w:u w:val="single"/>
          <w:lang w:val="en-US" w:eastAsia="zh-CN"/>
        </w:rPr>
        <w:t xml:space="preserve">    </w:t>
      </w:r>
      <w:r>
        <w:rPr>
          <w:rFonts w:hint="eastAsia" w:ascii="宋体" w:hAnsi="宋体" w:eastAsia="宋体" w:cs="宋体"/>
          <w:color w:val="auto"/>
          <w:spacing w:val="4"/>
          <w:szCs w:val="24"/>
          <w:highlight w:val="none"/>
        </w:rPr>
        <w:t>”项目的磋商邀请</w:t>
      </w:r>
      <w:r>
        <w:rPr>
          <w:rFonts w:hint="eastAsia" w:ascii="宋体" w:hAnsi="宋体" w:eastAsia="宋体" w:cs="宋体"/>
          <w:color w:val="auto"/>
          <w:spacing w:val="4"/>
          <w:szCs w:val="24"/>
          <w:highlight w:val="none"/>
          <w:u w:val="single"/>
        </w:rPr>
        <w:t>(</w:t>
      </w:r>
      <w:r>
        <w:rPr>
          <w:rFonts w:hint="eastAsia" w:hAnsi="宋体" w:eastAsia="宋体" w:cs="宋体"/>
          <w:color w:val="auto"/>
          <w:spacing w:val="4"/>
          <w:szCs w:val="24"/>
          <w:highlight w:val="none"/>
          <w:u w:val="single"/>
          <w:lang w:eastAsia="zh-CN"/>
        </w:rPr>
        <w:t>项目编号：</w:t>
      </w:r>
      <w:r>
        <w:rPr>
          <w:rFonts w:hint="eastAsia" w:hAnsi="宋体" w:eastAsia="宋体" w:cs="宋体"/>
          <w:color w:val="auto"/>
          <w:spacing w:val="4"/>
          <w:szCs w:val="24"/>
          <w:highlight w:val="none"/>
          <w:u w:val="single"/>
          <w:lang w:val="en-US" w:eastAsia="zh-CN"/>
        </w:rPr>
        <w:t xml:space="preserve">     </w:t>
      </w:r>
      <w:r>
        <w:rPr>
          <w:rFonts w:hint="eastAsia" w:ascii="宋体" w:hAnsi="宋体" w:eastAsia="宋体" w:cs="宋体"/>
          <w:color w:val="auto"/>
          <w:spacing w:val="4"/>
          <w:szCs w:val="24"/>
          <w:highlight w:val="none"/>
          <w:u w:val="single"/>
        </w:rPr>
        <w:t xml:space="preserve"> )</w:t>
      </w:r>
      <w:r>
        <w:rPr>
          <w:rFonts w:hint="eastAsia" w:ascii="宋体" w:hAnsi="宋体" w:eastAsia="宋体" w:cs="宋体"/>
          <w:color w:val="auto"/>
          <w:spacing w:val="4"/>
          <w:szCs w:val="24"/>
          <w:highlight w:val="none"/>
        </w:rPr>
        <w:t>，签字代表</w:t>
      </w:r>
      <w:r>
        <w:rPr>
          <w:rFonts w:hint="eastAsia" w:ascii="宋体" w:hAnsi="宋体" w:eastAsia="宋体" w:cs="宋体"/>
          <w:color w:val="auto"/>
          <w:spacing w:val="4"/>
          <w:szCs w:val="24"/>
          <w:highlight w:val="none"/>
          <w:u w:val="single"/>
        </w:rPr>
        <w:t>（全名、职务）</w:t>
      </w:r>
      <w:r>
        <w:rPr>
          <w:rFonts w:hint="eastAsia" w:ascii="宋体" w:hAnsi="宋体" w:eastAsia="宋体" w:cs="宋体"/>
          <w:color w:val="auto"/>
          <w:spacing w:val="4"/>
          <w:szCs w:val="24"/>
          <w:highlight w:val="none"/>
        </w:rPr>
        <w:t>经正式授权并代表供应商</w:t>
      </w:r>
      <w:r>
        <w:rPr>
          <w:rFonts w:hint="eastAsia" w:ascii="宋体" w:hAnsi="宋体" w:eastAsia="宋体" w:cs="宋体"/>
          <w:color w:val="auto"/>
          <w:spacing w:val="4"/>
          <w:szCs w:val="24"/>
          <w:highlight w:val="none"/>
          <w:u w:val="single"/>
        </w:rPr>
        <w:t>(供应商名称、地址)</w:t>
      </w:r>
      <w:r>
        <w:rPr>
          <w:rFonts w:hint="eastAsia" w:ascii="宋体" w:hAnsi="宋体" w:eastAsia="宋体" w:cs="宋体"/>
          <w:color w:val="auto"/>
          <w:spacing w:val="4"/>
          <w:szCs w:val="24"/>
          <w:highlight w:val="none"/>
        </w:rPr>
        <w:t xml:space="preserve"> 提交竞争性磋商响应文件电子版</w:t>
      </w:r>
      <w:r>
        <w:rPr>
          <w:rFonts w:hint="eastAsia" w:ascii="宋体" w:hAnsi="宋体" w:eastAsia="宋体" w:cs="宋体"/>
          <w:color w:val="auto"/>
          <w:spacing w:val="4"/>
          <w:szCs w:val="24"/>
          <w:highlight w:val="none"/>
          <w:u w:val="single"/>
        </w:rPr>
        <w:t xml:space="preserve">    </w:t>
      </w:r>
      <w:r>
        <w:rPr>
          <w:rFonts w:hint="eastAsia" w:ascii="宋体" w:hAnsi="宋体" w:eastAsia="宋体" w:cs="宋体"/>
          <w:color w:val="auto"/>
          <w:spacing w:val="4"/>
          <w:szCs w:val="24"/>
          <w:highlight w:val="none"/>
        </w:rPr>
        <w:t>份。</w:t>
      </w:r>
    </w:p>
    <w:p w14:paraId="595B4E58">
      <w:pPr>
        <w:spacing w:line="360" w:lineRule="auto"/>
        <w:ind w:left="624" w:leftChars="251" w:hanging="22" w:hangingChars="9"/>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我方承诺如下：</w:t>
      </w:r>
    </w:p>
    <w:p w14:paraId="1C63DD23">
      <w:pPr>
        <w:numPr>
          <w:ilvl w:val="0"/>
          <w:numId w:val="4"/>
        </w:numPr>
        <w:tabs>
          <w:tab w:val="left" w:pos="2160"/>
        </w:tabs>
        <w:spacing w:line="360" w:lineRule="auto"/>
        <w:ind w:firstLine="496" w:firstLineChars="200"/>
        <w:jc w:val="left"/>
        <w:rPr>
          <w:rFonts w:hint="eastAsia" w:ascii="宋体" w:hAnsi="宋体" w:eastAsia="宋体" w:cs="宋体"/>
          <w:color w:val="auto"/>
          <w:spacing w:val="4"/>
          <w:highlight w:val="none"/>
        </w:rPr>
      </w:pPr>
      <w:r>
        <w:rPr>
          <w:rFonts w:hint="eastAsia" w:ascii="宋体" w:hAnsi="宋体" w:eastAsia="宋体" w:cs="宋体"/>
          <w:color w:val="auto"/>
          <w:spacing w:val="4"/>
          <w:szCs w:val="24"/>
          <w:highlight w:val="none"/>
        </w:rPr>
        <w:t>磋商报价</w:t>
      </w:r>
      <w:r>
        <w:rPr>
          <w:rFonts w:hint="eastAsia" w:ascii="宋体" w:hAnsi="宋体" w:eastAsia="宋体" w:cs="宋体"/>
          <w:color w:val="auto"/>
          <w:spacing w:val="4"/>
          <w:highlight w:val="none"/>
        </w:rPr>
        <w:t>为</w:t>
      </w:r>
      <w:r>
        <w:rPr>
          <w:rFonts w:hint="eastAsia" w:hAnsi="宋体" w:eastAsia="宋体" w:cs="宋体"/>
          <w:color w:val="auto"/>
          <w:spacing w:val="4"/>
          <w:highlight w:val="none"/>
          <w:lang w:eastAsia="zh-CN"/>
        </w:rPr>
        <w:t>：</w:t>
      </w:r>
      <w:r>
        <w:rPr>
          <w:rFonts w:hint="eastAsia" w:ascii="宋体" w:hAnsi="宋体" w:eastAsia="宋体" w:cs="宋体"/>
          <w:color w:val="auto"/>
          <w:spacing w:val="4"/>
          <w:highlight w:val="none"/>
        </w:rPr>
        <w:t>小写：</w:t>
      </w:r>
      <w:r>
        <w:rPr>
          <w:rFonts w:hint="eastAsia" w:ascii="宋体" w:hAnsi="宋体" w:eastAsia="宋体" w:cs="宋体"/>
          <w:color w:val="auto"/>
          <w:spacing w:val="4"/>
          <w:highlight w:val="none"/>
          <w:u w:val="single"/>
        </w:rPr>
        <w:t xml:space="preserve">         </w:t>
      </w:r>
      <w:r>
        <w:rPr>
          <w:rFonts w:hint="eastAsia" w:ascii="宋体" w:hAnsi="宋体" w:eastAsia="宋体" w:cs="宋体"/>
          <w:color w:val="auto"/>
          <w:spacing w:val="4"/>
          <w:highlight w:val="none"/>
        </w:rPr>
        <w:t>（大写：</w:t>
      </w:r>
      <w:r>
        <w:rPr>
          <w:rFonts w:hint="eastAsia" w:ascii="宋体" w:hAnsi="宋体" w:eastAsia="宋体" w:cs="宋体"/>
          <w:color w:val="auto"/>
          <w:spacing w:val="4"/>
          <w:highlight w:val="none"/>
          <w:u w:val="single"/>
        </w:rPr>
        <w:t xml:space="preserve">         </w:t>
      </w:r>
      <w:r>
        <w:rPr>
          <w:rFonts w:hint="eastAsia" w:ascii="宋体" w:hAnsi="宋体" w:eastAsia="宋体" w:cs="宋体"/>
          <w:color w:val="auto"/>
          <w:spacing w:val="4"/>
          <w:highlight w:val="none"/>
        </w:rPr>
        <w:t>）。</w:t>
      </w:r>
    </w:p>
    <w:p w14:paraId="1DE12C43">
      <w:pPr>
        <w:numPr>
          <w:ilvl w:val="0"/>
          <w:numId w:val="4"/>
        </w:numPr>
        <w:tabs>
          <w:tab w:val="left" w:pos="2160"/>
        </w:tabs>
        <w:spacing w:line="360" w:lineRule="auto"/>
        <w:ind w:firstLine="496" w:firstLineChars="200"/>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如果成交，我们根据竞争性磋商文件的规定，履行合同的责任和义务。</w:t>
      </w:r>
    </w:p>
    <w:p w14:paraId="6DD0A9A0">
      <w:pPr>
        <w:tabs>
          <w:tab w:val="left" w:pos="2160"/>
        </w:tabs>
        <w:spacing w:line="360" w:lineRule="auto"/>
        <w:ind w:firstLine="496" w:firstLineChars="200"/>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3）我们已详细阅读和审核全部竞争性磋商文件（含修改部分，如有的话），及有关附件，我们知道必须放弃提出含糊不清或误解的问题的权利。</w:t>
      </w:r>
    </w:p>
    <w:p w14:paraId="4F31DE6B">
      <w:pPr>
        <w:tabs>
          <w:tab w:val="left" w:pos="2160"/>
        </w:tabs>
        <w:spacing w:line="360" w:lineRule="auto"/>
        <w:ind w:firstLine="496" w:firstLineChars="200"/>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4）我们同意在磋商有效期内（</w:t>
      </w:r>
      <w:r>
        <w:rPr>
          <w:rFonts w:hint="eastAsia" w:ascii="宋体" w:hAnsi="宋体" w:eastAsia="宋体" w:cs="宋体"/>
          <w:color w:val="auto"/>
          <w:spacing w:val="4"/>
          <w:szCs w:val="24"/>
          <w:highlight w:val="none"/>
          <w:u w:val="single"/>
        </w:rPr>
        <w:t>自磋商之日起   天</w:t>
      </w:r>
      <w:r>
        <w:rPr>
          <w:rFonts w:hint="eastAsia" w:ascii="宋体" w:hAnsi="宋体" w:eastAsia="宋体" w:cs="宋体"/>
          <w:color w:val="auto"/>
          <w:spacing w:val="4"/>
          <w:szCs w:val="24"/>
          <w:highlight w:val="none"/>
        </w:rPr>
        <w:t>），本磋商响应函对我方具有约束力。</w:t>
      </w:r>
    </w:p>
    <w:p w14:paraId="24AFE628">
      <w:pPr>
        <w:tabs>
          <w:tab w:val="left" w:pos="2160"/>
        </w:tabs>
        <w:spacing w:line="360" w:lineRule="auto"/>
        <w:ind w:firstLine="496" w:firstLineChars="200"/>
        <w:jc w:val="left"/>
        <w:rPr>
          <w:rFonts w:hint="eastAsia" w:ascii="宋体" w:hAnsi="宋体" w:eastAsia="宋体" w:cs="宋体"/>
          <w:color w:val="auto"/>
          <w:spacing w:val="4"/>
          <w:szCs w:val="24"/>
          <w:highlight w:val="none"/>
        </w:rPr>
      </w:pPr>
      <w:r>
        <w:rPr>
          <w:rFonts w:hint="eastAsia" w:hAnsi="宋体" w:cs="宋体"/>
          <w:color w:val="auto"/>
          <w:spacing w:val="4"/>
          <w:szCs w:val="24"/>
          <w:highlight w:val="none"/>
          <w:lang w:val="en-US" w:eastAsia="zh-CN"/>
        </w:rPr>
        <w:t>5</w:t>
      </w:r>
      <w:r>
        <w:rPr>
          <w:rFonts w:hint="eastAsia" w:ascii="宋体" w:hAnsi="宋体" w:eastAsia="宋体" w:cs="宋体"/>
          <w:color w:val="auto"/>
          <w:spacing w:val="4"/>
          <w:szCs w:val="24"/>
          <w:highlight w:val="none"/>
        </w:rPr>
        <w:t xml:space="preserve">）同意提供贵方可能另外要求的与本磋商有关的任何证据和资料。 </w:t>
      </w:r>
    </w:p>
    <w:p w14:paraId="7C9E2B8C">
      <w:pPr>
        <w:tabs>
          <w:tab w:val="left" w:pos="2160"/>
        </w:tabs>
        <w:spacing w:line="360" w:lineRule="auto"/>
        <w:ind w:firstLine="496" w:firstLineChars="200"/>
        <w:jc w:val="left"/>
        <w:rPr>
          <w:rFonts w:hint="eastAsia" w:ascii="宋体" w:hAnsi="宋体" w:eastAsia="宋体" w:cs="宋体"/>
          <w:color w:val="auto"/>
          <w:spacing w:val="4"/>
          <w:szCs w:val="24"/>
          <w:highlight w:val="none"/>
        </w:rPr>
      </w:pPr>
      <w:r>
        <w:rPr>
          <w:rFonts w:hint="eastAsia" w:hAnsi="宋体" w:cs="宋体"/>
          <w:color w:val="auto"/>
          <w:spacing w:val="4"/>
          <w:szCs w:val="24"/>
          <w:highlight w:val="none"/>
          <w:lang w:val="en-US" w:eastAsia="zh-CN"/>
        </w:rPr>
        <w:t>6</w:t>
      </w:r>
      <w:r>
        <w:rPr>
          <w:rFonts w:hint="eastAsia" w:ascii="宋体" w:hAnsi="宋体" w:eastAsia="宋体" w:cs="宋体"/>
          <w:color w:val="auto"/>
          <w:spacing w:val="4"/>
          <w:szCs w:val="24"/>
          <w:highlight w:val="none"/>
        </w:rPr>
        <w:t>）我们同意，如果成交，向</w:t>
      </w:r>
      <w:r>
        <w:rPr>
          <w:rFonts w:hint="eastAsia" w:hAnsi="宋体" w:cs="宋体"/>
          <w:color w:val="auto"/>
          <w:spacing w:val="4"/>
          <w:szCs w:val="24"/>
          <w:highlight w:val="none"/>
          <w:lang w:eastAsia="zh-CN"/>
        </w:rPr>
        <w:t>陕西至诚项目管理集团有限公司</w:t>
      </w:r>
      <w:r>
        <w:rPr>
          <w:rFonts w:hint="eastAsia" w:ascii="宋体" w:hAnsi="宋体" w:eastAsia="宋体" w:cs="宋体"/>
          <w:color w:val="auto"/>
          <w:spacing w:val="4"/>
          <w:szCs w:val="24"/>
          <w:highlight w:val="none"/>
        </w:rPr>
        <w:t>交纳招标代理服务费。</w:t>
      </w:r>
    </w:p>
    <w:p w14:paraId="3DFF8584">
      <w:pPr>
        <w:tabs>
          <w:tab w:val="left" w:pos="2160"/>
        </w:tabs>
        <w:spacing w:line="360" w:lineRule="auto"/>
        <w:ind w:firstLine="496" w:firstLineChars="200"/>
        <w:jc w:val="left"/>
        <w:rPr>
          <w:rFonts w:hint="eastAsia" w:ascii="宋体" w:hAnsi="宋体" w:eastAsia="宋体" w:cs="宋体"/>
          <w:color w:val="auto"/>
          <w:spacing w:val="4"/>
          <w:szCs w:val="24"/>
          <w:highlight w:val="none"/>
        </w:rPr>
      </w:pPr>
      <w:r>
        <w:rPr>
          <w:rFonts w:hint="eastAsia" w:hAnsi="宋体" w:cs="宋体"/>
          <w:color w:val="auto"/>
          <w:spacing w:val="4"/>
          <w:szCs w:val="24"/>
          <w:highlight w:val="none"/>
          <w:lang w:val="en-US" w:eastAsia="zh-CN"/>
        </w:rPr>
        <w:t>7</w:t>
      </w:r>
      <w:r>
        <w:rPr>
          <w:rFonts w:hint="eastAsia" w:ascii="宋体" w:hAnsi="宋体" w:eastAsia="宋体" w:cs="宋体"/>
          <w:color w:val="auto"/>
          <w:spacing w:val="4"/>
          <w:szCs w:val="24"/>
          <w:highlight w:val="none"/>
        </w:rPr>
        <w:t>）与本磋商有关的一切正式往来通讯为：</w:t>
      </w:r>
    </w:p>
    <w:p w14:paraId="4606EA4E">
      <w:pPr>
        <w:spacing w:line="360" w:lineRule="auto"/>
        <w:ind w:firstLine="1240" w:firstLineChars="500"/>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联系地址：</w:t>
      </w:r>
    </w:p>
    <w:p w14:paraId="6C07B5EF">
      <w:pPr>
        <w:spacing w:line="360" w:lineRule="auto"/>
        <w:ind w:firstLine="1240" w:firstLineChars="500"/>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邮政编码：</w:t>
      </w:r>
    </w:p>
    <w:p w14:paraId="38A6AB42">
      <w:pPr>
        <w:spacing w:line="360" w:lineRule="auto"/>
        <w:ind w:firstLine="1240" w:firstLineChars="500"/>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电    话：</w:t>
      </w:r>
    </w:p>
    <w:p w14:paraId="49CD33F9">
      <w:pPr>
        <w:spacing w:line="360" w:lineRule="auto"/>
        <w:ind w:firstLine="1240" w:firstLineChars="500"/>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传    真：</w:t>
      </w:r>
    </w:p>
    <w:p w14:paraId="60816569">
      <w:pPr>
        <w:spacing w:line="360" w:lineRule="auto"/>
        <w:ind w:firstLine="1240" w:firstLineChars="500"/>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供应商名称（盖章）：</w:t>
      </w:r>
    </w:p>
    <w:p w14:paraId="62D7ADC8">
      <w:pPr>
        <w:spacing w:line="360" w:lineRule="auto"/>
        <w:ind w:firstLine="1240" w:firstLineChars="500"/>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供应商法定代表人</w:t>
      </w:r>
      <w:r>
        <w:rPr>
          <w:rFonts w:hint="eastAsia" w:ascii="宋体" w:hAnsi="宋体" w:eastAsia="宋体" w:cs="宋体"/>
          <w:color w:val="auto"/>
          <w:spacing w:val="4"/>
          <w:highlight w:val="none"/>
        </w:rPr>
        <w:t>/被授权人</w:t>
      </w:r>
      <w:r>
        <w:rPr>
          <w:rFonts w:hint="eastAsia" w:ascii="宋体" w:hAnsi="宋体" w:eastAsia="宋体" w:cs="宋体"/>
          <w:color w:val="auto"/>
          <w:spacing w:val="4"/>
          <w:szCs w:val="24"/>
          <w:highlight w:val="none"/>
        </w:rPr>
        <w:t>签字</w:t>
      </w:r>
      <w:r>
        <w:rPr>
          <w:rFonts w:hint="eastAsia" w:ascii="宋体" w:hAnsi="宋体" w:eastAsia="宋体" w:cs="宋体"/>
          <w:color w:val="auto"/>
          <w:spacing w:val="4"/>
          <w:highlight w:val="none"/>
        </w:rPr>
        <w:t>或盖章</w:t>
      </w:r>
      <w:r>
        <w:rPr>
          <w:rFonts w:hint="eastAsia" w:ascii="宋体" w:hAnsi="宋体" w:eastAsia="宋体" w:cs="宋体"/>
          <w:color w:val="auto"/>
          <w:szCs w:val="24"/>
          <w:highlight w:val="none"/>
        </w:rPr>
        <w:t>：</w:t>
      </w:r>
    </w:p>
    <w:p w14:paraId="409FA938">
      <w:pPr>
        <w:spacing w:line="360" w:lineRule="auto"/>
        <w:ind w:firstLine="1240" w:firstLineChars="500"/>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日    期：</w:t>
      </w:r>
    </w:p>
    <w:p w14:paraId="4E4BE4CA">
      <w:pPr>
        <w:pStyle w:val="3"/>
        <w:spacing w:before="312" w:beforeLines="100" w:line="360" w:lineRule="auto"/>
        <w:jc w:val="center"/>
        <w:outlineLvl w:val="1"/>
        <w:rPr>
          <w:rFonts w:hint="eastAsia" w:ascii="宋体" w:hAnsi="宋体" w:eastAsia="宋体" w:cs="宋体"/>
          <w:b/>
          <w:bCs w:val="0"/>
          <w:color w:val="auto"/>
          <w:sz w:val="32"/>
          <w:szCs w:val="32"/>
          <w:highlight w:val="none"/>
        </w:rPr>
      </w:pPr>
      <w:r>
        <w:rPr>
          <w:rFonts w:hint="eastAsia" w:ascii="宋体" w:hAnsi="宋体" w:eastAsia="宋体" w:cs="宋体"/>
          <w:color w:val="auto"/>
          <w:highlight w:val="none"/>
        </w:rPr>
        <w:br w:type="page"/>
      </w:r>
      <w:bookmarkStart w:id="173" w:name="_Toc9730"/>
      <w:bookmarkStart w:id="174" w:name="_Toc12211"/>
      <w:bookmarkStart w:id="175" w:name="_Toc28910"/>
      <w:bookmarkStart w:id="176" w:name="_Toc403077651"/>
      <w:bookmarkStart w:id="177" w:name="_Toc17800"/>
      <w:bookmarkStart w:id="178" w:name="_Toc363474030"/>
      <w:r>
        <w:rPr>
          <w:rFonts w:hint="eastAsia" w:ascii="宋体" w:hAnsi="宋体" w:eastAsia="宋体" w:cs="宋体"/>
          <w:b/>
          <w:bCs w:val="0"/>
          <w:color w:val="auto"/>
          <w:sz w:val="32"/>
          <w:szCs w:val="32"/>
          <w:highlight w:val="none"/>
        </w:rPr>
        <w:t>二、磋商报价表</w:t>
      </w:r>
      <w:bookmarkEnd w:id="173"/>
      <w:bookmarkEnd w:id="174"/>
      <w:bookmarkEnd w:id="175"/>
      <w:bookmarkEnd w:id="176"/>
      <w:bookmarkEnd w:id="177"/>
      <w:bookmarkEnd w:id="178"/>
    </w:p>
    <w:p w14:paraId="13C5E6E9">
      <w:pPr>
        <w:spacing w:line="360" w:lineRule="auto"/>
        <w:jc w:val="center"/>
        <w:outlineLvl w:val="2"/>
        <w:rPr>
          <w:rFonts w:hint="eastAsia" w:ascii="宋体" w:hAnsi="宋体" w:eastAsia="宋体" w:cs="宋体"/>
          <w:color w:val="auto"/>
          <w:szCs w:val="24"/>
          <w:highlight w:val="none"/>
        </w:rPr>
      </w:pPr>
      <w:bookmarkStart w:id="179" w:name="_Toc32277"/>
      <w:bookmarkStart w:id="180" w:name="_Toc8467"/>
      <w:bookmarkStart w:id="181" w:name="_Toc12732"/>
      <w:bookmarkStart w:id="182" w:name="_Toc7982"/>
      <w:r>
        <w:rPr>
          <w:rFonts w:hint="eastAsia" w:ascii="宋体" w:hAnsi="宋体" w:eastAsia="宋体" w:cs="宋体"/>
          <w:color w:val="auto"/>
          <w:szCs w:val="24"/>
          <w:highlight w:val="none"/>
        </w:rPr>
        <w:t>2.1报价一览表</w:t>
      </w:r>
      <w:bookmarkEnd w:id="179"/>
      <w:bookmarkEnd w:id="180"/>
      <w:bookmarkEnd w:id="181"/>
      <w:bookmarkEnd w:id="182"/>
    </w:p>
    <w:p w14:paraId="0DA1613D">
      <w:pPr>
        <w:spacing w:line="360" w:lineRule="auto"/>
        <w:jc w:val="center"/>
        <w:rPr>
          <w:rFonts w:hint="eastAsia" w:ascii="宋体" w:hAnsi="宋体" w:eastAsia="宋体" w:cs="宋体"/>
          <w:color w:val="auto"/>
          <w:szCs w:val="24"/>
          <w:highlight w:val="none"/>
        </w:rPr>
      </w:pPr>
    </w:p>
    <w:p w14:paraId="2337A1EC">
      <w:pPr>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项目名称：     </w:t>
      </w:r>
      <w:r>
        <w:rPr>
          <w:rFonts w:hint="eastAsia" w:hAnsi="宋体" w:cs="宋体"/>
          <w:color w:val="auto"/>
          <w:highlight w:val="none"/>
          <w:lang w:val="en-US" w:eastAsia="zh-CN"/>
        </w:rPr>
        <w:t xml:space="preserve">         </w:t>
      </w:r>
      <w:r>
        <w:rPr>
          <w:rFonts w:hint="eastAsia" w:ascii="宋体" w:hAnsi="宋体" w:eastAsia="宋体" w:cs="宋体"/>
          <w:color w:val="auto"/>
          <w:highlight w:val="none"/>
        </w:rPr>
        <w:t xml:space="preserve">                                           </w:t>
      </w:r>
    </w:p>
    <w:p w14:paraId="38887A7C">
      <w:pPr>
        <w:jc w:val="left"/>
        <w:rPr>
          <w:rFonts w:hint="eastAsia" w:ascii="宋体" w:hAnsi="宋体" w:eastAsia="宋体" w:cs="宋体"/>
          <w:color w:val="auto"/>
          <w:highlight w:val="none"/>
        </w:rPr>
      </w:pPr>
      <w:r>
        <w:rPr>
          <w:rFonts w:hint="eastAsia" w:hAnsi="宋体" w:eastAsia="宋体" w:cs="宋体"/>
          <w:color w:val="auto"/>
          <w:highlight w:val="none"/>
          <w:lang w:eastAsia="zh-CN"/>
        </w:rPr>
        <w:t xml:space="preserve">项目编号：  </w:t>
      </w:r>
      <w:r>
        <w:rPr>
          <w:rFonts w:hint="eastAsia" w:ascii="宋体" w:hAnsi="宋体" w:eastAsia="宋体" w:cs="宋体"/>
          <w:color w:val="auto"/>
          <w:highlight w:val="none"/>
        </w:rPr>
        <w:t xml:space="preserve">                                              </w:t>
      </w:r>
    </w:p>
    <w:tbl>
      <w:tblPr>
        <w:tblStyle w:val="21"/>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59"/>
        <w:gridCol w:w="2911"/>
        <w:gridCol w:w="2121"/>
        <w:gridCol w:w="1800"/>
      </w:tblGrid>
      <w:tr w14:paraId="7E93C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atLeast"/>
          <w:jc w:val="center"/>
        </w:trPr>
        <w:tc>
          <w:tcPr>
            <w:tcW w:w="1362" w:type="pct"/>
            <w:noWrap w:val="0"/>
            <w:vAlign w:val="center"/>
          </w:tcPr>
          <w:p w14:paraId="37830012">
            <w:pPr>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磋商</w:t>
            </w:r>
            <w:r>
              <w:rPr>
                <w:rFonts w:hint="eastAsia" w:hAnsi="宋体" w:eastAsia="宋体" w:cs="宋体"/>
                <w:color w:val="auto"/>
                <w:szCs w:val="24"/>
                <w:highlight w:val="none"/>
                <w:lang w:eastAsia="zh-CN"/>
              </w:rPr>
              <w:t>总报价</w:t>
            </w:r>
          </w:p>
          <w:p w14:paraId="597C42E7">
            <w:pPr>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（元）</w:t>
            </w:r>
          </w:p>
        </w:tc>
        <w:tc>
          <w:tcPr>
            <w:tcW w:w="1549" w:type="pct"/>
            <w:noWrap w:val="0"/>
            <w:vAlign w:val="center"/>
          </w:tcPr>
          <w:p w14:paraId="36AE4E04">
            <w:pPr>
              <w:jc w:val="center"/>
              <w:rPr>
                <w:rFonts w:hint="default" w:ascii="宋体" w:hAnsi="宋体" w:eastAsia="宋体" w:cs="宋体"/>
                <w:color w:val="auto"/>
                <w:szCs w:val="24"/>
                <w:highlight w:val="none"/>
                <w:lang w:val="en-US" w:eastAsia="zh-CN"/>
              </w:rPr>
            </w:pPr>
            <w:r>
              <w:rPr>
                <w:rFonts w:hint="eastAsia" w:hAnsi="宋体" w:cs="宋体"/>
                <w:color w:val="auto"/>
                <w:szCs w:val="24"/>
                <w:highlight w:val="none"/>
                <w:lang w:val="en-US" w:eastAsia="zh-CN"/>
              </w:rPr>
              <w:t>服务期</w:t>
            </w:r>
          </w:p>
        </w:tc>
        <w:tc>
          <w:tcPr>
            <w:tcW w:w="1129" w:type="pct"/>
            <w:noWrap w:val="0"/>
            <w:vAlign w:val="center"/>
          </w:tcPr>
          <w:p w14:paraId="1FBBA6CF">
            <w:pPr>
              <w:jc w:val="center"/>
              <w:rPr>
                <w:rFonts w:hint="default" w:ascii="宋体" w:hAnsi="宋体" w:eastAsia="宋体" w:cs="宋体"/>
                <w:color w:val="auto"/>
                <w:szCs w:val="24"/>
                <w:highlight w:val="none"/>
                <w:lang w:val="en-US" w:eastAsia="zh-CN"/>
              </w:rPr>
            </w:pPr>
            <w:r>
              <w:rPr>
                <w:rFonts w:hint="eastAsia" w:hAnsi="宋体" w:cs="宋体"/>
                <w:color w:val="auto"/>
                <w:szCs w:val="24"/>
                <w:highlight w:val="none"/>
                <w:lang w:val="en-US" w:eastAsia="zh-CN"/>
              </w:rPr>
              <w:t>项目负责人</w:t>
            </w:r>
          </w:p>
        </w:tc>
        <w:tc>
          <w:tcPr>
            <w:tcW w:w="958" w:type="pct"/>
            <w:noWrap w:val="0"/>
            <w:vAlign w:val="center"/>
          </w:tcPr>
          <w:p w14:paraId="429315C2">
            <w:pPr>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备注</w:t>
            </w:r>
          </w:p>
        </w:tc>
      </w:tr>
      <w:tr w14:paraId="6F5ED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jc w:val="center"/>
        </w:trPr>
        <w:tc>
          <w:tcPr>
            <w:tcW w:w="1362" w:type="pct"/>
            <w:noWrap w:val="0"/>
            <w:vAlign w:val="center"/>
          </w:tcPr>
          <w:p w14:paraId="67F20A6F">
            <w:pPr>
              <w:jc w:val="both"/>
              <w:rPr>
                <w:rFonts w:hint="default" w:ascii="宋体" w:hAnsi="宋体" w:eastAsia="宋体" w:cs="宋体"/>
                <w:color w:val="auto"/>
                <w:szCs w:val="24"/>
                <w:highlight w:val="none"/>
                <w:lang w:val="en-US" w:eastAsia="zh-CN"/>
              </w:rPr>
            </w:pPr>
          </w:p>
        </w:tc>
        <w:tc>
          <w:tcPr>
            <w:tcW w:w="1549" w:type="pct"/>
            <w:noWrap w:val="0"/>
            <w:vAlign w:val="center"/>
          </w:tcPr>
          <w:p w14:paraId="43D98CF2">
            <w:pPr>
              <w:jc w:val="center"/>
              <w:rPr>
                <w:rFonts w:hint="eastAsia" w:ascii="宋体" w:hAnsi="宋体" w:eastAsia="宋体" w:cs="宋体"/>
                <w:color w:val="auto"/>
                <w:szCs w:val="24"/>
                <w:highlight w:val="none"/>
              </w:rPr>
            </w:pPr>
          </w:p>
        </w:tc>
        <w:tc>
          <w:tcPr>
            <w:tcW w:w="1129" w:type="pct"/>
            <w:noWrap w:val="0"/>
            <w:vAlign w:val="center"/>
          </w:tcPr>
          <w:p w14:paraId="7991E8DB">
            <w:pPr>
              <w:jc w:val="center"/>
              <w:rPr>
                <w:rFonts w:hint="eastAsia" w:ascii="宋体" w:hAnsi="宋体" w:eastAsia="宋体" w:cs="宋体"/>
                <w:color w:val="auto"/>
                <w:szCs w:val="24"/>
                <w:highlight w:val="none"/>
              </w:rPr>
            </w:pPr>
          </w:p>
        </w:tc>
        <w:tc>
          <w:tcPr>
            <w:tcW w:w="958" w:type="pct"/>
            <w:noWrap w:val="0"/>
            <w:vAlign w:val="center"/>
          </w:tcPr>
          <w:p w14:paraId="07289268">
            <w:pPr>
              <w:jc w:val="center"/>
              <w:rPr>
                <w:rFonts w:hint="eastAsia" w:ascii="宋体" w:hAnsi="宋体" w:eastAsia="宋体" w:cs="宋体"/>
                <w:color w:val="auto"/>
                <w:szCs w:val="24"/>
                <w:highlight w:val="none"/>
              </w:rPr>
            </w:pPr>
          </w:p>
        </w:tc>
      </w:tr>
    </w:tbl>
    <w:p w14:paraId="75E68B38">
      <w:pPr>
        <w:rPr>
          <w:rFonts w:hint="eastAsia" w:ascii="宋体" w:hAnsi="宋体" w:eastAsia="宋体" w:cs="宋体"/>
          <w:color w:val="auto"/>
          <w:szCs w:val="24"/>
          <w:highlight w:val="none"/>
        </w:rPr>
      </w:pPr>
    </w:p>
    <w:p w14:paraId="1D38FA7C">
      <w:pPr>
        <w:rPr>
          <w:rFonts w:hint="eastAsia" w:ascii="宋体" w:hAnsi="宋体" w:eastAsia="宋体" w:cs="宋体"/>
          <w:color w:val="auto"/>
          <w:szCs w:val="24"/>
          <w:highlight w:val="none"/>
        </w:rPr>
      </w:pPr>
    </w:p>
    <w:p w14:paraId="73D70F4D">
      <w:pPr>
        <w:rPr>
          <w:rFonts w:hint="eastAsia" w:ascii="宋体" w:hAnsi="宋体" w:eastAsia="宋体" w:cs="宋体"/>
          <w:color w:val="auto"/>
          <w:szCs w:val="24"/>
          <w:highlight w:val="none"/>
        </w:rPr>
      </w:pPr>
    </w:p>
    <w:p w14:paraId="392086E8">
      <w:pPr>
        <w:spacing w:line="280" w:lineRule="exact"/>
        <w:ind w:right="617" w:rightChars="257"/>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供应商名称：</w:t>
      </w:r>
      <w:r>
        <w:rPr>
          <w:rFonts w:hint="eastAsia" w:ascii="宋体" w:hAnsi="宋体" w:eastAsia="宋体" w:cs="宋体"/>
          <w:color w:val="auto"/>
          <w:szCs w:val="24"/>
          <w:highlight w:val="none"/>
          <w:u w:val="single"/>
        </w:rPr>
        <w:t xml:space="preserve">      （加盖单位公章）      </w:t>
      </w:r>
    </w:p>
    <w:p w14:paraId="0A557942">
      <w:pPr>
        <w:spacing w:line="280" w:lineRule="exact"/>
        <w:ind w:right="617" w:rightChars="257"/>
        <w:jc w:val="left"/>
        <w:rPr>
          <w:rFonts w:hint="eastAsia" w:ascii="宋体" w:hAnsi="宋体" w:eastAsia="宋体" w:cs="宋体"/>
          <w:color w:val="auto"/>
          <w:szCs w:val="24"/>
          <w:highlight w:val="none"/>
        </w:rPr>
      </w:pPr>
    </w:p>
    <w:p w14:paraId="7AE0F271">
      <w:pPr>
        <w:spacing w:line="280" w:lineRule="exact"/>
        <w:ind w:right="617" w:rightChars="257"/>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法定代表人/授权代表签字</w:t>
      </w:r>
      <w:r>
        <w:rPr>
          <w:rFonts w:hint="eastAsia" w:ascii="宋体" w:hAnsi="宋体" w:eastAsia="宋体" w:cs="宋体"/>
          <w:color w:val="auto"/>
          <w:spacing w:val="4"/>
          <w:highlight w:val="none"/>
        </w:rPr>
        <w:t>或盖章</w:t>
      </w:r>
      <w:r>
        <w:rPr>
          <w:rFonts w:hint="eastAsia" w:ascii="宋体" w:hAnsi="宋体" w:eastAsia="宋体" w:cs="宋体"/>
          <w:color w:val="auto"/>
          <w:szCs w:val="24"/>
          <w:highlight w:val="none"/>
        </w:rPr>
        <w:t>：</w:t>
      </w:r>
    </w:p>
    <w:p w14:paraId="7A04497D">
      <w:pPr>
        <w:spacing w:line="280" w:lineRule="exact"/>
        <w:ind w:right="617" w:rightChars="257"/>
        <w:jc w:val="left"/>
        <w:rPr>
          <w:rFonts w:hint="eastAsia" w:ascii="宋体" w:hAnsi="宋体" w:eastAsia="宋体" w:cs="宋体"/>
          <w:color w:val="auto"/>
          <w:szCs w:val="24"/>
          <w:highlight w:val="none"/>
        </w:rPr>
      </w:pPr>
    </w:p>
    <w:p w14:paraId="6D3521D3">
      <w:pPr>
        <w:spacing w:line="280" w:lineRule="exact"/>
        <w:ind w:right="617" w:rightChars="257"/>
        <w:rPr>
          <w:rFonts w:hint="eastAsia" w:ascii="宋体" w:hAnsi="宋体" w:eastAsia="宋体" w:cs="宋体"/>
          <w:color w:val="auto"/>
          <w:szCs w:val="24"/>
          <w:highlight w:val="none"/>
        </w:rPr>
      </w:pPr>
      <w:r>
        <w:rPr>
          <w:rFonts w:hint="eastAsia" w:ascii="宋体" w:hAnsi="宋体" w:eastAsia="宋体" w:cs="宋体"/>
          <w:color w:val="auto"/>
          <w:szCs w:val="24"/>
          <w:highlight w:val="none"/>
        </w:rPr>
        <w:t>日    期：</w:t>
      </w:r>
    </w:p>
    <w:p w14:paraId="4A6AEA3E">
      <w:pPr>
        <w:jc w:val="center"/>
        <w:rPr>
          <w:rFonts w:hint="eastAsia" w:ascii="宋体" w:hAnsi="宋体" w:eastAsia="宋体" w:cs="宋体"/>
          <w:color w:val="auto"/>
          <w:szCs w:val="24"/>
          <w:highlight w:val="none"/>
        </w:rPr>
      </w:pPr>
    </w:p>
    <w:p w14:paraId="3DC9326C">
      <w:pPr>
        <w:jc w:val="center"/>
        <w:rPr>
          <w:rFonts w:hint="eastAsia" w:ascii="宋体" w:hAnsi="宋体" w:eastAsia="宋体" w:cs="宋体"/>
          <w:b/>
          <w:color w:val="auto"/>
          <w:sz w:val="30"/>
          <w:szCs w:val="30"/>
          <w:highlight w:val="none"/>
        </w:rPr>
      </w:pPr>
      <w:bookmarkStart w:id="237" w:name="_GoBack"/>
      <w:bookmarkEnd w:id="237"/>
    </w:p>
    <w:p w14:paraId="6FC50400">
      <w:pPr>
        <w:jc w:val="center"/>
        <w:outlineLvl w:val="2"/>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br w:type="page"/>
      </w:r>
      <w:bookmarkStart w:id="183" w:name="_Toc19259"/>
      <w:bookmarkStart w:id="184" w:name="_Toc11197"/>
      <w:bookmarkStart w:id="185" w:name="_Toc8017"/>
      <w:bookmarkStart w:id="186" w:name="_Toc9760"/>
      <w:r>
        <w:rPr>
          <w:rFonts w:hint="eastAsia" w:ascii="宋体" w:hAnsi="宋体" w:eastAsia="宋体" w:cs="宋体"/>
          <w:b/>
          <w:color w:val="auto"/>
          <w:sz w:val="30"/>
          <w:szCs w:val="30"/>
          <w:highlight w:val="none"/>
        </w:rPr>
        <w:t>2.2分项报价表</w:t>
      </w:r>
      <w:bookmarkEnd w:id="183"/>
      <w:bookmarkEnd w:id="184"/>
      <w:bookmarkEnd w:id="185"/>
      <w:bookmarkEnd w:id="186"/>
    </w:p>
    <w:p w14:paraId="0BCD953A">
      <w:pPr>
        <w:pStyle w:val="8"/>
        <w:jc w:val="center"/>
        <w:rPr>
          <w:rFonts w:hint="eastAsia" w:ascii="宋体" w:hAnsi="宋体" w:eastAsia="宋体" w:cs="宋体"/>
          <w:color w:val="auto"/>
          <w:sz w:val="24"/>
          <w:szCs w:val="22"/>
          <w:highlight w:val="none"/>
          <w:lang w:eastAsia="zh-CN"/>
        </w:rPr>
      </w:pPr>
      <w:r>
        <w:rPr>
          <w:rFonts w:hint="eastAsia" w:ascii="宋体" w:hAnsi="宋体" w:eastAsia="宋体" w:cs="宋体"/>
          <w:color w:val="auto"/>
          <w:sz w:val="24"/>
          <w:szCs w:val="22"/>
          <w:highlight w:val="none"/>
          <w:lang w:eastAsia="zh-CN"/>
        </w:rPr>
        <w:t>格式自拟</w:t>
      </w:r>
    </w:p>
    <w:bookmarkEnd w:id="168"/>
    <w:p w14:paraId="20EB7F2C">
      <w:pPr>
        <w:jc w:val="center"/>
        <w:outlineLvl w:val="1"/>
        <w:rPr>
          <w:rFonts w:hint="eastAsia" w:ascii="宋体" w:hAnsi="宋体" w:eastAsia="宋体" w:cs="宋体"/>
          <w:color w:val="auto"/>
          <w:sz w:val="32"/>
          <w:szCs w:val="32"/>
          <w:highlight w:val="none"/>
        </w:rPr>
      </w:pPr>
      <w:bookmarkStart w:id="187" w:name="_Toc344572163"/>
      <w:r>
        <w:rPr>
          <w:rFonts w:hint="eastAsia" w:ascii="宋体" w:hAnsi="宋体" w:eastAsia="宋体" w:cs="宋体"/>
          <w:color w:val="auto"/>
          <w:sz w:val="32"/>
          <w:szCs w:val="32"/>
          <w:highlight w:val="none"/>
        </w:rPr>
        <w:br w:type="page"/>
      </w:r>
      <w:bookmarkStart w:id="188" w:name="_Toc3628"/>
      <w:bookmarkStart w:id="189" w:name="_Toc5944"/>
      <w:bookmarkStart w:id="190" w:name="_Toc31835"/>
      <w:bookmarkStart w:id="191" w:name="_Toc32126"/>
      <w:r>
        <w:rPr>
          <w:rFonts w:hint="eastAsia" w:ascii="宋体" w:hAnsi="宋体" w:eastAsia="宋体" w:cs="宋体"/>
          <w:b/>
          <w:bCs/>
          <w:color w:val="auto"/>
          <w:sz w:val="32"/>
          <w:szCs w:val="32"/>
          <w:highlight w:val="none"/>
        </w:rPr>
        <w:t>三、磋商方案说明书</w:t>
      </w:r>
      <w:bookmarkEnd w:id="188"/>
      <w:bookmarkEnd w:id="189"/>
      <w:bookmarkEnd w:id="190"/>
      <w:bookmarkEnd w:id="191"/>
    </w:p>
    <w:p w14:paraId="401529F1">
      <w:pPr>
        <w:spacing w:after="120" w:line="440" w:lineRule="exact"/>
        <w:rPr>
          <w:rFonts w:hint="default" w:ascii="宋体" w:hAnsi="宋体" w:eastAsia="宋体" w:cs="宋体"/>
          <w:color w:val="auto"/>
          <w:szCs w:val="24"/>
          <w:highlight w:val="none"/>
          <w:lang w:val="en-US" w:eastAsia="zh-CN"/>
        </w:rPr>
      </w:pPr>
      <w:r>
        <w:rPr>
          <w:rFonts w:hint="eastAsia" w:ascii="宋体" w:hAnsi="宋体" w:eastAsia="宋体" w:cs="宋体"/>
          <w:color w:val="auto"/>
          <w:szCs w:val="24"/>
          <w:highlight w:val="none"/>
        </w:rPr>
        <w:t>项目名称：</w:t>
      </w:r>
      <w:r>
        <w:rPr>
          <w:rFonts w:hint="eastAsia" w:hAnsi="宋体" w:cs="宋体"/>
          <w:color w:val="auto"/>
          <w:szCs w:val="24"/>
          <w:highlight w:val="none"/>
          <w:lang w:val="en-US" w:eastAsia="zh-CN"/>
        </w:rPr>
        <w:t xml:space="preserve">               </w:t>
      </w:r>
    </w:p>
    <w:p w14:paraId="1916AF8B">
      <w:pPr>
        <w:tabs>
          <w:tab w:val="left" w:pos="1800"/>
        </w:tabs>
        <w:spacing w:after="120" w:line="440" w:lineRule="exact"/>
        <w:rPr>
          <w:rFonts w:hint="eastAsia" w:ascii="宋体" w:hAnsi="宋体" w:eastAsia="宋体" w:cs="宋体"/>
          <w:color w:val="auto"/>
          <w:szCs w:val="24"/>
          <w:highlight w:val="none"/>
        </w:rPr>
      </w:pPr>
      <w:r>
        <w:rPr>
          <w:rFonts w:hint="eastAsia" w:ascii="宋体" w:hAnsi="宋体" w:eastAsia="宋体" w:cs="宋体"/>
          <w:color w:val="auto"/>
          <w:szCs w:val="24"/>
          <w:highlight w:val="none"/>
        </w:rPr>
        <w:t>项目编号：</w:t>
      </w:r>
    </w:p>
    <w:p w14:paraId="6C795B38">
      <w:pPr>
        <w:spacing w:line="480" w:lineRule="auto"/>
        <w:ind w:firstLine="480" w:firstLineChars="200"/>
        <w:rPr>
          <w:rFonts w:hint="eastAsia" w:ascii="宋体" w:hAnsi="宋体" w:eastAsia="宋体" w:cs="宋体"/>
          <w:b/>
          <w:bCs/>
          <w:color w:val="auto"/>
          <w:szCs w:val="24"/>
          <w:highlight w:val="none"/>
          <w:lang w:eastAsia="zh-CN"/>
        </w:rPr>
      </w:pPr>
      <w:r>
        <w:rPr>
          <w:rFonts w:hint="eastAsia" w:ascii="宋体" w:hAnsi="宋体" w:eastAsia="宋体" w:cs="宋体"/>
          <w:color w:val="auto"/>
          <w:szCs w:val="24"/>
          <w:highlight w:val="none"/>
        </w:rPr>
        <w:t>按照磋商文件的要求编制的技术响应说明书，</w:t>
      </w:r>
      <w:r>
        <w:rPr>
          <w:rFonts w:hint="eastAsia" w:ascii="宋体" w:hAnsi="宋体" w:eastAsia="宋体" w:cs="宋体"/>
          <w:b/>
          <w:bCs/>
          <w:color w:val="auto"/>
          <w:szCs w:val="24"/>
          <w:highlight w:val="none"/>
          <w:lang w:eastAsia="zh-CN"/>
        </w:rPr>
        <w:t>可参照第三章评审办法进行响应</w:t>
      </w:r>
      <w:r>
        <w:rPr>
          <w:rFonts w:hint="eastAsia" w:hAnsi="宋体" w:eastAsia="宋体" w:cs="宋体"/>
          <w:b/>
          <w:bCs/>
          <w:color w:val="auto"/>
          <w:szCs w:val="24"/>
          <w:highlight w:val="none"/>
          <w:lang w:eastAsia="zh-CN"/>
        </w:rPr>
        <w:t>（包括但不限于评审办法。）</w:t>
      </w:r>
    </w:p>
    <w:p w14:paraId="6754602F">
      <w:pPr>
        <w:pStyle w:val="8"/>
        <w:rPr>
          <w:rFonts w:hint="eastAsia" w:ascii="宋体" w:hAnsi="宋体" w:eastAsia="宋体" w:cs="宋体"/>
          <w:color w:val="auto"/>
          <w:highlight w:val="none"/>
        </w:rPr>
      </w:pPr>
    </w:p>
    <w:p w14:paraId="4143B279">
      <w:pPr>
        <w:pStyle w:val="8"/>
        <w:rPr>
          <w:rFonts w:hint="eastAsia" w:ascii="宋体" w:hAnsi="宋体" w:eastAsia="宋体" w:cs="宋体"/>
          <w:color w:val="auto"/>
          <w:highlight w:val="none"/>
        </w:rPr>
      </w:pPr>
    </w:p>
    <w:p w14:paraId="2B93E5C9">
      <w:pPr>
        <w:rPr>
          <w:rFonts w:hint="eastAsia" w:ascii="宋体" w:hAnsi="宋体" w:eastAsia="宋体" w:cs="宋体"/>
          <w:color w:val="auto"/>
          <w:highlight w:val="none"/>
        </w:rPr>
      </w:pPr>
    </w:p>
    <w:p w14:paraId="4D0A3BA2">
      <w:pPr>
        <w:pStyle w:val="8"/>
        <w:rPr>
          <w:rFonts w:hint="eastAsia" w:ascii="宋体" w:hAnsi="宋体" w:eastAsia="宋体" w:cs="宋体"/>
          <w:color w:val="auto"/>
          <w:highlight w:val="none"/>
        </w:rPr>
      </w:pPr>
    </w:p>
    <w:p w14:paraId="7176278B">
      <w:pPr>
        <w:spacing w:line="480" w:lineRule="auto"/>
        <w:ind w:left="3725" w:leftChars="1552"/>
        <w:rPr>
          <w:rFonts w:hint="eastAsia" w:ascii="宋体" w:hAnsi="宋体" w:eastAsia="宋体" w:cs="宋体"/>
          <w:color w:val="auto"/>
          <w:szCs w:val="24"/>
          <w:highlight w:val="none"/>
        </w:rPr>
      </w:pPr>
      <w:r>
        <w:rPr>
          <w:rFonts w:hint="eastAsia" w:ascii="宋体" w:hAnsi="宋体" w:eastAsia="宋体" w:cs="宋体"/>
          <w:color w:val="auto"/>
          <w:szCs w:val="24"/>
          <w:highlight w:val="none"/>
        </w:rPr>
        <w:t>法定代表人/或被授权人签字</w:t>
      </w:r>
      <w:r>
        <w:rPr>
          <w:rFonts w:hint="eastAsia" w:hAnsi="宋体" w:cs="宋体"/>
          <w:color w:val="auto"/>
          <w:szCs w:val="24"/>
          <w:highlight w:val="none"/>
          <w:lang w:eastAsia="zh-CN"/>
        </w:rPr>
        <w:t>或盖章</w:t>
      </w:r>
      <w:r>
        <w:rPr>
          <w:rFonts w:hint="eastAsia" w:ascii="宋体" w:hAnsi="宋体" w:eastAsia="宋体" w:cs="宋体"/>
          <w:color w:val="auto"/>
          <w:szCs w:val="24"/>
          <w:highlight w:val="none"/>
        </w:rPr>
        <w:t>：</w:t>
      </w:r>
    </w:p>
    <w:p w14:paraId="48A4350F">
      <w:pPr>
        <w:spacing w:line="480" w:lineRule="auto"/>
        <w:ind w:left="3725" w:leftChars="1552"/>
        <w:rPr>
          <w:rFonts w:hint="eastAsia" w:ascii="宋体" w:hAnsi="宋体" w:eastAsia="宋体" w:cs="宋体"/>
          <w:color w:val="auto"/>
          <w:szCs w:val="24"/>
          <w:highlight w:val="none"/>
        </w:rPr>
      </w:pPr>
    </w:p>
    <w:p w14:paraId="6D18DD32">
      <w:pPr>
        <w:spacing w:line="480" w:lineRule="auto"/>
        <w:ind w:left="3725" w:leftChars="1552"/>
        <w:rPr>
          <w:rFonts w:hint="eastAsia" w:ascii="宋体" w:hAnsi="宋体" w:eastAsia="宋体" w:cs="宋体"/>
          <w:color w:val="auto"/>
          <w:szCs w:val="24"/>
          <w:highlight w:val="none"/>
        </w:rPr>
      </w:pPr>
      <w:r>
        <w:rPr>
          <w:rFonts w:hint="eastAsia" w:ascii="宋体" w:hAnsi="宋体" w:eastAsia="宋体" w:cs="宋体"/>
          <w:color w:val="auto"/>
          <w:szCs w:val="24"/>
          <w:highlight w:val="none"/>
        </w:rPr>
        <w:t>公      章：</w:t>
      </w:r>
    </w:p>
    <w:p w14:paraId="41DA2FDA">
      <w:pPr>
        <w:spacing w:line="480" w:lineRule="auto"/>
        <w:ind w:left="3725" w:leftChars="1552" w:firstLine="5668" w:firstLineChars="2362"/>
        <w:rPr>
          <w:rFonts w:hint="eastAsia" w:ascii="宋体" w:hAnsi="宋体" w:eastAsia="宋体" w:cs="宋体"/>
          <w:color w:val="auto"/>
          <w:szCs w:val="24"/>
          <w:highlight w:val="none"/>
        </w:rPr>
      </w:pPr>
    </w:p>
    <w:p w14:paraId="1FBBCD6B">
      <w:pPr>
        <w:spacing w:line="480" w:lineRule="auto"/>
        <w:ind w:left="3725" w:leftChars="1552"/>
        <w:rPr>
          <w:rFonts w:hint="eastAsia" w:ascii="宋体" w:hAnsi="宋体" w:eastAsia="宋体" w:cs="宋体"/>
          <w:color w:val="auto"/>
          <w:szCs w:val="24"/>
          <w:highlight w:val="none"/>
        </w:rPr>
      </w:pPr>
      <w:r>
        <w:rPr>
          <w:rFonts w:hint="eastAsia" w:ascii="宋体" w:hAnsi="宋体" w:eastAsia="宋体" w:cs="宋体"/>
          <w:color w:val="auto"/>
          <w:szCs w:val="24"/>
          <w:highlight w:val="none"/>
        </w:rPr>
        <w:t>日      期：</w:t>
      </w:r>
    </w:p>
    <w:p w14:paraId="7A492146">
      <w:pPr>
        <w:spacing w:before="156" w:beforeLines="50" w:after="156" w:afterLines="50" w:line="500" w:lineRule="exact"/>
        <w:jc w:val="both"/>
        <w:outlineLvl w:val="9"/>
        <w:rPr>
          <w:rFonts w:hint="eastAsia" w:ascii="宋体" w:hAnsi="宋体" w:eastAsia="宋体" w:cs="宋体"/>
          <w:b/>
          <w:color w:val="auto"/>
          <w:sz w:val="28"/>
          <w:szCs w:val="28"/>
          <w:highlight w:val="none"/>
          <w:lang w:eastAsia="zh-CN"/>
        </w:rPr>
      </w:pPr>
      <w:r>
        <w:rPr>
          <w:rFonts w:hint="eastAsia" w:ascii="宋体" w:hAnsi="宋体" w:eastAsia="宋体" w:cs="宋体"/>
          <w:color w:val="auto"/>
          <w:szCs w:val="24"/>
          <w:highlight w:val="none"/>
        </w:rPr>
        <w:br w:type="page"/>
      </w:r>
      <w:bookmarkStart w:id="192" w:name="_Toc2621"/>
      <w:bookmarkStart w:id="193" w:name="_Toc21284"/>
      <w:bookmarkStart w:id="194" w:name="_Toc1379"/>
      <w:bookmarkStart w:id="195" w:name="_Toc23455"/>
      <w:bookmarkStart w:id="196" w:name="_Toc9218"/>
      <w:bookmarkStart w:id="197" w:name="_Toc8845"/>
      <w:bookmarkStart w:id="198" w:name="_Toc6883"/>
      <w:bookmarkStart w:id="199" w:name="_Toc15265"/>
      <w:bookmarkStart w:id="200" w:name="_Toc5662"/>
    </w:p>
    <w:p w14:paraId="061C8415">
      <w:pPr>
        <w:spacing w:before="156" w:beforeLines="50" w:after="156" w:afterLines="50"/>
        <w:ind w:firstLine="3654" w:firstLineChars="1300"/>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lang w:eastAsia="zh-CN"/>
        </w:rPr>
        <w:t>项目负责人简历表</w:t>
      </w:r>
    </w:p>
    <w:tbl>
      <w:tblPr>
        <w:tblStyle w:val="21"/>
        <w:tblW w:w="10175" w:type="dxa"/>
        <w:jc w:val="center"/>
        <w:tblLayout w:type="fixed"/>
        <w:tblCellMar>
          <w:top w:w="0" w:type="dxa"/>
          <w:left w:w="108" w:type="dxa"/>
          <w:bottom w:w="0" w:type="dxa"/>
          <w:right w:w="108" w:type="dxa"/>
        </w:tblCellMar>
      </w:tblPr>
      <w:tblGrid>
        <w:gridCol w:w="1833"/>
        <w:gridCol w:w="2121"/>
        <w:gridCol w:w="1692"/>
        <w:gridCol w:w="1437"/>
        <w:gridCol w:w="1437"/>
        <w:gridCol w:w="1655"/>
      </w:tblGrid>
      <w:tr w14:paraId="258565FC">
        <w:tblPrEx>
          <w:tblCellMar>
            <w:top w:w="0" w:type="dxa"/>
            <w:left w:w="108" w:type="dxa"/>
            <w:bottom w:w="0" w:type="dxa"/>
            <w:right w:w="108" w:type="dxa"/>
          </w:tblCellMar>
        </w:tblPrEx>
        <w:trPr>
          <w:trHeight w:val="694" w:hRule="atLeast"/>
          <w:jc w:val="center"/>
        </w:trPr>
        <w:tc>
          <w:tcPr>
            <w:tcW w:w="1833" w:type="dxa"/>
            <w:tcBorders>
              <w:top w:val="single" w:color="auto" w:sz="6" w:space="0"/>
              <w:left w:val="single" w:color="auto" w:sz="6" w:space="0"/>
              <w:bottom w:val="single" w:color="auto" w:sz="6" w:space="0"/>
              <w:right w:val="single" w:color="auto" w:sz="6" w:space="0"/>
            </w:tcBorders>
            <w:noWrap w:val="0"/>
            <w:vAlign w:val="center"/>
          </w:tcPr>
          <w:p w14:paraId="79FE0D61">
            <w:pPr>
              <w:autoSpaceDE w:val="0"/>
              <w:autoSpaceDN w:val="0"/>
              <w:adjustRightIn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姓名</w:t>
            </w:r>
          </w:p>
        </w:tc>
        <w:tc>
          <w:tcPr>
            <w:tcW w:w="2121" w:type="dxa"/>
            <w:tcBorders>
              <w:top w:val="single" w:color="auto" w:sz="6" w:space="0"/>
              <w:left w:val="single" w:color="auto" w:sz="6" w:space="0"/>
              <w:bottom w:val="single" w:color="auto" w:sz="6" w:space="0"/>
              <w:right w:val="single" w:color="auto" w:sz="6" w:space="0"/>
            </w:tcBorders>
            <w:noWrap w:val="0"/>
            <w:vAlign w:val="center"/>
          </w:tcPr>
          <w:p w14:paraId="65C93744">
            <w:pPr>
              <w:autoSpaceDE w:val="0"/>
              <w:autoSpaceDN w:val="0"/>
              <w:adjustRightInd w:val="0"/>
              <w:jc w:val="center"/>
              <w:rPr>
                <w:rFonts w:hint="eastAsia" w:ascii="宋体" w:hAnsi="宋体" w:eastAsia="宋体" w:cs="宋体"/>
                <w:color w:val="auto"/>
                <w:sz w:val="24"/>
                <w:szCs w:val="24"/>
                <w:highlight w:val="none"/>
                <w:lang w:val="zh-CN"/>
              </w:rPr>
            </w:pPr>
          </w:p>
        </w:tc>
        <w:tc>
          <w:tcPr>
            <w:tcW w:w="1692" w:type="dxa"/>
            <w:tcBorders>
              <w:top w:val="single" w:color="auto" w:sz="6" w:space="0"/>
              <w:left w:val="single" w:color="auto" w:sz="6" w:space="0"/>
              <w:bottom w:val="single" w:color="auto" w:sz="6" w:space="0"/>
              <w:right w:val="single" w:color="auto" w:sz="6" w:space="0"/>
            </w:tcBorders>
            <w:noWrap w:val="0"/>
            <w:vAlign w:val="center"/>
          </w:tcPr>
          <w:p w14:paraId="026F5D6E">
            <w:pPr>
              <w:autoSpaceDE w:val="0"/>
              <w:autoSpaceDN w:val="0"/>
              <w:adjustRightIn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性别</w:t>
            </w:r>
          </w:p>
        </w:tc>
        <w:tc>
          <w:tcPr>
            <w:tcW w:w="1437" w:type="dxa"/>
            <w:tcBorders>
              <w:top w:val="single" w:color="auto" w:sz="6" w:space="0"/>
              <w:left w:val="single" w:color="auto" w:sz="6" w:space="0"/>
              <w:bottom w:val="single" w:color="auto" w:sz="6" w:space="0"/>
              <w:right w:val="single" w:color="auto" w:sz="6" w:space="0"/>
            </w:tcBorders>
            <w:noWrap w:val="0"/>
            <w:vAlign w:val="center"/>
          </w:tcPr>
          <w:p w14:paraId="5D1AE850">
            <w:pPr>
              <w:autoSpaceDE w:val="0"/>
              <w:autoSpaceDN w:val="0"/>
              <w:adjustRightInd w:val="0"/>
              <w:jc w:val="center"/>
              <w:rPr>
                <w:rFonts w:hint="eastAsia" w:ascii="宋体" w:hAnsi="宋体" w:eastAsia="宋体" w:cs="宋体"/>
                <w:color w:val="auto"/>
                <w:sz w:val="24"/>
                <w:szCs w:val="24"/>
                <w:highlight w:val="none"/>
              </w:rPr>
            </w:pPr>
          </w:p>
        </w:tc>
        <w:tc>
          <w:tcPr>
            <w:tcW w:w="1437" w:type="dxa"/>
            <w:tcBorders>
              <w:top w:val="single" w:color="auto" w:sz="6" w:space="0"/>
              <w:left w:val="single" w:color="auto" w:sz="6" w:space="0"/>
              <w:bottom w:val="single" w:color="auto" w:sz="6" w:space="0"/>
              <w:right w:val="single" w:color="auto" w:sz="6" w:space="0"/>
            </w:tcBorders>
            <w:noWrap w:val="0"/>
            <w:vAlign w:val="center"/>
          </w:tcPr>
          <w:p w14:paraId="0B77BDBB">
            <w:pPr>
              <w:autoSpaceDE w:val="0"/>
              <w:autoSpaceDN w:val="0"/>
              <w:adjustRightIn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年龄</w:t>
            </w:r>
          </w:p>
        </w:tc>
        <w:tc>
          <w:tcPr>
            <w:tcW w:w="1655" w:type="dxa"/>
            <w:tcBorders>
              <w:top w:val="single" w:color="auto" w:sz="6" w:space="0"/>
              <w:left w:val="single" w:color="auto" w:sz="6" w:space="0"/>
              <w:bottom w:val="single" w:color="auto" w:sz="6" w:space="0"/>
              <w:right w:val="single" w:color="auto" w:sz="6" w:space="0"/>
            </w:tcBorders>
            <w:noWrap w:val="0"/>
            <w:vAlign w:val="center"/>
          </w:tcPr>
          <w:p w14:paraId="4072CCDD">
            <w:pPr>
              <w:autoSpaceDE w:val="0"/>
              <w:autoSpaceDN w:val="0"/>
              <w:adjustRightInd w:val="0"/>
              <w:jc w:val="center"/>
              <w:rPr>
                <w:rFonts w:hint="eastAsia" w:ascii="宋体" w:hAnsi="宋体" w:eastAsia="宋体" w:cs="宋体"/>
                <w:color w:val="auto"/>
                <w:sz w:val="24"/>
                <w:szCs w:val="24"/>
                <w:highlight w:val="none"/>
              </w:rPr>
            </w:pPr>
          </w:p>
        </w:tc>
      </w:tr>
      <w:tr w14:paraId="55B9EFB0">
        <w:tblPrEx>
          <w:tblCellMar>
            <w:top w:w="0" w:type="dxa"/>
            <w:left w:w="108" w:type="dxa"/>
            <w:bottom w:w="0" w:type="dxa"/>
            <w:right w:w="108" w:type="dxa"/>
          </w:tblCellMar>
        </w:tblPrEx>
        <w:trPr>
          <w:trHeight w:val="694" w:hRule="atLeast"/>
          <w:jc w:val="center"/>
        </w:trPr>
        <w:tc>
          <w:tcPr>
            <w:tcW w:w="1833" w:type="dxa"/>
            <w:tcBorders>
              <w:top w:val="single" w:color="auto" w:sz="6" w:space="0"/>
              <w:left w:val="single" w:color="auto" w:sz="6" w:space="0"/>
              <w:bottom w:val="single" w:color="auto" w:sz="6" w:space="0"/>
              <w:right w:val="single" w:color="auto" w:sz="6" w:space="0"/>
            </w:tcBorders>
            <w:noWrap w:val="0"/>
            <w:vAlign w:val="center"/>
          </w:tcPr>
          <w:p w14:paraId="4ADA380D">
            <w:pPr>
              <w:autoSpaceDE w:val="0"/>
              <w:autoSpaceDN w:val="0"/>
              <w:adjustRightIn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职务</w:t>
            </w:r>
          </w:p>
        </w:tc>
        <w:tc>
          <w:tcPr>
            <w:tcW w:w="2121" w:type="dxa"/>
            <w:tcBorders>
              <w:top w:val="single" w:color="auto" w:sz="6" w:space="0"/>
              <w:left w:val="single" w:color="auto" w:sz="6" w:space="0"/>
              <w:bottom w:val="single" w:color="auto" w:sz="6" w:space="0"/>
              <w:right w:val="single" w:color="auto" w:sz="6" w:space="0"/>
            </w:tcBorders>
            <w:noWrap w:val="0"/>
            <w:vAlign w:val="center"/>
          </w:tcPr>
          <w:p w14:paraId="2D79B592">
            <w:pPr>
              <w:autoSpaceDE w:val="0"/>
              <w:autoSpaceDN w:val="0"/>
              <w:adjustRightInd w:val="0"/>
              <w:jc w:val="center"/>
              <w:rPr>
                <w:rFonts w:hint="eastAsia" w:ascii="宋体" w:hAnsi="宋体" w:eastAsia="宋体" w:cs="宋体"/>
                <w:color w:val="auto"/>
                <w:sz w:val="24"/>
                <w:szCs w:val="24"/>
                <w:highlight w:val="none"/>
                <w:lang w:val="zh-CN"/>
              </w:rPr>
            </w:pPr>
          </w:p>
        </w:tc>
        <w:tc>
          <w:tcPr>
            <w:tcW w:w="1692" w:type="dxa"/>
            <w:tcBorders>
              <w:top w:val="single" w:color="auto" w:sz="6" w:space="0"/>
              <w:left w:val="single" w:color="auto" w:sz="6" w:space="0"/>
              <w:bottom w:val="single" w:color="auto" w:sz="6" w:space="0"/>
              <w:right w:val="single" w:color="auto" w:sz="6" w:space="0"/>
            </w:tcBorders>
            <w:noWrap w:val="0"/>
            <w:vAlign w:val="center"/>
          </w:tcPr>
          <w:p w14:paraId="11EEAA67">
            <w:pPr>
              <w:autoSpaceDE w:val="0"/>
              <w:autoSpaceDN w:val="0"/>
              <w:adjustRightIn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职称</w:t>
            </w:r>
          </w:p>
        </w:tc>
        <w:tc>
          <w:tcPr>
            <w:tcW w:w="1437" w:type="dxa"/>
            <w:tcBorders>
              <w:top w:val="single" w:color="auto" w:sz="6" w:space="0"/>
              <w:left w:val="single" w:color="auto" w:sz="6" w:space="0"/>
              <w:bottom w:val="single" w:color="auto" w:sz="6" w:space="0"/>
              <w:right w:val="single" w:color="auto" w:sz="6" w:space="0"/>
            </w:tcBorders>
            <w:noWrap w:val="0"/>
            <w:vAlign w:val="center"/>
          </w:tcPr>
          <w:p w14:paraId="06B4D58A">
            <w:pPr>
              <w:autoSpaceDE w:val="0"/>
              <w:autoSpaceDN w:val="0"/>
              <w:adjustRightInd w:val="0"/>
              <w:jc w:val="center"/>
              <w:rPr>
                <w:rFonts w:hint="eastAsia" w:ascii="宋体" w:hAnsi="宋体" w:eastAsia="宋体" w:cs="宋体"/>
                <w:color w:val="auto"/>
                <w:sz w:val="24"/>
                <w:szCs w:val="24"/>
                <w:highlight w:val="none"/>
              </w:rPr>
            </w:pPr>
          </w:p>
        </w:tc>
        <w:tc>
          <w:tcPr>
            <w:tcW w:w="1437" w:type="dxa"/>
            <w:tcBorders>
              <w:top w:val="single" w:color="auto" w:sz="6" w:space="0"/>
              <w:left w:val="single" w:color="auto" w:sz="6" w:space="0"/>
              <w:bottom w:val="single" w:color="auto" w:sz="6" w:space="0"/>
              <w:right w:val="single" w:color="auto" w:sz="6" w:space="0"/>
            </w:tcBorders>
            <w:noWrap w:val="0"/>
            <w:vAlign w:val="center"/>
          </w:tcPr>
          <w:p w14:paraId="76F75C8D">
            <w:pPr>
              <w:autoSpaceDE w:val="0"/>
              <w:autoSpaceDN w:val="0"/>
              <w:adjustRightIn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学历</w:t>
            </w:r>
          </w:p>
        </w:tc>
        <w:tc>
          <w:tcPr>
            <w:tcW w:w="1655" w:type="dxa"/>
            <w:tcBorders>
              <w:top w:val="single" w:color="auto" w:sz="6" w:space="0"/>
              <w:left w:val="single" w:color="auto" w:sz="6" w:space="0"/>
              <w:bottom w:val="single" w:color="auto" w:sz="6" w:space="0"/>
              <w:right w:val="single" w:color="auto" w:sz="6" w:space="0"/>
            </w:tcBorders>
            <w:noWrap w:val="0"/>
            <w:vAlign w:val="center"/>
          </w:tcPr>
          <w:p w14:paraId="78968779">
            <w:pPr>
              <w:autoSpaceDE w:val="0"/>
              <w:autoSpaceDN w:val="0"/>
              <w:adjustRightInd w:val="0"/>
              <w:jc w:val="center"/>
              <w:rPr>
                <w:rFonts w:hint="eastAsia" w:ascii="宋体" w:hAnsi="宋体" w:eastAsia="宋体" w:cs="宋体"/>
                <w:color w:val="auto"/>
                <w:sz w:val="24"/>
                <w:szCs w:val="24"/>
                <w:highlight w:val="none"/>
              </w:rPr>
            </w:pPr>
          </w:p>
        </w:tc>
      </w:tr>
      <w:tr w14:paraId="02CE6A50">
        <w:tblPrEx>
          <w:tblCellMar>
            <w:top w:w="0" w:type="dxa"/>
            <w:left w:w="108" w:type="dxa"/>
            <w:bottom w:w="0" w:type="dxa"/>
            <w:right w:w="108" w:type="dxa"/>
          </w:tblCellMar>
        </w:tblPrEx>
        <w:trPr>
          <w:trHeight w:val="694" w:hRule="atLeast"/>
          <w:jc w:val="center"/>
        </w:trPr>
        <w:tc>
          <w:tcPr>
            <w:tcW w:w="1833" w:type="dxa"/>
            <w:tcBorders>
              <w:top w:val="single" w:color="auto" w:sz="6" w:space="0"/>
              <w:left w:val="single" w:color="auto" w:sz="6" w:space="0"/>
              <w:bottom w:val="single" w:color="auto" w:sz="6" w:space="0"/>
              <w:right w:val="single" w:color="auto" w:sz="6" w:space="0"/>
            </w:tcBorders>
            <w:noWrap w:val="0"/>
            <w:vAlign w:val="center"/>
          </w:tcPr>
          <w:p w14:paraId="6FAF5781">
            <w:pPr>
              <w:autoSpaceDE w:val="0"/>
              <w:autoSpaceDN w:val="0"/>
              <w:adjustRightIn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参加工作时间</w:t>
            </w:r>
          </w:p>
        </w:tc>
        <w:tc>
          <w:tcPr>
            <w:tcW w:w="3813" w:type="dxa"/>
            <w:gridSpan w:val="2"/>
            <w:tcBorders>
              <w:top w:val="single" w:color="auto" w:sz="6" w:space="0"/>
              <w:left w:val="single" w:color="auto" w:sz="6" w:space="0"/>
              <w:bottom w:val="single" w:color="auto" w:sz="6" w:space="0"/>
              <w:right w:val="single" w:color="auto" w:sz="6" w:space="0"/>
            </w:tcBorders>
            <w:noWrap w:val="0"/>
            <w:vAlign w:val="center"/>
          </w:tcPr>
          <w:p w14:paraId="4365092C">
            <w:pPr>
              <w:autoSpaceDE w:val="0"/>
              <w:autoSpaceDN w:val="0"/>
              <w:adjustRightInd w:val="0"/>
              <w:jc w:val="center"/>
              <w:rPr>
                <w:rFonts w:hint="eastAsia" w:ascii="宋体" w:hAnsi="宋体" w:eastAsia="宋体" w:cs="宋体"/>
                <w:color w:val="auto"/>
                <w:sz w:val="24"/>
                <w:szCs w:val="24"/>
                <w:highlight w:val="none"/>
              </w:rPr>
            </w:pPr>
          </w:p>
        </w:tc>
        <w:tc>
          <w:tcPr>
            <w:tcW w:w="1437" w:type="dxa"/>
            <w:tcBorders>
              <w:top w:val="single" w:color="auto" w:sz="6" w:space="0"/>
              <w:left w:val="single" w:color="auto" w:sz="6" w:space="0"/>
              <w:bottom w:val="single" w:color="auto" w:sz="6" w:space="0"/>
              <w:right w:val="single" w:color="auto" w:sz="6" w:space="0"/>
            </w:tcBorders>
            <w:noWrap w:val="0"/>
            <w:vAlign w:val="center"/>
          </w:tcPr>
          <w:p w14:paraId="240B6D53">
            <w:pPr>
              <w:autoSpaceDE w:val="0"/>
              <w:autoSpaceDN w:val="0"/>
              <w:adjustRightIn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从事项目经理（项目负责人）年限</w:t>
            </w:r>
          </w:p>
        </w:tc>
        <w:tc>
          <w:tcPr>
            <w:tcW w:w="3092" w:type="dxa"/>
            <w:gridSpan w:val="2"/>
            <w:tcBorders>
              <w:top w:val="single" w:color="auto" w:sz="6" w:space="0"/>
              <w:left w:val="single" w:color="auto" w:sz="6" w:space="0"/>
              <w:bottom w:val="single" w:color="auto" w:sz="6" w:space="0"/>
              <w:right w:val="single" w:color="auto" w:sz="6" w:space="0"/>
            </w:tcBorders>
            <w:noWrap w:val="0"/>
            <w:vAlign w:val="center"/>
          </w:tcPr>
          <w:p w14:paraId="068F11D2">
            <w:pPr>
              <w:autoSpaceDE w:val="0"/>
              <w:autoSpaceDN w:val="0"/>
              <w:adjustRightInd w:val="0"/>
              <w:jc w:val="center"/>
              <w:rPr>
                <w:rFonts w:hint="eastAsia" w:ascii="宋体" w:hAnsi="宋体" w:eastAsia="宋体" w:cs="宋体"/>
                <w:color w:val="auto"/>
                <w:sz w:val="24"/>
                <w:szCs w:val="24"/>
                <w:highlight w:val="none"/>
              </w:rPr>
            </w:pPr>
          </w:p>
        </w:tc>
      </w:tr>
      <w:tr w14:paraId="24379976">
        <w:tblPrEx>
          <w:tblCellMar>
            <w:top w:w="0" w:type="dxa"/>
            <w:left w:w="108" w:type="dxa"/>
            <w:bottom w:w="0" w:type="dxa"/>
            <w:right w:w="108" w:type="dxa"/>
          </w:tblCellMar>
        </w:tblPrEx>
        <w:trPr>
          <w:trHeight w:val="6642" w:hRule="atLeast"/>
          <w:jc w:val="center"/>
        </w:trPr>
        <w:tc>
          <w:tcPr>
            <w:tcW w:w="1833" w:type="dxa"/>
            <w:tcBorders>
              <w:top w:val="single" w:color="auto" w:sz="6" w:space="0"/>
              <w:left w:val="single" w:color="auto" w:sz="6" w:space="0"/>
              <w:bottom w:val="single" w:color="auto" w:sz="6" w:space="0"/>
              <w:right w:val="single" w:color="auto" w:sz="6" w:space="0"/>
            </w:tcBorders>
            <w:noWrap w:val="0"/>
            <w:vAlign w:val="center"/>
          </w:tcPr>
          <w:p w14:paraId="28CD73A6">
            <w:pPr>
              <w:autoSpaceDE w:val="0"/>
              <w:autoSpaceDN w:val="0"/>
              <w:adjustRightInd w:val="0"/>
              <w:jc w:val="center"/>
              <w:rPr>
                <w:rFonts w:hint="eastAsia" w:ascii="宋体" w:hAnsi="宋体" w:eastAsia="宋体" w:cs="宋体"/>
                <w:color w:val="auto"/>
                <w:sz w:val="24"/>
                <w:szCs w:val="24"/>
                <w:highlight w:val="none"/>
              </w:rPr>
            </w:pPr>
          </w:p>
        </w:tc>
        <w:tc>
          <w:tcPr>
            <w:tcW w:w="8342" w:type="dxa"/>
            <w:gridSpan w:val="5"/>
            <w:tcBorders>
              <w:top w:val="single" w:color="auto" w:sz="6" w:space="0"/>
              <w:left w:val="single" w:color="auto" w:sz="6" w:space="0"/>
              <w:bottom w:val="single" w:color="auto" w:sz="6" w:space="0"/>
              <w:right w:val="single" w:color="auto" w:sz="6" w:space="0"/>
            </w:tcBorders>
            <w:noWrap w:val="0"/>
            <w:vAlign w:val="center"/>
          </w:tcPr>
          <w:p w14:paraId="0AC699C6">
            <w:pPr>
              <w:autoSpaceDE w:val="0"/>
              <w:autoSpaceDN w:val="0"/>
              <w:adjustRightInd w:val="0"/>
              <w:jc w:val="center"/>
              <w:rPr>
                <w:rFonts w:hint="eastAsia" w:ascii="宋体" w:hAnsi="宋体" w:eastAsia="宋体" w:cs="宋体"/>
                <w:color w:val="auto"/>
                <w:sz w:val="24"/>
                <w:szCs w:val="24"/>
                <w:highlight w:val="none"/>
              </w:rPr>
            </w:pPr>
          </w:p>
          <w:p w14:paraId="0B4BE88B">
            <w:pPr>
              <w:autoSpaceDE w:val="0"/>
              <w:autoSpaceDN w:val="0"/>
              <w:adjustRightInd w:val="0"/>
              <w:jc w:val="center"/>
              <w:rPr>
                <w:rFonts w:hint="eastAsia" w:ascii="宋体" w:hAnsi="宋体" w:eastAsia="宋体" w:cs="宋体"/>
                <w:color w:val="auto"/>
                <w:sz w:val="24"/>
                <w:szCs w:val="24"/>
                <w:highlight w:val="none"/>
              </w:rPr>
            </w:pPr>
          </w:p>
          <w:p w14:paraId="361B659E">
            <w:pPr>
              <w:autoSpaceDE w:val="0"/>
              <w:autoSpaceDN w:val="0"/>
              <w:adjustRightInd w:val="0"/>
              <w:jc w:val="center"/>
              <w:rPr>
                <w:rFonts w:hint="eastAsia" w:ascii="宋体" w:hAnsi="宋体" w:eastAsia="宋体" w:cs="宋体"/>
                <w:color w:val="auto"/>
                <w:sz w:val="24"/>
                <w:szCs w:val="24"/>
                <w:highlight w:val="none"/>
              </w:rPr>
            </w:pPr>
          </w:p>
          <w:p w14:paraId="4B6F8506">
            <w:pPr>
              <w:autoSpaceDE w:val="0"/>
              <w:autoSpaceDN w:val="0"/>
              <w:adjustRightInd w:val="0"/>
              <w:jc w:val="center"/>
              <w:rPr>
                <w:rFonts w:hint="eastAsia" w:ascii="宋体" w:hAnsi="宋体" w:eastAsia="宋体" w:cs="宋体"/>
                <w:color w:val="auto"/>
                <w:sz w:val="24"/>
                <w:szCs w:val="24"/>
                <w:highlight w:val="none"/>
              </w:rPr>
            </w:pPr>
          </w:p>
          <w:p w14:paraId="1A5E07E1">
            <w:pPr>
              <w:autoSpaceDE w:val="0"/>
              <w:autoSpaceDN w:val="0"/>
              <w:adjustRightInd w:val="0"/>
              <w:jc w:val="center"/>
              <w:rPr>
                <w:rFonts w:hint="eastAsia" w:ascii="宋体" w:hAnsi="宋体" w:eastAsia="宋体" w:cs="宋体"/>
                <w:color w:val="auto"/>
                <w:sz w:val="24"/>
                <w:szCs w:val="24"/>
                <w:highlight w:val="none"/>
              </w:rPr>
            </w:pPr>
          </w:p>
          <w:p w14:paraId="0A23637F">
            <w:pPr>
              <w:autoSpaceDE w:val="0"/>
              <w:autoSpaceDN w:val="0"/>
              <w:adjustRightInd w:val="0"/>
              <w:jc w:val="center"/>
              <w:rPr>
                <w:rFonts w:hint="eastAsia" w:ascii="宋体" w:hAnsi="宋体" w:eastAsia="宋体" w:cs="宋体"/>
                <w:color w:val="auto"/>
                <w:sz w:val="24"/>
                <w:szCs w:val="24"/>
                <w:highlight w:val="none"/>
              </w:rPr>
            </w:pPr>
          </w:p>
          <w:p w14:paraId="12FEAAF2">
            <w:pPr>
              <w:autoSpaceDE w:val="0"/>
              <w:autoSpaceDN w:val="0"/>
              <w:adjustRightInd w:val="0"/>
              <w:jc w:val="center"/>
              <w:rPr>
                <w:rFonts w:hint="eastAsia" w:ascii="宋体" w:hAnsi="宋体" w:eastAsia="宋体" w:cs="宋体"/>
                <w:color w:val="auto"/>
                <w:sz w:val="24"/>
                <w:szCs w:val="24"/>
                <w:highlight w:val="none"/>
              </w:rPr>
            </w:pPr>
          </w:p>
          <w:p w14:paraId="4D9FA62D">
            <w:pPr>
              <w:autoSpaceDE w:val="0"/>
              <w:autoSpaceDN w:val="0"/>
              <w:adjustRightInd w:val="0"/>
              <w:jc w:val="center"/>
              <w:rPr>
                <w:rFonts w:hint="eastAsia" w:ascii="宋体" w:hAnsi="宋体" w:eastAsia="宋体" w:cs="宋体"/>
                <w:color w:val="auto"/>
                <w:sz w:val="24"/>
                <w:szCs w:val="24"/>
                <w:highlight w:val="none"/>
              </w:rPr>
            </w:pPr>
          </w:p>
          <w:p w14:paraId="67B09C4A">
            <w:pPr>
              <w:autoSpaceDE w:val="0"/>
              <w:autoSpaceDN w:val="0"/>
              <w:adjustRightInd w:val="0"/>
              <w:jc w:val="center"/>
              <w:rPr>
                <w:rFonts w:hint="eastAsia" w:ascii="宋体" w:hAnsi="宋体" w:eastAsia="宋体" w:cs="宋体"/>
                <w:color w:val="auto"/>
                <w:sz w:val="24"/>
                <w:szCs w:val="24"/>
                <w:highlight w:val="none"/>
              </w:rPr>
            </w:pPr>
          </w:p>
          <w:p w14:paraId="6D8E1E06">
            <w:pPr>
              <w:autoSpaceDE w:val="0"/>
              <w:autoSpaceDN w:val="0"/>
              <w:adjustRightInd w:val="0"/>
              <w:jc w:val="center"/>
              <w:rPr>
                <w:rFonts w:hint="eastAsia" w:ascii="宋体" w:hAnsi="宋体" w:eastAsia="宋体" w:cs="宋体"/>
                <w:color w:val="auto"/>
                <w:sz w:val="24"/>
                <w:szCs w:val="24"/>
                <w:highlight w:val="none"/>
              </w:rPr>
            </w:pPr>
          </w:p>
          <w:p w14:paraId="4AD7ECBB">
            <w:pPr>
              <w:autoSpaceDE w:val="0"/>
              <w:autoSpaceDN w:val="0"/>
              <w:adjustRightInd w:val="0"/>
              <w:jc w:val="center"/>
              <w:rPr>
                <w:rFonts w:hint="eastAsia" w:ascii="宋体" w:hAnsi="宋体" w:eastAsia="宋体" w:cs="宋体"/>
                <w:color w:val="auto"/>
                <w:sz w:val="24"/>
                <w:szCs w:val="24"/>
                <w:highlight w:val="none"/>
              </w:rPr>
            </w:pPr>
          </w:p>
          <w:p w14:paraId="33D54DE8">
            <w:pPr>
              <w:autoSpaceDE w:val="0"/>
              <w:autoSpaceDN w:val="0"/>
              <w:adjustRightInd w:val="0"/>
              <w:jc w:val="center"/>
              <w:rPr>
                <w:rFonts w:hint="eastAsia" w:ascii="宋体" w:hAnsi="宋体" w:eastAsia="宋体" w:cs="宋体"/>
                <w:color w:val="auto"/>
                <w:sz w:val="24"/>
                <w:szCs w:val="24"/>
                <w:highlight w:val="none"/>
              </w:rPr>
            </w:pPr>
          </w:p>
          <w:p w14:paraId="72CADAB8">
            <w:pPr>
              <w:autoSpaceDE w:val="0"/>
              <w:autoSpaceDN w:val="0"/>
              <w:adjustRightInd w:val="0"/>
              <w:jc w:val="center"/>
              <w:rPr>
                <w:rFonts w:hint="eastAsia" w:ascii="宋体" w:hAnsi="宋体" w:eastAsia="宋体" w:cs="宋体"/>
                <w:color w:val="auto"/>
                <w:sz w:val="24"/>
                <w:szCs w:val="24"/>
                <w:highlight w:val="none"/>
              </w:rPr>
            </w:pPr>
          </w:p>
          <w:p w14:paraId="3B036031">
            <w:pPr>
              <w:autoSpaceDE w:val="0"/>
              <w:autoSpaceDN w:val="0"/>
              <w:adjustRightInd w:val="0"/>
              <w:jc w:val="center"/>
              <w:rPr>
                <w:rFonts w:hint="eastAsia" w:ascii="宋体" w:hAnsi="宋体" w:eastAsia="宋体" w:cs="宋体"/>
                <w:color w:val="auto"/>
                <w:sz w:val="24"/>
                <w:szCs w:val="24"/>
                <w:highlight w:val="none"/>
              </w:rPr>
            </w:pPr>
          </w:p>
          <w:p w14:paraId="2161970D">
            <w:pPr>
              <w:autoSpaceDE w:val="0"/>
              <w:autoSpaceDN w:val="0"/>
              <w:adjustRightInd w:val="0"/>
              <w:jc w:val="center"/>
              <w:rPr>
                <w:rFonts w:hint="eastAsia" w:ascii="宋体" w:hAnsi="宋体" w:eastAsia="宋体" w:cs="宋体"/>
                <w:color w:val="auto"/>
                <w:sz w:val="24"/>
                <w:szCs w:val="24"/>
                <w:highlight w:val="none"/>
              </w:rPr>
            </w:pPr>
          </w:p>
          <w:p w14:paraId="07028DB2">
            <w:pPr>
              <w:autoSpaceDE w:val="0"/>
              <w:autoSpaceDN w:val="0"/>
              <w:adjustRightInd w:val="0"/>
              <w:jc w:val="center"/>
              <w:rPr>
                <w:rFonts w:hint="eastAsia" w:ascii="宋体" w:hAnsi="宋体" w:eastAsia="宋体" w:cs="宋体"/>
                <w:color w:val="auto"/>
                <w:sz w:val="24"/>
                <w:szCs w:val="24"/>
                <w:highlight w:val="none"/>
              </w:rPr>
            </w:pPr>
          </w:p>
          <w:p w14:paraId="49E0DAAA">
            <w:pPr>
              <w:autoSpaceDE w:val="0"/>
              <w:autoSpaceDN w:val="0"/>
              <w:adjustRightInd w:val="0"/>
              <w:jc w:val="center"/>
              <w:rPr>
                <w:rFonts w:hint="eastAsia" w:ascii="宋体" w:hAnsi="宋体" w:eastAsia="宋体" w:cs="宋体"/>
                <w:color w:val="auto"/>
                <w:sz w:val="24"/>
                <w:szCs w:val="24"/>
                <w:highlight w:val="none"/>
              </w:rPr>
            </w:pPr>
          </w:p>
          <w:p w14:paraId="094B2E24">
            <w:pPr>
              <w:autoSpaceDE w:val="0"/>
              <w:autoSpaceDN w:val="0"/>
              <w:adjustRightInd w:val="0"/>
              <w:jc w:val="center"/>
              <w:rPr>
                <w:rFonts w:hint="eastAsia" w:ascii="宋体" w:hAnsi="宋体" w:eastAsia="宋体" w:cs="宋体"/>
                <w:color w:val="auto"/>
                <w:sz w:val="24"/>
                <w:szCs w:val="24"/>
                <w:highlight w:val="none"/>
              </w:rPr>
            </w:pPr>
          </w:p>
          <w:p w14:paraId="24163F78">
            <w:pPr>
              <w:autoSpaceDE w:val="0"/>
              <w:autoSpaceDN w:val="0"/>
              <w:adjustRightInd w:val="0"/>
              <w:jc w:val="center"/>
              <w:rPr>
                <w:rFonts w:hint="eastAsia" w:ascii="宋体" w:hAnsi="宋体" w:eastAsia="宋体" w:cs="宋体"/>
                <w:color w:val="auto"/>
                <w:sz w:val="24"/>
                <w:szCs w:val="24"/>
                <w:highlight w:val="none"/>
              </w:rPr>
            </w:pPr>
          </w:p>
          <w:p w14:paraId="57B436F3">
            <w:pPr>
              <w:autoSpaceDE w:val="0"/>
              <w:autoSpaceDN w:val="0"/>
              <w:adjustRightInd w:val="0"/>
              <w:jc w:val="center"/>
              <w:rPr>
                <w:rFonts w:hint="eastAsia" w:ascii="宋体" w:hAnsi="宋体" w:eastAsia="宋体" w:cs="宋体"/>
                <w:color w:val="auto"/>
                <w:sz w:val="24"/>
                <w:szCs w:val="24"/>
                <w:highlight w:val="none"/>
              </w:rPr>
            </w:pPr>
          </w:p>
          <w:p w14:paraId="0CAD091E">
            <w:pPr>
              <w:autoSpaceDE w:val="0"/>
              <w:autoSpaceDN w:val="0"/>
              <w:adjustRightInd w:val="0"/>
              <w:jc w:val="center"/>
              <w:rPr>
                <w:rFonts w:hint="eastAsia" w:ascii="宋体" w:hAnsi="宋体" w:eastAsia="宋体" w:cs="宋体"/>
                <w:color w:val="auto"/>
                <w:sz w:val="24"/>
                <w:szCs w:val="24"/>
                <w:highlight w:val="none"/>
              </w:rPr>
            </w:pPr>
          </w:p>
          <w:p w14:paraId="6DD5B23A">
            <w:pPr>
              <w:autoSpaceDE w:val="0"/>
              <w:autoSpaceDN w:val="0"/>
              <w:adjustRightInd w:val="0"/>
              <w:jc w:val="center"/>
              <w:rPr>
                <w:rFonts w:hint="eastAsia" w:ascii="宋体" w:hAnsi="宋体" w:eastAsia="宋体" w:cs="宋体"/>
                <w:color w:val="auto"/>
                <w:sz w:val="24"/>
                <w:szCs w:val="24"/>
                <w:highlight w:val="none"/>
              </w:rPr>
            </w:pPr>
          </w:p>
          <w:p w14:paraId="6314AB53">
            <w:pPr>
              <w:autoSpaceDE w:val="0"/>
              <w:autoSpaceDN w:val="0"/>
              <w:adjustRightInd w:val="0"/>
              <w:jc w:val="center"/>
              <w:rPr>
                <w:rFonts w:hint="eastAsia" w:ascii="宋体" w:hAnsi="宋体" w:eastAsia="宋体" w:cs="宋体"/>
                <w:color w:val="auto"/>
                <w:sz w:val="24"/>
                <w:szCs w:val="24"/>
                <w:highlight w:val="none"/>
              </w:rPr>
            </w:pPr>
          </w:p>
        </w:tc>
      </w:tr>
    </w:tbl>
    <w:p w14:paraId="509E4777">
      <w:pPr>
        <w:autoSpaceDE w:val="0"/>
        <w:autoSpaceDN w:val="0"/>
        <w:adjustRightInd w:val="0"/>
        <w:spacing w:line="480" w:lineRule="auto"/>
        <w:jc w:val="left"/>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注：</w:t>
      </w:r>
      <w:r>
        <w:rPr>
          <w:rFonts w:hint="eastAsia" w:hAnsi="宋体" w:cs="宋体"/>
          <w:b/>
          <w:bCs/>
          <w:color w:val="auto"/>
          <w:sz w:val="24"/>
          <w:szCs w:val="24"/>
          <w:highlight w:val="none"/>
          <w:lang w:val="en-US" w:eastAsia="zh-CN"/>
        </w:rPr>
        <w:t>项目负责人</w:t>
      </w:r>
      <w:r>
        <w:rPr>
          <w:rFonts w:hint="eastAsia" w:ascii="宋体" w:hAnsi="宋体" w:eastAsia="宋体" w:cs="宋体"/>
          <w:b/>
          <w:bCs/>
          <w:color w:val="auto"/>
          <w:sz w:val="24"/>
          <w:szCs w:val="24"/>
          <w:highlight w:val="none"/>
          <w:lang w:val="zh-CN"/>
        </w:rPr>
        <w:t>附</w:t>
      </w:r>
      <w:r>
        <w:rPr>
          <w:rFonts w:hint="eastAsia" w:hAnsi="宋体" w:cs="宋体"/>
          <w:b/>
          <w:bCs/>
          <w:color w:val="auto"/>
          <w:sz w:val="24"/>
          <w:szCs w:val="24"/>
          <w:highlight w:val="none"/>
          <w:lang w:val="en-US" w:eastAsia="zh-CN"/>
        </w:rPr>
        <w:t>相关</w:t>
      </w:r>
      <w:r>
        <w:rPr>
          <w:rFonts w:hint="eastAsia" w:ascii="宋体" w:hAnsi="宋体" w:eastAsia="宋体" w:cs="宋体"/>
          <w:b/>
          <w:bCs/>
          <w:color w:val="auto"/>
          <w:sz w:val="24"/>
          <w:szCs w:val="24"/>
          <w:highlight w:val="none"/>
          <w:lang w:val="zh-CN"/>
        </w:rPr>
        <w:t>证书复印件（加盖公章）。</w:t>
      </w:r>
    </w:p>
    <w:p w14:paraId="28DF8A3F">
      <w:pPr>
        <w:spacing w:line="480" w:lineRule="auto"/>
        <w:jc w:val="center"/>
        <w:rPr>
          <w:rFonts w:hint="eastAsia" w:ascii="宋体" w:hAnsi="宋体" w:eastAsia="宋体" w:cs="宋体"/>
          <w:b/>
          <w:color w:val="auto"/>
          <w:sz w:val="28"/>
          <w:szCs w:val="28"/>
          <w:highlight w:val="none"/>
          <w:lang w:val="zh-CN" w:eastAsia="zh-CN"/>
        </w:rPr>
      </w:pPr>
      <w:r>
        <w:rPr>
          <w:rFonts w:ascii="宋体" w:hAnsi="宋体"/>
          <w:b/>
          <w:color w:val="auto"/>
          <w:kern w:val="13"/>
          <w:sz w:val="24"/>
          <w:highlight w:val="none"/>
        </w:rPr>
        <w:br w:type="page"/>
      </w:r>
      <w:r>
        <w:rPr>
          <w:rFonts w:hint="eastAsia" w:ascii="宋体" w:hAnsi="宋体" w:eastAsia="宋体" w:cs="宋体"/>
          <w:b/>
          <w:color w:val="auto"/>
          <w:sz w:val="28"/>
          <w:szCs w:val="28"/>
          <w:highlight w:val="none"/>
          <w:lang w:eastAsia="zh-CN"/>
        </w:rPr>
        <w:t>项目主要人员和技术人员概况表</w:t>
      </w:r>
    </w:p>
    <w:p w14:paraId="1F496B94">
      <w:pPr>
        <w:ind w:firstLine="211"/>
        <w:jc w:val="center"/>
        <w:rPr>
          <w:rFonts w:ascii="宋体" w:hAnsi="宋体"/>
          <w:b/>
          <w:bCs/>
          <w:color w:val="auto"/>
          <w:sz w:val="18"/>
          <w:szCs w:val="18"/>
          <w:highlight w:val="none"/>
        </w:rPr>
      </w:pPr>
    </w:p>
    <w:tbl>
      <w:tblPr>
        <w:tblStyle w:val="21"/>
        <w:tblW w:w="0" w:type="auto"/>
        <w:jc w:val="center"/>
        <w:tblLayout w:type="fixed"/>
        <w:tblCellMar>
          <w:top w:w="0" w:type="dxa"/>
          <w:left w:w="108" w:type="dxa"/>
          <w:bottom w:w="0" w:type="dxa"/>
          <w:right w:w="108" w:type="dxa"/>
        </w:tblCellMar>
      </w:tblPr>
      <w:tblGrid>
        <w:gridCol w:w="720"/>
        <w:gridCol w:w="1536"/>
        <w:gridCol w:w="748"/>
        <w:gridCol w:w="936"/>
        <w:gridCol w:w="780"/>
        <w:gridCol w:w="1170"/>
        <w:gridCol w:w="1170"/>
        <w:gridCol w:w="1340"/>
        <w:gridCol w:w="905"/>
      </w:tblGrid>
      <w:tr w14:paraId="6D2619BB">
        <w:tblPrEx>
          <w:tblCellMar>
            <w:top w:w="0" w:type="dxa"/>
            <w:left w:w="108" w:type="dxa"/>
            <w:bottom w:w="0" w:type="dxa"/>
            <w:right w:w="108" w:type="dxa"/>
          </w:tblCellMar>
        </w:tblPrEx>
        <w:trPr>
          <w:trHeight w:val="660" w:hRule="atLeast"/>
          <w:jc w:val="center"/>
        </w:trPr>
        <w:tc>
          <w:tcPr>
            <w:tcW w:w="720" w:type="dxa"/>
            <w:tcBorders>
              <w:top w:val="single" w:color="auto" w:sz="6" w:space="0"/>
              <w:left w:val="single" w:color="auto" w:sz="6" w:space="0"/>
              <w:bottom w:val="single" w:color="auto" w:sz="6" w:space="0"/>
              <w:right w:val="single" w:color="auto" w:sz="6" w:space="0"/>
            </w:tcBorders>
            <w:noWrap w:val="0"/>
            <w:vAlign w:val="center"/>
          </w:tcPr>
          <w:p w14:paraId="5AF5E2D2">
            <w:pPr>
              <w:autoSpaceDE w:val="0"/>
              <w:autoSpaceDN w:val="0"/>
              <w:adjustRightInd w:val="0"/>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序号</w:t>
            </w:r>
          </w:p>
        </w:tc>
        <w:tc>
          <w:tcPr>
            <w:tcW w:w="1536" w:type="dxa"/>
            <w:tcBorders>
              <w:top w:val="single" w:color="auto" w:sz="6" w:space="0"/>
              <w:left w:val="single" w:color="auto" w:sz="6" w:space="0"/>
              <w:bottom w:val="single" w:color="auto" w:sz="6" w:space="0"/>
              <w:right w:val="single" w:color="auto" w:sz="6" w:space="0"/>
            </w:tcBorders>
            <w:noWrap w:val="0"/>
            <w:vAlign w:val="center"/>
          </w:tcPr>
          <w:p w14:paraId="6E96EBFE">
            <w:pPr>
              <w:autoSpaceDE w:val="0"/>
              <w:autoSpaceDN w:val="0"/>
              <w:adjustRightInd w:val="0"/>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姓名</w:t>
            </w:r>
          </w:p>
        </w:tc>
        <w:tc>
          <w:tcPr>
            <w:tcW w:w="748" w:type="dxa"/>
            <w:tcBorders>
              <w:top w:val="single" w:color="auto" w:sz="6" w:space="0"/>
              <w:left w:val="single" w:color="auto" w:sz="6" w:space="0"/>
              <w:bottom w:val="single" w:color="auto" w:sz="6" w:space="0"/>
              <w:right w:val="single" w:color="auto" w:sz="6" w:space="0"/>
            </w:tcBorders>
            <w:noWrap w:val="0"/>
            <w:vAlign w:val="center"/>
          </w:tcPr>
          <w:p w14:paraId="372C87CD">
            <w:pPr>
              <w:autoSpaceDE w:val="0"/>
              <w:autoSpaceDN w:val="0"/>
              <w:adjustRightInd w:val="0"/>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性别</w:t>
            </w:r>
          </w:p>
        </w:tc>
        <w:tc>
          <w:tcPr>
            <w:tcW w:w="936" w:type="dxa"/>
            <w:tcBorders>
              <w:top w:val="single" w:color="auto" w:sz="6" w:space="0"/>
              <w:left w:val="single" w:color="auto" w:sz="6" w:space="0"/>
              <w:bottom w:val="single" w:color="auto" w:sz="6" w:space="0"/>
              <w:right w:val="single" w:color="auto" w:sz="6" w:space="0"/>
            </w:tcBorders>
            <w:noWrap w:val="0"/>
            <w:vAlign w:val="center"/>
          </w:tcPr>
          <w:p w14:paraId="1A8DB48B">
            <w:pPr>
              <w:autoSpaceDE w:val="0"/>
              <w:autoSpaceDN w:val="0"/>
              <w:adjustRightInd w:val="0"/>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年龄</w:t>
            </w:r>
          </w:p>
        </w:tc>
        <w:tc>
          <w:tcPr>
            <w:tcW w:w="780" w:type="dxa"/>
            <w:tcBorders>
              <w:top w:val="single" w:color="auto" w:sz="6" w:space="0"/>
              <w:left w:val="single" w:color="auto" w:sz="6" w:space="0"/>
              <w:bottom w:val="single" w:color="auto" w:sz="6" w:space="0"/>
              <w:right w:val="single" w:color="auto" w:sz="6" w:space="0"/>
            </w:tcBorders>
            <w:noWrap w:val="0"/>
            <w:vAlign w:val="center"/>
          </w:tcPr>
          <w:p w14:paraId="7BF29F83">
            <w:pPr>
              <w:autoSpaceDE w:val="0"/>
              <w:autoSpaceDN w:val="0"/>
              <w:adjustRightInd w:val="0"/>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学历</w:t>
            </w:r>
          </w:p>
        </w:tc>
        <w:tc>
          <w:tcPr>
            <w:tcW w:w="1170" w:type="dxa"/>
            <w:tcBorders>
              <w:top w:val="single" w:color="auto" w:sz="6" w:space="0"/>
              <w:left w:val="single" w:color="auto" w:sz="6" w:space="0"/>
              <w:bottom w:val="single" w:color="auto" w:sz="6" w:space="0"/>
              <w:right w:val="single" w:color="auto" w:sz="6" w:space="0"/>
            </w:tcBorders>
            <w:noWrap w:val="0"/>
            <w:vAlign w:val="center"/>
          </w:tcPr>
          <w:p w14:paraId="65135A3B">
            <w:pPr>
              <w:autoSpaceDE w:val="0"/>
              <w:autoSpaceDN w:val="0"/>
              <w:adjustRightInd w:val="0"/>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资格</w:t>
            </w:r>
          </w:p>
          <w:p w14:paraId="474D0301">
            <w:pPr>
              <w:autoSpaceDE w:val="0"/>
              <w:autoSpaceDN w:val="0"/>
              <w:adjustRightInd w:val="0"/>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证书</w:t>
            </w:r>
          </w:p>
        </w:tc>
        <w:tc>
          <w:tcPr>
            <w:tcW w:w="1170" w:type="dxa"/>
            <w:tcBorders>
              <w:top w:val="single" w:color="auto" w:sz="6" w:space="0"/>
              <w:left w:val="single" w:color="auto" w:sz="6" w:space="0"/>
              <w:bottom w:val="single" w:color="auto" w:sz="6" w:space="0"/>
              <w:right w:val="single" w:color="auto" w:sz="6" w:space="0"/>
            </w:tcBorders>
            <w:noWrap w:val="0"/>
            <w:vAlign w:val="center"/>
          </w:tcPr>
          <w:p w14:paraId="578C13CA">
            <w:pPr>
              <w:autoSpaceDE w:val="0"/>
              <w:autoSpaceDN w:val="0"/>
              <w:adjustRightInd w:val="0"/>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现任</w:t>
            </w:r>
          </w:p>
          <w:p w14:paraId="26775751">
            <w:pPr>
              <w:autoSpaceDE w:val="0"/>
              <w:autoSpaceDN w:val="0"/>
              <w:adjustRightInd w:val="0"/>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职务</w:t>
            </w:r>
          </w:p>
        </w:tc>
        <w:tc>
          <w:tcPr>
            <w:tcW w:w="1340" w:type="dxa"/>
            <w:tcBorders>
              <w:top w:val="single" w:color="auto" w:sz="6" w:space="0"/>
              <w:left w:val="single" w:color="auto" w:sz="6" w:space="0"/>
              <w:bottom w:val="single" w:color="auto" w:sz="6" w:space="0"/>
              <w:right w:val="single" w:color="auto" w:sz="6" w:space="0"/>
            </w:tcBorders>
            <w:noWrap w:val="0"/>
            <w:vAlign w:val="center"/>
          </w:tcPr>
          <w:p w14:paraId="51E7F1B0">
            <w:pPr>
              <w:autoSpaceDE w:val="0"/>
              <w:autoSpaceDN w:val="0"/>
              <w:adjustRightInd w:val="0"/>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从事工作年限</w:t>
            </w:r>
          </w:p>
        </w:tc>
        <w:tc>
          <w:tcPr>
            <w:tcW w:w="905" w:type="dxa"/>
            <w:tcBorders>
              <w:top w:val="single" w:color="auto" w:sz="6" w:space="0"/>
              <w:left w:val="single" w:color="auto" w:sz="6" w:space="0"/>
              <w:bottom w:val="single" w:color="auto" w:sz="6" w:space="0"/>
              <w:right w:val="single" w:color="auto" w:sz="6" w:space="0"/>
            </w:tcBorders>
            <w:noWrap w:val="0"/>
            <w:vAlign w:val="center"/>
          </w:tcPr>
          <w:p w14:paraId="02D89402">
            <w:pPr>
              <w:autoSpaceDE w:val="0"/>
              <w:autoSpaceDN w:val="0"/>
              <w:adjustRightInd w:val="0"/>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备注</w:t>
            </w:r>
          </w:p>
        </w:tc>
      </w:tr>
      <w:tr w14:paraId="665FB128">
        <w:tblPrEx>
          <w:tblCellMar>
            <w:top w:w="0" w:type="dxa"/>
            <w:left w:w="108" w:type="dxa"/>
            <w:bottom w:w="0" w:type="dxa"/>
            <w:right w:w="108" w:type="dxa"/>
          </w:tblCellMar>
        </w:tblPrEx>
        <w:trPr>
          <w:trHeight w:val="660" w:hRule="atLeast"/>
          <w:jc w:val="center"/>
        </w:trPr>
        <w:tc>
          <w:tcPr>
            <w:tcW w:w="720" w:type="dxa"/>
            <w:tcBorders>
              <w:top w:val="single" w:color="auto" w:sz="6" w:space="0"/>
              <w:left w:val="single" w:color="auto" w:sz="6" w:space="0"/>
              <w:bottom w:val="single" w:color="auto" w:sz="6" w:space="0"/>
              <w:right w:val="single" w:color="auto" w:sz="6" w:space="0"/>
            </w:tcBorders>
            <w:noWrap w:val="0"/>
            <w:vAlign w:val="center"/>
          </w:tcPr>
          <w:p w14:paraId="5908F3A6">
            <w:pPr>
              <w:autoSpaceDE w:val="0"/>
              <w:autoSpaceDN w:val="0"/>
              <w:adjustRightInd w:val="0"/>
              <w:jc w:val="center"/>
              <w:rPr>
                <w:rFonts w:hint="eastAsia" w:ascii="宋体" w:hAnsi="宋体" w:eastAsia="宋体" w:cs="宋体"/>
                <w:color w:val="auto"/>
                <w:sz w:val="24"/>
                <w:szCs w:val="24"/>
                <w:highlight w:val="none"/>
                <w:lang w:val="zh-CN"/>
              </w:rPr>
            </w:pPr>
          </w:p>
        </w:tc>
        <w:tc>
          <w:tcPr>
            <w:tcW w:w="1536" w:type="dxa"/>
            <w:tcBorders>
              <w:top w:val="single" w:color="auto" w:sz="6" w:space="0"/>
              <w:left w:val="single" w:color="auto" w:sz="6" w:space="0"/>
              <w:bottom w:val="single" w:color="auto" w:sz="6" w:space="0"/>
              <w:right w:val="single" w:color="auto" w:sz="6" w:space="0"/>
            </w:tcBorders>
            <w:noWrap w:val="0"/>
            <w:vAlign w:val="center"/>
          </w:tcPr>
          <w:p w14:paraId="0B2FC41D">
            <w:pPr>
              <w:autoSpaceDE w:val="0"/>
              <w:autoSpaceDN w:val="0"/>
              <w:adjustRightInd w:val="0"/>
              <w:jc w:val="center"/>
              <w:rPr>
                <w:rFonts w:hint="eastAsia" w:ascii="宋体" w:hAnsi="宋体" w:eastAsia="宋体" w:cs="宋体"/>
                <w:color w:val="auto"/>
                <w:sz w:val="24"/>
                <w:szCs w:val="24"/>
                <w:highlight w:val="none"/>
                <w:lang w:val="zh-CN"/>
              </w:rPr>
            </w:pPr>
          </w:p>
        </w:tc>
        <w:tc>
          <w:tcPr>
            <w:tcW w:w="748" w:type="dxa"/>
            <w:tcBorders>
              <w:top w:val="single" w:color="auto" w:sz="6" w:space="0"/>
              <w:left w:val="single" w:color="auto" w:sz="6" w:space="0"/>
              <w:bottom w:val="single" w:color="auto" w:sz="6" w:space="0"/>
              <w:right w:val="single" w:color="auto" w:sz="6" w:space="0"/>
            </w:tcBorders>
            <w:noWrap w:val="0"/>
            <w:vAlign w:val="center"/>
          </w:tcPr>
          <w:p w14:paraId="21F42A0D">
            <w:pPr>
              <w:autoSpaceDE w:val="0"/>
              <w:autoSpaceDN w:val="0"/>
              <w:adjustRightInd w:val="0"/>
              <w:jc w:val="center"/>
              <w:rPr>
                <w:rFonts w:hint="eastAsia" w:ascii="宋体" w:hAnsi="宋体" w:eastAsia="宋体" w:cs="宋体"/>
                <w:color w:val="auto"/>
                <w:sz w:val="24"/>
                <w:szCs w:val="24"/>
                <w:highlight w:val="none"/>
                <w:lang w:val="zh-CN"/>
              </w:rPr>
            </w:pPr>
          </w:p>
        </w:tc>
        <w:tc>
          <w:tcPr>
            <w:tcW w:w="936" w:type="dxa"/>
            <w:tcBorders>
              <w:top w:val="single" w:color="auto" w:sz="6" w:space="0"/>
              <w:left w:val="single" w:color="auto" w:sz="6" w:space="0"/>
              <w:bottom w:val="single" w:color="auto" w:sz="6" w:space="0"/>
              <w:right w:val="single" w:color="auto" w:sz="6" w:space="0"/>
            </w:tcBorders>
            <w:noWrap w:val="0"/>
            <w:vAlign w:val="center"/>
          </w:tcPr>
          <w:p w14:paraId="5D730924">
            <w:pPr>
              <w:autoSpaceDE w:val="0"/>
              <w:autoSpaceDN w:val="0"/>
              <w:adjustRightInd w:val="0"/>
              <w:jc w:val="center"/>
              <w:rPr>
                <w:rFonts w:hint="eastAsia" w:ascii="宋体" w:hAnsi="宋体" w:eastAsia="宋体" w:cs="宋体"/>
                <w:color w:val="auto"/>
                <w:sz w:val="24"/>
                <w:szCs w:val="24"/>
                <w:highlight w:val="none"/>
                <w:lang w:val="zh-CN"/>
              </w:rPr>
            </w:pPr>
          </w:p>
        </w:tc>
        <w:tc>
          <w:tcPr>
            <w:tcW w:w="780" w:type="dxa"/>
            <w:tcBorders>
              <w:top w:val="single" w:color="auto" w:sz="6" w:space="0"/>
              <w:left w:val="single" w:color="auto" w:sz="6" w:space="0"/>
              <w:bottom w:val="single" w:color="auto" w:sz="6" w:space="0"/>
              <w:right w:val="single" w:color="auto" w:sz="6" w:space="0"/>
            </w:tcBorders>
            <w:noWrap w:val="0"/>
            <w:vAlign w:val="center"/>
          </w:tcPr>
          <w:p w14:paraId="7231BDE1">
            <w:pPr>
              <w:autoSpaceDE w:val="0"/>
              <w:autoSpaceDN w:val="0"/>
              <w:adjustRightInd w:val="0"/>
              <w:jc w:val="center"/>
              <w:rPr>
                <w:rFonts w:hint="eastAsia" w:ascii="宋体" w:hAnsi="宋体" w:eastAsia="宋体" w:cs="宋体"/>
                <w:color w:val="auto"/>
                <w:sz w:val="24"/>
                <w:szCs w:val="24"/>
                <w:highlight w:val="none"/>
                <w:lang w:val="zh-CN"/>
              </w:rPr>
            </w:pPr>
          </w:p>
        </w:tc>
        <w:tc>
          <w:tcPr>
            <w:tcW w:w="1170" w:type="dxa"/>
            <w:tcBorders>
              <w:top w:val="single" w:color="auto" w:sz="6" w:space="0"/>
              <w:left w:val="single" w:color="auto" w:sz="6" w:space="0"/>
              <w:bottom w:val="single" w:color="auto" w:sz="6" w:space="0"/>
              <w:right w:val="single" w:color="auto" w:sz="6" w:space="0"/>
            </w:tcBorders>
            <w:noWrap w:val="0"/>
            <w:vAlign w:val="center"/>
          </w:tcPr>
          <w:p w14:paraId="67E00DB2">
            <w:pPr>
              <w:autoSpaceDE w:val="0"/>
              <w:autoSpaceDN w:val="0"/>
              <w:adjustRightInd w:val="0"/>
              <w:jc w:val="center"/>
              <w:rPr>
                <w:rFonts w:hint="eastAsia" w:ascii="宋体" w:hAnsi="宋体" w:eastAsia="宋体" w:cs="宋体"/>
                <w:color w:val="auto"/>
                <w:sz w:val="24"/>
                <w:szCs w:val="24"/>
                <w:highlight w:val="none"/>
                <w:lang w:val="zh-CN"/>
              </w:rPr>
            </w:pPr>
          </w:p>
        </w:tc>
        <w:tc>
          <w:tcPr>
            <w:tcW w:w="1170" w:type="dxa"/>
            <w:tcBorders>
              <w:top w:val="single" w:color="auto" w:sz="6" w:space="0"/>
              <w:left w:val="single" w:color="auto" w:sz="6" w:space="0"/>
              <w:bottom w:val="single" w:color="auto" w:sz="6" w:space="0"/>
              <w:right w:val="single" w:color="auto" w:sz="6" w:space="0"/>
            </w:tcBorders>
            <w:noWrap w:val="0"/>
            <w:vAlign w:val="center"/>
          </w:tcPr>
          <w:p w14:paraId="2732E56B">
            <w:pPr>
              <w:autoSpaceDE w:val="0"/>
              <w:autoSpaceDN w:val="0"/>
              <w:adjustRightInd w:val="0"/>
              <w:jc w:val="center"/>
              <w:rPr>
                <w:rFonts w:hint="eastAsia" w:ascii="宋体" w:hAnsi="宋体" w:eastAsia="宋体" w:cs="宋体"/>
                <w:color w:val="auto"/>
                <w:sz w:val="24"/>
                <w:szCs w:val="24"/>
                <w:highlight w:val="none"/>
                <w:lang w:val="zh-CN"/>
              </w:rPr>
            </w:pPr>
          </w:p>
        </w:tc>
        <w:tc>
          <w:tcPr>
            <w:tcW w:w="1340" w:type="dxa"/>
            <w:tcBorders>
              <w:top w:val="single" w:color="auto" w:sz="6" w:space="0"/>
              <w:left w:val="single" w:color="auto" w:sz="6" w:space="0"/>
              <w:bottom w:val="single" w:color="auto" w:sz="6" w:space="0"/>
              <w:right w:val="single" w:color="auto" w:sz="6" w:space="0"/>
            </w:tcBorders>
            <w:noWrap w:val="0"/>
            <w:vAlign w:val="center"/>
          </w:tcPr>
          <w:p w14:paraId="12DD5524">
            <w:pPr>
              <w:autoSpaceDE w:val="0"/>
              <w:autoSpaceDN w:val="0"/>
              <w:adjustRightInd w:val="0"/>
              <w:jc w:val="center"/>
              <w:rPr>
                <w:rFonts w:hint="eastAsia" w:ascii="宋体" w:hAnsi="宋体" w:eastAsia="宋体" w:cs="宋体"/>
                <w:color w:val="auto"/>
                <w:sz w:val="24"/>
                <w:szCs w:val="24"/>
                <w:highlight w:val="none"/>
                <w:lang w:val="zh-CN"/>
              </w:rPr>
            </w:pPr>
          </w:p>
        </w:tc>
        <w:tc>
          <w:tcPr>
            <w:tcW w:w="905" w:type="dxa"/>
            <w:tcBorders>
              <w:top w:val="single" w:color="auto" w:sz="6" w:space="0"/>
              <w:left w:val="single" w:color="auto" w:sz="6" w:space="0"/>
              <w:bottom w:val="single" w:color="auto" w:sz="6" w:space="0"/>
              <w:right w:val="single" w:color="auto" w:sz="6" w:space="0"/>
            </w:tcBorders>
            <w:noWrap w:val="0"/>
            <w:vAlign w:val="center"/>
          </w:tcPr>
          <w:p w14:paraId="3820D01A">
            <w:pPr>
              <w:autoSpaceDE w:val="0"/>
              <w:autoSpaceDN w:val="0"/>
              <w:adjustRightInd w:val="0"/>
              <w:jc w:val="center"/>
              <w:rPr>
                <w:rFonts w:hint="eastAsia" w:ascii="宋体" w:hAnsi="宋体" w:eastAsia="宋体" w:cs="宋体"/>
                <w:color w:val="auto"/>
                <w:sz w:val="24"/>
                <w:szCs w:val="24"/>
                <w:highlight w:val="none"/>
                <w:lang w:val="zh-CN"/>
              </w:rPr>
            </w:pPr>
          </w:p>
        </w:tc>
      </w:tr>
      <w:tr w14:paraId="558CB7B0">
        <w:tblPrEx>
          <w:tblCellMar>
            <w:top w:w="0" w:type="dxa"/>
            <w:left w:w="108" w:type="dxa"/>
            <w:bottom w:w="0" w:type="dxa"/>
            <w:right w:w="108" w:type="dxa"/>
          </w:tblCellMar>
        </w:tblPrEx>
        <w:trPr>
          <w:trHeight w:val="660" w:hRule="atLeast"/>
          <w:jc w:val="center"/>
        </w:trPr>
        <w:tc>
          <w:tcPr>
            <w:tcW w:w="720" w:type="dxa"/>
            <w:tcBorders>
              <w:top w:val="single" w:color="auto" w:sz="6" w:space="0"/>
              <w:left w:val="single" w:color="auto" w:sz="6" w:space="0"/>
              <w:bottom w:val="single" w:color="auto" w:sz="6" w:space="0"/>
              <w:right w:val="single" w:color="auto" w:sz="6" w:space="0"/>
            </w:tcBorders>
            <w:noWrap w:val="0"/>
            <w:vAlign w:val="center"/>
          </w:tcPr>
          <w:p w14:paraId="6DBB73C8">
            <w:pPr>
              <w:autoSpaceDE w:val="0"/>
              <w:autoSpaceDN w:val="0"/>
              <w:adjustRightInd w:val="0"/>
              <w:jc w:val="center"/>
              <w:rPr>
                <w:rFonts w:hint="eastAsia" w:ascii="宋体" w:hAnsi="宋体" w:eastAsia="宋体" w:cs="宋体"/>
                <w:color w:val="auto"/>
                <w:sz w:val="24"/>
                <w:szCs w:val="24"/>
                <w:highlight w:val="none"/>
                <w:lang w:val="zh-CN"/>
              </w:rPr>
            </w:pPr>
          </w:p>
        </w:tc>
        <w:tc>
          <w:tcPr>
            <w:tcW w:w="1536" w:type="dxa"/>
            <w:tcBorders>
              <w:top w:val="single" w:color="auto" w:sz="6" w:space="0"/>
              <w:left w:val="single" w:color="auto" w:sz="6" w:space="0"/>
              <w:bottom w:val="single" w:color="auto" w:sz="6" w:space="0"/>
              <w:right w:val="single" w:color="auto" w:sz="6" w:space="0"/>
            </w:tcBorders>
            <w:noWrap w:val="0"/>
            <w:vAlign w:val="center"/>
          </w:tcPr>
          <w:p w14:paraId="5CE14604">
            <w:pPr>
              <w:autoSpaceDE w:val="0"/>
              <w:autoSpaceDN w:val="0"/>
              <w:adjustRightInd w:val="0"/>
              <w:jc w:val="center"/>
              <w:rPr>
                <w:rFonts w:hint="eastAsia" w:ascii="宋体" w:hAnsi="宋体" w:eastAsia="宋体" w:cs="宋体"/>
                <w:color w:val="auto"/>
                <w:sz w:val="24"/>
                <w:szCs w:val="24"/>
                <w:highlight w:val="none"/>
                <w:lang w:val="zh-CN"/>
              </w:rPr>
            </w:pPr>
          </w:p>
        </w:tc>
        <w:tc>
          <w:tcPr>
            <w:tcW w:w="748" w:type="dxa"/>
            <w:tcBorders>
              <w:top w:val="single" w:color="auto" w:sz="6" w:space="0"/>
              <w:left w:val="single" w:color="auto" w:sz="6" w:space="0"/>
              <w:bottom w:val="single" w:color="auto" w:sz="6" w:space="0"/>
              <w:right w:val="single" w:color="auto" w:sz="6" w:space="0"/>
            </w:tcBorders>
            <w:noWrap w:val="0"/>
            <w:vAlign w:val="center"/>
          </w:tcPr>
          <w:p w14:paraId="59892D4C">
            <w:pPr>
              <w:autoSpaceDE w:val="0"/>
              <w:autoSpaceDN w:val="0"/>
              <w:adjustRightInd w:val="0"/>
              <w:jc w:val="center"/>
              <w:rPr>
                <w:rFonts w:hint="eastAsia" w:ascii="宋体" w:hAnsi="宋体" w:eastAsia="宋体" w:cs="宋体"/>
                <w:color w:val="auto"/>
                <w:sz w:val="24"/>
                <w:szCs w:val="24"/>
                <w:highlight w:val="none"/>
                <w:lang w:val="zh-CN"/>
              </w:rPr>
            </w:pPr>
          </w:p>
        </w:tc>
        <w:tc>
          <w:tcPr>
            <w:tcW w:w="936" w:type="dxa"/>
            <w:tcBorders>
              <w:top w:val="single" w:color="auto" w:sz="6" w:space="0"/>
              <w:left w:val="single" w:color="auto" w:sz="6" w:space="0"/>
              <w:bottom w:val="single" w:color="auto" w:sz="6" w:space="0"/>
              <w:right w:val="single" w:color="auto" w:sz="6" w:space="0"/>
            </w:tcBorders>
            <w:noWrap w:val="0"/>
            <w:vAlign w:val="center"/>
          </w:tcPr>
          <w:p w14:paraId="5DD38682">
            <w:pPr>
              <w:autoSpaceDE w:val="0"/>
              <w:autoSpaceDN w:val="0"/>
              <w:adjustRightInd w:val="0"/>
              <w:jc w:val="center"/>
              <w:rPr>
                <w:rFonts w:hint="eastAsia" w:ascii="宋体" w:hAnsi="宋体" w:eastAsia="宋体" w:cs="宋体"/>
                <w:color w:val="auto"/>
                <w:sz w:val="24"/>
                <w:szCs w:val="24"/>
                <w:highlight w:val="none"/>
                <w:lang w:val="zh-CN"/>
              </w:rPr>
            </w:pPr>
          </w:p>
        </w:tc>
        <w:tc>
          <w:tcPr>
            <w:tcW w:w="780" w:type="dxa"/>
            <w:tcBorders>
              <w:top w:val="single" w:color="auto" w:sz="6" w:space="0"/>
              <w:left w:val="single" w:color="auto" w:sz="6" w:space="0"/>
              <w:bottom w:val="single" w:color="auto" w:sz="6" w:space="0"/>
              <w:right w:val="single" w:color="auto" w:sz="6" w:space="0"/>
            </w:tcBorders>
            <w:noWrap w:val="0"/>
            <w:vAlign w:val="center"/>
          </w:tcPr>
          <w:p w14:paraId="158FC33A">
            <w:pPr>
              <w:autoSpaceDE w:val="0"/>
              <w:autoSpaceDN w:val="0"/>
              <w:adjustRightInd w:val="0"/>
              <w:jc w:val="center"/>
              <w:rPr>
                <w:rFonts w:hint="eastAsia" w:ascii="宋体" w:hAnsi="宋体" w:eastAsia="宋体" w:cs="宋体"/>
                <w:color w:val="auto"/>
                <w:sz w:val="24"/>
                <w:szCs w:val="24"/>
                <w:highlight w:val="none"/>
                <w:lang w:val="zh-CN"/>
              </w:rPr>
            </w:pPr>
          </w:p>
        </w:tc>
        <w:tc>
          <w:tcPr>
            <w:tcW w:w="1170" w:type="dxa"/>
            <w:tcBorders>
              <w:top w:val="single" w:color="auto" w:sz="6" w:space="0"/>
              <w:left w:val="single" w:color="auto" w:sz="6" w:space="0"/>
              <w:bottom w:val="single" w:color="auto" w:sz="6" w:space="0"/>
              <w:right w:val="single" w:color="auto" w:sz="6" w:space="0"/>
            </w:tcBorders>
            <w:noWrap w:val="0"/>
            <w:vAlign w:val="center"/>
          </w:tcPr>
          <w:p w14:paraId="59EDE0E7">
            <w:pPr>
              <w:autoSpaceDE w:val="0"/>
              <w:autoSpaceDN w:val="0"/>
              <w:adjustRightInd w:val="0"/>
              <w:jc w:val="center"/>
              <w:rPr>
                <w:rFonts w:hint="eastAsia" w:ascii="宋体" w:hAnsi="宋体" w:eastAsia="宋体" w:cs="宋体"/>
                <w:color w:val="auto"/>
                <w:sz w:val="24"/>
                <w:szCs w:val="24"/>
                <w:highlight w:val="none"/>
                <w:lang w:val="zh-CN"/>
              </w:rPr>
            </w:pPr>
          </w:p>
        </w:tc>
        <w:tc>
          <w:tcPr>
            <w:tcW w:w="1170" w:type="dxa"/>
            <w:tcBorders>
              <w:top w:val="single" w:color="auto" w:sz="6" w:space="0"/>
              <w:left w:val="single" w:color="auto" w:sz="6" w:space="0"/>
              <w:bottom w:val="single" w:color="auto" w:sz="6" w:space="0"/>
              <w:right w:val="single" w:color="auto" w:sz="6" w:space="0"/>
            </w:tcBorders>
            <w:noWrap w:val="0"/>
            <w:vAlign w:val="center"/>
          </w:tcPr>
          <w:p w14:paraId="54AE7A97">
            <w:pPr>
              <w:autoSpaceDE w:val="0"/>
              <w:autoSpaceDN w:val="0"/>
              <w:adjustRightInd w:val="0"/>
              <w:jc w:val="center"/>
              <w:rPr>
                <w:rFonts w:hint="eastAsia" w:ascii="宋体" w:hAnsi="宋体" w:eastAsia="宋体" w:cs="宋体"/>
                <w:color w:val="auto"/>
                <w:sz w:val="24"/>
                <w:szCs w:val="24"/>
                <w:highlight w:val="none"/>
                <w:lang w:val="zh-CN"/>
              </w:rPr>
            </w:pPr>
          </w:p>
        </w:tc>
        <w:tc>
          <w:tcPr>
            <w:tcW w:w="1340" w:type="dxa"/>
            <w:tcBorders>
              <w:top w:val="single" w:color="auto" w:sz="6" w:space="0"/>
              <w:left w:val="single" w:color="auto" w:sz="6" w:space="0"/>
              <w:bottom w:val="single" w:color="auto" w:sz="6" w:space="0"/>
              <w:right w:val="single" w:color="auto" w:sz="6" w:space="0"/>
            </w:tcBorders>
            <w:noWrap w:val="0"/>
            <w:vAlign w:val="center"/>
          </w:tcPr>
          <w:p w14:paraId="38B343BF">
            <w:pPr>
              <w:autoSpaceDE w:val="0"/>
              <w:autoSpaceDN w:val="0"/>
              <w:adjustRightInd w:val="0"/>
              <w:jc w:val="center"/>
              <w:rPr>
                <w:rFonts w:hint="eastAsia" w:ascii="宋体" w:hAnsi="宋体" w:eastAsia="宋体" w:cs="宋体"/>
                <w:color w:val="auto"/>
                <w:sz w:val="24"/>
                <w:szCs w:val="24"/>
                <w:highlight w:val="none"/>
                <w:lang w:val="zh-CN"/>
              </w:rPr>
            </w:pPr>
          </w:p>
        </w:tc>
        <w:tc>
          <w:tcPr>
            <w:tcW w:w="905" w:type="dxa"/>
            <w:tcBorders>
              <w:top w:val="single" w:color="auto" w:sz="6" w:space="0"/>
              <w:left w:val="single" w:color="auto" w:sz="6" w:space="0"/>
              <w:bottom w:val="single" w:color="auto" w:sz="6" w:space="0"/>
              <w:right w:val="single" w:color="auto" w:sz="6" w:space="0"/>
            </w:tcBorders>
            <w:noWrap w:val="0"/>
            <w:vAlign w:val="center"/>
          </w:tcPr>
          <w:p w14:paraId="78BA3816">
            <w:pPr>
              <w:autoSpaceDE w:val="0"/>
              <w:autoSpaceDN w:val="0"/>
              <w:adjustRightInd w:val="0"/>
              <w:jc w:val="center"/>
              <w:rPr>
                <w:rFonts w:hint="eastAsia" w:ascii="宋体" w:hAnsi="宋体" w:eastAsia="宋体" w:cs="宋体"/>
                <w:color w:val="auto"/>
                <w:sz w:val="24"/>
                <w:szCs w:val="24"/>
                <w:highlight w:val="none"/>
                <w:lang w:val="zh-CN"/>
              </w:rPr>
            </w:pPr>
          </w:p>
        </w:tc>
      </w:tr>
      <w:tr w14:paraId="25FB9B9F">
        <w:tblPrEx>
          <w:tblCellMar>
            <w:top w:w="0" w:type="dxa"/>
            <w:left w:w="108" w:type="dxa"/>
            <w:bottom w:w="0" w:type="dxa"/>
            <w:right w:w="108" w:type="dxa"/>
          </w:tblCellMar>
        </w:tblPrEx>
        <w:trPr>
          <w:trHeight w:val="660" w:hRule="atLeast"/>
          <w:jc w:val="center"/>
        </w:trPr>
        <w:tc>
          <w:tcPr>
            <w:tcW w:w="720" w:type="dxa"/>
            <w:tcBorders>
              <w:top w:val="single" w:color="auto" w:sz="6" w:space="0"/>
              <w:left w:val="single" w:color="auto" w:sz="6" w:space="0"/>
              <w:bottom w:val="single" w:color="auto" w:sz="6" w:space="0"/>
              <w:right w:val="single" w:color="auto" w:sz="6" w:space="0"/>
            </w:tcBorders>
            <w:noWrap w:val="0"/>
            <w:vAlign w:val="center"/>
          </w:tcPr>
          <w:p w14:paraId="0C729F01">
            <w:pPr>
              <w:autoSpaceDE w:val="0"/>
              <w:autoSpaceDN w:val="0"/>
              <w:adjustRightInd w:val="0"/>
              <w:jc w:val="center"/>
              <w:rPr>
                <w:rFonts w:hint="eastAsia" w:ascii="宋体" w:hAnsi="宋体" w:eastAsia="宋体" w:cs="宋体"/>
                <w:color w:val="auto"/>
                <w:sz w:val="24"/>
                <w:szCs w:val="24"/>
                <w:highlight w:val="none"/>
                <w:lang w:val="zh-CN"/>
              </w:rPr>
            </w:pPr>
          </w:p>
        </w:tc>
        <w:tc>
          <w:tcPr>
            <w:tcW w:w="1536" w:type="dxa"/>
            <w:tcBorders>
              <w:top w:val="single" w:color="auto" w:sz="6" w:space="0"/>
              <w:left w:val="single" w:color="auto" w:sz="6" w:space="0"/>
              <w:bottom w:val="single" w:color="auto" w:sz="6" w:space="0"/>
              <w:right w:val="single" w:color="auto" w:sz="6" w:space="0"/>
            </w:tcBorders>
            <w:noWrap w:val="0"/>
            <w:vAlign w:val="center"/>
          </w:tcPr>
          <w:p w14:paraId="54335768">
            <w:pPr>
              <w:autoSpaceDE w:val="0"/>
              <w:autoSpaceDN w:val="0"/>
              <w:adjustRightInd w:val="0"/>
              <w:jc w:val="center"/>
              <w:rPr>
                <w:rFonts w:hint="eastAsia" w:ascii="宋体" w:hAnsi="宋体" w:eastAsia="宋体" w:cs="宋体"/>
                <w:color w:val="auto"/>
                <w:sz w:val="24"/>
                <w:szCs w:val="24"/>
                <w:highlight w:val="none"/>
                <w:lang w:val="zh-CN"/>
              </w:rPr>
            </w:pPr>
          </w:p>
        </w:tc>
        <w:tc>
          <w:tcPr>
            <w:tcW w:w="748" w:type="dxa"/>
            <w:tcBorders>
              <w:top w:val="single" w:color="auto" w:sz="6" w:space="0"/>
              <w:left w:val="single" w:color="auto" w:sz="6" w:space="0"/>
              <w:bottom w:val="single" w:color="auto" w:sz="6" w:space="0"/>
              <w:right w:val="single" w:color="auto" w:sz="6" w:space="0"/>
            </w:tcBorders>
            <w:noWrap w:val="0"/>
            <w:vAlign w:val="center"/>
          </w:tcPr>
          <w:p w14:paraId="3BABCA62">
            <w:pPr>
              <w:autoSpaceDE w:val="0"/>
              <w:autoSpaceDN w:val="0"/>
              <w:adjustRightInd w:val="0"/>
              <w:jc w:val="center"/>
              <w:rPr>
                <w:rFonts w:hint="eastAsia" w:ascii="宋体" w:hAnsi="宋体" w:eastAsia="宋体" w:cs="宋体"/>
                <w:color w:val="auto"/>
                <w:sz w:val="24"/>
                <w:szCs w:val="24"/>
                <w:highlight w:val="none"/>
                <w:lang w:val="zh-CN"/>
              </w:rPr>
            </w:pPr>
          </w:p>
        </w:tc>
        <w:tc>
          <w:tcPr>
            <w:tcW w:w="936" w:type="dxa"/>
            <w:tcBorders>
              <w:top w:val="single" w:color="auto" w:sz="6" w:space="0"/>
              <w:left w:val="single" w:color="auto" w:sz="6" w:space="0"/>
              <w:bottom w:val="single" w:color="auto" w:sz="6" w:space="0"/>
              <w:right w:val="single" w:color="auto" w:sz="6" w:space="0"/>
            </w:tcBorders>
            <w:noWrap w:val="0"/>
            <w:vAlign w:val="center"/>
          </w:tcPr>
          <w:p w14:paraId="089036AC">
            <w:pPr>
              <w:autoSpaceDE w:val="0"/>
              <w:autoSpaceDN w:val="0"/>
              <w:adjustRightInd w:val="0"/>
              <w:jc w:val="center"/>
              <w:rPr>
                <w:rFonts w:hint="eastAsia" w:ascii="宋体" w:hAnsi="宋体" w:eastAsia="宋体" w:cs="宋体"/>
                <w:color w:val="auto"/>
                <w:sz w:val="24"/>
                <w:szCs w:val="24"/>
                <w:highlight w:val="none"/>
                <w:lang w:val="zh-CN"/>
              </w:rPr>
            </w:pPr>
          </w:p>
        </w:tc>
        <w:tc>
          <w:tcPr>
            <w:tcW w:w="780" w:type="dxa"/>
            <w:tcBorders>
              <w:top w:val="single" w:color="auto" w:sz="6" w:space="0"/>
              <w:left w:val="single" w:color="auto" w:sz="6" w:space="0"/>
              <w:bottom w:val="single" w:color="auto" w:sz="6" w:space="0"/>
              <w:right w:val="single" w:color="auto" w:sz="6" w:space="0"/>
            </w:tcBorders>
            <w:noWrap w:val="0"/>
            <w:vAlign w:val="center"/>
          </w:tcPr>
          <w:p w14:paraId="7042FCAF">
            <w:pPr>
              <w:autoSpaceDE w:val="0"/>
              <w:autoSpaceDN w:val="0"/>
              <w:adjustRightInd w:val="0"/>
              <w:jc w:val="center"/>
              <w:rPr>
                <w:rFonts w:hint="eastAsia" w:ascii="宋体" w:hAnsi="宋体" w:eastAsia="宋体" w:cs="宋体"/>
                <w:color w:val="auto"/>
                <w:sz w:val="24"/>
                <w:szCs w:val="24"/>
                <w:highlight w:val="none"/>
                <w:lang w:val="zh-CN"/>
              </w:rPr>
            </w:pPr>
          </w:p>
        </w:tc>
        <w:tc>
          <w:tcPr>
            <w:tcW w:w="1170" w:type="dxa"/>
            <w:tcBorders>
              <w:top w:val="single" w:color="auto" w:sz="6" w:space="0"/>
              <w:left w:val="single" w:color="auto" w:sz="6" w:space="0"/>
              <w:bottom w:val="single" w:color="auto" w:sz="6" w:space="0"/>
              <w:right w:val="single" w:color="auto" w:sz="6" w:space="0"/>
            </w:tcBorders>
            <w:noWrap w:val="0"/>
            <w:vAlign w:val="center"/>
          </w:tcPr>
          <w:p w14:paraId="2EAEE414">
            <w:pPr>
              <w:autoSpaceDE w:val="0"/>
              <w:autoSpaceDN w:val="0"/>
              <w:adjustRightInd w:val="0"/>
              <w:jc w:val="center"/>
              <w:rPr>
                <w:rFonts w:hint="eastAsia" w:ascii="宋体" w:hAnsi="宋体" w:eastAsia="宋体" w:cs="宋体"/>
                <w:color w:val="auto"/>
                <w:sz w:val="24"/>
                <w:szCs w:val="24"/>
                <w:highlight w:val="none"/>
                <w:lang w:val="zh-CN"/>
              </w:rPr>
            </w:pPr>
          </w:p>
        </w:tc>
        <w:tc>
          <w:tcPr>
            <w:tcW w:w="1170" w:type="dxa"/>
            <w:tcBorders>
              <w:top w:val="single" w:color="auto" w:sz="6" w:space="0"/>
              <w:left w:val="single" w:color="auto" w:sz="6" w:space="0"/>
              <w:bottom w:val="single" w:color="auto" w:sz="6" w:space="0"/>
              <w:right w:val="single" w:color="auto" w:sz="6" w:space="0"/>
            </w:tcBorders>
            <w:noWrap w:val="0"/>
            <w:vAlign w:val="center"/>
          </w:tcPr>
          <w:p w14:paraId="5327D1BD">
            <w:pPr>
              <w:autoSpaceDE w:val="0"/>
              <w:autoSpaceDN w:val="0"/>
              <w:adjustRightInd w:val="0"/>
              <w:jc w:val="center"/>
              <w:rPr>
                <w:rFonts w:hint="eastAsia" w:ascii="宋体" w:hAnsi="宋体" w:eastAsia="宋体" w:cs="宋体"/>
                <w:color w:val="auto"/>
                <w:sz w:val="24"/>
                <w:szCs w:val="24"/>
                <w:highlight w:val="none"/>
                <w:lang w:val="zh-CN"/>
              </w:rPr>
            </w:pPr>
          </w:p>
        </w:tc>
        <w:tc>
          <w:tcPr>
            <w:tcW w:w="1340" w:type="dxa"/>
            <w:tcBorders>
              <w:top w:val="single" w:color="auto" w:sz="6" w:space="0"/>
              <w:left w:val="single" w:color="auto" w:sz="6" w:space="0"/>
              <w:bottom w:val="single" w:color="auto" w:sz="6" w:space="0"/>
              <w:right w:val="single" w:color="auto" w:sz="6" w:space="0"/>
            </w:tcBorders>
            <w:noWrap w:val="0"/>
            <w:vAlign w:val="center"/>
          </w:tcPr>
          <w:p w14:paraId="7B9C07FD">
            <w:pPr>
              <w:autoSpaceDE w:val="0"/>
              <w:autoSpaceDN w:val="0"/>
              <w:adjustRightInd w:val="0"/>
              <w:jc w:val="center"/>
              <w:rPr>
                <w:rFonts w:hint="eastAsia" w:ascii="宋体" w:hAnsi="宋体" w:eastAsia="宋体" w:cs="宋体"/>
                <w:color w:val="auto"/>
                <w:sz w:val="24"/>
                <w:szCs w:val="24"/>
                <w:highlight w:val="none"/>
                <w:lang w:val="zh-CN"/>
              </w:rPr>
            </w:pPr>
          </w:p>
        </w:tc>
        <w:tc>
          <w:tcPr>
            <w:tcW w:w="905" w:type="dxa"/>
            <w:tcBorders>
              <w:top w:val="single" w:color="auto" w:sz="6" w:space="0"/>
              <w:left w:val="single" w:color="auto" w:sz="6" w:space="0"/>
              <w:bottom w:val="single" w:color="auto" w:sz="6" w:space="0"/>
              <w:right w:val="single" w:color="auto" w:sz="6" w:space="0"/>
            </w:tcBorders>
            <w:noWrap w:val="0"/>
            <w:vAlign w:val="center"/>
          </w:tcPr>
          <w:p w14:paraId="21362ACD">
            <w:pPr>
              <w:autoSpaceDE w:val="0"/>
              <w:autoSpaceDN w:val="0"/>
              <w:adjustRightInd w:val="0"/>
              <w:jc w:val="center"/>
              <w:rPr>
                <w:rFonts w:hint="eastAsia" w:ascii="宋体" w:hAnsi="宋体" w:eastAsia="宋体" w:cs="宋体"/>
                <w:color w:val="auto"/>
                <w:sz w:val="24"/>
                <w:szCs w:val="24"/>
                <w:highlight w:val="none"/>
                <w:lang w:val="zh-CN"/>
              </w:rPr>
            </w:pPr>
          </w:p>
        </w:tc>
      </w:tr>
      <w:tr w14:paraId="584100E3">
        <w:tblPrEx>
          <w:tblCellMar>
            <w:top w:w="0" w:type="dxa"/>
            <w:left w:w="108" w:type="dxa"/>
            <w:bottom w:w="0" w:type="dxa"/>
            <w:right w:w="108" w:type="dxa"/>
          </w:tblCellMar>
        </w:tblPrEx>
        <w:trPr>
          <w:trHeight w:val="660" w:hRule="atLeast"/>
          <w:jc w:val="center"/>
        </w:trPr>
        <w:tc>
          <w:tcPr>
            <w:tcW w:w="720" w:type="dxa"/>
            <w:tcBorders>
              <w:top w:val="single" w:color="auto" w:sz="6" w:space="0"/>
              <w:left w:val="single" w:color="auto" w:sz="6" w:space="0"/>
              <w:bottom w:val="single" w:color="auto" w:sz="6" w:space="0"/>
              <w:right w:val="single" w:color="auto" w:sz="6" w:space="0"/>
            </w:tcBorders>
            <w:noWrap w:val="0"/>
            <w:vAlign w:val="center"/>
          </w:tcPr>
          <w:p w14:paraId="41394DC6">
            <w:pPr>
              <w:autoSpaceDE w:val="0"/>
              <w:autoSpaceDN w:val="0"/>
              <w:adjustRightInd w:val="0"/>
              <w:jc w:val="center"/>
              <w:rPr>
                <w:rFonts w:hint="eastAsia" w:ascii="宋体" w:hAnsi="宋体" w:eastAsia="宋体" w:cs="宋体"/>
                <w:color w:val="auto"/>
                <w:sz w:val="24"/>
                <w:szCs w:val="24"/>
                <w:highlight w:val="none"/>
                <w:lang w:val="zh-CN"/>
              </w:rPr>
            </w:pPr>
          </w:p>
        </w:tc>
        <w:tc>
          <w:tcPr>
            <w:tcW w:w="1536" w:type="dxa"/>
            <w:tcBorders>
              <w:top w:val="single" w:color="auto" w:sz="6" w:space="0"/>
              <w:left w:val="single" w:color="auto" w:sz="6" w:space="0"/>
              <w:bottom w:val="single" w:color="auto" w:sz="6" w:space="0"/>
              <w:right w:val="single" w:color="auto" w:sz="6" w:space="0"/>
            </w:tcBorders>
            <w:noWrap w:val="0"/>
            <w:vAlign w:val="center"/>
          </w:tcPr>
          <w:p w14:paraId="41A118B8">
            <w:pPr>
              <w:autoSpaceDE w:val="0"/>
              <w:autoSpaceDN w:val="0"/>
              <w:adjustRightInd w:val="0"/>
              <w:jc w:val="center"/>
              <w:rPr>
                <w:rFonts w:hint="eastAsia" w:ascii="宋体" w:hAnsi="宋体" w:eastAsia="宋体" w:cs="宋体"/>
                <w:color w:val="auto"/>
                <w:sz w:val="24"/>
                <w:szCs w:val="24"/>
                <w:highlight w:val="none"/>
                <w:lang w:val="zh-CN"/>
              </w:rPr>
            </w:pPr>
          </w:p>
        </w:tc>
        <w:tc>
          <w:tcPr>
            <w:tcW w:w="748" w:type="dxa"/>
            <w:tcBorders>
              <w:top w:val="single" w:color="auto" w:sz="6" w:space="0"/>
              <w:left w:val="single" w:color="auto" w:sz="6" w:space="0"/>
              <w:bottom w:val="single" w:color="auto" w:sz="6" w:space="0"/>
              <w:right w:val="single" w:color="auto" w:sz="6" w:space="0"/>
            </w:tcBorders>
            <w:noWrap w:val="0"/>
            <w:vAlign w:val="center"/>
          </w:tcPr>
          <w:p w14:paraId="1EC6405A">
            <w:pPr>
              <w:autoSpaceDE w:val="0"/>
              <w:autoSpaceDN w:val="0"/>
              <w:adjustRightInd w:val="0"/>
              <w:jc w:val="center"/>
              <w:rPr>
                <w:rFonts w:hint="eastAsia" w:ascii="宋体" w:hAnsi="宋体" w:eastAsia="宋体" w:cs="宋体"/>
                <w:color w:val="auto"/>
                <w:sz w:val="24"/>
                <w:szCs w:val="24"/>
                <w:highlight w:val="none"/>
                <w:lang w:val="zh-CN"/>
              </w:rPr>
            </w:pPr>
          </w:p>
        </w:tc>
        <w:tc>
          <w:tcPr>
            <w:tcW w:w="936" w:type="dxa"/>
            <w:tcBorders>
              <w:top w:val="single" w:color="auto" w:sz="6" w:space="0"/>
              <w:left w:val="single" w:color="auto" w:sz="6" w:space="0"/>
              <w:bottom w:val="single" w:color="auto" w:sz="6" w:space="0"/>
              <w:right w:val="single" w:color="auto" w:sz="6" w:space="0"/>
            </w:tcBorders>
            <w:noWrap w:val="0"/>
            <w:vAlign w:val="center"/>
          </w:tcPr>
          <w:p w14:paraId="2DFFDF7D">
            <w:pPr>
              <w:autoSpaceDE w:val="0"/>
              <w:autoSpaceDN w:val="0"/>
              <w:adjustRightInd w:val="0"/>
              <w:jc w:val="center"/>
              <w:rPr>
                <w:rFonts w:hint="eastAsia" w:ascii="宋体" w:hAnsi="宋体" w:eastAsia="宋体" w:cs="宋体"/>
                <w:color w:val="auto"/>
                <w:sz w:val="24"/>
                <w:szCs w:val="24"/>
                <w:highlight w:val="none"/>
                <w:lang w:val="zh-CN"/>
              </w:rPr>
            </w:pPr>
          </w:p>
        </w:tc>
        <w:tc>
          <w:tcPr>
            <w:tcW w:w="780" w:type="dxa"/>
            <w:tcBorders>
              <w:top w:val="single" w:color="auto" w:sz="6" w:space="0"/>
              <w:left w:val="single" w:color="auto" w:sz="6" w:space="0"/>
              <w:bottom w:val="single" w:color="auto" w:sz="6" w:space="0"/>
              <w:right w:val="single" w:color="auto" w:sz="6" w:space="0"/>
            </w:tcBorders>
            <w:noWrap w:val="0"/>
            <w:vAlign w:val="center"/>
          </w:tcPr>
          <w:p w14:paraId="0D83D78C">
            <w:pPr>
              <w:autoSpaceDE w:val="0"/>
              <w:autoSpaceDN w:val="0"/>
              <w:adjustRightInd w:val="0"/>
              <w:jc w:val="center"/>
              <w:rPr>
                <w:rFonts w:hint="eastAsia" w:ascii="宋体" w:hAnsi="宋体" w:eastAsia="宋体" w:cs="宋体"/>
                <w:color w:val="auto"/>
                <w:sz w:val="24"/>
                <w:szCs w:val="24"/>
                <w:highlight w:val="none"/>
                <w:lang w:val="zh-CN"/>
              </w:rPr>
            </w:pPr>
          </w:p>
        </w:tc>
        <w:tc>
          <w:tcPr>
            <w:tcW w:w="1170" w:type="dxa"/>
            <w:tcBorders>
              <w:top w:val="single" w:color="auto" w:sz="6" w:space="0"/>
              <w:left w:val="single" w:color="auto" w:sz="6" w:space="0"/>
              <w:bottom w:val="single" w:color="auto" w:sz="6" w:space="0"/>
              <w:right w:val="single" w:color="auto" w:sz="6" w:space="0"/>
            </w:tcBorders>
            <w:noWrap w:val="0"/>
            <w:vAlign w:val="center"/>
          </w:tcPr>
          <w:p w14:paraId="10A38EF2">
            <w:pPr>
              <w:autoSpaceDE w:val="0"/>
              <w:autoSpaceDN w:val="0"/>
              <w:adjustRightInd w:val="0"/>
              <w:jc w:val="center"/>
              <w:rPr>
                <w:rFonts w:hint="eastAsia" w:ascii="宋体" w:hAnsi="宋体" w:eastAsia="宋体" w:cs="宋体"/>
                <w:color w:val="auto"/>
                <w:sz w:val="24"/>
                <w:szCs w:val="24"/>
                <w:highlight w:val="none"/>
                <w:lang w:val="zh-CN"/>
              </w:rPr>
            </w:pPr>
          </w:p>
        </w:tc>
        <w:tc>
          <w:tcPr>
            <w:tcW w:w="1170" w:type="dxa"/>
            <w:tcBorders>
              <w:top w:val="single" w:color="auto" w:sz="6" w:space="0"/>
              <w:left w:val="single" w:color="auto" w:sz="6" w:space="0"/>
              <w:bottom w:val="single" w:color="auto" w:sz="6" w:space="0"/>
              <w:right w:val="single" w:color="auto" w:sz="6" w:space="0"/>
            </w:tcBorders>
            <w:noWrap w:val="0"/>
            <w:vAlign w:val="center"/>
          </w:tcPr>
          <w:p w14:paraId="4DFB34F8">
            <w:pPr>
              <w:autoSpaceDE w:val="0"/>
              <w:autoSpaceDN w:val="0"/>
              <w:adjustRightInd w:val="0"/>
              <w:jc w:val="center"/>
              <w:rPr>
                <w:rFonts w:hint="eastAsia" w:ascii="宋体" w:hAnsi="宋体" w:eastAsia="宋体" w:cs="宋体"/>
                <w:color w:val="auto"/>
                <w:sz w:val="24"/>
                <w:szCs w:val="24"/>
                <w:highlight w:val="none"/>
                <w:lang w:val="zh-CN"/>
              </w:rPr>
            </w:pPr>
          </w:p>
        </w:tc>
        <w:tc>
          <w:tcPr>
            <w:tcW w:w="1340" w:type="dxa"/>
            <w:tcBorders>
              <w:top w:val="single" w:color="auto" w:sz="6" w:space="0"/>
              <w:left w:val="single" w:color="auto" w:sz="6" w:space="0"/>
              <w:bottom w:val="single" w:color="auto" w:sz="6" w:space="0"/>
              <w:right w:val="single" w:color="auto" w:sz="6" w:space="0"/>
            </w:tcBorders>
            <w:noWrap w:val="0"/>
            <w:vAlign w:val="center"/>
          </w:tcPr>
          <w:p w14:paraId="71067823">
            <w:pPr>
              <w:autoSpaceDE w:val="0"/>
              <w:autoSpaceDN w:val="0"/>
              <w:adjustRightInd w:val="0"/>
              <w:jc w:val="center"/>
              <w:rPr>
                <w:rFonts w:hint="eastAsia" w:ascii="宋体" w:hAnsi="宋体" w:eastAsia="宋体" w:cs="宋体"/>
                <w:color w:val="auto"/>
                <w:sz w:val="24"/>
                <w:szCs w:val="24"/>
                <w:highlight w:val="none"/>
                <w:lang w:val="zh-CN"/>
              </w:rPr>
            </w:pPr>
          </w:p>
        </w:tc>
        <w:tc>
          <w:tcPr>
            <w:tcW w:w="905" w:type="dxa"/>
            <w:tcBorders>
              <w:top w:val="single" w:color="auto" w:sz="6" w:space="0"/>
              <w:left w:val="single" w:color="auto" w:sz="6" w:space="0"/>
              <w:bottom w:val="single" w:color="auto" w:sz="6" w:space="0"/>
              <w:right w:val="single" w:color="auto" w:sz="6" w:space="0"/>
            </w:tcBorders>
            <w:noWrap w:val="0"/>
            <w:vAlign w:val="center"/>
          </w:tcPr>
          <w:p w14:paraId="0292A146">
            <w:pPr>
              <w:autoSpaceDE w:val="0"/>
              <w:autoSpaceDN w:val="0"/>
              <w:adjustRightInd w:val="0"/>
              <w:jc w:val="center"/>
              <w:rPr>
                <w:rFonts w:hint="eastAsia" w:ascii="宋体" w:hAnsi="宋体" w:eastAsia="宋体" w:cs="宋体"/>
                <w:color w:val="auto"/>
                <w:sz w:val="24"/>
                <w:szCs w:val="24"/>
                <w:highlight w:val="none"/>
                <w:lang w:val="zh-CN"/>
              </w:rPr>
            </w:pPr>
          </w:p>
        </w:tc>
      </w:tr>
      <w:tr w14:paraId="4C4ED46C">
        <w:tblPrEx>
          <w:tblCellMar>
            <w:top w:w="0" w:type="dxa"/>
            <w:left w:w="108" w:type="dxa"/>
            <w:bottom w:w="0" w:type="dxa"/>
            <w:right w:w="108" w:type="dxa"/>
          </w:tblCellMar>
        </w:tblPrEx>
        <w:trPr>
          <w:trHeight w:val="660" w:hRule="atLeast"/>
          <w:jc w:val="center"/>
        </w:trPr>
        <w:tc>
          <w:tcPr>
            <w:tcW w:w="720" w:type="dxa"/>
            <w:tcBorders>
              <w:top w:val="single" w:color="auto" w:sz="6" w:space="0"/>
              <w:left w:val="single" w:color="auto" w:sz="6" w:space="0"/>
              <w:bottom w:val="single" w:color="auto" w:sz="6" w:space="0"/>
              <w:right w:val="single" w:color="auto" w:sz="6" w:space="0"/>
            </w:tcBorders>
            <w:noWrap w:val="0"/>
            <w:vAlign w:val="center"/>
          </w:tcPr>
          <w:p w14:paraId="7EE3C78B">
            <w:pPr>
              <w:autoSpaceDE w:val="0"/>
              <w:autoSpaceDN w:val="0"/>
              <w:adjustRightInd w:val="0"/>
              <w:jc w:val="center"/>
              <w:rPr>
                <w:rFonts w:hint="eastAsia" w:ascii="宋体" w:hAnsi="宋体" w:eastAsia="宋体" w:cs="宋体"/>
                <w:color w:val="auto"/>
                <w:sz w:val="24"/>
                <w:szCs w:val="24"/>
                <w:highlight w:val="none"/>
                <w:lang w:val="zh-CN"/>
              </w:rPr>
            </w:pPr>
          </w:p>
        </w:tc>
        <w:tc>
          <w:tcPr>
            <w:tcW w:w="1536" w:type="dxa"/>
            <w:tcBorders>
              <w:top w:val="single" w:color="auto" w:sz="6" w:space="0"/>
              <w:left w:val="single" w:color="auto" w:sz="6" w:space="0"/>
              <w:bottom w:val="single" w:color="auto" w:sz="6" w:space="0"/>
              <w:right w:val="single" w:color="auto" w:sz="6" w:space="0"/>
            </w:tcBorders>
            <w:noWrap w:val="0"/>
            <w:vAlign w:val="center"/>
          </w:tcPr>
          <w:p w14:paraId="0125883B">
            <w:pPr>
              <w:autoSpaceDE w:val="0"/>
              <w:autoSpaceDN w:val="0"/>
              <w:adjustRightInd w:val="0"/>
              <w:jc w:val="center"/>
              <w:rPr>
                <w:rFonts w:hint="eastAsia" w:ascii="宋体" w:hAnsi="宋体" w:eastAsia="宋体" w:cs="宋体"/>
                <w:color w:val="auto"/>
                <w:sz w:val="24"/>
                <w:szCs w:val="24"/>
                <w:highlight w:val="none"/>
                <w:lang w:val="zh-CN"/>
              </w:rPr>
            </w:pPr>
          </w:p>
        </w:tc>
        <w:tc>
          <w:tcPr>
            <w:tcW w:w="748" w:type="dxa"/>
            <w:tcBorders>
              <w:top w:val="single" w:color="auto" w:sz="6" w:space="0"/>
              <w:left w:val="single" w:color="auto" w:sz="6" w:space="0"/>
              <w:bottom w:val="single" w:color="auto" w:sz="6" w:space="0"/>
              <w:right w:val="single" w:color="auto" w:sz="6" w:space="0"/>
            </w:tcBorders>
            <w:noWrap w:val="0"/>
            <w:vAlign w:val="center"/>
          </w:tcPr>
          <w:p w14:paraId="6C230805">
            <w:pPr>
              <w:autoSpaceDE w:val="0"/>
              <w:autoSpaceDN w:val="0"/>
              <w:adjustRightInd w:val="0"/>
              <w:jc w:val="center"/>
              <w:rPr>
                <w:rFonts w:hint="eastAsia" w:ascii="宋体" w:hAnsi="宋体" w:eastAsia="宋体" w:cs="宋体"/>
                <w:color w:val="auto"/>
                <w:sz w:val="24"/>
                <w:szCs w:val="24"/>
                <w:highlight w:val="none"/>
                <w:lang w:val="zh-CN"/>
              </w:rPr>
            </w:pPr>
          </w:p>
        </w:tc>
        <w:tc>
          <w:tcPr>
            <w:tcW w:w="936" w:type="dxa"/>
            <w:tcBorders>
              <w:top w:val="single" w:color="auto" w:sz="6" w:space="0"/>
              <w:left w:val="single" w:color="auto" w:sz="6" w:space="0"/>
              <w:bottom w:val="single" w:color="auto" w:sz="6" w:space="0"/>
              <w:right w:val="single" w:color="auto" w:sz="6" w:space="0"/>
            </w:tcBorders>
            <w:noWrap w:val="0"/>
            <w:vAlign w:val="center"/>
          </w:tcPr>
          <w:p w14:paraId="3AF15AED">
            <w:pPr>
              <w:autoSpaceDE w:val="0"/>
              <w:autoSpaceDN w:val="0"/>
              <w:adjustRightInd w:val="0"/>
              <w:jc w:val="center"/>
              <w:rPr>
                <w:rFonts w:hint="eastAsia" w:ascii="宋体" w:hAnsi="宋体" w:eastAsia="宋体" w:cs="宋体"/>
                <w:color w:val="auto"/>
                <w:sz w:val="24"/>
                <w:szCs w:val="24"/>
                <w:highlight w:val="none"/>
                <w:lang w:val="zh-CN"/>
              </w:rPr>
            </w:pPr>
          </w:p>
        </w:tc>
        <w:tc>
          <w:tcPr>
            <w:tcW w:w="780" w:type="dxa"/>
            <w:tcBorders>
              <w:top w:val="single" w:color="auto" w:sz="6" w:space="0"/>
              <w:left w:val="single" w:color="auto" w:sz="6" w:space="0"/>
              <w:bottom w:val="single" w:color="auto" w:sz="6" w:space="0"/>
              <w:right w:val="single" w:color="auto" w:sz="6" w:space="0"/>
            </w:tcBorders>
            <w:noWrap w:val="0"/>
            <w:vAlign w:val="center"/>
          </w:tcPr>
          <w:p w14:paraId="7DB97D05">
            <w:pPr>
              <w:autoSpaceDE w:val="0"/>
              <w:autoSpaceDN w:val="0"/>
              <w:adjustRightInd w:val="0"/>
              <w:jc w:val="center"/>
              <w:rPr>
                <w:rFonts w:hint="eastAsia" w:ascii="宋体" w:hAnsi="宋体" w:eastAsia="宋体" w:cs="宋体"/>
                <w:color w:val="auto"/>
                <w:sz w:val="24"/>
                <w:szCs w:val="24"/>
                <w:highlight w:val="none"/>
                <w:lang w:val="zh-CN"/>
              </w:rPr>
            </w:pPr>
          </w:p>
        </w:tc>
        <w:tc>
          <w:tcPr>
            <w:tcW w:w="1170" w:type="dxa"/>
            <w:tcBorders>
              <w:top w:val="single" w:color="auto" w:sz="6" w:space="0"/>
              <w:left w:val="single" w:color="auto" w:sz="6" w:space="0"/>
              <w:bottom w:val="single" w:color="auto" w:sz="6" w:space="0"/>
              <w:right w:val="single" w:color="auto" w:sz="6" w:space="0"/>
            </w:tcBorders>
            <w:noWrap w:val="0"/>
            <w:vAlign w:val="center"/>
          </w:tcPr>
          <w:p w14:paraId="16594770">
            <w:pPr>
              <w:autoSpaceDE w:val="0"/>
              <w:autoSpaceDN w:val="0"/>
              <w:adjustRightInd w:val="0"/>
              <w:jc w:val="center"/>
              <w:rPr>
                <w:rFonts w:hint="eastAsia" w:ascii="宋体" w:hAnsi="宋体" w:eastAsia="宋体" w:cs="宋体"/>
                <w:color w:val="auto"/>
                <w:sz w:val="24"/>
                <w:szCs w:val="24"/>
                <w:highlight w:val="none"/>
                <w:lang w:val="zh-CN"/>
              </w:rPr>
            </w:pPr>
          </w:p>
        </w:tc>
        <w:tc>
          <w:tcPr>
            <w:tcW w:w="1170" w:type="dxa"/>
            <w:tcBorders>
              <w:top w:val="single" w:color="auto" w:sz="6" w:space="0"/>
              <w:left w:val="single" w:color="auto" w:sz="6" w:space="0"/>
              <w:bottom w:val="single" w:color="auto" w:sz="6" w:space="0"/>
              <w:right w:val="single" w:color="auto" w:sz="6" w:space="0"/>
            </w:tcBorders>
            <w:noWrap w:val="0"/>
            <w:vAlign w:val="center"/>
          </w:tcPr>
          <w:p w14:paraId="0B1F79DC">
            <w:pPr>
              <w:autoSpaceDE w:val="0"/>
              <w:autoSpaceDN w:val="0"/>
              <w:adjustRightInd w:val="0"/>
              <w:jc w:val="center"/>
              <w:rPr>
                <w:rFonts w:hint="eastAsia" w:ascii="宋体" w:hAnsi="宋体" w:eastAsia="宋体" w:cs="宋体"/>
                <w:color w:val="auto"/>
                <w:sz w:val="24"/>
                <w:szCs w:val="24"/>
                <w:highlight w:val="none"/>
                <w:lang w:val="zh-CN"/>
              </w:rPr>
            </w:pPr>
          </w:p>
        </w:tc>
        <w:tc>
          <w:tcPr>
            <w:tcW w:w="1340" w:type="dxa"/>
            <w:tcBorders>
              <w:top w:val="single" w:color="auto" w:sz="6" w:space="0"/>
              <w:left w:val="single" w:color="auto" w:sz="6" w:space="0"/>
              <w:bottom w:val="single" w:color="auto" w:sz="6" w:space="0"/>
              <w:right w:val="single" w:color="auto" w:sz="6" w:space="0"/>
            </w:tcBorders>
            <w:noWrap w:val="0"/>
            <w:vAlign w:val="center"/>
          </w:tcPr>
          <w:p w14:paraId="373F1328">
            <w:pPr>
              <w:autoSpaceDE w:val="0"/>
              <w:autoSpaceDN w:val="0"/>
              <w:adjustRightInd w:val="0"/>
              <w:jc w:val="center"/>
              <w:rPr>
                <w:rFonts w:hint="eastAsia" w:ascii="宋体" w:hAnsi="宋体" w:eastAsia="宋体" w:cs="宋体"/>
                <w:color w:val="auto"/>
                <w:sz w:val="24"/>
                <w:szCs w:val="24"/>
                <w:highlight w:val="none"/>
                <w:lang w:val="zh-CN"/>
              </w:rPr>
            </w:pPr>
          </w:p>
        </w:tc>
        <w:tc>
          <w:tcPr>
            <w:tcW w:w="905" w:type="dxa"/>
            <w:tcBorders>
              <w:top w:val="single" w:color="auto" w:sz="6" w:space="0"/>
              <w:left w:val="single" w:color="auto" w:sz="6" w:space="0"/>
              <w:bottom w:val="single" w:color="auto" w:sz="6" w:space="0"/>
              <w:right w:val="single" w:color="auto" w:sz="6" w:space="0"/>
            </w:tcBorders>
            <w:noWrap w:val="0"/>
            <w:vAlign w:val="center"/>
          </w:tcPr>
          <w:p w14:paraId="714BAE6A">
            <w:pPr>
              <w:autoSpaceDE w:val="0"/>
              <w:autoSpaceDN w:val="0"/>
              <w:adjustRightInd w:val="0"/>
              <w:jc w:val="center"/>
              <w:rPr>
                <w:rFonts w:hint="eastAsia" w:ascii="宋体" w:hAnsi="宋体" w:eastAsia="宋体" w:cs="宋体"/>
                <w:color w:val="auto"/>
                <w:sz w:val="24"/>
                <w:szCs w:val="24"/>
                <w:highlight w:val="none"/>
                <w:lang w:val="zh-CN"/>
              </w:rPr>
            </w:pPr>
          </w:p>
        </w:tc>
      </w:tr>
      <w:tr w14:paraId="1BC24947">
        <w:tblPrEx>
          <w:tblCellMar>
            <w:top w:w="0" w:type="dxa"/>
            <w:left w:w="108" w:type="dxa"/>
            <w:bottom w:w="0" w:type="dxa"/>
            <w:right w:w="108" w:type="dxa"/>
          </w:tblCellMar>
        </w:tblPrEx>
        <w:trPr>
          <w:trHeight w:val="660" w:hRule="atLeast"/>
          <w:jc w:val="center"/>
        </w:trPr>
        <w:tc>
          <w:tcPr>
            <w:tcW w:w="720" w:type="dxa"/>
            <w:tcBorders>
              <w:top w:val="single" w:color="auto" w:sz="6" w:space="0"/>
              <w:left w:val="single" w:color="auto" w:sz="6" w:space="0"/>
              <w:bottom w:val="single" w:color="auto" w:sz="6" w:space="0"/>
              <w:right w:val="single" w:color="auto" w:sz="6" w:space="0"/>
            </w:tcBorders>
            <w:noWrap w:val="0"/>
            <w:vAlign w:val="center"/>
          </w:tcPr>
          <w:p w14:paraId="522D37B6">
            <w:pPr>
              <w:autoSpaceDE w:val="0"/>
              <w:autoSpaceDN w:val="0"/>
              <w:adjustRightInd w:val="0"/>
              <w:jc w:val="center"/>
              <w:rPr>
                <w:rFonts w:hint="eastAsia" w:ascii="宋体" w:hAnsi="宋体" w:eastAsia="宋体" w:cs="宋体"/>
                <w:color w:val="auto"/>
                <w:sz w:val="24"/>
                <w:szCs w:val="24"/>
                <w:highlight w:val="none"/>
                <w:lang w:val="zh-CN"/>
              </w:rPr>
            </w:pPr>
          </w:p>
        </w:tc>
        <w:tc>
          <w:tcPr>
            <w:tcW w:w="1536" w:type="dxa"/>
            <w:tcBorders>
              <w:top w:val="single" w:color="auto" w:sz="6" w:space="0"/>
              <w:left w:val="single" w:color="auto" w:sz="6" w:space="0"/>
              <w:bottom w:val="single" w:color="auto" w:sz="6" w:space="0"/>
              <w:right w:val="single" w:color="auto" w:sz="6" w:space="0"/>
            </w:tcBorders>
            <w:noWrap w:val="0"/>
            <w:vAlign w:val="center"/>
          </w:tcPr>
          <w:p w14:paraId="489312F4">
            <w:pPr>
              <w:autoSpaceDE w:val="0"/>
              <w:autoSpaceDN w:val="0"/>
              <w:adjustRightInd w:val="0"/>
              <w:jc w:val="center"/>
              <w:rPr>
                <w:rFonts w:hint="eastAsia" w:ascii="宋体" w:hAnsi="宋体" w:eastAsia="宋体" w:cs="宋体"/>
                <w:color w:val="auto"/>
                <w:sz w:val="24"/>
                <w:szCs w:val="24"/>
                <w:highlight w:val="none"/>
                <w:lang w:val="zh-CN"/>
              </w:rPr>
            </w:pPr>
          </w:p>
        </w:tc>
        <w:tc>
          <w:tcPr>
            <w:tcW w:w="748" w:type="dxa"/>
            <w:tcBorders>
              <w:top w:val="single" w:color="auto" w:sz="6" w:space="0"/>
              <w:left w:val="single" w:color="auto" w:sz="6" w:space="0"/>
              <w:bottom w:val="single" w:color="auto" w:sz="6" w:space="0"/>
              <w:right w:val="single" w:color="auto" w:sz="6" w:space="0"/>
            </w:tcBorders>
            <w:noWrap w:val="0"/>
            <w:vAlign w:val="center"/>
          </w:tcPr>
          <w:p w14:paraId="220B8BBE">
            <w:pPr>
              <w:autoSpaceDE w:val="0"/>
              <w:autoSpaceDN w:val="0"/>
              <w:adjustRightInd w:val="0"/>
              <w:jc w:val="center"/>
              <w:rPr>
                <w:rFonts w:hint="eastAsia" w:ascii="宋体" w:hAnsi="宋体" w:eastAsia="宋体" w:cs="宋体"/>
                <w:color w:val="auto"/>
                <w:sz w:val="24"/>
                <w:szCs w:val="24"/>
                <w:highlight w:val="none"/>
                <w:lang w:val="zh-CN"/>
              </w:rPr>
            </w:pPr>
          </w:p>
        </w:tc>
        <w:tc>
          <w:tcPr>
            <w:tcW w:w="936" w:type="dxa"/>
            <w:tcBorders>
              <w:top w:val="single" w:color="auto" w:sz="6" w:space="0"/>
              <w:left w:val="single" w:color="auto" w:sz="6" w:space="0"/>
              <w:bottom w:val="single" w:color="auto" w:sz="6" w:space="0"/>
              <w:right w:val="single" w:color="auto" w:sz="6" w:space="0"/>
            </w:tcBorders>
            <w:noWrap w:val="0"/>
            <w:vAlign w:val="center"/>
          </w:tcPr>
          <w:p w14:paraId="2D7EA0F6">
            <w:pPr>
              <w:autoSpaceDE w:val="0"/>
              <w:autoSpaceDN w:val="0"/>
              <w:adjustRightInd w:val="0"/>
              <w:jc w:val="center"/>
              <w:rPr>
                <w:rFonts w:hint="eastAsia" w:ascii="宋体" w:hAnsi="宋体" w:eastAsia="宋体" w:cs="宋体"/>
                <w:color w:val="auto"/>
                <w:sz w:val="24"/>
                <w:szCs w:val="24"/>
                <w:highlight w:val="none"/>
                <w:lang w:val="zh-CN"/>
              </w:rPr>
            </w:pPr>
          </w:p>
        </w:tc>
        <w:tc>
          <w:tcPr>
            <w:tcW w:w="780" w:type="dxa"/>
            <w:tcBorders>
              <w:top w:val="single" w:color="auto" w:sz="6" w:space="0"/>
              <w:left w:val="single" w:color="auto" w:sz="6" w:space="0"/>
              <w:bottom w:val="single" w:color="auto" w:sz="6" w:space="0"/>
              <w:right w:val="single" w:color="auto" w:sz="6" w:space="0"/>
            </w:tcBorders>
            <w:noWrap w:val="0"/>
            <w:vAlign w:val="center"/>
          </w:tcPr>
          <w:p w14:paraId="0ABAA07B">
            <w:pPr>
              <w:autoSpaceDE w:val="0"/>
              <w:autoSpaceDN w:val="0"/>
              <w:adjustRightInd w:val="0"/>
              <w:jc w:val="center"/>
              <w:rPr>
                <w:rFonts w:hint="eastAsia" w:ascii="宋体" w:hAnsi="宋体" w:eastAsia="宋体" w:cs="宋体"/>
                <w:color w:val="auto"/>
                <w:sz w:val="24"/>
                <w:szCs w:val="24"/>
                <w:highlight w:val="none"/>
                <w:lang w:val="zh-CN"/>
              </w:rPr>
            </w:pPr>
          </w:p>
        </w:tc>
        <w:tc>
          <w:tcPr>
            <w:tcW w:w="1170" w:type="dxa"/>
            <w:tcBorders>
              <w:top w:val="single" w:color="auto" w:sz="6" w:space="0"/>
              <w:left w:val="single" w:color="auto" w:sz="6" w:space="0"/>
              <w:bottom w:val="single" w:color="auto" w:sz="6" w:space="0"/>
              <w:right w:val="single" w:color="auto" w:sz="6" w:space="0"/>
            </w:tcBorders>
            <w:noWrap w:val="0"/>
            <w:vAlign w:val="center"/>
          </w:tcPr>
          <w:p w14:paraId="1691D8C2">
            <w:pPr>
              <w:autoSpaceDE w:val="0"/>
              <w:autoSpaceDN w:val="0"/>
              <w:adjustRightInd w:val="0"/>
              <w:jc w:val="center"/>
              <w:rPr>
                <w:rFonts w:hint="eastAsia" w:ascii="宋体" w:hAnsi="宋体" w:eastAsia="宋体" w:cs="宋体"/>
                <w:color w:val="auto"/>
                <w:sz w:val="24"/>
                <w:szCs w:val="24"/>
                <w:highlight w:val="none"/>
                <w:lang w:val="zh-CN"/>
              </w:rPr>
            </w:pPr>
          </w:p>
        </w:tc>
        <w:tc>
          <w:tcPr>
            <w:tcW w:w="1170" w:type="dxa"/>
            <w:tcBorders>
              <w:top w:val="single" w:color="auto" w:sz="6" w:space="0"/>
              <w:left w:val="single" w:color="auto" w:sz="6" w:space="0"/>
              <w:bottom w:val="single" w:color="auto" w:sz="6" w:space="0"/>
              <w:right w:val="single" w:color="auto" w:sz="6" w:space="0"/>
            </w:tcBorders>
            <w:noWrap w:val="0"/>
            <w:vAlign w:val="center"/>
          </w:tcPr>
          <w:p w14:paraId="0A95FCF0">
            <w:pPr>
              <w:autoSpaceDE w:val="0"/>
              <w:autoSpaceDN w:val="0"/>
              <w:adjustRightInd w:val="0"/>
              <w:jc w:val="center"/>
              <w:rPr>
                <w:rFonts w:hint="eastAsia" w:ascii="宋体" w:hAnsi="宋体" w:eastAsia="宋体" w:cs="宋体"/>
                <w:color w:val="auto"/>
                <w:sz w:val="24"/>
                <w:szCs w:val="24"/>
                <w:highlight w:val="none"/>
                <w:lang w:val="zh-CN"/>
              </w:rPr>
            </w:pPr>
          </w:p>
        </w:tc>
        <w:tc>
          <w:tcPr>
            <w:tcW w:w="1340" w:type="dxa"/>
            <w:tcBorders>
              <w:top w:val="single" w:color="auto" w:sz="6" w:space="0"/>
              <w:left w:val="single" w:color="auto" w:sz="6" w:space="0"/>
              <w:bottom w:val="single" w:color="auto" w:sz="6" w:space="0"/>
              <w:right w:val="single" w:color="auto" w:sz="6" w:space="0"/>
            </w:tcBorders>
            <w:noWrap w:val="0"/>
            <w:vAlign w:val="center"/>
          </w:tcPr>
          <w:p w14:paraId="567CD246">
            <w:pPr>
              <w:autoSpaceDE w:val="0"/>
              <w:autoSpaceDN w:val="0"/>
              <w:adjustRightInd w:val="0"/>
              <w:jc w:val="center"/>
              <w:rPr>
                <w:rFonts w:hint="eastAsia" w:ascii="宋体" w:hAnsi="宋体" w:eastAsia="宋体" w:cs="宋体"/>
                <w:color w:val="auto"/>
                <w:sz w:val="24"/>
                <w:szCs w:val="24"/>
                <w:highlight w:val="none"/>
                <w:lang w:val="zh-CN"/>
              </w:rPr>
            </w:pPr>
          </w:p>
        </w:tc>
        <w:tc>
          <w:tcPr>
            <w:tcW w:w="905" w:type="dxa"/>
            <w:tcBorders>
              <w:top w:val="single" w:color="auto" w:sz="6" w:space="0"/>
              <w:left w:val="single" w:color="auto" w:sz="6" w:space="0"/>
              <w:bottom w:val="single" w:color="auto" w:sz="6" w:space="0"/>
              <w:right w:val="single" w:color="auto" w:sz="6" w:space="0"/>
            </w:tcBorders>
            <w:noWrap w:val="0"/>
            <w:vAlign w:val="center"/>
          </w:tcPr>
          <w:p w14:paraId="51EB4989">
            <w:pPr>
              <w:autoSpaceDE w:val="0"/>
              <w:autoSpaceDN w:val="0"/>
              <w:adjustRightInd w:val="0"/>
              <w:jc w:val="center"/>
              <w:rPr>
                <w:rFonts w:hint="eastAsia" w:ascii="宋体" w:hAnsi="宋体" w:eastAsia="宋体" w:cs="宋体"/>
                <w:color w:val="auto"/>
                <w:sz w:val="24"/>
                <w:szCs w:val="24"/>
                <w:highlight w:val="none"/>
                <w:lang w:val="zh-CN"/>
              </w:rPr>
            </w:pPr>
          </w:p>
        </w:tc>
      </w:tr>
      <w:tr w14:paraId="56D5C7BF">
        <w:tblPrEx>
          <w:tblCellMar>
            <w:top w:w="0" w:type="dxa"/>
            <w:left w:w="108" w:type="dxa"/>
            <w:bottom w:w="0" w:type="dxa"/>
            <w:right w:w="108" w:type="dxa"/>
          </w:tblCellMar>
        </w:tblPrEx>
        <w:trPr>
          <w:trHeight w:val="660" w:hRule="atLeast"/>
          <w:jc w:val="center"/>
        </w:trPr>
        <w:tc>
          <w:tcPr>
            <w:tcW w:w="720" w:type="dxa"/>
            <w:tcBorders>
              <w:top w:val="single" w:color="auto" w:sz="6" w:space="0"/>
              <w:left w:val="single" w:color="auto" w:sz="6" w:space="0"/>
              <w:bottom w:val="single" w:color="auto" w:sz="6" w:space="0"/>
              <w:right w:val="single" w:color="auto" w:sz="6" w:space="0"/>
            </w:tcBorders>
            <w:noWrap w:val="0"/>
            <w:vAlign w:val="center"/>
          </w:tcPr>
          <w:p w14:paraId="2C7BC7F7">
            <w:pPr>
              <w:autoSpaceDE w:val="0"/>
              <w:autoSpaceDN w:val="0"/>
              <w:adjustRightInd w:val="0"/>
              <w:jc w:val="center"/>
              <w:rPr>
                <w:rFonts w:hint="eastAsia" w:ascii="宋体" w:hAnsi="宋体" w:eastAsia="宋体" w:cs="宋体"/>
                <w:color w:val="auto"/>
                <w:sz w:val="24"/>
                <w:szCs w:val="24"/>
                <w:highlight w:val="none"/>
                <w:lang w:val="zh-CN"/>
              </w:rPr>
            </w:pPr>
          </w:p>
        </w:tc>
        <w:tc>
          <w:tcPr>
            <w:tcW w:w="1536" w:type="dxa"/>
            <w:tcBorders>
              <w:top w:val="single" w:color="auto" w:sz="6" w:space="0"/>
              <w:left w:val="single" w:color="auto" w:sz="6" w:space="0"/>
              <w:bottom w:val="single" w:color="auto" w:sz="6" w:space="0"/>
              <w:right w:val="single" w:color="auto" w:sz="6" w:space="0"/>
            </w:tcBorders>
            <w:noWrap w:val="0"/>
            <w:vAlign w:val="center"/>
          </w:tcPr>
          <w:p w14:paraId="517114BD">
            <w:pPr>
              <w:autoSpaceDE w:val="0"/>
              <w:autoSpaceDN w:val="0"/>
              <w:adjustRightInd w:val="0"/>
              <w:jc w:val="center"/>
              <w:rPr>
                <w:rFonts w:hint="eastAsia" w:ascii="宋体" w:hAnsi="宋体" w:eastAsia="宋体" w:cs="宋体"/>
                <w:color w:val="auto"/>
                <w:sz w:val="24"/>
                <w:szCs w:val="24"/>
                <w:highlight w:val="none"/>
                <w:lang w:val="zh-CN"/>
              </w:rPr>
            </w:pPr>
          </w:p>
        </w:tc>
        <w:tc>
          <w:tcPr>
            <w:tcW w:w="748" w:type="dxa"/>
            <w:tcBorders>
              <w:top w:val="single" w:color="auto" w:sz="6" w:space="0"/>
              <w:left w:val="single" w:color="auto" w:sz="6" w:space="0"/>
              <w:bottom w:val="single" w:color="auto" w:sz="6" w:space="0"/>
              <w:right w:val="single" w:color="auto" w:sz="6" w:space="0"/>
            </w:tcBorders>
            <w:noWrap w:val="0"/>
            <w:vAlign w:val="center"/>
          </w:tcPr>
          <w:p w14:paraId="4B23013D">
            <w:pPr>
              <w:autoSpaceDE w:val="0"/>
              <w:autoSpaceDN w:val="0"/>
              <w:adjustRightInd w:val="0"/>
              <w:jc w:val="center"/>
              <w:rPr>
                <w:rFonts w:hint="eastAsia" w:ascii="宋体" w:hAnsi="宋体" w:eastAsia="宋体" w:cs="宋体"/>
                <w:color w:val="auto"/>
                <w:sz w:val="24"/>
                <w:szCs w:val="24"/>
                <w:highlight w:val="none"/>
                <w:lang w:val="zh-CN"/>
              </w:rPr>
            </w:pPr>
          </w:p>
        </w:tc>
        <w:tc>
          <w:tcPr>
            <w:tcW w:w="936" w:type="dxa"/>
            <w:tcBorders>
              <w:top w:val="single" w:color="auto" w:sz="6" w:space="0"/>
              <w:left w:val="single" w:color="auto" w:sz="6" w:space="0"/>
              <w:bottom w:val="single" w:color="auto" w:sz="6" w:space="0"/>
              <w:right w:val="single" w:color="auto" w:sz="6" w:space="0"/>
            </w:tcBorders>
            <w:noWrap w:val="0"/>
            <w:vAlign w:val="center"/>
          </w:tcPr>
          <w:p w14:paraId="7F45D16D">
            <w:pPr>
              <w:autoSpaceDE w:val="0"/>
              <w:autoSpaceDN w:val="0"/>
              <w:adjustRightInd w:val="0"/>
              <w:jc w:val="center"/>
              <w:rPr>
                <w:rFonts w:hint="eastAsia" w:ascii="宋体" w:hAnsi="宋体" w:eastAsia="宋体" w:cs="宋体"/>
                <w:color w:val="auto"/>
                <w:sz w:val="24"/>
                <w:szCs w:val="24"/>
                <w:highlight w:val="none"/>
                <w:lang w:val="zh-CN"/>
              </w:rPr>
            </w:pPr>
          </w:p>
        </w:tc>
        <w:tc>
          <w:tcPr>
            <w:tcW w:w="780" w:type="dxa"/>
            <w:tcBorders>
              <w:top w:val="single" w:color="auto" w:sz="6" w:space="0"/>
              <w:left w:val="single" w:color="auto" w:sz="6" w:space="0"/>
              <w:bottom w:val="single" w:color="auto" w:sz="6" w:space="0"/>
              <w:right w:val="single" w:color="auto" w:sz="6" w:space="0"/>
            </w:tcBorders>
            <w:noWrap w:val="0"/>
            <w:vAlign w:val="center"/>
          </w:tcPr>
          <w:p w14:paraId="22AA5E5F">
            <w:pPr>
              <w:autoSpaceDE w:val="0"/>
              <w:autoSpaceDN w:val="0"/>
              <w:adjustRightInd w:val="0"/>
              <w:jc w:val="center"/>
              <w:rPr>
                <w:rFonts w:hint="eastAsia" w:ascii="宋体" w:hAnsi="宋体" w:eastAsia="宋体" w:cs="宋体"/>
                <w:color w:val="auto"/>
                <w:sz w:val="24"/>
                <w:szCs w:val="24"/>
                <w:highlight w:val="none"/>
                <w:lang w:val="zh-CN"/>
              </w:rPr>
            </w:pPr>
          </w:p>
        </w:tc>
        <w:tc>
          <w:tcPr>
            <w:tcW w:w="1170" w:type="dxa"/>
            <w:tcBorders>
              <w:top w:val="single" w:color="auto" w:sz="6" w:space="0"/>
              <w:left w:val="single" w:color="auto" w:sz="6" w:space="0"/>
              <w:bottom w:val="single" w:color="auto" w:sz="6" w:space="0"/>
              <w:right w:val="single" w:color="auto" w:sz="6" w:space="0"/>
            </w:tcBorders>
            <w:noWrap w:val="0"/>
            <w:vAlign w:val="center"/>
          </w:tcPr>
          <w:p w14:paraId="655C31EB">
            <w:pPr>
              <w:autoSpaceDE w:val="0"/>
              <w:autoSpaceDN w:val="0"/>
              <w:adjustRightInd w:val="0"/>
              <w:jc w:val="center"/>
              <w:rPr>
                <w:rFonts w:hint="eastAsia" w:ascii="宋体" w:hAnsi="宋体" w:eastAsia="宋体" w:cs="宋体"/>
                <w:color w:val="auto"/>
                <w:sz w:val="24"/>
                <w:szCs w:val="24"/>
                <w:highlight w:val="none"/>
                <w:lang w:val="zh-CN"/>
              </w:rPr>
            </w:pPr>
          </w:p>
        </w:tc>
        <w:tc>
          <w:tcPr>
            <w:tcW w:w="1170" w:type="dxa"/>
            <w:tcBorders>
              <w:top w:val="single" w:color="auto" w:sz="6" w:space="0"/>
              <w:left w:val="single" w:color="auto" w:sz="6" w:space="0"/>
              <w:bottom w:val="single" w:color="auto" w:sz="6" w:space="0"/>
              <w:right w:val="single" w:color="auto" w:sz="6" w:space="0"/>
            </w:tcBorders>
            <w:noWrap w:val="0"/>
            <w:vAlign w:val="center"/>
          </w:tcPr>
          <w:p w14:paraId="2C015B97">
            <w:pPr>
              <w:autoSpaceDE w:val="0"/>
              <w:autoSpaceDN w:val="0"/>
              <w:adjustRightInd w:val="0"/>
              <w:jc w:val="center"/>
              <w:rPr>
                <w:rFonts w:hint="eastAsia" w:ascii="宋体" w:hAnsi="宋体" w:eastAsia="宋体" w:cs="宋体"/>
                <w:color w:val="auto"/>
                <w:sz w:val="24"/>
                <w:szCs w:val="24"/>
                <w:highlight w:val="none"/>
                <w:lang w:val="zh-CN"/>
              </w:rPr>
            </w:pPr>
          </w:p>
        </w:tc>
        <w:tc>
          <w:tcPr>
            <w:tcW w:w="1340" w:type="dxa"/>
            <w:tcBorders>
              <w:top w:val="single" w:color="auto" w:sz="6" w:space="0"/>
              <w:left w:val="single" w:color="auto" w:sz="6" w:space="0"/>
              <w:bottom w:val="single" w:color="auto" w:sz="6" w:space="0"/>
              <w:right w:val="single" w:color="auto" w:sz="6" w:space="0"/>
            </w:tcBorders>
            <w:noWrap w:val="0"/>
            <w:vAlign w:val="center"/>
          </w:tcPr>
          <w:p w14:paraId="280F2C1C">
            <w:pPr>
              <w:autoSpaceDE w:val="0"/>
              <w:autoSpaceDN w:val="0"/>
              <w:adjustRightInd w:val="0"/>
              <w:jc w:val="center"/>
              <w:rPr>
                <w:rFonts w:hint="eastAsia" w:ascii="宋体" w:hAnsi="宋体" w:eastAsia="宋体" w:cs="宋体"/>
                <w:color w:val="auto"/>
                <w:sz w:val="24"/>
                <w:szCs w:val="24"/>
                <w:highlight w:val="none"/>
                <w:lang w:val="zh-CN"/>
              </w:rPr>
            </w:pPr>
          </w:p>
        </w:tc>
        <w:tc>
          <w:tcPr>
            <w:tcW w:w="905" w:type="dxa"/>
            <w:tcBorders>
              <w:top w:val="single" w:color="auto" w:sz="6" w:space="0"/>
              <w:left w:val="single" w:color="auto" w:sz="6" w:space="0"/>
              <w:bottom w:val="single" w:color="auto" w:sz="6" w:space="0"/>
              <w:right w:val="single" w:color="auto" w:sz="6" w:space="0"/>
            </w:tcBorders>
            <w:noWrap w:val="0"/>
            <w:vAlign w:val="center"/>
          </w:tcPr>
          <w:p w14:paraId="7512774E">
            <w:pPr>
              <w:autoSpaceDE w:val="0"/>
              <w:autoSpaceDN w:val="0"/>
              <w:adjustRightInd w:val="0"/>
              <w:jc w:val="center"/>
              <w:rPr>
                <w:rFonts w:hint="eastAsia" w:ascii="宋体" w:hAnsi="宋体" w:eastAsia="宋体" w:cs="宋体"/>
                <w:color w:val="auto"/>
                <w:sz w:val="24"/>
                <w:szCs w:val="24"/>
                <w:highlight w:val="none"/>
                <w:lang w:val="zh-CN"/>
              </w:rPr>
            </w:pPr>
          </w:p>
        </w:tc>
      </w:tr>
      <w:tr w14:paraId="44014FDE">
        <w:tblPrEx>
          <w:tblCellMar>
            <w:top w:w="0" w:type="dxa"/>
            <w:left w:w="108" w:type="dxa"/>
            <w:bottom w:w="0" w:type="dxa"/>
            <w:right w:w="108" w:type="dxa"/>
          </w:tblCellMar>
        </w:tblPrEx>
        <w:trPr>
          <w:trHeight w:val="660" w:hRule="atLeast"/>
          <w:jc w:val="center"/>
        </w:trPr>
        <w:tc>
          <w:tcPr>
            <w:tcW w:w="720" w:type="dxa"/>
            <w:tcBorders>
              <w:top w:val="single" w:color="auto" w:sz="6" w:space="0"/>
              <w:left w:val="single" w:color="auto" w:sz="6" w:space="0"/>
              <w:bottom w:val="single" w:color="auto" w:sz="6" w:space="0"/>
              <w:right w:val="single" w:color="auto" w:sz="6" w:space="0"/>
            </w:tcBorders>
            <w:noWrap w:val="0"/>
            <w:vAlign w:val="center"/>
          </w:tcPr>
          <w:p w14:paraId="1D1F309A">
            <w:pPr>
              <w:autoSpaceDE w:val="0"/>
              <w:autoSpaceDN w:val="0"/>
              <w:adjustRightInd w:val="0"/>
              <w:jc w:val="center"/>
              <w:rPr>
                <w:rFonts w:hint="eastAsia" w:ascii="宋体" w:hAnsi="宋体" w:eastAsia="宋体" w:cs="宋体"/>
                <w:color w:val="auto"/>
                <w:sz w:val="24"/>
                <w:szCs w:val="24"/>
                <w:highlight w:val="none"/>
                <w:lang w:val="zh-CN"/>
              </w:rPr>
            </w:pPr>
          </w:p>
        </w:tc>
        <w:tc>
          <w:tcPr>
            <w:tcW w:w="1536" w:type="dxa"/>
            <w:tcBorders>
              <w:top w:val="single" w:color="auto" w:sz="6" w:space="0"/>
              <w:left w:val="single" w:color="auto" w:sz="6" w:space="0"/>
              <w:bottom w:val="single" w:color="auto" w:sz="6" w:space="0"/>
              <w:right w:val="single" w:color="auto" w:sz="6" w:space="0"/>
            </w:tcBorders>
            <w:noWrap w:val="0"/>
            <w:vAlign w:val="center"/>
          </w:tcPr>
          <w:p w14:paraId="7DF97FEE">
            <w:pPr>
              <w:autoSpaceDE w:val="0"/>
              <w:autoSpaceDN w:val="0"/>
              <w:adjustRightInd w:val="0"/>
              <w:jc w:val="center"/>
              <w:rPr>
                <w:rFonts w:hint="eastAsia" w:ascii="宋体" w:hAnsi="宋体" w:eastAsia="宋体" w:cs="宋体"/>
                <w:color w:val="auto"/>
                <w:sz w:val="24"/>
                <w:szCs w:val="24"/>
                <w:highlight w:val="none"/>
                <w:lang w:val="zh-CN"/>
              </w:rPr>
            </w:pPr>
          </w:p>
        </w:tc>
        <w:tc>
          <w:tcPr>
            <w:tcW w:w="748" w:type="dxa"/>
            <w:tcBorders>
              <w:top w:val="single" w:color="auto" w:sz="6" w:space="0"/>
              <w:left w:val="single" w:color="auto" w:sz="6" w:space="0"/>
              <w:bottom w:val="single" w:color="auto" w:sz="6" w:space="0"/>
              <w:right w:val="single" w:color="auto" w:sz="6" w:space="0"/>
            </w:tcBorders>
            <w:noWrap w:val="0"/>
            <w:vAlign w:val="center"/>
          </w:tcPr>
          <w:p w14:paraId="7BD7CBE3">
            <w:pPr>
              <w:autoSpaceDE w:val="0"/>
              <w:autoSpaceDN w:val="0"/>
              <w:adjustRightInd w:val="0"/>
              <w:jc w:val="center"/>
              <w:rPr>
                <w:rFonts w:hint="eastAsia" w:ascii="宋体" w:hAnsi="宋体" w:eastAsia="宋体" w:cs="宋体"/>
                <w:color w:val="auto"/>
                <w:sz w:val="24"/>
                <w:szCs w:val="24"/>
                <w:highlight w:val="none"/>
                <w:lang w:val="zh-CN"/>
              </w:rPr>
            </w:pPr>
          </w:p>
        </w:tc>
        <w:tc>
          <w:tcPr>
            <w:tcW w:w="936" w:type="dxa"/>
            <w:tcBorders>
              <w:top w:val="single" w:color="auto" w:sz="6" w:space="0"/>
              <w:left w:val="single" w:color="auto" w:sz="6" w:space="0"/>
              <w:bottom w:val="single" w:color="auto" w:sz="6" w:space="0"/>
              <w:right w:val="single" w:color="auto" w:sz="6" w:space="0"/>
            </w:tcBorders>
            <w:noWrap w:val="0"/>
            <w:vAlign w:val="center"/>
          </w:tcPr>
          <w:p w14:paraId="6E13B128">
            <w:pPr>
              <w:autoSpaceDE w:val="0"/>
              <w:autoSpaceDN w:val="0"/>
              <w:adjustRightInd w:val="0"/>
              <w:jc w:val="center"/>
              <w:rPr>
                <w:rFonts w:hint="eastAsia" w:ascii="宋体" w:hAnsi="宋体" w:eastAsia="宋体" w:cs="宋体"/>
                <w:color w:val="auto"/>
                <w:sz w:val="24"/>
                <w:szCs w:val="24"/>
                <w:highlight w:val="none"/>
                <w:lang w:val="zh-CN"/>
              </w:rPr>
            </w:pPr>
          </w:p>
        </w:tc>
        <w:tc>
          <w:tcPr>
            <w:tcW w:w="780" w:type="dxa"/>
            <w:tcBorders>
              <w:top w:val="single" w:color="auto" w:sz="6" w:space="0"/>
              <w:left w:val="single" w:color="auto" w:sz="6" w:space="0"/>
              <w:bottom w:val="single" w:color="auto" w:sz="6" w:space="0"/>
              <w:right w:val="single" w:color="auto" w:sz="6" w:space="0"/>
            </w:tcBorders>
            <w:noWrap w:val="0"/>
            <w:vAlign w:val="center"/>
          </w:tcPr>
          <w:p w14:paraId="63ECDFB5">
            <w:pPr>
              <w:autoSpaceDE w:val="0"/>
              <w:autoSpaceDN w:val="0"/>
              <w:adjustRightInd w:val="0"/>
              <w:jc w:val="center"/>
              <w:rPr>
                <w:rFonts w:hint="eastAsia" w:ascii="宋体" w:hAnsi="宋体" w:eastAsia="宋体" w:cs="宋体"/>
                <w:color w:val="auto"/>
                <w:sz w:val="24"/>
                <w:szCs w:val="24"/>
                <w:highlight w:val="none"/>
                <w:lang w:val="zh-CN"/>
              </w:rPr>
            </w:pPr>
          </w:p>
        </w:tc>
        <w:tc>
          <w:tcPr>
            <w:tcW w:w="1170" w:type="dxa"/>
            <w:tcBorders>
              <w:top w:val="single" w:color="auto" w:sz="6" w:space="0"/>
              <w:left w:val="single" w:color="auto" w:sz="6" w:space="0"/>
              <w:bottom w:val="single" w:color="auto" w:sz="6" w:space="0"/>
              <w:right w:val="single" w:color="auto" w:sz="6" w:space="0"/>
            </w:tcBorders>
            <w:noWrap w:val="0"/>
            <w:vAlign w:val="center"/>
          </w:tcPr>
          <w:p w14:paraId="3BF93837">
            <w:pPr>
              <w:autoSpaceDE w:val="0"/>
              <w:autoSpaceDN w:val="0"/>
              <w:adjustRightInd w:val="0"/>
              <w:jc w:val="center"/>
              <w:rPr>
                <w:rFonts w:hint="eastAsia" w:ascii="宋体" w:hAnsi="宋体" w:eastAsia="宋体" w:cs="宋体"/>
                <w:color w:val="auto"/>
                <w:sz w:val="24"/>
                <w:szCs w:val="24"/>
                <w:highlight w:val="none"/>
                <w:lang w:val="zh-CN"/>
              </w:rPr>
            </w:pPr>
          </w:p>
        </w:tc>
        <w:tc>
          <w:tcPr>
            <w:tcW w:w="1170" w:type="dxa"/>
            <w:tcBorders>
              <w:top w:val="single" w:color="auto" w:sz="6" w:space="0"/>
              <w:left w:val="single" w:color="auto" w:sz="6" w:space="0"/>
              <w:bottom w:val="single" w:color="auto" w:sz="6" w:space="0"/>
              <w:right w:val="single" w:color="auto" w:sz="6" w:space="0"/>
            </w:tcBorders>
            <w:noWrap w:val="0"/>
            <w:vAlign w:val="center"/>
          </w:tcPr>
          <w:p w14:paraId="7FFDD0ED">
            <w:pPr>
              <w:autoSpaceDE w:val="0"/>
              <w:autoSpaceDN w:val="0"/>
              <w:adjustRightInd w:val="0"/>
              <w:jc w:val="center"/>
              <w:rPr>
                <w:rFonts w:hint="eastAsia" w:ascii="宋体" w:hAnsi="宋体" w:eastAsia="宋体" w:cs="宋体"/>
                <w:color w:val="auto"/>
                <w:sz w:val="24"/>
                <w:szCs w:val="24"/>
                <w:highlight w:val="none"/>
                <w:lang w:val="zh-CN"/>
              </w:rPr>
            </w:pPr>
          </w:p>
        </w:tc>
        <w:tc>
          <w:tcPr>
            <w:tcW w:w="1340" w:type="dxa"/>
            <w:tcBorders>
              <w:top w:val="single" w:color="auto" w:sz="6" w:space="0"/>
              <w:left w:val="single" w:color="auto" w:sz="6" w:space="0"/>
              <w:bottom w:val="single" w:color="auto" w:sz="6" w:space="0"/>
              <w:right w:val="single" w:color="auto" w:sz="6" w:space="0"/>
            </w:tcBorders>
            <w:noWrap w:val="0"/>
            <w:vAlign w:val="center"/>
          </w:tcPr>
          <w:p w14:paraId="1983CDE8">
            <w:pPr>
              <w:autoSpaceDE w:val="0"/>
              <w:autoSpaceDN w:val="0"/>
              <w:adjustRightInd w:val="0"/>
              <w:jc w:val="center"/>
              <w:rPr>
                <w:rFonts w:hint="eastAsia" w:ascii="宋体" w:hAnsi="宋体" w:eastAsia="宋体" w:cs="宋体"/>
                <w:color w:val="auto"/>
                <w:sz w:val="24"/>
                <w:szCs w:val="24"/>
                <w:highlight w:val="none"/>
                <w:lang w:val="zh-CN"/>
              </w:rPr>
            </w:pPr>
          </w:p>
        </w:tc>
        <w:tc>
          <w:tcPr>
            <w:tcW w:w="905" w:type="dxa"/>
            <w:tcBorders>
              <w:top w:val="single" w:color="auto" w:sz="6" w:space="0"/>
              <w:left w:val="single" w:color="auto" w:sz="6" w:space="0"/>
              <w:bottom w:val="single" w:color="auto" w:sz="6" w:space="0"/>
              <w:right w:val="single" w:color="auto" w:sz="6" w:space="0"/>
            </w:tcBorders>
            <w:noWrap w:val="0"/>
            <w:vAlign w:val="center"/>
          </w:tcPr>
          <w:p w14:paraId="7B7012F0">
            <w:pPr>
              <w:autoSpaceDE w:val="0"/>
              <w:autoSpaceDN w:val="0"/>
              <w:adjustRightInd w:val="0"/>
              <w:jc w:val="center"/>
              <w:rPr>
                <w:rFonts w:hint="eastAsia" w:ascii="宋体" w:hAnsi="宋体" w:eastAsia="宋体" w:cs="宋体"/>
                <w:color w:val="auto"/>
                <w:sz w:val="24"/>
                <w:szCs w:val="24"/>
                <w:highlight w:val="none"/>
                <w:lang w:val="zh-CN"/>
              </w:rPr>
            </w:pPr>
          </w:p>
        </w:tc>
      </w:tr>
      <w:tr w14:paraId="5FE10478">
        <w:tblPrEx>
          <w:tblCellMar>
            <w:top w:w="0" w:type="dxa"/>
            <w:left w:w="108" w:type="dxa"/>
            <w:bottom w:w="0" w:type="dxa"/>
            <w:right w:w="108" w:type="dxa"/>
          </w:tblCellMar>
        </w:tblPrEx>
        <w:trPr>
          <w:trHeight w:val="660" w:hRule="atLeast"/>
          <w:jc w:val="center"/>
        </w:trPr>
        <w:tc>
          <w:tcPr>
            <w:tcW w:w="720" w:type="dxa"/>
            <w:tcBorders>
              <w:top w:val="single" w:color="auto" w:sz="6" w:space="0"/>
              <w:left w:val="single" w:color="auto" w:sz="6" w:space="0"/>
              <w:bottom w:val="single" w:color="auto" w:sz="6" w:space="0"/>
              <w:right w:val="single" w:color="auto" w:sz="6" w:space="0"/>
            </w:tcBorders>
            <w:noWrap w:val="0"/>
            <w:vAlign w:val="center"/>
          </w:tcPr>
          <w:p w14:paraId="2E2BBBEE">
            <w:pPr>
              <w:autoSpaceDE w:val="0"/>
              <w:autoSpaceDN w:val="0"/>
              <w:adjustRightInd w:val="0"/>
              <w:jc w:val="center"/>
              <w:rPr>
                <w:rFonts w:hint="eastAsia" w:ascii="宋体" w:hAnsi="宋体" w:eastAsia="宋体" w:cs="宋体"/>
                <w:color w:val="auto"/>
                <w:sz w:val="24"/>
                <w:szCs w:val="24"/>
                <w:highlight w:val="none"/>
                <w:lang w:val="zh-CN"/>
              </w:rPr>
            </w:pPr>
          </w:p>
        </w:tc>
        <w:tc>
          <w:tcPr>
            <w:tcW w:w="1536" w:type="dxa"/>
            <w:tcBorders>
              <w:top w:val="single" w:color="auto" w:sz="6" w:space="0"/>
              <w:left w:val="single" w:color="auto" w:sz="6" w:space="0"/>
              <w:bottom w:val="single" w:color="auto" w:sz="6" w:space="0"/>
              <w:right w:val="single" w:color="auto" w:sz="6" w:space="0"/>
            </w:tcBorders>
            <w:noWrap w:val="0"/>
            <w:vAlign w:val="center"/>
          </w:tcPr>
          <w:p w14:paraId="08D0E5A8">
            <w:pPr>
              <w:autoSpaceDE w:val="0"/>
              <w:autoSpaceDN w:val="0"/>
              <w:adjustRightInd w:val="0"/>
              <w:jc w:val="center"/>
              <w:rPr>
                <w:rFonts w:hint="eastAsia" w:ascii="宋体" w:hAnsi="宋体" w:eastAsia="宋体" w:cs="宋体"/>
                <w:color w:val="auto"/>
                <w:sz w:val="24"/>
                <w:szCs w:val="24"/>
                <w:highlight w:val="none"/>
                <w:lang w:val="zh-CN"/>
              </w:rPr>
            </w:pPr>
          </w:p>
        </w:tc>
        <w:tc>
          <w:tcPr>
            <w:tcW w:w="748" w:type="dxa"/>
            <w:tcBorders>
              <w:top w:val="single" w:color="auto" w:sz="6" w:space="0"/>
              <w:left w:val="single" w:color="auto" w:sz="6" w:space="0"/>
              <w:bottom w:val="single" w:color="auto" w:sz="6" w:space="0"/>
              <w:right w:val="single" w:color="auto" w:sz="6" w:space="0"/>
            </w:tcBorders>
            <w:noWrap w:val="0"/>
            <w:vAlign w:val="center"/>
          </w:tcPr>
          <w:p w14:paraId="5C808920">
            <w:pPr>
              <w:autoSpaceDE w:val="0"/>
              <w:autoSpaceDN w:val="0"/>
              <w:adjustRightInd w:val="0"/>
              <w:jc w:val="center"/>
              <w:rPr>
                <w:rFonts w:hint="eastAsia" w:ascii="宋体" w:hAnsi="宋体" w:eastAsia="宋体" w:cs="宋体"/>
                <w:color w:val="auto"/>
                <w:sz w:val="24"/>
                <w:szCs w:val="24"/>
                <w:highlight w:val="none"/>
                <w:lang w:val="zh-CN"/>
              </w:rPr>
            </w:pPr>
          </w:p>
        </w:tc>
        <w:tc>
          <w:tcPr>
            <w:tcW w:w="936" w:type="dxa"/>
            <w:tcBorders>
              <w:top w:val="single" w:color="auto" w:sz="6" w:space="0"/>
              <w:left w:val="single" w:color="auto" w:sz="6" w:space="0"/>
              <w:bottom w:val="single" w:color="auto" w:sz="6" w:space="0"/>
              <w:right w:val="single" w:color="auto" w:sz="6" w:space="0"/>
            </w:tcBorders>
            <w:noWrap w:val="0"/>
            <w:vAlign w:val="center"/>
          </w:tcPr>
          <w:p w14:paraId="4328D757">
            <w:pPr>
              <w:autoSpaceDE w:val="0"/>
              <w:autoSpaceDN w:val="0"/>
              <w:adjustRightInd w:val="0"/>
              <w:jc w:val="center"/>
              <w:rPr>
                <w:rFonts w:hint="eastAsia" w:ascii="宋体" w:hAnsi="宋体" w:eastAsia="宋体" w:cs="宋体"/>
                <w:color w:val="auto"/>
                <w:sz w:val="24"/>
                <w:szCs w:val="24"/>
                <w:highlight w:val="none"/>
                <w:lang w:val="zh-CN"/>
              </w:rPr>
            </w:pPr>
          </w:p>
        </w:tc>
        <w:tc>
          <w:tcPr>
            <w:tcW w:w="780" w:type="dxa"/>
            <w:tcBorders>
              <w:top w:val="single" w:color="auto" w:sz="6" w:space="0"/>
              <w:left w:val="single" w:color="auto" w:sz="6" w:space="0"/>
              <w:bottom w:val="single" w:color="auto" w:sz="6" w:space="0"/>
              <w:right w:val="single" w:color="auto" w:sz="6" w:space="0"/>
            </w:tcBorders>
            <w:noWrap w:val="0"/>
            <w:vAlign w:val="center"/>
          </w:tcPr>
          <w:p w14:paraId="1AA875B1">
            <w:pPr>
              <w:autoSpaceDE w:val="0"/>
              <w:autoSpaceDN w:val="0"/>
              <w:adjustRightInd w:val="0"/>
              <w:jc w:val="center"/>
              <w:rPr>
                <w:rFonts w:hint="eastAsia" w:ascii="宋体" w:hAnsi="宋体" w:eastAsia="宋体" w:cs="宋体"/>
                <w:color w:val="auto"/>
                <w:sz w:val="24"/>
                <w:szCs w:val="24"/>
                <w:highlight w:val="none"/>
                <w:lang w:val="zh-CN"/>
              </w:rPr>
            </w:pPr>
          </w:p>
        </w:tc>
        <w:tc>
          <w:tcPr>
            <w:tcW w:w="1170" w:type="dxa"/>
            <w:tcBorders>
              <w:top w:val="single" w:color="auto" w:sz="6" w:space="0"/>
              <w:left w:val="single" w:color="auto" w:sz="6" w:space="0"/>
              <w:bottom w:val="single" w:color="auto" w:sz="6" w:space="0"/>
              <w:right w:val="single" w:color="auto" w:sz="6" w:space="0"/>
            </w:tcBorders>
            <w:noWrap w:val="0"/>
            <w:vAlign w:val="center"/>
          </w:tcPr>
          <w:p w14:paraId="5B240BBF">
            <w:pPr>
              <w:autoSpaceDE w:val="0"/>
              <w:autoSpaceDN w:val="0"/>
              <w:adjustRightInd w:val="0"/>
              <w:jc w:val="center"/>
              <w:rPr>
                <w:rFonts w:hint="eastAsia" w:ascii="宋体" w:hAnsi="宋体" w:eastAsia="宋体" w:cs="宋体"/>
                <w:color w:val="auto"/>
                <w:sz w:val="24"/>
                <w:szCs w:val="24"/>
                <w:highlight w:val="none"/>
                <w:lang w:val="zh-CN"/>
              </w:rPr>
            </w:pPr>
          </w:p>
        </w:tc>
        <w:tc>
          <w:tcPr>
            <w:tcW w:w="1170" w:type="dxa"/>
            <w:tcBorders>
              <w:top w:val="single" w:color="auto" w:sz="6" w:space="0"/>
              <w:left w:val="single" w:color="auto" w:sz="6" w:space="0"/>
              <w:bottom w:val="single" w:color="auto" w:sz="6" w:space="0"/>
              <w:right w:val="single" w:color="auto" w:sz="6" w:space="0"/>
            </w:tcBorders>
            <w:noWrap w:val="0"/>
            <w:vAlign w:val="center"/>
          </w:tcPr>
          <w:p w14:paraId="2377EF92">
            <w:pPr>
              <w:autoSpaceDE w:val="0"/>
              <w:autoSpaceDN w:val="0"/>
              <w:adjustRightInd w:val="0"/>
              <w:jc w:val="center"/>
              <w:rPr>
                <w:rFonts w:hint="eastAsia" w:ascii="宋体" w:hAnsi="宋体" w:eastAsia="宋体" w:cs="宋体"/>
                <w:color w:val="auto"/>
                <w:sz w:val="24"/>
                <w:szCs w:val="24"/>
                <w:highlight w:val="none"/>
                <w:lang w:val="zh-CN"/>
              </w:rPr>
            </w:pPr>
          </w:p>
        </w:tc>
        <w:tc>
          <w:tcPr>
            <w:tcW w:w="1340" w:type="dxa"/>
            <w:tcBorders>
              <w:top w:val="single" w:color="auto" w:sz="6" w:space="0"/>
              <w:left w:val="single" w:color="auto" w:sz="6" w:space="0"/>
              <w:bottom w:val="single" w:color="auto" w:sz="6" w:space="0"/>
              <w:right w:val="single" w:color="auto" w:sz="6" w:space="0"/>
            </w:tcBorders>
            <w:noWrap w:val="0"/>
            <w:vAlign w:val="center"/>
          </w:tcPr>
          <w:p w14:paraId="1CE71447">
            <w:pPr>
              <w:autoSpaceDE w:val="0"/>
              <w:autoSpaceDN w:val="0"/>
              <w:adjustRightInd w:val="0"/>
              <w:jc w:val="center"/>
              <w:rPr>
                <w:rFonts w:hint="eastAsia" w:ascii="宋体" w:hAnsi="宋体" w:eastAsia="宋体" w:cs="宋体"/>
                <w:color w:val="auto"/>
                <w:sz w:val="24"/>
                <w:szCs w:val="24"/>
                <w:highlight w:val="none"/>
                <w:lang w:val="zh-CN"/>
              </w:rPr>
            </w:pPr>
          </w:p>
        </w:tc>
        <w:tc>
          <w:tcPr>
            <w:tcW w:w="905" w:type="dxa"/>
            <w:tcBorders>
              <w:top w:val="single" w:color="auto" w:sz="6" w:space="0"/>
              <w:left w:val="single" w:color="auto" w:sz="6" w:space="0"/>
              <w:bottom w:val="single" w:color="auto" w:sz="6" w:space="0"/>
              <w:right w:val="single" w:color="auto" w:sz="6" w:space="0"/>
            </w:tcBorders>
            <w:noWrap w:val="0"/>
            <w:vAlign w:val="center"/>
          </w:tcPr>
          <w:p w14:paraId="7352E65F">
            <w:pPr>
              <w:autoSpaceDE w:val="0"/>
              <w:autoSpaceDN w:val="0"/>
              <w:adjustRightInd w:val="0"/>
              <w:jc w:val="center"/>
              <w:rPr>
                <w:rFonts w:hint="eastAsia" w:ascii="宋体" w:hAnsi="宋体" w:eastAsia="宋体" w:cs="宋体"/>
                <w:color w:val="auto"/>
                <w:sz w:val="24"/>
                <w:szCs w:val="24"/>
                <w:highlight w:val="none"/>
                <w:lang w:val="zh-CN"/>
              </w:rPr>
            </w:pPr>
          </w:p>
        </w:tc>
      </w:tr>
      <w:tr w14:paraId="660ED600">
        <w:tblPrEx>
          <w:tblCellMar>
            <w:top w:w="0" w:type="dxa"/>
            <w:left w:w="108" w:type="dxa"/>
            <w:bottom w:w="0" w:type="dxa"/>
            <w:right w:w="108" w:type="dxa"/>
          </w:tblCellMar>
        </w:tblPrEx>
        <w:trPr>
          <w:trHeight w:val="660" w:hRule="atLeast"/>
          <w:jc w:val="center"/>
        </w:trPr>
        <w:tc>
          <w:tcPr>
            <w:tcW w:w="720" w:type="dxa"/>
            <w:tcBorders>
              <w:top w:val="single" w:color="auto" w:sz="6" w:space="0"/>
              <w:left w:val="single" w:color="auto" w:sz="6" w:space="0"/>
              <w:bottom w:val="single" w:color="auto" w:sz="6" w:space="0"/>
              <w:right w:val="single" w:color="auto" w:sz="6" w:space="0"/>
            </w:tcBorders>
            <w:noWrap w:val="0"/>
            <w:vAlign w:val="center"/>
          </w:tcPr>
          <w:p w14:paraId="318C5400">
            <w:pPr>
              <w:autoSpaceDE w:val="0"/>
              <w:autoSpaceDN w:val="0"/>
              <w:adjustRightInd w:val="0"/>
              <w:jc w:val="center"/>
              <w:rPr>
                <w:rFonts w:hint="eastAsia" w:ascii="宋体" w:hAnsi="宋体" w:eastAsia="宋体" w:cs="宋体"/>
                <w:color w:val="auto"/>
                <w:sz w:val="24"/>
                <w:szCs w:val="24"/>
                <w:highlight w:val="none"/>
                <w:lang w:val="zh-CN"/>
              </w:rPr>
            </w:pPr>
          </w:p>
        </w:tc>
        <w:tc>
          <w:tcPr>
            <w:tcW w:w="1536" w:type="dxa"/>
            <w:tcBorders>
              <w:top w:val="single" w:color="auto" w:sz="6" w:space="0"/>
              <w:left w:val="single" w:color="auto" w:sz="6" w:space="0"/>
              <w:bottom w:val="single" w:color="auto" w:sz="6" w:space="0"/>
              <w:right w:val="single" w:color="auto" w:sz="6" w:space="0"/>
            </w:tcBorders>
            <w:noWrap w:val="0"/>
            <w:vAlign w:val="center"/>
          </w:tcPr>
          <w:p w14:paraId="37E35671">
            <w:pPr>
              <w:autoSpaceDE w:val="0"/>
              <w:autoSpaceDN w:val="0"/>
              <w:adjustRightInd w:val="0"/>
              <w:jc w:val="center"/>
              <w:rPr>
                <w:rFonts w:hint="eastAsia" w:ascii="宋体" w:hAnsi="宋体" w:eastAsia="宋体" w:cs="宋体"/>
                <w:color w:val="auto"/>
                <w:sz w:val="24"/>
                <w:szCs w:val="24"/>
                <w:highlight w:val="none"/>
                <w:lang w:val="zh-CN"/>
              </w:rPr>
            </w:pPr>
          </w:p>
        </w:tc>
        <w:tc>
          <w:tcPr>
            <w:tcW w:w="748" w:type="dxa"/>
            <w:tcBorders>
              <w:top w:val="single" w:color="auto" w:sz="6" w:space="0"/>
              <w:left w:val="single" w:color="auto" w:sz="6" w:space="0"/>
              <w:bottom w:val="single" w:color="auto" w:sz="6" w:space="0"/>
              <w:right w:val="single" w:color="auto" w:sz="6" w:space="0"/>
            </w:tcBorders>
            <w:noWrap w:val="0"/>
            <w:vAlign w:val="center"/>
          </w:tcPr>
          <w:p w14:paraId="6CEFB6DD">
            <w:pPr>
              <w:autoSpaceDE w:val="0"/>
              <w:autoSpaceDN w:val="0"/>
              <w:adjustRightInd w:val="0"/>
              <w:jc w:val="center"/>
              <w:rPr>
                <w:rFonts w:hint="eastAsia" w:ascii="宋体" w:hAnsi="宋体" w:eastAsia="宋体" w:cs="宋体"/>
                <w:color w:val="auto"/>
                <w:sz w:val="24"/>
                <w:szCs w:val="24"/>
                <w:highlight w:val="none"/>
                <w:lang w:val="zh-CN"/>
              </w:rPr>
            </w:pPr>
          </w:p>
        </w:tc>
        <w:tc>
          <w:tcPr>
            <w:tcW w:w="936" w:type="dxa"/>
            <w:tcBorders>
              <w:top w:val="single" w:color="auto" w:sz="6" w:space="0"/>
              <w:left w:val="single" w:color="auto" w:sz="6" w:space="0"/>
              <w:bottom w:val="single" w:color="auto" w:sz="6" w:space="0"/>
              <w:right w:val="single" w:color="auto" w:sz="6" w:space="0"/>
            </w:tcBorders>
            <w:noWrap w:val="0"/>
            <w:vAlign w:val="center"/>
          </w:tcPr>
          <w:p w14:paraId="3D2BFF23">
            <w:pPr>
              <w:autoSpaceDE w:val="0"/>
              <w:autoSpaceDN w:val="0"/>
              <w:adjustRightInd w:val="0"/>
              <w:jc w:val="center"/>
              <w:rPr>
                <w:rFonts w:hint="eastAsia" w:ascii="宋体" w:hAnsi="宋体" w:eastAsia="宋体" w:cs="宋体"/>
                <w:color w:val="auto"/>
                <w:sz w:val="24"/>
                <w:szCs w:val="24"/>
                <w:highlight w:val="none"/>
                <w:lang w:val="zh-CN"/>
              </w:rPr>
            </w:pPr>
          </w:p>
        </w:tc>
        <w:tc>
          <w:tcPr>
            <w:tcW w:w="780" w:type="dxa"/>
            <w:tcBorders>
              <w:top w:val="single" w:color="auto" w:sz="6" w:space="0"/>
              <w:left w:val="single" w:color="auto" w:sz="6" w:space="0"/>
              <w:bottom w:val="single" w:color="auto" w:sz="6" w:space="0"/>
              <w:right w:val="single" w:color="auto" w:sz="6" w:space="0"/>
            </w:tcBorders>
            <w:noWrap w:val="0"/>
            <w:vAlign w:val="center"/>
          </w:tcPr>
          <w:p w14:paraId="46650E32">
            <w:pPr>
              <w:autoSpaceDE w:val="0"/>
              <w:autoSpaceDN w:val="0"/>
              <w:adjustRightInd w:val="0"/>
              <w:jc w:val="center"/>
              <w:rPr>
                <w:rFonts w:hint="eastAsia" w:ascii="宋体" w:hAnsi="宋体" w:eastAsia="宋体" w:cs="宋体"/>
                <w:color w:val="auto"/>
                <w:sz w:val="24"/>
                <w:szCs w:val="24"/>
                <w:highlight w:val="none"/>
                <w:lang w:val="zh-CN"/>
              </w:rPr>
            </w:pPr>
          </w:p>
        </w:tc>
        <w:tc>
          <w:tcPr>
            <w:tcW w:w="1170" w:type="dxa"/>
            <w:tcBorders>
              <w:top w:val="single" w:color="auto" w:sz="6" w:space="0"/>
              <w:left w:val="single" w:color="auto" w:sz="6" w:space="0"/>
              <w:bottom w:val="single" w:color="auto" w:sz="6" w:space="0"/>
              <w:right w:val="single" w:color="auto" w:sz="6" w:space="0"/>
            </w:tcBorders>
            <w:noWrap w:val="0"/>
            <w:vAlign w:val="center"/>
          </w:tcPr>
          <w:p w14:paraId="59FE801D">
            <w:pPr>
              <w:autoSpaceDE w:val="0"/>
              <w:autoSpaceDN w:val="0"/>
              <w:adjustRightInd w:val="0"/>
              <w:jc w:val="center"/>
              <w:rPr>
                <w:rFonts w:hint="eastAsia" w:ascii="宋体" w:hAnsi="宋体" w:eastAsia="宋体" w:cs="宋体"/>
                <w:color w:val="auto"/>
                <w:sz w:val="24"/>
                <w:szCs w:val="24"/>
                <w:highlight w:val="none"/>
                <w:lang w:val="zh-CN"/>
              </w:rPr>
            </w:pPr>
          </w:p>
        </w:tc>
        <w:tc>
          <w:tcPr>
            <w:tcW w:w="1170" w:type="dxa"/>
            <w:tcBorders>
              <w:top w:val="single" w:color="auto" w:sz="6" w:space="0"/>
              <w:left w:val="single" w:color="auto" w:sz="6" w:space="0"/>
              <w:bottom w:val="single" w:color="auto" w:sz="6" w:space="0"/>
              <w:right w:val="single" w:color="auto" w:sz="6" w:space="0"/>
            </w:tcBorders>
            <w:noWrap w:val="0"/>
            <w:vAlign w:val="center"/>
          </w:tcPr>
          <w:p w14:paraId="3E4955C3">
            <w:pPr>
              <w:autoSpaceDE w:val="0"/>
              <w:autoSpaceDN w:val="0"/>
              <w:adjustRightInd w:val="0"/>
              <w:jc w:val="center"/>
              <w:rPr>
                <w:rFonts w:hint="eastAsia" w:ascii="宋体" w:hAnsi="宋体" w:eastAsia="宋体" w:cs="宋体"/>
                <w:color w:val="auto"/>
                <w:sz w:val="24"/>
                <w:szCs w:val="24"/>
                <w:highlight w:val="none"/>
                <w:lang w:val="zh-CN"/>
              </w:rPr>
            </w:pPr>
          </w:p>
        </w:tc>
        <w:tc>
          <w:tcPr>
            <w:tcW w:w="1340" w:type="dxa"/>
            <w:tcBorders>
              <w:top w:val="single" w:color="auto" w:sz="6" w:space="0"/>
              <w:left w:val="single" w:color="auto" w:sz="6" w:space="0"/>
              <w:bottom w:val="single" w:color="auto" w:sz="6" w:space="0"/>
              <w:right w:val="single" w:color="auto" w:sz="6" w:space="0"/>
            </w:tcBorders>
            <w:noWrap w:val="0"/>
            <w:vAlign w:val="center"/>
          </w:tcPr>
          <w:p w14:paraId="76F4D7DA">
            <w:pPr>
              <w:autoSpaceDE w:val="0"/>
              <w:autoSpaceDN w:val="0"/>
              <w:adjustRightInd w:val="0"/>
              <w:jc w:val="center"/>
              <w:rPr>
                <w:rFonts w:hint="eastAsia" w:ascii="宋体" w:hAnsi="宋体" w:eastAsia="宋体" w:cs="宋体"/>
                <w:color w:val="auto"/>
                <w:sz w:val="24"/>
                <w:szCs w:val="24"/>
                <w:highlight w:val="none"/>
                <w:lang w:val="zh-CN"/>
              </w:rPr>
            </w:pPr>
          </w:p>
        </w:tc>
        <w:tc>
          <w:tcPr>
            <w:tcW w:w="905" w:type="dxa"/>
            <w:tcBorders>
              <w:top w:val="single" w:color="auto" w:sz="6" w:space="0"/>
              <w:left w:val="single" w:color="auto" w:sz="6" w:space="0"/>
              <w:bottom w:val="single" w:color="auto" w:sz="6" w:space="0"/>
              <w:right w:val="single" w:color="auto" w:sz="6" w:space="0"/>
            </w:tcBorders>
            <w:noWrap w:val="0"/>
            <w:vAlign w:val="center"/>
          </w:tcPr>
          <w:p w14:paraId="3E45DB68">
            <w:pPr>
              <w:autoSpaceDE w:val="0"/>
              <w:autoSpaceDN w:val="0"/>
              <w:adjustRightInd w:val="0"/>
              <w:jc w:val="center"/>
              <w:rPr>
                <w:rFonts w:hint="eastAsia" w:ascii="宋体" w:hAnsi="宋体" w:eastAsia="宋体" w:cs="宋体"/>
                <w:color w:val="auto"/>
                <w:sz w:val="24"/>
                <w:szCs w:val="24"/>
                <w:highlight w:val="none"/>
                <w:lang w:val="zh-CN"/>
              </w:rPr>
            </w:pPr>
          </w:p>
        </w:tc>
      </w:tr>
    </w:tbl>
    <w:p w14:paraId="455BD79F">
      <w:pPr>
        <w:autoSpaceDE w:val="0"/>
        <w:autoSpaceDN w:val="0"/>
        <w:adjustRightInd w:val="0"/>
        <w:jc w:val="both"/>
        <w:rPr>
          <w:rFonts w:hint="eastAsia" w:ascii="宋体" w:hAnsi="宋体" w:eastAsia="宋体" w:cs="宋体"/>
          <w:color w:val="auto"/>
          <w:sz w:val="24"/>
          <w:szCs w:val="24"/>
          <w:highlight w:val="none"/>
          <w:lang w:val="zh-CN"/>
        </w:rPr>
      </w:pPr>
    </w:p>
    <w:p w14:paraId="43E4077D">
      <w:pPr>
        <w:autoSpaceDE w:val="0"/>
        <w:autoSpaceDN w:val="0"/>
        <w:adjustRightInd w:val="0"/>
        <w:spacing w:line="480" w:lineRule="auto"/>
        <w:jc w:val="left"/>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注：技术人员附</w:t>
      </w:r>
      <w:r>
        <w:rPr>
          <w:rFonts w:hint="eastAsia" w:hAnsi="宋体" w:cs="宋体"/>
          <w:b/>
          <w:bCs/>
          <w:color w:val="auto"/>
          <w:sz w:val="24"/>
          <w:szCs w:val="24"/>
          <w:highlight w:val="none"/>
          <w:lang w:val="en-US" w:eastAsia="zh-CN"/>
        </w:rPr>
        <w:t>相关</w:t>
      </w:r>
      <w:r>
        <w:rPr>
          <w:rFonts w:hint="eastAsia" w:ascii="宋体" w:hAnsi="宋体" w:eastAsia="宋体" w:cs="宋体"/>
          <w:b/>
          <w:bCs/>
          <w:color w:val="auto"/>
          <w:sz w:val="24"/>
          <w:szCs w:val="24"/>
          <w:highlight w:val="none"/>
          <w:lang w:val="zh-CN"/>
        </w:rPr>
        <w:t>证书复印件（加盖公章）。</w:t>
      </w:r>
    </w:p>
    <w:p w14:paraId="7E3A32DA">
      <w:pPr>
        <w:rPr>
          <w:rFonts w:hint="eastAsia" w:ascii="宋体" w:hAnsi="宋体" w:eastAsia="宋体" w:cs="宋体"/>
          <w:color w:val="auto"/>
          <w:szCs w:val="24"/>
          <w:highlight w:val="none"/>
        </w:rPr>
      </w:pPr>
      <w:r>
        <w:rPr>
          <w:rFonts w:hint="eastAsia" w:ascii="宋体" w:hAnsi="宋体" w:eastAsia="宋体" w:cs="宋体"/>
          <w:color w:val="auto"/>
          <w:szCs w:val="24"/>
          <w:highlight w:val="none"/>
        </w:rPr>
        <w:br w:type="page"/>
      </w:r>
    </w:p>
    <w:p w14:paraId="2CC16B74">
      <w:pPr>
        <w:jc w:val="center"/>
        <w:outlineLvl w:val="1"/>
        <w:rPr>
          <w:rFonts w:hint="eastAsia" w:ascii="宋体" w:hAnsi="宋体" w:eastAsia="宋体" w:cs="宋体"/>
          <w:color w:val="auto"/>
          <w:sz w:val="32"/>
          <w:szCs w:val="32"/>
          <w:highlight w:val="none"/>
        </w:rPr>
      </w:pPr>
      <w:r>
        <w:rPr>
          <w:rFonts w:hint="eastAsia" w:ascii="宋体" w:hAnsi="宋体" w:eastAsia="宋体" w:cs="宋体"/>
          <w:b/>
          <w:bCs/>
          <w:color w:val="auto"/>
          <w:sz w:val="32"/>
          <w:szCs w:val="32"/>
          <w:highlight w:val="none"/>
        </w:rPr>
        <w:t>四、</w:t>
      </w:r>
      <w:bookmarkEnd w:id="192"/>
      <w:bookmarkEnd w:id="193"/>
      <w:bookmarkEnd w:id="194"/>
      <w:bookmarkEnd w:id="195"/>
      <w:bookmarkEnd w:id="196"/>
      <w:r>
        <w:rPr>
          <w:rFonts w:hint="eastAsia" w:ascii="宋体" w:hAnsi="宋体" w:eastAsia="宋体" w:cs="宋体"/>
          <w:b/>
          <w:bCs/>
          <w:color w:val="auto"/>
          <w:sz w:val="32"/>
          <w:szCs w:val="32"/>
          <w:highlight w:val="none"/>
        </w:rPr>
        <w:t>商务条款偏离表</w:t>
      </w:r>
      <w:bookmarkEnd w:id="197"/>
      <w:bookmarkEnd w:id="198"/>
      <w:bookmarkEnd w:id="199"/>
      <w:bookmarkEnd w:id="200"/>
    </w:p>
    <w:p w14:paraId="0844CE8C">
      <w:pPr>
        <w:pStyle w:val="18"/>
        <w:widowControl w:val="0"/>
        <w:spacing w:before="0" w:beforeAutospacing="0" w:after="0" w:afterAutospacing="0"/>
        <w:jc w:val="both"/>
        <w:rPr>
          <w:rFonts w:hint="eastAsia" w:ascii="宋体" w:hAnsi="宋体" w:eastAsia="宋体" w:cs="宋体"/>
          <w:color w:val="auto"/>
          <w:highlight w:val="none"/>
        </w:rPr>
      </w:pPr>
    </w:p>
    <w:p w14:paraId="362672B1">
      <w:pPr>
        <w:pStyle w:val="18"/>
        <w:widowControl w:val="0"/>
        <w:spacing w:before="156" w:beforeLines="50" w:beforeAutospacing="0" w:after="156" w:afterLines="50" w:afterAutospacing="0"/>
        <w:rPr>
          <w:rFonts w:hint="default" w:ascii="宋体" w:hAnsi="宋体" w:eastAsia="宋体" w:cs="宋体"/>
          <w:color w:val="auto"/>
          <w:highlight w:val="none"/>
          <w:lang w:val="en-US" w:eastAsia="zh-CN"/>
        </w:rPr>
      </w:pPr>
      <w:r>
        <w:rPr>
          <w:rFonts w:hint="eastAsia" w:ascii="宋体" w:hAnsi="宋体" w:eastAsia="宋体" w:cs="宋体"/>
          <w:color w:val="auto"/>
          <w:highlight w:val="none"/>
        </w:rPr>
        <w:t>项目编号：</w:t>
      </w:r>
      <w:r>
        <w:rPr>
          <w:rFonts w:hint="eastAsia" w:cs="宋体"/>
          <w:color w:val="auto"/>
          <w:highlight w:val="none"/>
          <w:lang w:val="en-US" w:eastAsia="zh-CN"/>
        </w:rPr>
        <w:t xml:space="preserve">              </w:t>
      </w:r>
    </w:p>
    <w:p w14:paraId="3CCDEE9A">
      <w:pPr>
        <w:pStyle w:val="18"/>
        <w:widowControl w:val="0"/>
        <w:spacing w:before="156" w:beforeLines="50" w:beforeAutospacing="0" w:after="156" w:afterLines="50" w:afterAutospacing="0"/>
        <w:rPr>
          <w:rFonts w:hint="eastAsia" w:ascii="宋体" w:hAnsi="宋体" w:eastAsia="宋体" w:cs="宋体"/>
          <w:color w:val="auto"/>
          <w:highlight w:val="none"/>
          <w:u w:val="single"/>
        </w:rPr>
      </w:pPr>
      <w:r>
        <w:rPr>
          <w:rFonts w:hint="eastAsia" w:ascii="宋体" w:hAnsi="宋体" w:eastAsia="宋体" w:cs="宋体"/>
          <w:color w:val="auto"/>
          <w:highlight w:val="none"/>
        </w:rPr>
        <w:t>项目名称：</w:t>
      </w:r>
    </w:p>
    <w:p w14:paraId="2100AAA2">
      <w:pPr>
        <w:pStyle w:val="18"/>
        <w:widowControl w:val="0"/>
        <w:spacing w:before="0" w:beforeAutospacing="0" w:after="0" w:afterAutospacing="0"/>
        <w:ind w:firstLine="480" w:firstLineChars="200"/>
        <w:jc w:val="center"/>
        <w:rPr>
          <w:rFonts w:hint="eastAsia" w:ascii="宋体" w:hAnsi="宋体" w:eastAsia="宋体" w:cs="宋体"/>
          <w:color w:val="auto"/>
          <w:highlight w:val="none"/>
        </w:rPr>
      </w:pP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1"/>
        <w:gridCol w:w="2649"/>
        <w:gridCol w:w="2768"/>
        <w:gridCol w:w="1673"/>
        <w:gridCol w:w="1253"/>
      </w:tblGrid>
      <w:tr w14:paraId="0F6B7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noWrap w:val="0"/>
            <w:vAlign w:val="center"/>
          </w:tcPr>
          <w:p w14:paraId="13BA4300">
            <w:pPr>
              <w:pStyle w:val="18"/>
              <w:widowControl w:val="0"/>
              <w:spacing w:before="0" w:beforeAutospacing="0" w:after="0" w:afterAutospacing="0"/>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2649" w:type="dxa"/>
            <w:tcBorders>
              <w:top w:val="single" w:color="auto" w:sz="4" w:space="0"/>
              <w:left w:val="single" w:color="auto" w:sz="4" w:space="0"/>
              <w:bottom w:val="single" w:color="auto" w:sz="4" w:space="0"/>
              <w:right w:val="single" w:color="auto" w:sz="4" w:space="0"/>
            </w:tcBorders>
            <w:noWrap w:val="0"/>
            <w:vAlign w:val="center"/>
          </w:tcPr>
          <w:p w14:paraId="77B824A6">
            <w:pPr>
              <w:pStyle w:val="18"/>
              <w:widowControl w:val="0"/>
              <w:spacing w:before="0" w:beforeAutospacing="0" w:after="0" w:afterAutospacing="0"/>
              <w:jc w:val="center"/>
              <w:rPr>
                <w:rFonts w:hint="eastAsia" w:ascii="宋体" w:hAnsi="宋体" w:eastAsia="宋体" w:cs="宋体"/>
                <w:color w:val="auto"/>
                <w:highlight w:val="none"/>
              </w:rPr>
            </w:pPr>
            <w:r>
              <w:rPr>
                <w:rFonts w:hint="eastAsia" w:ascii="宋体" w:hAnsi="宋体" w:eastAsia="宋体" w:cs="宋体"/>
                <w:color w:val="auto"/>
                <w:highlight w:val="none"/>
              </w:rPr>
              <w:t>磋商文件的商务条款</w:t>
            </w:r>
          </w:p>
        </w:tc>
        <w:tc>
          <w:tcPr>
            <w:tcW w:w="2768" w:type="dxa"/>
            <w:tcBorders>
              <w:top w:val="single" w:color="auto" w:sz="4" w:space="0"/>
              <w:left w:val="single" w:color="auto" w:sz="4" w:space="0"/>
              <w:bottom w:val="single" w:color="auto" w:sz="4" w:space="0"/>
              <w:right w:val="single" w:color="auto" w:sz="4" w:space="0"/>
            </w:tcBorders>
            <w:noWrap w:val="0"/>
            <w:vAlign w:val="center"/>
          </w:tcPr>
          <w:p w14:paraId="1E222AA6">
            <w:pPr>
              <w:pStyle w:val="18"/>
              <w:widowControl w:val="0"/>
              <w:spacing w:before="0" w:beforeAutospacing="0" w:after="0" w:afterAutospacing="0"/>
              <w:jc w:val="center"/>
              <w:rPr>
                <w:rFonts w:hint="eastAsia" w:ascii="宋体" w:hAnsi="宋体" w:eastAsia="宋体" w:cs="宋体"/>
                <w:color w:val="auto"/>
                <w:highlight w:val="none"/>
              </w:rPr>
            </w:pPr>
            <w:r>
              <w:rPr>
                <w:rFonts w:hint="eastAsia" w:ascii="宋体" w:hAnsi="宋体" w:eastAsia="宋体" w:cs="宋体"/>
                <w:color w:val="auto"/>
                <w:highlight w:val="none"/>
              </w:rPr>
              <w:t>磋商响应文件的商务条款</w:t>
            </w:r>
          </w:p>
        </w:tc>
        <w:tc>
          <w:tcPr>
            <w:tcW w:w="1673" w:type="dxa"/>
            <w:tcBorders>
              <w:top w:val="single" w:color="auto" w:sz="4" w:space="0"/>
              <w:left w:val="single" w:color="auto" w:sz="4" w:space="0"/>
              <w:bottom w:val="single" w:color="auto" w:sz="4" w:space="0"/>
              <w:right w:val="single" w:color="auto" w:sz="4" w:space="0"/>
            </w:tcBorders>
            <w:noWrap w:val="0"/>
            <w:vAlign w:val="center"/>
          </w:tcPr>
          <w:p w14:paraId="67403EE1">
            <w:pPr>
              <w:pStyle w:val="18"/>
              <w:widowControl w:val="0"/>
              <w:spacing w:before="0" w:beforeAutospacing="0" w:after="0" w:afterAutospacing="0"/>
              <w:jc w:val="center"/>
              <w:rPr>
                <w:rFonts w:hint="eastAsia" w:ascii="宋体" w:hAnsi="宋体" w:eastAsia="宋体" w:cs="宋体"/>
                <w:color w:val="auto"/>
                <w:highlight w:val="none"/>
              </w:rPr>
            </w:pPr>
            <w:r>
              <w:rPr>
                <w:rFonts w:hint="eastAsia" w:ascii="宋体" w:hAnsi="宋体" w:eastAsia="宋体" w:cs="宋体"/>
                <w:color w:val="auto"/>
                <w:highlight w:val="none"/>
              </w:rPr>
              <w:t>偏离</w:t>
            </w:r>
          </w:p>
        </w:tc>
        <w:tc>
          <w:tcPr>
            <w:tcW w:w="1253" w:type="dxa"/>
            <w:tcBorders>
              <w:top w:val="single" w:color="auto" w:sz="4" w:space="0"/>
              <w:left w:val="single" w:color="auto" w:sz="4" w:space="0"/>
              <w:bottom w:val="single" w:color="auto" w:sz="4" w:space="0"/>
              <w:right w:val="single" w:color="auto" w:sz="4" w:space="0"/>
            </w:tcBorders>
            <w:noWrap w:val="0"/>
            <w:vAlign w:val="center"/>
          </w:tcPr>
          <w:p w14:paraId="70A86B84">
            <w:pPr>
              <w:pStyle w:val="18"/>
              <w:widowControl w:val="0"/>
              <w:spacing w:before="0" w:beforeAutospacing="0" w:after="0" w:afterAutospacing="0"/>
              <w:jc w:val="center"/>
              <w:rPr>
                <w:rFonts w:hint="eastAsia" w:ascii="宋体" w:hAnsi="宋体" w:eastAsia="宋体" w:cs="宋体"/>
                <w:color w:val="auto"/>
                <w:highlight w:val="none"/>
              </w:rPr>
            </w:pPr>
            <w:r>
              <w:rPr>
                <w:rFonts w:hint="eastAsia" w:ascii="宋体" w:hAnsi="宋体" w:eastAsia="宋体" w:cs="宋体"/>
                <w:color w:val="auto"/>
                <w:highlight w:val="none"/>
              </w:rPr>
              <w:t>说明</w:t>
            </w:r>
          </w:p>
        </w:tc>
      </w:tr>
      <w:tr w14:paraId="1F97D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noWrap w:val="0"/>
            <w:vAlign w:val="center"/>
          </w:tcPr>
          <w:p w14:paraId="3B088DCE">
            <w:pPr>
              <w:pStyle w:val="18"/>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2649" w:type="dxa"/>
            <w:tcBorders>
              <w:top w:val="single" w:color="auto" w:sz="4" w:space="0"/>
              <w:left w:val="single" w:color="auto" w:sz="4" w:space="0"/>
              <w:bottom w:val="single" w:color="auto" w:sz="4" w:space="0"/>
              <w:right w:val="single" w:color="auto" w:sz="4" w:space="0"/>
            </w:tcBorders>
            <w:noWrap w:val="0"/>
            <w:vAlign w:val="center"/>
          </w:tcPr>
          <w:p w14:paraId="2D846971">
            <w:pPr>
              <w:pStyle w:val="18"/>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2768" w:type="dxa"/>
            <w:tcBorders>
              <w:top w:val="single" w:color="auto" w:sz="4" w:space="0"/>
              <w:left w:val="single" w:color="auto" w:sz="4" w:space="0"/>
              <w:bottom w:val="single" w:color="auto" w:sz="4" w:space="0"/>
              <w:right w:val="single" w:color="auto" w:sz="4" w:space="0"/>
            </w:tcBorders>
            <w:noWrap w:val="0"/>
            <w:vAlign w:val="center"/>
          </w:tcPr>
          <w:p w14:paraId="2A6F69E6">
            <w:pPr>
              <w:pStyle w:val="18"/>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1673" w:type="dxa"/>
            <w:tcBorders>
              <w:top w:val="single" w:color="auto" w:sz="4" w:space="0"/>
              <w:left w:val="single" w:color="auto" w:sz="4" w:space="0"/>
              <w:bottom w:val="single" w:color="auto" w:sz="4" w:space="0"/>
              <w:right w:val="single" w:color="auto" w:sz="4" w:space="0"/>
            </w:tcBorders>
            <w:noWrap w:val="0"/>
            <w:vAlign w:val="center"/>
          </w:tcPr>
          <w:p w14:paraId="05E673D5">
            <w:pPr>
              <w:pStyle w:val="18"/>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73EF5F0C">
            <w:pPr>
              <w:pStyle w:val="18"/>
              <w:widowControl w:val="0"/>
              <w:spacing w:before="0" w:beforeAutospacing="0" w:after="0" w:afterAutospacing="0"/>
              <w:ind w:firstLine="480" w:firstLineChars="200"/>
              <w:jc w:val="center"/>
              <w:rPr>
                <w:rFonts w:hint="eastAsia" w:ascii="宋体" w:hAnsi="宋体" w:eastAsia="宋体" w:cs="宋体"/>
                <w:color w:val="auto"/>
                <w:highlight w:val="none"/>
              </w:rPr>
            </w:pPr>
          </w:p>
        </w:tc>
      </w:tr>
      <w:tr w14:paraId="4F96B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noWrap w:val="0"/>
            <w:vAlign w:val="center"/>
          </w:tcPr>
          <w:p w14:paraId="0331365D">
            <w:pPr>
              <w:pStyle w:val="18"/>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2649" w:type="dxa"/>
            <w:tcBorders>
              <w:top w:val="single" w:color="auto" w:sz="4" w:space="0"/>
              <w:left w:val="single" w:color="auto" w:sz="4" w:space="0"/>
              <w:bottom w:val="single" w:color="auto" w:sz="4" w:space="0"/>
              <w:right w:val="single" w:color="auto" w:sz="4" w:space="0"/>
            </w:tcBorders>
            <w:noWrap w:val="0"/>
            <w:vAlign w:val="center"/>
          </w:tcPr>
          <w:p w14:paraId="3DD4CEE2">
            <w:pPr>
              <w:pStyle w:val="18"/>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2768" w:type="dxa"/>
            <w:tcBorders>
              <w:top w:val="single" w:color="auto" w:sz="4" w:space="0"/>
              <w:left w:val="single" w:color="auto" w:sz="4" w:space="0"/>
              <w:bottom w:val="single" w:color="auto" w:sz="4" w:space="0"/>
              <w:right w:val="single" w:color="auto" w:sz="4" w:space="0"/>
            </w:tcBorders>
            <w:noWrap w:val="0"/>
            <w:vAlign w:val="center"/>
          </w:tcPr>
          <w:p w14:paraId="40793B07">
            <w:pPr>
              <w:pStyle w:val="18"/>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1673" w:type="dxa"/>
            <w:tcBorders>
              <w:top w:val="single" w:color="auto" w:sz="4" w:space="0"/>
              <w:left w:val="single" w:color="auto" w:sz="4" w:space="0"/>
              <w:bottom w:val="single" w:color="auto" w:sz="4" w:space="0"/>
              <w:right w:val="single" w:color="auto" w:sz="4" w:space="0"/>
            </w:tcBorders>
            <w:noWrap w:val="0"/>
            <w:vAlign w:val="center"/>
          </w:tcPr>
          <w:p w14:paraId="09990814">
            <w:pPr>
              <w:pStyle w:val="18"/>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6C2C4E18">
            <w:pPr>
              <w:pStyle w:val="18"/>
              <w:widowControl w:val="0"/>
              <w:spacing w:before="0" w:beforeAutospacing="0" w:after="0" w:afterAutospacing="0"/>
              <w:ind w:firstLine="480" w:firstLineChars="200"/>
              <w:jc w:val="center"/>
              <w:rPr>
                <w:rFonts w:hint="eastAsia" w:ascii="宋体" w:hAnsi="宋体" w:eastAsia="宋体" w:cs="宋体"/>
                <w:color w:val="auto"/>
                <w:highlight w:val="none"/>
              </w:rPr>
            </w:pPr>
          </w:p>
        </w:tc>
      </w:tr>
      <w:tr w14:paraId="6756C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noWrap w:val="0"/>
            <w:vAlign w:val="center"/>
          </w:tcPr>
          <w:p w14:paraId="0C3573D6">
            <w:pPr>
              <w:pStyle w:val="18"/>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2649" w:type="dxa"/>
            <w:tcBorders>
              <w:top w:val="single" w:color="auto" w:sz="4" w:space="0"/>
              <w:left w:val="single" w:color="auto" w:sz="4" w:space="0"/>
              <w:bottom w:val="single" w:color="auto" w:sz="4" w:space="0"/>
              <w:right w:val="single" w:color="auto" w:sz="4" w:space="0"/>
            </w:tcBorders>
            <w:noWrap w:val="0"/>
            <w:vAlign w:val="center"/>
          </w:tcPr>
          <w:p w14:paraId="3F42A44E">
            <w:pPr>
              <w:pStyle w:val="18"/>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2768" w:type="dxa"/>
            <w:tcBorders>
              <w:top w:val="single" w:color="auto" w:sz="4" w:space="0"/>
              <w:left w:val="single" w:color="auto" w:sz="4" w:space="0"/>
              <w:bottom w:val="single" w:color="auto" w:sz="4" w:space="0"/>
              <w:right w:val="single" w:color="auto" w:sz="4" w:space="0"/>
            </w:tcBorders>
            <w:noWrap w:val="0"/>
            <w:vAlign w:val="center"/>
          </w:tcPr>
          <w:p w14:paraId="395578C0">
            <w:pPr>
              <w:pStyle w:val="18"/>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1673" w:type="dxa"/>
            <w:tcBorders>
              <w:top w:val="single" w:color="auto" w:sz="4" w:space="0"/>
              <w:left w:val="single" w:color="auto" w:sz="4" w:space="0"/>
              <w:bottom w:val="single" w:color="auto" w:sz="4" w:space="0"/>
              <w:right w:val="single" w:color="auto" w:sz="4" w:space="0"/>
            </w:tcBorders>
            <w:noWrap w:val="0"/>
            <w:vAlign w:val="center"/>
          </w:tcPr>
          <w:p w14:paraId="15FCB6B8">
            <w:pPr>
              <w:pStyle w:val="18"/>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1547DA15">
            <w:pPr>
              <w:pStyle w:val="18"/>
              <w:widowControl w:val="0"/>
              <w:spacing w:before="0" w:beforeAutospacing="0" w:after="0" w:afterAutospacing="0"/>
              <w:ind w:firstLine="480" w:firstLineChars="200"/>
              <w:jc w:val="center"/>
              <w:rPr>
                <w:rFonts w:hint="eastAsia" w:ascii="宋体" w:hAnsi="宋体" w:eastAsia="宋体" w:cs="宋体"/>
                <w:color w:val="auto"/>
                <w:highlight w:val="none"/>
              </w:rPr>
            </w:pPr>
          </w:p>
        </w:tc>
      </w:tr>
      <w:tr w14:paraId="678E9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noWrap w:val="0"/>
            <w:vAlign w:val="center"/>
          </w:tcPr>
          <w:p w14:paraId="68677D73">
            <w:pPr>
              <w:pStyle w:val="18"/>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2649" w:type="dxa"/>
            <w:tcBorders>
              <w:top w:val="single" w:color="auto" w:sz="4" w:space="0"/>
              <w:left w:val="single" w:color="auto" w:sz="4" w:space="0"/>
              <w:bottom w:val="single" w:color="auto" w:sz="4" w:space="0"/>
              <w:right w:val="single" w:color="auto" w:sz="4" w:space="0"/>
            </w:tcBorders>
            <w:noWrap w:val="0"/>
            <w:vAlign w:val="center"/>
          </w:tcPr>
          <w:p w14:paraId="0F7FB1FC">
            <w:pPr>
              <w:pStyle w:val="18"/>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2768" w:type="dxa"/>
            <w:tcBorders>
              <w:top w:val="single" w:color="auto" w:sz="4" w:space="0"/>
              <w:left w:val="single" w:color="auto" w:sz="4" w:space="0"/>
              <w:bottom w:val="single" w:color="auto" w:sz="4" w:space="0"/>
              <w:right w:val="single" w:color="auto" w:sz="4" w:space="0"/>
            </w:tcBorders>
            <w:noWrap w:val="0"/>
            <w:vAlign w:val="center"/>
          </w:tcPr>
          <w:p w14:paraId="04E5ABE8">
            <w:pPr>
              <w:pStyle w:val="18"/>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1673" w:type="dxa"/>
            <w:tcBorders>
              <w:top w:val="single" w:color="auto" w:sz="4" w:space="0"/>
              <w:left w:val="single" w:color="auto" w:sz="4" w:space="0"/>
              <w:bottom w:val="single" w:color="auto" w:sz="4" w:space="0"/>
              <w:right w:val="single" w:color="auto" w:sz="4" w:space="0"/>
            </w:tcBorders>
            <w:noWrap w:val="0"/>
            <w:vAlign w:val="center"/>
          </w:tcPr>
          <w:p w14:paraId="42BA76E9">
            <w:pPr>
              <w:pStyle w:val="18"/>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36BCC5A7">
            <w:pPr>
              <w:pStyle w:val="18"/>
              <w:widowControl w:val="0"/>
              <w:spacing w:before="0" w:beforeAutospacing="0" w:after="0" w:afterAutospacing="0"/>
              <w:ind w:firstLine="480" w:firstLineChars="200"/>
              <w:jc w:val="center"/>
              <w:rPr>
                <w:rFonts w:hint="eastAsia" w:ascii="宋体" w:hAnsi="宋体" w:eastAsia="宋体" w:cs="宋体"/>
                <w:color w:val="auto"/>
                <w:highlight w:val="none"/>
              </w:rPr>
            </w:pPr>
          </w:p>
        </w:tc>
      </w:tr>
      <w:tr w14:paraId="3DFC9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noWrap w:val="0"/>
            <w:vAlign w:val="center"/>
          </w:tcPr>
          <w:p w14:paraId="502310D5">
            <w:pPr>
              <w:pStyle w:val="18"/>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2649" w:type="dxa"/>
            <w:tcBorders>
              <w:top w:val="single" w:color="auto" w:sz="4" w:space="0"/>
              <w:left w:val="single" w:color="auto" w:sz="4" w:space="0"/>
              <w:bottom w:val="single" w:color="auto" w:sz="4" w:space="0"/>
              <w:right w:val="single" w:color="auto" w:sz="4" w:space="0"/>
            </w:tcBorders>
            <w:noWrap w:val="0"/>
            <w:vAlign w:val="center"/>
          </w:tcPr>
          <w:p w14:paraId="7256BFF0">
            <w:pPr>
              <w:pStyle w:val="18"/>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2768" w:type="dxa"/>
            <w:tcBorders>
              <w:top w:val="single" w:color="auto" w:sz="4" w:space="0"/>
              <w:left w:val="single" w:color="auto" w:sz="4" w:space="0"/>
              <w:bottom w:val="single" w:color="auto" w:sz="4" w:space="0"/>
              <w:right w:val="single" w:color="auto" w:sz="4" w:space="0"/>
            </w:tcBorders>
            <w:noWrap w:val="0"/>
            <w:vAlign w:val="center"/>
          </w:tcPr>
          <w:p w14:paraId="6A6523E3">
            <w:pPr>
              <w:pStyle w:val="18"/>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1673" w:type="dxa"/>
            <w:tcBorders>
              <w:top w:val="single" w:color="auto" w:sz="4" w:space="0"/>
              <w:left w:val="single" w:color="auto" w:sz="4" w:space="0"/>
              <w:bottom w:val="single" w:color="auto" w:sz="4" w:space="0"/>
              <w:right w:val="single" w:color="auto" w:sz="4" w:space="0"/>
            </w:tcBorders>
            <w:noWrap w:val="0"/>
            <w:vAlign w:val="center"/>
          </w:tcPr>
          <w:p w14:paraId="4B6EFD9F">
            <w:pPr>
              <w:pStyle w:val="18"/>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454D9FE8">
            <w:pPr>
              <w:pStyle w:val="18"/>
              <w:widowControl w:val="0"/>
              <w:spacing w:before="0" w:beforeAutospacing="0" w:after="0" w:afterAutospacing="0"/>
              <w:ind w:firstLine="480" w:firstLineChars="200"/>
              <w:jc w:val="center"/>
              <w:rPr>
                <w:rFonts w:hint="eastAsia" w:ascii="宋体" w:hAnsi="宋体" w:eastAsia="宋体" w:cs="宋体"/>
                <w:color w:val="auto"/>
                <w:highlight w:val="none"/>
              </w:rPr>
            </w:pPr>
          </w:p>
        </w:tc>
      </w:tr>
      <w:tr w14:paraId="7CA75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noWrap w:val="0"/>
            <w:vAlign w:val="center"/>
          </w:tcPr>
          <w:p w14:paraId="57569038">
            <w:pPr>
              <w:pStyle w:val="18"/>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2649" w:type="dxa"/>
            <w:tcBorders>
              <w:top w:val="single" w:color="auto" w:sz="4" w:space="0"/>
              <w:left w:val="single" w:color="auto" w:sz="4" w:space="0"/>
              <w:bottom w:val="single" w:color="auto" w:sz="4" w:space="0"/>
              <w:right w:val="single" w:color="auto" w:sz="4" w:space="0"/>
            </w:tcBorders>
            <w:noWrap w:val="0"/>
            <w:vAlign w:val="center"/>
          </w:tcPr>
          <w:p w14:paraId="5C7658DB">
            <w:pPr>
              <w:pStyle w:val="18"/>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2768" w:type="dxa"/>
            <w:tcBorders>
              <w:top w:val="single" w:color="auto" w:sz="4" w:space="0"/>
              <w:left w:val="single" w:color="auto" w:sz="4" w:space="0"/>
              <w:bottom w:val="single" w:color="auto" w:sz="4" w:space="0"/>
              <w:right w:val="single" w:color="auto" w:sz="4" w:space="0"/>
            </w:tcBorders>
            <w:noWrap w:val="0"/>
            <w:vAlign w:val="center"/>
          </w:tcPr>
          <w:p w14:paraId="1EF3DF8F">
            <w:pPr>
              <w:pStyle w:val="18"/>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1673" w:type="dxa"/>
            <w:tcBorders>
              <w:top w:val="single" w:color="auto" w:sz="4" w:space="0"/>
              <w:left w:val="single" w:color="auto" w:sz="4" w:space="0"/>
              <w:bottom w:val="single" w:color="auto" w:sz="4" w:space="0"/>
              <w:right w:val="single" w:color="auto" w:sz="4" w:space="0"/>
            </w:tcBorders>
            <w:noWrap w:val="0"/>
            <w:vAlign w:val="center"/>
          </w:tcPr>
          <w:p w14:paraId="056A7373">
            <w:pPr>
              <w:pStyle w:val="18"/>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343BB974">
            <w:pPr>
              <w:pStyle w:val="18"/>
              <w:widowControl w:val="0"/>
              <w:spacing w:before="0" w:beforeAutospacing="0" w:after="0" w:afterAutospacing="0"/>
              <w:ind w:firstLine="480" w:firstLineChars="200"/>
              <w:jc w:val="center"/>
              <w:rPr>
                <w:rFonts w:hint="eastAsia" w:ascii="宋体" w:hAnsi="宋体" w:eastAsia="宋体" w:cs="宋体"/>
                <w:color w:val="auto"/>
                <w:highlight w:val="none"/>
              </w:rPr>
            </w:pPr>
          </w:p>
        </w:tc>
      </w:tr>
      <w:tr w14:paraId="7475B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noWrap w:val="0"/>
            <w:vAlign w:val="center"/>
          </w:tcPr>
          <w:p w14:paraId="6F39CA0F">
            <w:pPr>
              <w:pStyle w:val="18"/>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2649" w:type="dxa"/>
            <w:tcBorders>
              <w:top w:val="single" w:color="auto" w:sz="4" w:space="0"/>
              <w:left w:val="single" w:color="auto" w:sz="4" w:space="0"/>
              <w:bottom w:val="single" w:color="auto" w:sz="4" w:space="0"/>
              <w:right w:val="single" w:color="auto" w:sz="4" w:space="0"/>
            </w:tcBorders>
            <w:noWrap w:val="0"/>
            <w:vAlign w:val="center"/>
          </w:tcPr>
          <w:p w14:paraId="471FC7BF">
            <w:pPr>
              <w:pStyle w:val="18"/>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2768" w:type="dxa"/>
            <w:tcBorders>
              <w:top w:val="single" w:color="auto" w:sz="4" w:space="0"/>
              <w:left w:val="single" w:color="auto" w:sz="4" w:space="0"/>
              <w:bottom w:val="single" w:color="auto" w:sz="4" w:space="0"/>
              <w:right w:val="single" w:color="auto" w:sz="4" w:space="0"/>
            </w:tcBorders>
            <w:noWrap w:val="0"/>
            <w:vAlign w:val="center"/>
          </w:tcPr>
          <w:p w14:paraId="7F4CD165">
            <w:pPr>
              <w:pStyle w:val="18"/>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1673" w:type="dxa"/>
            <w:tcBorders>
              <w:top w:val="single" w:color="auto" w:sz="4" w:space="0"/>
              <w:left w:val="single" w:color="auto" w:sz="4" w:space="0"/>
              <w:bottom w:val="single" w:color="auto" w:sz="4" w:space="0"/>
              <w:right w:val="single" w:color="auto" w:sz="4" w:space="0"/>
            </w:tcBorders>
            <w:noWrap w:val="0"/>
            <w:vAlign w:val="center"/>
          </w:tcPr>
          <w:p w14:paraId="101AE80E">
            <w:pPr>
              <w:pStyle w:val="18"/>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2B905AA6">
            <w:pPr>
              <w:pStyle w:val="18"/>
              <w:widowControl w:val="0"/>
              <w:spacing w:before="0" w:beforeAutospacing="0" w:after="0" w:afterAutospacing="0"/>
              <w:ind w:firstLine="480" w:firstLineChars="200"/>
              <w:jc w:val="center"/>
              <w:rPr>
                <w:rFonts w:hint="eastAsia" w:ascii="宋体" w:hAnsi="宋体" w:eastAsia="宋体" w:cs="宋体"/>
                <w:color w:val="auto"/>
                <w:highlight w:val="none"/>
              </w:rPr>
            </w:pPr>
          </w:p>
        </w:tc>
      </w:tr>
    </w:tbl>
    <w:p w14:paraId="48E7CB82">
      <w:pPr>
        <w:pStyle w:val="18"/>
        <w:widowControl w:val="0"/>
        <w:spacing w:before="0" w:beforeAutospacing="0" w:after="0" w:afterAutospacing="0"/>
        <w:rPr>
          <w:rFonts w:hint="eastAsia" w:ascii="宋体" w:hAnsi="宋体" w:eastAsia="宋体" w:cs="宋体"/>
          <w:color w:val="auto"/>
          <w:highlight w:val="none"/>
        </w:rPr>
      </w:pPr>
      <w:r>
        <w:rPr>
          <w:rFonts w:hint="eastAsia" w:ascii="宋体" w:hAnsi="宋体" w:eastAsia="宋体" w:cs="宋体"/>
          <w:color w:val="auto"/>
          <w:highlight w:val="none"/>
        </w:rPr>
        <w:t>说明：</w:t>
      </w:r>
    </w:p>
    <w:p w14:paraId="5ADC48F2">
      <w:pPr>
        <w:pStyle w:val="18"/>
        <w:widowControl w:val="0"/>
        <w:spacing w:before="0" w:beforeAutospacing="0" w:after="0" w:afterAutospacing="0"/>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1.参照第</w:t>
      </w:r>
      <w:r>
        <w:rPr>
          <w:rFonts w:hint="eastAsia" w:cs="宋体"/>
          <w:color w:val="auto"/>
          <w:highlight w:val="none"/>
          <w:lang w:eastAsia="zh-CN"/>
        </w:rPr>
        <w:t>四</w:t>
      </w:r>
      <w:r>
        <w:rPr>
          <w:rFonts w:hint="eastAsia" w:ascii="宋体" w:hAnsi="宋体" w:eastAsia="宋体" w:cs="宋体"/>
          <w:color w:val="auto"/>
          <w:highlight w:val="none"/>
        </w:rPr>
        <w:t>章合同条款要求内容进行响应。</w:t>
      </w:r>
    </w:p>
    <w:p w14:paraId="4ACB911A">
      <w:pPr>
        <w:pStyle w:val="18"/>
        <w:widowControl w:val="0"/>
        <w:spacing w:before="0" w:beforeAutospacing="0" w:after="0" w:afterAutospacing="0"/>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2.本表只填写磋商响应文件中与磋商文件有偏离（包括正偏离和负偏离）的内容，磋商响应文件中商务响应与磋商文件要求完全一致的，不用在此表中列出，但必须提交空白表。</w:t>
      </w:r>
    </w:p>
    <w:p w14:paraId="0A33E7D5">
      <w:pPr>
        <w:pStyle w:val="18"/>
        <w:widowControl w:val="0"/>
        <w:spacing w:before="0" w:beforeAutospacing="0" w:after="0" w:afterAutospacing="0"/>
        <w:ind w:firstLine="480" w:firstLineChars="200"/>
        <w:rPr>
          <w:rFonts w:hint="eastAsia" w:ascii="宋体" w:hAnsi="宋体" w:eastAsia="宋体" w:cs="宋体"/>
          <w:color w:val="auto"/>
          <w:highlight w:val="none"/>
        </w:rPr>
      </w:pPr>
      <w:r>
        <w:rPr>
          <w:rFonts w:hint="eastAsia" w:cs="宋体"/>
          <w:color w:val="auto"/>
          <w:highlight w:val="none"/>
          <w:lang w:val="en-US" w:eastAsia="zh-CN"/>
        </w:rPr>
        <w:t>3</w:t>
      </w:r>
      <w:r>
        <w:rPr>
          <w:rFonts w:hint="eastAsia" w:ascii="宋体" w:hAnsi="宋体" w:eastAsia="宋体" w:cs="宋体"/>
          <w:color w:val="auto"/>
          <w:highlight w:val="none"/>
        </w:rPr>
        <w:t>.供应商必须据实填写，不得虚假响应，否则将取消其磋商或成交资格，并按有关规定进处罚。</w:t>
      </w:r>
    </w:p>
    <w:p w14:paraId="749AF9A3">
      <w:pPr>
        <w:pStyle w:val="18"/>
        <w:widowControl w:val="0"/>
        <w:spacing w:before="0" w:beforeAutospacing="0" w:after="0" w:afterAutospacing="0"/>
        <w:ind w:firstLine="480" w:firstLineChars="200"/>
        <w:jc w:val="center"/>
        <w:rPr>
          <w:rFonts w:hint="eastAsia" w:ascii="宋体" w:hAnsi="宋体" w:eastAsia="宋体" w:cs="宋体"/>
          <w:color w:val="auto"/>
          <w:highlight w:val="none"/>
        </w:rPr>
      </w:pPr>
    </w:p>
    <w:p w14:paraId="414C91C0">
      <w:pPr>
        <w:pStyle w:val="18"/>
        <w:widowControl w:val="0"/>
        <w:spacing w:before="0" w:beforeAutospacing="0" w:after="0" w:afterAutospacing="0"/>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供应商名称：                       </w:t>
      </w:r>
      <w:r>
        <w:rPr>
          <w:rFonts w:hint="eastAsia" w:cs="宋体"/>
          <w:color w:val="auto"/>
          <w:highlight w:val="none"/>
          <w:lang w:val="en-US" w:eastAsia="zh-CN"/>
        </w:rPr>
        <w:t xml:space="preserve"> </w:t>
      </w:r>
      <w:r>
        <w:rPr>
          <w:rFonts w:hint="eastAsia" w:ascii="宋体" w:hAnsi="宋体" w:eastAsia="宋体" w:cs="宋体"/>
          <w:color w:val="auto"/>
          <w:highlight w:val="none"/>
        </w:rPr>
        <w:t>（单位公章）</w:t>
      </w:r>
    </w:p>
    <w:p w14:paraId="6440747D">
      <w:pPr>
        <w:pStyle w:val="18"/>
        <w:widowControl w:val="0"/>
        <w:spacing w:before="0" w:beforeAutospacing="0" w:after="0" w:afterAutospacing="0"/>
        <w:ind w:firstLine="480" w:firstLineChars="200"/>
        <w:jc w:val="center"/>
        <w:rPr>
          <w:rFonts w:hint="eastAsia" w:ascii="宋体" w:hAnsi="宋体" w:eastAsia="宋体" w:cs="宋体"/>
          <w:color w:val="auto"/>
          <w:highlight w:val="none"/>
        </w:rPr>
      </w:pPr>
    </w:p>
    <w:p w14:paraId="5A2D9262">
      <w:pPr>
        <w:spacing w:line="4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highlight w:val="none"/>
        </w:rPr>
        <w:t>法定代表人或委托代理人：              （签字</w:t>
      </w:r>
      <w:r>
        <w:rPr>
          <w:rFonts w:hint="eastAsia" w:hAnsi="宋体" w:cs="宋体"/>
          <w:color w:val="auto"/>
          <w:highlight w:val="none"/>
          <w:lang w:val="en-US" w:eastAsia="zh-CN"/>
        </w:rPr>
        <w:t>或盖章</w:t>
      </w:r>
      <w:r>
        <w:rPr>
          <w:rFonts w:hint="eastAsia" w:ascii="宋体" w:hAnsi="宋体" w:eastAsia="宋体" w:cs="宋体"/>
          <w:color w:val="auto"/>
          <w:highlight w:val="none"/>
        </w:rPr>
        <w:t xml:space="preserve">） </w:t>
      </w:r>
    </w:p>
    <w:p w14:paraId="7B28AE48">
      <w:pPr>
        <w:spacing w:line="360" w:lineRule="auto"/>
        <w:ind w:left="600" w:leftChars="250"/>
        <w:rPr>
          <w:rFonts w:hint="eastAsia" w:ascii="宋体" w:hAnsi="宋体" w:eastAsia="宋体" w:cs="宋体"/>
          <w:b/>
          <w:bCs/>
          <w:color w:val="auto"/>
          <w:sz w:val="28"/>
          <w:szCs w:val="28"/>
          <w:highlight w:val="none"/>
        </w:rPr>
      </w:pPr>
    </w:p>
    <w:p w14:paraId="477218E9">
      <w:pPr>
        <w:spacing w:line="440" w:lineRule="exact"/>
        <w:ind w:left="3725" w:leftChars="1552"/>
        <w:rPr>
          <w:rFonts w:hint="eastAsia" w:ascii="宋体" w:hAnsi="宋体" w:eastAsia="宋体" w:cs="宋体"/>
          <w:color w:val="auto"/>
          <w:szCs w:val="24"/>
          <w:highlight w:val="none"/>
        </w:rPr>
      </w:pPr>
    </w:p>
    <w:p w14:paraId="7C6BA01A">
      <w:pPr>
        <w:spacing w:line="440" w:lineRule="exact"/>
        <w:ind w:left="3725" w:leftChars="1552"/>
        <w:rPr>
          <w:rFonts w:hint="eastAsia" w:ascii="宋体" w:hAnsi="宋体" w:eastAsia="宋体" w:cs="宋体"/>
          <w:color w:val="auto"/>
          <w:szCs w:val="24"/>
          <w:highlight w:val="none"/>
        </w:rPr>
      </w:pPr>
    </w:p>
    <w:p w14:paraId="20BAA755">
      <w:pPr>
        <w:spacing w:line="440" w:lineRule="exact"/>
        <w:ind w:left="3725" w:leftChars="1552"/>
        <w:rPr>
          <w:rFonts w:hint="eastAsia" w:ascii="宋体" w:hAnsi="宋体" w:eastAsia="宋体" w:cs="宋体"/>
          <w:color w:val="auto"/>
          <w:szCs w:val="24"/>
          <w:highlight w:val="none"/>
        </w:rPr>
      </w:pPr>
    </w:p>
    <w:bookmarkEnd w:id="187"/>
    <w:p w14:paraId="4BCFA2CF">
      <w:pPr>
        <w:spacing w:line="360" w:lineRule="auto"/>
        <w:jc w:val="center"/>
        <w:outlineLvl w:val="1"/>
        <w:rPr>
          <w:rFonts w:hint="eastAsia" w:ascii="宋体" w:hAnsi="宋体" w:eastAsia="宋体" w:cs="宋体"/>
          <w:b/>
          <w:bCs/>
          <w:color w:val="auto"/>
          <w:sz w:val="30"/>
          <w:szCs w:val="30"/>
          <w:highlight w:val="none"/>
        </w:rPr>
      </w:pPr>
      <w:bookmarkStart w:id="201" w:name="_Toc363474033"/>
      <w:bookmarkStart w:id="202" w:name="_Toc403077656"/>
      <w:r>
        <w:rPr>
          <w:rFonts w:hint="eastAsia" w:ascii="宋体" w:hAnsi="宋体" w:eastAsia="宋体" w:cs="宋体"/>
          <w:b/>
          <w:bCs/>
          <w:color w:val="auto"/>
          <w:sz w:val="30"/>
          <w:szCs w:val="30"/>
          <w:highlight w:val="none"/>
        </w:rPr>
        <w:br w:type="page"/>
      </w:r>
      <w:bookmarkStart w:id="203" w:name="_Toc27470"/>
      <w:bookmarkStart w:id="204" w:name="_Toc3386"/>
      <w:bookmarkStart w:id="205" w:name="_Toc1542"/>
      <w:bookmarkStart w:id="206" w:name="_Toc10118"/>
      <w:r>
        <w:rPr>
          <w:rFonts w:hint="eastAsia" w:ascii="宋体" w:hAnsi="宋体" w:eastAsia="宋体" w:cs="宋体"/>
          <w:b/>
          <w:bCs/>
          <w:color w:val="auto"/>
          <w:sz w:val="30"/>
          <w:szCs w:val="30"/>
          <w:highlight w:val="none"/>
        </w:rPr>
        <w:t>五、陕西省政府采购供应商拒绝政府采购领域商业贿赂承诺书</w:t>
      </w:r>
      <w:bookmarkEnd w:id="201"/>
      <w:bookmarkEnd w:id="202"/>
      <w:bookmarkEnd w:id="203"/>
      <w:bookmarkEnd w:id="204"/>
      <w:bookmarkEnd w:id="205"/>
      <w:bookmarkEnd w:id="206"/>
    </w:p>
    <w:p w14:paraId="3D5D48A2">
      <w:pPr>
        <w:spacing w:line="600" w:lineRule="exact"/>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为响应党中央、国务院关于治理政府采购领域商业贿赂行为的号召，我公司在此庄严承诺：</w:t>
      </w:r>
    </w:p>
    <w:p w14:paraId="73829D34">
      <w:pPr>
        <w:spacing w:line="600" w:lineRule="exact"/>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1、在参与政府采购活动中遵纪守法、诚信经营、公平竞标。</w:t>
      </w:r>
    </w:p>
    <w:p w14:paraId="729A4F0A">
      <w:pPr>
        <w:spacing w:line="600" w:lineRule="exact"/>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2、不向政府采购人、采购代理机构和政府采购评审专家进行任何形式的商业贿赂以谋取交易机会。</w:t>
      </w:r>
    </w:p>
    <w:p w14:paraId="43736E0E">
      <w:pPr>
        <w:spacing w:line="600" w:lineRule="exact"/>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3、不向政府采购代理机构和采购人提供虚假资质文件或采用虚假应标方式参与政府采购市场竞争并谋取中标、成交。</w:t>
      </w:r>
    </w:p>
    <w:p w14:paraId="5E0EF05D">
      <w:pPr>
        <w:spacing w:line="600" w:lineRule="exact"/>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4、不采取“围标、陪标”等商业欺诈手段获得政府采购定单。</w:t>
      </w:r>
    </w:p>
    <w:p w14:paraId="6E77DF4A">
      <w:pPr>
        <w:spacing w:line="600" w:lineRule="exact"/>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5、不采取不正当手段诋毁、排挤其他供应商。</w:t>
      </w:r>
    </w:p>
    <w:p w14:paraId="07C91675">
      <w:pPr>
        <w:spacing w:line="600" w:lineRule="exact"/>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6、不在提供商品和服务时“偷梁换柱、以次充好”损害采购人的合法权益。</w:t>
      </w:r>
    </w:p>
    <w:p w14:paraId="0842D254">
      <w:pPr>
        <w:spacing w:line="600" w:lineRule="exact"/>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7、不与采购人、采购代理机构政府采购评审专家或其它供应商恶意串通，进行质疑和投诉，维护政府采购市场秩序。</w:t>
      </w:r>
    </w:p>
    <w:p w14:paraId="122655E5">
      <w:pPr>
        <w:spacing w:line="600" w:lineRule="exact"/>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8、尊重和接受政府采购监督管理部门的监督和政府采购代理机构招标采购要求，承担因违约行为给采购人造成的损失。</w:t>
      </w:r>
    </w:p>
    <w:p w14:paraId="6AB6E413">
      <w:pPr>
        <w:spacing w:line="600" w:lineRule="exact"/>
        <w:ind w:left="761" w:leftChars="267" w:hanging="120" w:hangingChars="5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9、不发生其他有悖于政府采购公开、公平、公正和诚信原则的行为。</w:t>
      </w:r>
    </w:p>
    <w:p w14:paraId="4D26F2BD">
      <w:pPr>
        <w:spacing w:line="600" w:lineRule="exact"/>
        <w:ind w:firstLine="720" w:firstLineChars="3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承诺单位（盖章）：</w:t>
      </w:r>
    </w:p>
    <w:p w14:paraId="363D59CD">
      <w:pPr>
        <w:spacing w:line="600" w:lineRule="exact"/>
        <w:ind w:firstLine="720" w:firstLineChars="3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全权代表（签字）：</w:t>
      </w:r>
    </w:p>
    <w:p w14:paraId="46A18988">
      <w:pPr>
        <w:spacing w:line="600" w:lineRule="exact"/>
        <w:ind w:firstLine="720" w:firstLineChars="3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地    址：                                                       </w:t>
      </w:r>
    </w:p>
    <w:p w14:paraId="56BF56FD">
      <w:pPr>
        <w:spacing w:line="600" w:lineRule="exact"/>
        <w:ind w:firstLine="720" w:firstLineChars="3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邮    编：                                                       </w:t>
      </w:r>
    </w:p>
    <w:p w14:paraId="3939425C">
      <w:pPr>
        <w:spacing w:line="600" w:lineRule="exact"/>
        <w:ind w:left="240" w:leftChars="100"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电    话：                                                       </w:t>
      </w:r>
    </w:p>
    <w:p w14:paraId="22FA752B">
      <w:pPr>
        <w:spacing w:line="600" w:lineRule="exact"/>
        <w:ind w:left="754" w:leftChars="314" w:firstLine="5280" w:firstLineChars="2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年    月    日</w:t>
      </w:r>
    </w:p>
    <w:p w14:paraId="45600E9D">
      <w:pPr>
        <w:jc w:val="center"/>
        <w:outlineLvl w:val="1"/>
        <w:rPr>
          <w:rFonts w:hint="eastAsia" w:ascii="宋体" w:hAnsi="宋体" w:eastAsia="宋体" w:cs="宋体"/>
          <w:color w:val="auto"/>
          <w:highlight w:val="none"/>
          <w:shd w:val="clear" w:color="auto" w:fill="FFFFFF"/>
        </w:rPr>
      </w:pPr>
      <w:bookmarkStart w:id="207" w:name="_Toc403077657"/>
      <w:bookmarkStart w:id="208" w:name="_Toc363474034"/>
      <w:r>
        <w:rPr>
          <w:rFonts w:hint="eastAsia" w:ascii="宋体" w:hAnsi="宋体" w:eastAsia="宋体" w:cs="宋体"/>
          <w:b/>
          <w:bCs/>
          <w:color w:val="auto"/>
          <w:sz w:val="30"/>
          <w:szCs w:val="30"/>
          <w:highlight w:val="none"/>
        </w:rPr>
        <w:br w:type="page"/>
      </w:r>
      <w:bookmarkStart w:id="209" w:name="_Toc29285"/>
      <w:bookmarkStart w:id="210" w:name="_Toc7842"/>
      <w:bookmarkStart w:id="211" w:name="_Toc3866"/>
      <w:bookmarkStart w:id="212" w:name="_Toc32016"/>
      <w:r>
        <w:rPr>
          <w:rFonts w:hint="eastAsia" w:ascii="宋体" w:hAnsi="宋体" w:eastAsia="宋体" w:cs="宋体"/>
          <w:b/>
          <w:bCs/>
          <w:color w:val="auto"/>
          <w:sz w:val="30"/>
          <w:szCs w:val="30"/>
          <w:highlight w:val="none"/>
        </w:rPr>
        <w:t>六、特定资格证明文件</w:t>
      </w:r>
      <w:bookmarkEnd w:id="207"/>
      <w:bookmarkEnd w:id="208"/>
      <w:bookmarkEnd w:id="209"/>
      <w:bookmarkEnd w:id="210"/>
      <w:bookmarkEnd w:id="211"/>
      <w:bookmarkEnd w:id="212"/>
    </w:p>
    <w:p w14:paraId="13574F54">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both"/>
        <w:textAlignment w:val="auto"/>
        <w:outlineLvl w:val="9"/>
        <w:rPr>
          <w:rFonts w:hint="eastAsia" w:ascii="宋体" w:hAnsi="宋体" w:eastAsia="宋体" w:cs="宋体"/>
          <w:color w:val="auto"/>
          <w:sz w:val="24"/>
          <w:szCs w:val="24"/>
        </w:rPr>
      </w:pPr>
      <w:bookmarkStart w:id="213" w:name="_Toc7510"/>
      <w:r>
        <w:rPr>
          <w:rFonts w:hint="eastAsia" w:ascii="宋体" w:hAnsi="宋体" w:eastAsia="宋体" w:cs="宋体"/>
          <w:sz w:val="24"/>
          <w:szCs w:val="24"/>
        </w:rPr>
        <w:t>（1）提供合格有效的法人或者其他组织的营业执照等证明文件，自然人的身份证明；</w:t>
      </w:r>
      <w:r>
        <w:rPr>
          <w:rFonts w:hint="eastAsia" w:ascii="宋体" w:hAnsi="宋体" w:eastAsia="宋体" w:cs="宋体"/>
          <w:sz w:val="24"/>
          <w:szCs w:val="24"/>
        </w:rPr>
        <w:br w:type="textWrapping"/>
      </w:r>
      <w:r>
        <w:rPr>
          <w:rFonts w:hint="eastAsia" w:ascii="宋体" w:hAnsi="宋体" w:eastAsia="宋体" w:cs="宋体"/>
          <w:sz w:val="24"/>
          <w:szCs w:val="24"/>
        </w:rPr>
        <w:t>（2）提供法定代表人授权书（附法定代表人、被授权人身份证复印件），法定代表人直接参加的，须提供法定代表人身份证明及身份证复印件；</w:t>
      </w:r>
      <w:r>
        <w:rPr>
          <w:rFonts w:hint="eastAsia" w:ascii="宋体" w:hAnsi="宋体" w:eastAsia="宋体" w:cs="宋体"/>
          <w:sz w:val="24"/>
          <w:szCs w:val="24"/>
        </w:rPr>
        <w:br w:type="textWrapping"/>
      </w:r>
      <w:r>
        <w:rPr>
          <w:rFonts w:hint="eastAsia" w:ascii="宋体" w:hAnsi="宋体" w:eastAsia="宋体" w:cs="宋体"/>
          <w:sz w:val="24"/>
          <w:szCs w:val="24"/>
        </w:rPr>
        <w:t>（3）财务状况：提供2024年度经审计完整的财务审计报告，内容至少包括资产负债表、利润表、现金流量表及附注（成立时间至提交响应文件截止时间不足一年的可提供成立后任意时段的资产负债表）或磋商时间前六个月内银行出具的资信证明；</w:t>
      </w:r>
      <w:r>
        <w:rPr>
          <w:rFonts w:hint="eastAsia" w:ascii="宋体" w:hAnsi="宋体" w:eastAsia="宋体" w:cs="宋体"/>
          <w:sz w:val="24"/>
          <w:szCs w:val="24"/>
        </w:rPr>
        <w:br w:type="textWrapping"/>
      </w:r>
      <w:r>
        <w:rPr>
          <w:rFonts w:hint="eastAsia" w:ascii="宋体" w:hAnsi="宋体" w:eastAsia="宋体" w:cs="宋体"/>
          <w:sz w:val="24"/>
          <w:szCs w:val="24"/>
        </w:rPr>
        <w:t>（4）税收缴纳证明：提供磋商截止日前近一年内任意一个月的纳税证明或完税证明（任意税种），依法免税的单位应提供相关证明材料；</w:t>
      </w:r>
      <w:r>
        <w:rPr>
          <w:rFonts w:hint="eastAsia" w:ascii="宋体" w:hAnsi="宋体" w:eastAsia="宋体" w:cs="宋体"/>
          <w:sz w:val="24"/>
          <w:szCs w:val="24"/>
        </w:rPr>
        <w:br w:type="textWrapping"/>
      </w:r>
      <w:r>
        <w:rPr>
          <w:rFonts w:hint="eastAsia" w:ascii="宋体" w:hAnsi="宋体" w:eastAsia="宋体" w:cs="宋体"/>
          <w:sz w:val="24"/>
          <w:szCs w:val="24"/>
        </w:rPr>
        <w:t>（5）社会保障资金缴纳证明：提供磋商截止日前一年内已缴存的至少一个月的社会保障资金缴存单据或社保机构开具的社会保险参保缴费情况证明，依法不需要缴纳社会保障资金的单位应提供相关证明材料；</w:t>
      </w:r>
      <w:r>
        <w:rPr>
          <w:rFonts w:hint="eastAsia" w:ascii="宋体" w:hAnsi="宋体" w:eastAsia="宋体" w:cs="宋体"/>
          <w:sz w:val="24"/>
          <w:szCs w:val="24"/>
        </w:rPr>
        <w:br w:type="textWrapping"/>
      </w:r>
      <w:r>
        <w:rPr>
          <w:rFonts w:hint="eastAsia" w:ascii="宋体" w:hAnsi="宋体" w:eastAsia="宋体" w:cs="宋体"/>
          <w:sz w:val="24"/>
          <w:szCs w:val="24"/>
        </w:rPr>
        <w:t>（6）供应商通过“信用中国”网站(www.creditchina.gov.cn)、中国政府采购网(www.ccgp.gov.cn)等查询相关主体信用记录；</w:t>
      </w:r>
      <w:r>
        <w:rPr>
          <w:rFonts w:hint="eastAsia" w:ascii="宋体" w:hAnsi="宋体" w:eastAsia="宋体" w:cs="宋体"/>
          <w:sz w:val="24"/>
          <w:szCs w:val="24"/>
        </w:rPr>
        <w:br w:type="textWrapping"/>
      </w:r>
      <w:r>
        <w:rPr>
          <w:rFonts w:hint="eastAsia" w:ascii="宋体" w:hAnsi="宋体" w:eastAsia="宋体" w:cs="宋体"/>
          <w:sz w:val="24"/>
          <w:szCs w:val="24"/>
        </w:rPr>
        <w:t>（7）参加政府采购活动前3年内，在经营活动中没有重大违法记录的书面声明；</w:t>
      </w:r>
      <w:r>
        <w:rPr>
          <w:rFonts w:hint="eastAsia" w:ascii="宋体" w:hAnsi="宋体" w:eastAsia="宋体" w:cs="宋体"/>
          <w:sz w:val="24"/>
          <w:szCs w:val="24"/>
        </w:rPr>
        <w:br w:type="textWrapping"/>
      </w:r>
      <w:r>
        <w:rPr>
          <w:rFonts w:hint="eastAsia" w:ascii="宋体" w:hAnsi="宋体" w:eastAsia="宋体" w:cs="宋体"/>
          <w:sz w:val="24"/>
          <w:szCs w:val="24"/>
        </w:rPr>
        <w:t>（8）提供具有履行合同所必需的设备和专业技术能力的书面承诺；</w:t>
      </w:r>
      <w:r>
        <w:rPr>
          <w:rFonts w:hint="eastAsia" w:ascii="宋体" w:hAnsi="宋体" w:eastAsia="宋体" w:cs="宋体"/>
          <w:sz w:val="24"/>
          <w:szCs w:val="24"/>
        </w:rPr>
        <w:br w:type="textWrapping"/>
      </w:r>
      <w:r>
        <w:rPr>
          <w:rFonts w:hint="eastAsia" w:ascii="宋体" w:hAnsi="宋体" w:eastAsia="宋体" w:cs="宋体"/>
          <w:sz w:val="24"/>
          <w:szCs w:val="24"/>
        </w:rPr>
        <w:t>（9）供应商提供中小企业声明函；</w:t>
      </w:r>
      <w:r>
        <w:rPr>
          <w:rFonts w:hint="eastAsia" w:ascii="宋体" w:hAnsi="宋体" w:eastAsia="宋体" w:cs="宋体"/>
          <w:sz w:val="24"/>
          <w:szCs w:val="24"/>
        </w:rPr>
        <w:br w:type="textWrapping"/>
      </w:r>
      <w:r>
        <w:rPr>
          <w:rFonts w:hint="eastAsia" w:ascii="宋体" w:hAnsi="宋体" w:eastAsia="宋体" w:cs="宋体"/>
          <w:sz w:val="24"/>
          <w:szCs w:val="24"/>
        </w:rPr>
        <w:t>（10）本项目不接受联合体磋商（提供承诺书）。</w:t>
      </w:r>
    </w:p>
    <w:p w14:paraId="719C706C">
      <w:pPr>
        <w:bidi w:val="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后附相关格式：</w:t>
      </w:r>
    </w:p>
    <w:p w14:paraId="5081EF7A">
      <w:pPr>
        <w:bidi w:val="0"/>
        <w:rPr>
          <w:rFonts w:hint="eastAsia" w:ascii="宋体" w:hAnsi="宋体" w:eastAsia="宋体" w:cs="宋体"/>
          <w:color w:val="auto"/>
          <w:szCs w:val="24"/>
          <w:highlight w:val="none"/>
        </w:rPr>
      </w:pPr>
      <w:r>
        <w:rPr>
          <w:rFonts w:hint="eastAsia" w:ascii="宋体" w:hAnsi="宋体" w:eastAsia="宋体" w:cs="宋体"/>
          <w:color w:val="auto"/>
          <w:szCs w:val="24"/>
          <w:highlight w:val="none"/>
        </w:rPr>
        <w:br w:type="page"/>
      </w:r>
      <w:bookmarkEnd w:id="213"/>
      <w:bookmarkStart w:id="214" w:name="_Toc6853"/>
      <w:bookmarkStart w:id="215" w:name="_Toc19114"/>
      <w:bookmarkStart w:id="216" w:name="_Toc12717"/>
    </w:p>
    <w:p w14:paraId="09625AA6">
      <w:pPr>
        <w:spacing w:before="156" w:beforeLines="50" w:after="156" w:afterLines="50" w:line="500" w:lineRule="exact"/>
        <w:outlineLvl w:val="9"/>
        <w:rPr>
          <w:rFonts w:hint="eastAsia" w:ascii="宋体" w:hAnsi="宋体" w:eastAsia="宋体" w:cs="宋体"/>
          <w:b/>
          <w:color w:val="auto"/>
          <w:sz w:val="28"/>
          <w:szCs w:val="28"/>
          <w:highlight w:val="none"/>
        </w:rPr>
      </w:pPr>
      <w:bookmarkStart w:id="217" w:name="_Toc6055"/>
      <w:bookmarkStart w:id="218" w:name="_Toc17513"/>
      <w:bookmarkStart w:id="219" w:name="_Toc32742"/>
      <w:bookmarkStart w:id="220" w:name="_Toc7012"/>
      <w:r>
        <w:rPr>
          <w:rFonts w:hint="eastAsia" w:ascii="宋体" w:hAnsi="宋体" w:eastAsia="宋体" w:cs="宋体"/>
          <w:b/>
          <w:color w:val="auto"/>
          <w:sz w:val="28"/>
          <w:szCs w:val="28"/>
          <w:highlight w:val="none"/>
        </w:rPr>
        <w:t>附件1：</w:t>
      </w:r>
      <w:bookmarkEnd w:id="217"/>
      <w:bookmarkEnd w:id="218"/>
      <w:bookmarkEnd w:id="219"/>
    </w:p>
    <w:p w14:paraId="43158CA7">
      <w:pPr>
        <w:rPr>
          <w:rFonts w:hint="eastAsia" w:ascii="宋体" w:hAnsi="宋体" w:eastAsia="宋体" w:cs="宋体"/>
          <w:b/>
          <w:bCs/>
          <w:color w:val="auto"/>
          <w:szCs w:val="32"/>
          <w:highlight w:val="none"/>
        </w:rPr>
      </w:pPr>
      <w:r>
        <w:rPr>
          <w:rFonts w:hint="eastAsia" w:ascii="宋体" w:hAnsi="宋体" w:eastAsia="宋体" w:cs="宋体"/>
          <w:color w:val="auto"/>
          <w:highlight w:val="none"/>
        </w:rPr>
        <w:t xml:space="preserve">      </w:t>
      </w:r>
      <w:r>
        <w:rPr>
          <w:rFonts w:hint="eastAsia" w:ascii="宋体" w:hAnsi="宋体" w:eastAsia="宋体" w:cs="宋体"/>
          <w:color w:val="auto"/>
          <w:szCs w:val="32"/>
          <w:highlight w:val="none"/>
        </w:rPr>
        <w:t xml:space="preserve"> </w:t>
      </w:r>
    </w:p>
    <w:p w14:paraId="3D9B25AD">
      <w:pPr>
        <w:pStyle w:val="8"/>
        <w:jc w:val="center"/>
        <w:outlineLvl w:val="9"/>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法定代表人身份证明</w:t>
      </w:r>
    </w:p>
    <w:p w14:paraId="45B2654F">
      <w:pPr>
        <w:autoSpaceDE w:val="0"/>
        <w:autoSpaceDN w:val="0"/>
        <w:adjustRightInd w:val="0"/>
        <w:snapToGrid w:val="0"/>
        <w:spacing w:before="156" w:beforeLines="5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供应商名称：</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p w14:paraId="2F7A4C35">
      <w:pPr>
        <w:autoSpaceDE w:val="0"/>
        <w:autoSpaceDN w:val="0"/>
        <w:adjustRightInd w:val="0"/>
        <w:snapToGrid w:val="0"/>
        <w:spacing w:before="156" w:beforeLines="5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统一社会信用代码：</w:t>
      </w:r>
      <w:r>
        <w:rPr>
          <w:rFonts w:hint="eastAsia" w:ascii="宋体" w:hAnsi="宋体" w:eastAsia="宋体" w:cs="宋体"/>
          <w:color w:val="auto"/>
          <w:highlight w:val="none"/>
          <w:u w:val="single"/>
        </w:rPr>
        <w:t xml:space="preserve">                </w:t>
      </w:r>
    </w:p>
    <w:p w14:paraId="6E2DFF37">
      <w:pPr>
        <w:autoSpaceDE w:val="0"/>
        <w:autoSpaceDN w:val="0"/>
        <w:adjustRightInd w:val="0"/>
        <w:snapToGrid w:val="0"/>
        <w:spacing w:before="156" w:beforeLines="5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注册地址：</w:t>
      </w:r>
      <w:r>
        <w:rPr>
          <w:rFonts w:hint="eastAsia" w:ascii="宋体" w:hAnsi="宋体" w:eastAsia="宋体" w:cs="宋体"/>
          <w:color w:val="auto"/>
          <w:highlight w:val="none"/>
          <w:u w:val="single"/>
        </w:rPr>
        <w:t xml:space="preserve">                        </w:t>
      </w:r>
    </w:p>
    <w:p w14:paraId="281CA36C">
      <w:pPr>
        <w:autoSpaceDE w:val="0"/>
        <w:autoSpaceDN w:val="0"/>
        <w:adjustRightInd w:val="0"/>
        <w:snapToGrid w:val="0"/>
        <w:spacing w:before="156" w:beforeLines="5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成立时间：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年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w:t>
      </w:r>
    </w:p>
    <w:p w14:paraId="1F418C96">
      <w:pPr>
        <w:autoSpaceDE w:val="0"/>
        <w:autoSpaceDN w:val="0"/>
        <w:adjustRightInd w:val="0"/>
        <w:snapToGrid w:val="0"/>
        <w:spacing w:before="156" w:beforeLines="50" w:line="360" w:lineRule="auto"/>
        <w:jc w:val="left"/>
        <w:rPr>
          <w:rFonts w:hint="eastAsia" w:ascii="宋体" w:hAnsi="宋体" w:eastAsia="宋体" w:cs="宋体"/>
          <w:color w:val="auto"/>
          <w:highlight w:val="none"/>
          <w:u w:val="single"/>
        </w:rPr>
      </w:pPr>
      <w:r>
        <w:rPr>
          <w:rFonts w:hint="eastAsia" w:ascii="宋体" w:hAnsi="宋体" w:eastAsia="宋体" w:cs="宋体"/>
          <w:color w:val="auto"/>
          <w:highlight w:val="none"/>
        </w:rPr>
        <w:t>经营期限：</w:t>
      </w:r>
      <w:r>
        <w:rPr>
          <w:rFonts w:hint="eastAsia" w:ascii="宋体" w:hAnsi="宋体" w:eastAsia="宋体" w:cs="宋体"/>
          <w:color w:val="auto"/>
          <w:highlight w:val="none"/>
          <w:u w:val="single"/>
        </w:rPr>
        <w:t xml:space="preserve">                  </w:t>
      </w:r>
    </w:p>
    <w:p w14:paraId="2C335D41">
      <w:pPr>
        <w:autoSpaceDE w:val="0"/>
        <w:autoSpaceDN w:val="0"/>
        <w:adjustRightInd w:val="0"/>
        <w:snapToGrid w:val="0"/>
        <w:spacing w:before="156" w:beforeLines="5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姓名：</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性别：</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年龄：</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系</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（供应商名称）的法定代表人。</w:t>
      </w:r>
    </w:p>
    <w:p w14:paraId="2975686C">
      <w:pPr>
        <w:autoSpaceDE w:val="0"/>
        <w:autoSpaceDN w:val="0"/>
        <w:adjustRightInd w:val="0"/>
        <w:snapToGrid w:val="0"/>
        <w:spacing w:before="156" w:beforeLines="5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特此证明。</w:t>
      </w:r>
    </w:p>
    <w:p w14:paraId="1E2B6DDE">
      <w:pPr>
        <w:autoSpaceDE w:val="0"/>
        <w:autoSpaceDN w:val="0"/>
        <w:adjustRightInd w:val="0"/>
        <w:snapToGrid w:val="0"/>
        <w:spacing w:before="156" w:beforeLines="50"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附：法定代表人身份证复印件</w:t>
      </w:r>
    </w:p>
    <w:tbl>
      <w:tblPr>
        <w:tblStyle w:val="21"/>
        <w:tblpPr w:leftFromText="180" w:rightFromText="180" w:vertAnchor="text" w:horzAnchor="margin" w:tblpXSpec="center" w:tblpY="10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8"/>
      </w:tblGrid>
      <w:tr w14:paraId="0031F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5" w:hRule="atLeast"/>
        </w:trPr>
        <w:tc>
          <w:tcPr>
            <w:tcW w:w="5868" w:type="dxa"/>
            <w:noWrap w:val="0"/>
            <w:vAlign w:val="center"/>
          </w:tcPr>
          <w:p w14:paraId="797DDDD3">
            <w:pPr>
              <w:snapToGrid w:val="0"/>
              <w:spacing w:line="480" w:lineRule="auto"/>
              <w:jc w:val="center"/>
              <w:rPr>
                <w:rFonts w:hint="eastAsia" w:ascii="宋体" w:hAnsi="宋体" w:eastAsia="宋体" w:cs="宋体"/>
                <w:color w:val="auto"/>
                <w:szCs w:val="21"/>
                <w:highlight w:val="none"/>
              </w:rPr>
            </w:pPr>
          </w:p>
          <w:p w14:paraId="58E180D9">
            <w:pPr>
              <w:snapToGrid w:val="0"/>
              <w:spacing w:line="480" w:lineRule="auto"/>
              <w:jc w:val="center"/>
              <w:rPr>
                <w:rFonts w:hint="eastAsia" w:ascii="宋体" w:hAnsi="宋体" w:eastAsia="宋体" w:cs="宋体"/>
                <w:color w:val="auto"/>
                <w:szCs w:val="21"/>
                <w:highlight w:val="none"/>
              </w:rPr>
            </w:pPr>
          </w:p>
          <w:p w14:paraId="4D9BE8E6">
            <w:pPr>
              <w:autoSpaceDE w:val="0"/>
              <w:autoSpaceDN w:val="0"/>
              <w:adjustRightInd w:val="0"/>
              <w:snapToGrid w:val="0"/>
              <w:spacing w:before="156" w:beforeLines="5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法定代表人身份证复印件粘贴处</w:t>
            </w:r>
          </w:p>
          <w:p w14:paraId="3E4F55BA">
            <w:pPr>
              <w:pStyle w:val="8"/>
              <w:jc w:val="center"/>
              <w:rPr>
                <w:rFonts w:hint="eastAsia" w:ascii="宋体" w:hAnsi="宋体" w:eastAsia="宋体" w:cs="宋体"/>
                <w:color w:val="auto"/>
                <w:highlight w:val="none"/>
                <w:lang w:val="en-US" w:eastAsia="zh-CN"/>
              </w:rPr>
            </w:pPr>
            <w:r>
              <w:rPr>
                <w:rFonts w:hint="eastAsia" w:ascii="宋体" w:hAnsi="宋体" w:eastAsia="宋体" w:cs="宋体"/>
                <w:color w:val="auto"/>
                <w:szCs w:val="21"/>
                <w:highlight w:val="none"/>
                <w:lang w:val="en-US" w:eastAsia="zh-CN"/>
              </w:rPr>
              <w:t>（正反面）</w:t>
            </w:r>
          </w:p>
          <w:p w14:paraId="52E6ECBA">
            <w:pPr>
              <w:snapToGrid w:val="0"/>
              <w:spacing w:line="480" w:lineRule="auto"/>
              <w:jc w:val="center"/>
              <w:rPr>
                <w:rFonts w:hint="eastAsia" w:ascii="宋体" w:hAnsi="宋体" w:eastAsia="宋体" w:cs="宋体"/>
                <w:color w:val="auto"/>
                <w:szCs w:val="21"/>
                <w:highlight w:val="none"/>
              </w:rPr>
            </w:pPr>
          </w:p>
          <w:p w14:paraId="2C031091">
            <w:pPr>
              <w:snapToGrid w:val="0"/>
              <w:spacing w:line="480" w:lineRule="auto"/>
              <w:jc w:val="center"/>
              <w:rPr>
                <w:rFonts w:hint="eastAsia" w:ascii="宋体" w:hAnsi="宋体" w:eastAsia="宋体" w:cs="宋体"/>
                <w:color w:val="auto"/>
                <w:szCs w:val="21"/>
                <w:highlight w:val="none"/>
              </w:rPr>
            </w:pPr>
          </w:p>
        </w:tc>
      </w:tr>
    </w:tbl>
    <w:p w14:paraId="1A8D5720">
      <w:pPr>
        <w:snapToGrid w:val="0"/>
        <w:spacing w:line="480" w:lineRule="auto"/>
        <w:rPr>
          <w:rFonts w:hint="eastAsia" w:ascii="宋体" w:hAnsi="宋体" w:eastAsia="宋体" w:cs="宋体"/>
          <w:color w:val="auto"/>
          <w:szCs w:val="21"/>
          <w:highlight w:val="none"/>
        </w:rPr>
      </w:pPr>
    </w:p>
    <w:p w14:paraId="6431EC06">
      <w:pPr>
        <w:snapToGrid w:val="0"/>
        <w:rPr>
          <w:rFonts w:hint="eastAsia" w:ascii="宋体" w:hAnsi="宋体" w:eastAsia="宋体" w:cs="宋体"/>
          <w:color w:val="auto"/>
          <w:szCs w:val="21"/>
          <w:highlight w:val="none"/>
        </w:rPr>
      </w:pPr>
    </w:p>
    <w:p w14:paraId="0F67C3B4">
      <w:pPr>
        <w:snapToGrid w:val="0"/>
        <w:rPr>
          <w:rFonts w:hint="eastAsia" w:ascii="宋体" w:hAnsi="宋体" w:eastAsia="宋体" w:cs="宋体"/>
          <w:color w:val="auto"/>
          <w:szCs w:val="21"/>
          <w:highlight w:val="none"/>
        </w:rPr>
      </w:pPr>
    </w:p>
    <w:p w14:paraId="6133001E">
      <w:pPr>
        <w:snapToGrid w:val="0"/>
        <w:rPr>
          <w:rFonts w:hint="eastAsia" w:ascii="宋体" w:hAnsi="宋体" w:eastAsia="宋体" w:cs="宋体"/>
          <w:color w:val="auto"/>
          <w:szCs w:val="21"/>
          <w:highlight w:val="none"/>
        </w:rPr>
      </w:pPr>
    </w:p>
    <w:p w14:paraId="3058CDFF">
      <w:pPr>
        <w:snapToGrid w:val="0"/>
        <w:rPr>
          <w:rFonts w:hint="eastAsia" w:ascii="宋体" w:hAnsi="宋体" w:eastAsia="宋体" w:cs="宋体"/>
          <w:color w:val="auto"/>
          <w:szCs w:val="21"/>
          <w:highlight w:val="none"/>
        </w:rPr>
      </w:pPr>
    </w:p>
    <w:p w14:paraId="6D8590F5">
      <w:pPr>
        <w:adjustRightInd w:val="0"/>
        <w:snapToGrid w:val="0"/>
        <w:spacing w:line="360" w:lineRule="auto"/>
        <w:rPr>
          <w:rFonts w:hint="eastAsia" w:ascii="宋体" w:hAnsi="宋体" w:eastAsia="宋体" w:cs="宋体"/>
          <w:color w:val="auto"/>
          <w:highlight w:val="none"/>
        </w:rPr>
      </w:pPr>
    </w:p>
    <w:p w14:paraId="3EF82D92">
      <w:pPr>
        <w:adjustRightInd w:val="0"/>
        <w:snapToGrid w:val="0"/>
        <w:spacing w:line="360" w:lineRule="auto"/>
        <w:ind w:right="420"/>
        <w:rPr>
          <w:rFonts w:hint="eastAsia" w:ascii="宋体" w:hAnsi="宋体" w:eastAsia="宋体" w:cs="宋体"/>
          <w:color w:val="auto"/>
          <w:highlight w:val="none"/>
        </w:rPr>
      </w:pPr>
    </w:p>
    <w:p w14:paraId="523A62BB">
      <w:pPr>
        <w:adjustRightInd w:val="0"/>
        <w:snapToGrid w:val="0"/>
        <w:spacing w:line="360" w:lineRule="auto"/>
        <w:ind w:right="420"/>
        <w:rPr>
          <w:rFonts w:hint="eastAsia" w:ascii="宋体" w:hAnsi="宋体" w:eastAsia="宋体" w:cs="宋体"/>
          <w:color w:val="auto"/>
          <w:highlight w:val="none"/>
        </w:rPr>
      </w:pPr>
    </w:p>
    <w:p w14:paraId="1227E5BC">
      <w:pPr>
        <w:adjustRightInd w:val="0"/>
        <w:snapToGrid w:val="0"/>
        <w:spacing w:line="360" w:lineRule="auto"/>
        <w:ind w:right="420"/>
        <w:rPr>
          <w:rFonts w:hint="eastAsia" w:ascii="宋体" w:hAnsi="宋体" w:eastAsia="宋体" w:cs="宋体"/>
          <w:color w:val="auto"/>
          <w:highlight w:val="none"/>
        </w:rPr>
      </w:pPr>
    </w:p>
    <w:p w14:paraId="3C750550">
      <w:pPr>
        <w:adjustRightInd w:val="0"/>
        <w:snapToGrid w:val="0"/>
        <w:spacing w:line="360" w:lineRule="auto"/>
        <w:ind w:right="420"/>
        <w:rPr>
          <w:rFonts w:hint="eastAsia" w:ascii="宋体" w:hAnsi="宋体" w:eastAsia="宋体" w:cs="宋体"/>
          <w:color w:val="auto"/>
          <w:highlight w:val="none"/>
        </w:rPr>
      </w:pPr>
    </w:p>
    <w:p w14:paraId="2F3A5E9F">
      <w:pPr>
        <w:adjustRightInd w:val="0"/>
        <w:snapToGrid w:val="0"/>
        <w:spacing w:line="360" w:lineRule="auto"/>
        <w:ind w:right="420"/>
        <w:rPr>
          <w:rFonts w:hint="eastAsia" w:ascii="宋体" w:hAnsi="宋体" w:eastAsia="宋体" w:cs="宋体"/>
          <w:color w:val="auto"/>
          <w:highlight w:val="none"/>
        </w:rPr>
      </w:pPr>
      <w:r>
        <w:rPr>
          <w:rFonts w:hint="eastAsia" w:ascii="宋体" w:hAnsi="宋体" w:eastAsia="宋体" w:cs="宋体"/>
          <w:color w:val="auto"/>
          <w:highlight w:val="none"/>
        </w:rPr>
        <w:t>供应商名称（公章）：</w:t>
      </w:r>
    </w:p>
    <w:p w14:paraId="61F51E02">
      <w:pPr>
        <w:adjustRightInd w:val="0"/>
        <w:snapToGrid w:val="0"/>
        <w:spacing w:line="360" w:lineRule="auto"/>
        <w:ind w:right="420"/>
        <w:rPr>
          <w:rFonts w:hint="eastAsia" w:ascii="宋体" w:hAnsi="宋体" w:eastAsia="宋体" w:cs="宋体"/>
          <w:color w:val="auto"/>
          <w:highlight w:val="none"/>
        </w:rPr>
      </w:pPr>
      <w:r>
        <w:rPr>
          <w:rFonts w:hint="eastAsia" w:ascii="宋体" w:hAnsi="宋体" w:eastAsia="宋体" w:cs="宋体"/>
          <w:color w:val="auto"/>
          <w:highlight w:val="none"/>
        </w:rPr>
        <w:t>日期：    年  月  日</w:t>
      </w:r>
    </w:p>
    <w:p w14:paraId="643669E3">
      <w:pPr>
        <w:pStyle w:val="8"/>
        <w:rPr>
          <w:rFonts w:hint="eastAsia" w:ascii="宋体" w:hAnsi="宋体" w:eastAsia="宋体" w:cs="宋体"/>
          <w:color w:val="auto"/>
          <w:highlight w:val="none"/>
        </w:rPr>
      </w:pPr>
    </w:p>
    <w:p w14:paraId="4DD05C94">
      <w:pPr>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br w:type="page"/>
      </w:r>
    </w:p>
    <w:p w14:paraId="461C7F83">
      <w:pPr>
        <w:keepNext/>
        <w:spacing w:before="312" w:beforeLines="100"/>
        <w:jc w:val="center"/>
        <w:outlineLvl w:val="9"/>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法定代表人授权书</w:t>
      </w:r>
    </w:p>
    <w:p w14:paraId="12C787F4">
      <w:pPr>
        <w:spacing w:line="500" w:lineRule="exact"/>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致：</w:t>
      </w:r>
      <w:r>
        <w:rPr>
          <w:rFonts w:hint="eastAsia" w:hAnsi="宋体" w:cs="宋体"/>
          <w:color w:val="auto"/>
          <w:spacing w:val="4"/>
          <w:szCs w:val="24"/>
          <w:highlight w:val="none"/>
          <w:u w:val="single"/>
          <w:lang w:eastAsia="zh-CN"/>
        </w:rPr>
        <w:t>陕西至诚项目管理集团有限公司</w:t>
      </w:r>
      <w:r>
        <w:rPr>
          <w:rFonts w:hint="eastAsia" w:ascii="宋体" w:hAnsi="宋体" w:eastAsia="宋体" w:cs="宋体"/>
          <w:color w:val="auto"/>
          <w:spacing w:val="4"/>
          <w:szCs w:val="24"/>
          <w:highlight w:val="none"/>
          <w:u w:val="single"/>
        </w:rPr>
        <w:t xml:space="preserve"> </w:t>
      </w:r>
    </w:p>
    <w:p w14:paraId="500E8387">
      <w:pPr>
        <w:spacing w:line="500" w:lineRule="exact"/>
        <w:ind w:firstLine="496" w:firstLineChars="200"/>
        <w:jc w:val="both"/>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u w:val="single"/>
        </w:rPr>
        <w:t>(供应商名称)</w:t>
      </w:r>
      <w:r>
        <w:rPr>
          <w:rFonts w:hint="eastAsia" w:ascii="宋体" w:hAnsi="宋体" w:eastAsia="宋体" w:cs="宋体"/>
          <w:color w:val="auto"/>
          <w:spacing w:val="4"/>
          <w:szCs w:val="24"/>
          <w:highlight w:val="none"/>
        </w:rPr>
        <w:t>按中华人民共和国法律于</w:t>
      </w:r>
      <w:r>
        <w:rPr>
          <w:rFonts w:hint="eastAsia" w:ascii="宋体" w:hAnsi="宋体" w:eastAsia="宋体" w:cs="宋体"/>
          <w:color w:val="auto"/>
          <w:spacing w:val="4"/>
          <w:szCs w:val="24"/>
          <w:highlight w:val="none"/>
          <w:u w:val="single"/>
        </w:rPr>
        <w:t>（  年  月  日 ）</w:t>
      </w:r>
      <w:r>
        <w:rPr>
          <w:rFonts w:hint="eastAsia" w:ascii="宋体" w:hAnsi="宋体" w:eastAsia="宋体" w:cs="宋体"/>
          <w:color w:val="auto"/>
          <w:spacing w:val="4"/>
          <w:szCs w:val="24"/>
          <w:highlight w:val="none"/>
        </w:rPr>
        <w:t>成立。</w:t>
      </w:r>
      <w:r>
        <w:rPr>
          <w:rFonts w:hint="eastAsia" w:ascii="宋体" w:hAnsi="宋体" w:eastAsia="宋体" w:cs="宋体"/>
          <w:color w:val="auto"/>
          <w:spacing w:val="4"/>
          <w:szCs w:val="24"/>
          <w:highlight w:val="none"/>
          <w:u w:val="single"/>
        </w:rPr>
        <w:t>(法定代表人姓名)</w:t>
      </w:r>
      <w:r>
        <w:rPr>
          <w:rFonts w:hint="eastAsia" w:ascii="宋体" w:hAnsi="宋体" w:eastAsia="宋体" w:cs="宋体"/>
          <w:color w:val="auto"/>
          <w:spacing w:val="4"/>
          <w:szCs w:val="24"/>
          <w:highlight w:val="none"/>
        </w:rPr>
        <w:t>特授权</w:t>
      </w:r>
      <w:r>
        <w:rPr>
          <w:rFonts w:hint="eastAsia" w:ascii="宋体" w:hAnsi="宋体" w:eastAsia="宋体" w:cs="宋体"/>
          <w:color w:val="auto"/>
          <w:spacing w:val="4"/>
          <w:szCs w:val="24"/>
          <w:highlight w:val="none"/>
          <w:u w:val="single"/>
        </w:rPr>
        <w:t xml:space="preserve">（ </w:t>
      </w:r>
      <w:r>
        <w:rPr>
          <w:rFonts w:hint="eastAsia" w:ascii="宋体" w:hAnsi="宋体" w:eastAsia="宋体" w:cs="宋体"/>
          <w:color w:val="auto"/>
          <w:szCs w:val="24"/>
          <w:highlight w:val="none"/>
          <w:u w:val="single"/>
        </w:rPr>
        <w:t>授权代表</w:t>
      </w:r>
      <w:r>
        <w:rPr>
          <w:rFonts w:hint="eastAsia" w:ascii="宋体" w:hAnsi="宋体" w:eastAsia="宋体" w:cs="宋体"/>
          <w:color w:val="auto"/>
          <w:spacing w:val="4"/>
          <w:szCs w:val="24"/>
          <w:highlight w:val="none"/>
          <w:u w:val="single"/>
        </w:rPr>
        <w:t>姓名 ）</w:t>
      </w:r>
      <w:r>
        <w:rPr>
          <w:rFonts w:hint="eastAsia" w:ascii="宋体" w:hAnsi="宋体" w:eastAsia="宋体" w:cs="宋体"/>
          <w:color w:val="auto"/>
          <w:spacing w:val="4"/>
          <w:szCs w:val="24"/>
          <w:highlight w:val="none"/>
        </w:rPr>
        <w:t>代表我公司全权办理针对本次</w:t>
      </w:r>
      <w:r>
        <w:rPr>
          <w:rFonts w:hint="eastAsia" w:ascii="宋体" w:hAnsi="宋体" w:eastAsia="宋体" w:cs="宋体"/>
          <w:color w:val="auto"/>
          <w:spacing w:val="4"/>
          <w:szCs w:val="24"/>
          <w:highlight w:val="none"/>
          <w:u w:val="single"/>
        </w:rPr>
        <w:t>（项目编号</w:t>
      </w:r>
      <w:r>
        <w:rPr>
          <w:rFonts w:hint="eastAsia" w:hAnsi="宋体" w:eastAsia="宋体" w:cs="宋体"/>
          <w:color w:val="auto"/>
          <w:spacing w:val="4"/>
          <w:szCs w:val="24"/>
          <w:highlight w:val="none"/>
          <w:u w:val="single"/>
          <w:lang w:eastAsia="zh-CN"/>
        </w:rPr>
        <w:t>：</w:t>
      </w:r>
      <w:r>
        <w:rPr>
          <w:rFonts w:hint="eastAsia" w:ascii="宋体" w:hAnsi="宋体" w:eastAsia="宋体" w:cs="宋体"/>
          <w:color w:val="auto"/>
          <w:spacing w:val="4"/>
          <w:szCs w:val="24"/>
          <w:highlight w:val="none"/>
          <w:u w:val="single"/>
        </w:rPr>
        <w:t xml:space="preserve"> </w:t>
      </w:r>
      <w:r>
        <w:rPr>
          <w:rFonts w:hint="eastAsia" w:hAnsi="宋体" w:cs="宋体"/>
          <w:color w:val="auto"/>
          <w:spacing w:val="4"/>
          <w:szCs w:val="24"/>
          <w:highlight w:val="none"/>
          <w:u w:val="single"/>
          <w:lang w:val="en-US" w:eastAsia="zh-CN"/>
        </w:rPr>
        <w:t xml:space="preserve">               </w:t>
      </w:r>
      <w:r>
        <w:rPr>
          <w:rFonts w:hint="eastAsia" w:ascii="宋体" w:hAnsi="宋体" w:eastAsia="宋体" w:cs="宋体"/>
          <w:color w:val="auto"/>
          <w:spacing w:val="4"/>
          <w:szCs w:val="24"/>
          <w:highlight w:val="none"/>
          <w:u w:val="single"/>
        </w:rPr>
        <w:t>）</w:t>
      </w:r>
      <w:r>
        <w:rPr>
          <w:rFonts w:hint="eastAsia" w:ascii="宋体" w:hAnsi="宋体" w:eastAsia="宋体" w:cs="宋体"/>
          <w:color w:val="auto"/>
          <w:spacing w:val="4"/>
          <w:szCs w:val="24"/>
          <w:highlight w:val="none"/>
        </w:rPr>
        <w:t>项目的磋商、签约等具体工作，并签署全部有关的文件、协议及合同。</w:t>
      </w:r>
    </w:p>
    <w:p w14:paraId="4BE4EAE9">
      <w:pPr>
        <w:spacing w:line="500" w:lineRule="exact"/>
        <w:ind w:firstLine="496" w:firstLineChars="200"/>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我公司对</w:t>
      </w:r>
      <w:r>
        <w:rPr>
          <w:rFonts w:hint="eastAsia" w:ascii="宋体" w:hAnsi="宋体" w:eastAsia="宋体" w:cs="宋体"/>
          <w:color w:val="auto"/>
          <w:szCs w:val="24"/>
          <w:highlight w:val="none"/>
        </w:rPr>
        <w:t>授权代表</w:t>
      </w:r>
      <w:r>
        <w:rPr>
          <w:rFonts w:hint="eastAsia" w:ascii="宋体" w:hAnsi="宋体" w:eastAsia="宋体" w:cs="宋体"/>
          <w:color w:val="auto"/>
          <w:spacing w:val="4"/>
          <w:szCs w:val="24"/>
          <w:highlight w:val="none"/>
        </w:rPr>
        <w:t>的签名负全部责任。</w:t>
      </w:r>
    </w:p>
    <w:p w14:paraId="24CFF2BD">
      <w:pPr>
        <w:spacing w:line="500" w:lineRule="exact"/>
        <w:ind w:right="617" w:rightChars="257"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委托期限：</w:t>
      </w:r>
      <w:r>
        <w:rPr>
          <w:rFonts w:hint="eastAsia" w:ascii="宋体" w:hAnsi="宋体" w:eastAsia="宋体" w:cs="宋体"/>
          <w:color w:val="auto"/>
          <w:szCs w:val="24"/>
          <w:highlight w:val="none"/>
          <w:lang w:val="zh-CN"/>
        </w:rPr>
        <w:t>自磋商之日起</w:t>
      </w:r>
      <w:r>
        <w:rPr>
          <w:rFonts w:hint="eastAsia" w:ascii="宋体" w:hAnsi="宋体" w:eastAsia="宋体" w:cs="宋体"/>
          <w:color w:val="auto"/>
          <w:szCs w:val="24"/>
          <w:highlight w:val="none"/>
          <w:u w:val="single"/>
        </w:rPr>
        <w:t>90</w:t>
      </w:r>
      <w:r>
        <w:rPr>
          <w:rFonts w:hint="eastAsia" w:ascii="宋体" w:hAnsi="宋体" w:eastAsia="宋体" w:cs="宋体"/>
          <w:color w:val="auto"/>
          <w:szCs w:val="24"/>
          <w:highlight w:val="none"/>
          <w:lang w:val="zh-CN"/>
        </w:rPr>
        <w:t>天。</w:t>
      </w:r>
    </w:p>
    <w:p w14:paraId="69F5E269">
      <w:pPr>
        <w:spacing w:line="500" w:lineRule="exact"/>
        <w:ind w:firstLine="496" w:firstLineChars="200"/>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本授权书于</w:t>
      </w:r>
      <w:r>
        <w:rPr>
          <w:rFonts w:hint="eastAsia" w:ascii="宋体" w:hAnsi="宋体" w:eastAsia="宋体" w:cs="宋体"/>
          <w:color w:val="auto"/>
          <w:spacing w:val="4"/>
          <w:szCs w:val="24"/>
          <w:highlight w:val="none"/>
          <w:u w:val="single"/>
        </w:rPr>
        <w:t xml:space="preserve">      年   月   日</w:t>
      </w:r>
      <w:r>
        <w:rPr>
          <w:rFonts w:hint="eastAsia" w:ascii="宋体" w:hAnsi="宋体" w:eastAsia="宋体" w:cs="宋体"/>
          <w:color w:val="auto"/>
          <w:spacing w:val="4"/>
          <w:szCs w:val="24"/>
          <w:highlight w:val="none"/>
        </w:rPr>
        <w:t>签字生效，特此证明。</w:t>
      </w:r>
    </w:p>
    <w:p w14:paraId="6F1BFC60">
      <w:pPr>
        <w:spacing w:line="360" w:lineRule="auto"/>
        <w:ind w:firstLine="496" w:firstLineChars="200"/>
        <w:jc w:val="left"/>
        <w:rPr>
          <w:rFonts w:hint="eastAsia" w:ascii="宋体" w:hAnsi="宋体" w:eastAsia="宋体" w:cs="宋体"/>
          <w:color w:val="auto"/>
          <w:spacing w:val="4"/>
          <w:szCs w:val="24"/>
          <w:highlight w:val="none"/>
        </w:rPr>
      </w:pPr>
    </w:p>
    <w:tbl>
      <w:tblPr>
        <w:tblStyle w:val="21"/>
        <w:tblW w:w="0" w:type="auto"/>
        <w:tblInd w:w="633" w:type="dxa"/>
        <w:tblLayout w:type="fixed"/>
        <w:tblCellMar>
          <w:top w:w="0" w:type="dxa"/>
          <w:left w:w="108" w:type="dxa"/>
          <w:bottom w:w="0" w:type="dxa"/>
          <w:right w:w="108" w:type="dxa"/>
        </w:tblCellMar>
      </w:tblPr>
      <w:tblGrid>
        <w:gridCol w:w="4200"/>
        <w:gridCol w:w="3990"/>
      </w:tblGrid>
      <w:tr w14:paraId="7B8FF27E">
        <w:tblPrEx>
          <w:tblCellMar>
            <w:top w:w="0" w:type="dxa"/>
            <w:left w:w="108" w:type="dxa"/>
            <w:bottom w:w="0" w:type="dxa"/>
            <w:right w:w="108" w:type="dxa"/>
          </w:tblCellMar>
        </w:tblPrEx>
        <w:trPr>
          <w:trHeight w:val="600" w:hRule="atLeast"/>
        </w:trPr>
        <w:tc>
          <w:tcPr>
            <w:tcW w:w="4200" w:type="dxa"/>
            <w:noWrap w:val="0"/>
            <w:vAlign w:val="top"/>
          </w:tcPr>
          <w:p w14:paraId="235079F4">
            <w:pPr>
              <w:spacing w:line="360" w:lineRule="auto"/>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被授权人签字或盖章：</w:t>
            </w:r>
          </w:p>
        </w:tc>
        <w:tc>
          <w:tcPr>
            <w:tcW w:w="3990" w:type="dxa"/>
            <w:noWrap w:val="0"/>
            <w:vAlign w:val="top"/>
          </w:tcPr>
          <w:p w14:paraId="2108C204">
            <w:pPr>
              <w:spacing w:line="360" w:lineRule="auto"/>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法定代表人签字或盖章：</w:t>
            </w:r>
          </w:p>
        </w:tc>
      </w:tr>
      <w:tr w14:paraId="4D6CCFBD">
        <w:tblPrEx>
          <w:tblCellMar>
            <w:top w:w="0" w:type="dxa"/>
            <w:left w:w="108" w:type="dxa"/>
            <w:bottom w:w="0" w:type="dxa"/>
            <w:right w:w="108" w:type="dxa"/>
          </w:tblCellMar>
        </w:tblPrEx>
        <w:trPr>
          <w:trHeight w:val="600" w:hRule="atLeast"/>
        </w:trPr>
        <w:tc>
          <w:tcPr>
            <w:tcW w:w="4200" w:type="dxa"/>
            <w:noWrap w:val="0"/>
            <w:vAlign w:val="top"/>
          </w:tcPr>
          <w:p w14:paraId="1A912B86">
            <w:pPr>
              <w:spacing w:line="360" w:lineRule="auto"/>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职务：</w:t>
            </w:r>
          </w:p>
        </w:tc>
        <w:tc>
          <w:tcPr>
            <w:tcW w:w="3990" w:type="dxa"/>
            <w:noWrap w:val="0"/>
            <w:vAlign w:val="top"/>
          </w:tcPr>
          <w:p w14:paraId="7ADD1618">
            <w:pPr>
              <w:spacing w:line="360" w:lineRule="auto"/>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职务：</w:t>
            </w:r>
          </w:p>
        </w:tc>
      </w:tr>
      <w:tr w14:paraId="1949372B">
        <w:tblPrEx>
          <w:tblCellMar>
            <w:top w:w="0" w:type="dxa"/>
            <w:left w:w="108" w:type="dxa"/>
            <w:bottom w:w="0" w:type="dxa"/>
            <w:right w:w="108" w:type="dxa"/>
          </w:tblCellMar>
        </w:tblPrEx>
        <w:trPr>
          <w:trHeight w:val="600" w:hRule="atLeast"/>
        </w:trPr>
        <w:tc>
          <w:tcPr>
            <w:tcW w:w="4200" w:type="dxa"/>
            <w:noWrap w:val="0"/>
            <w:vAlign w:val="top"/>
          </w:tcPr>
          <w:p w14:paraId="3CBE5754">
            <w:pPr>
              <w:spacing w:line="360" w:lineRule="auto"/>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身份证号：</w:t>
            </w:r>
          </w:p>
        </w:tc>
        <w:tc>
          <w:tcPr>
            <w:tcW w:w="3990" w:type="dxa"/>
            <w:noWrap w:val="0"/>
            <w:vAlign w:val="top"/>
          </w:tcPr>
          <w:p w14:paraId="0C4EFA97">
            <w:pPr>
              <w:spacing w:line="360" w:lineRule="auto"/>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身份证号：</w:t>
            </w:r>
          </w:p>
        </w:tc>
      </w:tr>
      <w:tr w14:paraId="4CBF0476">
        <w:tblPrEx>
          <w:tblCellMar>
            <w:top w:w="0" w:type="dxa"/>
            <w:left w:w="108" w:type="dxa"/>
            <w:bottom w:w="0" w:type="dxa"/>
            <w:right w:w="108" w:type="dxa"/>
          </w:tblCellMar>
        </w:tblPrEx>
        <w:trPr>
          <w:trHeight w:val="600" w:hRule="atLeast"/>
        </w:trPr>
        <w:tc>
          <w:tcPr>
            <w:tcW w:w="4200" w:type="dxa"/>
            <w:noWrap w:val="0"/>
            <w:vAlign w:val="top"/>
          </w:tcPr>
          <w:p w14:paraId="17933F46">
            <w:pPr>
              <w:spacing w:line="360" w:lineRule="auto"/>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所在部门：</w:t>
            </w:r>
          </w:p>
        </w:tc>
        <w:tc>
          <w:tcPr>
            <w:tcW w:w="3990" w:type="dxa"/>
            <w:noWrap w:val="0"/>
            <w:vAlign w:val="top"/>
          </w:tcPr>
          <w:p w14:paraId="43CAB390">
            <w:pPr>
              <w:spacing w:line="360" w:lineRule="auto"/>
              <w:jc w:val="left"/>
              <w:rPr>
                <w:rFonts w:hint="eastAsia" w:ascii="宋体" w:hAnsi="宋体" w:eastAsia="宋体" w:cs="宋体"/>
                <w:color w:val="auto"/>
                <w:spacing w:val="4"/>
                <w:szCs w:val="24"/>
                <w:highlight w:val="none"/>
              </w:rPr>
            </w:pPr>
          </w:p>
        </w:tc>
      </w:tr>
    </w:tbl>
    <w:p w14:paraId="53CDF200">
      <w:pPr>
        <w:spacing w:line="360" w:lineRule="auto"/>
        <w:ind w:firstLine="505" w:firstLineChars="204"/>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附：法定代表人、被授权人身份证复印件</w:t>
      </w:r>
    </w:p>
    <w:p w14:paraId="1A5BCD7F">
      <w:pPr>
        <w:spacing w:line="360" w:lineRule="auto"/>
        <w:rPr>
          <w:rFonts w:hint="eastAsia" w:ascii="宋体" w:hAnsi="宋体" w:eastAsia="宋体" w:cs="宋体"/>
          <w:color w:val="auto"/>
          <w:spacing w:val="4"/>
          <w:szCs w:val="24"/>
          <w:highlight w:val="none"/>
        </w:rPr>
      </w:pPr>
    </w:p>
    <w:tbl>
      <w:tblPr>
        <w:tblStyle w:val="21"/>
        <w:tblW w:w="0" w:type="auto"/>
        <w:tblInd w:w="540" w:type="dxa"/>
        <w:tblLayout w:type="fixed"/>
        <w:tblCellMar>
          <w:top w:w="0" w:type="dxa"/>
          <w:left w:w="108" w:type="dxa"/>
          <w:bottom w:w="0" w:type="dxa"/>
          <w:right w:w="108" w:type="dxa"/>
        </w:tblCellMar>
      </w:tblPr>
      <w:tblGrid>
        <w:gridCol w:w="4246"/>
        <w:gridCol w:w="4111"/>
      </w:tblGrid>
      <w:tr w14:paraId="2317943C">
        <w:tblPrEx>
          <w:tblCellMar>
            <w:top w:w="0" w:type="dxa"/>
            <w:left w:w="108" w:type="dxa"/>
            <w:bottom w:w="0" w:type="dxa"/>
            <w:right w:w="108" w:type="dxa"/>
          </w:tblCellMar>
        </w:tblPrEx>
        <w:trPr>
          <w:trHeight w:val="2818" w:hRule="atLeast"/>
        </w:trPr>
        <w:tc>
          <w:tcPr>
            <w:tcW w:w="4246" w:type="dxa"/>
            <w:tcBorders>
              <w:top w:val="single" w:color="auto" w:sz="6" w:space="0"/>
              <w:left w:val="single" w:color="auto" w:sz="6" w:space="0"/>
              <w:bottom w:val="single" w:color="auto" w:sz="6" w:space="0"/>
              <w:right w:val="single" w:color="auto" w:sz="6" w:space="0"/>
            </w:tcBorders>
            <w:noWrap w:val="0"/>
            <w:vAlign w:val="center"/>
          </w:tcPr>
          <w:p w14:paraId="636B1373">
            <w:pPr>
              <w:spacing w:line="360" w:lineRule="auto"/>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法定代表人身份证复印件粘贴处</w:t>
            </w:r>
          </w:p>
          <w:p w14:paraId="33109CC3">
            <w:pPr>
              <w:spacing w:line="360" w:lineRule="auto"/>
              <w:jc w:val="cente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val="zh-CN"/>
              </w:rPr>
              <w:t>（正反面）</w:t>
            </w:r>
          </w:p>
        </w:tc>
        <w:tc>
          <w:tcPr>
            <w:tcW w:w="4111" w:type="dxa"/>
            <w:tcBorders>
              <w:top w:val="single" w:color="auto" w:sz="6" w:space="0"/>
              <w:left w:val="single" w:color="auto" w:sz="6" w:space="0"/>
              <w:bottom w:val="single" w:color="auto" w:sz="6" w:space="0"/>
              <w:right w:val="single" w:color="auto" w:sz="6" w:space="0"/>
            </w:tcBorders>
            <w:noWrap w:val="0"/>
            <w:vAlign w:val="center"/>
          </w:tcPr>
          <w:p w14:paraId="74F16E2E">
            <w:pPr>
              <w:spacing w:line="360" w:lineRule="auto"/>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授权代表身份证复印件粘贴处</w:t>
            </w:r>
          </w:p>
          <w:p w14:paraId="29DFB0C0">
            <w:pPr>
              <w:spacing w:line="360" w:lineRule="auto"/>
              <w:jc w:val="center"/>
              <w:rPr>
                <w:rFonts w:hint="eastAsia" w:ascii="宋体" w:hAnsi="宋体" w:eastAsia="宋体" w:cs="宋体"/>
                <w:color w:val="auto"/>
                <w:highlight w:val="none"/>
                <w:u w:val="single"/>
              </w:rPr>
            </w:pPr>
            <w:r>
              <w:rPr>
                <w:rFonts w:hint="eastAsia" w:ascii="宋体" w:hAnsi="宋体" w:eastAsia="宋体" w:cs="宋体"/>
                <w:color w:val="auto"/>
                <w:szCs w:val="21"/>
                <w:highlight w:val="none"/>
                <w:lang w:val="zh-CN"/>
              </w:rPr>
              <w:t>（正反面）</w:t>
            </w:r>
          </w:p>
        </w:tc>
      </w:tr>
    </w:tbl>
    <w:p w14:paraId="7DFED6E4">
      <w:pPr>
        <w:spacing w:line="360" w:lineRule="auto"/>
        <w:ind w:firstLine="510"/>
        <w:rPr>
          <w:rFonts w:hint="eastAsia" w:ascii="宋体" w:hAnsi="宋体" w:eastAsia="宋体" w:cs="宋体"/>
          <w:color w:val="auto"/>
          <w:spacing w:val="4"/>
          <w:szCs w:val="24"/>
          <w:highlight w:val="none"/>
        </w:rPr>
      </w:pPr>
    </w:p>
    <w:p w14:paraId="1BFF3937">
      <w:pPr>
        <w:spacing w:before="156" w:beforeLines="50" w:after="156" w:afterLines="50" w:line="360" w:lineRule="auto"/>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供应商名称：</w:t>
      </w:r>
      <w:r>
        <w:rPr>
          <w:rFonts w:hint="eastAsia" w:ascii="宋体" w:hAnsi="宋体" w:eastAsia="宋体" w:cs="宋体"/>
          <w:color w:val="auto"/>
          <w:highlight w:val="none"/>
          <w:u w:val="single"/>
        </w:rPr>
        <w:t xml:space="preserve">      （加盖单位公章）       </w:t>
      </w:r>
    </w:p>
    <w:p w14:paraId="2A8FB772">
      <w:pPr>
        <w:spacing w:before="156" w:beforeLines="50" w:after="156" w:afterLines="50" w:line="360" w:lineRule="auto"/>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日期：</w:t>
      </w:r>
    </w:p>
    <w:p w14:paraId="792DB026">
      <w:pPr>
        <w:autoSpaceDE w:val="0"/>
        <w:autoSpaceDN w:val="0"/>
        <w:adjustRightInd w:val="0"/>
        <w:spacing w:line="480" w:lineRule="auto"/>
        <w:jc w:val="left"/>
        <w:rPr>
          <w:rFonts w:hint="eastAsia" w:ascii="宋体" w:hAnsi="宋体" w:cs="仿宋_GB2312"/>
          <w:color w:val="auto"/>
          <w:sz w:val="24"/>
          <w:szCs w:val="24"/>
          <w:highlight w:val="none"/>
          <w:lang w:val="zh-CN"/>
        </w:rPr>
      </w:pPr>
      <w:bookmarkStart w:id="221" w:name="_Toc27533"/>
      <w:r>
        <w:rPr>
          <w:rFonts w:hint="eastAsia" w:ascii="宋体" w:hAnsi="宋体" w:eastAsia="宋体" w:cs="宋体"/>
          <w:b/>
          <w:color w:val="auto"/>
          <w:sz w:val="28"/>
          <w:szCs w:val="28"/>
          <w:highlight w:val="none"/>
          <w:lang w:val="en-US" w:eastAsia="zh-CN"/>
        </w:rPr>
        <w:br w:type="page"/>
      </w:r>
      <w:bookmarkEnd w:id="221"/>
    </w:p>
    <w:p w14:paraId="27974ED7">
      <w:pPr>
        <w:spacing w:before="100" w:beforeAutospacing="1" w:after="156" w:afterLines="50" w:line="360" w:lineRule="auto"/>
        <w:jc w:val="left"/>
        <w:outlineLvl w:val="9"/>
        <w:rPr>
          <w:rFonts w:hint="eastAsia" w:ascii="宋体" w:hAnsi="宋体" w:eastAsia="宋体" w:cs="宋体"/>
          <w:b/>
          <w:color w:val="auto"/>
          <w:kern w:val="0"/>
          <w:sz w:val="24"/>
          <w:szCs w:val="24"/>
          <w:highlight w:val="none"/>
          <w:lang w:eastAsia="zh-CN"/>
        </w:rPr>
      </w:pPr>
      <w:bookmarkStart w:id="222" w:name="_Toc17295"/>
      <w:bookmarkStart w:id="223" w:name="_Toc11767"/>
      <w:bookmarkStart w:id="224" w:name="_Toc32130"/>
      <w:r>
        <w:rPr>
          <w:rFonts w:hint="eastAsia" w:ascii="宋体" w:hAnsi="宋体" w:eastAsia="宋体" w:cs="宋体"/>
          <w:b/>
          <w:color w:val="auto"/>
          <w:sz w:val="28"/>
          <w:szCs w:val="28"/>
          <w:highlight w:val="none"/>
          <w:lang w:val="en-US" w:eastAsia="zh-CN"/>
        </w:rPr>
        <w:t>附件</w:t>
      </w:r>
      <w:r>
        <w:rPr>
          <w:rFonts w:hint="eastAsia" w:hAnsi="宋体" w:cs="宋体"/>
          <w:b/>
          <w:color w:val="auto"/>
          <w:sz w:val="28"/>
          <w:szCs w:val="28"/>
          <w:highlight w:val="none"/>
          <w:lang w:val="en-US" w:eastAsia="zh-CN"/>
        </w:rPr>
        <w:t>2</w:t>
      </w:r>
      <w:r>
        <w:rPr>
          <w:rFonts w:hint="eastAsia" w:ascii="宋体" w:hAnsi="宋体" w:eastAsia="宋体" w:cs="宋体"/>
          <w:b/>
          <w:color w:val="auto"/>
          <w:sz w:val="28"/>
          <w:szCs w:val="28"/>
          <w:highlight w:val="none"/>
          <w:lang w:val="en-US" w:eastAsia="zh-CN"/>
        </w:rPr>
        <w:t>：</w:t>
      </w:r>
      <w:bookmarkEnd w:id="222"/>
      <w:bookmarkEnd w:id="223"/>
      <w:bookmarkEnd w:id="224"/>
    </w:p>
    <w:p w14:paraId="28868851">
      <w:pPr>
        <w:widowControl/>
        <w:spacing w:line="360" w:lineRule="auto"/>
        <w:ind w:left="1" w:firstLine="241" w:firstLineChars="100"/>
        <w:jc w:val="center"/>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参加政府采购活动前3年内在经营活动中没有重大违法纪录的书面声明</w:t>
      </w:r>
    </w:p>
    <w:p w14:paraId="6A30C503">
      <w:pPr>
        <w:widowControl/>
        <w:spacing w:line="360" w:lineRule="auto"/>
        <w:ind w:left="1"/>
        <w:jc w:val="center"/>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（格式）</w:t>
      </w:r>
    </w:p>
    <w:p w14:paraId="13660431">
      <w:pPr>
        <w:pStyle w:val="18"/>
        <w:wordWrap w:val="0"/>
        <w:spacing w:line="560" w:lineRule="exact"/>
        <w:rPr>
          <w:rFonts w:ascii="宋体" w:hAnsi="宋体" w:cs="宋体"/>
          <w:color w:val="auto"/>
          <w:highlight w:val="none"/>
          <w:u w:val="single"/>
          <w:shd w:val="clear" w:color="auto" w:fill="FFFFFF"/>
        </w:rPr>
      </w:pPr>
      <w:r>
        <w:rPr>
          <w:rFonts w:hint="eastAsia" w:ascii="宋体" w:hAnsi="宋体" w:cs="宋体"/>
          <w:color w:val="auto"/>
          <w:highlight w:val="none"/>
          <w:u w:val="single"/>
          <w:shd w:val="clear" w:color="auto" w:fill="FFFFFF"/>
        </w:rPr>
        <w:t xml:space="preserve">      （采购人）           ：</w:t>
      </w:r>
    </w:p>
    <w:p w14:paraId="7B4CF8D4">
      <w:pPr>
        <w:pStyle w:val="18"/>
        <w:wordWrap w:val="0"/>
        <w:spacing w:line="560" w:lineRule="exact"/>
        <w:ind w:firstLine="640"/>
        <w:rPr>
          <w:rFonts w:ascii="宋体" w:hAnsi="宋体" w:cs="宋体"/>
          <w:color w:val="auto"/>
          <w:highlight w:val="none"/>
        </w:rPr>
      </w:pPr>
      <w:r>
        <w:rPr>
          <w:rFonts w:hint="eastAsia" w:ascii="宋体" w:hAnsi="宋体" w:cs="宋体"/>
          <w:color w:val="auto"/>
          <w:highlight w:val="none"/>
          <w:shd w:val="clear" w:color="auto" w:fill="FFFFFF"/>
        </w:rPr>
        <w:t>我方作为项目名称</w:t>
      </w:r>
      <w:r>
        <w:rPr>
          <w:rFonts w:hint="eastAsia" w:ascii="宋体" w:hAnsi="宋体" w:cs="宋体"/>
          <w:color w:val="auto"/>
          <w:highlight w:val="none"/>
          <w:u w:val="single"/>
          <w:shd w:val="clear" w:color="auto" w:fill="FFFFFF"/>
        </w:rPr>
        <w:t xml:space="preserve">             </w:t>
      </w:r>
      <w:r>
        <w:rPr>
          <w:rFonts w:hint="eastAsia" w:cs="宋体"/>
          <w:color w:val="auto"/>
          <w:highlight w:val="none"/>
          <w:u w:val="single"/>
          <w:shd w:val="clear" w:color="auto" w:fill="FFFFFF"/>
          <w:lang w:val="en-US" w:eastAsia="zh-CN"/>
        </w:rPr>
        <w:t xml:space="preserve">  </w:t>
      </w:r>
      <w:r>
        <w:rPr>
          <w:rFonts w:hint="eastAsia" w:ascii="宋体" w:hAnsi="宋体" w:cs="宋体"/>
          <w:color w:val="auto"/>
          <w:highlight w:val="none"/>
          <w:shd w:val="clear" w:color="auto" w:fill="FFFFFF"/>
        </w:rPr>
        <w:t>（项目编号：</w:t>
      </w:r>
      <w:r>
        <w:rPr>
          <w:rFonts w:hint="eastAsia" w:ascii="宋体" w:hAnsi="宋体" w:cs="宋体"/>
          <w:i/>
          <w:iCs/>
          <w:color w:val="auto"/>
          <w:highlight w:val="none"/>
          <w:u w:val="single"/>
          <w:shd w:val="clear" w:color="auto" w:fill="FFFFFF"/>
        </w:rPr>
        <w:t xml:space="preserve">          </w:t>
      </w:r>
      <w:r>
        <w:rPr>
          <w:rFonts w:hint="eastAsia" w:ascii="宋体" w:hAnsi="宋体" w:cs="宋体"/>
          <w:color w:val="auto"/>
          <w:highlight w:val="none"/>
          <w:shd w:val="clear" w:color="auto" w:fill="FFFFFF"/>
        </w:rPr>
        <w:t xml:space="preserve">）的供应商，在此郑重声明： </w:t>
      </w:r>
    </w:p>
    <w:p w14:paraId="4889EC89">
      <w:pPr>
        <w:pStyle w:val="18"/>
        <w:wordWrap w:val="0"/>
        <w:spacing w:line="560" w:lineRule="exact"/>
        <w:ind w:firstLine="420"/>
        <w:rPr>
          <w:rFonts w:ascii="宋体" w:hAnsi="宋体" w:cs="宋体"/>
          <w:color w:val="auto"/>
          <w:highlight w:val="none"/>
        </w:rPr>
      </w:pPr>
      <w:r>
        <w:rPr>
          <w:rFonts w:hint="eastAsia" w:ascii="宋体" w:hAnsi="宋体" w:cs="宋体"/>
          <w:color w:val="auto"/>
          <w:highlight w:val="none"/>
          <w:shd w:val="clear" w:color="auto" w:fill="FFFFFF"/>
        </w:rPr>
        <w:t>在参加本次政府采购活动前3年内的经营活动中</w:t>
      </w:r>
      <w:r>
        <w:rPr>
          <w:rFonts w:hint="eastAsia" w:ascii="宋体" w:hAnsi="宋体" w:cs="宋体"/>
          <w:color w:val="auto"/>
          <w:highlight w:val="none"/>
          <w:u w:val="single"/>
          <w:shd w:val="clear" w:color="auto" w:fill="FFFFFF"/>
        </w:rPr>
        <w:t xml:space="preserve">          </w:t>
      </w:r>
      <w:r>
        <w:rPr>
          <w:rFonts w:hint="eastAsia" w:ascii="宋体" w:hAnsi="宋体" w:cs="宋体"/>
          <w:color w:val="auto"/>
          <w:highlight w:val="none"/>
          <w:shd w:val="clear" w:color="auto" w:fill="FFFFFF"/>
        </w:rPr>
        <w:t xml:space="preserve">（填“没有”或“有”）重大违法记录。供应商在参加政府采购活动前3年内因违法经营被禁止在一定期限内参加政府采购活动，期限届满的，可以参加政府采购活动，但应提供期限届满的证明材料。 </w:t>
      </w:r>
    </w:p>
    <w:p w14:paraId="01848456">
      <w:pPr>
        <w:pStyle w:val="18"/>
        <w:wordWrap w:val="0"/>
        <w:spacing w:line="560" w:lineRule="exact"/>
        <w:ind w:firstLine="420"/>
        <w:rPr>
          <w:rFonts w:ascii="宋体" w:hAnsi="宋体" w:cs="宋体"/>
          <w:color w:val="auto"/>
          <w:highlight w:val="none"/>
        </w:rPr>
      </w:pPr>
      <w:r>
        <w:rPr>
          <w:rFonts w:hint="eastAsia" w:ascii="宋体" w:hAnsi="宋体" w:cs="宋体"/>
          <w:color w:val="auto"/>
          <w:highlight w:val="none"/>
          <w:shd w:val="clear" w:color="auto" w:fill="FFFFFF"/>
        </w:rPr>
        <w:t>如有不实，我方将无条件地退出本项目的采购活动，并遵照《</w:t>
      </w:r>
      <w:r>
        <w:rPr>
          <w:rFonts w:hint="eastAsia" w:hAnsi="宋体" w:cs="宋体"/>
          <w:color w:val="auto"/>
          <w:szCs w:val="24"/>
          <w:highlight w:val="none"/>
          <w:lang w:val="en-US" w:eastAsia="zh-CN"/>
        </w:rPr>
        <w:t>中华人民共和国</w:t>
      </w:r>
      <w:r>
        <w:rPr>
          <w:rFonts w:hint="eastAsia" w:ascii="宋体" w:hAnsi="宋体" w:cs="宋体"/>
          <w:color w:val="auto"/>
          <w:highlight w:val="none"/>
          <w:shd w:val="clear" w:color="auto" w:fill="FFFFFF"/>
        </w:rPr>
        <w:t xml:space="preserve">政府采购法》有关“提供虚假材料的规定”接受处罚。 </w:t>
      </w:r>
    </w:p>
    <w:p w14:paraId="0673FD37">
      <w:pPr>
        <w:pStyle w:val="18"/>
        <w:wordWrap w:val="0"/>
        <w:spacing w:line="560" w:lineRule="exact"/>
        <w:ind w:firstLine="420"/>
        <w:rPr>
          <w:rFonts w:ascii="宋体" w:hAnsi="宋体" w:cs="宋体"/>
          <w:color w:val="auto"/>
          <w:highlight w:val="none"/>
          <w:shd w:val="clear" w:color="auto" w:fill="FFFFFF"/>
        </w:rPr>
      </w:pPr>
      <w:r>
        <w:rPr>
          <w:rFonts w:hint="eastAsia" w:ascii="宋体" w:hAnsi="宋体" w:cs="宋体"/>
          <w:color w:val="auto"/>
          <w:highlight w:val="none"/>
          <w:shd w:val="clear" w:color="auto" w:fill="FFFFFF"/>
        </w:rPr>
        <w:t>特此声明！</w:t>
      </w:r>
    </w:p>
    <w:p w14:paraId="5D0F198A">
      <w:pPr>
        <w:pStyle w:val="18"/>
        <w:wordWrap w:val="0"/>
        <w:spacing w:line="560" w:lineRule="exact"/>
        <w:ind w:firstLine="420"/>
        <w:rPr>
          <w:rFonts w:ascii="宋体" w:hAnsi="宋体" w:cs="宋体"/>
          <w:color w:val="auto"/>
          <w:highlight w:val="none"/>
          <w:shd w:val="clear" w:color="auto" w:fill="FFFFFF"/>
        </w:rPr>
      </w:pPr>
    </w:p>
    <w:p w14:paraId="2E7EDA5B">
      <w:pPr>
        <w:spacing w:line="480" w:lineRule="auto"/>
        <w:ind w:firstLine="3360" w:firstLineChars="1400"/>
        <w:rPr>
          <w:rFonts w:ascii="宋体" w:hAnsi="宋体" w:cs="宋体"/>
          <w:color w:val="auto"/>
          <w:sz w:val="24"/>
          <w:highlight w:val="none"/>
        </w:rPr>
      </w:pPr>
      <w:r>
        <w:rPr>
          <w:rFonts w:hint="eastAsia" w:ascii="宋体" w:hAnsi="宋体" w:cs="宋体"/>
          <w:color w:val="auto"/>
          <w:sz w:val="24"/>
          <w:highlight w:val="none"/>
          <w:lang w:eastAsia="zh-CN"/>
        </w:rPr>
        <w:t>供应商</w:t>
      </w:r>
      <w:r>
        <w:rPr>
          <w:rFonts w:hint="eastAsia" w:ascii="宋体" w:hAnsi="宋体" w:cs="宋体"/>
          <w:color w:val="auto"/>
          <w:sz w:val="24"/>
          <w:highlight w:val="none"/>
        </w:rPr>
        <w:t>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（盖章）</w:t>
      </w:r>
    </w:p>
    <w:p w14:paraId="2AE8E343">
      <w:pPr>
        <w:pStyle w:val="33"/>
        <w:spacing w:before="156" w:beforeLines="50"/>
        <w:ind w:firstLine="3360" w:firstLineChars="1400"/>
        <w:rPr>
          <w:rFonts w:ascii="宋体" w:hAnsi="宋体" w:cs="宋体"/>
          <w:color w:val="auto"/>
          <w:sz w:val="24"/>
          <w:szCs w:val="24"/>
          <w:highlight w:val="none"/>
        </w:rPr>
      </w:pPr>
      <w:r>
        <w:rPr>
          <w:rFonts w:hint="eastAsia" w:ascii="宋体" w:hAnsi="宋体" w:cs="宋体"/>
          <w:color w:val="auto"/>
          <w:sz w:val="24"/>
          <w:szCs w:val="24"/>
          <w:highlight w:val="none"/>
        </w:rPr>
        <w:t>日        期：</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p>
    <w:p w14:paraId="2AF8C39F">
      <w:pPr>
        <w:adjustRightInd w:val="0"/>
        <w:snapToGrid w:val="0"/>
        <w:spacing w:line="360" w:lineRule="auto"/>
        <w:jc w:val="center"/>
        <w:rPr>
          <w:rFonts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br w:type="page"/>
      </w:r>
    </w:p>
    <w:p w14:paraId="0B6FAD72">
      <w:pPr>
        <w:adjustRightInd w:val="0"/>
        <w:snapToGrid w:val="0"/>
        <w:spacing w:line="360" w:lineRule="auto"/>
        <w:jc w:val="both"/>
        <w:rPr>
          <w:rFonts w:hint="eastAsia" w:ascii="宋体" w:hAnsi="宋体" w:cs="宋体"/>
          <w:b/>
          <w:color w:val="auto"/>
          <w:sz w:val="28"/>
          <w:szCs w:val="28"/>
          <w:highlight w:val="none"/>
        </w:rPr>
      </w:pPr>
    </w:p>
    <w:p w14:paraId="03B398D2">
      <w:pPr>
        <w:adjustRightInd w:val="0"/>
        <w:snapToGrid w:val="0"/>
        <w:spacing w:line="360" w:lineRule="auto"/>
        <w:jc w:val="center"/>
        <w:rPr>
          <w:rFonts w:ascii="宋体" w:hAnsi="宋体" w:cs="宋体"/>
          <w:b/>
          <w:color w:val="auto"/>
          <w:sz w:val="28"/>
          <w:szCs w:val="28"/>
          <w:highlight w:val="none"/>
        </w:rPr>
      </w:pPr>
      <w:r>
        <w:rPr>
          <w:rFonts w:hint="eastAsia" w:ascii="宋体" w:hAnsi="宋体" w:cs="宋体"/>
          <w:b/>
          <w:color w:val="auto"/>
          <w:sz w:val="28"/>
          <w:szCs w:val="28"/>
          <w:highlight w:val="none"/>
        </w:rPr>
        <w:t>具有履行本合同所必需的设备和专业技术能力的书面声明</w:t>
      </w:r>
    </w:p>
    <w:p w14:paraId="2EED4BB0">
      <w:pPr>
        <w:widowControl/>
        <w:spacing w:line="360" w:lineRule="auto"/>
        <w:ind w:left="1"/>
        <w:jc w:val="center"/>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（格式）</w:t>
      </w:r>
    </w:p>
    <w:p w14:paraId="5BCE85A8">
      <w:pPr>
        <w:rPr>
          <w:color w:val="auto"/>
          <w:highlight w:val="none"/>
        </w:rPr>
      </w:pPr>
    </w:p>
    <w:p w14:paraId="3E967C67">
      <w:pPr>
        <w:pStyle w:val="10"/>
        <w:adjustRightInd w:val="0"/>
        <w:snapToGrid w:val="0"/>
        <w:spacing w:line="720" w:lineRule="exact"/>
        <w:jc w:val="center"/>
        <w:rPr>
          <w:rFonts w:hAnsi="宋体"/>
          <w:b/>
          <w:color w:val="auto"/>
          <w:sz w:val="28"/>
          <w:szCs w:val="28"/>
          <w:highlight w:val="none"/>
        </w:rPr>
      </w:pPr>
    </w:p>
    <w:p w14:paraId="216163F9">
      <w:pPr>
        <w:spacing w:line="720" w:lineRule="exact"/>
        <w:rPr>
          <w:rFonts w:ascii="宋体" w:hAnsi="宋体" w:cs="宋体"/>
          <w:color w:val="auto"/>
          <w:spacing w:val="4"/>
          <w:sz w:val="24"/>
          <w:highlight w:val="none"/>
          <w:u w:val="single"/>
        </w:rPr>
      </w:pPr>
      <w:r>
        <w:rPr>
          <w:rFonts w:hint="eastAsia" w:ascii="宋体" w:hAnsi="宋体" w:cs="宋体"/>
          <w:color w:val="auto"/>
          <w:spacing w:val="4"/>
          <w:sz w:val="24"/>
          <w:highlight w:val="none"/>
          <w:u w:val="single"/>
        </w:rPr>
        <w:t xml:space="preserve">     （采购人）    ：</w:t>
      </w:r>
    </w:p>
    <w:p w14:paraId="5C12C438">
      <w:pPr>
        <w:pStyle w:val="10"/>
        <w:adjustRightInd w:val="0"/>
        <w:snapToGrid w:val="0"/>
        <w:spacing w:line="720" w:lineRule="exact"/>
        <w:rPr>
          <w:rFonts w:hAnsi="宋体"/>
          <w:color w:val="auto"/>
          <w:spacing w:val="4"/>
          <w:sz w:val="24"/>
          <w:szCs w:val="24"/>
          <w:highlight w:val="none"/>
        </w:rPr>
      </w:pPr>
      <w:r>
        <w:rPr>
          <w:rFonts w:hint="eastAsia" w:hAnsi="宋体"/>
          <w:color w:val="auto"/>
          <w:spacing w:val="4"/>
          <w:sz w:val="24"/>
          <w:szCs w:val="24"/>
          <w:highlight w:val="none"/>
        </w:rPr>
        <w:t xml:space="preserve">   </w:t>
      </w:r>
      <w:r>
        <w:rPr>
          <w:rFonts w:hint="eastAsia" w:hAnsi="宋体"/>
          <w:color w:val="auto"/>
          <w:spacing w:val="4"/>
          <w:sz w:val="24"/>
          <w:szCs w:val="24"/>
          <w:highlight w:val="none"/>
          <w:u w:val="single"/>
        </w:rPr>
        <w:t xml:space="preserve">      （供应商名称）    </w:t>
      </w:r>
      <w:r>
        <w:rPr>
          <w:rFonts w:hint="eastAsia" w:hAnsi="宋体"/>
          <w:color w:val="auto"/>
          <w:spacing w:val="4"/>
          <w:sz w:val="24"/>
          <w:szCs w:val="24"/>
          <w:highlight w:val="none"/>
        </w:rPr>
        <w:t xml:space="preserve"> 于</w:t>
      </w:r>
      <w:r>
        <w:rPr>
          <w:rFonts w:hint="eastAsia" w:hAnsi="宋体"/>
          <w:color w:val="auto"/>
          <w:spacing w:val="4"/>
          <w:sz w:val="24"/>
          <w:szCs w:val="24"/>
          <w:highlight w:val="none"/>
          <w:u w:val="single"/>
        </w:rPr>
        <w:t xml:space="preserve">     </w:t>
      </w:r>
      <w:r>
        <w:rPr>
          <w:rFonts w:hint="eastAsia" w:hAnsi="宋体"/>
          <w:color w:val="auto"/>
          <w:spacing w:val="4"/>
          <w:sz w:val="24"/>
          <w:szCs w:val="24"/>
          <w:highlight w:val="none"/>
        </w:rPr>
        <w:t>年</w:t>
      </w:r>
      <w:r>
        <w:rPr>
          <w:rFonts w:hint="eastAsia" w:hAnsi="宋体"/>
          <w:color w:val="auto"/>
          <w:spacing w:val="4"/>
          <w:sz w:val="24"/>
          <w:szCs w:val="24"/>
          <w:highlight w:val="none"/>
          <w:u w:val="single"/>
        </w:rPr>
        <w:t xml:space="preserve">    </w:t>
      </w:r>
      <w:r>
        <w:rPr>
          <w:rFonts w:hint="eastAsia" w:hAnsi="宋体"/>
          <w:color w:val="auto"/>
          <w:spacing w:val="4"/>
          <w:sz w:val="24"/>
          <w:szCs w:val="24"/>
          <w:highlight w:val="none"/>
        </w:rPr>
        <w:t>月</w:t>
      </w:r>
      <w:r>
        <w:rPr>
          <w:rFonts w:hint="eastAsia" w:hAnsi="宋体"/>
          <w:color w:val="auto"/>
          <w:spacing w:val="4"/>
          <w:sz w:val="24"/>
          <w:szCs w:val="24"/>
          <w:highlight w:val="none"/>
          <w:u w:val="single"/>
        </w:rPr>
        <w:t xml:space="preserve">   </w:t>
      </w:r>
      <w:r>
        <w:rPr>
          <w:rFonts w:hint="eastAsia" w:hAnsi="宋体"/>
          <w:color w:val="auto"/>
          <w:spacing w:val="4"/>
          <w:sz w:val="24"/>
          <w:szCs w:val="24"/>
          <w:highlight w:val="none"/>
        </w:rPr>
        <w:t>日在中华人民共和国境内</w:t>
      </w:r>
      <w:r>
        <w:rPr>
          <w:rFonts w:hint="eastAsia" w:hAnsi="宋体"/>
          <w:color w:val="auto"/>
          <w:spacing w:val="4"/>
          <w:sz w:val="24"/>
          <w:szCs w:val="24"/>
          <w:highlight w:val="none"/>
          <w:u w:val="single"/>
        </w:rPr>
        <w:t xml:space="preserve">               （详细注册地址）     </w:t>
      </w:r>
      <w:r>
        <w:rPr>
          <w:rFonts w:hint="eastAsia" w:hAnsi="宋体"/>
          <w:color w:val="auto"/>
          <w:spacing w:val="4"/>
          <w:sz w:val="24"/>
          <w:szCs w:val="24"/>
          <w:highlight w:val="none"/>
        </w:rPr>
        <w:t>合法注册并经营，公司主营业务为</w:t>
      </w:r>
      <w:r>
        <w:rPr>
          <w:rFonts w:hint="eastAsia" w:hAnsi="宋体"/>
          <w:color w:val="auto"/>
          <w:spacing w:val="4"/>
          <w:sz w:val="24"/>
          <w:szCs w:val="24"/>
          <w:highlight w:val="none"/>
          <w:u w:val="single"/>
        </w:rPr>
        <w:t xml:space="preserve">                        </w:t>
      </w:r>
      <w:r>
        <w:rPr>
          <w:rFonts w:hint="eastAsia" w:hAnsi="宋体"/>
          <w:color w:val="auto"/>
          <w:spacing w:val="4"/>
          <w:sz w:val="24"/>
          <w:szCs w:val="24"/>
          <w:highlight w:val="none"/>
        </w:rPr>
        <w:t>。</w:t>
      </w:r>
    </w:p>
    <w:p w14:paraId="6D5A4D37">
      <w:pPr>
        <w:pStyle w:val="10"/>
        <w:adjustRightInd w:val="0"/>
        <w:snapToGrid w:val="0"/>
        <w:spacing w:line="720" w:lineRule="exact"/>
        <w:ind w:firstLine="550" w:firstLineChars="222"/>
        <w:rPr>
          <w:rFonts w:hAnsi="宋体"/>
          <w:color w:val="auto"/>
          <w:spacing w:val="4"/>
          <w:sz w:val="24"/>
          <w:szCs w:val="24"/>
          <w:highlight w:val="none"/>
        </w:rPr>
      </w:pPr>
      <w:r>
        <w:rPr>
          <w:rFonts w:hint="eastAsia" w:hAnsi="宋体"/>
          <w:color w:val="auto"/>
          <w:spacing w:val="4"/>
          <w:sz w:val="24"/>
          <w:szCs w:val="24"/>
          <w:highlight w:val="none"/>
        </w:rPr>
        <w:t>我公司郑重承诺，我公司具有履行本合同所必需的设备和专业技术能力，合同履约中将无条件增加相关设备、人员，直至满足项目需求。</w:t>
      </w:r>
    </w:p>
    <w:p w14:paraId="184D6AB7">
      <w:pPr>
        <w:pStyle w:val="10"/>
        <w:adjustRightInd w:val="0"/>
        <w:snapToGrid w:val="0"/>
        <w:spacing w:line="720" w:lineRule="exact"/>
        <w:rPr>
          <w:rFonts w:hAnsi="宋体"/>
          <w:color w:val="auto"/>
          <w:spacing w:val="4"/>
          <w:sz w:val="24"/>
          <w:szCs w:val="24"/>
          <w:highlight w:val="none"/>
        </w:rPr>
      </w:pPr>
    </w:p>
    <w:p w14:paraId="653AFFB7">
      <w:pPr>
        <w:pStyle w:val="10"/>
        <w:adjustRightInd w:val="0"/>
        <w:snapToGrid w:val="0"/>
        <w:spacing w:line="720" w:lineRule="exact"/>
        <w:rPr>
          <w:rFonts w:hAnsi="宋体"/>
          <w:color w:val="auto"/>
          <w:spacing w:val="4"/>
          <w:sz w:val="24"/>
          <w:szCs w:val="24"/>
          <w:highlight w:val="none"/>
        </w:rPr>
      </w:pPr>
    </w:p>
    <w:p w14:paraId="54AA7BD2">
      <w:pPr>
        <w:pStyle w:val="10"/>
        <w:adjustRightInd w:val="0"/>
        <w:snapToGrid w:val="0"/>
        <w:spacing w:line="720" w:lineRule="exact"/>
        <w:rPr>
          <w:rFonts w:hAnsi="宋体"/>
          <w:color w:val="auto"/>
          <w:spacing w:val="4"/>
          <w:sz w:val="24"/>
          <w:szCs w:val="24"/>
          <w:highlight w:val="none"/>
        </w:rPr>
      </w:pPr>
    </w:p>
    <w:p w14:paraId="5918F598">
      <w:pPr>
        <w:spacing w:line="480" w:lineRule="auto"/>
        <w:ind w:firstLine="3360" w:firstLineChars="1400"/>
        <w:rPr>
          <w:rFonts w:ascii="宋体" w:hAnsi="宋体" w:cs="宋体"/>
          <w:color w:val="auto"/>
          <w:sz w:val="24"/>
          <w:highlight w:val="non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（盖章）</w:t>
      </w:r>
    </w:p>
    <w:p w14:paraId="3532D7F9">
      <w:pPr>
        <w:pStyle w:val="33"/>
        <w:spacing w:before="156" w:beforeLines="50"/>
        <w:ind w:firstLine="3360" w:firstLineChars="1400"/>
        <w:rPr>
          <w:rFonts w:hint="eastAsia" w:ascii="宋体" w:hAnsi="宋体" w:cs="宋体"/>
          <w:color w:val="auto"/>
          <w:sz w:val="24"/>
          <w:szCs w:val="24"/>
          <w:highlight w:val="none"/>
        </w:rPr>
      </w:pPr>
      <w:r>
        <w:rPr>
          <w:rFonts w:hint="eastAsia" w:ascii="宋体" w:hAnsi="宋体" w:cs="宋体"/>
          <w:color w:val="auto"/>
          <w:sz w:val="24"/>
          <w:szCs w:val="24"/>
          <w:highlight w:val="none"/>
        </w:rPr>
        <w:t>日        期：</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p>
    <w:p w14:paraId="2E97A306">
      <w:pPr>
        <w:rPr>
          <w:rFonts w:hint="eastAsia" w:ascii="宋体" w:hAnsi="宋体" w:eastAsia="宋体" w:cs="宋体"/>
          <w:b/>
          <w:color w:val="auto"/>
          <w:sz w:val="28"/>
          <w:szCs w:val="28"/>
          <w:highlight w:val="none"/>
        </w:rPr>
      </w:pPr>
    </w:p>
    <w:p w14:paraId="585F7EC9">
      <w:pPr>
        <w:rPr>
          <w:rFonts w:hint="eastAsia" w:hAnsi="宋体" w:cs="宋体"/>
          <w:b/>
          <w:bCs/>
          <w:color w:val="auto"/>
          <w:sz w:val="28"/>
          <w:szCs w:val="28"/>
          <w:highlight w:val="none"/>
        </w:rPr>
      </w:pPr>
      <w:r>
        <w:rPr>
          <w:rFonts w:hint="eastAsia" w:hAnsi="宋体" w:cs="宋体"/>
          <w:b/>
          <w:bCs/>
          <w:color w:val="auto"/>
          <w:sz w:val="28"/>
          <w:szCs w:val="28"/>
          <w:highlight w:val="none"/>
        </w:rPr>
        <w:br w:type="page"/>
      </w:r>
    </w:p>
    <w:p w14:paraId="2D907907">
      <w:pPr>
        <w:spacing w:before="156" w:beforeLines="50" w:after="156" w:afterLines="50"/>
        <w:outlineLvl w:val="9"/>
        <w:rPr>
          <w:rFonts w:hint="eastAsia" w:hAnsi="宋体" w:cs="宋体"/>
          <w:b/>
          <w:color w:val="auto"/>
          <w:sz w:val="28"/>
          <w:szCs w:val="28"/>
          <w:highlight w:val="none"/>
        </w:rPr>
      </w:pPr>
      <w:r>
        <w:rPr>
          <w:rFonts w:hint="eastAsia" w:hAnsi="宋体" w:cs="宋体"/>
          <w:b/>
          <w:bCs/>
          <w:color w:val="auto"/>
          <w:sz w:val="28"/>
          <w:szCs w:val="28"/>
          <w:highlight w:val="none"/>
        </w:rPr>
        <w:t>附件</w:t>
      </w:r>
      <w:r>
        <w:rPr>
          <w:rFonts w:hint="eastAsia" w:hAnsi="宋体" w:cs="宋体"/>
          <w:b/>
          <w:bCs/>
          <w:color w:val="auto"/>
          <w:sz w:val="28"/>
          <w:szCs w:val="28"/>
          <w:highlight w:val="none"/>
          <w:lang w:val="en-US" w:eastAsia="zh-CN"/>
        </w:rPr>
        <w:t>3</w:t>
      </w:r>
      <w:r>
        <w:rPr>
          <w:rFonts w:hint="eastAsia" w:hAnsi="宋体" w:cs="宋体"/>
          <w:b/>
          <w:bCs/>
          <w:color w:val="auto"/>
          <w:sz w:val="28"/>
          <w:szCs w:val="28"/>
          <w:highlight w:val="none"/>
        </w:rPr>
        <w:t>：</w:t>
      </w:r>
    </w:p>
    <w:p w14:paraId="503F31C2">
      <w:pPr>
        <w:spacing w:before="156" w:beforeLines="50" w:after="156" w:afterLines="50" w:line="360" w:lineRule="auto"/>
        <w:jc w:val="center"/>
        <w:rPr>
          <w:rFonts w:hint="eastAsia" w:hAnsi="宋体" w:cs="宋体"/>
          <w:color w:val="auto"/>
          <w:szCs w:val="24"/>
          <w:highlight w:val="none"/>
        </w:rPr>
      </w:pPr>
      <w:r>
        <w:rPr>
          <w:rFonts w:hint="eastAsia" w:hAnsi="宋体" w:cs="宋体"/>
          <w:b/>
          <w:color w:val="auto"/>
          <w:sz w:val="28"/>
          <w:szCs w:val="28"/>
          <w:highlight w:val="none"/>
        </w:rPr>
        <w:t>中小企业声明函</w:t>
      </w:r>
    </w:p>
    <w:p w14:paraId="00A1E5B5">
      <w:pPr>
        <w:tabs>
          <w:tab w:val="left" w:pos="1620"/>
          <w:tab w:val="left" w:pos="1800"/>
        </w:tabs>
        <w:spacing w:line="500" w:lineRule="exact"/>
        <w:ind w:firstLine="480" w:firstLineChars="200"/>
        <w:rPr>
          <w:rFonts w:hint="eastAsia" w:hAnsi="宋体" w:cs="宋体"/>
          <w:color w:val="auto"/>
          <w:szCs w:val="24"/>
          <w:highlight w:val="none"/>
        </w:rPr>
      </w:pPr>
      <w:r>
        <w:rPr>
          <w:rFonts w:hint="eastAsia" w:hAnsi="宋体" w:cs="宋体"/>
          <w:color w:val="auto"/>
          <w:szCs w:val="24"/>
          <w:highlight w:val="none"/>
        </w:rPr>
        <w:t>本公司郑重声明，根据《政府采购促进中小企业发展管理办法》（财库﹝2020﹞46 号）的规定，本公司参加</w:t>
      </w:r>
      <w:r>
        <w:rPr>
          <w:rFonts w:hint="eastAsia" w:hAnsi="宋体" w:cs="宋体"/>
          <w:color w:val="auto"/>
          <w:szCs w:val="24"/>
          <w:highlight w:val="none"/>
          <w:u w:val="single"/>
        </w:rPr>
        <w:t>（单位名称）</w:t>
      </w:r>
      <w:r>
        <w:rPr>
          <w:rFonts w:hint="eastAsia" w:hAnsi="宋体" w:cs="宋体"/>
          <w:color w:val="auto"/>
          <w:szCs w:val="24"/>
          <w:highlight w:val="none"/>
        </w:rPr>
        <w:t>的</w:t>
      </w:r>
      <w:r>
        <w:rPr>
          <w:rFonts w:hint="eastAsia" w:hAnsi="宋体" w:cs="宋体"/>
          <w:color w:val="auto"/>
          <w:szCs w:val="24"/>
          <w:highlight w:val="none"/>
          <w:u w:val="single"/>
        </w:rPr>
        <w:t>（项目名称）</w:t>
      </w:r>
      <w:r>
        <w:rPr>
          <w:rFonts w:hint="eastAsia" w:hAnsi="宋体" w:cs="宋体"/>
          <w:color w:val="auto"/>
          <w:szCs w:val="24"/>
          <w:highlight w:val="none"/>
        </w:rPr>
        <w:t>采购活动，工程的施工单位全部为符合政策要求的中小企业（或者：服务全部由符合政策要求的中小企业承接）。相关企业的具体情况如下：</w:t>
      </w:r>
    </w:p>
    <w:p w14:paraId="3B21DBB2">
      <w:pPr>
        <w:tabs>
          <w:tab w:val="left" w:pos="1620"/>
          <w:tab w:val="left" w:pos="1800"/>
        </w:tabs>
        <w:spacing w:line="500" w:lineRule="exact"/>
        <w:ind w:firstLine="480" w:firstLineChars="200"/>
        <w:rPr>
          <w:rFonts w:hint="eastAsia" w:hAnsi="宋体" w:cs="宋体"/>
          <w:color w:val="auto"/>
          <w:szCs w:val="24"/>
          <w:highlight w:val="none"/>
        </w:rPr>
      </w:pPr>
      <w:r>
        <w:rPr>
          <w:rFonts w:hint="eastAsia" w:hAnsi="宋体" w:cs="宋体"/>
          <w:color w:val="auto"/>
          <w:szCs w:val="24"/>
          <w:highlight w:val="none"/>
        </w:rPr>
        <w:t>1.</w:t>
      </w:r>
      <w:r>
        <w:rPr>
          <w:rFonts w:hint="eastAsia" w:hAnsi="宋体" w:cs="宋体"/>
          <w:color w:val="auto"/>
          <w:szCs w:val="24"/>
          <w:highlight w:val="none"/>
          <w:u w:val="single"/>
        </w:rPr>
        <w:t>（标的名称）</w:t>
      </w:r>
      <w:r>
        <w:rPr>
          <w:rFonts w:hint="eastAsia" w:hAnsi="宋体" w:cs="宋体"/>
          <w:color w:val="auto"/>
          <w:szCs w:val="24"/>
          <w:highlight w:val="none"/>
        </w:rPr>
        <w:t>，属于</w:t>
      </w:r>
      <w:r>
        <w:rPr>
          <w:rFonts w:hint="eastAsia" w:hAnsi="宋体" w:cs="宋体"/>
          <w:color w:val="auto"/>
          <w:szCs w:val="24"/>
          <w:highlight w:val="none"/>
          <w:u w:val="single"/>
        </w:rPr>
        <w:t>（采购文件中明确的所属行业）</w:t>
      </w:r>
      <w:r>
        <w:rPr>
          <w:rFonts w:hint="eastAsia" w:hAnsi="宋体" w:cs="宋体"/>
          <w:color w:val="auto"/>
          <w:szCs w:val="24"/>
          <w:highlight w:val="none"/>
        </w:rPr>
        <w:t>；承建（承接）企业为</w:t>
      </w:r>
      <w:r>
        <w:rPr>
          <w:rFonts w:hint="eastAsia" w:hAnsi="宋体" w:cs="宋体"/>
          <w:color w:val="auto"/>
          <w:szCs w:val="24"/>
          <w:highlight w:val="none"/>
          <w:u w:val="single"/>
        </w:rPr>
        <w:t>（企业名称）</w:t>
      </w:r>
      <w:r>
        <w:rPr>
          <w:rFonts w:hint="eastAsia" w:hAnsi="宋体" w:cs="宋体"/>
          <w:color w:val="auto"/>
          <w:szCs w:val="24"/>
          <w:highlight w:val="none"/>
        </w:rPr>
        <w:t>，从业人员</w:t>
      </w:r>
      <w:r>
        <w:rPr>
          <w:rFonts w:hint="eastAsia" w:hAnsi="宋体" w:cs="宋体"/>
          <w:color w:val="auto"/>
          <w:szCs w:val="24"/>
          <w:highlight w:val="none"/>
          <w:u w:val="single"/>
        </w:rPr>
        <w:t xml:space="preserve"> </w:t>
      </w:r>
      <w:r>
        <w:rPr>
          <w:rFonts w:hint="eastAsia" w:hAnsi="宋体" w:cs="宋体"/>
          <w:color w:val="auto"/>
          <w:szCs w:val="24"/>
          <w:highlight w:val="none"/>
          <w:u w:val="single"/>
        </w:rPr>
        <w:tab/>
      </w:r>
      <w:r>
        <w:rPr>
          <w:rFonts w:hint="eastAsia" w:hAnsi="宋体" w:cs="宋体"/>
          <w:color w:val="auto"/>
          <w:szCs w:val="24"/>
          <w:highlight w:val="none"/>
        </w:rPr>
        <w:t>人，营业收入</w:t>
      </w:r>
      <w:r>
        <w:rPr>
          <w:rFonts w:hint="eastAsia" w:hAnsi="宋体" w:cs="宋体"/>
          <w:color w:val="auto"/>
          <w:szCs w:val="24"/>
          <w:highlight w:val="none"/>
          <w:u w:val="single"/>
        </w:rPr>
        <w:t xml:space="preserve">为 </w:t>
      </w:r>
      <w:r>
        <w:rPr>
          <w:rFonts w:hint="eastAsia" w:hAnsi="宋体" w:cs="宋体"/>
          <w:color w:val="auto"/>
          <w:szCs w:val="24"/>
          <w:highlight w:val="none"/>
          <w:u w:val="single"/>
        </w:rPr>
        <w:tab/>
      </w:r>
      <w:r>
        <w:rPr>
          <w:rFonts w:hint="eastAsia" w:hAnsi="宋体" w:cs="宋体"/>
          <w:color w:val="auto"/>
          <w:szCs w:val="24"/>
          <w:highlight w:val="none"/>
        </w:rPr>
        <w:t>万元，资产总额为</w:t>
      </w:r>
      <w:r>
        <w:rPr>
          <w:rFonts w:hint="eastAsia" w:hAnsi="宋体" w:eastAsia="宋体" w:cs="宋体"/>
          <w:color w:val="auto"/>
          <w:szCs w:val="24"/>
          <w:highlight w:val="none"/>
          <w:u w:val="single"/>
          <w:lang w:val="en-US" w:eastAsia="zh-CN"/>
        </w:rPr>
        <w:t xml:space="preserve">      </w:t>
      </w:r>
      <w:r>
        <w:rPr>
          <w:rFonts w:hint="eastAsia" w:hAnsi="宋体" w:cs="宋体"/>
          <w:color w:val="auto"/>
          <w:szCs w:val="24"/>
          <w:highlight w:val="none"/>
        </w:rPr>
        <w:t>万元，属于</w:t>
      </w:r>
      <w:r>
        <w:rPr>
          <w:rFonts w:hint="eastAsia" w:hAnsi="宋体" w:cs="宋体"/>
          <w:color w:val="auto"/>
          <w:szCs w:val="24"/>
          <w:highlight w:val="none"/>
          <w:u w:val="single"/>
        </w:rPr>
        <w:t>（中型企业、小型企业、微型企业）</w:t>
      </w:r>
      <w:r>
        <w:rPr>
          <w:rFonts w:hint="eastAsia" w:hAnsi="宋体" w:cs="宋体"/>
          <w:color w:val="auto"/>
          <w:szCs w:val="24"/>
          <w:highlight w:val="none"/>
        </w:rPr>
        <w:t>；</w:t>
      </w:r>
    </w:p>
    <w:p w14:paraId="2D8FF966">
      <w:pPr>
        <w:tabs>
          <w:tab w:val="left" w:pos="1620"/>
          <w:tab w:val="left" w:pos="1800"/>
        </w:tabs>
        <w:spacing w:line="500" w:lineRule="exact"/>
        <w:ind w:firstLine="480" w:firstLineChars="200"/>
        <w:rPr>
          <w:rFonts w:hint="eastAsia" w:hAnsi="宋体" w:cs="宋体"/>
          <w:color w:val="auto"/>
          <w:szCs w:val="24"/>
          <w:highlight w:val="none"/>
        </w:rPr>
      </w:pPr>
      <w:r>
        <w:rPr>
          <w:rFonts w:hint="eastAsia" w:hAnsi="宋体" w:cs="宋体"/>
          <w:color w:val="auto"/>
          <w:szCs w:val="24"/>
          <w:highlight w:val="none"/>
        </w:rPr>
        <w:t>2.</w:t>
      </w:r>
      <w:r>
        <w:rPr>
          <w:rFonts w:hint="eastAsia" w:hAnsi="宋体" w:cs="宋体"/>
          <w:color w:val="auto"/>
          <w:szCs w:val="24"/>
          <w:highlight w:val="none"/>
          <w:u w:val="single"/>
        </w:rPr>
        <w:t>（标的名称）</w:t>
      </w:r>
      <w:r>
        <w:rPr>
          <w:rFonts w:hint="eastAsia" w:hAnsi="宋体" w:cs="宋体"/>
          <w:color w:val="auto"/>
          <w:szCs w:val="24"/>
          <w:highlight w:val="none"/>
        </w:rPr>
        <w:t>，属于</w:t>
      </w:r>
      <w:r>
        <w:rPr>
          <w:rFonts w:hint="eastAsia" w:hAnsi="宋体" w:cs="宋体"/>
          <w:color w:val="auto"/>
          <w:szCs w:val="24"/>
          <w:highlight w:val="none"/>
          <w:u w:val="single"/>
        </w:rPr>
        <w:t>（采购文件中明确的所属行业</w:t>
      </w:r>
      <w:r>
        <w:rPr>
          <w:rFonts w:hint="eastAsia" w:hAnsi="宋体" w:cs="宋体"/>
          <w:color w:val="auto"/>
          <w:szCs w:val="24"/>
          <w:highlight w:val="none"/>
        </w:rPr>
        <w:t>）；承建（承接）企业为</w:t>
      </w:r>
      <w:r>
        <w:rPr>
          <w:rFonts w:hint="eastAsia" w:hAnsi="宋体" w:cs="宋体"/>
          <w:color w:val="auto"/>
          <w:szCs w:val="24"/>
          <w:highlight w:val="none"/>
          <w:u w:val="single"/>
        </w:rPr>
        <w:t>（企业名称）</w:t>
      </w:r>
      <w:r>
        <w:rPr>
          <w:rFonts w:hint="eastAsia" w:hAnsi="宋体" w:cs="宋体"/>
          <w:color w:val="auto"/>
          <w:szCs w:val="24"/>
          <w:highlight w:val="none"/>
        </w:rPr>
        <w:t>，从业人员</w:t>
      </w:r>
      <w:r>
        <w:rPr>
          <w:rFonts w:hint="eastAsia" w:hAnsi="宋体" w:cs="宋体"/>
          <w:color w:val="auto"/>
          <w:szCs w:val="24"/>
          <w:highlight w:val="none"/>
          <w:u w:val="single"/>
        </w:rPr>
        <w:t xml:space="preserve"> </w:t>
      </w:r>
      <w:r>
        <w:rPr>
          <w:rFonts w:hint="eastAsia" w:hAnsi="宋体" w:cs="宋体"/>
          <w:color w:val="auto"/>
          <w:szCs w:val="24"/>
          <w:highlight w:val="none"/>
          <w:u w:val="single"/>
        </w:rPr>
        <w:tab/>
      </w:r>
      <w:r>
        <w:rPr>
          <w:rFonts w:hint="eastAsia" w:hAnsi="宋体" w:cs="宋体"/>
          <w:color w:val="auto"/>
          <w:szCs w:val="24"/>
          <w:highlight w:val="none"/>
        </w:rPr>
        <w:t>人，营业收入为</w:t>
      </w:r>
      <w:r>
        <w:rPr>
          <w:rFonts w:hint="eastAsia" w:hAnsi="宋体" w:cs="宋体"/>
          <w:color w:val="auto"/>
          <w:szCs w:val="24"/>
          <w:highlight w:val="none"/>
          <w:u w:val="single"/>
        </w:rPr>
        <w:t xml:space="preserve"> </w:t>
      </w:r>
      <w:r>
        <w:rPr>
          <w:rFonts w:hint="eastAsia" w:hAnsi="宋体" w:cs="宋体"/>
          <w:color w:val="auto"/>
          <w:szCs w:val="24"/>
          <w:highlight w:val="none"/>
          <w:u w:val="single"/>
        </w:rPr>
        <w:tab/>
      </w:r>
      <w:r>
        <w:rPr>
          <w:rFonts w:hint="eastAsia" w:hAnsi="宋体" w:cs="宋体"/>
          <w:color w:val="auto"/>
          <w:szCs w:val="24"/>
          <w:highlight w:val="none"/>
        </w:rPr>
        <w:t>万元，资产总额为</w:t>
      </w:r>
      <w:r>
        <w:rPr>
          <w:rFonts w:hint="eastAsia" w:hAnsi="宋体" w:cs="宋体"/>
          <w:color w:val="auto"/>
          <w:szCs w:val="24"/>
          <w:highlight w:val="none"/>
          <w:u w:val="single"/>
        </w:rPr>
        <w:t xml:space="preserve"> </w:t>
      </w:r>
      <w:r>
        <w:rPr>
          <w:rFonts w:hint="eastAsia" w:hAnsi="宋体" w:cs="宋体"/>
          <w:color w:val="auto"/>
          <w:szCs w:val="24"/>
          <w:highlight w:val="none"/>
          <w:u w:val="single"/>
        </w:rPr>
        <w:tab/>
      </w:r>
      <w:r>
        <w:rPr>
          <w:rFonts w:hint="eastAsia" w:hAnsi="宋体" w:eastAsia="宋体" w:cs="宋体"/>
          <w:color w:val="auto"/>
          <w:szCs w:val="24"/>
          <w:highlight w:val="none"/>
          <w:u w:val="single"/>
          <w:lang w:val="en-US" w:eastAsia="zh-CN"/>
        </w:rPr>
        <w:t xml:space="preserve">   </w:t>
      </w:r>
      <w:r>
        <w:rPr>
          <w:rFonts w:hint="eastAsia" w:hAnsi="宋体" w:cs="宋体"/>
          <w:color w:val="auto"/>
          <w:szCs w:val="24"/>
          <w:highlight w:val="none"/>
        </w:rPr>
        <w:t>万元，属于</w:t>
      </w:r>
      <w:r>
        <w:rPr>
          <w:rFonts w:hint="eastAsia" w:hAnsi="宋体" w:cs="宋体"/>
          <w:color w:val="auto"/>
          <w:szCs w:val="24"/>
          <w:highlight w:val="none"/>
          <w:u w:val="single"/>
        </w:rPr>
        <w:t>（中型企业、小型企业、微型企业）</w:t>
      </w:r>
      <w:r>
        <w:rPr>
          <w:rFonts w:hint="eastAsia" w:hAnsi="宋体" w:cs="宋体"/>
          <w:color w:val="auto"/>
          <w:szCs w:val="24"/>
          <w:highlight w:val="none"/>
        </w:rPr>
        <w:t>；</w:t>
      </w:r>
    </w:p>
    <w:p w14:paraId="2896D5EE">
      <w:pPr>
        <w:tabs>
          <w:tab w:val="left" w:pos="1620"/>
          <w:tab w:val="left" w:pos="1800"/>
        </w:tabs>
        <w:spacing w:line="500" w:lineRule="exact"/>
        <w:rPr>
          <w:rFonts w:hint="eastAsia" w:hAnsi="宋体" w:cs="宋体"/>
          <w:color w:val="auto"/>
          <w:szCs w:val="24"/>
          <w:highlight w:val="none"/>
        </w:rPr>
      </w:pPr>
      <w:r>
        <w:rPr>
          <w:rFonts w:hint="eastAsia" w:hAnsi="宋体" w:cs="宋体"/>
          <w:color w:val="auto"/>
          <w:szCs w:val="24"/>
          <w:highlight w:val="none"/>
        </w:rPr>
        <w:t>……</w:t>
      </w:r>
    </w:p>
    <w:p w14:paraId="1764F9CB">
      <w:pPr>
        <w:tabs>
          <w:tab w:val="left" w:pos="1620"/>
          <w:tab w:val="left" w:pos="1800"/>
        </w:tabs>
        <w:spacing w:line="500" w:lineRule="exact"/>
        <w:ind w:firstLine="480" w:firstLineChars="200"/>
        <w:rPr>
          <w:rFonts w:hint="eastAsia" w:hAnsi="宋体" w:cs="宋体"/>
          <w:color w:val="auto"/>
          <w:szCs w:val="24"/>
          <w:highlight w:val="none"/>
        </w:rPr>
      </w:pPr>
      <w:r>
        <w:rPr>
          <w:rFonts w:hint="eastAsia" w:hAnsi="宋体" w:cs="宋体"/>
          <w:color w:val="auto"/>
          <w:szCs w:val="24"/>
          <w:highlight w:val="none"/>
        </w:rPr>
        <w:t>以上企业，不属于大企业的分支机构，不存在控股股东为大企业的情形，也不存在与大企业的负责人为同一人的情形。</w:t>
      </w:r>
    </w:p>
    <w:p w14:paraId="0E957CC3">
      <w:pPr>
        <w:tabs>
          <w:tab w:val="left" w:pos="1620"/>
          <w:tab w:val="left" w:pos="1800"/>
        </w:tabs>
        <w:spacing w:line="500" w:lineRule="exact"/>
        <w:ind w:firstLine="480" w:firstLineChars="200"/>
        <w:rPr>
          <w:rFonts w:hint="eastAsia" w:hAnsi="宋体" w:cs="宋体"/>
          <w:color w:val="auto"/>
          <w:szCs w:val="24"/>
          <w:highlight w:val="none"/>
        </w:rPr>
      </w:pPr>
      <w:r>
        <w:rPr>
          <w:rFonts w:hint="eastAsia" w:hAnsi="宋体" w:cs="宋体"/>
          <w:color w:val="auto"/>
          <w:szCs w:val="24"/>
          <w:highlight w:val="none"/>
        </w:rPr>
        <w:t>本企业对上述声明内容的真实性负责。如有虚假，将依法承担相应责任。</w:t>
      </w:r>
    </w:p>
    <w:p w14:paraId="24A3C295">
      <w:pPr>
        <w:tabs>
          <w:tab w:val="left" w:pos="1620"/>
          <w:tab w:val="left" w:pos="1800"/>
        </w:tabs>
        <w:spacing w:line="500" w:lineRule="exact"/>
        <w:rPr>
          <w:rFonts w:hint="eastAsia" w:hAnsi="宋体" w:cs="宋体"/>
          <w:color w:val="auto"/>
          <w:szCs w:val="24"/>
          <w:highlight w:val="none"/>
        </w:rPr>
      </w:pPr>
    </w:p>
    <w:p w14:paraId="5A348EF0">
      <w:pPr>
        <w:tabs>
          <w:tab w:val="left" w:pos="1620"/>
          <w:tab w:val="left" w:pos="1800"/>
        </w:tabs>
        <w:spacing w:line="500" w:lineRule="exact"/>
        <w:rPr>
          <w:rFonts w:hint="eastAsia" w:hAnsi="宋体" w:cs="宋体"/>
          <w:color w:val="auto"/>
          <w:szCs w:val="24"/>
          <w:highlight w:val="none"/>
        </w:rPr>
      </w:pPr>
    </w:p>
    <w:p w14:paraId="7E16197B">
      <w:pPr>
        <w:tabs>
          <w:tab w:val="left" w:pos="1620"/>
          <w:tab w:val="left" w:pos="1800"/>
        </w:tabs>
        <w:spacing w:line="500" w:lineRule="exact"/>
        <w:ind w:firstLine="4800" w:firstLineChars="2000"/>
        <w:rPr>
          <w:rFonts w:hint="eastAsia" w:hAnsi="宋体" w:cs="宋体"/>
          <w:color w:val="auto"/>
          <w:szCs w:val="24"/>
          <w:highlight w:val="none"/>
        </w:rPr>
      </w:pPr>
      <w:r>
        <w:rPr>
          <w:rFonts w:hint="eastAsia" w:hAnsi="宋体" w:cs="宋体"/>
          <w:color w:val="auto"/>
          <w:szCs w:val="24"/>
          <w:highlight w:val="none"/>
        </w:rPr>
        <w:t>企业名称（盖章）：</w:t>
      </w:r>
    </w:p>
    <w:p w14:paraId="16FDC750">
      <w:pPr>
        <w:tabs>
          <w:tab w:val="left" w:pos="1620"/>
          <w:tab w:val="left" w:pos="1800"/>
        </w:tabs>
        <w:spacing w:line="500" w:lineRule="exact"/>
        <w:ind w:firstLine="4800" w:firstLineChars="2000"/>
        <w:rPr>
          <w:rFonts w:hint="eastAsia" w:hAnsi="宋体" w:cs="宋体"/>
          <w:color w:val="auto"/>
          <w:szCs w:val="24"/>
          <w:highlight w:val="none"/>
        </w:rPr>
      </w:pPr>
      <w:r>
        <w:rPr>
          <w:rFonts w:hint="eastAsia" w:hAnsi="宋体" w:cs="宋体"/>
          <w:color w:val="auto"/>
          <w:szCs w:val="24"/>
          <w:highlight w:val="none"/>
        </w:rPr>
        <w:t>日期：</w:t>
      </w:r>
    </w:p>
    <w:p w14:paraId="247A75A9">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77F52700">
      <w:pPr>
        <w:keepNext w:val="0"/>
        <w:keepLines w:val="0"/>
        <w:pageBreakBefore w:val="0"/>
        <w:widowControl w:val="0"/>
        <w:kinsoku/>
        <w:wordWrap/>
        <w:overflowPunct/>
        <w:topLinePunct w:val="0"/>
        <w:autoSpaceDE/>
        <w:autoSpaceDN/>
        <w:bidi w:val="0"/>
        <w:adjustRightInd/>
        <w:snapToGrid/>
        <w:spacing w:line="360" w:lineRule="auto"/>
        <w:ind w:firstLine="602" w:firstLineChars="200"/>
        <w:jc w:val="center"/>
        <w:textAlignment w:val="auto"/>
        <w:outlineLvl w:val="1"/>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七、其它</w:t>
      </w:r>
      <w:bookmarkEnd w:id="214"/>
      <w:bookmarkEnd w:id="215"/>
      <w:bookmarkEnd w:id="216"/>
      <w:bookmarkEnd w:id="220"/>
    </w:p>
    <w:p w14:paraId="0223F7FC">
      <w:pPr>
        <w:pStyle w:val="8"/>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1、依据竞争性磋商文件要求，供应商认为有必要说明的其他内容</w:t>
      </w:r>
    </w:p>
    <w:p w14:paraId="37E413FE">
      <w:pPr>
        <w:pStyle w:val="8"/>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2、其他可以证明供应商实力的文件。</w:t>
      </w:r>
    </w:p>
    <w:p w14:paraId="4F2D992E">
      <w:pPr>
        <w:rPr>
          <w:rFonts w:hint="eastAsia" w:ascii="宋体" w:hAnsi="宋体" w:eastAsia="宋体" w:cs="宋体"/>
          <w:b/>
          <w:color w:val="auto"/>
          <w:sz w:val="28"/>
          <w:szCs w:val="28"/>
          <w:highlight w:val="none"/>
        </w:rPr>
      </w:pPr>
      <w:bookmarkStart w:id="225" w:name="_Toc13530"/>
      <w:bookmarkStart w:id="226" w:name="_Toc10139"/>
      <w:bookmarkStart w:id="227" w:name="_Toc12704"/>
      <w:bookmarkStart w:id="228" w:name="_Toc13836"/>
      <w:r>
        <w:rPr>
          <w:rFonts w:hint="eastAsia" w:ascii="宋体" w:hAnsi="宋体" w:eastAsia="宋体" w:cs="宋体"/>
          <w:b/>
          <w:color w:val="auto"/>
          <w:sz w:val="28"/>
          <w:szCs w:val="28"/>
          <w:highlight w:val="none"/>
        </w:rPr>
        <w:br w:type="page"/>
      </w:r>
    </w:p>
    <w:p w14:paraId="3CCDE12F">
      <w:pPr>
        <w:spacing w:before="312" w:beforeLines="100" w:after="156" w:afterLines="50"/>
        <w:outlineLvl w:val="9"/>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rPr>
        <w:t>附</w:t>
      </w:r>
      <w:r>
        <w:rPr>
          <w:rFonts w:hint="eastAsia" w:ascii="宋体" w:hAnsi="宋体" w:eastAsia="宋体" w:cs="宋体"/>
          <w:b/>
          <w:color w:val="auto"/>
          <w:sz w:val="28"/>
          <w:szCs w:val="28"/>
          <w:highlight w:val="none"/>
          <w:lang w:val="en-US" w:eastAsia="zh-CN"/>
        </w:rPr>
        <w:t>件</w:t>
      </w:r>
      <w:r>
        <w:rPr>
          <w:rFonts w:hint="eastAsia" w:hAnsi="宋体" w:cs="宋体"/>
          <w:b/>
          <w:color w:val="auto"/>
          <w:sz w:val="28"/>
          <w:szCs w:val="28"/>
          <w:highlight w:val="none"/>
          <w:lang w:val="en-US" w:eastAsia="zh-CN"/>
        </w:rPr>
        <w:t>4（如有）</w:t>
      </w:r>
      <w:r>
        <w:rPr>
          <w:rFonts w:hint="eastAsia" w:ascii="宋体" w:hAnsi="宋体" w:eastAsia="宋体" w:cs="宋体"/>
          <w:b/>
          <w:color w:val="auto"/>
          <w:sz w:val="28"/>
          <w:szCs w:val="28"/>
          <w:highlight w:val="none"/>
        </w:rPr>
        <w:t>：</w:t>
      </w:r>
      <w:bookmarkEnd w:id="225"/>
      <w:bookmarkEnd w:id="226"/>
      <w:bookmarkEnd w:id="227"/>
    </w:p>
    <w:p w14:paraId="47868314">
      <w:pPr>
        <w:spacing w:before="312" w:beforeLines="100" w:after="156" w:afterLines="50"/>
        <w:jc w:val="center"/>
        <w:outlineLvl w:val="9"/>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磋商产品属节能、环境标志产品列表</w:t>
      </w:r>
      <w:bookmarkEnd w:id="228"/>
    </w:p>
    <w:p w14:paraId="4979168D">
      <w:pPr>
        <w:spacing w:line="360" w:lineRule="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项目名称：</w:t>
      </w:r>
    </w:p>
    <w:p w14:paraId="268AB6E6">
      <w:pPr>
        <w:spacing w:line="360" w:lineRule="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项目编号：</w:t>
      </w:r>
    </w:p>
    <w:tbl>
      <w:tblPr>
        <w:tblStyle w:val="21"/>
        <w:tblW w:w="0" w:type="auto"/>
        <w:tblInd w:w="0" w:type="dxa"/>
        <w:tblLayout w:type="fixed"/>
        <w:tblCellMar>
          <w:top w:w="0" w:type="dxa"/>
          <w:left w:w="28" w:type="dxa"/>
          <w:bottom w:w="0" w:type="dxa"/>
          <w:right w:w="28" w:type="dxa"/>
        </w:tblCellMar>
      </w:tblPr>
      <w:tblGrid>
        <w:gridCol w:w="886"/>
        <w:gridCol w:w="1863"/>
        <w:gridCol w:w="2250"/>
        <w:gridCol w:w="1311"/>
        <w:gridCol w:w="1307"/>
        <w:gridCol w:w="1313"/>
      </w:tblGrid>
      <w:tr w14:paraId="417975B9">
        <w:tblPrEx>
          <w:tblCellMar>
            <w:top w:w="0" w:type="dxa"/>
            <w:left w:w="28" w:type="dxa"/>
            <w:bottom w:w="0" w:type="dxa"/>
            <w:right w:w="28" w:type="dxa"/>
          </w:tblCellMar>
        </w:tblPrEx>
        <w:trPr>
          <w:trHeight w:val="911" w:hRule="atLeast"/>
        </w:trPr>
        <w:tc>
          <w:tcPr>
            <w:tcW w:w="886" w:type="dxa"/>
            <w:tcBorders>
              <w:top w:val="single" w:color="auto" w:sz="6" w:space="0"/>
              <w:left w:val="single" w:color="auto" w:sz="4" w:space="0"/>
              <w:bottom w:val="single" w:color="auto" w:sz="6" w:space="0"/>
            </w:tcBorders>
            <w:noWrap w:val="0"/>
            <w:vAlign w:val="center"/>
          </w:tcPr>
          <w:p w14:paraId="69F404D6">
            <w:pPr>
              <w:spacing w:after="120"/>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1863" w:type="dxa"/>
            <w:tcBorders>
              <w:top w:val="single" w:color="auto" w:sz="6" w:space="0"/>
              <w:left w:val="single" w:color="auto" w:sz="6" w:space="0"/>
              <w:bottom w:val="single" w:color="auto" w:sz="6" w:space="0"/>
              <w:right w:val="single" w:color="auto" w:sz="6" w:space="0"/>
            </w:tcBorders>
            <w:noWrap w:val="0"/>
            <w:vAlign w:val="center"/>
          </w:tcPr>
          <w:p w14:paraId="3171BA45">
            <w:pPr>
              <w:spacing w:after="120"/>
              <w:jc w:val="center"/>
              <w:rPr>
                <w:rFonts w:hint="eastAsia" w:ascii="宋体" w:hAnsi="宋体" w:eastAsia="宋体" w:cs="宋体"/>
                <w:color w:val="auto"/>
                <w:highlight w:val="none"/>
              </w:rPr>
            </w:pPr>
            <w:r>
              <w:rPr>
                <w:rFonts w:hint="eastAsia" w:ascii="宋体" w:hAnsi="宋体" w:eastAsia="宋体" w:cs="宋体"/>
                <w:color w:val="auto"/>
                <w:highlight w:val="none"/>
              </w:rPr>
              <w:t>名称</w:t>
            </w:r>
          </w:p>
        </w:tc>
        <w:tc>
          <w:tcPr>
            <w:tcW w:w="2250" w:type="dxa"/>
            <w:tcBorders>
              <w:top w:val="single" w:color="auto" w:sz="6" w:space="0"/>
              <w:left w:val="single" w:color="auto" w:sz="6" w:space="0"/>
              <w:bottom w:val="single" w:color="auto" w:sz="6" w:space="0"/>
              <w:right w:val="single" w:color="auto" w:sz="6" w:space="0"/>
            </w:tcBorders>
            <w:noWrap w:val="0"/>
            <w:vAlign w:val="center"/>
          </w:tcPr>
          <w:p w14:paraId="04DB635F">
            <w:pPr>
              <w:spacing w:before="156" w:beforeLines="50" w:after="120"/>
              <w:jc w:val="center"/>
              <w:rPr>
                <w:rFonts w:hint="eastAsia" w:ascii="宋体" w:hAnsi="宋体" w:eastAsia="宋体" w:cs="宋体"/>
                <w:color w:val="auto"/>
                <w:highlight w:val="none"/>
              </w:rPr>
            </w:pPr>
            <w:r>
              <w:rPr>
                <w:rFonts w:hint="eastAsia" w:ascii="宋体" w:hAnsi="宋体" w:eastAsia="宋体" w:cs="宋体"/>
                <w:color w:val="auto"/>
                <w:highlight w:val="none"/>
              </w:rPr>
              <w:t>型号和规格</w:t>
            </w:r>
          </w:p>
        </w:tc>
        <w:tc>
          <w:tcPr>
            <w:tcW w:w="1311" w:type="dxa"/>
            <w:tcBorders>
              <w:top w:val="single" w:color="auto" w:sz="6" w:space="0"/>
              <w:left w:val="single" w:color="auto" w:sz="6" w:space="0"/>
              <w:bottom w:val="single" w:color="auto" w:sz="6" w:space="0"/>
              <w:right w:val="single" w:color="auto" w:sz="6" w:space="0"/>
            </w:tcBorders>
            <w:noWrap w:val="0"/>
            <w:vAlign w:val="center"/>
          </w:tcPr>
          <w:p w14:paraId="750BAE56">
            <w:pPr>
              <w:spacing w:after="120"/>
              <w:jc w:val="center"/>
              <w:rPr>
                <w:rFonts w:hint="eastAsia" w:ascii="宋体" w:hAnsi="宋体" w:eastAsia="宋体" w:cs="宋体"/>
                <w:color w:val="auto"/>
                <w:highlight w:val="none"/>
              </w:rPr>
            </w:pPr>
            <w:r>
              <w:rPr>
                <w:rFonts w:hint="eastAsia" w:ascii="宋体" w:hAnsi="宋体" w:eastAsia="宋体" w:cs="宋体"/>
                <w:color w:val="auto"/>
                <w:highlight w:val="none"/>
              </w:rPr>
              <w:t>数量</w:t>
            </w:r>
          </w:p>
        </w:tc>
        <w:tc>
          <w:tcPr>
            <w:tcW w:w="1307" w:type="dxa"/>
            <w:tcBorders>
              <w:top w:val="single" w:color="auto" w:sz="6" w:space="0"/>
              <w:left w:val="single" w:color="auto" w:sz="6" w:space="0"/>
              <w:bottom w:val="single" w:color="auto" w:sz="6" w:space="0"/>
              <w:right w:val="single" w:color="auto" w:sz="6" w:space="0"/>
            </w:tcBorders>
            <w:noWrap w:val="0"/>
            <w:vAlign w:val="center"/>
          </w:tcPr>
          <w:p w14:paraId="31A11F40">
            <w:pPr>
              <w:spacing w:after="120"/>
              <w:jc w:val="center"/>
              <w:rPr>
                <w:rFonts w:hint="eastAsia" w:ascii="宋体" w:hAnsi="宋体" w:eastAsia="宋体" w:cs="宋体"/>
                <w:color w:val="auto"/>
                <w:highlight w:val="none"/>
              </w:rPr>
            </w:pPr>
            <w:r>
              <w:rPr>
                <w:rFonts w:hint="eastAsia" w:ascii="宋体" w:hAnsi="宋体" w:eastAsia="宋体" w:cs="宋体"/>
                <w:color w:val="auto"/>
                <w:highlight w:val="none"/>
              </w:rPr>
              <w:t>单价</w:t>
            </w:r>
          </w:p>
          <w:p w14:paraId="1A5EABA9">
            <w:pPr>
              <w:spacing w:after="120"/>
              <w:jc w:val="center"/>
              <w:rPr>
                <w:rFonts w:hint="eastAsia" w:ascii="宋体" w:hAnsi="宋体" w:eastAsia="宋体" w:cs="宋体"/>
                <w:bCs/>
                <w:color w:val="auto"/>
                <w:highlight w:val="none"/>
              </w:rPr>
            </w:pPr>
            <w:r>
              <w:rPr>
                <w:rFonts w:hint="eastAsia" w:ascii="宋体" w:hAnsi="宋体" w:eastAsia="宋体" w:cs="宋体"/>
                <w:color w:val="auto"/>
                <w:highlight w:val="none"/>
              </w:rPr>
              <w:t>（元）</w:t>
            </w:r>
          </w:p>
        </w:tc>
        <w:tc>
          <w:tcPr>
            <w:tcW w:w="1313" w:type="dxa"/>
            <w:tcBorders>
              <w:top w:val="single" w:color="auto" w:sz="6" w:space="0"/>
              <w:left w:val="single" w:color="auto" w:sz="6" w:space="0"/>
              <w:bottom w:val="single" w:color="auto" w:sz="6" w:space="0"/>
              <w:right w:val="single" w:color="auto" w:sz="6" w:space="0"/>
            </w:tcBorders>
            <w:noWrap w:val="0"/>
            <w:vAlign w:val="center"/>
          </w:tcPr>
          <w:p w14:paraId="4132B4B7">
            <w:pPr>
              <w:spacing w:after="120"/>
              <w:jc w:val="center"/>
              <w:rPr>
                <w:rFonts w:hint="eastAsia" w:ascii="宋体" w:hAnsi="宋体" w:eastAsia="宋体" w:cs="宋体"/>
                <w:bCs/>
                <w:color w:val="auto"/>
                <w:highlight w:val="none"/>
              </w:rPr>
            </w:pPr>
            <w:r>
              <w:rPr>
                <w:rFonts w:hint="eastAsia" w:ascii="宋体" w:hAnsi="宋体" w:eastAsia="宋体" w:cs="宋体"/>
                <w:bCs/>
                <w:color w:val="auto"/>
                <w:highlight w:val="none"/>
              </w:rPr>
              <w:t>总价</w:t>
            </w:r>
          </w:p>
          <w:p w14:paraId="636021EC">
            <w:pPr>
              <w:spacing w:after="120"/>
              <w:jc w:val="center"/>
              <w:rPr>
                <w:rFonts w:hint="eastAsia" w:ascii="宋体" w:hAnsi="宋体" w:eastAsia="宋体" w:cs="宋体"/>
                <w:bCs/>
                <w:color w:val="auto"/>
                <w:highlight w:val="none"/>
              </w:rPr>
            </w:pPr>
            <w:r>
              <w:rPr>
                <w:rFonts w:hint="eastAsia" w:ascii="宋体" w:hAnsi="宋体" w:eastAsia="宋体" w:cs="宋体"/>
                <w:bCs/>
                <w:color w:val="auto"/>
                <w:highlight w:val="none"/>
              </w:rPr>
              <w:t>（元）</w:t>
            </w:r>
          </w:p>
        </w:tc>
      </w:tr>
      <w:tr w14:paraId="458DACD6">
        <w:tblPrEx>
          <w:tblCellMar>
            <w:top w:w="0" w:type="dxa"/>
            <w:left w:w="28" w:type="dxa"/>
            <w:bottom w:w="0" w:type="dxa"/>
            <w:right w:w="28" w:type="dxa"/>
          </w:tblCellMar>
        </w:tblPrEx>
        <w:trPr>
          <w:trHeight w:val="808" w:hRule="atLeast"/>
        </w:trPr>
        <w:tc>
          <w:tcPr>
            <w:tcW w:w="886" w:type="dxa"/>
            <w:tcBorders>
              <w:top w:val="single" w:color="auto" w:sz="6" w:space="0"/>
              <w:left w:val="single" w:color="auto" w:sz="4" w:space="0"/>
              <w:bottom w:val="single" w:color="auto" w:sz="4" w:space="0"/>
            </w:tcBorders>
            <w:noWrap w:val="0"/>
            <w:vAlign w:val="center"/>
          </w:tcPr>
          <w:p w14:paraId="2EC3F3D0">
            <w:pPr>
              <w:spacing w:before="312" w:beforeLines="100"/>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1863" w:type="dxa"/>
            <w:tcBorders>
              <w:top w:val="single" w:color="auto" w:sz="6" w:space="0"/>
              <w:left w:val="single" w:color="auto" w:sz="6" w:space="0"/>
              <w:bottom w:val="single" w:color="auto" w:sz="4" w:space="0"/>
              <w:right w:val="single" w:color="auto" w:sz="6" w:space="0"/>
            </w:tcBorders>
            <w:noWrap w:val="0"/>
            <w:vAlign w:val="center"/>
          </w:tcPr>
          <w:p w14:paraId="6764DEFA">
            <w:pPr>
              <w:spacing w:before="156" w:beforeLines="50"/>
              <w:jc w:val="center"/>
              <w:rPr>
                <w:rFonts w:hint="eastAsia" w:ascii="宋体" w:hAnsi="宋体" w:eastAsia="宋体" w:cs="宋体"/>
                <w:color w:val="auto"/>
                <w:highlight w:val="none"/>
              </w:rPr>
            </w:pPr>
          </w:p>
        </w:tc>
        <w:tc>
          <w:tcPr>
            <w:tcW w:w="2250" w:type="dxa"/>
            <w:tcBorders>
              <w:top w:val="single" w:color="auto" w:sz="6" w:space="0"/>
              <w:left w:val="single" w:color="auto" w:sz="6" w:space="0"/>
              <w:bottom w:val="single" w:color="auto" w:sz="4" w:space="0"/>
              <w:right w:val="single" w:color="auto" w:sz="6" w:space="0"/>
            </w:tcBorders>
            <w:noWrap w:val="0"/>
            <w:vAlign w:val="center"/>
          </w:tcPr>
          <w:p w14:paraId="47BBCEB3">
            <w:pPr>
              <w:spacing w:before="156" w:beforeLines="50"/>
              <w:jc w:val="center"/>
              <w:rPr>
                <w:rFonts w:hint="eastAsia" w:ascii="宋体" w:hAnsi="宋体" w:eastAsia="宋体" w:cs="宋体"/>
                <w:color w:val="auto"/>
                <w:highlight w:val="none"/>
              </w:rPr>
            </w:pPr>
          </w:p>
        </w:tc>
        <w:tc>
          <w:tcPr>
            <w:tcW w:w="1311" w:type="dxa"/>
            <w:tcBorders>
              <w:top w:val="single" w:color="auto" w:sz="6" w:space="0"/>
              <w:left w:val="single" w:color="auto" w:sz="6" w:space="0"/>
              <w:bottom w:val="single" w:color="auto" w:sz="4" w:space="0"/>
              <w:right w:val="single" w:color="auto" w:sz="6" w:space="0"/>
            </w:tcBorders>
            <w:noWrap w:val="0"/>
            <w:vAlign w:val="center"/>
          </w:tcPr>
          <w:p w14:paraId="66A65C2E">
            <w:pPr>
              <w:spacing w:before="156" w:beforeLines="50"/>
              <w:jc w:val="center"/>
              <w:rPr>
                <w:rFonts w:hint="eastAsia" w:ascii="宋体" w:hAnsi="宋体" w:eastAsia="宋体" w:cs="宋体"/>
                <w:color w:val="auto"/>
                <w:highlight w:val="none"/>
              </w:rPr>
            </w:pPr>
          </w:p>
        </w:tc>
        <w:tc>
          <w:tcPr>
            <w:tcW w:w="1307" w:type="dxa"/>
            <w:tcBorders>
              <w:top w:val="single" w:color="auto" w:sz="6" w:space="0"/>
              <w:left w:val="single" w:color="auto" w:sz="6" w:space="0"/>
              <w:bottom w:val="single" w:color="auto" w:sz="4" w:space="0"/>
              <w:right w:val="single" w:color="auto" w:sz="6" w:space="0"/>
            </w:tcBorders>
            <w:noWrap w:val="0"/>
            <w:vAlign w:val="center"/>
          </w:tcPr>
          <w:p w14:paraId="1C5729A5">
            <w:pPr>
              <w:spacing w:before="156" w:beforeLines="50"/>
              <w:jc w:val="center"/>
              <w:rPr>
                <w:rFonts w:hint="eastAsia" w:ascii="宋体" w:hAnsi="宋体" w:eastAsia="宋体" w:cs="宋体"/>
                <w:color w:val="auto"/>
                <w:highlight w:val="none"/>
              </w:rPr>
            </w:pPr>
          </w:p>
        </w:tc>
        <w:tc>
          <w:tcPr>
            <w:tcW w:w="1313" w:type="dxa"/>
            <w:tcBorders>
              <w:top w:val="single" w:color="auto" w:sz="6" w:space="0"/>
              <w:left w:val="single" w:color="auto" w:sz="6" w:space="0"/>
              <w:bottom w:val="single" w:color="auto" w:sz="4" w:space="0"/>
              <w:right w:val="single" w:color="auto" w:sz="6" w:space="0"/>
            </w:tcBorders>
            <w:noWrap w:val="0"/>
            <w:vAlign w:val="center"/>
          </w:tcPr>
          <w:p w14:paraId="7FECC53B">
            <w:pPr>
              <w:spacing w:before="156" w:beforeLines="50"/>
              <w:jc w:val="center"/>
              <w:rPr>
                <w:rFonts w:hint="eastAsia" w:ascii="宋体" w:hAnsi="宋体" w:eastAsia="宋体" w:cs="宋体"/>
                <w:color w:val="auto"/>
                <w:highlight w:val="none"/>
              </w:rPr>
            </w:pPr>
          </w:p>
        </w:tc>
      </w:tr>
      <w:tr w14:paraId="7484E787">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noWrap w:val="0"/>
            <w:vAlign w:val="center"/>
          </w:tcPr>
          <w:p w14:paraId="7C7E4E11">
            <w:pPr>
              <w:spacing w:before="312" w:beforeLines="100"/>
              <w:jc w:val="center"/>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1863" w:type="dxa"/>
            <w:tcBorders>
              <w:top w:val="single" w:color="auto" w:sz="4" w:space="0"/>
              <w:left w:val="single" w:color="auto" w:sz="6" w:space="0"/>
              <w:bottom w:val="single" w:color="auto" w:sz="6" w:space="0"/>
              <w:right w:val="single" w:color="auto" w:sz="6" w:space="0"/>
            </w:tcBorders>
            <w:noWrap w:val="0"/>
            <w:vAlign w:val="center"/>
          </w:tcPr>
          <w:p w14:paraId="0D650BB2">
            <w:pPr>
              <w:spacing w:before="312" w:beforeLines="100"/>
              <w:jc w:val="center"/>
              <w:rPr>
                <w:rFonts w:hint="eastAsia" w:ascii="宋体" w:hAnsi="宋体" w:eastAsia="宋体" w:cs="宋体"/>
                <w:color w:val="auto"/>
                <w:highlight w:val="none"/>
              </w:rPr>
            </w:pPr>
          </w:p>
        </w:tc>
        <w:tc>
          <w:tcPr>
            <w:tcW w:w="2250" w:type="dxa"/>
            <w:tcBorders>
              <w:top w:val="single" w:color="auto" w:sz="4" w:space="0"/>
              <w:left w:val="single" w:color="auto" w:sz="6" w:space="0"/>
              <w:bottom w:val="single" w:color="auto" w:sz="6" w:space="0"/>
              <w:right w:val="single" w:color="auto" w:sz="6" w:space="0"/>
            </w:tcBorders>
            <w:noWrap w:val="0"/>
            <w:vAlign w:val="center"/>
          </w:tcPr>
          <w:p w14:paraId="1111E77C">
            <w:pPr>
              <w:spacing w:before="156" w:beforeLines="50"/>
              <w:jc w:val="center"/>
              <w:rPr>
                <w:rFonts w:hint="eastAsia" w:ascii="宋体" w:hAnsi="宋体" w:eastAsia="宋体" w:cs="宋体"/>
                <w:color w:val="auto"/>
                <w:highlight w:val="none"/>
              </w:rPr>
            </w:pPr>
          </w:p>
        </w:tc>
        <w:tc>
          <w:tcPr>
            <w:tcW w:w="1311" w:type="dxa"/>
            <w:tcBorders>
              <w:top w:val="single" w:color="auto" w:sz="4" w:space="0"/>
              <w:left w:val="single" w:color="auto" w:sz="6" w:space="0"/>
              <w:bottom w:val="single" w:color="auto" w:sz="6" w:space="0"/>
              <w:right w:val="single" w:color="auto" w:sz="6" w:space="0"/>
            </w:tcBorders>
            <w:noWrap w:val="0"/>
            <w:vAlign w:val="center"/>
          </w:tcPr>
          <w:p w14:paraId="53504DE8">
            <w:pPr>
              <w:spacing w:before="156" w:beforeLines="50"/>
              <w:jc w:val="center"/>
              <w:rPr>
                <w:rFonts w:hint="eastAsia" w:ascii="宋体" w:hAnsi="宋体" w:eastAsia="宋体" w:cs="宋体"/>
                <w:color w:val="auto"/>
                <w:highlight w:val="none"/>
              </w:rPr>
            </w:pPr>
          </w:p>
        </w:tc>
        <w:tc>
          <w:tcPr>
            <w:tcW w:w="1307" w:type="dxa"/>
            <w:tcBorders>
              <w:top w:val="single" w:color="auto" w:sz="4" w:space="0"/>
              <w:left w:val="single" w:color="auto" w:sz="6" w:space="0"/>
              <w:bottom w:val="single" w:color="auto" w:sz="6" w:space="0"/>
              <w:right w:val="single" w:color="auto" w:sz="6" w:space="0"/>
            </w:tcBorders>
            <w:noWrap w:val="0"/>
            <w:vAlign w:val="center"/>
          </w:tcPr>
          <w:p w14:paraId="4DB87104">
            <w:pPr>
              <w:spacing w:before="156" w:beforeLines="50"/>
              <w:jc w:val="center"/>
              <w:rPr>
                <w:rFonts w:hint="eastAsia" w:ascii="宋体" w:hAnsi="宋体" w:eastAsia="宋体" w:cs="宋体"/>
                <w:color w:val="auto"/>
                <w:highlight w:val="none"/>
              </w:rPr>
            </w:pPr>
          </w:p>
        </w:tc>
        <w:tc>
          <w:tcPr>
            <w:tcW w:w="1313" w:type="dxa"/>
            <w:tcBorders>
              <w:top w:val="single" w:color="auto" w:sz="4" w:space="0"/>
              <w:left w:val="single" w:color="auto" w:sz="6" w:space="0"/>
              <w:bottom w:val="single" w:color="auto" w:sz="6" w:space="0"/>
              <w:right w:val="single" w:color="auto" w:sz="6" w:space="0"/>
            </w:tcBorders>
            <w:noWrap w:val="0"/>
            <w:vAlign w:val="center"/>
          </w:tcPr>
          <w:p w14:paraId="6E142F15">
            <w:pPr>
              <w:spacing w:before="156" w:beforeLines="50"/>
              <w:jc w:val="center"/>
              <w:rPr>
                <w:rFonts w:hint="eastAsia" w:ascii="宋体" w:hAnsi="宋体" w:eastAsia="宋体" w:cs="宋体"/>
                <w:color w:val="auto"/>
                <w:highlight w:val="none"/>
              </w:rPr>
            </w:pPr>
          </w:p>
        </w:tc>
      </w:tr>
      <w:tr w14:paraId="42E9D445">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noWrap w:val="0"/>
            <w:vAlign w:val="center"/>
          </w:tcPr>
          <w:p w14:paraId="514F4CE0">
            <w:pPr>
              <w:spacing w:before="312" w:beforeLines="100"/>
              <w:jc w:val="center"/>
              <w:rPr>
                <w:rFonts w:hint="eastAsia" w:ascii="宋体" w:hAnsi="宋体" w:eastAsia="宋体" w:cs="宋体"/>
                <w:color w:val="auto"/>
                <w:highlight w:val="none"/>
              </w:rPr>
            </w:pPr>
            <w:r>
              <w:rPr>
                <w:rFonts w:hint="eastAsia" w:ascii="宋体" w:hAnsi="宋体" w:eastAsia="宋体" w:cs="宋体"/>
                <w:color w:val="auto"/>
                <w:highlight w:val="none"/>
              </w:rPr>
              <w:t>3</w:t>
            </w:r>
          </w:p>
        </w:tc>
        <w:tc>
          <w:tcPr>
            <w:tcW w:w="1863" w:type="dxa"/>
            <w:tcBorders>
              <w:top w:val="single" w:color="auto" w:sz="4" w:space="0"/>
              <w:left w:val="single" w:color="auto" w:sz="6" w:space="0"/>
              <w:bottom w:val="single" w:color="auto" w:sz="6" w:space="0"/>
              <w:right w:val="single" w:color="auto" w:sz="6" w:space="0"/>
            </w:tcBorders>
            <w:noWrap w:val="0"/>
            <w:vAlign w:val="center"/>
          </w:tcPr>
          <w:p w14:paraId="02AA9D3A">
            <w:pPr>
              <w:spacing w:before="312" w:beforeLines="100"/>
              <w:jc w:val="center"/>
              <w:rPr>
                <w:rFonts w:hint="eastAsia" w:ascii="宋体" w:hAnsi="宋体" w:eastAsia="宋体" w:cs="宋体"/>
                <w:color w:val="auto"/>
                <w:highlight w:val="none"/>
              </w:rPr>
            </w:pPr>
          </w:p>
        </w:tc>
        <w:tc>
          <w:tcPr>
            <w:tcW w:w="2250" w:type="dxa"/>
            <w:tcBorders>
              <w:top w:val="single" w:color="auto" w:sz="4" w:space="0"/>
              <w:left w:val="single" w:color="auto" w:sz="6" w:space="0"/>
              <w:bottom w:val="single" w:color="auto" w:sz="6" w:space="0"/>
              <w:right w:val="single" w:color="auto" w:sz="6" w:space="0"/>
            </w:tcBorders>
            <w:noWrap w:val="0"/>
            <w:vAlign w:val="center"/>
          </w:tcPr>
          <w:p w14:paraId="5A20C433">
            <w:pPr>
              <w:spacing w:before="156" w:beforeLines="50"/>
              <w:jc w:val="center"/>
              <w:rPr>
                <w:rFonts w:hint="eastAsia" w:ascii="宋体" w:hAnsi="宋体" w:eastAsia="宋体" w:cs="宋体"/>
                <w:color w:val="auto"/>
                <w:highlight w:val="none"/>
              </w:rPr>
            </w:pPr>
          </w:p>
        </w:tc>
        <w:tc>
          <w:tcPr>
            <w:tcW w:w="1311" w:type="dxa"/>
            <w:tcBorders>
              <w:top w:val="single" w:color="auto" w:sz="4" w:space="0"/>
              <w:left w:val="single" w:color="auto" w:sz="6" w:space="0"/>
              <w:bottom w:val="single" w:color="auto" w:sz="6" w:space="0"/>
              <w:right w:val="single" w:color="auto" w:sz="6" w:space="0"/>
            </w:tcBorders>
            <w:noWrap w:val="0"/>
            <w:vAlign w:val="center"/>
          </w:tcPr>
          <w:p w14:paraId="5D51372A">
            <w:pPr>
              <w:spacing w:before="156" w:beforeLines="50"/>
              <w:jc w:val="center"/>
              <w:rPr>
                <w:rFonts w:hint="eastAsia" w:ascii="宋体" w:hAnsi="宋体" w:eastAsia="宋体" w:cs="宋体"/>
                <w:color w:val="auto"/>
                <w:highlight w:val="none"/>
              </w:rPr>
            </w:pPr>
          </w:p>
        </w:tc>
        <w:tc>
          <w:tcPr>
            <w:tcW w:w="1307" w:type="dxa"/>
            <w:tcBorders>
              <w:top w:val="single" w:color="auto" w:sz="4" w:space="0"/>
              <w:left w:val="single" w:color="auto" w:sz="6" w:space="0"/>
              <w:bottom w:val="single" w:color="auto" w:sz="6" w:space="0"/>
              <w:right w:val="single" w:color="auto" w:sz="6" w:space="0"/>
            </w:tcBorders>
            <w:noWrap w:val="0"/>
            <w:vAlign w:val="center"/>
          </w:tcPr>
          <w:p w14:paraId="0328B11E">
            <w:pPr>
              <w:spacing w:before="156" w:beforeLines="50"/>
              <w:jc w:val="center"/>
              <w:rPr>
                <w:rFonts w:hint="eastAsia" w:ascii="宋体" w:hAnsi="宋体" w:eastAsia="宋体" w:cs="宋体"/>
                <w:color w:val="auto"/>
                <w:highlight w:val="none"/>
              </w:rPr>
            </w:pPr>
          </w:p>
        </w:tc>
        <w:tc>
          <w:tcPr>
            <w:tcW w:w="1313" w:type="dxa"/>
            <w:tcBorders>
              <w:top w:val="single" w:color="auto" w:sz="4" w:space="0"/>
              <w:left w:val="single" w:color="auto" w:sz="6" w:space="0"/>
              <w:bottom w:val="single" w:color="auto" w:sz="6" w:space="0"/>
              <w:right w:val="single" w:color="auto" w:sz="6" w:space="0"/>
            </w:tcBorders>
            <w:noWrap w:val="0"/>
            <w:vAlign w:val="center"/>
          </w:tcPr>
          <w:p w14:paraId="26BFA0D0">
            <w:pPr>
              <w:spacing w:before="156" w:beforeLines="50"/>
              <w:jc w:val="center"/>
              <w:rPr>
                <w:rFonts w:hint="eastAsia" w:ascii="宋体" w:hAnsi="宋体" w:eastAsia="宋体" w:cs="宋体"/>
                <w:color w:val="auto"/>
                <w:highlight w:val="none"/>
              </w:rPr>
            </w:pPr>
          </w:p>
        </w:tc>
      </w:tr>
      <w:tr w14:paraId="32B8B496">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noWrap w:val="0"/>
            <w:vAlign w:val="center"/>
          </w:tcPr>
          <w:p w14:paraId="49566512">
            <w:pPr>
              <w:spacing w:before="312" w:beforeLines="100"/>
              <w:jc w:val="center"/>
              <w:rPr>
                <w:rFonts w:hint="eastAsia" w:ascii="宋体" w:hAnsi="宋体" w:eastAsia="宋体" w:cs="宋体"/>
                <w:color w:val="auto"/>
                <w:highlight w:val="none"/>
              </w:rPr>
            </w:pPr>
            <w:r>
              <w:rPr>
                <w:rFonts w:hint="eastAsia" w:ascii="宋体" w:hAnsi="宋体" w:eastAsia="宋体" w:cs="宋体"/>
                <w:color w:val="auto"/>
                <w:szCs w:val="24"/>
                <w:highlight w:val="none"/>
              </w:rPr>
              <w:t>……</w:t>
            </w:r>
          </w:p>
        </w:tc>
        <w:tc>
          <w:tcPr>
            <w:tcW w:w="1863" w:type="dxa"/>
            <w:tcBorders>
              <w:top w:val="single" w:color="auto" w:sz="4" w:space="0"/>
              <w:left w:val="single" w:color="auto" w:sz="6" w:space="0"/>
              <w:bottom w:val="single" w:color="auto" w:sz="6" w:space="0"/>
              <w:right w:val="single" w:color="auto" w:sz="6" w:space="0"/>
            </w:tcBorders>
            <w:noWrap w:val="0"/>
            <w:vAlign w:val="center"/>
          </w:tcPr>
          <w:p w14:paraId="0A7E1149">
            <w:pPr>
              <w:spacing w:before="156" w:beforeLines="50"/>
              <w:jc w:val="center"/>
              <w:rPr>
                <w:rFonts w:hint="eastAsia" w:ascii="宋体" w:hAnsi="宋体" w:eastAsia="宋体" w:cs="宋体"/>
                <w:color w:val="auto"/>
                <w:highlight w:val="none"/>
              </w:rPr>
            </w:pPr>
          </w:p>
        </w:tc>
        <w:tc>
          <w:tcPr>
            <w:tcW w:w="2250" w:type="dxa"/>
            <w:tcBorders>
              <w:top w:val="single" w:color="auto" w:sz="4" w:space="0"/>
              <w:left w:val="single" w:color="auto" w:sz="6" w:space="0"/>
              <w:bottom w:val="single" w:color="auto" w:sz="6" w:space="0"/>
              <w:right w:val="single" w:color="auto" w:sz="6" w:space="0"/>
            </w:tcBorders>
            <w:noWrap w:val="0"/>
            <w:vAlign w:val="center"/>
          </w:tcPr>
          <w:p w14:paraId="54E1FC49">
            <w:pPr>
              <w:spacing w:before="156" w:beforeLines="50"/>
              <w:jc w:val="center"/>
              <w:rPr>
                <w:rFonts w:hint="eastAsia" w:ascii="宋体" w:hAnsi="宋体" w:eastAsia="宋体" w:cs="宋体"/>
                <w:color w:val="auto"/>
                <w:highlight w:val="none"/>
              </w:rPr>
            </w:pPr>
          </w:p>
        </w:tc>
        <w:tc>
          <w:tcPr>
            <w:tcW w:w="1311" w:type="dxa"/>
            <w:tcBorders>
              <w:top w:val="single" w:color="auto" w:sz="4" w:space="0"/>
              <w:left w:val="single" w:color="auto" w:sz="6" w:space="0"/>
              <w:bottom w:val="single" w:color="auto" w:sz="6" w:space="0"/>
              <w:right w:val="single" w:color="auto" w:sz="6" w:space="0"/>
            </w:tcBorders>
            <w:noWrap w:val="0"/>
            <w:vAlign w:val="center"/>
          </w:tcPr>
          <w:p w14:paraId="18F1E8F0">
            <w:pPr>
              <w:spacing w:before="156" w:beforeLines="50"/>
              <w:jc w:val="center"/>
              <w:rPr>
                <w:rFonts w:hint="eastAsia" w:ascii="宋体" w:hAnsi="宋体" w:eastAsia="宋体" w:cs="宋体"/>
                <w:color w:val="auto"/>
                <w:highlight w:val="none"/>
              </w:rPr>
            </w:pPr>
          </w:p>
        </w:tc>
        <w:tc>
          <w:tcPr>
            <w:tcW w:w="1307" w:type="dxa"/>
            <w:tcBorders>
              <w:top w:val="single" w:color="auto" w:sz="4" w:space="0"/>
              <w:left w:val="single" w:color="auto" w:sz="6" w:space="0"/>
              <w:bottom w:val="single" w:color="auto" w:sz="6" w:space="0"/>
              <w:right w:val="single" w:color="auto" w:sz="6" w:space="0"/>
            </w:tcBorders>
            <w:noWrap w:val="0"/>
            <w:vAlign w:val="center"/>
          </w:tcPr>
          <w:p w14:paraId="20541824">
            <w:pPr>
              <w:spacing w:before="156" w:beforeLines="50"/>
              <w:jc w:val="center"/>
              <w:rPr>
                <w:rFonts w:hint="eastAsia" w:ascii="宋体" w:hAnsi="宋体" w:eastAsia="宋体" w:cs="宋体"/>
                <w:color w:val="auto"/>
                <w:highlight w:val="none"/>
              </w:rPr>
            </w:pPr>
          </w:p>
        </w:tc>
        <w:tc>
          <w:tcPr>
            <w:tcW w:w="1313" w:type="dxa"/>
            <w:tcBorders>
              <w:top w:val="single" w:color="auto" w:sz="4" w:space="0"/>
              <w:left w:val="single" w:color="auto" w:sz="6" w:space="0"/>
              <w:bottom w:val="single" w:color="auto" w:sz="6" w:space="0"/>
              <w:right w:val="single" w:color="auto" w:sz="6" w:space="0"/>
            </w:tcBorders>
            <w:noWrap w:val="0"/>
            <w:vAlign w:val="center"/>
          </w:tcPr>
          <w:p w14:paraId="1BF950EE">
            <w:pPr>
              <w:spacing w:before="156" w:beforeLines="50"/>
              <w:jc w:val="center"/>
              <w:rPr>
                <w:rFonts w:hint="eastAsia" w:ascii="宋体" w:hAnsi="宋体" w:eastAsia="宋体" w:cs="宋体"/>
                <w:color w:val="auto"/>
                <w:highlight w:val="none"/>
              </w:rPr>
            </w:pPr>
          </w:p>
        </w:tc>
      </w:tr>
      <w:tr w14:paraId="0F6FA7F2">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noWrap w:val="0"/>
            <w:vAlign w:val="center"/>
          </w:tcPr>
          <w:p w14:paraId="25CA41BC">
            <w:pPr>
              <w:spacing w:before="312" w:beforeLines="100"/>
              <w:jc w:val="center"/>
              <w:rPr>
                <w:rFonts w:hint="eastAsia" w:ascii="宋体" w:hAnsi="宋体" w:eastAsia="宋体" w:cs="宋体"/>
                <w:b/>
                <w:color w:val="auto"/>
                <w:highlight w:val="none"/>
              </w:rPr>
            </w:pPr>
            <w:r>
              <w:rPr>
                <w:rFonts w:hint="eastAsia" w:ascii="宋体" w:hAnsi="宋体" w:eastAsia="宋体" w:cs="宋体"/>
                <w:color w:val="auto"/>
                <w:szCs w:val="24"/>
                <w:highlight w:val="none"/>
              </w:rPr>
              <w:t>……</w:t>
            </w:r>
          </w:p>
        </w:tc>
        <w:tc>
          <w:tcPr>
            <w:tcW w:w="1863" w:type="dxa"/>
            <w:tcBorders>
              <w:top w:val="single" w:color="auto" w:sz="4" w:space="0"/>
              <w:left w:val="single" w:color="auto" w:sz="6" w:space="0"/>
              <w:bottom w:val="single" w:color="auto" w:sz="6" w:space="0"/>
              <w:right w:val="single" w:color="auto" w:sz="6" w:space="0"/>
            </w:tcBorders>
            <w:noWrap w:val="0"/>
            <w:vAlign w:val="center"/>
          </w:tcPr>
          <w:p w14:paraId="77059975">
            <w:pPr>
              <w:spacing w:before="156" w:beforeLines="50"/>
              <w:jc w:val="center"/>
              <w:rPr>
                <w:rFonts w:hint="eastAsia" w:ascii="宋体" w:hAnsi="宋体" w:eastAsia="宋体" w:cs="宋体"/>
                <w:color w:val="auto"/>
                <w:highlight w:val="none"/>
              </w:rPr>
            </w:pPr>
          </w:p>
        </w:tc>
        <w:tc>
          <w:tcPr>
            <w:tcW w:w="2250" w:type="dxa"/>
            <w:tcBorders>
              <w:top w:val="single" w:color="auto" w:sz="4" w:space="0"/>
              <w:left w:val="single" w:color="auto" w:sz="6" w:space="0"/>
              <w:bottom w:val="single" w:color="auto" w:sz="6" w:space="0"/>
              <w:right w:val="single" w:color="auto" w:sz="6" w:space="0"/>
            </w:tcBorders>
            <w:noWrap w:val="0"/>
            <w:vAlign w:val="center"/>
          </w:tcPr>
          <w:p w14:paraId="61AB1D00">
            <w:pPr>
              <w:spacing w:before="156" w:beforeLines="50"/>
              <w:jc w:val="center"/>
              <w:rPr>
                <w:rFonts w:hint="eastAsia" w:ascii="宋体" w:hAnsi="宋体" w:eastAsia="宋体" w:cs="宋体"/>
                <w:color w:val="auto"/>
                <w:highlight w:val="none"/>
              </w:rPr>
            </w:pPr>
          </w:p>
        </w:tc>
        <w:tc>
          <w:tcPr>
            <w:tcW w:w="1311" w:type="dxa"/>
            <w:tcBorders>
              <w:top w:val="single" w:color="auto" w:sz="4" w:space="0"/>
              <w:left w:val="single" w:color="auto" w:sz="6" w:space="0"/>
              <w:bottom w:val="single" w:color="auto" w:sz="6" w:space="0"/>
              <w:right w:val="single" w:color="auto" w:sz="6" w:space="0"/>
            </w:tcBorders>
            <w:noWrap w:val="0"/>
            <w:vAlign w:val="center"/>
          </w:tcPr>
          <w:p w14:paraId="0D8CCF8E">
            <w:pPr>
              <w:spacing w:before="156" w:beforeLines="50"/>
              <w:jc w:val="center"/>
              <w:rPr>
                <w:rFonts w:hint="eastAsia" w:ascii="宋体" w:hAnsi="宋体" w:eastAsia="宋体" w:cs="宋体"/>
                <w:color w:val="auto"/>
                <w:highlight w:val="none"/>
              </w:rPr>
            </w:pPr>
          </w:p>
        </w:tc>
        <w:tc>
          <w:tcPr>
            <w:tcW w:w="1307" w:type="dxa"/>
            <w:tcBorders>
              <w:top w:val="single" w:color="auto" w:sz="4" w:space="0"/>
              <w:left w:val="single" w:color="auto" w:sz="6" w:space="0"/>
              <w:bottom w:val="single" w:color="auto" w:sz="6" w:space="0"/>
              <w:right w:val="single" w:color="auto" w:sz="6" w:space="0"/>
            </w:tcBorders>
            <w:noWrap w:val="0"/>
            <w:vAlign w:val="center"/>
          </w:tcPr>
          <w:p w14:paraId="63367828">
            <w:pPr>
              <w:spacing w:before="156" w:beforeLines="50"/>
              <w:jc w:val="center"/>
              <w:rPr>
                <w:rFonts w:hint="eastAsia" w:ascii="宋体" w:hAnsi="宋体" w:eastAsia="宋体" w:cs="宋体"/>
                <w:color w:val="auto"/>
                <w:highlight w:val="none"/>
              </w:rPr>
            </w:pPr>
          </w:p>
        </w:tc>
        <w:tc>
          <w:tcPr>
            <w:tcW w:w="1313" w:type="dxa"/>
            <w:tcBorders>
              <w:top w:val="single" w:color="auto" w:sz="4" w:space="0"/>
              <w:left w:val="single" w:color="auto" w:sz="6" w:space="0"/>
              <w:bottom w:val="single" w:color="auto" w:sz="6" w:space="0"/>
              <w:right w:val="single" w:color="auto" w:sz="6" w:space="0"/>
            </w:tcBorders>
            <w:noWrap w:val="0"/>
            <w:vAlign w:val="center"/>
          </w:tcPr>
          <w:p w14:paraId="574F2B2C">
            <w:pPr>
              <w:spacing w:before="156" w:beforeLines="50"/>
              <w:jc w:val="center"/>
              <w:rPr>
                <w:rFonts w:hint="eastAsia" w:ascii="宋体" w:hAnsi="宋体" w:eastAsia="宋体" w:cs="宋体"/>
                <w:color w:val="auto"/>
                <w:highlight w:val="none"/>
              </w:rPr>
            </w:pPr>
          </w:p>
        </w:tc>
      </w:tr>
      <w:tr w14:paraId="5ACB166C">
        <w:tblPrEx>
          <w:tblCellMar>
            <w:top w:w="0" w:type="dxa"/>
            <w:left w:w="28" w:type="dxa"/>
            <w:bottom w:w="0" w:type="dxa"/>
            <w:right w:w="28" w:type="dxa"/>
          </w:tblCellMar>
        </w:tblPrEx>
        <w:trPr>
          <w:trHeight w:val="808" w:hRule="atLeast"/>
        </w:trPr>
        <w:tc>
          <w:tcPr>
            <w:tcW w:w="886" w:type="dxa"/>
            <w:tcBorders>
              <w:top w:val="single" w:color="auto" w:sz="4" w:space="0"/>
              <w:left w:val="single" w:color="auto" w:sz="6" w:space="0"/>
              <w:bottom w:val="single" w:color="auto" w:sz="6" w:space="0"/>
            </w:tcBorders>
            <w:noWrap w:val="0"/>
            <w:vAlign w:val="center"/>
          </w:tcPr>
          <w:p w14:paraId="3D963F20">
            <w:pPr>
              <w:jc w:val="center"/>
              <w:rPr>
                <w:rFonts w:hint="eastAsia" w:ascii="宋体" w:hAnsi="宋体" w:eastAsia="宋体" w:cs="宋体"/>
                <w:color w:val="auto"/>
                <w:highlight w:val="none"/>
              </w:rPr>
            </w:pPr>
            <w:r>
              <w:rPr>
                <w:rFonts w:hint="eastAsia" w:ascii="宋体" w:hAnsi="宋体" w:eastAsia="宋体" w:cs="宋体"/>
                <w:color w:val="auto"/>
                <w:highlight w:val="none"/>
              </w:rPr>
              <w:t>合计：</w:t>
            </w:r>
          </w:p>
        </w:tc>
        <w:tc>
          <w:tcPr>
            <w:tcW w:w="8044" w:type="dxa"/>
            <w:gridSpan w:val="5"/>
            <w:tcBorders>
              <w:top w:val="single" w:color="auto" w:sz="4" w:space="0"/>
              <w:left w:val="single" w:color="auto" w:sz="6" w:space="0"/>
              <w:bottom w:val="single" w:color="auto" w:sz="6" w:space="0"/>
              <w:right w:val="single" w:color="auto" w:sz="6" w:space="0"/>
            </w:tcBorders>
            <w:noWrap w:val="0"/>
            <w:vAlign w:val="center"/>
          </w:tcPr>
          <w:p w14:paraId="3EB0737A">
            <w:pPr>
              <w:spacing w:before="156" w:beforeLines="50"/>
              <w:jc w:val="left"/>
              <w:rPr>
                <w:rFonts w:hint="eastAsia" w:ascii="宋体" w:hAnsi="宋体" w:eastAsia="宋体" w:cs="宋体"/>
                <w:color w:val="auto"/>
                <w:highlight w:val="none"/>
              </w:rPr>
            </w:pPr>
            <w:r>
              <w:rPr>
                <w:rFonts w:hint="eastAsia" w:ascii="宋体" w:hAnsi="宋体" w:eastAsia="宋体" w:cs="宋体"/>
                <w:color w:val="auto"/>
                <w:highlight w:val="none"/>
              </w:rPr>
              <w:t>大写：                                小写：</w:t>
            </w:r>
          </w:p>
        </w:tc>
      </w:tr>
      <w:tr w14:paraId="746E1F94">
        <w:tblPrEx>
          <w:tblCellMar>
            <w:top w:w="0" w:type="dxa"/>
            <w:left w:w="28" w:type="dxa"/>
            <w:bottom w:w="0" w:type="dxa"/>
            <w:right w:w="28" w:type="dxa"/>
          </w:tblCellMar>
        </w:tblPrEx>
        <w:trPr>
          <w:trHeight w:val="808" w:hRule="atLeast"/>
        </w:trPr>
        <w:tc>
          <w:tcPr>
            <w:tcW w:w="886" w:type="dxa"/>
            <w:tcBorders>
              <w:top w:val="single" w:color="auto" w:sz="4" w:space="0"/>
              <w:left w:val="single" w:color="auto" w:sz="6" w:space="0"/>
              <w:bottom w:val="single" w:color="auto" w:sz="6" w:space="0"/>
            </w:tcBorders>
            <w:noWrap w:val="0"/>
            <w:vAlign w:val="center"/>
          </w:tcPr>
          <w:p w14:paraId="62B4960C">
            <w:pPr>
              <w:jc w:val="center"/>
              <w:rPr>
                <w:rFonts w:hint="eastAsia" w:ascii="宋体" w:hAnsi="宋体" w:eastAsia="宋体" w:cs="宋体"/>
                <w:color w:val="auto"/>
                <w:highlight w:val="none"/>
              </w:rPr>
            </w:pPr>
            <w:r>
              <w:rPr>
                <w:rFonts w:hint="eastAsia" w:ascii="宋体" w:hAnsi="宋体" w:eastAsia="宋体" w:cs="宋体"/>
                <w:color w:val="auto"/>
                <w:highlight w:val="none"/>
              </w:rPr>
              <w:t>备注</w:t>
            </w:r>
          </w:p>
        </w:tc>
        <w:tc>
          <w:tcPr>
            <w:tcW w:w="8044" w:type="dxa"/>
            <w:gridSpan w:val="5"/>
            <w:tcBorders>
              <w:top w:val="single" w:color="auto" w:sz="4" w:space="0"/>
              <w:left w:val="single" w:color="auto" w:sz="6" w:space="0"/>
              <w:bottom w:val="single" w:color="auto" w:sz="6" w:space="0"/>
              <w:right w:val="single" w:color="auto" w:sz="6" w:space="0"/>
            </w:tcBorders>
            <w:noWrap w:val="0"/>
            <w:vAlign w:val="center"/>
          </w:tcPr>
          <w:p w14:paraId="048F8DF7">
            <w:pPr>
              <w:spacing w:before="156" w:beforeLines="50"/>
              <w:jc w:val="center"/>
              <w:rPr>
                <w:rFonts w:hint="eastAsia" w:ascii="宋体" w:hAnsi="宋体" w:eastAsia="宋体" w:cs="宋体"/>
                <w:color w:val="auto"/>
                <w:highlight w:val="none"/>
              </w:rPr>
            </w:pPr>
            <w:r>
              <w:rPr>
                <w:rFonts w:hint="eastAsia" w:ascii="宋体" w:hAnsi="宋体" w:eastAsia="宋体" w:cs="宋体"/>
                <w:color w:val="auto"/>
                <w:spacing w:val="-6"/>
                <w:highlight w:val="none"/>
              </w:rPr>
              <w:t>保留小数点后两位。</w:t>
            </w:r>
          </w:p>
        </w:tc>
      </w:tr>
    </w:tbl>
    <w:p w14:paraId="1C8126B8">
      <w:pPr>
        <w:adjustRightInd w:val="0"/>
        <w:snapToGrid w:val="0"/>
        <w:spacing w:line="360" w:lineRule="auto"/>
        <w:rPr>
          <w:rFonts w:hint="eastAsia" w:ascii="宋体" w:hAnsi="宋体" w:eastAsia="宋体" w:cs="宋体"/>
          <w:color w:val="auto"/>
          <w:szCs w:val="21"/>
          <w:highlight w:val="none"/>
        </w:rPr>
      </w:pPr>
    </w:p>
    <w:p w14:paraId="38D1596F">
      <w:pPr>
        <w:adjustRightInd w:val="0"/>
        <w:snapToGrid w:val="0"/>
        <w:spacing w:line="360" w:lineRule="auto"/>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说明：</w:t>
      </w:r>
      <w:r>
        <w:rPr>
          <w:rFonts w:hint="eastAsia" w:ascii="宋体" w:hAnsi="宋体" w:eastAsia="宋体" w:cs="宋体"/>
          <w:bCs/>
          <w:color w:val="auto"/>
          <w:szCs w:val="21"/>
          <w:highlight w:val="none"/>
        </w:rPr>
        <w:t>1、</w:t>
      </w:r>
      <w:r>
        <w:rPr>
          <w:rFonts w:hint="eastAsia" w:ascii="宋体" w:hAnsi="宋体" w:eastAsia="宋体" w:cs="宋体"/>
          <w:color w:val="auto"/>
          <w:szCs w:val="21"/>
          <w:highlight w:val="none"/>
        </w:rPr>
        <w:t>供应商提供的属于节能、环境标志产品品目清单中优先采购的产品，须按磋商文件要求提供相关证明材料。</w:t>
      </w:r>
    </w:p>
    <w:p w14:paraId="3FC61E19">
      <w:pPr>
        <w:pStyle w:val="28"/>
        <w:spacing w:line="400" w:lineRule="exact"/>
        <w:ind w:left="480" w:leftChars="200" w:firstLine="240" w:firstLineChars="100"/>
        <w:outlineLvl w:val="9"/>
        <w:rPr>
          <w:rFonts w:hint="eastAsia" w:ascii="宋体" w:hAnsi="宋体" w:eastAsia="宋体" w:cs="宋体"/>
          <w:color w:val="auto"/>
          <w:sz w:val="28"/>
          <w:szCs w:val="28"/>
          <w:highlight w:val="none"/>
        </w:rPr>
      </w:pPr>
      <w:r>
        <w:rPr>
          <w:rFonts w:hint="eastAsia" w:ascii="宋体" w:hAnsi="宋体" w:eastAsia="宋体" w:cs="宋体"/>
          <w:bCs/>
          <w:color w:val="auto"/>
          <w:highlight w:val="none"/>
        </w:rPr>
        <w:t>2、未按上述要求提供、</w:t>
      </w:r>
      <w:r>
        <w:rPr>
          <w:rFonts w:hint="eastAsia" w:ascii="宋体" w:hAnsi="宋体" w:eastAsia="宋体" w:cs="宋体"/>
          <w:color w:val="auto"/>
          <w:highlight w:val="none"/>
        </w:rPr>
        <w:t>填写</w:t>
      </w:r>
      <w:r>
        <w:rPr>
          <w:rFonts w:hint="eastAsia" w:ascii="宋体" w:hAnsi="宋体" w:eastAsia="宋体" w:cs="宋体"/>
          <w:bCs/>
          <w:color w:val="auto"/>
          <w:highlight w:val="none"/>
        </w:rPr>
        <w:t>的，评审时不予以考虑。</w:t>
      </w:r>
    </w:p>
    <w:p w14:paraId="39871B0B">
      <w:pPr>
        <w:spacing w:before="100" w:beforeAutospacing="1" w:after="156" w:afterLines="50" w:line="360" w:lineRule="auto"/>
        <w:outlineLvl w:val="9"/>
        <w:rPr>
          <w:rFonts w:hint="eastAsia" w:ascii="宋体" w:hAnsi="宋体" w:eastAsia="宋体" w:cs="宋体"/>
          <w:b/>
          <w:bCs/>
          <w:color w:val="auto"/>
          <w:spacing w:val="6"/>
          <w:sz w:val="30"/>
          <w:szCs w:val="30"/>
          <w:highlight w:val="none"/>
          <w:lang w:eastAsia="zh-CN"/>
        </w:rPr>
      </w:pPr>
      <w:r>
        <w:rPr>
          <w:rFonts w:hint="eastAsia" w:ascii="宋体" w:hAnsi="宋体" w:eastAsia="宋体" w:cs="宋体"/>
          <w:color w:val="auto"/>
          <w:szCs w:val="24"/>
          <w:highlight w:val="none"/>
        </w:rPr>
        <w:br w:type="page"/>
      </w:r>
      <w:bookmarkStart w:id="229" w:name="_Toc11605"/>
      <w:bookmarkStart w:id="230" w:name="_Toc11235"/>
      <w:bookmarkStart w:id="231" w:name="_Toc22425"/>
      <w:r>
        <w:rPr>
          <w:rFonts w:hint="eastAsia" w:ascii="宋体" w:hAnsi="宋体" w:eastAsia="宋体" w:cs="宋体"/>
          <w:b/>
          <w:bCs/>
          <w:color w:val="auto"/>
          <w:spacing w:val="6"/>
          <w:sz w:val="30"/>
          <w:szCs w:val="30"/>
          <w:highlight w:val="none"/>
        </w:rPr>
        <w:t>附件</w:t>
      </w:r>
      <w:r>
        <w:rPr>
          <w:rFonts w:hint="eastAsia" w:hAnsi="宋体" w:cs="宋体"/>
          <w:b/>
          <w:bCs/>
          <w:color w:val="auto"/>
          <w:spacing w:val="6"/>
          <w:sz w:val="30"/>
          <w:szCs w:val="30"/>
          <w:highlight w:val="none"/>
          <w:lang w:val="en-US" w:eastAsia="zh-CN"/>
        </w:rPr>
        <w:t>5</w:t>
      </w:r>
      <w:r>
        <w:rPr>
          <w:rFonts w:hint="eastAsia" w:ascii="宋体" w:hAnsi="宋体" w:eastAsia="宋体" w:cs="宋体"/>
          <w:b/>
          <w:bCs/>
          <w:color w:val="auto"/>
          <w:spacing w:val="6"/>
          <w:sz w:val="30"/>
          <w:szCs w:val="30"/>
          <w:highlight w:val="none"/>
        </w:rPr>
        <w:t>：</w:t>
      </w:r>
      <w:bookmarkEnd w:id="229"/>
      <w:bookmarkEnd w:id="230"/>
      <w:bookmarkEnd w:id="231"/>
    </w:p>
    <w:p w14:paraId="66EC8A76">
      <w:pPr>
        <w:spacing w:line="588" w:lineRule="exact"/>
        <w:jc w:val="center"/>
        <w:outlineLvl w:val="9"/>
        <w:rPr>
          <w:rFonts w:hint="eastAsia" w:ascii="宋体" w:hAnsi="宋体" w:eastAsia="宋体" w:cs="宋体"/>
          <w:b/>
          <w:color w:val="auto"/>
          <w:spacing w:val="6"/>
          <w:sz w:val="32"/>
          <w:szCs w:val="32"/>
          <w:highlight w:val="none"/>
          <w:lang w:eastAsia="zh-CN"/>
        </w:rPr>
      </w:pPr>
      <w:bookmarkStart w:id="232" w:name="OLE_LINK14"/>
      <w:bookmarkStart w:id="233" w:name="OLE_LINK13"/>
      <w:r>
        <w:rPr>
          <w:rFonts w:hint="eastAsia" w:ascii="宋体" w:hAnsi="宋体" w:eastAsia="宋体" w:cs="宋体"/>
          <w:b/>
          <w:color w:val="auto"/>
          <w:spacing w:val="6"/>
          <w:sz w:val="32"/>
          <w:szCs w:val="32"/>
          <w:highlight w:val="none"/>
        </w:rPr>
        <w:t>残疾人福利性单位声明函</w:t>
      </w:r>
      <w:r>
        <w:rPr>
          <w:rFonts w:hint="eastAsia" w:hAnsi="宋体" w:cs="宋体"/>
          <w:b/>
          <w:color w:val="auto"/>
          <w:spacing w:val="6"/>
          <w:sz w:val="32"/>
          <w:szCs w:val="32"/>
          <w:highlight w:val="none"/>
          <w:lang w:eastAsia="zh-CN"/>
        </w:rPr>
        <w:t>（如是）</w:t>
      </w:r>
    </w:p>
    <w:bookmarkEnd w:id="232"/>
    <w:bookmarkEnd w:id="233"/>
    <w:p w14:paraId="7E9EBB90">
      <w:pPr>
        <w:spacing w:line="588" w:lineRule="exact"/>
        <w:rPr>
          <w:rFonts w:hint="eastAsia" w:ascii="宋体" w:hAnsi="宋体" w:eastAsia="宋体" w:cs="宋体"/>
          <w:b/>
          <w:color w:val="auto"/>
          <w:spacing w:val="6"/>
          <w:sz w:val="30"/>
          <w:szCs w:val="30"/>
          <w:highlight w:val="none"/>
        </w:rPr>
      </w:pPr>
    </w:p>
    <w:p w14:paraId="4474AED4">
      <w:pPr>
        <w:spacing w:line="588" w:lineRule="exact"/>
        <w:ind w:firstLine="504" w:firstLineChars="200"/>
        <w:rPr>
          <w:rFonts w:hint="eastAsia" w:ascii="宋体" w:hAnsi="宋体" w:eastAsia="宋体" w:cs="宋体"/>
          <w:color w:val="auto"/>
          <w:spacing w:val="6"/>
          <w:szCs w:val="24"/>
          <w:highlight w:val="none"/>
        </w:rPr>
      </w:pPr>
      <w:r>
        <w:rPr>
          <w:rFonts w:hint="eastAsia" w:ascii="宋体" w:hAnsi="宋体" w:eastAsia="宋体" w:cs="宋体"/>
          <w:color w:val="auto"/>
          <w:spacing w:val="6"/>
          <w:szCs w:val="24"/>
          <w:highlight w:val="none"/>
        </w:rPr>
        <w:t>本单位郑重声明，根据《财政部 民政部 中国残疾人联合会关于促进残疾人就业政府采购政策的通知》（财库</w:t>
      </w:r>
      <w:r>
        <w:rPr>
          <w:rFonts w:hint="eastAsia" w:ascii="宋体" w:hAnsi="宋体" w:eastAsia="宋体" w:cs="宋体"/>
          <w:color w:val="auto"/>
          <w:szCs w:val="24"/>
          <w:highlight w:val="none"/>
        </w:rPr>
        <w:t>〔2017〕 141</w:t>
      </w:r>
      <w:r>
        <w:rPr>
          <w:rFonts w:hint="eastAsia" w:ascii="宋体" w:hAnsi="宋体" w:eastAsia="宋体" w:cs="宋体"/>
          <w:color w:val="auto"/>
          <w:spacing w:val="6"/>
          <w:szCs w:val="24"/>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43441E0D">
      <w:pPr>
        <w:spacing w:line="588" w:lineRule="exact"/>
        <w:ind w:firstLine="504" w:firstLineChars="200"/>
        <w:rPr>
          <w:rFonts w:hint="eastAsia" w:ascii="宋体" w:hAnsi="宋体" w:eastAsia="宋体" w:cs="宋体"/>
          <w:color w:val="auto"/>
          <w:spacing w:val="6"/>
          <w:szCs w:val="24"/>
          <w:highlight w:val="none"/>
        </w:rPr>
      </w:pPr>
      <w:r>
        <w:rPr>
          <w:rFonts w:hint="eastAsia" w:ascii="宋体" w:hAnsi="宋体" w:eastAsia="宋体" w:cs="宋体"/>
          <w:color w:val="auto"/>
          <w:spacing w:val="6"/>
          <w:szCs w:val="24"/>
          <w:highlight w:val="none"/>
        </w:rPr>
        <w:t>本单位对上述声明的真实性负责。如有虚假，将依法承担相应责任。</w:t>
      </w:r>
    </w:p>
    <w:p w14:paraId="74073556">
      <w:pPr>
        <w:spacing w:line="588" w:lineRule="exact"/>
        <w:ind w:firstLine="504" w:firstLineChars="200"/>
        <w:rPr>
          <w:rFonts w:hint="eastAsia" w:ascii="宋体" w:hAnsi="宋体" w:eastAsia="宋体" w:cs="宋体"/>
          <w:color w:val="auto"/>
          <w:spacing w:val="6"/>
          <w:szCs w:val="24"/>
          <w:highlight w:val="none"/>
        </w:rPr>
      </w:pPr>
    </w:p>
    <w:p w14:paraId="48DD9034">
      <w:pPr>
        <w:spacing w:line="588" w:lineRule="exact"/>
        <w:ind w:firstLine="504" w:firstLineChars="200"/>
        <w:rPr>
          <w:rFonts w:hint="eastAsia" w:ascii="宋体" w:hAnsi="宋体" w:eastAsia="宋体" w:cs="宋体"/>
          <w:color w:val="auto"/>
          <w:spacing w:val="6"/>
          <w:szCs w:val="24"/>
          <w:highlight w:val="none"/>
        </w:rPr>
      </w:pPr>
    </w:p>
    <w:p w14:paraId="78B33038">
      <w:pPr>
        <w:spacing w:line="588" w:lineRule="exact"/>
        <w:ind w:firstLine="504" w:firstLineChars="200"/>
        <w:rPr>
          <w:rFonts w:hint="eastAsia" w:ascii="宋体" w:hAnsi="宋体" w:eastAsia="宋体" w:cs="宋体"/>
          <w:color w:val="auto"/>
          <w:spacing w:val="6"/>
          <w:szCs w:val="24"/>
          <w:highlight w:val="none"/>
        </w:rPr>
      </w:pPr>
    </w:p>
    <w:p w14:paraId="3C7ABAF6">
      <w:pPr>
        <w:spacing w:line="588" w:lineRule="exact"/>
        <w:ind w:firstLine="504" w:firstLineChars="200"/>
        <w:rPr>
          <w:rFonts w:hint="eastAsia" w:ascii="宋体" w:hAnsi="宋体" w:eastAsia="宋体" w:cs="宋体"/>
          <w:color w:val="auto"/>
          <w:spacing w:val="6"/>
          <w:szCs w:val="24"/>
          <w:highlight w:val="none"/>
        </w:rPr>
      </w:pPr>
    </w:p>
    <w:p w14:paraId="77420399">
      <w:pPr>
        <w:tabs>
          <w:tab w:val="left" w:pos="4860"/>
        </w:tabs>
        <w:spacing w:line="588" w:lineRule="exact"/>
        <w:ind w:right="1560" w:firstLine="504" w:firstLineChars="200"/>
        <w:jc w:val="center"/>
        <w:outlineLvl w:val="9"/>
        <w:rPr>
          <w:rFonts w:hint="eastAsia" w:ascii="宋体" w:hAnsi="宋体" w:eastAsia="宋体" w:cs="宋体"/>
          <w:color w:val="auto"/>
          <w:spacing w:val="6"/>
          <w:szCs w:val="24"/>
          <w:highlight w:val="none"/>
        </w:rPr>
      </w:pPr>
      <w:r>
        <w:rPr>
          <w:rFonts w:hint="eastAsia" w:ascii="宋体" w:hAnsi="宋体" w:eastAsia="宋体" w:cs="宋体"/>
          <w:color w:val="auto"/>
          <w:spacing w:val="6"/>
          <w:szCs w:val="24"/>
          <w:highlight w:val="none"/>
        </w:rPr>
        <w:t xml:space="preserve">               单位名称（盖章）：</w:t>
      </w:r>
    </w:p>
    <w:p w14:paraId="3427D0E1">
      <w:pPr>
        <w:tabs>
          <w:tab w:val="left" w:pos="4860"/>
        </w:tabs>
        <w:spacing w:line="588" w:lineRule="exact"/>
        <w:ind w:right="1560" w:firstLine="504" w:firstLineChars="200"/>
        <w:jc w:val="center"/>
        <w:outlineLvl w:val="9"/>
        <w:rPr>
          <w:rFonts w:hint="eastAsia" w:ascii="宋体" w:hAnsi="宋体" w:eastAsia="宋体" w:cs="宋体"/>
          <w:color w:val="auto"/>
          <w:spacing w:val="6"/>
          <w:szCs w:val="24"/>
          <w:highlight w:val="none"/>
        </w:rPr>
      </w:pPr>
      <w:r>
        <w:rPr>
          <w:rFonts w:hint="eastAsia" w:ascii="宋体" w:hAnsi="宋体" w:eastAsia="宋体" w:cs="宋体"/>
          <w:color w:val="auto"/>
          <w:spacing w:val="6"/>
          <w:szCs w:val="24"/>
          <w:highlight w:val="none"/>
        </w:rPr>
        <w:t xml:space="preserve">       日    期：</w:t>
      </w:r>
    </w:p>
    <w:p w14:paraId="6E9560F4">
      <w:pPr>
        <w:spacing w:line="360" w:lineRule="auto"/>
        <w:outlineLvl w:val="9"/>
        <w:rPr>
          <w:rFonts w:hint="eastAsia" w:ascii="宋体" w:hAnsi="宋体" w:eastAsia="宋体" w:cs="宋体"/>
          <w:b/>
          <w:color w:val="auto"/>
          <w:sz w:val="28"/>
          <w:szCs w:val="28"/>
          <w:highlight w:val="none"/>
        </w:rPr>
      </w:pPr>
      <w:r>
        <w:rPr>
          <w:rFonts w:hint="eastAsia" w:ascii="宋体" w:hAnsi="宋体" w:eastAsia="宋体" w:cs="宋体"/>
          <w:color w:val="auto"/>
          <w:highlight w:val="none"/>
        </w:rPr>
        <w:br w:type="page"/>
      </w:r>
      <w:bookmarkStart w:id="234" w:name="_Toc2139"/>
      <w:bookmarkStart w:id="235" w:name="_Toc10908"/>
      <w:bookmarkStart w:id="236" w:name="_Toc2119"/>
      <w:r>
        <w:rPr>
          <w:rFonts w:hint="eastAsia" w:ascii="宋体" w:hAnsi="宋体" w:eastAsia="宋体" w:cs="宋体"/>
          <w:b/>
          <w:color w:val="auto"/>
          <w:sz w:val="28"/>
          <w:szCs w:val="28"/>
          <w:highlight w:val="none"/>
        </w:rPr>
        <w:t>附件</w:t>
      </w:r>
      <w:r>
        <w:rPr>
          <w:rFonts w:hint="eastAsia" w:hAnsi="宋体" w:cs="宋体"/>
          <w:b/>
          <w:color w:val="auto"/>
          <w:sz w:val="28"/>
          <w:szCs w:val="28"/>
          <w:highlight w:val="none"/>
          <w:lang w:val="en-US" w:eastAsia="zh-CN"/>
        </w:rPr>
        <w:t>6</w:t>
      </w:r>
      <w:r>
        <w:rPr>
          <w:rFonts w:hint="eastAsia" w:ascii="宋体" w:hAnsi="宋体" w:eastAsia="宋体" w:cs="宋体"/>
          <w:b/>
          <w:color w:val="auto"/>
          <w:sz w:val="28"/>
          <w:szCs w:val="28"/>
          <w:highlight w:val="none"/>
        </w:rPr>
        <w:t>：</w:t>
      </w:r>
      <w:bookmarkEnd w:id="234"/>
      <w:bookmarkEnd w:id="235"/>
      <w:bookmarkEnd w:id="236"/>
    </w:p>
    <w:p w14:paraId="33E7E2B7">
      <w:pPr>
        <w:jc w:val="center"/>
        <w:outlineLvl w:val="9"/>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质疑函范本</w:t>
      </w:r>
    </w:p>
    <w:p w14:paraId="7119123F">
      <w:pPr>
        <w:adjustRightInd w:val="0"/>
        <w:snapToGrid w:val="0"/>
        <w:spacing w:before="312" w:beforeLines="100" w:line="360" w:lineRule="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一、质疑供应商基本信息</w:t>
      </w:r>
    </w:p>
    <w:p w14:paraId="4B7A7DFE">
      <w:pPr>
        <w:adjustRightInd w:val="0"/>
        <w:snapToGrid w:val="0"/>
        <w:spacing w:line="360" w:lineRule="auto"/>
        <w:outlineLvl w:val="9"/>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质疑供应商：</w:t>
      </w:r>
      <w:r>
        <w:rPr>
          <w:rFonts w:hint="eastAsia" w:ascii="宋体" w:hAnsi="宋体" w:eastAsia="宋体" w:cs="宋体"/>
          <w:color w:val="auto"/>
          <w:sz w:val="24"/>
          <w:szCs w:val="24"/>
          <w:highlight w:val="none"/>
          <w:u w:val="dotted"/>
        </w:rPr>
        <w:t xml:space="preserve">                                        </w:t>
      </w:r>
    </w:p>
    <w:p w14:paraId="128DCBEE">
      <w:pPr>
        <w:adjustRightInd w:val="0"/>
        <w:snapToGrid w:val="0"/>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14:paraId="0237BFC6">
      <w:pPr>
        <w:adjustRightInd w:val="0"/>
        <w:snapToGrid w:val="0"/>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p>
    <w:p w14:paraId="7F7343E1">
      <w:pPr>
        <w:adjustRightInd w:val="0"/>
        <w:snapToGrid w:val="0"/>
        <w:spacing w:line="360" w:lineRule="auto"/>
        <w:outlineLvl w:val="9"/>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授权代表：</w:t>
      </w:r>
      <w:r>
        <w:rPr>
          <w:rFonts w:hint="eastAsia" w:ascii="宋体" w:hAnsi="宋体" w:eastAsia="宋体" w:cs="宋体"/>
          <w:color w:val="auto"/>
          <w:sz w:val="24"/>
          <w:szCs w:val="24"/>
          <w:highlight w:val="none"/>
          <w:u w:val="dotted"/>
        </w:rPr>
        <w:t xml:space="preserve">                                          </w:t>
      </w:r>
    </w:p>
    <w:p w14:paraId="399EC07C">
      <w:pPr>
        <w:adjustRightInd w:val="0"/>
        <w:snapToGrid w:val="0"/>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 xml:space="preserve"> </w:t>
      </w:r>
    </w:p>
    <w:p w14:paraId="6D5E270C">
      <w:pPr>
        <w:adjustRightInd w:val="0"/>
        <w:snapToGrid w:val="0"/>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地址： </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14:paraId="2A29240C">
      <w:pPr>
        <w:adjustRightInd w:val="0"/>
        <w:snapToGrid w:val="0"/>
        <w:spacing w:line="360" w:lineRule="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二、质疑项目基本情况</w:t>
      </w:r>
    </w:p>
    <w:p w14:paraId="3731D78A">
      <w:pPr>
        <w:adjustRightInd w:val="0"/>
        <w:snapToGrid w:val="0"/>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质疑项目的名称：</w:t>
      </w:r>
      <w:r>
        <w:rPr>
          <w:rFonts w:hint="eastAsia" w:ascii="宋体" w:hAnsi="宋体" w:eastAsia="宋体" w:cs="宋体"/>
          <w:color w:val="auto"/>
          <w:sz w:val="24"/>
          <w:szCs w:val="24"/>
          <w:highlight w:val="none"/>
          <w:u w:val="dotted"/>
        </w:rPr>
        <w:t xml:space="preserve">                                      </w:t>
      </w:r>
    </w:p>
    <w:p w14:paraId="6A552A4E">
      <w:pPr>
        <w:adjustRightInd w:val="0"/>
        <w:snapToGrid w:val="0"/>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质疑项目的编号：</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包号：</w:t>
      </w:r>
      <w:r>
        <w:rPr>
          <w:rFonts w:hint="eastAsia" w:ascii="宋体" w:hAnsi="宋体" w:eastAsia="宋体" w:cs="宋体"/>
          <w:color w:val="auto"/>
          <w:sz w:val="24"/>
          <w:szCs w:val="24"/>
          <w:highlight w:val="none"/>
          <w:u w:val="dotted"/>
        </w:rPr>
        <w:t xml:space="preserve">                 </w:t>
      </w:r>
    </w:p>
    <w:p w14:paraId="6F8C1D7B">
      <w:pPr>
        <w:adjustRightInd w:val="0"/>
        <w:snapToGrid w:val="0"/>
        <w:spacing w:line="360" w:lineRule="auto"/>
        <w:outlineLvl w:val="9"/>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采购人名称：</w:t>
      </w:r>
      <w:r>
        <w:rPr>
          <w:rFonts w:hint="eastAsia" w:ascii="宋体" w:hAnsi="宋体" w:eastAsia="宋体" w:cs="宋体"/>
          <w:color w:val="auto"/>
          <w:sz w:val="24"/>
          <w:szCs w:val="24"/>
          <w:highlight w:val="none"/>
          <w:u w:val="dotted"/>
        </w:rPr>
        <w:t xml:space="preserve">                                         </w:t>
      </w:r>
    </w:p>
    <w:p w14:paraId="3D112A5F">
      <w:pPr>
        <w:adjustRightInd w:val="0"/>
        <w:snapToGrid w:val="0"/>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采购文件获取日期：</w:t>
      </w:r>
      <w:r>
        <w:rPr>
          <w:rFonts w:hint="eastAsia" w:ascii="宋体" w:hAnsi="宋体" w:eastAsia="宋体" w:cs="宋体"/>
          <w:color w:val="auto"/>
          <w:sz w:val="24"/>
          <w:szCs w:val="24"/>
          <w:highlight w:val="none"/>
          <w:u w:val="dotted"/>
        </w:rPr>
        <w:t xml:space="preserve">                                           </w:t>
      </w:r>
    </w:p>
    <w:p w14:paraId="02956787">
      <w:pPr>
        <w:adjustRightInd w:val="0"/>
        <w:snapToGrid w:val="0"/>
        <w:spacing w:line="360" w:lineRule="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三、质疑事项具体内容</w:t>
      </w:r>
    </w:p>
    <w:p w14:paraId="19E2FB1F">
      <w:pPr>
        <w:adjustRightInd w:val="0"/>
        <w:snapToGrid w:val="0"/>
        <w:spacing w:line="360" w:lineRule="auto"/>
        <w:outlineLvl w:val="9"/>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质疑事项1：</w:t>
      </w:r>
      <w:r>
        <w:rPr>
          <w:rFonts w:hint="eastAsia" w:ascii="宋体" w:hAnsi="宋体" w:eastAsia="宋体" w:cs="宋体"/>
          <w:color w:val="auto"/>
          <w:sz w:val="24"/>
          <w:szCs w:val="24"/>
          <w:highlight w:val="none"/>
          <w:u w:val="dotted"/>
        </w:rPr>
        <w:t xml:space="preserve">                                         </w:t>
      </w:r>
    </w:p>
    <w:p w14:paraId="65BABE08">
      <w:pPr>
        <w:adjustRightInd w:val="0"/>
        <w:snapToGrid w:val="0"/>
        <w:spacing w:line="360" w:lineRule="auto"/>
        <w:outlineLvl w:val="9"/>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事实依据：</w:t>
      </w:r>
      <w:r>
        <w:rPr>
          <w:rFonts w:hint="eastAsia" w:ascii="宋体" w:hAnsi="宋体" w:eastAsia="宋体" w:cs="宋体"/>
          <w:color w:val="auto"/>
          <w:sz w:val="24"/>
          <w:szCs w:val="24"/>
          <w:highlight w:val="none"/>
          <w:u w:val="dotted"/>
        </w:rPr>
        <w:t xml:space="preserve">                                          </w:t>
      </w:r>
    </w:p>
    <w:p w14:paraId="09B8FB22">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dotted"/>
        </w:rPr>
        <w:t xml:space="preserve">                                                       </w:t>
      </w:r>
    </w:p>
    <w:p w14:paraId="705E719F">
      <w:pPr>
        <w:adjustRightInd w:val="0"/>
        <w:snapToGrid w:val="0"/>
        <w:spacing w:line="360" w:lineRule="auto"/>
        <w:outlineLvl w:val="9"/>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dotted"/>
        </w:rPr>
        <w:t xml:space="preserve">                                          </w:t>
      </w:r>
    </w:p>
    <w:p w14:paraId="46132715">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u w:val="dotted"/>
        </w:rPr>
        <w:t xml:space="preserve">                                                     </w:t>
      </w:r>
    </w:p>
    <w:p w14:paraId="0A38A8F5">
      <w:pPr>
        <w:adjustRightInd w:val="0"/>
        <w:snapToGrid w:val="0"/>
        <w:spacing w:line="360" w:lineRule="auto"/>
        <w:outlineLvl w:val="9"/>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质疑事项2</w:t>
      </w:r>
    </w:p>
    <w:p w14:paraId="18CEE10D">
      <w:pPr>
        <w:adjustRightInd w:val="0"/>
        <w:snapToGrid w:val="0"/>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2F2AA315">
      <w:pPr>
        <w:adjustRightInd w:val="0"/>
        <w:snapToGrid w:val="0"/>
        <w:spacing w:line="360" w:lineRule="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四、与质疑事项相关的质疑请求</w:t>
      </w:r>
    </w:p>
    <w:p w14:paraId="238C46BE">
      <w:pPr>
        <w:adjustRightInd w:val="0"/>
        <w:snapToGrid w:val="0"/>
        <w:spacing w:line="360" w:lineRule="auto"/>
        <w:outlineLvl w:val="9"/>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请求：</w:t>
      </w:r>
      <w:r>
        <w:rPr>
          <w:rFonts w:hint="eastAsia" w:ascii="宋体" w:hAnsi="宋体" w:eastAsia="宋体" w:cs="宋体"/>
          <w:color w:val="auto"/>
          <w:sz w:val="24"/>
          <w:szCs w:val="24"/>
          <w:highlight w:val="none"/>
          <w:u w:val="dotted"/>
        </w:rPr>
        <w:t xml:space="preserve">                                               </w:t>
      </w:r>
    </w:p>
    <w:p w14:paraId="64C2DA3B">
      <w:pP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签字(签章)：                   公章：                      </w:t>
      </w:r>
    </w:p>
    <w:p w14:paraId="564EEA67">
      <w:pP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日期：    </w:t>
      </w:r>
    </w:p>
    <w:p w14:paraId="0F080BD9">
      <w:pPr>
        <w:jc w:val="center"/>
        <w:rPr>
          <w:rFonts w:hint="eastAsia" w:ascii="宋体" w:hAnsi="宋体" w:eastAsia="宋体" w:cs="宋体"/>
          <w:b/>
          <w:color w:val="auto"/>
          <w:sz w:val="44"/>
          <w:szCs w:val="44"/>
          <w:highlight w:val="none"/>
        </w:rPr>
      </w:pPr>
    </w:p>
    <w:p w14:paraId="78922C07">
      <w:pPr>
        <w:jc w:val="center"/>
        <w:rPr>
          <w:rFonts w:hint="eastAsia" w:ascii="宋体" w:hAnsi="宋体" w:eastAsia="宋体" w:cs="宋体"/>
          <w:b/>
          <w:color w:val="auto"/>
          <w:sz w:val="44"/>
          <w:szCs w:val="44"/>
          <w:highlight w:val="none"/>
        </w:rPr>
      </w:pPr>
    </w:p>
    <w:p w14:paraId="1EB801A0">
      <w:pPr>
        <w:jc w:val="center"/>
        <w:outlineLvl w:val="9"/>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投诉书范本</w:t>
      </w:r>
    </w:p>
    <w:p w14:paraId="62AF4005">
      <w:pP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一、投诉相关主体基本情况</w:t>
      </w:r>
    </w:p>
    <w:p w14:paraId="7A0BD537">
      <w:pPr>
        <w:outlineLvl w:val="9"/>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投诉人：</w:t>
      </w:r>
      <w:r>
        <w:rPr>
          <w:rFonts w:hint="eastAsia" w:ascii="宋体" w:hAnsi="宋体" w:eastAsia="宋体" w:cs="宋体"/>
          <w:color w:val="auto"/>
          <w:sz w:val="24"/>
          <w:szCs w:val="24"/>
          <w:highlight w:val="none"/>
          <w:u w:val="dotted"/>
        </w:rPr>
        <w:t xml:space="preserve">                                               </w:t>
      </w:r>
    </w:p>
    <w:p w14:paraId="70A05FA5">
      <w:pPr>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single"/>
        </w:rPr>
        <w:t xml:space="preserve">   </w:t>
      </w:r>
    </w:p>
    <w:p w14:paraId="591B7EFC">
      <w:pPr>
        <w:tabs>
          <w:tab w:val="left" w:pos="6510"/>
        </w:tabs>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法定代表人/主要负责人：</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 xml:space="preserve">  </w:t>
      </w:r>
    </w:p>
    <w:p w14:paraId="49A03349">
      <w:pPr>
        <w:tabs>
          <w:tab w:val="left" w:pos="6510"/>
        </w:tabs>
        <w:outlineLvl w:val="9"/>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p>
    <w:p w14:paraId="5DB78AB4">
      <w:pPr>
        <w:outlineLvl w:val="9"/>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授权代表：</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p>
    <w:p w14:paraId="4BC4A3DE">
      <w:pPr>
        <w:outlineLvl w:val="9"/>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dotted"/>
        </w:rPr>
        <w:t xml:space="preserve">                   </w:t>
      </w:r>
    </w:p>
    <w:p w14:paraId="0357DAC0">
      <w:pPr>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被投诉人1：</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single"/>
        </w:rPr>
        <w:t xml:space="preserve">  </w:t>
      </w:r>
    </w:p>
    <w:p w14:paraId="6B816C0C">
      <w:pPr>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single"/>
        </w:rPr>
        <w:t xml:space="preserve"> </w:t>
      </w:r>
    </w:p>
    <w:p w14:paraId="15E699C0">
      <w:pPr>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single"/>
        </w:rPr>
        <w:t xml:space="preserve"> </w:t>
      </w:r>
    </w:p>
    <w:p w14:paraId="0C88AEF4">
      <w:pP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被投诉人2</w:t>
      </w:r>
    </w:p>
    <w:p w14:paraId="6BD9082B">
      <w:pPr>
        <w:outlineLvl w:val="9"/>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w:t>
      </w:r>
    </w:p>
    <w:p w14:paraId="0C09C7FA">
      <w:pPr>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相关供应商：</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single"/>
        </w:rPr>
        <w:t xml:space="preserve">    </w:t>
      </w:r>
    </w:p>
    <w:p w14:paraId="3EB3932D">
      <w:pPr>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single"/>
        </w:rPr>
        <w:t xml:space="preserve"> </w:t>
      </w:r>
    </w:p>
    <w:p w14:paraId="04AD6311">
      <w:pPr>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single"/>
        </w:rPr>
        <w:t xml:space="preserve">      </w:t>
      </w:r>
    </w:p>
    <w:p w14:paraId="13DE9826">
      <w:pP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二、投诉项目基本情况</w:t>
      </w:r>
    </w:p>
    <w:p w14:paraId="7D952916">
      <w:pPr>
        <w:outlineLvl w:val="9"/>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采购项目名称：</w:t>
      </w:r>
      <w:r>
        <w:rPr>
          <w:rFonts w:hint="eastAsia" w:ascii="宋体" w:hAnsi="宋体" w:eastAsia="宋体" w:cs="宋体"/>
          <w:color w:val="auto"/>
          <w:sz w:val="24"/>
          <w:szCs w:val="24"/>
          <w:highlight w:val="none"/>
          <w:u w:val="dotted"/>
        </w:rPr>
        <w:t xml:space="preserve">                                        </w:t>
      </w:r>
    </w:p>
    <w:p w14:paraId="5EA6A2D4">
      <w:pPr>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采购</w:t>
      </w:r>
      <w:r>
        <w:rPr>
          <w:rFonts w:hint="eastAsia" w:hAnsi="宋体" w:eastAsia="宋体" w:cs="宋体"/>
          <w:color w:val="auto"/>
          <w:sz w:val="24"/>
          <w:szCs w:val="24"/>
          <w:highlight w:val="none"/>
          <w:lang w:eastAsia="zh-CN"/>
        </w:rPr>
        <w:t xml:space="preserve">项目编号：  </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包号：</w:t>
      </w:r>
      <w:r>
        <w:rPr>
          <w:rFonts w:hint="eastAsia" w:ascii="宋体" w:hAnsi="宋体" w:eastAsia="宋体" w:cs="宋体"/>
          <w:color w:val="auto"/>
          <w:sz w:val="24"/>
          <w:szCs w:val="24"/>
          <w:highlight w:val="none"/>
          <w:u w:val="dotted"/>
        </w:rPr>
        <w:t xml:space="preserve">              </w:t>
      </w:r>
    </w:p>
    <w:p w14:paraId="3CADA6B2">
      <w:pP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采购人名称：</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single"/>
        </w:rPr>
        <w:t xml:space="preserve">  </w:t>
      </w:r>
    </w:p>
    <w:p w14:paraId="0F104558">
      <w:pPr>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代理机构名称：</w:t>
      </w:r>
      <w:r>
        <w:rPr>
          <w:rFonts w:hint="eastAsia" w:ascii="宋体" w:hAnsi="宋体" w:eastAsia="宋体" w:cs="宋体"/>
          <w:color w:val="auto"/>
          <w:sz w:val="24"/>
          <w:szCs w:val="24"/>
          <w:highlight w:val="none"/>
          <w:u w:val="dotted"/>
        </w:rPr>
        <w:t xml:space="preserve">                                         </w:t>
      </w:r>
    </w:p>
    <w:p w14:paraId="33FE4512">
      <w:pPr>
        <w:outlineLvl w:val="9"/>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采购文件公告:</w:t>
      </w:r>
      <w:r>
        <w:rPr>
          <w:rFonts w:hint="eastAsia" w:ascii="宋体" w:hAnsi="宋体" w:eastAsia="宋体" w:cs="宋体"/>
          <w:color w:val="auto"/>
          <w:sz w:val="24"/>
          <w:szCs w:val="24"/>
          <w:highlight w:val="none"/>
          <w:u w:val="dotted"/>
        </w:rPr>
        <w:t xml:space="preserve">是/否 </w:t>
      </w:r>
      <w:r>
        <w:rPr>
          <w:rFonts w:hint="eastAsia" w:ascii="宋体" w:hAnsi="宋体" w:eastAsia="宋体" w:cs="宋体"/>
          <w:color w:val="auto"/>
          <w:sz w:val="24"/>
          <w:szCs w:val="24"/>
          <w:highlight w:val="none"/>
        </w:rPr>
        <w:t>公告期限：</w:t>
      </w:r>
      <w:r>
        <w:rPr>
          <w:rFonts w:hint="eastAsia" w:ascii="宋体" w:hAnsi="宋体" w:eastAsia="宋体" w:cs="宋体"/>
          <w:color w:val="auto"/>
          <w:sz w:val="24"/>
          <w:szCs w:val="24"/>
          <w:highlight w:val="none"/>
          <w:u w:val="dotted"/>
        </w:rPr>
        <w:t xml:space="preserve">                                 </w:t>
      </w:r>
    </w:p>
    <w:p w14:paraId="50F75E10">
      <w:pPr>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采购结果公告:</w:t>
      </w:r>
      <w:r>
        <w:rPr>
          <w:rFonts w:hint="eastAsia" w:ascii="宋体" w:hAnsi="宋体" w:eastAsia="宋体" w:cs="宋体"/>
          <w:color w:val="auto"/>
          <w:sz w:val="24"/>
          <w:szCs w:val="24"/>
          <w:highlight w:val="none"/>
          <w:u w:val="dotted"/>
        </w:rPr>
        <w:t xml:space="preserve">是/否 </w:t>
      </w:r>
      <w:r>
        <w:rPr>
          <w:rFonts w:hint="eastAsia" w:ascii="宋体" w:hAnsi="宋体" w:eastAsia="宋体" w:cs="宋体"/>
          <w:color w:val="auto"/>
          <w:sz w:val="24"/>
          <w:szCs w:val="24"/>
          <w:highlight w:val="none"/>
        </w:rPr>
        <w:t>公告期限：</w:t>
      </w:r>
      <w:r>
        <w:rPr>
          <w:rFonts w:hint="eastAsia" w:ascii="宋体" w:hAnsi="宋体" w:eastAsia="宋体" w:cs="宋体"/>
          <w:color w:val="auto"/>
          <w:sz w:val="24"/>
          <w:szCs w:val="24"/>
          <w:highlight w:val="none"/>
          <w:u w:val="dotted"/>
        </w:rPr>
        <w:t xml:space="preserve">                        </w:t>
      </w:r>
    </w:p>
    <w:p w14:paraId="0C8C44BD">
      <w:pP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三、质疑基本情况</w:t>
      </w:r>
    </w:p>
    <w:p w14:paraId="42209838">
      <w:pPr>
        <w:ind w:firstLine="480" w:firstLineChars="200"/>
        <w:outlineLvl w:val="9"/>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投诉人于</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日,向</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提出质疑，质疑事项为：</w:t>
      </w:r>
      <w:r>
        <w:rPr>
          <w:rFonts w:hint="eastAsia" w:ascii="宋体" w:hAnsi="宋体" w:eastAsia="宋体" w:cs="宋体"/>
          <w:color w:val="auto"/>
          <w:sz w:val="24"/>
          <w:szCs w:val="24"/>
          <w:highlight w:val="none"/>
          <w:u w:val="dotted"/>
        </w:rPr>
        <w:t xml:space="preserve">                                </w:t>
      </w:r>
    </w:p>
    <w:p w14:paraId="684CB171">
      <w:pPr>
        <w:outlineLvl w:val="9"/>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 xml:space="preserve">  </w:t>
      </w:r>
    </w:p>
    <w:p w14:paraId="6A3E6C11">
      <w:pPr>
        <w:ind w:firstLine="360" w:firstLineChars="15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dotted"/>
        </w:rPr>
        <w:t>采购人/代理机构</w:t>
      </w:r>
      <w:r>
        <w:rPr>
          <w:rFonts w:hint="eastAsia" w:ascii="宋体" w:hAnsi="宋体" w:eastAsia="宋体" w:cs="宋体"/>
          <w:color w:val="auto"/>
          <w:sz w:val="24"/>
          <w:szCs w:val="24"/>
          <w:highlight w:val="none"/>
        </w:rPr>
        <w:t>于</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日,就质疑事项作出了答复/没有在法定期限内作出答复。</w:t>
      </w:r>
    </w:p>
    <w:p w14:paraId="0E9CE696">
      <w:pP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四、投诉事项具体内容</w:t>
      </w:r>
    </w:p>
    <w:p w14:paraId="298370F8">
      <w:pPr>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投诉事项 1：</w:t>
      </w:r>
      <w:r>
        <w:rPr>
          <w:rFonts w:hint="eastAsia" w:ascii="宋体" w:hAnsi="宋体" w:eastAsia="宋体" w:cs="宋体"/>
          <w:color w:val="auto"/>
          <w:sz w:val="24"/>
          <w:szCs w:val="24"/>
          <w:highlight w:val="none"/>
          <w:u w:val="dotted"/>
        </w:rPr>
        <w:t xml:space="preserve">                                       </w:t>
      </w:r>
    </w:p>
    <w:p w14:paraId="029895C8">
      <w:pP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事实依据：</w:t>
      </w:r>
      <w:r>
        <w:rPr>
          <w:rFonts w:hint="eastAsia" w:ascii="宋体" w:hAnsi="宋体" w:eastAsia="宋体" w:cs="宋体"/>
          <w:color w:val="auto"/>
          <w:sz w:val="24"/>
          <w:szCs w:val="24"/>
          <w:highlight w:val="none"/>
          <w:u w:val="dotted"/>
        </w:rPr>
        <w:t xml:space="preserve">                                         </w:t>
      </w:r>
    </w:p>
    <w:p w14:paraId="5F5638C0">
      <w:pPr>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u w:val="dotted"/>
        </w:rPr>
        <w:t xml:space="preserve">                                                      </w:t>
      </w:r>
    </w:p>
    <w:p w14:paraId="7FA6DBE9">
      <w:pPr>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dotted"/>
        </w:rPr>
        <w:t xml:space="preserve">                                          </w:t>
      </w:r>
    </w:p>
    <w:p w14:paraId="3E9803CD">
      <w:pPr>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u w:val="dotted"/>
        </w:rPr>
        <w:t xml:space="preserve">                                                      </w:t>
      </w:r>
    </w:p>
    <w:p w14:paraId="04CA682B">
      <w:pP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投诉事项2</w:t>
      </w:r>
    </w:p>
    <w:p w14:paraId="387FC580">
      <w:pPr>
        <w:outlineLvl w:val="9"/>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w:t>
      </w:r>
    </w:p>
    <w:p w14:paraId="21FE293D">
      <w:pP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五、与投诉事项相关的投诉请求</w:t>
      </w:r>
    </w:p>
    <w:p w14:paraId="41F51034">
      <w:pP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 xml:space="preserve"> </w:t>
      </w:r>
    </w:p>
    <w:p w14:paraId="30D9F18A">
      <w:pPr>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w:t>
      </w:r>
    </w:p>
    <w:p w14:paraId="4D95071B">
      <w:pP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签字(签章)：                   公章：                      </w:t>
      </w:r>
    </w:p>
    <w:p w14:paraId="497A7448">
      <w:pPr>
        <w:outlineLvl w:val="9"/>
        <w:rPr>
          <w:rFonts w:hint="eastAsia" w:ascii="宋体" w:hAnsi="宋体" w:eastAsia="宋体" w:cs="宋体"/>
          <w:color w:val="auto"/>
          <w:sz w:val="21"/>
          <w:szCs w:val="21"/>
          <w:highlight w:val="none"/>
        </w:rPr>
      </w:pPr>
      <w:r>
        <w:rPr>
          <w:rFonts w:hint="eastAsia" w:ascii="宋体" w:hAnsi="宋体" w:eastAsia="宋体" w:cs="宋体"/>
          <w:color w:val="auto"/>
          <w:sz w:val="24"/>
          <w:szCs w:val="24"/>
          <w:highlight w:val="none"/>
        </w:rPr>
        <w:t xml:space="preserve">日期：    </w:t>
      </w:r>
      <w:r>
        <w:rPr>
          <w:rFonts w:hint="eastAsia" w:ascii="宋体" w:hAnsi="宋体" w:eastAsia="宋体" w:cs="宋体"/>
          <w:color w:val="auto"/>
          <w:sz w:val="21"/>
          <w:szCs w:val="21"/>
          <w:highlight w:val="none"/>
        </w:rPr>
        <w:t xml:space="preserve">                  </w:t>
      </w:r>
    </w:p>
    <w:p w14:paraId="5F2C73E0">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26CA206">
      <w:pPr>
        <w:tabs>
          <w:tab w:val="left" w:pos="7839"/>
        </w:tabs>
        <w:rPr>
          <w:rFonts w:hint="eastAsia" w:ascii="宋体" w:hAnsi="宋体" w:eastAsia="宋体" w:cs="宋体"/>
          <w:color w:val="auto"/>
          <w:szCs w:val="24"/>
          <w:highlight w:val="none"/>
        </w:rPr>
      </w:pPr>
      <w:r>
        <w:rPr>
          <w:rFonts w:hint="eastAsia" w:ascii="宋体" w:hAnsi="宋体" w:eastAsia="宋体" w:cs="宋体"/>
          <w:color w:val="auto"/>
          <w:szCs w:val="24"/>
          <w:highlight w:val="none"/>
        </w:rPr>
        <w:tab/>
      </w:r>
    </w:p>
    <w:sectPr>
      <w:footerReference r:id="rId12" w:type="first"/>
      <w:headerReference r:id="rId10" w:type="default"/>
      <w:footerReference r:id="rId11" w:type="default"/>
      <w:pgSz w:w="11906" w:h="16838"/>
      <w:pgMar w:top="1304" w:right="1361" w:bottom="1304" w:left="136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D2BA9E2-86AC-40F0-B101-10F34559126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embedRegular r:id="rId2" w:fontKey="{B8880B29-5686-420B-A74A-0DA77DD9F5A6}"/>
  </w:font>
  <w:font w:name="仿宋">
    <w:panose1 w:val="02010609060101010101"/>
    <w:charset w:val="86"/>
    <w:family w:val="auto"/>
    <w:pitch w:val="default"/>
    <w:sig w:usb0="800002BF" w:usb1="38CF7CFA" w:usb2="00000016" w:usb3="00000000" w:csb0="00040001" w:csb1="00000000"/>
    <w:embedRegular r:id="rId3" w:fontKey="{6D6C77BC-7230-4607-92D8-08C7606F3E11}"/>
  </w:font>
  <w:font w:name="AGYXIQ+Frutiger-Cn">
    <w:altName w:val="宋体"/>
    <w:panose1 w:val="020B0604020202020204"/>
    <w:charset w:val="86"/>
    <w:family w:val="swiss"/>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080CE">
    <w:pPr>
      <w:pStyle w:val="11"/>
    </w:pPr>
    <w:r>
      <w:rPr>
        <w:rFonts w:hint="eastAsia"/>
        <w:lang w:eastAsia="zh-CN"/>
      </w:rPr>
      <w:t>陕西至诚项目管理集团有限公司</w:t>
    </w:r>
    <w:r>
      <w:rPr>
        <w:rFonts w:hint="eastAsia"/>
      </w:rPr>
      <w:t xml:space="preserve">                         </w:t>
    </w:r>
    <w:r>
      <w:rPr>
        <w:rFonts w:hint="eastAsia"/>
      </w:rPr>
      <w:tab/>
    </w:r>
    <w:r>
      <w:rPr>
        <w:rFonts w:hint="eastAsia"/>
      </w:rPr>
      <w:t>地址：西安市西安市高新区高新路25号瑞欣大厦6楼A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1F3792">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BE7FF7">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227DE7F9">
                          <w:pPr>
                            <w:pStyle w:val="11"/>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CKLKOTSAQAAowMAAA4AAABkcnMvZTJvRG9jLnhtbK1TS27bMBDd&#10;F+gdCO5rKUb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oso5NIBAACjAwAADgAAAAAAAAABACAAAAAi&#10;AQAAZHJzL2Uyb0RvYy54bWxQSwUGAAAAAAYABgBZAQAAZgUAAAAA&#10;">
              <v:fill on="f" focussize="0,0"/>
              <v:stroke on="f" weight="1.25pt"/>
              <v:imagedata o:title=""/>
              <o:lock v:ext="edit" aspectratio="f"/>
              <v:textbox inset="0mm,0mm,0mm,0mm" style="mso-fit-shape-to-text:t;">
                <w:txbxContent>
                  <w:p w14:paraId="227DE7F9">
                    <w:pPr>
                      <w:pStyle w:val="11"/>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EDB4C2">
    <w:pPr>
      <w:pStyle w:val="11"/>
      <w:jc w:val="both"/>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12A86F5">
                          <w:pPr>
                            <w:pStyle w:val="11"/>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sVhPrSAQAAo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xWE+tIBAACjAwAADgAAAAAAAAABACAAAAAi&#10;AQAAZHJzL2Uyb0RvYy54bWxQSwUGAAAAAAYABgBZAQAAZgUAAAAA&#10;">
              <v:fill on="f" focussize="0,0"/>
              <v:stroke on="f" weight="1.25pt"/>
              <v:imagedata o:title=""/>
              <o:lock v:ext="edit" aspectratio="f"/>
              <v:textbox inset="0mm,0mm,0mm,0mm" style="mso-fit-shape-to-text:t;">
                <w:txbxContent>
                  <w:p w14:paraId="712A86F5">
                    <w:pPr>
                      <w:pStyle w:val="11"/>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C3AA4">
    <w:pPr>
      <w:tabs>
        <w:tab w:val="left" w:pos="5646"/>
      </w:tabs>
      <w:rPr>
        <w:sz w:val="18"/>
        <w:szCs w:val="18"/>
      </w:rPr>
    </w:pPr>
  </w:p>
  <w:p w14:paraId="5181CE49">
    <w:pPr>
      <w:pStyle w:val="11"/>
      <w:jc w:val="both"/>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4445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18405DA">
                          <w:pPr>
                            <w:pStyle w:val="11"/>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58</w:t>
                          </w:r>
                          <w:r>
                            <w:rPr>
                              <w:rFonts w:hint="eastAsia"/>
                            </w:rPr>
                            <w:fldChar w:fldCharType="end"/>
                          </w:r>
                          <w:r>
                            <w:rPr>
                              <w:rFonts w:hint="eastAsia"/>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35pt;height:144pt;width:144pt;mso-position-horizontal:center;mso-position-horizontal-relative:margin;mso-wrap-style:none;z-index:251660288;mso-width-relative:page;mso-height-relative:page;" filled="f" stroked="f" coordsize="21600,21600" o:gfxdata="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IuONdUAAAAFAQAADwAAAAAAAAABACAAAAAiAAAA&#10;ZHJzL2Rvd25yZXYueG1sUEsBAhQAFAAAAAgAh07iQF4lRnTRAQAAowMAAA4AAAAAAAAAAQAgAAAA&#10;JAEAAGRycy9lMm9Eb2MueG1sUEsFBgAAAAAGAAYAWQEAAGcFAAAAAA==&#10;">
              <v:fill on="f" focussize="0,0"/>
              <v:stroke on="f" weight="1.25pt"/>
              <v:imagedata o:title=""/>
              <o:lock v:ext="edit" aspectratio="f"/>
              <v:textbox inset="0mm,0mm,0mm,0mm" style="mso-fit-shape-to-text:t;">
                <w:txbxContent>
                  <w:p w14:paraId="618405DA">
                    <w:pPr>
                      <w:pStyle w:val="11"/>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58</w:t>
                    </w:r>
                    <w:r>
                      <w:rPr>
                        <w:rFonts w:hint="eastAsia"/>
                      </w:rPr>
                      <w:fldChar w:fldCharType="end"/>
                    </w:r>
                    <w:r>
                      <w:rPr>
                        <w:rFonts w:hint="eastAsia"/>
                      </w:rP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986557">
    <w:pPr>
      <w:pStyle w:val="11"/>
    </w:pPr>
    <w: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B815AD2">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7B815AD2">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E7EAC1">
    <w:pPr>
      <w:spacing w:line="500" w:lineRule="exact"/>
      <w:ind w:left="1530" w:hanging="1530" w:hangingChars="850"/>
      <w:jc w:val="left"/>
      <w:rPr>
        <w:rFonts w:hint="default" w:hAnsi="宋体" w:eastAsia="宋体" w:cs="宋体"/>
        <w:szCs w:val="24"/>
        <w:lang w:val="en-US" w:eastAsia="zh-CN"/>
      </w:rPr>
    </w:pPr>
    <w:r>
      <w:rPr>
        <w:rFonts w:hint="eastAsia" w:hAnsi="宋体"/>
        <w:bCs/>
        <w:sz w:val="18"/>
        <w:szCs w:val="18"/>
        <w:u w:val="single"/>
        <w:lang w:val="en-US" w:eastAsia="zh-CN"/>
      </w:rPr>
      <w:t xml:space="preserve">2025年超星学习通、读秀知识库数字资源服务项目                                           </w:t>
    </w:r>
    <w:r>
      <w:rPr>
        <w:rFonts w:hint="eastAsia" w:hAnsi="宋体"/>
        <w:bCs/>
        <w:sz w:val="18"/>
        <w:szCs w:val="18"/>
        <w:u w:val="single"/>
      </w:rPr>
      <w:t>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BC3C70">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2CCE2A">
    <w:pPr>
      <w:pStyle w:val="12"/>
      <w:pBdr>
        <w:bottom w:val="none" w:color="auto" w:sz="0" w:space="1"/>
      </w:pBdr>
      <w:jc w:val="both"/>
      <w:rPr>
        <w:rFonts w:hint="eastAsia" w:hAnsi="宋体"/>
        <w:bCs/>
        <w:sz w:val="18"/>
        <w:szCs w:val="18"/>
        <w:u w:val="single"/>
        <w:lang w:eastAsia="zh-CN"/>
      </w:rPr>
    </w:pPr>
  </w:p>
  <w:p w14:paraId="40FE8948">
    <w:pPr>
      <w:pStyle w:val="12"/>
      <w:pBdr>
        <w:bottom w:val="none" w:color="auto" w:sz="0" w:space="1"/>
      </w:pBdr>
      <w:jc w:val="both"/>
    </w:pPr>
    <w:r>
      <w:rPr>
        <w:rFonts w:hint="eastAsia" w:hAnsi="宋体"/>
        <w:bCs/>
        <w:sz w:val="18"/>
        <w:szCs w:val="18"/>
        <w:u w:val="single"/>
        <w:lang w:eastAsia="zh-CN"/>
      </w:rPr>
      <w:t xml:space="preserve">2025年超星学习通、读秀知识库数字资源服务项目 </w:t>
    </w:r>
    <w:r>
      <w:rPr>
        <w:rFonts w:hint="eastAsia" w:hAnsi="宋体"/>
        <w:bCs/>
        <w:sz w:val="18"/>
        <w:szCs w:val="18"/>
        <w:u w:val="single"/>
      </w:rPr>
      <w:t xml:space="preserve">            </w:t>
    </w:r>
    <w:r>
      <w:rPr>
        <w:rFonts w:hint="eastAsia" w:hAnsi="宋体"/>
        <w:bCs/>
        <w:sz w:val="18"/>
        <w:szCs w:val="18"/>
        <w:u w:val="single"/>
        <w:lang w:val="en-US" w:eastAsia="zh-CN"/>
      </w:rPr>
      <w:t xml:space="preserve">                              </w:t>
    </w:r>
    <w:r>
      <w:rPr>
        <w:rFonts w:hint="eastAsia" w:hAnsi="宋体"/>
        <w:bCs/>
        <w:sz w:val="18"/>
        <w:szCs w:val="18"/>
        <w:u w:val="single"/>
      </w:rPr>
      <w:t>竞争性磋商文件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88E84">
    <w:pPr>
      <w:pBdr>
        <w:bottom w:val="none" w:color="auto" w:sz="0" w:space="0"/>
      </w:pBdr>
      <w:spacing w:before="13" w:line="47" w:lineRule="exact"/>
    </w:pPr>
  </w:p>
  <w:p w14:paraId="7EBFDBE2">
    <w:pPr>
      <w:keepNext w:val="0"/>
      <w:keepLines w:val="0"/>
      <w:pageBreakBefore w:val="0"/>
      <w:widowControl w:val="0"/>
      <w:pBdr>
        <w:bottom w:val="single" w:color="auto" w:sz="4" w:space="0"/>
      </w:pBdr>
      <w:kinsoku/>
      <w:wordWrap/>
      <w:overflowPunct/>
      <w:topLinePunct w:val="0"/>
      <w:bidi w:val="0"/>
      <w:adjustRightInd/>
      <w:snapToGrid/>
      <w:spacing w:before="13" w:line="240" w:lineRule="auto"/>
      <w:jc w:val="left"/>
      <w:textAlignment w:val="auto"/>
      <w:rPr>
        <w:rFonts w:hint="default" w:eastAsia="宋体"/>
        <w:lang w:val="en-US" w:eastAsia="zh-CN"/>
      </w:rPr>
    </w:pPr>
    <w:r>
      <w:rPr>
        <w:rFonts w:hint="eastAsia"/>
        <w:sz w:val="18"/>
        <w:szCs w:val="13"/>
        <w:lang w:eastAsia="zh-CN"/>
      </w:rPr>
      <w:t>2025年超星学习通、读秀知识库数字资源服务项目</w:t>
    </w:r>
    <w:r>
      <w:rPr>
        <w:rFonts w:hint="eastAsia"/>
        <w:sz w:val="18"/>
        <w:szCs w:val="13"/>
        <w:lang w:val="en-US" w:eastAsia="zh-CN"/>
      </w:rPr>
      <w:t xml:space="preserve">                                            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45DCC0"/>
    <w:multiLevelType w:val="singleLevel"/>
    <w:tmpl w:val="3345DCC0"/>
    <w:lvl w:ilvl="0" w:tentative="0">
      <w:start w:val="1"/>
      <w:numFmt w:val="decimal"/>
      <w:suff w:val="nothing"/>
      <w:lvlText w:val="%1）"/>
      <w:lvlJc w:val="left"/>
    </w:lvl>
  </w:abstractNum>
  <w:abstractNum w:abstractNumId="1">
    <w:nsid w:val="590049E8"/>
    <w:multiLevelType w:val="singleLevel"/>
    <w:tmpl w:val="590049E8"/>
    <w:lvl w:ilvl="0" w:tentative="0">
      <w:start w:val="30"/>
      <w:numFmt w:val="decimal"/>
      <w:suff w:val="nothing"/>
      <w:lvlText w:val="%1."/>
      <w:lvlJc w:val="left"/>
    </w:lvl>
  </w:abstractNum>
  <w:abstractNum w:abstractNumId="2">
    <w:nsid w:val="59B2460E"/>
    <w:multiLevelType w:val="singleLevel"/>
    <w:tmpl w:val="59B2460E"/>
    <w:lvl w:ilvl="0" w:tentative="0">
      <w:start w:val="2"/>
      <w:numFmt w:val="decimal"/>
      <w:suff w:val="nothing"/>
      <w:lvlText w:val="%1."/>
      <w:lvlJc w:val="left"/>
    </w:lvl>
  </w:abstractNum>
  <w:abstractNum w:abstractNumId="3">
    <w:nsid w:val="59CF0981"/>
    <w:multiLevelType w:val="singleLevel"/>
    <w:tmpl w:val="59CF0981"/>
    <w:lvl w:ilvl="0" w:tentative="0">
      <w:start w:val="1"/>
      <w:numFmt w:val="decimal"/>
      <w:suff w:val="nothing"/>
      <w:lvlText w:val="%1、"/>
      <w:lvlJc w:val="left"/>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xMjYxMTc2YmNmM2ZiYzM3MzRiYzBiMTAxOWMxMDcifQ=="/>
  </w:docVars>
  <w:rsids>
    <w:rsidRoot w:val="00000000"/>
    <w:rsid w:val="0012593B"/>
    <w:rsid w:val="00AD303C"/>
    <w:rsid w:val="01F945A6"/>
    <w:rsid w:val="025E25E5"/>
    <w:rsid w:val="02FA438B"/>
    <w:rsid w:val="039667A9"/>
    <w:rsid w:val="041D6BCE"/>
    <w:rsid w:val="04A01276"/>
    <w:rsid w:val="06624721"/>
    <w:rsid w:val="06A66D03"/>
    <w:rsid w:val="06E83BE4"/>
    <w:rsid w:val="07287AB3"/>
    <w:rsid w:val="0737795B"/>
    <w:rsid w:val="080154E1"/>
    <w:rsid w:val="0A7563D6"/>
    <w:rsid w:val="0A994F37"/>
    <w:rsid w:val="0B9C7D1B"/>
    <w:rsid w:val="0BA46ABF"/>
    <w:rsid w:val="0C2F0706"/>
    <w:rsid w:val="0D322B22"/>
    <w:rsid w:val="0D900A0D"/>
    <w:rsid w:val="0E4A35B5"/>
    <w:rsid w:val="0EC477A5"/>
    <w:rsid w:val="0F2C1C93"/>
    <w:rsid w:val="0FC65D20"/>
    <w:rsid w:val="10A5688C"/>
    <w:rsid w:val="10CD1330"/>
    <w:rsid w:val="11966AAB"/>
    <w:rsid w:val="11AE4CBE"/>
    <w:rsid w:val="11B65BE6"/>
    <w:rsid w:val="13784AD1"/>
    <w:rsid w:val="143978DF"/>
    <w:rsid w:val="14AE46DC"/>
    <w:rsid w:val="16B05E57"/>
    <w:rsid w:val="179B7A92"/>
    <w:rsid w:val="17F84EE5"/>
    <w:rsid w:val="185A0BCA"/>
    <w:rsid w:val="18CA3B19"/>
    <w:rsid w:val="1961093B"/>
    <w:rsid w:val="19767855"/>
    <w:rsid w:val="19CF1C75"/>
    <w:rsid w:val="1A1F1582"/>
    <w:rsid w:val="1BF84071"/>
    <w:rsid w:val="1C1B1C72"/>
    <w:rsid w:val="1C9E7471"/>
    <w:rsid w:val="1CFD7861"/>
    <w:rsid w:val="1DA662D5"/>
    <w:rsid w:val="1E0345E3"/>
    <w:rsid w:val="1E2539C6"/>
    <w:rsid w:val="1F6A48B0"/>
    <w:rsid w:val="1FE958AF"/>
    <w:rsid w:val="210E2534"/>
    <w:rsid w:val="21641103"/>
    <w:rsid w:val="23B607A4"/>
    <w:rsid w:val="26865DB2"/>
    <w:rsid w:val="26B47F00"/>
    <w:rsid w:val="2872449F"/>
    <w:rsid w:val="28750C70"/>
    <w:rsid w:val="29CE6B92"/>
    <w:rsid w:val="2A957D41"/>
    <w:rsid w:val="2AA35184"/>
    <w:rsid w:val="2AF56AFA"/>
    <w:rsid w:val="2B814CE7"/>
    <w:rsid w:val="2BA411CB"/>
    <w:rsid w:val="2BCA4992"/>
    <w:rsid w:val="2DD92C6B"/>
    <w:rsid w:val="2DE7182C"/>
    <w:rsid w:val="2FB13B8E"/>
    <w:rsid w:val="2FED2083"/>
    <w:rsid w:val="30EF493D"/>
    <w:rsid w:val="328230BD"/>
    <w:rsid w:val="337220F8"/>
    <w:rsid w:val="33D463AE"/>
    <w:rsid w:val="357C4F4F"/>
    <w:rsid w:val="359B00A4"/>
    <w:rsid w:val="3602126F"/>
    <w:rsid w:val="361707D4"/>
    <w:rsid w:val="364C4922"/>
    <w:rsid w:val="38007070"/>
    <w:rsid w:val="3995213C"/>
    <w:rsid w:val="39C52BE9"/>
    <w:rsid w:val="39DB091B"/>
    <w:rsid w:val="39E719F5"/>
    <w:rsid w:val="3AE57BE0"/>
    <w:rsid w:val="3B0E6B2C"/>
    <w:rsid w:val="3BD056AD"/>
    <w:rsid w:val="3BF95260"/>
    <w:rsid w:val="3C0435A9"/>
    <w:rsid w:val="3C3B3E94"/>
    <w:rsid w:val="3D804EB1"/>
    <w:rsid w:val="3DC32298"/>
    <w:rsid w:val="3E9D4348"/>
    <w:rsid w:val="3EFF26ED"/>
    <w:rsid w:val="3F340649"/>
    <w:rsid w:val="3FD55988"/>
    <w:rsid w:val="3FD854DB"/>
    <w:rsid w:val="40486051"/>
    <w:rsid w:val="409D0EB1"/>
    <w:rsid w:val="410B278B"/>
    <w:rsid w:val="43324E9F"/>
    <w:rsid w:val="43F65ECD"/>
    <w:rsid w:val="4415299B"/>
    <w:rsid w:val="45073DC1"/>
    <w:rsid w:val="458F77AA"/>
    <w:rsid w:val="46841339"/>
    <w:rsid w:val="4690684A"/>
    <w:rsid w:val="474565B4"/>
    <w:rsid w:val="47A520E4"/>
    <w:rsid w:val="47D77DC3"/>
    <w:rsid w:val="487D4E0F"/>
    <w:rsid w:val="495A1B71"/>
    <w:rsid w:val="49CD61FB"/>
    <w:rsid w:val="49DE7B2F"/>
    <w:rsid w:val="4A014685"/>
    <w:rsid w:val="4A3D2AA8"/>
    <w:rsid w:val="4C787EC2"/>
    <w:rsid w:val="4C88712F"/>
    <w:rsid w:val="4D370AFB"/>
    <w:rsid w:val="4ED11593"/>
    <w:rsid w:val="4F0D4FB7"/>
    <w:rsid w:val="50C62493"/>
    <w:rsid w:val="512A53BB"/>
    <w:rsid w:val="51603C62"/>
    <w:rsid w:val="52B64958"/>
    <w:rsid w:val="53E93ADE"/>
    <w:rsid w:val="543C24C2"/>
    <w:rsid w:val="54D63692"/>
    <w:rsid w:val="55A52421"/>
    <w:rsid w:val="56CD692F"/>
    <w:rsid w:val="56E85B49"/>
    <w:rsid w:val="5755403F"/>
    <w:rsid w:val="575669A3"/>
    <w:rsid w:val="581B5AAA"/>
    <w:rsid w:val="58696274"/>
    <w:rsid w:val="595D2C25"/>
    <w:rsid w:val="59B77A55"/>
    <w:rsid w:val="59F91A4E"/>
    <w:rsid w:val="5A8E4C59"/>
    <w:rsid w:val="5B9C6F02"/>
    <w:rsid w:val="5BAE5B25"/>
    <w:rsid w:val="5D1A07D4"/>
    <w:rsid w:val="5D266025"/>
    <w:rsid w:val="5D9E51B4"/>
    <w:rsid w:val="5DD27C04"/>
    <w:rsid w:val="5E282CCF"/>
    <w:rsid w:val="5EF13A09"/>
    <w:rsid w:val="5F320205"/>
    <w:rsid w:val="5FB5490A"/>
    <w:rsid w:val="60B225F4"/>
    <w:rsid w:val="619176C3"/>
    <w:rsid w:val="61DA0784"/>
    <w:rsid w:val="62C4022C"/>
    <w:rsid w:val="633E290B"/>
    <w:rsid w:val="63672E76"/>
    <w:rsid w:val="63B217B7"/>
    <w:rsid w:val="64B3483A"/>
    <w:rsid w:val="64FA66E7"/>
    <w:rsid w:val="65B03F55"/>
    <w:rsid w:val="6603474E"/>
    <w:rsid w:val="663F14FE"/>
    <w:rsid w:val="6AFF11DA"/>
    <w:rsid w:val="6B3727A3"/>
    <w:rsid w:val="6C787517"/>
    <w:rsid w:val="6CEA1674"/>
    <w:rsid w:val="6E5E6E1D"/>
    <w:rsid w:val="6E913F2E"/>
    <w:rsid w:val="6EC151A6"/>
    <w:rsid w:val="6EED436C"/>
    <w:rsid w:val="71573B9F"/>
    <w:rsid w:val="71DE6B57"/>
    <w:rsid w:val="72AC3514"/>
    <w:rsid w:val="747E6A82"/>
    <w:rsid w:val="75343457"/>
    <w:rsid w:val="76562678"/>
    <w:rsid w:val="772558CB"/>
    <w:rsid w:val="77C06452"/>
    <w:rsid w:val="77FC0FFD"/>
    <w:rsid w:val="780D6D66"/>
    <w:rsid w:val="78720996"/>
    <w:rsid w:val="78B7250B"/>
    <w:rsid w:val="78C84A39"/>
    <w:rsid w:val="78DB3308"/>
    <w:rsid w:val="7936442A"/>
    <w:rsid w:val="7A0B19CB"/>
    <w:rsid w:val="7A5C2227"/>
    <w:rsid w:val="7B070BE4"/>
    <w:rsid w:val="7B7604F3"/>
    <w:rsid w:val="7C174657"/>
    <w:rsid w:val="7E07040C"/>
    <w:rsid w:val="7F5F07EF"/>
    <w:rsid w:val="7F8738A2"/>
    <w:rsid w:val="7FA929DC"/>
    <w:rsid w:val="7FF114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qFormat="1"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Times New Roman" w:eastAsia="宋体" w:cs="Times New Roman"/>
      <w:sz w:val="24"/>
      <w:lang w:val="en-US" w:eastAsia="zh-CN" w:bidi="ar-SA"/>
    </w:rPr>
  </w:style>
  <w:style w:type="paragraph" w:styleId="2">
    <w:name w:val="heading 1"/>
    <w:basedOn w:val="1"/>
    <w:next w:val="1"/>
    <w:autoRedefine/>
    <w:qFormat/>
    <w:uiPriority w:val="0"/>
    <w:pPr>
      <w:keepNext/>
      <w:outlineLvl w:val="0"/>
    </w:pPr>
    <w:rPr>
      <w:rFonts w:ascii="仿宋_GB2312" w:hAnsi="宋体" w:eastAsia="仿宋_GB2312"/>
      <w:b/>
      <w:kern w:val="2"/>
      <w:sz w:val="32"/>
    </w:rPr>
  </w:style>
  <w:style w:type="paragraph" w:styleId="3">
    <w:name w:val="heading 2"/>
    <w:basedOn w:val="1"/>
    <w:next w:val="1"/>
    <w:qFormat/>
    <w:uiPriority w:val="9"/>
    <w:pPr>
      <w:keepNext/>
      <w:keepLines/>
      <w:widowControl/>
      <w:spacing w:before="260" w:beforeLines="0" w:after="260" w:afterLines="0"/>
      <w:ind w:left="284"/>
      <w:jc w:val="left"/>
      <w:outlineLvl w:val="1"/>
    </w:pPr>
    <w:rPr>
      <w:rFonts w:ascii="Arial" w:hAnsi="Arial"/>
      <w:b/>
      <w:bCs/>
      <w:sz w:val="28"/>
      <w:szCs w:val="32"/>
    </w:rPr>
  </w:style>
  <w:style w:type="paragraph" w:styleId="4">
    <w:name w:val="heading 4"/>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5">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23">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6">
    <w:name w:val="Normal Indent"/>
    <w:basedOn w:val="1"/>
    <w:autoRedefine/>
    <w:qFormat/>
    <w:uiPriority w:val="0"/>
    <w:pPr>
      <w:spacing w:line="300" w:lineRule="auto"/>
      <w:ind w:firstLine="420" w:firstLineChars="200"/>
    </w:pPr>
    <w:rPr>
      <w:rFonts w:ascii="Calibri"/>
      <w:kern w:val="2"/>
      <w:sz w:val="21"/>
      <w:szCs w:val="24"/>
    </w:rPr>
  </w:style>
  <w:style w:type="paragraph" w:styleId="7">
    <w:name w:val="Body Text 3"/>
    <w:basedOn w:val="1"/>
    <w:autoRedefine/>
    <w:qFormat/>
    <w:uiPriority w:val="0"/>
    <w:pPr>
      <w:jc w:val="center"/>
    </w:pPr>
    <w:rPr>
      <w:rFonts w:ascii="Times New Roman"/>
      <w:b/>
      <w:spacing w:val="-20"/>
      <w:w w:val="110"/>
      <w:kern w:val="2"/>
      <w:sz w:val="52"/>
    </w:rPr>
  </w:style>
  <w:style w:type="paragraph" w:styleId="8">
    <w:name w:val="Body Text"/>
    <w:basedOn w:val="1"/>
    <w:next w:val="1"/>
    <w:qFormat/>
    <w:uiPriority w:val="0"/>
    <w:pPr>
      <w:spacing w:after="120" w:afterLines="0"/>
    </w:pPr>
    <w:rPr>
      <w:rFonts w:ascii="Calibri"/>
      <w:kern w:val="2"/>
      <w:sz w:val="21"/>
    </w:rPr>
  </w:style>
  <w:style w:type="paragraph" w:styleId="9">
    <w:name w:val="Body Text Indent"/>
    <w:basedOn w:val="1"/>
    <w:qFormat/>
    <w:uiPriority w:val="0"/>
    <w:pPr>
      <w:ind w:left="1083" w:leftChars="30" w:hanging="1020" w:hangingChars="425"/>
    </w:pPr>
    <w:rPr>
      <w:rFonts w:ascii="宋体" w:hAnsi="宋体"/>
      <w:sz w:val="24"/>
    </w:rPr>
  </w:style>
  <w:style w:type="paragraph" w:styleId="10">
    <w:name w:val="Plain Text"/>
    <w:basedOn w:val="1"/>
    <w:autoRedefine/>
    <w:qFormat/>
    <w:uiPriority w:val="0"/>
    <w:rPr>
      <w:rFonts w:hAnsi="Courier New"/>
      <w:kern w:val="2"/>
      <w:sz w:val="21"/>
    </w:rPr>
  </w:style>
  <w:style w:type="paragraph" w:styleId="11">
    <w:name w:val="footer"/>
    <w:basedOn w:val="1"/>
    <w:qFormat/>
    <w:uiPriority w:val="99"/>
    <w:pPr>
      <w:tabs>
        <w:tab w:val="center" w:pos="4153"/>
        <w:tab w:val="right" w:pos="8306"/>
      </w:tabs>
      <w:snapToGrid w:val="0"/>
      <w:jc w:val="left"/>
    </w:pPr>
    <w:rPr>
      <w:rFonts w:ascii="Calibri"/>
      <w:kern w:val="2"/>
      <w:sz w:val="18"/>
      <w:szCs w:val="18"/>
    </w:rPr>
  </w:style>
  <w:style w:type="paragraph" w:styleId="12">
    <w:name w:val="header"/>
    <w:basedOn w:val="1"/>
    <w:autoRedefine/>
    <w:qFormat/>
    <w:uiPriority w:val="99"/>
    <w:pPr>
      <w:pBdr>
        <w:bottom w:val="single" w:color="auto" w:sz="6" w:space="1"/>
      </w:pBdr>
      <w:tabs>
        <w:tab w:val="center" w:pos="4153"/>
        <w:tab w:val="right" w:pos="8306"/>
      </w:tabs>
      <w:snapToGrid w:val="0"/>
      <w:jc w:val="center"/>
    </w:pPr>
    <w:rPr>
      <w:rFonts w:ascii="Calibri"/>
      <w:kern w:val="2"/>
      <w:sz w:val="18"/>
      <w:szCs w:val="18"/>
    </w:rPr>
  </w:style>
  <w:style w:type="paragraph" w:styleId="13">
    <w:name w:val="toc 1"/>
    <w:basedOn w:val="1"/>
    <w:next w:val="1"/>
    <w:autoRedefine/>
    <w:unhideWhenUsed/>
    <w:qFormat/>
    <w:uiPriority w:val="39"/>
  </w:style>
  <w:style w:type="paragraph" w:styleId="14">
    <w:name w:val="Body Text Indent 3"/>
    <w:basedOn w:val="1"/>
    <w:autoRedefine/>
    <w:qFormat/>
    <w:uiPriority w:val="0"/>
    <w:pPr>
      <w:spacing w:line="410" w:lineRule="exact"/>
      <w:ind w:left="619" w:leftChars="295" w:firstLine="390" w:firstLineChars="179"/>
    </w:pPr>
    <w:rPr>
      <w:rFonts w:hAnsi="宋体"/>
      <w:spacing w:val="4"/>
      <w:kern w:val="2"/>
      <w:sz w:val="21"/>
    </w:rPr>
  </w:style>
  <w:style w:type="paragraph" w:styleId="15">
    <w:name w:val="index 7"/>
    <w:basedOn w:val="1"/>
    <w:next w:val="1"/>
    <w:qFormat/>
    <w:uiPriority w:val="0"/>
    <w:pPr>
      <w:spacing w:line="580" w:lineRule="exact"/>
      <w:ind w:firstLine="640" w:firstLineChars="200"/>
    </w:pPr>
    <w:rPr>
      <w:rFonts w:ascii="仿宋_GB2312" w:eastAsia="仿宋_GB2312"/>
      <w:sz w:val="32"/>
      <w:szCs w:val="32"/>
    </w:rPr>
  </w:style>
  <w:style w:type="paragraph" w:styleId="16">
    <w:name w:val="toc 2"/>
    <w:basedOn w:val="1"/>
    <w:next w:val="1"/>
    <w:autoRedefine/>
    <w:unhideWhenUsed/>
    <w:qFormat/>
    <w:uiPriority w:val="39"/>
    <w:pPr>
      <w:ind w:left="420" w:leftChars="200"/>
    </w:pPr>
  </w:style>
  <w:style w:type="paragraph" w:styleId="17">
    <w:name w:val="Body Text 2"/>
    <w:basedOn w:val="1"/>
    <w:autoRedefine/>
    <w:qFormat/>
    <w:uiPriority w:val="99"/>
    <w:pPr>
      <w:spacing w:after="120" w:line="480" w:lineRule="auto"/>
      <w:ind w:firstLine="200" w:firstLineChars="200"/>
    </w:pPr>
    <w:rPr>
      <w:sz w:val="28"/>
      <w:szCs w:val="28"/>
    </w:rPr>
  </w:style>
  <w:style w:type="paragraph" w:styleId="18">
    <w:name w:val="Normal (Web)"/>
    <w:basedOn w:val="1"/>
    <w:autoRedefine/>
    <w:qFormat/>
    <w:uiPriority w:val="0"/>
    <w:pPr>
      <w:widowControl/>
      <w:spacing w:before="100" w:beforeLines="0" w:beforeAutospacing="1" w:after="100" w:afterLines="0" w:afterAutospacing="1"/>
      <w:jc w:val="left"/>
    </w:pPr>
    <w:rPr>
      <w:rFonts w:ascii="宋体" w:hAnsi="宋体"/>
      <w:kern w:val="0"/>
      <w:sz w:val="24"/>
      <w:szCs w:val="24"/>
    </w:rPr>
  </w:style>
  <w:style w:type="paragraph" w:styleId="19">
    <w:name w:val="Body Text First Indent"/>
    <w:basedOn w:val="1"/>
    <w:next w:val="1"/>
    <w:autoRedefine/>
    <w:qFormat/>
    <w:uiPriority w:val="0"/>
    <w:pPr>
      <w:adjustRightInd w:val="0"/>
      <w:ind w:firstLine="420"/>
      <w:jc w:val="left"/>
      <w:textAlignment w:val="baseline"/>
    </w:pPr>
    <w:rPr>
      <w:b/>
      <w:kern w:val="0"/>
      <w:sz w:val="21"/>
    </w:rPr>
  </w:style>
  <w:style w:type="paragraph" w:styleId="20">
    <w:name w:val="Body Text First Indent 2"/>
    <w:basedOn w:val="9"/>
    <w:autoRedefine/>
    <w:qFormat/>
    <w:uiPriority w:val="0"/>
    <w:pPr>
      <w:spacing w:after="120"/>
      <w:ind w:left="420" w:leftChars="200" w:firstLine="420"/>
    </w:pPr>
    <w:rPr>
      <w:sz w:val="21"/>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autoRedefine/>
    <w:qFormat/>
    <w:uiPriority w:val="22"/>
    <w:rPr>
      <w:b/>
      <w:bCs/>
    </w:rPr>
  </w:style>
  <w:style w:type="character" w:styleId="25">
    <w:name w:val="Hyperlink"/>
    <w:qFormat/>
    <w:uiPriority w:val="99"/>
    <w:rPr>
      <w:color w:val="333333"/>
      <w:u w:val="single"/>
    </w:rPr>
  </w:style>
  <w:style w:type="paragraph" w:customStyle="1" w:styleId="26">
    <w:name w:val="font5"/>
    <w:basedOn w:val="1"/>
    <w:autoRedefine/>
    <w:qFormat/>
    <w:uiPriority w:val="0"/>
    <w:pPr>
      <w:widowControl/>
      <w:spacing w:before="100" w:beforeLines="0" w:beforeAutospacing="1" w:after="100" w:afterLines="0" w:afterAutospacing="1"/>
      <w:jc w:val="left"/>
    </w:pPr>
    <w:rPr>
      <w:rFonts w:hint="eastAsia" w:ascii="宋体" w:hAnsi="宋体"/>
      <w:kern w:val="0"/>
      <w:sz w:val="24"/>
    </w:rPr>
  </w:style>
  <w:style w:type="paragraph" w:customStyle="1" w:styleId="27">
    <w:name w:val="List Paragraph"/>
    <w:basedOn w:val="1"/>
    <w:autoRedefine/>
    <w:qFormat/>
    <w:uiPriority w:val="34"/>
    <w:pPr>
      <w:ind w:firstLine="420" w:firstLineChars="200"/>
    </w:pPr>
  </w:style>
  <w:style w:type="paragraph" w:customStyle="1" w:styleId="28">
    <w:name w:val="Char1"/>
    <w:basedOn w:val="1"/>
    <w:autoRedefine/>
    <w:qFormat/>
    <w:uiPriority w:val="0"/>
    <w:pPr>
      <w:tabs>
        <w:tab w:val="left" w:pos="360"/>
      </w:tabs>
      <w:ind w:left="360" w:hanging="360" w:hangingChars="200"/>
    </w:pPr>
    <w:rPr>
      <w:sz w:val="24"/>
      <w:szCs w:val="24"/>
    </w:rPr>
  </w:style>
  <w:style w:type="paragraph" w:customStyle="1" w:styleId="29">
    <w:name w:val="msolistparagraph"/>
    <w:next w:val="15"/>
    <w:autoRedefine/>
    <w:qFormat/>
    <w:uiPriority w:val="0"/>
    <w:pPr>
      <w:widowControl w:val="0"/>
      <w:ind w:firstLine="200" w:firstLineChars="200"/>
      <w:jc w:val="both"/>
    </w:pPr>
    <w:rPr>
      <w:rFonts w:ascii="Calibri" w:hAnsi="Calibri" w:eastAsia="宋体" w:cs="Times New Roman"/>
      <w:kern w:val="2"/>
      <w:sz w:val="21"/>
      <w:lang w:val="en-US" w:eastAsia="zh-CN" w:bidi="ar-SA"/>
    </w:rPr>
  </w:style>
  <w:style w:type="paragraph" w:customStyle="1" w:styleId="30">
    <w:name w:val="标题3"/>
    <w:basedOn w:val="1"/>
    <w:autoRedefine/>
    <w:qFormat/>
    <w:uiPriority w:val="99"/>
    <w:pPr>
      <w:outlineLvl w:val="2"/>
    </w:pPr>
    <w:rPr>
      <w:rFonts w:ascii="Calibri" w:hAnsi="Calibri" w:cs="Calibri"/>
      <w:b/>
      <w:bCs/>
    </w:rPr>
  </w:style>
  <w:style w:type="paragraph" w:customStyle="1" w:styleId="31">
    <w:name w:val="520"/>
    <w:qFormat/>
    <w:uiPriority w:val="0"/>
    <w:pPr>
      <w:spacing w:line="360" w:lineRule="auto"/>
    </w:pPr>
    <w:rPr>
      <w:rFonts w:ascii="宋体" w:hAnsi="宋体" w:eastAsia="仿宋_GB2312" w:cs="Times New Roman"/>
      <w:b/>
      <w:kern w:val="2"/>
      <w:sz w:val="30"/>
      <w:szCs w:val="30"/>
      <w:lang w:val="en-US" w:eastAsia="zh-CN" w:bidi="ar-SA"/>
    </w:rPr>
  </w:style>
  <w:style w:type="paragraph" w:customStyle="1" w:styleId="32">
    <w:name w:val="TOC 标题1"/>
    <w:basedOn w:val="2"/>
    <w:next w:val="1"/>
    <w:autoRedefine/>
    <w:qFormat/>
    <w:uiPriority w:val="99"/>
    <w:pPr>
      <w:spacing w:before="480" w:line="276" w:lineRule="auto"/>
      <w:outlineLvl w:val="9"/>
    </w:pPr>
    <w:rPr>
      <w:rFonts w:ascii="仿宋" w:hAnsi="仿宋" w:eastAsia="仿宋"/>
      <w:color w:val="000000"/>
      <w:kern w:val="0"/>
      <w:szCs w:val="32"/>
    </w:rPr>
  </w:style>
  <w:style w:type="paragraph" w:customStyle="1" w:styleId="33">
    <w:name w:val="列出段落11"/>
    <w:basedOn w:val="1"/>
    <w:autoRedefine/>
    <w:qFormat/>
    <w:uiPriority w:val="34"/>
    <w:pPr>
      <w:ind w:firstLine="420" w:firstLineChars="200"/>
    </w:pPr>
    <w:rPr>
      <w:rFonts w:ascii="Calibri" w:hAnsi="Calibri"/>
    </w:rPr>
  </w:style>
  <w:style w:type="paragraph" w:customStyle="1" w:styleId="34">
    <w:name w:val="Default"/>
    <w:autoRedefine/>
    <w:qFormat/>
    <w:uiPriority w:val="0"/>
    <w:pPr>
      <w:widowControl w:val="0"/>
      <w:autoSpaceDE w:val="0"/>
      <w:autoSpaceDN w:val="0"/>
      <w:adjustRightInd w:val="0"/>
    </w:pPr>
    <w:rPr>
      <w:rFonts w:ascii="AGYXIQ+Frutiger-Cn" w:hAnsi="Times New Roman" w:eastAsia="AGYXIQ+Frutiger-Cn" w:cs="AGYXIQ+Frutiger-Cn"/>
      <w:color w:val="000000"/>
      <w:sz w:val="24"/>
      <w:szCs w:val="24"/>
      <w:lang w:val="en-US" w:eastAsia="zh-CN" w:bidi="ar-SA"/>
    </w:rPr>
  </w:style>
  <w:style w:type="paragraph" w:customStyle="1" w:styleId="35">
    <w:name w:val="Table Paragraph"/>
    <w:basedOn w:val="1"/>
    <w:autoRedefine/>
    <w:qFormat/>
    <w:uiPriority w:val="0"/>
    <w:pPr>
      <w:autoSpaceDE w:val="0"/>
      <w:autoSpaceDN w:val="0"/>
      <w:jc w:val="left"/>
    </w:pPr>
    <w:rPr>
      <w:rFonts w:ascii="宋体" w:hAnsi="宋体" w:cs="宋体"/>
      <w:kern w:val="0"/>
      <w:sz w:val="22"/>
      <w:szCs w:val="22"/>
    </w:rPr>
  </w:style>
  <w:style w:type="table" w:customStyle="1" w:styleId="36">
    <w:name w:val="Table Normal"/>
    <w:autoRedefine/>
    <w:semiHidden/>
    <w:unhideWhenUsed/>
    <w:qFormat/>
    <w:uiPriority w:val="0"/>
    <w:tblPr>
      <w:tblCellMar>
        <w:top w:w="0" w:type="dxa"/>
        <w:left w:w="0" w:type="dxa"/>
        <w:bottom w:w="0" w:type="dxa"/>
        <w:right w:w="0" w:type="dxa"/>
      </w:tblCellMar>
    </w:tblPr>
  </w:style>
  <w:style w:type="paragraph" w:customStyle="1" w:styleId="37">
    <w:name w:val="Table Text"/>
    <w:basedOn w:val="1"/>
    <w:semiHidden/>
    <w:qFormat/>
    <w:uiPriority w:val="0"/>
    <w:rPr>
      <w:rFonts w:ascii="宋体" w:hAnsi="宋体" w:eastAsia="宋体" w:cs="宋体"/>
      <w:sz w:val="20"/>
      <w:szCs w:val="20"/>
      <w:lang w:val="en-US" w:eastAsia="en-US" w:bidi="ar-SA"/>
    </w:rPr>
  </w:style>
  <w:style w:type="paragraph" w:customStyle="1" w:styleId="38">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3.png"/><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64</Pages>
  <Words>17656</Words>
  <Characters>19676</Characters>
  <Lines>0</Lines>
  <Paragraphs>0</Paragraphs>
  <TotalTime>63</TotalTime>
  <ScaleCrop>false</ScaleCrop>
  <LinksUpToDate>false</LinksUpToDate>
  <CharactersWithSpaces>19835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91356</dc:creator>
  <cp:lastModifiedBy>Mr.sy</cp:lastModifiedBy>
  <dcterms:modified xsi:type="dcterms:W3CDTF">2025-10-10T09:47:39Z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46DEB960A18D413CB9F1CB981C875A2E_13</vt:lpwstr>
  </property>
  <property fmtid="{D5CDD505-2E9C-101B-9397-08002B2CF9AE}" pid="4" name="KSOTemplateDocerSaveRecord">
    <vt:lpwstr>eyJoZGlkIjoiNjE3MzAxNTgxYjAxOTI0ZjUxMzZjMDU1NTMzNDBmOTIiLCJ1c2VySWQiOiIyMzA4NTAzMTYifQ==</vt:lpwstr>
  </property>
</Properties>
</file>