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953DC">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305AEF37">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13E6A59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5337FB89">
      <w:pPr>
        <w:autoSpaceDE w:val="0"/>
        <w:autoSpaceDN w:val="0"/>
        <w:adjustRightInd w:val="0"/>
        <w:spacing w:line="240" w:lineRule="auto"/>
        <w:jc w:val="center"/>
        <w:textAlignment w:val="baseline"/>
        <w:rPr>
          <w:rFonts w:hint="eastAsia" w:ascii="微软雅黑" w:hAnsi="微软雅黑" w:eastAsia="微软雅黑" w:cs="微软雅黑"/>
          <w:b w:val="0"/>
          <w:bCs w:val="0"/>
          <w:color w:val="000000"/>
          <w:kern w:val="0"/>
          <w:sz w:val="56"/>
          <w:szCs w:val="56"/>
          <w:highlight w:val="none"/>
          <w:u w:color="000000"/>
          <w:lang w:eastAsia="zh-CN"/>
        </w:rPr>
      </w:pPr>
      <w:r>
        <w:rPr>
          <w:rFonts w:hint="eastAsia" w:ascii="微软雅黑" w:hAnsi="微软雅黑" w:eastAsia="微软雅黑" w:cs="微软雅黑"/>
          <w:b w:val="0"/>
          <w:bCs w:val="0"/>
          <w:color w:val="000000"/>
          <w:kern w:val="0"/>
          <w:sz w:val="56"/>
          <w:szCs w:val="56"/>
          <w:highlight w:val="none"/>
          <w:u w:color="000000"/>
          <w:lang w:eastAsia="zh-CN"/>
        </w:rPr>
        <w:t>2025年度工程建设及相关系统</w:t>
      </w:r>
    </w:p>
    <w:p w14:paraId="7CE010F3">
      <w:pPr>
        <w:autoSpaceDE w:val="0"/>
        <w:autoSpaceDN w:val="0"/>
        <w:adjustRightInd w:val="0"/>
        <w:spacing w:line="240" w:lineRule="auto"/>
        <w:jc w:val="center"/>
        <w:textAlignment w:val="baseline"/>
        <w:rPr>
          <w:rFonts w:hint="eastAsia" w:ascii="微软雅黑" w:hAnsi="微软雅黑" w:eastAsia="微软雅黑" w:cs="微软雅黑"/>
          <w:b w:val="0"/>
          <w:bCs w:val="0"/>
          <w:color w:val="000000"/>
          <w:kern w:val="0"/>
          <w:sz w:val="72"/>
          <w:szCs w:val="72"/>
          <w:highlight w:val="none"/>
          <w:u w:color="000000"/>
          <w:lang w:val="zh-CN" w:eastAsia="zh-CN"/>
        </w:rPr>
      </w:pPr>
      <w:r>
        <w:rPr>
          <w:rFonts w:hint="eastAsia" w:ascii="微软雅黑" w:hAnsi="微软雅黑" w:eastAsia="微软雅黑" w:cs="微软雅黑"/>
          <w:b w:val="0"/>
          <w:bCs w:val="0"/>
          <w:color w:val="000000"/>
          <w:kern w:val="0"/>
          <w:sz w:val="56"/>
          <w:szCs w:val="56"/>
          <w:highlight w:val="none"/>
          <w:u w:color="000000"/>
          <w:lang w:eastAsia="zh-CN"/>
        </w:rPr>
        <w:t>运维服务项目</w:t>
      </w:r>
    </w:p>
    <w:p w14:paraId="08C1135F">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CF55DFE">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607CB01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57F6065">
      <w:pPr>
        <w:tabs>
          <w:tab w:val="left" w:pos="0"/>
        </w:tabs>
        <w:spacing w:line="240" w:lineRule="auto"/>
        <w:jc w:val="center"/>
        <w:textAlignment w:val="baseline"/>
        <w:rPr>
          <w:rFonts w:ascii="微软雅黑" w:hAnsi="微软雅黑" w:eastAsia="微软雅黑" w:cs="微软雅黑"/>
          <w:bCs/>
          <w:snapToGrid w:val="0"/>
          <w:color w:val="000000"/>
          <w:kern w:val="0"/>
          <w:sz w:val="96"/>
          <w:szCs w:val="96"/>
          <w:highlight w:val="none"/>
          <w:u w:color="000000"/>
        </w:rPr>
      </w:pPr>
      <w:r>
        <w:rPr>
          <w:rFonts w:hint="eastAsia" w:ascii="微软雅黑" w:hAnsi="微软雅黑" w:eastAsia="微软雅黑" w:cs="微软雅黑"/>
          <w:bCs/>
          <w:snapToGrid w:val="0"/>
          <w:color w:val="000000"/>
          <w:kern w:val="0"/>
          <w:sz w:val="96"/>
          <w:szCs w:val="96"/>
          <w:highlight w:val="none"/>
          <w:u w:color="000000"/>
        </w:rPr>
        <w:t>单一来源采购</w:t>
      </w:r>
    </w:p>
    <w:p w14:paraId="0FBBB12A">
      <w:pPr>
        <w:tabs>
          <w:tab w:val="left" w:pos="3570"/>
        </w:tabs>
        <w:autoSpaceDE w:val="0"/>
        <w:autoSpaceDN w:val="0"/>
        <w:adjustRightInd w:val="0"/>
        <w:spacing w:line="560" w:lineRule="exact"/>
        <w:jc w:val="center"/>
        <w:textAlignment w:val="baseline"/>
        <w:rPr>
          <w:rFonts w:hint="eastAsia" w:ascii="宋体" w:hAnsi="宋体" w:eastAsia="宋体" w:cs="Times New Roman"/>
          <w:b/>
          <w:color w:val="000000"/>
          <w:kern w:val="0"/>
          <w:sz w:val="32"/>
          <w:szCs w:val="32"/>
          <w:highlight w:val="none"/>
          <w:u w:color="000000"/>
          <w:lang w:eastAsia="zh-CN"/>
        </w:rPr>
      </w:pPr>
      <w:r>
        <w:rPr>
          <w:rFonts w:hint="eastAsia" w:ascii="宋体" w:hAnsi="宋体" w:eastAsia="宋体" w:cs="Times New Roman"/>
          <w:b/>
          <w:bCs/>
          <w:snapToGrid w:val="0"/>
          <w:color w:val="000000"/>
          <w:kern w:val="0"/>
          <w:sz w:val="32"/>
          <w:szCs w:val="32"/>
          <w:highlight w:val="none"/>
          <w:u w:color="000000"/>
        </w:rPr>
        <w:t>采购编号：</w:t>
      </w:r>
      <w:r>
        <w:rPr>
          <w:rFonts w:hint="eastAsia" w:ascii="宋体" w:hAnsi="宋体" w:eastAsia="宋体" w:cs="Times New Roman"/>
          <w:b/>
          <w:bCs/>
          <w:snapToGrid w:val="0"/>
          <w:color w:val="000000"/>
          <w:kern w:val="0"/>
          <w:sz w:val="32"/>
          <w:szCs w:val="32"/>
          <w:highlight w:val="none"/>
          <w:u w:color="000000"/>
          <w:lang w:eastAsia="zh-CN"/>
        </w:rPr>
        <w:t>ZFFZ-2025-134</w:t>
      </w:r>
    </w:p>
    <w:p w14:paraId="13B7867B">
      <w:pPr>
        <w:spacing w:line="560" w:lineRule="exact"/>
        <w:jc w:val="center"/>
        <w:textAlignment w:val="baseline"/>
        <w:rPr>
          <w:rFonts w:ascii="宋体" w:hAnsi="宋体" w:eastAsia="宋体" w:cs="宋体"/>
          <w:color w:val="000000"/>
          <w:kern w:val="0"/>
          <w:sz w:val="20"/>
          <w:szCs w:val="20"/>
          <w:highlight w:val="none"/>
          <w:u w:color="000000"/>
        </w:rPr>
      </w:pPr>
    </w:p>
    <w:p w14:paraId="218A134F">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50E12A9C">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40AADEDB">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594D2515">
      <w:pPr>
        <w:spacing w:line="560" w:lineRule="exact"/>
        <w:jc w:val="center"/>
        <w:textAlignment w:val="baseline"/>
        <w:rPr>
          <w:rFonts w:ascii="宋体" w:hAnsi="宋体" w:eastAsia="宋体" w:cs="Times New Roman"/>
          <w:b/>
          <w:bCs/>
          <w:color w:val="000000"/>
          <w:kern w:val="0"/>
          <w:sz w:val="32"/>
          <w:szCs w:val="32"/>
          <w:highlight w:val="none"/>
          <w:u w:color="000000"/>
        </w:rPr>
      </w:pPr>
    </w:p>
    <w:p w14:paraId="16F6EDE9">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采   购   人：</w:t>
      </w:r>
      <w:r>
        <w:rPr>
          <w:rFonts w:hint="eastAsia" w:ascii="仿宋_GB2312" w:hAnsi="楷体_GB2312" w:eastAsia="仿宋_GB2312" w:cs="楷体_GB2312"/>
          <w:b/>
          <w:bCs/>
          <w:color w:val="000000"/>
          <w:kern w:val="0"/>
          <w:sz w:val="32"/>
          <w:szCs w:val="32"/>
          <w:highlight w:val="none"/>
          <w:lang w:eastAsia="zh-CN"/>
        </w:rPr>
        <w:t>陕西省公共资源交易中心</w:t>
      </w:r>
    </w:p>
    <w:p w14:paraId="4CD19AF3">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采购代理机构：陕西中发项目管理发展有限公司</w:t>
      </w:r>
    </w:p>
    <w:p w14:paraId="4451FC23">
      <w:pPr>
        <w:autoSpaceDE w:val="0"/>
        <w:autoSpaceDN w:val="0"/>
        <w:adjustRightInd w:val="0"/>
        <w:spacing w:line="560" w:lineRule="exact"/>
        <w:jc w:val="center"/>
        <w:textAlignment w:val="baseline"/>
        <w:rPr>
          <w:rFonts w:ascii="宋体" w:hAnsi="宋体" w:eastAsia="宋体" w:cs="微软雅黑"/>
          <w:b/>
          <w:bCs/>
          <w:color w:val="000000"/>
          <w:kern w:val="0"/>
          <w:sz w:val="36"/>
          <w:szCs w:val="36"/>
          <w:highlight w:val="none"/>
          <w:u w:color="000000"/>
          <w:lang w:val="zh-CN"/>
        </w:rPr>
      </w:pPr>
    </w:p>
    <w:p w14:paraId="048AE5EC">
      <w:pPr>
        <w:spacing w:line="240" w:lineRule="auto"/>
        <w:jc w:val="center"/>
        <w:rPr>
          <w:rFonts w:hint="eastAsia" w:eastAsia="仿宋"/>
          <w:sz w:val="36"/>
          <w:szCs w:val="36"/>
          <w:highlight w:val="none"/>
          <w:lang w:eastAsia="zh-CN"/>
        </w:rPr>
      </w:pPr>
      <w:r>
        <w:rPr>
          <w:rFonts w:hint="eastAsia" w:ascii="仿宋_GB2312" w:hAnsi="楷体_GB2312" w:eastAsia="仿宋_GB2312" w:cs="楷体_GB2312"/>
          <w:b/>
          <w:bCs/>
          <w:color w:val="000000"/>
          <w:kern w:val="0"/>
          <w:sz w:val="32"/>
          <w:szCs w:val="32"/>
          <w:highlight w:val="none"/>
          <w:u w:color="000000"/>
          <w:lang w:eastAsia="zh-CN"/>
        </w:rPr>
        <w:t>2025年</w:t>
      </w:r>
      <w:r>
        <w:rPr>
          <w:rFonts w:hint="eastAsia" w:ascii="仿宋_GB2312" w:hAnsi="楷体_GB2312" w:eastAsia="仿宋_GB2312" w:cs="楷体_GB2312"/>
          <w:b/>
          <w:bCs/>
          <w:color w:val="000000"/>
          <w:kern w:val="0"/>
          <w:sz w:val="32"/>
          <w:szCs w:val="32"/>
          <w:highlight w:val="none"/>
          <w:u w:color="000000"/>
          <w:lang w:val="en-US" w:eastAsia="zh-CN"/>
        </w:rPr>
        <w:t>10</w:t>
      </w:r>
      <w:r>
        <w:rPr>
          <w:rFonts w:hint="eastAsia" w:ascii="仿宋_GB2312" w:hAnsi="楷体_GB2312" w:eastAsia="仿宋_GB2312" w:cs="楷体_GB2312"/>
          <w:b/>
          <w:bCs/>
          <w:color w:val="000000"/>
          <w:kern w:val="0"/>
          <w:sz w:val="32"/>
          <w:szCs w:val="32"/>
          <w:highlight w:val="none"/>
          <w:u w:color="000000"/>
          <w:lang w:eastAsia="zh-CN"/>
        </w:rPr>
        <w:t>月</w:t>
      </w:r>
    </w:p>
    <w:p w14:paraId="31245AA6">
      <w:pPr>
        <w:rPr>
          <w:rFonts w:eastAsia="仿宋"/>
          <w:sz w:val="36"/>
          <w:szCs w:val="36"/>
          <w:highlight w:val="none"/>
        </w:rPr>
      </w:pPr>
      <w:r>
        <w:rPr>
          <w:rFonts w:eastAsia="仿宋"/>
          <w:sz w:val="36"/>
          <w:szCs w:val="36"/>
          <w:highlight w:val="none"/>
        </w:rPr>
        <w:br w:type="page"/>
      </w:r>
    </w:p>
    <w:p w14:paraId="1826195C">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rPr>
          <w:rFonts w:hint="eastAsia" w:ascii="黑体" w:hAnsi="黑体" w:eastAsia="黑体" w:cs="黑体"/>
          <w:bCs w:val="0"/>
          <w:szCs w:val="32"/>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TOC \o "1-2" \h \z \u </w:instrText>
      </w:r>
      <w:r>
        <w:rPr>
          <w:rFonts w:hint="eastAsia" w:ascii="黑体" w:hAnsi="黑体" w:eastAsia="黑体" w:cs="黑体"/>
          <w:highlight w:val="none"/>
        </w:rPr>
        <w:fldChar w:fldCharType="separate"/>
      </w: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_Toc23956 </w:instrText>
      </w:r>
      <w:r>
        <w:rPr>
          <w:rFonts w:hint="eastAsia" w:ascii="黑体" w:hAnsi="黑体" w:eastAsia="黑体" w:cs="黑体"/>
          <w:highlight w:val="none"/>
        </w:rPr>
        <w:fldChar w:fldCharType="separate"/>
      </w:r>
    </w:p>
    <w:sdt>
      <w:sdtPr>
        <w:rPr>
          <w:rFonts w:hint="eastAsia" w:ascii="仿宋" w:hAnsi="仿宋" w:eastAsia="仿宋" w:cs="仿宋"/>
          <w:b/>
          <w:bCs/>
          <w:kern w:val="2"/>
          <w:sz w:val="44"/>
          <w:szCs w:val="44"/>
          <w:lang w:val="en-US" w:eastAsia="zh-CN" w:bidi="ar-SA"/>
        </w:rPr>
        <w:id w:val="147479854"/>
        <w15:color w:val="DBDBDB"/>
        <w:docPartObj>
          <w:docPartGallery w:val="Table of Contents"/>
          <w:docPartUnique/>
        </w:docPartObj>
      </w:sdtPr>
      <w:sdtEndPr>
        <w:rPr>
          <w:rFonts w:hint="eastAsia" w:ascii="仿宋" w:hAnsi="仿宋" w:eastAsia="仿宋" w:cs="仿宋"/>
          <w:b/>
          <w:bCs/>
          <w:kern w:val="2"/>
          <w:sz w:val="44"/>
          <w:szCs w:val="44"/>
          <w:lang w:val="en-US" w:eastAsia="zh-CN" w:bidi="ar-SA"/>
        </w:rPr>
      </w:sdtEndPr>
      <w:sdtContent>
        <w:p w14:paraId="421404DA">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p>
        <w:p w14:paraId="0A1A3C35">
          <w:pPr>
            <w:pStyle w:val="2"/>
          </w:pPr>
        </w:p>
        <w:p w14:paraId="39CF245B">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fldChar w:fldCharType="begin"/>
          </w:r>
          <w:r>
            <w:instrText xml:space="preserve">TOC \o "1-1" \h \u </w:instrText>
          </w:r>
          <w:r>
            <w:fldChar w:fldCharType="separate"/>
          </w:r>
          <w:r>
            <w:fldChar w:fldCharType="begin"/>
          </w:r>
          <w:r>
            <w:instrText xml:space="preserve"> HYPERLINK \l _Toc4637 </w:instrText>
          </w:r>
          <w:r>
            <w:fldChar w:fldCharType="separate"/>
          </w:r>
          <w:r>
            <w:rPr>
              <w:rFonts w:hint="eastAsia" w:ascii="黑体" w:hAnsi="黑体" w:eastAsia="黑体" w:cs="黑体"/>
              <w:bCs w:val="0"/>
              <w:szCs w:val="32"/>
              <w:highlight w:val="none"/>
            </w:rPr>
            <w:t>第一章  单一来源采购通知书</w:t>
          </w:r>
          <w:r>
            <w:tab/>
          </w:r>
          <w:r>
            <w:fldChar w:fldCharType="begin"/>
          </w:r>
          <w:r>
            <w:instrText xml:space="preserve"> PAGEREF _Toc4637 \h </w:instrText>
          </w:r>
          <w:r>
            <w:fldChar w:fldCharType="separate"/>
          </w:r>
          <w:r>
            <w:t>1</w:t>
          </w:r>
          <w:r>
            <w:fldChar w:fldCharType="end"/>
          </w:r>
          <w:r>
            <w:fldChar w:fldCharType="end"/>
          </w:r>
        </w:p>
        <w:p w14:paraId="5A585747">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fldChar w:fldCharType="begin"/>
          </w:r>
          <w:r>
            <w:instrText xml:space="preserve"> HYPERLINK \l _Toc3053 </w:instrText>
          </w:r>
          <w:r>
            <w:fldChar w:fldCharType="separate"/>
          </w:r>
          <w:r>
            <w:rPr>
              <w:rFonts w:hint="eastAsia" w:ascii="黑体" w:hAnsi="黑体" w:eastAsia="黑体" w:cs="黑体"/>
              <w:bCs w:val="0"/>
              <w:szCs w:val="32"/>
              <w:highlight w:val="none"/>
            </w:rPr>
            <w:t>第二章  供应商须知</w:t>
          </w:r>
          <w:r>
            <w:tab/>
          </w:r>
          <w:r>
            <w:fldChar w:fldCharType="begin"/>
          </w:r>
          <w:r>
            <w:instrText xml:space="preserve"> PAGEREF _Toc3053 \h </w:instrText>
          </w:r>
          <w:r>
            <w:fldChar w:fldCharType="separate"/>
          </w:r>
          <w:r>
            <w:t>5</w:t>
          </w:r>
          <w:r>
            <w:fldChar w:fldCharType="end"/>
          </w:r>
          <w:r>
            <w:fldChar w:fldCharType="end"/>
          </w:r>
        </w:p>
        <w:p w14:paraId="11AF52AE">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fldChar w:fldCharType="begin"/>
          </w:r>
          <w:r>
            <w:instrText xml:space="preserve"> HYPERLINK \l _Toc24117 </w:instrText>
          </w:r>
          <w:r>
            <w:fldChar w:fldCharType="separate"/>
          </w:r>
          <w:r>
            <w:rPr>
              <w:rFonts w:hint="eastAsia" w:ascii="黑体" w:hAnsi="黑体" w:eastAsia="黑体" w:cs="黑体"/>
              <w:bCs w:val="0"/>
              <w:szCs w:val="32"/>
              <w:highlight w:val="none"/>
            </w:rPr>
            <w:t xml:space="preserve">第三章 </w:t>
          </w:r>
          <w:r>
            <w:rPr>
              <w:rFonts w:hint="eastAsia" w:ascii="黑体" w:hAnsi="黑体" w:eastAsia="黑体" w:cs="黑体"/>
              <w:bCs w:val="0"/>
              <w:szCs w:val="32"/>
              <w:highlight w:val="none"/>
              <w:lang w:val="en-US" w:eastAsia="zh-CN"/>
            </w:rPr>
            <w:t xml:space="preserve"> </w:t>
          </w:r>
          <w:r>
            <w:rPr>
              <w:rFonts w:hint="eastAsia" w:ascii="黑体" w:hAnsi="黑体" w:eastAsia="黑体" w:cs="黑体"/>
              <w:bCs w:val="0"/>
              <w:szCs w:val="32"/>
              <w:highlight w:val="none"/>
            </w:rPr>
            <w:t>采购内容及采购要求</w:t>
          </w:r>
          <w:r>
            <w:tab/>
          </w:r>
          <w:r>
            <w:fldChar w:fldCharType="begin"/>
          </w:r>
          <w:r>
            <w:instrText xml:space="preserve"> PAGEREF _Toc24117 \h </w:instrText>
          </w:r>
          <w:r>
            <w:fldChar w:fldCharType="separate"/>
          </w:r>
          <w:r>
            <w:t>27</w:t>
          </w:r>
          <w:r>
            <w:fldChar w:fldCharType="end"/>
          </w:r>
          <w:r>
            <w:fldChar w:fldCharType="end"/>
          </w:r>
        </w:p>
        <w:p w14:paraId="2ED4320D">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fldChar w:fldCharType="begin"/>
          </w:r>
          <w:r>
            <w:instrText xml:space="preserve"> HYPERLINK \l _Toc27495 </w:instrText>
          </w:r>
          <w:r>
            <w:fldChar w:fldCharType="separate"/>
          </w:r>
          <w:r>
            <w:rPr>
              <w:rFonts w:hint="eastAsia" w:ascii="黑体" w:hAnsi="黑体" w:eastAsia="黑体" w:cs="黑体"/>
              <w:bCs w:val="0"/>
              <w:szCs w:val="32"/>
              <w:highlight w:val="none"/>
            </w:rPr>
            <w:t xml:space="preserve">第四章 </w:t>
          </w:r>
          <w:r>
            <w:rPr>
              <w:rFonts w:hint="eastAsia" w:ascii="黑体" w:hAnsi="黑体" w:eastAsia="黑体" w:cs="黑体"/>
              <w:bCs w:val="0"/>
              <w:szCs w:val="32"/>
              <w:highlight w:val="none"/>
              <w:lang w:val="en-US" w:eastAsia="zh-CN"/>
            </w:rPr>
            <w:t xml:space="preserve"> </w:t>
          </w:r>
          <w:r>
            <w:rPr>
              <w:rFonts w:hint="eastAsia" w:ascii="黑体" w:hAnsi="黑体" w:eastAsia="黑体" w:cs="黑体"/>
              <w:bCs w:val="0"/>
              <w:szCs w:val="32"/>
              <w:highlight w:val="none"/>
            </w:rPr>
            <w:t>合同基本条款</w:t>
          </w:r>
          <w:r>
            <w:tab/>
          </w:r>
          <w:r>
            <w:fldChar w:fldCharType="begin"/>
          </w:r>
          <w:r>
            <w:instrText xml:space="preserve"> PAGEREF _Toc27495 \h </w:instrText>
          </w:r>
          <w:r>
            <w:fldChar w:fldCharType="separate"/>
          </w:r>
          <w:r>
            <w:t>29</w:t>
          </w:r>
          <w:r>
            <w:fldChar w:fldCharType="end"/>
          </w:r>
          <w:r>
            <w:fldChar w:fldCharType="end"/>
          </w:r>
        </w:p>
        <w:p w14:paraId="7EA00D2E">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r>
            <w:fldChar w:fldCharType="begin"/>
          </w:r>
          <w:r>
            <w:instrText xml:space="preserve"> HYPERLINK \l _Toc11809 </w:instrText>
          </w:r>
          <w:r>
            <w:fldChar w:fldCharType="separate"/>
          </w:r>
          <w:r>
            <w:rPr>
              <w:rFonts w:hint="eastAsia" w:ascii="黑体" w:hAnsi="黑体" w:eastAsia="黑体" w:cs="黑体"/>
              <w:bCs w:val="0"/>
              <w:szCs w:val="32"/>
              <w:highlight w:val="none"/>
            </w:rPr>
            <w:t>第五章  响应文件构成及格式</w:t>
          </w:r>
          <w:r>
            <w:tab/>
          </w:r>
          <w:r>
            <w:fldChar w:fldCharType="begin"/>
          </w:r>
          <w:r>
            <w:instrText xml:space="preserve"> PAGEREF _Toc11809 \h </w:instrText>
          </w:r>
          <w:r>
            <w:fldChar w:fldCharType="separate"/>
          </w:r>
          <w:r>
            <w:t>32</w:t>
          </w:r>
          <w:r>
            <w:fldChar w:fldCharType="end"/>
          </w:r>
          <w:r>
            <w:fldChar w:fldCharType="end"/>
          </w:r>
        </w:p>
        <w:p w14:paraId="287FBE20">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pPr>
        </w:p>
        <w:p w14:paraId="5F1AFF1C">
          <w:pPr>
            <w:keepNext w:val="0"/>
            <w:keepLines w:val="0"/>
            <w:pageBreakBefore w:val="0"/>
            <w:widowControl/>
            <w:kinsoku/>
            <w:wordWrap/>
            <w:overflowPunct/>
            <w:topLinePunct w:val="0"/>
            <w:autoSpaceDE/>
            <w:autoSpaceDN/>
            <w:bidi w:val="0"/>
            <w:adjustRightInd/>
            <w:snapToGrid/>
            <w:spacing w:line="560" w:lineRule="exact"/>
            <w:textAlignment w:val="auto"/>
          </w:pPr>
          <w:r>
            <w:fldChar w:fldCharType="end"/>
          </w:r>
        </w:p>
      </w:sdtContent>
    </w:sdt>
    <w:p w14:paraId="494937B2">
      <w:pPr>
        <w:pStyle w:val="18"/>
        <w:keepNext w:val="0"/>
        <w:keepLines w:val="0"/>
        <w:pageBreakBefore w:val="0"/>
        <w:widowControl/>
        <w:tabs>
          <w:tab w:val="right" w:leader="dot" w:pos="9354"/>
        </w:tabs>
        <w:kinsoku/>
        <w:wordWrap/>
        <w:overflowPunct/>
        <w:topLinePunct w:val="0"/>
        <w:autoSpaceDE/>
        <w:autoSpaceDN/>
        <w:bidi w:val="0"/>
        <w:adjustRightInd/>
        <w:snapToGrid/>
        <w:spacing w:line="560" w:lineRule="exact"/>
        <w:textAlignment w:val="auto"/>
        <w:rPr>
          <w:rFonts w:eastAsia="仿宋"/>
          <w:highlight w:val="none"/>
        </w:rPr>
        <w:sectPr>
          <w:headerReference r:id="rId6" w:type="first"/>
          <w:headerReference r:id="rId5" w:type="default"/>
          <w:pgSz w:w="11906" w:h="16838"/>
          <w:pgMar w:top="1440" w:right="1276" w:bottom="1440" w:left="1276" w:header="850" w:footer="992" w:gutter="0"/>
          <w:pgNumType w:start="1"/>
          <w:cols w:space="0" w:num="1"/>
          <w:titlePg/>
          <w:docGrid w:type="linesAndChars" w:linePitch="387" w:charSpace="704"/>
        </w:sectPr>
      </w:pP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5132F032">
      <w:pPr>
        <w:pStyle w:val="3"/>
        <w:pageBreakBefore w:val="0"/>
        <w:kinsoku/>
        <w:wordWrap/>
        <w:overflowPunct/>
        <w:topLinePunct w:val="0"/>
        <w:autoSpaceDE/>
        <w:autoSpaceDN/>
        <w:bidi w:val="0"/>
        <w:spacing w:beforeAutospacing="0" w:afterAutospacing="0" w:line="560" w:lineRule="exact"/>
        <w:ind w:firstLine="646" w:firstLineChars="200"/>
        <w:textAlignment w:val="auto"/>
        <w:rPr>
          <w:rFonts w:ascii="黑体" w:hAnsi="黑体" w:eastAsia="黑体" w:cs="黑体"/>
          <w:b w:val="0"/>
          <w:bCs w:val="0"/>
          <w:sz w:val="32"/>
          <w:szCs w:val="32"/>
          <w:highlight w:val="none"/>
        </w:rPr>
      </w:pPr>
      <w:bookmarkStart w:id="0" w:name="_Toc25476"/>
      <w:bookmarkStart w:id="1" w:name="_Toc14374"/>
      <w:bookmarkStart w:id="2" w:name="_Toc14485"/>
      <w:bookmarkStart w:id="3" w:name="_Toc28681218"/>
      <w:bookmarkStart w:id="4" w:name="_Toc6919"/>
      <w:bookmarkStart w:id="5" w:name="_Toc24599"/>
      <w:bookmarkStart w:id="6" w:name="_Toc4982"/>
      <w:bookmarkStart w:id="7" w:name="_Toc22228"/>
      <w:bookmarkStart w:id="8" w:name="_Toc31061"/>
      <w:bookmarkStart w:id="9" w:name="_Toc4028"/>
      <w:bookmarkStart w:id="10" w:name="_Toc442"/>
      <w:bookmarkStart w:id="11" w:name="_Toc18805"/>
      <w:bookmarkStart w:id="12" w:name="_Toc4637"/>
      <w:bookmarkStart w:id="13" w:name="_Toc32653"/>
      <w:bookmarkStart w:id="14" w:name="_Toc30782"/>
      <w:bookmarkStart w:id="15" w:name="_Toc26494"/>
      <w:bookmarkStart w:id="16" w:name="_Toc13247"/>
      <w:bookmarkStart w:id="17" w:name="_Toc28681219"/>
      <w:bookmarkStart w:id="18" w:name="_Toc10005"/>
      <w:bookmarkStart w:id="19" w:name="_Toc5884"/>
      <w:bookmarkStart w:id="20" w:name="_Toc766"/>
      <w:bookmarkStart w:id="21" w:name="_Toc25654"/>
      <w:bookmarkStart w:id="22" w:name="_Toc20868"/>
      <w:bookmarkStart w:id="23" w:name="_Toc4886"/>
      <w:bookmarkStart w:id="24" w:name="_Toc13747"/>
      <w:bookmarkStart w:id="25" w:name="_Toc32688"/>
      <w:bookmarkStart w:id="26" w:name="_Toc794"/>
      <w:bookmarkStart w:id="27" w:name="_Toc268"/>
      <w:bookmarkStart w:id="28" w:name="_Toc18338"/>
      <w:r>
        <w:rPr>
          <w:rFonts w:hint="eastAsia" w:ascii="黑体" w:hAnsi="黑体" w:eastAsia="黑体" w:cs="黑体"/>
          <w:b w:val="0"/>
          <w:bCs w:val="0"/>
          <w:sz w:val="32"/>
          <w:szCs w:val="32"/>
          <w:highlight w:val="none"/>
        </w:rPr>
        <w:t>第一章  单一来源采购通知书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C31BBF4">
      <w:pPr>
        <w:pageBreakBefore w:val="0"/>
        <w:kinsoku/>
        <w:wordWrap/>
        <w:overflowPunct/>
        <w:topLinePunct w:val="0"/>
        <w:autoSpaceDE/>
        <w:autoSpaceDN/>
        <w:bidi w:val="0"/>
        <w:spacing w:beforeAutospacing="0" w:afterAutospacing="0"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陕西中发项目管理发展有限公司</w:t>
      </w:r>
      <w:r>
        <w:rPr>
          <w:rFonts w:hint="eastAsia" w:ascii="仿宋_GB2312" w:hAnsi="仿宋_GB2312" w:eastAsia="仿宋_GB2312" w:cs="仿宋_GB2312"/>
          <w:highlight w:val="none"/>
        </w:rPr>
        <w:t>受</w:t>
      </w:r>
      <w:r>
        <w:rPr>
          <w:rFonts w:hint="eastAsia" w:ascii="仿宋_GB2312" w:hAnsi="仿宋_GB2312" w:eastAsia="仿宋_GB2312" w:cs="仿宋_GB2312"/>
          <w:b/>
          <w:highlight w:val="none"/>
          <w:lang w:eastAsia="zh-CN"/>
        </w:rPr>
        <w:t>陕西省公共资源交易中心</w:t>
      </w:r>
      <w:r>
        <w:rPr>
          <w:rFonts w:hint="eastAsia" w:ascii="仿宋_GB2312" w:hAnsi="仿宋_GB2312" w:eastAsia="仿宋_GB2312" w:cs="仿宋_GB2312"/>
          <w:highlight w:val="none"/>
        </w:rPr>
        <w:t>的委托，经政府采购管理部门批准，按照政府采购程序，对</w:t>
      </w:r>
      <w:r>
        <w:rPr>
          <w:rFonts w:hint="eastAsia" w:ascii="仿宋_GB2312" w:hAnsi="仿宋_GB2312" w:eastAsia="仿宋_GB2312" w:cs="仿宋_GB2312"/>
          <w:b/>
          <w:highlight w:val="none"/>
          <w:lang w:eastAsia="zh-CN"/>
        </w:rPr>
        <w:t>2025年度工程建设及相关系统运维服务项目</w:t>
      </w:r>
      <w:r>
        <w:rPr>
          <w:rFonts w:hint="eastAsia" w:ascii="仿宋_GB2312" w:hAnsi="仿宋_GB2312" w:eastAsia="仿宋_GB2312" w:cs="仿宋_GB2312"/>
          <w:b/>
          <w:bCs/>
          <w:highlight w:val="none"/>
        </w:rPr>
        <w:t>项目</w:t>
      </w:r>
      <w:r>
        <w:rPr>
          <w:rFonts w:hint="eastAsia" w:ascii="仿宋_GB2312" w:hAnsi="仿宋_GB2312" w:eastAsia="仿宋_GB2312" w:cs="仿宋_GB2312"/>
          <w:highlight w:val="none"/>
        </w:rPr>
        <w:t>进行</w:t>
      </w:r>
      <w:r>
        <w:rPr>
          <w:rFonts w:hint="eastAsia" w:ascii="仿宋_GB2312" w:hAnsi="仿宋_GB2312" w:eastAsia="仿宋_GB2312" w:cs="仿宋_GB2312"/>
          <w:b/>
          <w:bCs/>
          <w:highlight w:val="none"/>
        </w:rPr>
        <w:t>单一来源</w:t>
      </w:r>
      <w:r>
        <w:rPr>
          <w:rFonts w:hint="eastAsia" w:ascii="仿宋_GB2312" w:hAnsi="仿宋_GB2312" w:eastAsia="仿宋_GB2312" w:cs="仿宋_GB2312"/>
          <w:highlight w:val="none"/>
        </w:rPr>
        <w:t>采购，现将采购活动有关事宜通知如下：</w:t>
      </w:r>
    </w:p>
    <w:p w14:paraId="2D4EF6E0">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t>一、项目名称</w:t>
      </w:r>
      <w:r>
        <w:rPr>
          <w:rFonts w:hint="eastAsia" w:ascii="仿宋_GB2312" w:hAnsi="仿宋_GB2312" w:eastAsia="仿宋_GB2312" w:cs="仿宋_GB2312"/>
          <w:highlight w:val="none"/>
        </w:rPr>
        <w:t>：</w:t>
      </w:r>
      <w:r>
        <w:rPr>
          <w:rFonts w:hint="eastAsia" w:ascii="仿宋_GB2312" w:hAnsi="仿宋_GB2312" w:eastAsia="仿宋_GB2312" w:cs="仿宋_GB2312"/>
          <w:b/>
          <w:highlight w:val="none"/>
          <w:lang w:eastAsia="zh-CN"/>
        </w:rPr>
        <w:t>2025年度工程建设及相关系统运维服务项目</w:t>
      </w:r>
    </w:p>
    <w:p w14:paraId="42CE5011">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highlight w:val="none"/>
          <w:lang w:eastAsia="zh-CN"/>
        </w:rPr>
      </w:pPr>
      <w:bookmarkStart w:id="29" w:name="_Toc18681_WPSOffice_Level2"/>
      <w:bookmarkStart w:id="30" w:name="_Toc14211_WPSOffice_Level2"/>
      <w:bookmarkStart w:id="31" w:name="_Toc18042_WPSOffice_Level2"/>
      <w:bookmarkStart w:id="32" w:name="_Toc11482_WPSOffice_Level2"/>
      <w:bookmarkStart w:id="33" w:name="_Toc19996_WPSOffice_Level2"/>
      <w:r>
        <w:rPr>
          <w:rFonts w:hint="eastAsia" w:ascii="仿宋_GB2312" w:hAnsi="仿宋_GB2312" w:eastAsia="仿宋_GB2312" w:cs="仿宋_GB2312"/>
          <w:b/>
          <w:highlight w:val="none"/>
        </w:rPr>
        <w:t>二、项目编号：</w:t>
      </w:r>
      <w:bookmarkEnd w:id="29"/>
      <w:bookmarkEnd w:id="30"/>
      <w:bookmarkEnd w:id="31"/>
      <w:bookmarkEnd w:id="32"/>
      <w:bookmarkEnd w:id="33"/>
      <w:r>
        <w:rPr>
          <w:rFonts w:hint="eastAsia" w:ascii="仿宋_GB2312" w:hAnsi="仿宋_GB2312" w:eastAsia="仿宋_GB2312" w:cs="仿宋_GB2312"/>
          <w:b/>
          <w:highlight w:val="none"/>
          <w:lang w:eastAsia="zh-CN"/>
        </w:rPr>
        <w:t>ZFFZ-2025-134</w:t>
      </w:r>
    </w:p>
    <w:p w14:paraId="56D2557F">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b/>
          <w:bCs/>
          <w:highlight w:val="none"/>
          <w:lang w:eastAsia="zh-CN"/>
        </w:rPr>
      </w:pPr>
      <w:bookmarkStart w:id="34" w:name="_Toc506_WPSOffice_Level2"/>
      <w:bookmarkStart w:id="35" w:name="_Toc477_WPSOffice_Level2"/>
      <w:bookmarkStart w:id="36" w:name="_Toc7469_WPSOffice_Level2"/>
      <w:bookmarkStart w:id="37" w:name="_Toc32724_WPSOffice_Level2"/>
      <w:bookmarkStart w:id="38" w:name="_Toc18603_WPSOffice_Level2"/>
      <w:r>
        <w:rPr>
          <w:rFonts w:hint="eastAsia" w:ascii="仿宋_GB2312" w:hAnsi="仿宋_GB2312" w:eastAsia="仿宋_GB2312" w:cs="仿宋_GB2312"/>
          <w:b/>
          <w:highlight w:val="none"/>
        </w:rPr>
        <w:t>三、采 购 人</w:t>
      </w:r>
      <w:r>
        <w:rPr>
          <w:rFonts w:hint="eastAsia" w:ascii="仿宋_GB2312" w:hAnsi="仿宋_GB2312" w:eastAsia="仿宋_GB2312" w:cs="仿宋_GB2312"/>
          <w:highlight w:val="none"/>
        </w:rPr>
        <w:t>：</w:t>
      </w:r>
      <w:bookmarkEnd w:id="34"/>
      <w:bookmarkEnd w:id="35"/>
      <w:bookmarkEnd w:id="36"/>
      <w:bookmarkEnd w:id="37"/>
      <w:bookmarkEnd w:id="38"/>
      <w:r>
        <w:rPr>
          <w:rFonts w:hint="eastAsia" w:ascii="仿宋_GB2312" w:hAnsi="仿宋_GB2312" w:eastAsia="仿宋_GB2312" w:cs="仿宋_GB2312"/>
          <w:b/>
          <w:highlight w:val="none"/>
          <w:lang w:eastAsia="zh-CN"/>
        </w:rPr>
        <w:t>陕西省公共资源交易中心</w:t>
      </w:r>
    </w:p>
    <w:p w14:paraId="3B7BE95D">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地 址：</w:t>
      </w:r>
      <w:r>
        <w:rPr>
          <w:rFonts w:hint="eastAsia" w:ascii="仿宋_GB2312" w:hAnsi="仿宋_GB2312" w:eastAsia="仿宋_GB2312" w:cs="仿宋_GB2312"/>
          <w:highlight w:val="none"/>
          <w:lang w:eastAsia="zh-CN"/>
        </w:rPr>
        <w:t>西安市碑林区长安北路14号</w:t>
      </w:r>
    </w:p>
    <w:p w14:paraId="18E06E9C">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杜菲</w:t>
      </w:r>
    </w:p>
    <w:p w14:paraId="113D04E2">
      <w:pPr>
        <w:pStyle w:val="62"/>
        <w:pageBreakBefore w:val="0"/>
        <w:kinsoku/>
        <w:wordWrap/>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联系方式：</w:t>
      </w:r>
      <w:r>
        <w:rPr>
          <w:rFonts w:hint="eastAsia" w:ascii="仿宋_GB2312" w:hAnsi="仿宋_GB2312" w:eastAsia="仿宋_GB2312" w:cs="仿宋_GB2312"/>
          <w:highlight w:val="none"/>
          <w:lang w:val="en-US" w:eastAsia="zh-CN"/>
        </w:rPr>
        <w:t>029-88661327</w:t>
      </w:r>
    </w:p>
    <w:p w14:paraId="5D54D521">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bCs/>
          <w:highlight w:val="none"/>
        </w:rPr>
      </w:pPr>
      <w:r>
        <w:rPr>
          <w:rFonts w:hint="eastAsia" w:ascii="仿宋_GB2312" w:hAnsi="仿宋_GB2312" w:eastAsia="仿宋_GB2312" w:cs="仿宋_GB2312"/>
          <w:b/>
          <w:highlight w:val="none"/>
        </w:rPr>
        <w:t>四、供 应 商</w:t>
      </w:r>
      <w:r>
        <w:rPr>
          <w:rFonts w:hint="eastAsia" w:ascii="仿宋_GB2312" w:hAnsi="仿宋_GB2312" w:eastAsia="仿宋_GB2312" w:cs="仿宋_GB2312"/>
          <w:bCs/>
          <w:highlight w:val="none"/>
        </w:rPr>
        <w:t>：</w:t>
      </w:r>
      <w:r>
        <w:rPr>
          <w:rFonts w:hint="eastAsia" w:ascii="仿宋_GB2312" w:hAnsi="仿宋_GB2312" w:eastAsia="仿宋_GB2312" w:cs="仿宋_GB2312"/>
          <w:bCs/>
          <w:highlight w:val="none"/>
          <w:lang w:val="en-US" w:eastAsia="zh-CN"/>
        </w:rPr>
        <w:t>广联达科技股份有限公司</w:t>
      </w:r>
    </w:p>
    <w:p w14:paraId="68022653">
      <w:pPr>
        <w:pStyle w:val="62"/>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 xml:space="preserve"> 地 址：北京市海淀区西北旺东路10号院东区13号楼</w:t>
      </w:r>
    </w:p>
    <w:p w14:paraId="26142992">
      <w:pPr>
        <w:pStyle w:val="62"/>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陆美</w:t>
      </w:r>
    </w:p>
    <w:p w14:paraId="17B6D452">
      <w:pPr>
        <w:pageBreakBefore w:val="0"/>
        <w:kinsoku/>
        <w:wordWrap/>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联系方式：</w:t>
      </w:r>
      <w:r>
        <w:rPr>
          <w:rFonts w:hint="eastAsia" w:ascii="仿宋_GB2312" w:hAnsi="仿宋_GB2312" w:eastAsia="仿宋_GB2312" w:cs="仿宋_GB2312"/>
          <w:highlight w:val="none"/>
          <w:lang w:val="en-US" w:eastAsia="zh-CN"/>
        </w:rPr>
        <w:t>18991110520</w:t>
      </w:r>
    </w:p>
    <w:p w14:paraId="10D86FF1">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rPr>
        <w:t>五、采购机构</w:t>
      </w:r>
      <w:r>
        <w:rPr>
          <w:rFonts w:hint="eastAsia" w:ascii="仿宋_GB2312" w:hAnsi="仿宋_GB2312" w:eastAsia="仿宋_GB2312" w:cs="仿宋_GB2312"/>
          <w:highlight w:val="none"/>
        </w:rPr>
        <w:t>：</w:t>
      </w:r>
      <w:r>
        <w:rPr>
          <w:rFonts w:hint="eastAsia" w:ascii="仿宋_GB2312" w:hAnsi="仿宋_GB2312" w:eastAsia="仿宋_GB2312" w:cs="仿宋_GB2312"/>
          <w:b/>
          <w:bCs/>
          <w:highlight w:val="none"/>
        </w:rPr>
        <w:t>陕西中发项目管理发展有限公司</w:t>
      </w:r>
    </w:p>
    <w:p w14:paraId="61050569">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 xml:space="preserve"> 地 址：</w:t>
      </w:r>
      <w:r>
        <w:rPr>
          <w:rFonts w:hint="eastAsia" w:ascii="仿宋_GB2312" w:hAnsi="仿宋_GB2312" w:eastAsia="仿宋_GB2312" w:cs="仿宋_GB2312"/>
          <w:highlight w:val="none"/>
          <w:lang w:eastAsia="zh-CN"/>
        </w:rPr>
        <w:t>陕西省西安市碑林区和平路108号佳腾大厦10901</w:t>
      </w:r>
    </w:p>
    <w:p w14:paraId="6B2659FA">
      <w:pPr>
        <w:pageBreakBefore w:val="0"/>
        <w:kinsoku/>
        <w:wordWrap/>
        <w:overflowPunct/>
        <w:topLinePunct w:val="0"/>
        <w:autoSpaceDE/>
        <w:autoSpaceDN/>
        <w:bidi w:val="0"/>
        <w:spacing w:line="560" w:lineRule="exact"/>
        <w:ind w:firstLine="566"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 xml:space="preserve"> 联 系 人：</w:t>
      </w:r>
      <w:r>
        <w:rPr>
          <w:rFonts w:hint="eastAsia" w:ascii="仿宋_GB2312" w:hAnsi="仿宋_GB2312" w:eastAsia="仿宋_GB2312" w:cs="仿宋_GB2312"/>
          <w:highlight w:val="none"/>
          <w:lang w:val="en-US" w:eastAsia="zh-CN"/>
        </w:rPr>
        <w:t>王婉思、</w:t>
      </w:r>
      <w:r>
        <w:rPr>
          <w:rFonts w:hint="eastAsia" w:ascii="仿宋_GB2312" w:hAnsi="仿宋_GB2312" w:eastAsia="仿宋_GB2312" w:cs="仿宋_GB2312"/>
          <w:highlight w:val="none"/>
        </w:rPr>
        <w:t>严程</w:t>
      </w:r>
      <w:r>
        <w:rPr>
          <w:rFonts w:hint="eastAsia" w:ascii="仿宋_GB2312" w:hAnsi="仿宋_GB2312" w:eastAsia="仿宋_GB2312" w:cs="仿宋_GB2312"/>
          <w:highlight w:val="none"/>
          <w:lang w:val="en-US" w:eastAsia="zh-CN"/>
        </w:rPr>
        <w:t>、刘超瑛</w:t>
      </w:r>
    </w:p>
    <w:p w14:paraId="3D3540D5">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 xml:space="preserve"> 联系方式：029-88660760</w:t>
      </w:r>
    </w:p>
    <w:p w14:paraId="60E15C32">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六、采购内容和要求</w:t>
      </w:r>
    </w:p>
    <w:p w14:paraId="6B0E8FA8">
      <w:pPr>
        <w:pageBreakBefore w:val="0"/>
        <w:kinsoku/>
        <w:wordWrap/>
        <w:overflowPunct/>
        <w:topLinePunct w:val="0"/>
        <w:autoSpaceDE/>
        <w:autoSpaceDN/>
        <w:bidi w:val="0"/>
        <w:spacing w:line="560" w:lineRule="exact"/>
        <w:ind w:firstLine="566" w:firstLineChars="200"/>
        <w:textAlignment w:val="auto"/>
        <w:rPr>
          <w:rFonts w:hint="eastAsia" w:ascii="仿宋" w:hAnsi="仿宋" w:eastAsia="仿宋" w:cs="华文仿宋"/>
          <w:highlight w:val="none"/>
          <w:lang w:eastAsia="zh-CN"/>
        </w:rPr>
      </w:pPr>
      <w:r>
        <w:rPr>
          <w:rFonts w:hint="eastAsia" w:ascii="仿宋" w:hAnsi="仿宋" w:eastAsia="仿宋" w:cs="华文仿宋"/>
          <w:highlight w:val="none"/>
          <w:lang w:eastAsia="zh-CN"/>
        </w:rPr>
        <w:t>陕西省公共资源交易中心工程建设及相关系统运维服务合同于2024年12月31日到期，为确保中心业务系统正常使用，准备对2025年度工程建设及相关系统运维服务进行采购</w:t>
      </w:r>
    </w:p>
    <w:p w14:paraId="2B0F11E1">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采购预算：</w:t>
      </w:r>
      <w:r>
        <w:rPr>
          <w:rFonts w:hint="eastAsia" w:ascii="仿宋_GB2312" w:hAnsi="仿宋_GB2312" w:eastAsia="仿宋_GB2312" w:cs="仿宋_GB2312"/>
          <w:highlight w:val="none"/>
          <w:lang w:val="en-US" w:eastAsia="zh-CN"/>
        </w:rPr>
        <w:t>45</w:t>
      </w:r>
      <w:r>
        <w:rPr>
          <w:rFonts w:hint="eastAsia" w:ascii="仿宋_GB2312" w:hAnsi="仿宋_GB2312" w:eastAsia="仿宋_GB2312" w:cs="仿宋_GB2312"/>
          <w:highlight w:val="none"/>
        </w:rPr>
        <w:t>万元</w:t>
      </w:r>
    </w:p>
    <w:p w14:paraId="3CD4484F">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（详见单一来源谈判文件第三章〈</w:t>
      </w:r>
      <w:r>
        <w:rPr>
          <w:rFonts w:hint="eastAsia" w:ascii="仿宋_GB2312" w:hAnsi="仿宋_GB2312" w:eastAsia="仿宋_GB2312" w:cs="仿宋_GB2312"/>
          <w:highlight w:val="none"/>
          <w:lang w:eastAsia="zh-CN"/>
        </w:rPr>
        <w:t>采购内容及采购要求</w:t>
      </w:r>
      <w:r>
        <w:rPr>
          <w:rFonts w:hint="eastAsia" w:ascii="仿宋_GB2312" w:hAnsi="仿宋_GB2312" w:eastAsia="仿宋_GB2312" w:cs="仿宋_GB2312"/>
          <w:highlight w:val="none"/>
        </w:rPr>
        <w:t>〉）</w:t>
      </w:r>
    </w:p>
    <w:p w14:paraId="37CBCFF9">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b/>
          <w:highlight w:val="none"/>
        </w:rPr>
      </w:pPr>
      <w:r>
        <w:rPr>
          <w:rFonts w:hint="eastAsia" w:ascii="仿宋" w:hAnsi="仿宋" w:eastAsia="仿宋" w:cs="华文仿宋"/>
          <w:b/>
          <w:highlight w:val="none"/>
        </w:rPr>
        <w:t>七、供应商资格要求</w:t>
      </w:r>
    </w:p>
    <w:p w14:paraId="4330696E">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符合《中华人民共和国政府采购法》第二十二条的规定，并提供下列材料：</w:t>
      </w:r>
    </w:p>
    <w:p w14:paraId="7C7EB790">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1、营业执照等主体资格证明文件：提供有效存续的企业营业执照（副本）/事业单位法人证书/专业服务机构执业许可证/民办非企业单位登记证书。</w:t>
      </w:r>
    </w:p>
    <w:p w14:paraId="345435BD">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2、财务状况报告：</w:t>
      </w:r>
      <w:r>
        <w:rPr>
          <w:rFonts w:hint="eastAsia" w:ascii="仿宋" w:hAnsi="仿宋" w:eastAsia="仿宋" w:cs="华文仿宋"/>
          <w:highlight w:val="none"/>
          <w:lang w:eastAsia="zh-CN"/>
        </w:rPr>
        <w:t>2024年度或2023年度</w:t>
      </w:r>
      <w:r>
        <w:rPr>
          <w:rFonts w:hint="eastAsia" w:ascii="仿宋" w:hAnsi="仿宋" w:eastAsia="仿宋" w:cs="华文仿宋"/>
          <w:highlight w:val="none"/>
        </w:rPr>
        <w:t>经审计的财务会计报告（包括审计报告、资产负债表、利润表、现金流量表、所有者权益变动表及其附注</w:t>
      </w:r>
      <w:r>
        <w:rPr>
          <w:rFonts w:hint="eastAsia" w:ascii="仿宋" w:hAnsi="仿宋" w:eastAsia="仿宋" w:cs="华文仿宋"/>
          <w:highlight w:val="none"/>
          <w:lang w:val="en-US" w:eastAsia="zh-CN"/>
        </w:rPr>
        <w:t>,</w:t>
      </w:r>
      <w:r>
        <w:rPr>
          <w:rFonts w:hint="eastAsia" w:ascii="仿宋" w:hAnsi="仿宋" w:eastAsia="仿宋" w:cs="华文仿宋"/>
          <w:highlight w:val="none"/>
        </w:rPr>
        <w:t>成立时间至提交响应文件截止时间不足一年的可提供成立后任意时段的资产负债表）</w:t>
      </w:r>
      <w:r>
        <w:rPr>
          <w:rFonts w:hint="eastAsia" w:ascii="仿宋" w:hAnsi="仿宋" w:eastAsia="仿宋" w:cs="华文仿宋"/>
          <w:highlight w:val="none"/>
          <w:lang w:val="en-US" w:eastAsia="zh-CN"/>
        </w:rPr>
        <w:t>;</w:t>
      </w:r>
      <w:r>
        <w:rPr>
          <w:rFonts w:hint="eastAsia" w:ascii="仿宋" w:hAnsi="仿宋" w:eastAsia="仿宋" w:cs="华文仿宋"/>
          <w:highlight w:val="none"/>
        </w:rPr>
        <w:t>或其开标前三个月内基本存款账户开户银行出具的资信证明</w:t>
      </w:r>
      <w:r>
        <w:rPr>
          <w:rFonts w:hint="eastAsia" w:ascii="仿宋" w:hAnsi="仿宋" w:eastAsia="仿宋" w:cs="华文仿宋"/>
          <w:highlight w:val="none"/>
          <w:lang w:val="en-US" w:eastAsia="zh-CN"/>
        </w:rPr>
        <w:t>;</w:t>
      </w:r>
      <w:r>
        <w:rPr>
          <w:rFonts w:hint="eastAsia" w:ascii="仿宋" w:hAnsi="仿宋" w:eastAsia="仿宋" w:cs="华文仿宋"/>
          <w:highlight w:val="none"/>
        </w:rPr>
        <w:t>或信用担保机构出具的投标担保函。（以上三种形式的资料提供任何一种即可）。</w:t>
      </w:r>
    </w:p>
    <w:p w14:paraId="35173472">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3、社保缴纳证明：提供已缴存的近一年以来至少一个月的社会保障资金缴存单据或社保机构开具的社会保险参保缴费情况证明。依法不需要缴纳社会保障资金的供应商应提供相关文件证明。</w:t>
      </w:r>
    </w:p>
    <w:p w14:paraId="65FD9067">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4、税收缴纳证明：提供已缴纳的近一年以来以来至少一个月的纳税证明或完税证明（提供增值税、企业所得税至少一种），纳税证明或完税证明上应有代收机构或税务机关的公章或业务专用章。依法免税的供应商应提供相关文件证明。</w:t>
      </w:r>
    </w:p>
    <w:p w14:paraId="174E3C21">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5、书面声明（信用记录）：参加本次政府采购活动前3年内在经营活动中没有重大违纪，以及未被列入失信被执行人、重大税收违法案件当事人名单、政府采购严重违法失信行为记录名单的书面声明。</w:t>
      </w:r>
    </w:p>
    <w:p w14:paraId="48E97407">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6、法定代表人授权委托书：法定代表人参加投标的，须提供本人身份证复印件（附在资格证明文件中）；法定代表人授权他人参加投标的，须提供法定代表人授权委托书。谈判文件中凡是需要法定代表人盖章之处，非法人单位的负责人均参照执行。</w:t>
      </w:r>
    </w:p>
    <w:p w14:paraId="2A47D470">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7、本项目不接受联合体响应，不允许分包。供应商提供《非联合体不分包投标声明》，视为独立投标，不分包。</w:t>
      </w:r>
    </w:p>
    <w:p w14:paraId="15D86A8B">
      <w:pPr>
        <w:pageBreakBefore w:val="0"/>
        <w:widowControl w:val="0"/>
        <w:kinsoku/>
        <w:wordWrap/>
        <w:overflowPunct/>
        <w:topLinePunct w:val="0"/>
        <w:autoSpaceDE/>
        <w:autoSpaceDN/>
        <w:bidi w:val="0"/>
        <w:spacing w:line="560" w:lineRule="exact"/>
        <w:ind w:firstLine="426"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上资格要求均为必备资格，缺少其中任何一项，其响应文件视为无效文件。《供应商信用记录书面声明函》、《法定代表人授权委托书》《非联合体不分包投标声明》、《书面声明》应按谈判文件第五章第一部分给定的格式填写。</w:t>
      </w:r>
    </w:p>
    <w:p w14:paraId="29A07EFA">
      <w:pPr>
        <w:pageBreakBefore w:val="0"/>
        <w:kinsoku/>
        <w:wordWrap/>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响应文件正本中的</w:t>
      </w:r>
      <w:r>
        <w:rPr>
          <w:rFonts w:hint="eastAsia" w:ascii="宋体" w:hAnsi="宋体" w:eastAsia="宋体" w:cs="宋体"/>
          <w:b/>
          <w:bCs/>
          <w:sz w:val="21"/>
          <w:szCs w:val="21"/>
          <w:highlight w:val="none"/>
        </w:rPr>
        <w:t>《供应商书面声明函》、《法定代表人授权委托书》必须附原件</w:t>
      </w:r>
      <w:r>
        <w:rPr>
          <w:rFonts w:hint="eastAsia" w:ascii="宋体" w:hAnsi="宋体" w:eastAsia="宋体" w:cs="宋体"/>
          <w:sz w:val="21"/>
          <w:szCs w:val="21"/>
          <w:highlight w:val="none"/>
        </w:rPr>
        <w:t>，其他资格证明文件提供复印件并加盖供应商公章（原件自带，以备查验）；响应文件副本中的全部资格证明文件仅需提供复印件。</w:t>
      </w:r>
    </w:p>
    <w:p w14:paraId="0B20C486">
      <w:pPr>
        <w:pageBreakBefore w:val="0"/>
        <w:kinsoku/>
        <w:wordWrap/>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分支机构参与投标时，响应文件中应附法人出具的授权书。法人只能授权一家分支机构参与投标，且不能与分支机构同时参与投标。分支机构须提供自己的资格要求证明文件。</w:t>
      </w:r>
    </w:p>
    <w:p w14:paraId="74A284FF">
      <w:pPr>
        <w:pageBreakBefore w:val="0"/>
        <w:kinsoku/>
        <w:wordWrap/>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事业单位法人参与投标可不提供财务状况报告和社会保障资金缴纳证明及税收缴纳证明。</w:t>
      </w:r>
    </w:p>
    <w:p w14:paraId="673E67F1">
      <w:pPr>
        <w:pageBreakBefore w:val="0"/>
        <w:kinsoku/>
        <w:wordWrap/>
        <w:overflowPunct/>
        <w:topLinePunct w:val="0"/>
        <w:autoSpaceDE/>
        <w:autoSpaceDN/>
        <w:bidi w:val="0"/>
        <w:spacing w:line="56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单位负责人为同一人或存在直接控股、管理关系的不同单位，不得同时参加本项目投标活动。</w:t>
      </w:r>
    </w:p>
    <w:p w14:paraId="21A3A094">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b/>
          <w:highlight w:val="none"/>
        </w:rPr>
      </w:pPr>
      <w:r>
        <w:rPr>
          <w:rFonts w:hint="eastAsia" w:ascii="仿宋" w:hAnsi="仿宋" w:eastAsia="仿宋" w:cs="华文仿宋"/>
          <w:b/>
          <w:highlight w:val="none"/>
        </w:rPr>
        <w:t>八、执行的其他政府采购政策</w:t>
      </w:r>
    </w:p>
    <w:p w14:paraId="045294C0">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1、《关于在政府采购活动中查询及使用信用记录有关问题的通知》（财库〔2016〕125号）。</w:t>
      </w:r>
    </w:p>
    <w:p w14:paraId="03393D56">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2、《政府采购促进中小企业发展暂行办法》（财库〔2011〕181号）、《关于政府采购支持监狱企业发展有关问题的通知》（财库〔2014〕68号）以及《关于促进残疾人就业政府采购政策的通知》（财库〔2017〕141号）。</w:t>
      </w:r>
    </w:p>
    <w:p w14:paraId="134001BC">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14BDD99A">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4、详见《供应商须知》中“落实的政府采购政策”有关内容。</w:t>
      </w:r>
    </w:p>
    <w:p w14:paraId="6A5CBD12">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九、</w:t>
      </w:r>
      <w:bookmarkStart w:id="39" w:name="_Toc21797_WPSOffice_Level2"/>
      <w:r>
        <w:rPr>
          <w:rFonts w:hint="eastAsia" w:ascii="仿宋_GB2312" w:hAnsi="仿宋_GB2312" w:eastAsia="仿宋_GB2312" w:cs="仿宋_GB2312"/>
          <w:b/>
          <w:highlight w:val="none"/>
        </w:rPr>
        <w:t>获取谈判文件的时间及方式</w:t>
      </w:r>
    </w:p>
    <w:p w14:paraId="3E4CE745">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请于2025-10-21至2025-10-24登录全国公共资源交易平台（陕西省）（http：//www.sxggzyjy.cn/），选择“电子交易平台—政府采购交易系统”进行登录，登录后进入供应商界面后，选择有意向的项目点击“我要投标”，参与投标活动。然后即可在〖我的项目〗中点击“项目流程&gt;交易文件下载”免费下载电子谈判文件。</w:t>
      </w:r>
    </w:p>
    <w:p w14:paraId="42A7180C">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初次使用交易平台，须先完成诚信入库登记、数字认证证书（CA锁）认证及企业信息绑定。</w:t>
      </w:r>
    </w:p>
    <w:p w14:paraId="21CE26D6">
      <w:pPr>
        <w:pageBreakBefore w:val="0"/>
        <w:kinsoku/>
        <w:wordWrap/>
        <w:overflowPunct/>
        <w:topLinePunct w:val="0"/>
        <w:autoSpaceDE/>
        <w:autoSpaceDN/>
        <w:bidi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数字认证证书（CA锁）办理流程可参照全国公共资源交易平台（陕西省）（http://www.sxggzyjy.cn/）</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选择“</w:t>
      </w:r>
      <w:r>
        <w:rPr>
          <w:rFonts w:hint="eastAsia" w:ascii="仿宋_GB2312" w:hAnsi="仿宋_GB2312" w:eastAsia="仿宋_GB2312" w:cs="仿宋_GB2312"/>
          <w:highlight w:val="none"/>
        </w:rPr>
        <w:t>服务指南—下载专区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陕西省公共资源多CA办理须知</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咨询电话：029-88661241</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rPr>
        <w:t>4006369888</w:t>
      </w:r>
      <w:r>
        <w:rPr>
          <w:rFonts w:hint="eastAsia" w:ascii="仿宋_GB2312" w:hAnsi="仿宋_GB2312" w:eastAsia="仿宋_GB2312" w:cs="仿宋_GB2312"/>
          <w:highlight w:val="none"/>
          <w:lang w:eastAsia="zh-CN"/>
        </w:rPr>
        <w:t>。</w:t>
      </w:r>
    </w:p>
    <w:p w14:paraId="78D8B559">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zh-CN"/>
        </w:rPr>
        <w:t>十、</w:t>
      </w:r>
      <w:bookmarkEnd w:id="39"/>
      <w:r>
        <w:rPr>
          <w:rFonts w:hint="eastAsia" w:ascii="仿宋_GB2312" w:hAnsi="仿宋_GB2312" w:eastAsia="仿宋_GB2312" w:cs="仿宋_GB2312"/>
          <w:b/>
          <w:highlight w:val="none"/>
        </w:rPr>
        <w:t>交纳谈判保证金</w:t>
      </w:r>
    </w:p>
    <w:p w14:paraId="2F6BE133">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bCs/>
          <w:highlight w:val="none"/>
        </w:rPr>
      </w:pPr>
      <w:r>
        <w:rPr>
          <w:rFonts w:hint="eastAsia" w:ascii="仿宋_GB2312" w:hAnsi="仿宋_GB2312" w:eastAsia="仿宋_GB2312" w:cs="仿宋_GB2312"/>
          <w:bCs/>
          <w:highlight w:val="none"/>
        </w:rPr>
        <w:t>本项目不收取保证金</w:t>
      </w:r>
    </w:p>
    <w:p w14:paraId="49CC680D">
      <w:pPr>
        <w:pageBreakBefore w:val="0"/>
        <w:kinsoku/>
        <w:wordWrap/>
        <w:overflowPunct/>
        <w:topLinePunct w:val="0"/>
        <w:autoSpaceDE/>
        <w:autoSpaceDN/>
        <w:bidi w:val="0"/>
        <w:spacing w:line="560" w:lineRule="exact"/>
        <w:ind w:firstLine="566"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rPr>
        <w:t>十一、提交响应文件截止时间及谈判时间和地点</w:t>
      </w:r>
    </w:p>
    <w:p w14:paraId="69438D24">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1、提交响应文件份数：纸质投标文件递交</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正本一份，</w:t>
      </w:r>
      <w:r>
        <w:rPr>
          <w:rFonts w:hint="eastAsia" w:ascii="仿宋_GB2312" w:hAnsi="仿宋_GB2312" w:eastAsia="仿宋_GB2312" w:cs="仿宋_GB2312"/>
          <w:highlight w:val="none"/>
          <w:lang w:eastAsia="zh-CN"/>
        </w:rPr>
        <w:t>副本二份</w:t>
      </w:r>
      <w:r>
        <w:rPr>
          <w:rFonts w:hint="eastAsia" w:ascii="仿宋_GB2312" w:hAnsi="仿宋_GB2312" w:eastAsia="仿宋_GB2312" w:cs="仿宋_GB2312"/>
          <w:highlight w:val="none"/>
        </w:rPr>
        <w:t>，电子文件u盘一份</w:t>
      </w:r>
    </w:p>
    <w:p w14:paraId="641E3351">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2、提交响应文件截止时间：</w:t>
      </w:r>
      <w:r>
        <w:rPr>
          <w:rFonts w:hint="eastAsia" w:ascii="仿宋_GB2312" w:hAnsi="仿宋_GB2312" w:eastAsia="仿宋_GB2312" w:cs="仿宋_GB2312"/>
          <w:highlight w:val="none"/>
          <w:lang w:eastAsia="zh-CN"/>
        </w:rPr>
        <w:t>2025年</w:t>
      </w:r>
      <w:r>
        <w:rPr>
          <w:rFonts w:hint="eastAsia" w:ascii="仿宋_GB2312" w:hAnsi="仿宋_GB2312" w:eastAsia="仿宋_GB2312" w:cs="仿宋_GB2312"/>
          <w:highlight w:val="none"/>
          <w:lang w:val="en-US" w:eastAsia="zh-CN"/>
        </w:rPr>
        <w:t>10月27日09</w:t>
      </w:r>
      <w:r>
        <w:rPr>
          <w:rFonts w:hint="eastAsia" w:ascii="仿宋_GB2312" w:hAnsi="仿宋_GB2312" w:eastAsia="仿宋_GB2312" w:cs="仿宋_GB2312"/>
          <w:highlight w:val="none"/>
          <w:lang w:eastAsia="zh-CN"/>
        </w:rPr>
        <w:t>:30</w:t>
      </w:r>
      <w:bookmarkStart w:id="621" w:name="_GoBack"/>
      <w:bookmarkEnd w:id="621"/>
    </w:p>
    <w:p w14:paraId="0F21FDF3">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开标</w:t>
      </w:r>
      <w:r>
        <w:rPr>
          <w:rFonts w:hint="eastAsia" w:ascii="仿宋_GB2312" w:hAnsi="仿宋_GB2312" w:eastAsia="仿宋_GB2312" w:cs="仿宋_GB2312"/>
          <w:highlight w:val="none"/>
        </w:rPr>
        <w:t>时间：</w:t>
      </w:r>
      <w:r>
        <w:rPr>
          <w:rFonts w:hint="eastAsia" w:ascii="仿宋_GB2312" w:hAnsi="仿宋_GB2312" w:eastAsia="仿宋_GB2312" w:cs="仿宋_GB2312"/>
          <w:highlight w:val="none"/>
          <w:lang w:val="en-US" w:eastAsia="zh-CN"/>
        </w:rPr>
        <w:t>同提交响应文件截止时间</w:t>
      </w:r>
    </w:p>
    <w:p w14:paraId="2B225B18">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4、开标地点：</w:t>
      </w:r>
      <w:r>
        <w:rPr>
          <w:rFonts w:hint="eastAsia" w:ascii="仿宋_GB2312" w:hAnsi="仿宋_GB2312" w:eastAsia="仿宋_GB2312" w:cs="仿宋_GB2312"/>
          <w:highlight w:val="none"/>
          <w:lang w:val="en-US" w:eastAsia="zh-CN"/>
        </w:rPr>
        <w:t>陕西省公共资源交易中心开标室309室。</w:t>
      </w:r>
    </w:p>
    <w:p w14:paraId="3AD86098">
      <w:pPr>
        <w:pageBreakBefore w:val="0"/>
        <w:kinsoku/>
        <w:wordWrap/>
        <w:overflowPunct/>
        <w:topLinePunct w:val="0"/>
        <w:autoSpaceDE/>
        <w:autoSpaceDN/>
        <w:bidi w:val="0"/>
        <w:adjustRightInd w:val="0"/>
        <w:snapToGrid w:val="0"/>
        <w:spacing w:line="560" w:lineRule="exact"/>
        <w:ind w:firstLine="566" w:firstLineChars="200"/>
        <w:textAlignment w:val="auto"/>
        <w:rPr>
          <w:rFonts w:hint="eastAsia" w:ascii="仿宋_GB2312" w:hAnsi="仿宋_GB2312" w:eastAsia="仿宋_GB2312" w:cs="仿宋_GB2312"/>
          <w:b/>
          <w:highlight w:val="none"/>
        </w:rPr>
      </w:pPr>
      <w:r>
        <w:rPr>
          <w:rFonts w:hint="eastAsia" w:ascii="仿宋_GB2312" w:hAnsi="仿宋_GB2312" w:eastAsia="仿宋_GB2312" w:cs="仿宋_GB2312"/>
          <w:b/>
          <w:kern w:val="0"/>
          <w:highlight w:val="none"/>
        </w:rPr>
        <w:t>十二、</w:t>
      </w:r>
      <w:r>
        <w:rPr>
          <w:rFonts w:hint="eastAsia" w:ascii="仿宋_GB2312" w:hAnsi="仿宋_GB2312" w:eastAsia="仿宋_GB2312" w:cs="仿宋_GB2312"/>
          <w:b/>
          <w:highlight w:val="none"/>
        </w:rPr>
        <w:t>其他补充事宜</w:t>
      </w:r>
    </w:p>
    <w:p w14:paraId="0FB8A585">
      <w:pPr>
        <w:pageBreakBefore w:val="0"/>
        <w:kinsoku/>
        <w:wordWrap/>
        <w:overflowPunct/>
        <w:topLinePunct w:val="0"/>
        <w:autoSpaceDE/>
        <w:autoSpaceDN/>
        <w:bidi w:val="0"/>
        <w:spacing w:line="560" w:lineRule="exact"/>
        <w:ind w:firstLine="566" w:firstLineChars="200"/>
        <w:textAlignment w:val="auto"/>
        <w:rPr>
          <w:rFonts w:ascii="仿宋" w:hAnsi="仿宋" w:eastAsia="仿宋" w:cs="华文仿宋"/>
          <w:kern w:val="0"/>
          <w:highlight w:val="none"/>
        </w:rPr>
      </w:pPr>
      <w:r>
        <w:rPr>
          <w:rFonts w:hint="eastAsia" w:ascii="仿宋" w:hAnsi="仿宋" w:eastAsia="仿宋" w:cs="华文仿宋"/>
          <w:kern w:val="0"/>
          <w:highlight w:val="none"/>
          <w:lang w:val="en-US" w:eastAsia="zh-CN"/>
        </w:rPr>
        <w:t>无。</w:t>
      </w:r>
      <w:r>
        <w:rPr>
          <w:rFonts w:hint="eastAsia" w:ascii="仿宋" w:hAnsi="仿宋" w:eastAsia="仿宋" w:cs="华文仿宋"/>
          <w:kern w:val="0"/>
          <w:highlight w:val="none"/>
        </w:rPr>
        <w:br w:type="page"/>
      </w:r>
    </w:p>
    <w:p w14:paraId="31E322B8">
      <w:pPr>
        <w:pStyle w:val="3"/>
        <w:pageBreakBefore w:val="0"/>
        <w:kinsoku/>
        <w:overflowPunct/>
        <w:topLinePunct w:val="0"/>
        <w:autoSpaceDE/>
        <w:autoSpaceDN/>
        <w:bidi w:val="0"/>
        <w:spacing w:line="560" w:lineRule="exact"/>
        <w:ind w:firstLine="646" w:firstLineChars="200"/>
        <w:textAlignment w:val="auto"/>
        <w:rPr>
          <w:rFonts w:ascii="黑体" w:hAnsi="黑体" w:eastAsia="黑体" w:cs="黑体"/>
          <w:b w:val="0"/>
          <w:bCs w:val="0"/>
          <w:sz w:val="32"/>
          <w:szCs w:val="32"/>
          <w:highlight w:val="none"/>
        </w:rPr>
      </w:pPr>
      <w:bookmarkStart w:id="40" w:name="_Toc19538"/>
      <w:bookmarkStart w:id="41" w:name="_Toc31579"/>
      <w:bookmarkStart w:id="42" w:name="_Toc30916"/>
      <w:bookmarkStart w:id="43" w:name="_Toc3053"/>
      <w:r>
        <w:rPr>
          <w:rFonts w:hint="eastAsia" w:ascii="黑体" w:hAnsi="黑体" w:eastAsia="黑体" w:cs="黑体"/>
          <w:b w:val="0"/>
          <w:bCs w:val="0"/>
          <w:sz w:val="32"/>
          <w:szCs w:val="32"/>
          <w:highlight w:val="none"/>
        </w:rPr>
        <w:t>第二章  供应商须知</w:t>
      </w:r>
      <w:bookmarkEnd w:id="17"/>
      <w:bookmarkEnd w:id="18"/>
      <w:bookmarkEnd w:id="19"/>
      <w:bookmarkEnd w:id="20"/>
      <w:bookmarkEnd w:id="21"/>
      <w:bookmarkEnd w:id="22"/>
      <w:bookmarkEnd w:id="23"/>
      <w:bookmarkEnd w:id="24"/>
      <w:bookmarkEnd w:id="25"/>
      <w:bookmarkEnd w:id="26"/>
      <w:bookmarkEnd w:id="27"/>
      <w:bookmarkEnd w:id="28"/>
      <w:bookmarkEnd w:id="40"/>
      <w:bookmarkEnd w:id="41"/>
      <w:bookmarkEnd w:id="42"/>
      <w:bookmarkEnd w:id="43"/>
    </w:p>
    <w:p w14:paraId="2D5F0F50">
      <w:pPr>
        <w:pStyle w:val="4"/>
        <w:pageBreakBefore w:val="0"/>
        <w:kinsoku/>
        <w:overflowPunct/>
        <w:topLinePunct w:val="0"/>
        <w:autoSpaceDE/>
        <w:autoSpaceDN/>
        <w:bidi w:val="0"/>
        <w:spacing w:line="560" w:lineRule="exact"/>
        <w:ind w:firstLine="566" w:firstLineChars="200"/>
        <w:textAlignment w:val="auto"/>
        <w:rPr>
          <w:highlight w:val="none"/>
        </w:rPr>
      </w:pPr>
      <w:bookmarkStart w:id="44" w:name="_Toc10473"/>
      <w:bookmarkStart w:id="45" w:name="_Toc8128"/>
      <w:bookmarkStart w:id="46" w:name="_Toc15207"/>
      <w:bookmarkStart w:id="47" w:name="_Toc2095"/>
      <w:bookmarkStart w:id="48" w:name="_Toc28681220"/>
      <w:bookmarkStart w:id="49" w:name="_Toc26992"/>
      <w:bookmarkStart w:id="50" w:name="_Toc1711"/>
      <w:bookmarkStart w:id="51" w:name="_Toc8492"/>
      <w:bookmarkStart w:id="52" w:name="_Toc8660"/>
      <w:bookmarkStart w:id="53" w:name="_Toc14529"/>
      <w:bookmarkStart w:id="54" w:name="_Toc15111"/>
      <w:bookmarkStart w:id="55" w:name="_Toc228"/>
      <w:bookmarkStart w:id="56" w:name="_Toc23077"/>
      <w:bookmarkStart w:id="57" w:name="_Toc14670"/>
      <w:r>
        <w:rPr>
          <w:rFonts w:hint="eastAsia"/>
          <w:highlight w:val="none"/>
        </w:rPr>
        <w:t>一、定义</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0C6B799">
      <w:pPr>
        <w:pageBreakBefore w:val="0"/>
        <w:kinsoku/>
        <w:overflowPunct/>
        <w:topLinePunct w:val="0"/>
        <w:autoSpaceDE/>
        <w:autoSpaceDN/>
        <w:bidi w:val="0"/>
        <w:spacing w:line="560" w:lineRule="exact"/>
        <w:ind w:firstLine="566" w:firstLineChars="200"/>
        <w:textAlignment w:val="auto"/>
        <w:rPr>
          <w:rFonts w:hint="eastAsia" w:ascii="宋体" w:hAnsi="宋体" w:eastAsia="仿宋" w:cs="宋体"/>
          <w:sz w:val="24"/>
          <w:szCs w:val="24"/>
          <w:highlight w:val="none"/>
          <w:lang w:eastAsia="zh-CN"/>
        </w:rPr>
      </w:pPr>
      <w:r>
        <w:rPr>
          <w:rFonts w:hint="eastAsia" w:ascii="仿宋" w:hAnsi="仿宋" w:eastAsia="仿宋" w:cs="仿宋"/>
          <w:highlight w:val="none"/>
        </w:rPr>
        <w:t>（一）</w:t>
      </w:r>
      <w:r>
        <w:rPr>
          <w:rFonts w:hint="eastAsia" w:ascii="仿宋" w:hAnsi="仿宋" w:eastAsia="仿宋" w:cs="仿宋"/>
          <w:b/>
          <w:bCs/>
          <w:highlight w:val="none"/>
        </w:rPr>
        <w:t>采 购 人</w:t>
      </w:r>
      <w:r>
        <w:rPr>
          <w:rFonts w:hint="eastAsia" w:ascii="仿宋" w:hAnsi="仿宋" w:eastAsia="仿宋" w:cs="仿宋"/>
          <w:highlight w:val="none"/>
        </w:rPr>
        <w:t>：</w:t>
      </w:r>
      <w:r>
        <w:rPr>
          <w:rFonts w:hint="eastAsia" w:ascii="仿宋" w:hAnsi="仿宋" w:eastAsia="仿宋" w:cs="仿宋"/>
          <w:highlight w:val="none"/>
          <w:lang w:eastAsia="zh-CN"/>
        </w:rPr>
        <w:t>陕西省公共资源交易中心</w:t>
      </w:r>
    </w:p>
    <w:p w14:paraId="06B8B455">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（二）</w:t>
      </w:r>
      <w:r>
        <w:rPr>
          <w:rFonts w:hint="eastAsia" w:ascii="仿宋" w:hAnsi="仿宋" w:eastAsia="仿宋" w:cs="仿宋"/>
          <w:b/>
          <w:bCs/>
          <w:highlight w:val="none"/>
        </w:rPr>
        <w:t>监督机构</w:t>
      </w:r>
      <w:r>
        <w:rPr>
          <w:rFonts w:hint="eastAsia" w:ascii="仿宋" w:hAnsi="仿宋" w:eastAsia="仿宋" w:cs="仿宋"/>
          <w:highlight w:val="none"/>
        </w:rPr>
        <w:t>：</w:t>
      </w:r>
      <w:r>
        <w:rPr>
          <w:rFonts w:hint="eastAsia" w:ascii="仿宋" w:hAnsi="仿宋" w:eastAsia="仿宋" w:cs="仿宋"/>
          <w:highlight w:val="none"/>
          <w:lang w:eastAsia="zh-CN"/>
        </w:rPr>
        <w:t>陕西省公共资源交易中心</w:t>
      </w:r>
    </w:p>
    <w:p w14:paraId="2A9305A7">
      <w:pPr>
        <w:pageBreakBefore w:val="0"/>
        <w:kinsoku/>
        <w:overflowPunct/>
        <w:topLinePunct w:val="0"/>
        <w:autoSpaceDE/>
        <w:autoSpaceDN/>
        <w:bidi w:val="0"/>
        <w:spacing w:line="560" w:lineRule="exact"/>
        <w:ind w:firstLine="566" w:firstLineChars="200"/>
        <w:textAlignment w:val="auto"/>
        <w:rPr>
          <w:rFonts w:ascii="宋体" w:hAnsi="宋体" w:eastAsia="仿宋" w:cs="宋体"/>
          <w:bCs/>
          <w:sz w:val="24"/>
          <w:szCs w:val="24"/>
          <w:highlight w:val="none"/>
        </w:rPr>
      </w:pPr>
      <w:r>
        <w:rPr>
          <w:rFonts w:hint="eastAsia" w:ascii="仿宋" w:hAnsi="仿宋" w:eastAsia="仿宋" w:cs="仿宋"/>
          <w:highlight w:val="none"/>
        </w:rPr>
        <w:t>（三）</w:t>
      </w:r>
      <w:r>
        <w:rPr>
          <w:rFonts w:hint="eastAsia" w:ascii="仿宋" w:hAnsi="仿宋" w:eastAsia="仿宋" w:cs="仿宋"/>
          <w:b/>
          <w:bCs/>
          <w:highlight w:val="none"/>
        </w:rPr>
        <w:t>采购代理机构</w:t>
      </w:r>
      <w:r>
        <w:rPr>
          <w:rFonts w:hint="eastAsia" w:ascii="仿宋" w:hAnsi="仿宋" w:eastAsia="仿宋" w:cs="仿宋"/>
          <w:highlight w:val="none"/>
        </w:rPr>
        <w:t>：陕西中发项目管理发展有限公司</w:t>
      </w:r>
    </w:p>
    <w:p w14:paraId="2BD0185C">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（四）</w:t>
      </w:r>
      <w:r>
        <w:rPr>
          <w:rFonts w:hint="eastAsia" w:ascii="仿宋" w:hAnsi="仿宋" w:eastAsia="仿宋" w:cs="仿宋"/>
          <w:b/>
          <w:bCs/>
          <w:highlight w:val="none"/>
        </w:rPr>
        <w:t>供 应 商</w:t>
      </w:r>
      <w:r>
        <w:rPr>
          <w:rFonts w:hint="eastAsia" w:ascii="仿宋" w:hAnsi="仿宋" w:eastAsia="仿宋" w:cs="仿宋"/>
          <w:highlight w:val="none"/>
        </w:rPr>
        <w:t>：</w:t>
      </w:r>
      <w:r>
        <w:rPr>
          <w:rFonts w:hint="eastAsia" w:ascii="仿宋" w:hAnsi="仿宋" w:eastAsia="仿宋" w:cs="仿宋"/>
          <w:highlight w:val="none"/>
          <w:lang w:val="en-US" w:eastAsia="zh-CN"/>
        </w:rPr>
        <w:t>广联达科技股份有限公司</w:t>
      </w:r>
    </w:p>
    <w:p w14:paraId="5748E13A">
      <w:pPr>
        <w:pStyle w:val="22"/>
        <w:pageBreakBefore w:val="0"/>
        <w:kinsoku/>
        <w:overflowPunct/>
        <w:topLinePunct w:val="0"/>
        <w:autoSpaceDE/>
        <w:autoSpaceDN/>
        <w:bidi w:val="0"/>
        <w:spacing w:after="0" w:line="560" w:lineRule="exact"/>
        <w:ind w:firstLine="566" w:firstLineChars="200"/>
        <w:textAlignment w:val="auto"/>
        <w:rPr>
          <w:rFonts w:hint="default" w:ascii="仿宋" w:hAnsi="仿宋" w:eastAsia="仿宋" w:cs="仿宋"/>
          <w:highlight w:val="none"/>
          <w:lang w:val="en-US" w:eastAsia="zh-CN"/>
        </w:rPr>
      </w:pPr>
      <w:r>
        <w:rPr>
          <w:rFonts w:hint="eastAsia" w:ascii="仿宋" w:hAnsi="仿宋" w:eastAsia="仿宋"/>
          <w:highlight w:val="none"/>
        </w:rPr>
        <w:t>（五）</w:t>
      </w:r>
      <w:r>
        <w:rPr>
          <w:rFonts w:hint="eastAsia" w:ascii="仿宋" w:hAnsi="仿宋" w:eastAsia="仿宋"/>
          <w:b/>
          <w:bCs/>
          <w:highlight w:val="none"/>
          <w:lang w:eastAsia="zh-CN"/>
        </w:rPr>
        <w:t>服务期</w:t>
      </w:r>
      <w:r>
        <w:rPr>
          <w:rFonts w:hint="eastAsia" w:ascii="仿宋" w:hAnsi="仿宋" w:eastAsia="仿宋"/>
          <w:b/>
          <w:bCs/>
          <w:highlight w:val="none"/>
        </w:rPr>
        <w:t>：</w:t>
      </w:r>
      <w:r>
        <w:rPr>
          <w:rFonts w:hint="eastAsia" w:ascii="仿宋" w:hAnsi="仿宋" w:eastAsia="仿宋" w:cs="仿宋"/>
          <w:kern w:val="2"/>
          <w:sz w:val="28"/>
          <w:szCs w:val="28"/>
          <w:highlight w:val="none"/>
          <w:lang w:val="en-US" w:eastAsia="zh-CN" w:bidi="ar-SA"/>
        </w:rPr>
        <w:t>一年</w:t>
      </w:r>
    </w:p>
    <w:p w14:paraId="34CA6289">
      <w:pPr>
        <w:pStyle w:val="4"/>
        <w:pageBreakBefore w:val="0"/>
        <w:kinsoku/>
        <w:overflowPunct/>
        <w:topLinePunct w:val="0"/>
        <w:autoSpaceDE/>
        <w:autoSpaceDN/>
        <w:bidi w:val="0"/>
        <w:spacing w:line="560" w:lineRule="exact"/>
        <w:ind w:firstLine="566" w:firstLineChars="200"/>
        <w:textAlignment w:val="auto"/>
        <w:rPr>
          <w:highlight w:val="none"/>
        </w:rPr>
      </w:pPr>
      <w:bookmarkStart w:id="58" w:name="_Toc19117"/>
      <w:bookmarkStart w:id="59" w:name="_Toc32518"/>
      <w:bookmarkStart w:id="60" w:name="_Toc8777"/>
      <w:bookmarkStart w:id="61" w:name="_Toc4157"/>
      <w:bookmarkStart w:id="62" w:name="_Toc240"/>
      <w:bookmarkStart w:id="63" w:name="_Toc24643"/>
      <w:bookmarkStart w:id="64" w:name="_Toc13590"/>
      <w:bookmarkStart w:id="65" w:name="_Toc9598"/>
      <w:bookmarkStart w:id="66" w:name="_Toc21376"/>
      <w:bookmarkStart w:id="67" w:name="_Toc28897"/>
      <w:bookmarkStart w:id="68" w:name="_Toc1748"/>
      <w:bookmarkStart w:id="69" w:name="_Toc26571"/>
      <w:bookmarkStart w:id="70" w:name="_Toc28681221"/>
      <w:bookmarkStart w:id="71" w:name="_Toc5691"/>
      <w:r>
        <w:rPr>
          <w:highlight w:val="none"/>
        </w:rPr>
        <w:t>二、</w:t>
      </w:r>
      <w:r>
        <w:rPr>
          <w:rFonts w:hint="eastAsia"/>
          <w:highlight w:val="none"/>
        </w:rPr>
        <w:t>供应商</w:t>
      </w:r>
      <w:r>
        <w:rPr>
          <w:highlight w:val="none"/>
        </w:rPr>
        <w:t>注意事项</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94B4E82">
      <w:pPr>
        <w:pStyle w:val="7"/>
        <w:pageBreakBefore w:val="0"/>
        <w:kinsoku/>
        <w:overflowPunct/>
        <w:topLinePunct w:val="0"/>
        <w:autoSpaceDE/>
        <w:autoSpaceDN/>
        <w:bidi w:val="0"/>
        <w:spacing w:line="560" w:lineRule="exact"/>
        <w:textAlignment w:val="auto"/>
        <w:rPr>
          <w:highlight w:val="none"/>
        </w:rPr>
      </w:pPr>
      <w:bookmarkStart w:id="72" w:name="_Toc28681222"/>
      <w:r>
        <w:rPr>
          <w:rFonts w:hint="eastAsia"/>
          <w:highlight w:val="none"/>
        </w:rPr>
        <w:t>（一）询问</w:t>
      </w:r>
      <w:bookmarkEnd w:id="72"/>
    </w:p>
    <w:p w14:paraId="558778D4">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供应商对政府采购活动事项有疑问的，可以向采购人或陕西中发项目管理发展有限公司提出询问。采购人或陕西中发项目管理发展有限公司将在3个工作日内对供应商依法提出的询问做出答复。询问内容超出采购人对陕西中发项目管理发展有限公司委托授权范围的，供应商应当向采购人提出。</w:t>
      </w:r>
    </w:p>
    <w:p w14:paraId="0E85896F">
      <w:pPr>
        <w:pStyle w:val="7"/>
        <w:pageBreakBefore w:val="0"/>
        <w:kinsoku/>
        <w:overflowPunct/>
        <w:topLinePunct w:val="0"/>
        <w:autoSpaceDE/>
        <w:autoSpaceDN/>
        <w:bidi w:val="0"/>
        <w:spacing w:line="560" w:lineRule="exact"/>
        <w:textAlignment w:val="auto"/>
        <w:rPr>
          <w:highlight w:val="none"/>
        </w:rPr>
      </w:pPr>
      <w:bookmarkStart w:id="73" w:name="_Toc28681223"/>
      <w:r>
        <w:rPr>
          <w:rFonts w:hint="eastAsia"/>
          <w:highlight w:val="none"/>
        </w:rPr>
        <w:t>（二）现场踏勘及标前答疑会</w:t>
      </w:r>
      <w:bookmarkEnd w:id="73"/>
    </w:p>
    <w:p w14:paraId="050FA492">
      <w:pPr>
        <w:pageBreakBefore w:val="0"/>
        <w:kinsoku/>
        <w:overflowPunct/>
        <w:topLinePunct w:val="0"/>
        <w:autoSpaceDE/>
        <w:autoSpaceDN/>
        <w:bidi w:val="0"/>
        <w:spacing w:line="560" w:lineRule="exact"/>
        <w:ind w:firstLine="566" w:firstLineChars="200"/>
        <w:textAlignment w:val="auto"/>
        <w:rPr>
          <w:rFonts w:ascii="仿宋" w:hAnsi="仿宋" w:eastAsia="仿宋" w:cs="华文仿宋"/>
          <w:bCs/>
          <w:highlight w:val="none"/>
        </w:rPr>
      </w:pPr>
      <w:r>
        <w:rPr>
          <w:rFonts w:hint="eastAsia" w:ascii="仿宋" w:hAnsi="仿宋" w:eastAsia="仿宋" w:cs="华文仿宋"/>
          <w:bCs/>
          <w:highlight w:val="none"/>
        </w:rPr>
        <w:t>对于有计划举行项目现场踏勘和标前答疑会的，潜在供应商的项目主要负责人等须按时出席。需要答疑的问题各供应商可以口头或书面形式做出。采购代理机构、采购人将共同对各供应商提出的问题进行答复，并对供应商书面提出的问题形成答疑纪要，在网上发布公告。答疑纪要与谈判文件中不一致的内容，以答疑纪要为准。凡未参加现场踏勘和标前答疑的供应商，由此造成的偏差由各供应商自行负责。</w:t>
      </w:r>
    </w:p>
    <w:p w14:paraId="07636F93">
      <w:pPr>
        <w:pageBreakBefore w:val="0"/>
        <w:kinsoku/>
        <w:overflowPunct/>
        <w:topLinePunct w:val="0"/>
        <w:autoSpaceDE/>
        <w:autoSpaceDN/>
        <w:bidi w:val="0"/>
        <w:spacing w:line="560" w:lineRule="exact"/>
        <w:ind w:firstLine="566" w:firstLineChars="200"/>
        <w:textAlignment w:val="auto"/>
        <w:rPr>
          <w:rFonts w:ascii="仿宋" w:hAnsi="仿宋" w:eastAsia="仿宋" w:cs="华文仿宋"/>
          <w:bCs/>
          <w:highlight w:val="none"/>
        </w:rPr>
      </w:pPr>
      <w:r>
        <w:rPr>
          <w:rFonts w:hint="eastAsia" w:ascii="仿宋" w:hAnsi="仿宋" w:eastAsia="仿宋" w:cs="华文仿宋"/>
          <w:b/>
          <w:bCs/>
          <w:highlight w:val="none"/>
        </w:rPr>
        <w:t>本项目不组织集中踏勘和答疑。</w:t>
      </w:r>
    </w:p>
    <w:p w14:paraId="40D16AB6">
      <w:pPr>
        <w:pStyle w:val="7"/>
        <w:pageBreakBefore w:val="0"/>
        <w:kinsoku/>
        <w:overflowPunct/>
        <w:topLinePunct w:val="0"/>
        <w:autoSpaceDE/>
        <w:autoSpaceDN/>
        <w:bidi w:val="0"/>
        <w:spacing w:line="560" w:lineRule="exact"/>
        <w:textAlignment w:val="auto"/>
        <w:rPr>
          <w:highlight w:val="none"/>
        </w:rPr>
      </w:pPr>
      <w:bookmarkStart w:id="74" w:name="_Toc28681224"/>
      <w:r>
        <w:rPr>
          <w:rFonts w:hint="eastAsia"/>
          <w:highlight w:val="none"/>
        </w:rPr>
        <w:t>（三）</w:t>
      </w:r>
      <w:r>
        <w:rPr>
          <w:highlight w:val="none"/>
        </w:rPr>
        <w:t>质疑和投诉</w:t>
      </w:r>
      <w:bookmarkEnd w:id="74"/>
    </w:p>
    <w:p w14:paraId="4C1E7A22">
      <w:pPr>
        <w:pageBreakBefore w:val="0"/>
        <w:kinsoku/>
        <w:overflowPunct/>
        <w:topLinePunct w:val="0"/>
        <w:autoSpaceDE/>
        <w:autoSpaceDN/>
        <w:bidi w:val="0"/>
        <w:spacing w:line="560" w:lineRule="exact"/>
        <w:ind w:firstLine="566" w:firstLineChars="200"/>
        <w:contextualSpacing/>
        <w:textAlignment w:val="auto"/>
        <w:rPr>
          <w:rFonts w:ascii="仿宋" w:hAnsi="华文仿宋" w:eastAsia="仿宋" w:cs="华文仿宋"/>
          <w:highlight w:val="none"/>
        </w:rPr>
      </w:pPr>
      <w:r>
        <w:rPr>
          <w:rFonts w:hint="eastAsia" w:ascii="仿宋" w:hAnsi="华文仿宋" w:eastAsia="仿宋" w:cs="华文仿宋"/>
          <w:highlight w:val="none"/>
        </w:rPr>
        <w:t>供应商如果认为谈判文件中涉及的采购需求（包括供应商资格条件、评审要素及分值设置、采购内容和要求、合同条款等）使自身的合法权益受到损害，可以在获取谈判文件之日起７个工作日内，以书面形式向采购人提出质疑；供应商如果认为采购程序、采购过程或成交结果使自身的合法权益受到损害，可以在法定期限内，以书面形式向</w:t>
      </w:r>
      <w:r>
        <w:rPr>
          <w:rFonts w:hint="eastAsia" w:ascii="仿宋" w:hAnsi="仿宋" w:eastAsia="仿宋" w:cs="仿宋"/>
          <w:highlight w:val="none"/>
        </w:rPr>
        <w:t>陕西中发项目管理发展有限公司</w:t>
      </w:r>
      <w:r>
        <w:rPr>
          <w:rFonts w:hint="eastAsia" w:ascii="仿宋" w:hAnsi="华文仿宋" w:eastAsia="仿宋" w:cs="华文仿宋"/>
          <w:highlight w:val="none"/>
        </w:rPr>
        <w:t>提出质疑。</w:t>
      </w:r>
    </w:p>
    <w:p w14:paraId="10744738">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14:paraId="38FB3551">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《政府采购供应商质疑函范本》链接地址：</w:t>
      </w:r>
    </w:p>
    <w:p w14:paraId="622C15DA">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ascii="仿宋" w:hAnsi="华文仿宋" w:eastAsia="仿宋" w:cs="华文仿宋"/>
          <w:highlight w:val="none"/>
        </w:rPr>
        <w:t>http://gks.mof.gov.cn/zhengfucaigouguanli/201802/t20180201_2804589.html</w:t>
      </w:r>
    </w:p>
    <w:p w14:paraId="00C6001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184CE23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3、在法定质疑期内，针对同一采购程序环节的质疑应当一次性提出。采购代理机构或采购人将在收到书面质疑后7个工作日内做出答复，并以书面形式通知质疑人和其他有关供应商。</w:t>
      </w:r>
    </w:p>
    <w:p w14:paraId="2B6B5AD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4、有下列情形之一的，属于无效质疑，陕西中发项目管理发展有限公司和采购人不予受理：</w:t>
      </w:r>
    </w:p>
    <w:p w14:paraId="4563647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（1）质疑人不是参与本次政府采购项目的供应商或潜在供应商；</w:t>
      </w:r>
    </w:p>
    <w:p w14:paraId="16E6629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（2）质疑人与质疑事项不存在利害关系的；</w:t>
      </w:r>
    </w:p>
    <w:p w14:paraId="6C2A5B88">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（3）未在法定期限内提出质疑的；</w:t>
      </w:r>
    </w:p>
    <w:p w14:paraId="63E4BEE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（4）质疑未以书面形式提出，或质疑函主要内容构成不完整的，或缺乏必要的证明材料及证明材料不完整的；</w:t>
      </w:r>
    </w:p>
    <w:p w14:paraId="78694FEB">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（5）质疑函没有合法有效的签字、盖章或授权的；</w:t>
      </w:r>
    </w:p>
    <w:p w14:paraId="12EB7B50">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（6）以非法手段取得证据、材料的；</w:t>
      </w:r>
    </w:p>
    <w:p w14:paraId="7CA82D16">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（7）质疑答复后，同一质疑人就同一事项再次提出质疑的；</w:t>
      </w:r>
    </w:p>
    <w:p w14:paraId="3F2CBBC9">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（8）不符合法律、法规、规章和政府采购监管机构规定的其他条件的。</w:t>
      </w:r>
    </w:p>
    <w:p w14:paraId="73B614CB">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5、质疑人对</w:t>
      </w:r>
      <w:r>
        <w:rPr>
          <w:rFonts w:hint="eastAsia" w:ascii="仿宋" w:hAnsi="仿宋" w:eastAsia="仿宋" w:cs="仿宋"/>
          <w:highlight w:val="none"/>
        </w:rPr>
        <w:t>陕西中发项目管理发展有限公司</w:t>
      </w:r>
      <w:r>
        <w:rPr>
          <w:rFonts w:hint="eastAsia" w:ascii="仿宋" w:hAnsi="华文仿宋" w:eastAsia="仿宋" w:cs="华文仿宋"/>
          <w:highlight w:val="none"/>
        </w:rPr>
        <w:t>或采购人的答复不满意，以及陕西中发项目管理发展有限公司或采购人未在规定时间内做出答复的，可以在答复期满后15个工作日内向政府采购监管机构提出投诉。</w:t>
      </w:r>
    </w:p>
    <w:p w14:paraId="1AC42E29">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6、供应商投诉的事项不得超出已质疑事项的范围。</w:t>
      </w:r>
    </w:p>
    <w:p w14:paraId="7A120277">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r>
        <w:rPr>
          <w:rFonts w:hint="eastAsia" w:ascii="仿宋" w:hAnsi="华文仿宋" w:eastAsia="仿宋" w:cs="华文仿宋"/>
          <w:highlight w:val="none"/>
        </w:rPr>
        <w:t>7、</w:t>
      </w:r>
      <w:r>
        <w:rPr>
          <w:rFonts w:hint="eastAsia" w:ascii="仿宋" w:hAnsi="华文仿宋" w:eastAsia="仿宋" w:cs="华文仿宋"/>
          <w:b/>
          <w:highlight w:val="none"/>
        </w:rPr>
        <w:t>对捏造事实、提供虚假材料进行质疑、投诉的行为予以严肃处理：</w:t>
      </w:r>
    </w:p>
    <w:p w14:paraId="77003D8E">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eastAsia="仿宋"/>
          <w:highlight w:val="none"/>
        </w:rPr>
        <w:t>依据《中华人民共和国政府采购法》及其实施条例、《政府采购质疑和投诉办法》等法律法规文件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421E8F3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r>
        <w:rPr>
          <w:rFonts w:hint="eastAsia" w:ascii="仿宋" w:hAnsi="华文仿宋" w:eastAsia="仿宋" w:cs="华文仿宋"/>
          <w:highlight w:val="none"/>
        </w:rPr>
        <w:t>8、</w:t>
      </w:r>
      <w:r>
        <w:rPr>
          <w:rFonts w:hint="eastAsia" w:ascii="仿宋" w:hAnsi="华文仿宋" w:eastAsia="仿宋" w:cs="华文仿宋"/>
          <w:b/>
          <w:highlight w:val="none"/>
        </w:rPr>
        <w:t>对捏造事实诬告陷害他人、诽谤他人的法律适用：</w:t>
      </w:r>
    </w:p>
    <w:p w14:paraId="545A2AFA">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3A251157">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《中华人民共和国刑法》第246条【侮辱罪、诽谤罪】以暴力或者其他方法公然侮辱他人或者捏造事实诽谤他人，情节严重的，处三年以下有期徒刑、拘役、管制或者剥夺政治权利。</w:t>
      </w:r>
    </w:p>
    <w:p w14:paraId="20E06B6A">
      <w:pPr>
        <w:pStyle w:val="7"/>
        <w:pageBreakBefore w:val="0"/>
        <w:kinsoku/>
        <w:overflowPunct/>
        <w:topLinePunct w:val="0"/>
        <w:autoSpaceDE/>
        <w:autoSpaceDN/>
        <w:bidi w:val="0"/>
        <w:spacing w:line="560" w:lineRule="exact"/>
        <w:textAlignment w:val="auto"/>
        <w:rPr>
          <w:highlight w:val="none"/>
        </w:rPr>
      </w:pPr>
      <w:bookmarkStart w:id="75" w:name="_Toc28681225"/>
      <w:r>
        <w:rPr>
          <w:rFonts w:hint="eastAsia"/>
          <w:kern w:val="0"/>
          <w:highlight w:val="none"/>
        </w:rPr>
        <w:t>（四）</w:t>
      </w:r>
      <w:r>
        <w:rPr>
          <w:rFonts w:hint="eastAsia"/>
          <w:highlight w:val="none"/>
        </w:rPr>
        <w:t>关于信用记录的查询和使用</w:t>
      </w:r>
      <w:bookmarkEnd w:id="75"/>
    </w:p>
    <w:p w14:paraId="32988615">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1、</w:t>
      </w:r>
      <w:r>
        <w:rPr>
          <w:rFonts w:hint="eastAsia" w:ascii="仿宋" w:hAnsi="仿宋" w:eastAsia="仿宋"/>
          <w:highlight w:val="none"/>
          <w:lang w:val="en-US" w:eastAsia="zh-CN"/>
        </w:rPr>
        <w:t>采购人</w:t>
      </w:r>
      <w:r>
        <w:rPr>
          <w:rFonts w:hint="eastAsia" w:ascii="仿宋" w:hAnsi="仿宋" w:eastAsia="仿宋"/>
          <w:highlight w:val="none"/>
        </w:rPr>
        <w:t>将在资格审查阶段通过【</w:t>
      </w:r>
      <w:r>
        <w:rPr>
          <w:rFonts w:eastAsia="仿宋"/>
          <w:highlight w:val="none"/>
        </w:rPr>
        <w:fldChar w:fldCharType="begin"/>
      </w:r>
      <w:r>
        <w:rPr>
          <w:rFonts w:eastAsia="仿宋"/>
          <w:highlight w:val="none"/>
        </w:rPr>
        <w:instrText xml:space="preserve"> HYPERLINK "http://www.creditchina.gov.cn" </w:instrText>
      </w:r>
      <w:r>
        <w:rPr>
          <w:rFonts w:eastAsia="仿宋"/>
          <w:highlight w:val="none"/>
        </w:rPr>
        <w:fldChar w:fldCharType="separate"/>
      </w:r>
      <w:r>
        <w:rPr>
          <w:rFonts w:hint="eastAsia" w:ascii="仿宋" w:hAnsi="仿宋" w:eastAsia="仿宋"/>
          <w:highlight w:val="none"/>
        </w:rPr>
        <w:t>信用中国</w:t>
      </w:r>
      <w:r>
        <w:rPr>
          <w:rFonts w:hint="eastAsia" w:ascii="仿宋" w:hAnsi="仿宋" w:eastAsia="仿宋"/>
          <w:highlight w:val="none"/>
        </w:rPr>
        <w:fldChar w:fldCharType="end"/>
      </w:r>
      <w:r>
        <w:rPr>
          <w:rFonts w:hint="eastAsia" w:ascii="仿宋" w:hAnsi="仿宋" w:eastAsia="仿宋"/>
          <w:highlight w:val="none"/>
        </w:rPr>
        <w:t>（www.creditchina.gov.cn）】、【</w:t>
      </w:r>
      <w:r>
        <w:rPr>
          <w:rFonts w:eastAsia="仿宋"/>
          <w:highlight w:val="none"/>
        </w:rPr>
        <w:fldChar w:fldCharType="begin"/>
      </w:r>
      <w:r>
        <w:rPr>
          <w:rFonts w:eastAsia="仿宋"/>
          <w:highlight w:val="none"/>
        </w:rPr>
        <w:instrText xml:space="preserve"> HYPERLINK "http://www.ccgp.gov.cn/cr/list" </w:instrText>
      </w:r>
      <w:r>
        <w:rPr>
          <w:rFonts w:eastAsia="仿宋"/>
          <w:highlight w:val="none"/>
        </w:rPr>
        <w:fldChar w:fldCharType="separate"/>
      </w:r>
      <w:r>
        <w:rPr>
          <w:rFonts w:hint="eastAsia" w:ascii="仿宋" w:hAnsi="仿宋" w:eastAsia="仿宋"/>
          <w:highlight w:val="none"/>
        </w:rPr>
        <w:t>中国政府采购网</w:t>
      </w:r>
      <w:r>
        <w:rPr>
          <w:rFonts w:hint="eastAsia" w:ascii="仿宋" w:hAnsi="仿宋" w:eastAsia="仿宋"/>
          <w:highlight w:val="none"/>
        </w:rPr>
        <w:fldChar w:fldCharType="end"/>
      </w:r>
      <w:r>
        <w:rPr>
          <w:rFonts w:hint="eastAsia" w:ascii="仿宋" w:hAnsi="仿宋" w:eastAsia="仿宋"/>
          <w:highlight w:val="none"/>
        </w:rPr>
        <w:t>（www.ccgp.gov.cn）】网站对响应文件正本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成交资格将被取消。</w:t>
      </w:r>
    </w:p>
    <w:p w14:paraId="595C1FF6">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2、供应商在参加政府采购活动前3年内因违法经营被禁止在一定期限内参加政府采购活动，期限届满的，可以参加政府采购活动的，但供应商应提供相关证明材料。</w:t>
      </w:r>
    </w:p>
    <w:p w14:paraId="22AB3174">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 xml:space="preserve">3、供应商信用记录查询的时间段为“单一来源邀请函发出之日（含当日）至提交响应文件截止之日（不含当日）”。信用记录查询的结果，可以纸质截图或将截图保存至电子介质的形式留存。供应商未如实填报《供应商书面声明函》的，视为“供应商提供虚假材料谋取中标、成交的”行为。 </w:t>
      </w:r>
    </w:p>
    <w:p w14:paraId="597EC07C">
      <w:pPr>
        <w:pStyle w:val="47"/>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33C493">
      <w:pPr>
        <w:pStyle w:val="7"/>
        <w:pageBreakBefore w:val="0"/>
        <w:kinsoku/>
        <w:overflowPunct/>
        <w:topLinePunct w:val="0"/>
        <w:autoSpaceDE/>
        <w:autoSpaceDN/>
        <w:bidi w:val="0"/>
        <w:spacing w:line="560" w:lineRule="exact"/>
        <w:textAlignment w:val="auto"/>
        <w:rPr>
          <w:highlight w:val="none"/>
        </w:rPr>
      </w:pPr>
      <w:bookmarkStart w:id="76" w:name="_Toc28681226"/>
      <w:r>
        <w:rPr>
          <w:rFonts w:hint="eastAsia"/>
          <w:highlight w:val="none"/>
        </w:rPr>
        <w:t>（五）落实的政府采购政策</w:t>
      </w:r>
      <w:bookmarkEnd w:id="76"/>
    </w:p>
    <w:p w14:paraId="28DFB41F">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100911BB">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 xml:space="preserve">在货物采购项目中，供应商提供的货物既有中小企业制造货物，也有大型企业制造货物的，不享受本办法规定的中小企业扶持政策。 </w:t>
      </w:r>
    </w:p>
    <w:p w14:paraId="26835F7F">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1E246FC6">
      <w:pPr>
        <w:pageBreakBefore w:val="0"/>
        <w:kinsoku/>
        <w:overflowPunct/>
        <w:topLinePunct w:val="0"/>
        <w:autoSpaceDE/>
        <w:autoSpaceDN/>
        <w:bidi w:val="0"/>
        <w:spacing w:line="560" w:lineRule="exact"/>
        <w:ind w:firstLine="566" w:firstLineChars="200"/>
        <w:textAlignment w:val="auto"/>
        <w:rPr>
          <w:rFonts w:hint="eastAsia" w:ascii="仿宋" w:hAnsi="仿宋" w:eastAsia="仿宋"/>
          <w:highlight w:val="none"/>
        </w:rPr>
      </w:pPr>
      <w:r>
        <w:rPr>
          <w:rFonts w:hint="eastAsia" w:ascii="仿宋" w:hAnsi="仿宋" w:eastAsia="仿宋"/>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33F00E6">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参加政府采购活动的</w:t>
      </w:r>
      <w:r>
        <w:rPr>
          <w:rFonts w:hint="eastAsia" w:ascii="仿宋" w:hAnsi="仿宋" w:eastAsia="仿宋" w:cs="仿宋"/>
          <w:b/>
          <w:bCs/>
          <w:color w:val="auto"/>
          <w:highlight w:val="none"/>
          <w:lang w:val="en-US" w:eastAsia="zh-CN"/>
        </w:rPr>
        <w:t>小微</w:t>
      </w:r>
      <w:r>
        <w:rPr>
          <w:rFonts w:hint="eastAsia" w:ascii="仿宋" w:hAnsi="仿宋" w:eastAsia="仿宋" w:cs="仿宋"/>
          <w:b/>
          <w:bCs/>
          <w:color w:val="auto"/>
          <w:highlight w:val="none"/>
        </w:rPr>
        <w:t>企业应提供《</w:t>
      </w:r>
      <w:r>
        <w:rPr>
          <w:rFonts w:hint="eastAsia" w:ascii="仿宋" w:hAnsi="仿宋" w:eastAsia="仿宋" w:cs="仿宋"/>
          <w:b/>
          <w:bCs/>
          <w:color w:val="auto"/>
          <w:highlight w:val="none"/>
          <w:lang w:val="en-US" w:eastAsia="zh-CN"/>
        </w:rPr>
        <w:t>小微</w:t>
      </w:r>
      <w:r>
        <w:rPr>
          <w:rFonts w:hint="eastAsia" w:ascii="仿宋" w:hAnsi="仿宋" w:eastAsia="仿宋" w:cs="仿宋"/>
          <w:b/>
          <w:bCs/>
          <w:color w:val="auto"/>
          <w:highlight w:val="none"/>
        </w:rPr>
        <w:t>企业声明函》原件。未提供上述声明函原件的，则响应文件无效。</w:t>
      </w:r>
    </w:p>
    <w:p w14:paraId="696A6652">
      <w:pPr>
        <w:pageBreakBefore w:val="0"/>
        <w:kinsoku/>
        <w:overflowPunct/>
        <w:topLinePunct w:val="0"/>
        <w:autoSpaceDE/>
        <w:autoSpaceDN/>
        <w:bidi w:val="0"/>
        <w:spacing w:line="560" w:lineRule="exact"/>
        <w:ind w:firstLine="566"/>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备注：小微企业划分标准参照《中小企业划型标准规定》（工信部联企业〔2011〕300号）执行。</w:t>
      </w:r>
    </w:p>
    <w:p w14:paraId="2773FDED">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监狱企业应符合《财政部</w:t>
      </w:r>
      <w:r>
        <w:rPr>
          <w:rFonts w:hint="eastAsia" w:ascii="仿宋" w:hAnsi="仿宋" w:eastAsia="仿宋" w:cs="仿宋"/>
          <w:color w:val="auto"/>
          <w:highlight w:val="none"/>
        </w:rPr>
        <w:t xml:space="preserve"> 司法部关于政府采购支持监狱企业发展有关问题的通知》（财库〔2014〕68号）文件规定</w:t>
      </w:r>
      <w:r>
        <w:rPr>
          <w:rFonts w:hint="eastAsia" w:ascii="仿宋" w:hAnsi="仿宋" w:eastAsia="仿宋" w:cs="仿宋"/>
          <w:color w:val="auto"/>
          <w:highlight w:val="none"/>
          <w:lang w:val="zh-CN"/>
        </w:rPr>
        <w:t>，并提供由省级以上监狱管理局、戒毒管理局(含新疆生产建设兵团)出具的属于</w:t>
      </w:r>
      <w:r>
        <w:rPr>
          <w:rFonts w:hint="eastAsia" w:ascii="仿宋" w:hAnsi="仿宋" w:eastAsia="仿宋" w:cs="仿宋"/>
          <w:b/>
          <w:bCs/>
          <w:color w:val="auto"/>
          <w:highlight w:val="none"/>
          <w:lang w:val="zh-CN"/>
        </w:rPr>
        <w:t>监狱企业的证明文件</w:t>
      </w:r>
      <w:r>
        <w:rPr>
          <w:rFonts w:hint="eastAsia" w:ascii="仿宋" w:hAnsi="仿宋" w:eastAsia="仿宋" w:cs="仿宋"/>
          <w:color w:val="auto"/>
          <w:highlight w:val="none"/>
          <w:lang w:val="zh-CN"/>
        </w:rPr>
        <w:t>复印件，监狱和戒毒企业</w:t>
      </w:r>
      <w:r>
        <w:rPr>
          <w:rFonts w:hint="eastAsia" w:ascii="仿宋" w:hAnsi="仿宋" w:eastAsia="仿宋" w:cs="仿宋"/>
          <w:color w:val="auto"/>
          <w:highlight w:val="none"/>
        </w:rPr>
        <w:t>视同小型、微型企业。</w:t>
      </w:r>
    </w:p>
    <w:p w14:paraId="684068B6">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367AE8E">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参加政府采购活动的残疾人单位应提供《残疾人福利性单位声明函》原件。未提供上述声明函原件的，则响应文件无效。</w:t>
      </w:r>
    </w:p>
    <w:p w14:paraId="69C2691B">
      <w:pPr>
        <w:pageBreakBefore w:val="0"/>
        <w:widowControl w:val="0"/>
        <w:tabs>
          <w:tab w:val="center" w:pos="4153"/>
          <w:tab w:val="right" w:pos="8306"/>
        </w:tabs>
        <w:kinsoku/>
        <w:overflowPunct/>
        <w:topLinePunct w:val="0"/>
        <w:autoSpaceDE/>
        <w:autoSpaceDN/>
        <w:bidi w:val="0"/>
        <w:snapToGrid w:val="0"/>
        <w:spacing w:line="560" w:lineRule="exact"/>
        <w:ind w:firstLine="566"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BD31ABA">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lang w:val="en-US" w:eastAsia="zh-CN"/>
        </w:rPr>
        <w:t>5、</w:t>
      </w:r>
      <w:r>
        <w:rPr>
          <w:rFonts w:hint="eastAsia" w:ascii="仿宋" w:hAnsi="仿宋" w:eastAsia="仿宋" w:cs="仿宋"/>
          <w:color w:val="auto"/>
          <w:kern w:val="0"/>
          <w:highlight w:val="none"/>
        </w:rPr>
        <w:t>根据国务院办公厅《关于建立政府强制采购节能产品制度的通知》（国办发</w:t>
      </w:r>
      <w:r>
        <w:rPr>
          <w:rFonts w:hint="eastAsia" w:ascii="仿宋" w:hAnsi="仿宋" w:eastAsia="仿宋" w:cs="仿宋"/>
          <w:color w:val="auto"/>
          <w:highlight w:val="none"/>
        </w:rPr>
        <w:t>〔2007〕51</w:t>
      </w:r>
      <w:r>
        <w:rPr>
          <w:rFonts w:hint="eastAsia" w:ascii="仿宋" w:hAnsi="仿宋" w:eastAsia="仿宋" w:cs="仿宋"/>
          <w:color w:val="auto"/>
          <w:kern w:val="0"/>
          <w:highlight w:val="none"/>
        </w:rPr>
        <w:t>号）有关要求，采购人需购买的产品属于政府强制采购节能产品范围应当在清单之内采购。节能清单中无对应细化分类且节能清单中的产品确实无法满足工作需要的，允许在节能清单之外采购。</w:t>
      </w:r>
    </w:p>
    <w:p w14:paraId="46E907AA">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6、节能产品政府采购品目清单详见财政部、发展改革委《关于印发节能产品政府采购品目清单的通知》（财库</w:t>
      </w:r>
      <w:r>
        <w:rPr>
          <w:rFonts w:hint="eastAsia" w:ascii="仿宋" w:hAnsi="仿宋" w:eastAsia="仿宋" w:cs="仿宋"/>
          <w:color w:val="auto"/>
          <w:kern w:val="2"/>
          <w:sz w:val="28"/>
          <w:szCs w:val="28"/>
          <w:highlight w:val="none"/>
          <w:lang w:val="en-US" w:eastAsia="zh-CN" w:bidi="ar-SA"/>
        </w:rPr>
        <w:t>〔2019〕19</w:t>
      </w:r>
      <w:r>
        <w:rPr>
          <w:rFonts w:hint="eastAsia" w:ascii="仿宋" w:hAnsi="仿宋" w:eastAsia="仿宋" w:cs="仿宋"/>
          <w:color w:val="auto"/>
          <w:kern w:val="0"/>
          <w:sz w:val="28"/>
          <w:szCs w:val="28"/>
          <w:highlight w:val="none"/>
          <w:lang w:val="en-US" w:eastAsia="zh-CN" w:bidi="ar-SA"/>
        </w:rPr>
        <w:t>号）。</w:t>
      </w:r>
    </w:p>
    <w:p w14:paraId="2E3FF2BF">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7、环境标志产品政府采购品目清单详见财政部、生态环境部《关于印发环境标志产品政府采购品目清单的通知》（财库</w:t>
      </w:r>
      <w:r>
        <w:rPr>
          <w:rFonts w:hint="eastAsia" w:ascii="仿宋" w:hAnsi="仿宋" w:eastAsia="仿宋" w:cs="仿宋"/>
          <w:color w:val="auto"/>
          <w:kern w:val="2"/>
          <w:sz w:val="28"/>
          <w:szCs w:val="28"/>
          <w:highlight w:val="none"/>
          <w:lang w:val="en-US" w:eastAsia="zh-CN" w:bidi="ar-SA"/>
        </w:rPr>
        <w:t>〔2019〕18</w:t>
      </w:r>
      <w:r>
        <w:rPr>
          <w:rFonts w:hint="eastAsia" w:ascii="仿宋" w:hAnsi="仿宋" w:eastAsia="仿宋" w:cs="仿宋"/>
          <w:color w:val="auto"/>
          <w:kern w:val="0"/>
          <w:sz w:val="28"/>
          <w:szCs w:val="28"/>
          <w:highlight w:val="none"/>
          <w:lang w:val="en-US" w:eastAsia="zh-CN" w:bidi="ar-SA"/>
        </w:rPr>
        <w:t>号）。</w:t>
      </w:r>
    </w:p>
    <w:p w14:paraId="2BEFE0CC">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8、国家确定的节能产品、环境标志产品认证机构详见市场监管总局《关于发布参与实施政府采购节能产品、环境标志产品认证机构名录的公告》（</w:t>
      </w:r>
      <w:r>
        <w:rPr>
          <w:rFonts w:hint="eastAsia" w:ascii="仿宋" w:hAnsi="仿宋" w:eastAsia="仿宋" w:cs="仿宋"/>
          <w:color w:val="auto"/>
          <w:kern w:val="2"/>
          <w:sz w:val="28"/>
          <w:szCs w:val="28"/>
          <w:highlight w:val="none"/>
          <w:lang w:val="en-US" w:eastAsia="zh-CN" w:bidi="ar-SA"/>
        </w:rPr>
        <w:t>2019</w:t>
      </w:r>
      <w:r>
        <w:rPr>
          <w:rFonts w:hint="eastAsia" w:ascii="仿宋" w:hAnsi="仿宋" w:eastAsia="仿宋" w:cs="仿宋"/>
          <w:color w:val="auto"/>
          <w:kern w:val="0"/>
          <w:sz w:val="28"/>
          <w:szCs w:val="28"/>
          <w:highlight w:val="none"/>
          <w:lang w:val="en-US" w:eastAsia="zh-CN" w:bidi="ar-SA"/>
        </w:rPr>
        <w:t>年第</w:t>
      </w:r>
      <w:r>
        <w:rPr>
          <w:rFonts w:hint="eastAsia" w:ascii="仿宋" w:hAnsi="仿宋" w:eastAsia="仿宋" w:cs="仿宋"/>
          <w:color w:val="auto"/>
          <w:kern w:val="2"/>
          <w:sz w:val="28"/>
          <w:szCs w:val="28"/>
          <w:highlight w:val="none"/>
          <w:lang w:val="en-US" w:eastAsia="zh-CN" w:bidi="ar-SA"/>
        </w:rPr>
        <w:t>16</w:t>
      </w:r>
      <w:r>
        <w:rPr>
          <w:rFonts w:hint="eastAsia" w:ascii="仿宋" w:hAnsi="仿宋" w:eastAsia="仿宋" w:cs="仿宋"/>
          <w:color w:val="auto"/>
          <w:kern w:val="0"/>
          <w:sz w:val="28"/>
          <w:szCs w:val="28"/>
          <w:highlight w:val="none"/>
          <w:lang w:val="en-US" w:eastAsia="zh-CN" w:bidi="ar-SA"/>
        </w:rPr>
        <w:t>号）。</w:t>
      </w:r>
    </w:p>
    <w:p w14:paraId="4D52BB30">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9、根据《财政部 农业农村部 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14:paraId="05FE0185">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1D9DB545">
      <w:pPr>
        <w:pageBreakBefore w:val="0"/>
        <w:kinsoku/>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14:paraId="7DD06016">
      <w:pPr>
        <w:pageBreakBefore w:val="0"/>
        <w:kinsoku/>
        <w:wordWrap w:val="0"/>
        <w:overflowPunct/>
        <w:topLinePunct w:val="0"/>
        <w:autoSpaceDE/>
        <w:autoSpaceDN/>
        <w:bidi w:val="0"/>
        <w:spacing w:line="560" w:lineRule="exact"/>
        <w:ind w:firstLine="566"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12、根据陕西省财政厅关于印发《陕西省中小企业政府采购信用融资办法》（陕财办采</w:t>
      </w:r>
      <w:r>
        <w:rPr>
          <w:rFonts w:hint="eastAsia" w:ascii="仿宋" w:hAnsi="仿宋" w:eastAsia="仿宋" w:cs="仿宋"/>
          <w:color w:val="auto"/>
          <w:kern w:val="2"/>
          <w:sz w:val="28"/>
          <w:szCs w:val="28"/>
          <w:highlight w:val="none"/>
          <w:lang w:val="en-US" w:eastAsia="zh-CN" w:bidi="ar-SA"/>
        </w:rPr>
        <w:t>〔2018〕23</w:t>
      </w:r>
      <w:r>
        <w:rPr>
          <w:rFonts w:hint="eastAsia" w:ascii="仿宋" w:hAnsi="仿宋" w:eastAsia="仿宋" w:cs="仿宋"/>
          <w:color w:val="auto"/>
          <w:kern w:val="0"/>
          <w:sz w:val="28"/>
          <w:szCs w:val="28"/>
          <w:highlight w:val="none"/>
          <w:lang w:val="en-US" w:eastAsia="zh-CN" w:bidi="ar-SA"/>
        </w:rPr>
        <w:t>号）规定“</w:t>
      </w:r>
      <w:r>
        <w:rPr>
          <w:rFonts w:hint="eastAsia" w:ascii="仿宋" w:hAnsi="仿宋" w:eastAsia="仿宋" w:cs="仿宋"/>
          <w:color w:val="auto"/>
          <w:kern w:val="2"/>
          <w:sz w:val="28"/>
          <w:szCs w:val="28"/>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"http://www.ccgp-shaanxi.gov.cn/zcdservice/zcd/shanxi/"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0"/>
          <w:sz w:val="28"/>
          <w:szCs w:val="28"/>
          <w:highlight w:val="none"/>
          <w:lang w:val="en-US" w:eastAsia="zh-CN" w:bidi="ar-SA"/>
        </w:rPr>
        <w:t>陕西省政府采购信用融资平台</w:t>
      </w:r>
      <w:r>
        <w:rPr>
          <w:rFonts w:hint="eastAsia" w:ascii="仿宋" w:hAnsi="仿宋" w:eastAsia="仿宋" w:cs="仿宋"/>
          <w:color w:val="auto"/>
          <w:kern w:val="0"/>
          <w:sz w:val="28"/>
          <w:szCs w:val="28"/>
          <w:highlight w:val="none"/>
          <w:lang w:val="en-US" w:eastAsia="zh-CN" w:bidi="ar-SA"/>
        </w:rPr>
        <w:fldChar w:fldCharType="end"/>
      </w:r>
      <w:r>
        <w:rPr>
          <w:rFonts w:hint="eastAsia" w:ascii="仿宋" w:hAnsi="仿宋" w:eastAsia="仿宋" w:cs="仿宋"/>
          <w:color w:val="auto"/>
          <w:kern w:val="0"/>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http://www.ccgp-shaanxi.gov.cn/zcdservice/zcd/shanxi/</w:t>
      </w:r>
      <w:r>
        <w:rPr>
          <w:rFonts w:hint="eastAsia" w:ascii="仿宋" w:hAnsi="仿宋" w:eastAsia="仿宋" w:cs="仿宋"/>
          <w:color w:val="auto"/>
          <w:kern w:val="0"/>
          <w:sz w:val="28"/>
          <w:szCs w:val="28"/>
          <w:highlight w:val="none"/>
          <w:lang w:val="en-US" w:eastAsia="zh-CN" w:bidi="ar-SA"/>
        </w:rPr>
        <w:t>）</w:t>
      </w:r>
    </w:p>
    <w:p w14:paraId="70D64396">
      <w:pPr>
        <w:pStyle w:val="7"/>
        <w:pageBreakBefore w:val="0"/>
        <w:kinsoku/>
        <w:overflowPunct/>
        <w:topLinePunct w:val="0"/>
        <w:autoSpaceDE/>
        <w:autoSpaceDN/>
        <w:bidi w:val="0"/>
        <w:spacing w:line="560" w:lineRule="exact"/>
        <w:textAlignment w:val="auto"/>
        <w:rPr>
          <w:highlight w:val="none"/>
        </w:rPr>
      </w:pPr>
      <w:bookmarkStart w:id="77" w:name="_Toc28681227"/>
      <w:r>
        <w:rPr>
          <w:rFonts w:hint="eastAsia"/>
          <w:highlight w:val="none"/>
        </w:rPr>
        <w:t>（六）</w:t>
      </w:r>
      <w:r>
        <w:rPr>
          <w:highlight w:val="none"/>
        </w:rPr>
        <w:t>关于</w:t>
      </w:r>
      <w:r>
        <w:rPr>
          <w:rFonts w:hint="eastAsia"/>
          <w:highlight w:val="none"/>
        </w:rPr>
        <w:t>产品和服务</w:t>
      </w:r>
      <w:bookmarkEnd w:id="77"/>
    </w:p>
    <w:p w14:paraId="7B9DCFB0">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12E7C68B">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2、</w:t>
      </w:r>
      <w:r>
        <w:rPr>
          <w:rFonts w:hint="eastAsia" w:ascii="仿宋" w:hAnsi="仿宋" w:eastAsia="仿宋" w:cs="仿宋"/>
          <w:bCs/>
          <w:highlight w:val="none"/>
        </w:rPr>
        <w:t>采购的产品属于政府采购节能产品、环境标志产品品目清单范围的，</w:t>
      </w:r>
      <w:r>
        <w:rPr>
          <w:rFonts w:hint="eastAsia" w:ascii="仿宋" w:hAnsi="仿宋" w:eastAsia="仿宋" w:cs="仿宋"/>
          <w:bCs/>
          <w:highlight w:val="none"/>
          <w:lang w:eastAsia="zh-CN"/>
        </w:rPr>
        <w:t>供应商</w:t>
      </w:r>
      <w:r>
        <w:rPr>
          <w:rFonts w:hint="eastAsia" w:ascii="仿宋" w:hAnsi="仿宋" w:eastAsia="仿宋" w:cs="仿宋"/>
          <w:bCs/>
          <w:highlight w:val="none"/>
        </w:rPr>
        <w:t>需提供国家确定的认证机构出具的、处于有效期之内的节能产品、环境标志产品认证证书，对获得证书的产品实施政府优先采购或强制采购。</w:t>
      </w:r>
    </w:p>
    <w:p w14:paraId="20949C07">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5AB3FD89">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4、信息安全产品应当获得国家信息安全认证，并可提供由中国信息安全认证中心按照国家标准认证颁发的有效认证证书。</w:t>
      </w:r>
    </w:p>
    <w:p w14:paraId="0D3866B2">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5、根据《政府采购进口产品管理办法》（财库〔2007〕119号）与《关于政府采购进口产品管理有关问题的通知》（财办库[2008]248号）的有关规定，未经核准同意，供应商投标时必须提供本国产品，供应商以进口产品参与投标的，将作无效投标处理。</w:t>
      </w:r>
    </w:p>
    <w:p w14:paraId="5A46687C">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6、如谈判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14:paraId="43111742">
      <w:pPr>
        <w:pStyle w:val="7"/>
        <w:pageBreakBefore w:val="0"/>
        <w:kinsoku/>
        <w:overflowPunct/>
        <w:topLinePunct w:val="0"/>
        <w:autoSpaceDE/>
        <w:autoSpaceDN/>
        <w:bidi w:val="0"/>
        <w:spacing w:line="560" w:lineRule="exact"/>
        <w:textAlignment w:val="auto"/>
        <w:rPr>
          <w:highlight w:val="none"/>
        </w:rPr>
      </w:pPr>
      <w:bookmarkStart w:id="78" w:name="_Toc28681229"/>
      <w:r>
        <w:rPr>
          <w:rFonts w:hint="eastAsia"/>
          <w:highlight w:val="none"/>
        </w:rPr>
        <w:t>（七）知识产权与保密事项</w:t>
      </w:r>
      <w:bookmarkEnd w:id="78"/>
    </w:p>
    <w:p w14:paraId="624E2CCC">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1、所有涉及知识产权的产品及设计，供应商必须确保采购人拥有其合法的、不受限制的无偿使用权，并免受任何侵权诉讼或索偿，否则，由此产生的一切经济损失和法律责任由供应商承担。</w:t>
      </w:r>
    </w:p>
    <w:p w14:paraId="7EAE8DAD">
      <w:pPr>
        <w:pageBreakBefore w:val="0"/>
        <w:kinsoku/>
        <w:overflowPunct/>
        <w:topLinePunct w:val="0"/>
        <w:autoSpaceDE/>
        <w:autoSpaceDN/>
        <w:bidi w:val="0"/>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2、由采购人向供应商提供的用户需求书、图纸、样品、模型、模件和所有资料，供应商获得后，应对其保密。除非采购人同意，供应商不得向第三方透露或将其用于本次投标以外的任何用途。响应文件开启后，若采购人有要求，供应商须归还采购人认为需保密的文件和资料，并销毁所有相应的备份文件及资料。</w:t>
      </w:r>
    </w:p>
    <w:p w14:paraId="095C86E7">
      <w:pPr>
        <w:pStyle w:val="7"/>
        <w:pageBreakBefore w:val="0"/>
        <w:kinsoku/>
        <w:overflowPunct/>
        <w:topLinePunct w:val="0"/>
        <w:autoSpaceDE/>
        <w:autoSpaceDN/>
        <w:bidi w:val="0"/>
        <w:spacing w:line="560" w:lineRule="exact"/>
        <w:textAlignment w:val="auto"/>
        <w:rPr>
          <w:highlight w:val="none"/>
        </w:rPr>
      </w:pPr>
      <w:bookmarkStart w:id="79" w:name="_Toc28681230"/>
      <w:r>
        <w:rPr>
          <w:highlight w:val="none"/>
        </w:rPr>
        <w:t>（</w:t>
      </w:r>
      <w:r>
        <w:rPr>
          <w:rFonts w:hint="eastAsia"/>
          <w:highlight w:val="none"/>
        </w:rPr>
        <w:t>八</w:t>
      </w:r>
      <w:r>
        <w:rPr>
          <w:highlight w:val="none"/>
        </w:rPr>
        <w:t>）</w:t>
      </w:r>
      <w:r>
        <w:rPr>
          <w:rFonts w:hint="eastAsia"/>
          <w:highlight w:val="none"/>
        </w:rPr>
        <w:t>供应商</w:t>
      </w:r>
      <w:r>
        <w:rPr>
          <w:highlight w:val="none"/>
        </w:rPr>
        <w:t>的投标费用自理</w:t>
      </w:r>
      <w:bookmarkEnd w:id="79"/>
    </w:p>
    <w:p w14:paraId="04EA7030">
      <w:pPr>
        <w:pStyle w:val="4"/>
        <w:pageBreakBefore w:val="0"/>
        <w:kinsoku/>
        <w:overflowPunct/>
        <w:topLinePunct w:val="0"/>
        <w:autoSpaceDE/>
        <w:autoSpaceDN/>
        <w:bidi w:val="0"/>
        <w:spacing w:line="560" w:lineRule="exact"/>
        <w:ind w:firstLine="566" w:firstLineChars="200"/>
        <w:textAlignment w:val="auto"/>
        <w:rPr>
          <w:highlight w:val="none"/>
        </w:rPr>
      </w:pPr>
      <w:bookmarkStart w:id="80" w:name="_Toc7707"/>
      <w:bookmarkStart w:id="81" w:name="_Toc31926"/>
      <w:bookmarkStart w:id="82" w:name="_Toc28681231"/>
      <w:bookmarkStart w:id="83" w:name="_Toc21209"/>
      <w:bookmarkStart w:id="84" w:name="_Toc11172"/>
      <w:bookmarkStart w:id="85" w:name="_Toc25978"/>
      <w:bookmarkStart w:id="86" w:name="_Toc23432"/>
      <w:bookmarkStart w:id="87" w:name="_Toc3993"/>
      <w:bookmarkStart w:id="88" w:name="_Toc27010"/>
      <w:bookmarkStart w:id="89" w:name="_Toc23803"/>
      <w:bookmarkStart w:id="90" w:name="_Toc23721"/>
      <w:bookmarkStart w:id="91" w:name="_Toc19776"/>
      <w:bookmarkStart w:id="92" w:name="_Toc10020"/>
      <w:bookmarkStart w:id="93" w:name="_Toc13064"/>
      <w:r>
        <w:rPr>
          <w:highlight w:val="none"/>
        </w:rPr>
        <w:t>三、</w:t>
      </w:r>
      <w:bookmarkEnd w:id="80"/>
      <w:bookmarkEnd w:id="81"/>
      <w:bookmarkEnd w:id="82"/>
      <w:bookmarkEnd w:id="83"/>
      <w:bookmarkEnd w:id="84"/>
      <w:r>
        <w:rPr>
          <w:rFonts w:hint="eastAsia"/>
          <w:highlight w:val="none"/>
        </w:rPr>
        <w:t>谈判文件</w:t>
      </w:r>
      <w:bookmarkEnd w:id="85"/>
      <w:bookmarkEnd w:id="86"/>
      <w:bookmarkEnd w:id="87"/>
      <w:bookmarkEnd w:id="88"/>
      <w:bookmarkEnd w:id="89"/>
      <w:bookmarkEnd w:id="90"/>
      <w:bookmarkEnd w:id="91"/>
      <w:bookmarkEnd w:id="92"/>
      <w:bookmarkEnd w:id="93"/>
    </w:p>
    <w:p w14:paraId="62186FE5">
      <w:pPr>
        <w:pStyle w:val="7"/>
        <w:pageBreakBefore w:val="0"/>
        <w:kinsoku/>
        <w:overflowPunct/>
        <w:topLinePunct w:val="0"/>
        <w:autoSpaceDE/>
        <w:autoSpaceDN/>
        <w:bidi w:val="0"/>
        <w:spacing w:line="560" w:lineRule="exact"/>
        <w:textAlignment w:val="auto"/>
        <w:rPr>
          <w:highlight w:val="none"/>
        </w:rPr>
      </w:pPr>
      <w:bookmarkStart w:id="94" w:name="_Toc28681232"/>
      <w:r>
        <w:rPr>
          <w:rFonts w:hint="eastAsia"/>
          <w:highlight w:val="none"/>
        </w:rPr>
        <w:t>（一）谈判文件包括下列内容</w:t>
      </w:r>
      <w:bookmarkEnd w:id="94"/>
    </w:p>
    <w:p w14:paraId="1CADA34B">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第一章</w:t>
      </w:r>
      <w:r>
        <w:rPr>
          <w:rFonts w:hint="eastAsia" w:ascii="仿宋" w:hAnsi="仿宋" w:eastAsia="仿宋" w:cs="仿宋"/>
          <w:highlight w:val="none"/>
          <w:lang w:eastAsia="zh-CN"/>
        </w:rPr>
        <w:t xml:space="preserve"> </w:t>
      </w:r>
      <w:r>
        <w:rPr>
          <w:rFonts w:hint="eastAsia" w:ascii="仿宋" w:hAnsi="仿宋" w:eastAsia="仿宋" w:cs="仿宋"/>
          <w:highlight w:val="none"/>
        </w:rPr>
        <w:t>单一来源采购通知书</w:t>
      </w:r>
    </w:p>
    <w:p w14:paraId="67C49ACD">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第二章</w:t>
      </w:r>
      <w:r>
        <w:rPr>
          <w:rFonts w:hint="eastAsia" w:ascii="仿宋" w:hAnsi="仿宋" w:eastAsia="仿宋" w:cs="仿宋"/>
          <w:highlight w:val="none"/>
          <w:lang w:eastAsia="zh-CN"/>
        </w:rPr>
        <w:t xml:space="preserve"> </w:t>
      </w:r>
      <w:r>
        <w:rPr>
          <w:rFonts w:hint="eastAsia" w:ascii="仿宋" w:hAnsi="仿宋" w:eastAsia="仿宋" w:cs="仿宋"/>
          <w:highlight w:val="none"/>
        </w:rPr>
        <w:t>供应商须知</w:t>
      </w:r>
    </w:p>
    <w:p w14:paraId="44EBB2D4">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第三章</w:t>
      </w:r>
      <w:r>
        <w:rPr>
          <w:rFonts w:hint="eastAsia" w:ascii="仿宋" w:hAnsi="仿宋" w:eastAsia="仿宋" w:cs="仿宋"/>
          <w:highlight w:val="none"/>
          <w:lang w:eastAsia="zh-CN"/>
        </w:rPr>
        <w:t xml:space="preserve"> </w:t>
      </w:r>
      <w:r>
        <w:rPr>
          <w:rFonts w:hint="eastAsia" w:ascii="仿宋" w:hAnsi="仿宋" w:eastAsia="仿宋" w:cs="仿宋"/>
          <w:highlight w:val="none"/>
        </w:rPr>
        <w:t>采购内容及采购要求</w:t>
      </w:r>
    </w:p>
    <w:p w14:paraId="02B59D72">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第四章</w:t>
      </w:r>
      <w:r>
        <w:rPr>
          <w:rFonts w:hint="eastAsia" w:ascii="仿宋" w:hAnsi="仿宋" w:eastAsia="仿宋" w:cs="仿宋"/>
          <w:highlight w:val="none"/>
          <w:lang w:eastAsia="zh-CN"/>
        </w:rPr>
        <w:t xml:space="preserve"> </w:t>
      </w:r>
      <w:r>
        <w:rPr>
          <w:rFonts w:hint="eastAsia" w:ascii="仿宋" w:hAnsi="仿宋" w:eastAsia="仿宋" w:cs="仿宋"/>
          <w:highlight w:val="none"/>
        </w:rPr>
        <w:t>合同基本条款</w:t>
      </w:r>
    </w:p>
    <w:p w14:paraId="5D190BCF">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第五章</w:t>
      </w:r>
      <w:r>
        <w:rPr>
          <w:rFonts w:hint="eastAsia" w:ascii="仿宋" w:hAnsi="仿宋" w:eastAsia="仿宋" w:cs="仿宋"/>
          <w:highlight w:val="none"/>
          <w:lang w:eastAsia="zh-CN"/>
        </w:rPr>
        <w:t xml:space="preserve"> </w:t>
      </w:r>
      <w:r>
        <w:rPr>
          <w:rFonts w:hint="eastAsia" w:ascii="仿宋" w:hAnsi="仿宋" w:eastAsia="仿宋" w:cs="仿宋"/>
          <w:highlight w:val="none"/>
        </w:rPr>
        <w:t>响应文件构成及格式</w:t>
      </w:r>
    </w:p>
    <w:p w14:paraId="0EC87C52">
      <w:pPr>
        <w:pStyle w:val="7"/>
        <w:pageBreakBefore w:val="0"/>
        <w:kinsoku/>
        <w:overflowPunct/>
        <w:topLinePunct w:val="0"/>
        <w:autoSpaceDE/>
        <w:autoSpaceDN/>
        <w:bidi w:val="0"/>
        <w:spacing w:line="560" w:lineRule="exact"/>
        <w:textAlignment w:val="auto"/>
        <w:rPr>
          <w:highlight w:val="none"/>
        </w:rPr>
      </w:pPr>
      <w:bookmarkStart w:id="95" w:name="_Toc28681233"/>
      <w:r>
        <w:rPr>
          <w:rFonts w:hint="eastAsia"/>
          <w:highlight w:val="none"/>
        </w:rPr>
        <w:t>（二）谈判文件的检查及阅读</w:t>
      </w:r>
      <w:bookmarkEnd w:id="95"/>
    </w:p>
    <w:p w14:paraId="1C76407E">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供应商应仔细检查阅读谈判文件中的所有内容，按照谈判文件中所列事项、条款、规范要求及格式，在响应文件中对谈判文件做出实质性的响应，并按谈判文件的要求提交全部资料。</w:t>
      </w:r>
    </w:p>
    <w:p w14:paraId="63258B2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项目废标后重新组织谈判的，陕西中发项目管理发展有限公司将重新编制、发布新版谈判文件，供应商应按新版谈判文件重新编制响应文件。原谈判文件及响应文件失效。</w:t>
      </w:r>
    </w:p>
    <w:p w14:paraId="50BAE1CD">
      <w:pPr>
        <w:pageBreakBefore w:val="0"/>
        <w:kinsoku/>
        <w:overflowPunct/>
        <w:topLinePunct w:val="0"/>
        <w:autoSpaceDE/>
        <w:autoSpaceDN/>
        <w:bidi w:val="0"/>
        <w:spacing w:line="560" w:lineRule="exact"/>
        <w:ind w:firstLine="566" w:firstLineChars="200"/>
        <w:textAlignment w:val="auto"/>
        <w:rPr>
          <w:rFonts w:ascii="仿宋" w:hAnsi="仿宋" w:eastAsia="仿宋" w:cs="仿宋"/>
          <w:b/>
          <w:bCs/>
          <w:highlight w:val="none"/>
        </w:rPr>
      </w:pPr>
      <w:r>
        <w:rPr>
          <w:rFonts w:hint="eastAsia" w:ascii="仿宋" w:hAnsi="仿宋" w:eastAsia="仿宋" w:cs="仿宋"/>
          <w:b/>
          <w:bCs/>
          <w:highlight w:val="none"/>
        </w:rPr>
        <w:t>响应文件封面、响应函以及法定代表人授权委托书三处的项目名称、项目编号、标段（项目未分标段的除外）应当与谈判文件保持一致。</w:t>
      </w:r>
    </w:p>
    <w:p w14:paraId="2FF99640">
      <w:pPr>
        <w:pStyle w:val="7"/>
        <w:pageBreakBefore w:val="0"/>
        <w:kinsoku/>
        <w:overflowPunct/>
        <w:topLinePunct w:val="0"/>
        <w:autoSpaceDE/>
        <w:autoSpaceDN/>
        <w:bidi w:val="0"/>
        <w:spacing w:line="560" w:lineRule="exact"/>
        <w:textAlignment w:val="auto"/>
        <w:rPr>
          <w:highlight w:val="none"/>
        </w:rPr>
      </w:pPr>
      <w:bookmarkStart w:id="96" w:name="_Toc28681234"/>
      <w:r>
        <w:rPr>
          <w:rFonts w:hint="eastAsia"/>
          <w:highlight w:val="none"/>
        </w:rPr>
        <w:t>（三）谈判文件的修改、澄清</w:t>
      </w:r>
      <w:bookmarkEnd w:id="96"/>
    </w:p>
    <w:p w14:paraId="6FF968F4">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提交响应文件截止之日前，陕西中发项目管理发展有限公司可对已发出的谈判文件进行必要的澄清或者修改，澄清或者修改的内容作为谈判文件的组成部分。澄清或修改的内容可能影响响应文件编制的，陕西中发项目管理发展有限公司应当在提交响应文件截止之日3个工作日前，以书面形式通知供应商，不足3个工作日的，应当顺延提交响应文件截止之日。</w:t>
      </w:r>
    </w:p>
    <w:p w14:paraId="5DFD63F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highlight w:val="none"/>
        </w:rPr>
        <w:t>供应商</w:t>
      </w:r>
      <w:r>
        <w:rPr>
          <w:rFonts w:ascii="仿宋" w:hAnsi="仿宋" w:eastAsia="仿宋"/>
          <w:highlight w:val="none"/>
        </w:rPr>
        <w:t>对</w:t>
      </w:r>
      <w:r>
        <w:rPr>
          <w:rFonts w:hint="eastAsia" w:ascii="仿宋" w:hAnsi="仿宋" w:eastAsia="仿宋"/>
          <w:highlight w:val="none"/>
        </w:rPr>
        <w:t>谈判文件</w:t>
      </w:r>
      <w:r>
        <w:rPr>
          <w:rFonts w:ascii="仿宋" w:hAnsi="仿宋" w:eastAsia="仿宋"/>
          <w:highlight w:val="none"/>
        </w:rPr>
        <w:t>提出质疑的，应在</w:t>
      </w:r>
      <w:r>
        <w:rPr>
          <w:rFonts w:hint="eastAsia" w:ascii="仿宋" w:hAnsi="仿宋" w:eastAsia="仿宋"/>
          <w:highlight w:val="none"/>
        </w:rPr>
        <w:t>谈判文件</w:t>
      </w:r>
      <w:r>
        <w:rPr>
          <w:rFonts w:ascii="仿宋" w:hAnsi="仿宋" w:eastAsia="仿宋"/>
          <w:highlight w:val="none"/>
        </w:rPr>
        <w:t>公告期限届满之日起7个工作日内以书面形式提出，采购人或</w:t>
      </w:r>
      <w:r>
        <w:rPr>
          <w:rFonts w:hint="eastAsia" w:ascii="仿宋" w:hAnsi="仿宋" w:eastAsia="仿宋"/>
          <w:highlight w:val="none"/>
        </w:rPr>
        <w:t>陕西中发项目管理发展有限公司</w:t>
      </w:r>
      <w:r>
        <w:rPr>
          <w:rFonts w:ascii="仿宋" w:hAnsi="仿宋" w:eastAsia="仿宋"/>
          <w:highlight w:val="none"/>
        </w:rPr>
        <w:t>以书面形式予以答复；在此之后提出的针对</w:t>
      </w:r>
      <w:r>
        <w:rPr>
          <w:rFonts w:hint="eastAsia" w:ascii="仿宋" w:hAnsi="仿宋" w:eastAsia="仿宋"/>
          <w:highlight w:val="none"/>
        </w:rPr>
        <w:t>谈判文件</w:t>
      </w:r>
      <w:r>
        <w:rPr>
          <w:rFonts w:ascii="仿宋" w:hAnsi="仿宋" w:eastAsia="仿宋"/>
          <w:highlight w:val="none"/>
        </w:rPr>
        <w:t>的质疑为无效质疑。答复的内容可能影响</w:t>
      </w:r>
      <w:r>
        <w:rPr>
          <w:rFonts w:hint="eastAsia" w:ascii="仿宋" w:hAnsi="仿宋" w:eastAsia="仿宋"/>
          <w:highlight w:val="none"/>
        </w:rPr>
        <w:t>谈判文件</w:t>
      </w:r>
      <w:r>
        <w:rPr>
          <w:rFonts w:ascii="仿宋" w:hAnsi="仿宋" w:eastAsia="仿宋"/>
          <w:highlight w:val="none"/>
        </w:rPr>
        <w:t>编制的，</w:t>
      </w:r>
      <w:r>
        <w:rPr>
          <w:rFonts w:hint="eastAsia" w:ascii="仿宋" w:hAnsi="仿宋" w:eastAsia="仿宋"/>
          <w:highlight w:val="none"/>
        </w:rPr>
        <w:t>陕西中发项目管理发展有限公司</w:t>
      </w:r>
      <w:r>
        <w:rPr>
          <w:rFonts w:ascii="仿宋" w:hAnsi="仿宋" w:eastAsia="仿宋"/>
          <w:highlight w:val="none"/>
        </w:rPr>
        <w:t>将在财政部门指定的政府采购信息发布媒体上</w:t>
      </w:r>
      <w:r>
        <w:rPr>
          <w:rFonts w:ascii="仿宋" w:hAnsi="仿宋" w:eastAsia="仿宋"/>
          <w:b/>
          <w:bCs/>
          <w:highlight w:val="none"/>
        </w:rPr>
        <w:t>发布变更公告</w:t>
      </w:r>
      <w:r>
        <w:rPr>
          <w:rFonts w:ascii="仿宋" w:hAnsi="仿宋" w:eastAsia="仿宋"/>
          <w:highlight w:val="none"/>
        </w:rPr>
        <w:t>。</w:t>
      </w:r>
    </w:p>
    <w:p w14:paraId="6BA76C12">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ascii="仿宋" w:hAnsi="仿宋" w:eastAsia="仿宋" w:cs="仿宋"/>
          <w:highlight w:val="none"/>
        </w:rPr>
        <w:t>3</w:t>
      </w:r>
      <w:r>
        <w:rPr>
          <w:rFonts w:hint="eastAsia" w:ascii="仿宋" w:hAnsi="仿宋" w:eastAsia="仿宋" w:cs="仿宋"/>
          <w:highlight w:val="none"/>
        </w:rPr>
        <w:t>、</w:t>
      </w:r>
      <w:r>
        <w:rPr>
          <w:rFonts w:hint="eastAsia" w:eastAsia="仿宋" w:cs="Calibri Light"/>
          <w:highlight w:val="none"/>
        </w:rPr>
        <w:t>各供应商在提交投标文件截止时间之前，应随时关注发布的变更公告，陕西中发项目管理发展有限公司</w:t>
      </w:r>
      <w:r>
        <w:rPr>
          <w:rFonts w:hint="eastAsia" w:ascii="仿宋" w:hAnsi="华文仿宋" w:eastAsia="仿宋" w:cs="华文仿宋"/>
          <w:b/>
          <w:bCs/>
          <w:highlight w:val="none"/>
        </w:rPr>
        <w:t>不再单独通知，因供应商未及时关注所造成的一切后果由供应商自行承担：</w:t>
      </w:r>
    </w:p>
    <w:p w14:paraId="00E4C369">
      <w:pPr>
        <w:pStyle w:val="7"/>
        <w:pageBreakBefore w:val="0"/>
        <w:kinsoku/>
        <w:overflowPunct/>
        <w:topLinePunct w:val="0"/>
        <w:autoSpaceDE/>
        <w:autoSpaceDN/>
        <w:bidi w:val="0"/>
        <w:spacing w:line="560" w:lineRule="exact"/>
        <w:textAlignment w:val="auto"/>
        <w:rPr>
          <w:highlight w:val="none"/>
        </w:rPr>
      </w:pPr>
      <w:bookmarkStart w:id="97" w:name="_Toc28681235"/>
      <w:r>
        <w:rPr>
          <w:rFonts w:hint="eastAsia"/>
          <w:highlight w:val="none"/>
        </w:rPr>
        <w:t>（四）谈判文件的解释权归陕西中发项目管理发展有限公司。</w:t>
      </w:r>
      <w:bookmarkEnd w:id="97"/>
    </w:p>
    <w:p w14:paraId="489B841A">
      <w:pPr>
        <w:pStyle w:val="4"/>
        <w:pageBreakBefore w:val="0"/>
        <w:kinsoku/>
        <w:overflowPunct/>
        <w:topLinePunct w:val="0"/>
        <w:autoSpaceDE/>
        <w:autoSpaceDN/>
        <w:bidi w:val="0"/>
        <w:spacing w:line="560" w:lineRule="exact"/>
        <w:ind w:firstLine="566" w:firstLineChars="200"/>
        <w:textAlignment w:val="auto"/>
        <w:rPr>
          <w:highlight w:val="none"/>
        </w:rPr>
      </w:pPr>
      <w:bookmarkStart w:id="98" w:name="_Toc27370"/>
      <w:bookmarkStart w:id="99" w:name="_Toc1794"/>
      <w:bookmarkStart w:id="100" w:name="_Toc3187"/>
      <w:bookmarkStart w:id="101" w:name="_Toc7136"/>
      <w:bookmarkStart w:id="102" w:name="_Toc27193"/>
      <w:bookmarkStart w:id="103" w:name="_Toc28965"/>
      <w:bookmarkStart w:id="104" w:name="_Toc6398"/>
      <w:bookmarkStart w:id="105" w:name="_Toc23459"/>
      <w:bookmarkStart w:id="106" w:name="_Toc11188"/>
      <w:bookmarkStart w:id="107" w:name="_Toc28681236"/>
      <w:bookmarkStart w:id="108" w:name="_Toc22582"/>
      <w:bookmarkStart w:id="109" w:name="_Toc1453"/>
      <w:bookmarkStart w:id="110" w:name="_Toc3107"/>
      <w:bookmarkStart w:id="111" w:name="_Toc23003"/>
      <w:r>
        <w:rPr>
          <w:rFonts w:hint="eastAsia"/>
          <w:highlight w:val="none"/>
        </w:rPr>
        <w:t>四、谈判保证金</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5881737">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bookmarkStart w:id="112" w:name="_Toc28681238"/>
      <w:bookmarkStart w:id="113" w:name="_Toc20935"/>
      <w:bookmarkStart w:id="114" w:name="_Toc30514"/>
      <w:bookmarkStart w:id="115" w:name="_Toc16727"/>
      <w:bookmarkStart w:id="116" w:name="_Toc22370"/>
      <w:bookmarkStart w:id="117" w:name="_Toc21830"/>
      <w:bookmarkStart w:id="118" w:name="_Toc1732"/>
      <w:r>
        <w:rPr>
          <w:rFonts w:hint="eastAsia" w:ascii="仿宋" w:hAnsi="仿宋" w:eastAsia="仿宋" w:cs="仿宋"/>
          <w:highlight w:val="none"/>
        </w:rPr>
        <w:t>本项目不收取保证金。</w:t>
      </w:r>
    </w:p>
    <w:p w14:paraId="46D64F46">
      <w:pPr>
        <w:pStyle w:val="4"/>
        <w:pageBreakBefore w:val="0"/>
        <w:kinsoku/>
        <w:overflowPunct/>
        <w:topLinePunct w:val="0"/>
        <w:autoSpaceDE/>
        <w:autoSpaceDN/>
        <w:bidi w:val="0"/>
        <w:spacing w:line="560" w:lineRule="exact"/>
        <w:ind w:firstLine="566" w:firstLineChars="200"/>
        <w:textAlignment w:val="auto"/>
        <w:rPr>
          <w:highlight w:val="none"/>
        </w:rPr>
      </w:pPr>
      <w:bookmarkStart w:id="119" w:name="_Toc21143"/>
      <w:bookmarkStart w:id="120" w:name="_Toc10318"/>
      <w:bookmarkStart w:id="121" w:name="_Toc20427"/>
      <w:bookmarkStart w:id="122" w:name="_Toc5827"/>
      <w:bookmarkStart w:id="123" w:name="_Toc28874"/>
      <w:bookmarkStart w:id="124" w:name="_Toc20841"/>
      <w:bookmarkStart w:id="125" w:name="_Toc27232"/>
      <w:r>
        <w:rPr>
          <w:rFonts w:hint="eastAsia"/>
          <w:highlight w:val="none"/>
        </w:rPr>
        <w:t>五、谈判报价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EC8A9CA">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谈判报价是供应商响应采购项目要求的全部工作内容的价格体现，包括完成采购内容所需的直接费、间接费、利润、税金及其它相关的一切费用。供应商在报价时应充分考虑所有可能发生的费用，谈判文件未列明，而供应商认为应当计取的费用均应列入报价中。报价时不论是否计取，采购人均按已计取对待。</w:t>
      </w:r>
    </w:p>
    <w:p w14:paraId="0E7FD3C0">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（一）</w:t>
      </w:r>
      <w:r>
        <w:rPr>
          <w:rFonts w:hint="eastAsia" w:ascii="仿宋" w:hAnsi="仿宋" w:eastAsia="仿宋"/>
          <w:highlight w:val="none"/>
        </w:rPr>
        <w:t>供应商</w:t>
      </w:r>
      <w:r>
        <w:rPr>
          <w:rFonts w:ascii="仿宋" w:hAnsi="仿宋" w:eastAsia="仿宋"/>
          <w:highlight w:val="none"/>
        </w:rPr>
        <w:t>应在响应文件中的</w:t>
      </w:r>
      <w:r>
        <w:rPr>
          <w:rFonts w:hint="eastAsia" w:ascii="仿宋" w:hAnsi="仿宋" w:eastAsia="仿宋"/>
          <w:highlight w:val="none"/>
        </w:rPr>
        <w:t>《</w:t>
      </w:r>
      <w:r>
        <w:rPr>
          <w:rFonts w:ascii="仿宋" w:hAnsi="仿宋" w:eastAsia="仿宋"/>
          <w:highlight w:val="none"/>
        </w:rPr>
        <w:t>第一次</w:t>
      </w:r>
      <w:r>
        <w:rPr>
          <w:rFonts w:hint="eastAsia" w:ascii="仿宋" w:hAnsi="仿宋" w:eastAsia="仿宋"/>
          <w:highlight w:val="none"/>
        </w:rPr>
        <w:t>谈判</w:t>
      </w:r>
      <w:r>
        <w:rPr>
          <w:rFonts w:ascii="仿宋" w:hAnsi="仿宋" w:eastAsia="仿宋"/>
          <w:highlight w:val="none"/>
        </w:rPr>
        <w:t>报价表</w:t>
      </w:r>
      <w:r>
        <w:rPr>
          <w:rFonts w:hint="eastAsia" w:ascii="仿宋" w:hAnsi="仿宋" w:eastAsia="仿宋"/>
          <w:highlight w:val="none"/>
        </w:rPr>
        <w:t>》</w:t>
      </w:r>
      <w:r>
        <w:rPr>
          <w:rFonts w:ascii="仿宋" w:hAnsi="仿宋" w:eastAsia="仿宋"/>
          <w:highlight w:val="none"/>
        </w:rPr>
        <w:t>上标明</w:t>
      </w:r>
      <w:r>
        <w:rPr>
          <w:rFonts w:hint="eastAsia" w:ascii="仿宋" w:hAnsi="仿宋" w:eastAsia="仿宋"/>
          <w:highlight w:val="none"/>
        </w:rPr>
        <w:t>产品/服务</w:t>
      </w:r>
      <w:r>
        <w:rPr>
          <w:rFonts w:ascii="仿宋" w:hAnsi="仿宋" w:eastAsia="仿宋"/>
          <w:highlight w:val="none"/>
        </w:rPr>
        <w:t>报价。</w:t>
      </w:r>
    </w:p>
    <w:p w14:paraId="571DCBBC">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ascii="仿宋" w:hAnsi="仿宋" w:eastAsia="仿宋"/>
          <w:highlight w:val="none"/>
        </w:rPr>
        <w:t>（二）一般情况下采取多次报价的办法，由谈判小组与供应商进行多轮谈判。</w:t>
      </w:r>
    </w:p>
    <w:p w14:paraId="7AC17074">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（三）</w:t>
      </w:r>
      <w:r>
        <w:rPr>
          <w:rFonts w:hint="eastAsia" w:ascii="仿宋" w:hAnsi="仿宋" w:eastAsia="仿宋"/>
          <w:highlight w:val="none"/>
        </w:rPr>
        <w:t>谈判</w:t>
      </w:r>
      <w:r>
        <w:rPr>
          <w:rFonts w:ascii="仿宋" w:hAnsi="仿宋" w:eastAsia="仿宋"/>
          <w:highlight w:val="none"/>
        </w:rPr>
        <w:t>报价货币：</w:t>
      </w:r>
      <w:r>
        <w:rPr>
          <w:rFonts w:hint="eastAsia" w:ascii="仿宋" w:hAnsi="仿宋" w:eastAsia="仿宋" w:cs="华文仿宋"/>
          <w:b/>
          <w:highlight w:val="none"/>
        </w:rPr>
        <w:t>人民币</w:t>
      </w:r>
      <w:r>
        <w:rPr>
          <w:rFonts w:hint="eastAsia" w:ascii="仿宋" w:hAnsi="仿宋" w:eastAsia="仿宋" w:cs="华文仿宋"/>
          <w:highlight w:val="none"/>
        </w:rPr>
        <w:t>；</w:t>
      </w:r>
      <w:r>
        <w:rPr>
          <w:rFonts w:hint="eastAsia" w:ascii="仿宋" w:hAnsi="仿宋" w:eastAsia="仿宋" w:cs="华文仿宋"/>
          <w:b/>
          <w:bCs/>
          <w:highlight w:val="none"/>
        </w:rPr>
        <w:t>单位：元</w:t>
      </w:r>
      <w:r>
        <w:rPr>
          <w:rFonts w:hint="eastAsia" w:ascii="仿宋" w:hAnsi="仿宋" w:eastAsia="仿宋" w:cs="华文仿宋"/>
          <w:bCs/>
          <w:highlight w:val="none"/>
        </w:rPr>
        <w:t>，</w:t>
      </w:r>
      <w:r>
        <w:rPr>
          <w:rFonts w:hint="eastAsia" w:ascii="仿宋" w:hAnsi="仿宋" w:eastAsia="仿宋" w:cs="华文仿宋"/>
          <w:b/>
          <w:highlight w:val="none"/>
        </w:rPr>
        <w:t>保留元</w:t>
      </w:r>
      <w:r>
        <w:rPr>
          <w:rFonts w:hint="eastAsia" w:ascii="仿宋" w:hAnsi="仿宋" w:eastAsia="仿宋" w:cs="华文仿宋"/>
          <w:highlight w:val="none"/>
        </w:rPr>
        <w:t>。</w:t>
      </w:r>
    </w:p>
    <w:p w14:paraId="0289E41F">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（四）</w:t>
      </w:r>
      <w:r>
        <w:rPr>
          <w:rFonts w:hint="eastAsia" w:ascii="仿宋" w:hAnsi="仿宋" w:eastAsia="仿宋"/>
          <w:highlight w:val="none"/>
        </w:rPr>
        <w:t>谈判</w:t>
      </w:r>
      <w:r>
        <w:rPr>
          <w:rFonts w:ascii="仿宋" w:hAnsi="仿宋" w:eastAsia="仿宋"/>
          <w:highlight w:val="none"/>
        </w:rPr>
        <w:t>报价金额的小写与大写不一致时，以大写为准。</w:t>
      </w:r>
    </w:p>
    <w:p w14:paraId="2EF5351F">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）因</w:t>
      </w:r>
      <w:r>
        <w:rPr>
          <w:rFonts w:hint="eastAsia" w:ascii="仿宋" w:hAnsi="仿宋" w:eastAsia="仿宋"/>
          <w:highlight w:val="none"/>
        </w:rPr>
        <w:t>供应商</w:t>
      </w:r>
      <w:r>
        <w:rPr>
          <w:rFonts w:ascii="仿宋" w:hAnsi="仿宋" w:eastAsia="仿宋"/>
          <w:highlight w:val="none"/>
        </w:rPr>
        <w:t>对</w:t>
      </w:r>
      <w:r>
        <w:rPr>
          <w:rFonts w:hint="eastAsia" w:ascii="仿宋" w:hAnsi="仿宋" w:eastAsia="仿宋"/>
          <w:highlight w:val="none"/>
        </w:rPr>
        <w:t>谈判文件</w:t>
      </w:r>
      <w:r>
        <w:rPr>
          <w:rFonts w:ascii="仿宋" w:hAnsi="仿宋" w:eastAsia="仿宋"/>
          <w:highlight w:val="none"/>
        </w:rPr>
        <w:t>理解不透、误解、疏漏或对市场行情了解不清造成的后果和风险，均由</w:t>
      </w:r>
      <w:r>
        <w:rPr>
          <w:rFonts w:hint="eastAsia" w:ascii="仿宋" w:hAnsi="仿宋" w:eastAsia="仿宋"/>
          <w:highlight w:val="none"/>
        </w:rPr>
        <w:t>供应商</w:t>
      </w:r>
      <w:r>
        <w:rPr>
          <w:rFonts w:ascii="仿宋" w:hAnsi="仿宋" w:eastAsia="仿宋"/>
          <w:highlight w:val="none"/>
        </w:rPr>
        <w:t>自己负责。</w:t>
      </w:r>
    </w:p>
    <w:p w14:paraId="41FF0F28">
      <w:pPr>
        <w:pStyle w:val="4"/>
        <w:pageBreakBefore w:val="0"/>
        <w:kinsoku/>
        <w:overflowPunct/>
        <w:topLinePunct w:val="0"/>
        <w:autoSpaceDE/>
        <w:autoSpaceDN/>
        <w:bidi w:val="0"/>
        <w:spacing w:line="560" w:lineRule="exact"/>
        <w:ind w:firstLine="566" w:firstLineChars="200"/>
        <w:textAlignment w:val="auto"/>
        <w:rPr>
          <w:highlight w:val="none"/>
        </w:rPr>
      </w:pPr>
      <w:bookmarkStart w:id="126" w:name="_Toc15436"/>
      <w:bookmarkStart w:id="127" w:name="_Toc27551"/>
      <w:bookmarkStart w:id="128" w:name="_Toc13220"/>
      <w:bookmarkStart w:id="129" w:name="_Toc28681239"/>
      <w:bookmarkStart w:id="130" w:name="_Toc10988"/>
      <w:bookmarkStart w:id="131" w:name="_Toc7151"/>
      <w:bookmarkStart w:id="132" w:name="_Toc17589"/>
      <w:bookmarkStart w:id="133" w:name="_Toc31158"/>
      <w:bookmarkStart w:id="134" w:name="_Toc21645"/>
      <w:bookmarkStart w:id="135" w:name="_Toc3570"/>
      <w:bookmarkStart w:id="136" w:name="_Toc25607"/>
      <w:bookmarkStart w:id="137" w:name="_Toc3588"/>
      <w:bookmarkStart w:id="138" w:name="_Toc26051"/>
      <w:bookmarkStart w:id="139" w:name="_Toc25887"/>
      <w:r>
        <w:rPr>
          <w:rFonts w:hint="eastAsia"/>
          <w:highlight w:val="none"/>
        </w:rPr>
        <w:t>六、响应文件的式样、签署及有效期</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FD7A4F0">
      <w:pPr>
        <w:pStyle w:val="7"/>
        <w:pageBreakBefore w:val="0"/>
        <w:kinsoku/>
        <w:overflowPunct/>
        <w:topLinePunct w:val="0"/>
        <w:autoSpaceDE/>
        <w:autoSpaceDN/>
        <w:bidi w:val="0"/>
        <w:spacing w:line="560" w:lineRule="exact"/>
        <w:textAlignment w:val="auto"/>
        <w:rPr>
          <w:highlight w:val="none"/>
        </w:rPr>
      </w:pPr>
      <w:bookmarkStart w:id="140" w:name="_Toc28681240"/>
      <w:r>
        <w:rPr>
          <w:rFonts w:hint="eastAsia"/>
          <w:highlight w:val="none"/>
        </w:rPr>
        <w:t>（一）响应文件式样</w:t>
      </w:r>
      <w:bookmarkEnd w:id="140"/>
    </w:p>
    <w:p w14:paraId="44D77645">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1、供应商依照谈判文件第五章《响应文件构成及格式》给定形式进行编制，并按第一章《单一来源采购通知书》中规定的响应文件份数要求进行印刷，正本及各副本分别装订成册。项目分标段的，应按所投标</w:t>
      </w:r>
      <w:r>
        <w:rPr>
          <w:rFonts w:hint="eastAsia" w:ascii="仿宋" w:hAnsi="仿宋" w:eastAsia="仿宋" w:cs="仿宋"/>
          <w:w w:val="1"/>
          <w:highlight w:val="none"/>
        </w:rPr>
        <w:t xml:space="preserve"> </w:t>
      </w:r>
      <w:r>
        <w:rPr>
          <w:rFonts w:hint="eastAsia" w:ascii="仿宋" w:hAnsi="仿宋" w:eastAsia="仿宋" w:cs="仿宋"/>
          <w:highlight w:val="none"/>
        </w:rPr>
        <w:t>段分别准备响应文件。</w:t>
      </w:r>
    </w:p>
    <w:p w14:paraId="40AB1EF5">
      <w:pPr>
        <w:pageBreakBefore w:val="0"/>
        <w:kinsoku/>
        <w:overflowPunct/>
        <w:topLinePunct w:val="0"/>
        <w:autoSpaceDE/>
        <w:autoSpaceDN/>
        <w:bidi w:val="0"/>
        <w:spacing w:line="560" w:lineRule="exact"/>
        <w:ind w:firstLine="566" w:firstLineChars="200"/>
        <w:textAlignment w:val="auto"/>
        <w:rPr>
          <w:rFonts w:hint="eastAsia" w:ascii="仿宋" w:hAnsi="仿宋" w:eastAsia="仿宋" w:cs="仿宋"/>
          <w:highlight w:val="none"/>
        </w:rPr>
      </w:pPr>
      <w:r>
        <w:rPr>
          <w:rFonts w:hint="eastAsia" w:ascii="仿宋" w:hAnsi="仿宋" w:eastAsia="仿宋" w:cs="仿宋"/>
          <w:highlight w:val="none"/>
        </w:rPr>
        <w:t>响应文件正副本内容应当一致，若正本内容和副本内容不符，以正本为准。</w:t>
      </w:r>
    </w:p>
    <w:p w14:paraId="1CCAB0FB">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2、响应文件的正本和全部的副本均须</w:t>
      </w:r>
      <w:r>
        <w:rPr>
          <w:rFonts w:hint="eastAsia" w:ascii="仿宋" w:hAnsi="仿宋" w:eastAsia="仿宋" w:cs="仿宋"/>
          <w:b/>
          <w:bCs/>
          <w:highlight w:val="none"/>
        </w:rPr>
        <w:t>打印</w:t>
      </w:r>
      <w:r>
        <w:rPr>
          <w:rFonts w:hint="eastAsia" w:ascii="仿宋" w:hAnsi="仿宋" w:eastAsia="仿宋" w:cs="仿宋"/>
          <w:highlight w:val="none"/>
        </w:rPr>
        <w:t>或</w:t>
      </w:r>
      <w:r>
        <w:rPr>
          <w:rFonts w:hint="eastAsia" w:ascii="仿宋" w:hAnsi="仿宋" w:eastAsia="仿宋" w:cs="仿宋"/>
          <w:b/>
          <w:bCs/>
          <w:highlight w:val="none"/>
        </w:rPr>
        <w:t>用蓝（黑）色墨水书写</w:t>
      </w:r>
      <w:r>
        <w:rPr>
          <w:rFonts w:hint="eastAsia" w:ascii="仿宋" w:hAnsi="仿宋" w:eastAsia="仿宋" w:cs="仿宋"/>
          <w:highlight w:val="none"/>
        </w:rPr>
        <w:t>，统一标码，在每页正下方标明页码。</w:t>
      </w:r>
      <w:r>
        <w:rPr>
          <w:rFonts w:hint="eastAsia" w:ascii="仿宋" w:hAnsi="仿宋" w:eastAsia="仿宋" w:cs="仿宋"/>
          <w:b/>
          <w:bCs/>
          <w:highlight w:val="none"/>
        </w:rPr>
        <w:t>鼓励双面打印。</w:t>
      </w:r>
      <w:r>
        <w:rPr>
          <w:rFonts w:hint="eastAsia" w:ascii="仿宋" w:hAnsi="仿宋" w:eastAsia="仿宋" w:cs="仿宋"/>
          <w:highlight w:val="none"/>
        </w:rPr>
        <w:t>因字迹潦草或表达不清所导致的不利后果，由投标供应商自行承担。</w:t>
      </w:r>
    </w:p>
    <w:p w14:paraId="22752B47">
      <w:pPr>
        <w:pageBreakBefore w:val="0"/>
        <w:kinsoku/>
        <w:overflowPunct/>
        <w:topLinePunct w:val="0"/>
        <w:autoSpaceDE/>
        <w:autoSpaceDN/>
        <w:bidi w:val="0"/>
        <w:spacing w:line="560" w:lineRule="exact"/>
        <w:ind w:firstLine="566" w:firstLineChars="200"/>
        <w:textAlignment w:val="auto"/>
        <w:rPr>
          <w:rFonts w:ascii="仿宋" w:hAnsi="仿宋" w:eastAsia="仿宋" w:cs="仿宋"/>
          <w:b/>
          <w:bCs/>
          <w:highlight w:val="none"/>
        </w:rPr>
      </w:pPr>
      <w:r>
        <w:rPr>
          <w:rFonts w:hint="eastAsia" w:ascii="仿宋" w:hAnsi="仿宋" w:eastAsia="仿宋" w:cs="仿宋"/>
          <w:highlight w:val="none"/>
        </w:rPr>
        <w:t>3、响应文件装订方式：</w:t>
      </w:r>
      <w:r>
        <w:rPr>
          <w:rFonts w:hint="eastAsia" w:ascii="仿宋" w:hAnsi="仿宋" w:eastAsia="仿宋" w:cs="仿宋"/>
          <w:b/>
          <w:bCs/>
          <w:highlight w:val="none"/>
        </w:rPr>
        <w:t>胶订</w:t>
      </w:r>
      <w:r>
        <w:rPr>
          <w:rFonts w:hint="eastAsia" w:ascii="仿宋" w:hAnsi="仿宋" w:eastAsia="仿宋" w:cs="仿宋"/>
          <w:highlight w:val="none"/>
        </w:rPr>
        <w:t>（图纸及特殊文件除外）。</w:t>
      </w:r>
    </w:p>
    <w:p w14:paraId="7028F7CC">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4、谈判活动的所有文件、资料、函电文字均使用</w:t>
      </w:r>
      <w:r>
        <w:rPr>
          <w:rFonts w:hint="eastAsia" w:ascii="仿宋" w:hAnsi="仿宋" w:eastAsia="仿宋" w:cs="仿宋"/>
          <w:b/>
          <w:bCs/>
          <w:highlight w:val="none"/>
        </w:rPr>
        <w:t>简体中文</w:t>
      </w:r>
      <w:r>
        <w:rPr>
          <w:rFonts w:hint="eastAsia" w:ascii="仿宋" w:hAnsi="仿宋" w:eastAsia="仿宋" w:cs="仿宋"/>
          <w:highlight w:val="none"/>
        </w:rPr>
        <w:t>，确需提交用其他语言形成的资料，必须翻译成简体中文，如有差异，以简体中文为准。</w:t>
      </w:r>
    </w:p>
    <w:p w14:paraId="11CDBD19">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5、响应文件的计量单位应使用中华人民共和国法定计量单位，但谈判文件另有规定的除外。</w:t>
      </w:r>
    </w:p>
    <w:p w14:paraId="7FB880B8">
      <w:pPr>
        <w:pStyle w:val="7"/>
        <w:pageBreakBefore w:val="0"/>
        <w:kinsoku/>
        <w:overflowPunct/>
        <w:topLinePunct w:val="0"/>
        <w:autoSpaceDE/>
        <w:autoSpaceDN/>
        <w:bidi w:val="0"/>
        <w:spacing w:line="560" w:lineRule="exact"/>
        <w:textAlignment w:val="auto"/>
        <w:rPr>
          <w:highlight w:val="none"/>
        </w:rPr>
      </w:pPr>
      <w:bookmarkStart w:id="141" w:name="_Toc28681241"/>
      <w:r>
        <w:rPr>
          <w:rFonts w:hint="eastAsia"/>
          <w:highlight w:val="none"/>
        </w:rPr>
        <w:t>（二）响应文件的签署</w:t>
      </w:r>
      <w:bookmarkEnd w:id="141"/>
    </w:p>
    <w:p w14:paraId="03A934ED">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供应商应按照谈判文件第一章“供应商资格要求”及第五章“响应文件构成及格式”中指明的要求进行签署、盖章。</w:t>
      </w:r>
    </w:p>
    <w:p w14:paraId="46039A87">
      <w:pPr>
        <w:pStyle w:val="7"/>
        <w:pageBreakBefore w:val="0"/>
        <w:kinsoku/>
        <w:overflowPunct/>
        <w:topLinePunct w:val="0"/>
        <w:autoSpaceDE/>
        <w:autoSpaceDN/>
        <w:bidi w:val="0"/>
        <w:spacing w:line="560" w:lineRule="exact"/>
        <w:textAlignment w:val="auto"/>
        <w:rPr>
          <w:highlight w:val="none"/>
        </w:rPr>
      </w:pPr>
      <w:bookmarkStart w:id="142" w:name="_Toc28681242"/>
      <w:r>
        <w:rPr>
          <w:rFonts w:hint="eastAsia"/>
          <w:highlight w:val="none"/>
        </w:rPr>
        <w:t>（三）响应文件有效期</w:t>
      </w:r>
      <w:bookmarkEnd w:id="142"/>
    </w:p>
    <w:p w14:paraId="4E92F381">
      <w:pPr>
        <w:pageBreakBefore w:val="0"/>
        <w:kinsoku/>
        <w:overflowPunct/>
        <w:topLinePunct w:val="0"/>
        <w:autoSpaceDE/>
        <w:autoSpaceDN/>
        <w:bidi w:val="0"/>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响应文件有效期为</w:t>
      </w:r>
      <w:r>
        <w:rPr>
          <w:rFonts w:hint="eastAsia" w:ascii="仿宋" w:hAnsi="仿宋" w:eastAsia="仿宋" w:cs="仿宋"/>
          <w:b/>
          <w:bCs/>
          <w:highlight w:val="none"/>
        </w:rPr>
        <w:t>自谈判之日起90个日历日</w:t>
      </w:r>
      <w:r>
        <w:rPr>
          <w:rFonts w:hint="eastAsia" w:ascii="仿宋" w:hAnsi="仿宋" w:eastAsia="仿宋" w:cs="仿宋"/>
          <w:highlight w:val="none"/>
        </w:rPr>
        <w:t>。如成交，延长至合同执行完毕时止。</w:t>
      </w:r>
    </w:p>
    <w:p w14:paraId="7A2312F1">
      <w:pPr>
        <w:pStyle w:val="4"/>
        <w:pageBreakBefore w:val="0"/>
        <w:kinsoku/>
        <w:overflowPunct/>
        <w:topLinePunct w:val="0"/>
        <w:autoSpaceDE/>
        <w:autoSpaceDN/>
        <w:bidi w:val="0"/>
        <w:spacing w:line="560" w:lineRule="exact"/>
        <w:ind w:firstLine="566" w:firstLineChars="200"/>
        <w:textAlignment w:val="auto"/>
        <w:rPr>
          <w:highlight w:val="none"/>
        </w:rPr>
      </w:pPr>
      <w:bookmarkStart w:id="143" w:name="_Toc10407"/>
      <w:bookmarkStart w:id="144" w:name="_Toc7351"/>
      <w:bookmarkStart w:id="145" w:name="_Toc24070"/>
      <w:bookmarkStart w:id="146" w:name="_Toc7734"/>
      <w:bookmarkStart w:id="147" w:name="_Toc14970"/>
      <w:bookmarkStart w:id="148" w:name="_Toc30194"/>
      <w:bookmarkStart w:id="149" w:name="_Toc31677"/>
      <w:bookmarkStart w:id="150" w:name="_Toc24227"/>
      <w:bookmarkStart w:id="151" w:name="_Toc28681243"/>
      <w:bookmarkStart w:id="152" w:name="_Toc11150"/>
      <w:bookmarkStart w:id="153" w:name="_Toc31388"/>
      <w:bookmarkStart w:id="154" w:name="_Toc16157"/>
      <w:bookmarkStart w:id="155" w:name="_Toc13987"/>
      <w:bookmarkStart w:id="156" w:name="_Toc7609"/>
      <w:r>
        <w:rPr>
          <w:rFonts w:hint="eastAsia"/>
          <w:highlight w:val="none"/>
        </w:rPr>
        <w:t>七、响应文件的密封、提交、修改和撤回</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E2BCA4C">
      <w:pPr>
        <w:pStyle w:val="7"/>
        <w:pageBreakBefore w:val="0"/>
        <w:kinsoku/>
        <w:overflowPunct/>
        <w:topLinePunct w:val="0"/>
        <w:autoSpaceDE/>
        <w:autoSpaceDN/>
        <w:bidi w:val="0"/>
        <w:spacing w:line="560" w:lineRule="exact"/>
        <w:textAlignment w:val="auto"/>
        <w:rPr>
          <w:highlight w:val="none"/>
        </w:rPr>
      </w:pPr>
      <w:bookmarkStart w:id="157" w:name="_Toc28681244"/>
      <w:r>
        <w:rPr>
          <w:rFonts w:hint="eastAsia"/>
          <w:highlight w:val="none"/>
        </w:rPr>
        <w:t>（一）响应文件的密封</w:t>
      </w:r>
      <w:bookmarkEnd w:id="157"/>
    </w:p>
    <w:p w14:paraId="545053E4">
      <w:pPr>
        <w:pageBreakBefore w:val="0"/>
        <w:kinsoku/>
        <w:overflowPunct/>
        <w:topLinePunct w:val="0"/>
        <w:autoSpaceDE/>
        <w:autoSpaceDN/>
        <w:bidi w:val="0"/>
        <w:spacing w:line="560" w:lineRule="exact"/>
        <w:ind w:firstLine="566" w:firstLineChars="200"/>
        <w:textAlignment w:val="auto"/>
        <w:rPr>
          <w:rFonts w:ascii="仿宋" w:hAnsi="仿宋" w:eastAsia="仿宋" w:cs="仿宋"/>
          <w:b/>
          <w:highlight w:val="none"/>
        </w:rPr>
      </w:pPr>
      <w:r>
        <w:rPr>
          <w:rFonts w:hint="eastAsia" w:ascii="仿宋" w:hAnsi="仿宋" w:eastAsia="仿宋" w:cs="仿宋"/>
          <w:highlight w:val="none"/>
        </w:rPr>
        <w:t>供应商应将响应文件的正本单独密封，副本一起密封，电子件单独封装后与副本一起密封。封口处应密封牢固，并按谈判文件第五章第四部分《响应文件封袋标识式样》在封袋正面或背面加贴标识，同时注明“</w:t>
      </w:r>
      <w:r>
        <w:rPr>
          <w:rFonts w:hint="eastAsia" w:ascii="仿宋" w:hAnsi="仿宋" w:eastAsia="仿宋" w:cs="仿宋"/>
          <w:b/>
          <w:bCs/>
          <w:highlight w:val="none"/>
        </w:rPr>
        <w:t>正本</w:t>
      </w:r>
      <w:r>
        <w:rPr>
          <w:rFonts w:hint="eastAsia" w:ascii="仿宋" w:hAnsi="仿宋" w:eastAsia="仿宋" w:cs="仿宋"/>
          <w:highlight w:val="none"/>
        </w:rPr>
        <w:t>”或“</w:t>
      </w:r>
      <w:r>
        <w:rPr>
          <w:rFonts w:hint="eastAsia" w:ascii="仿宋" w:hAnsi="仿宋" w:eastAsia="仿宋" w:cs="仿宋"/>
          <w:b/>
          <w:bCs/>
          <w:highlight w:val="none"/>
        </w:rPr>
        <w:t>副本</w:t>
      </w:r>
      <w:r>
        <w:rPr>
          <w:rFonts w:hint="eastAsia" w:ascii="仿宋" w:hAnsi="仿宋" w:eastAsia="仿宋" w:cs="仿宋"/>
          <w:highlight w:val="none"/>
        </w:rPr>
        <w:t>”字样。</w:t>
      </w:r>
    </w:p>
    <w:p w14:paraId="1465B96A">
      <w:pPr>
        <w:pStyle w:val="7"/>
        <w:pageBreakBefore w:val="0"/>
        <w:kinsoku/>
        <w:overflowPunct/>
        <w:topLinePunct w:val="0"/>
        <w:autoSpaceDE/>
        <w:autoSpaceDN/>
        <w:bidi w:val="0"/>
        <w:spacing w:line="560" w:lineRule="exact"/>
        <w:textAlignment w:val="auto"/>
        <w:rPr>
          <w:highlight w:val="none"/>
        </w:rPr>
      </w:pPr>
      <w:bookmarkStart w:id="158" w:name="_Toc28681245"/>
      <w:r>
        <w:rPr>
          <w:highlight w:val="none"/>
        </w:rPr>
        <w:t>（二）响应文件的提交</w:t>
      </w:r>
      <w:bookmarkEnd w:id="158"/>
    </w:p>
    <w:p w14:paraId="3E19201C">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响应文件应当在开启当日，并于提交响应文件截止时间前送达开启地点。</w:t>
      </w:r>
      <w:r>
        <w:rPr>
          <w:rFonts w:hint="eastAsia" w:ascii="仿宋" w:hAnsi="仿宋" w:eastAsia="仿宋"/>
          <w:b/>
          <w:bCs/>
          <w:highlight w:val="none"/>
        </w:rPr>
        <w:t>不接受电子邮件、传真及邮寄等方式递交的响应文件。</w:t>
      </w:r>
    </w:p>
    <w:p w14:paraId="7AEF692B">
      <w:pPr>
        <w:pStyle w:val="7"/>
        <w:pageBreakBefore w:val="0"/>
        <w:kinsoku/>
        <w:overflowPunct/>
        <w:topLinePunct w:val="0"/>
        <w:autoSpaceDE/>
        <w:autoSpaceDN/>
        <w:bidi w:val="0"/>
        <w:spacing w:line="560" w:lineRule="exact"/>
        <w:textAlignment w:val="auto"/>
        <w:rPr>
          <w:highlight w:val="none"/>
        </w:rPr>
      </w:pPr>
      <w:bookmarkStart w:id="159" w:name="_Toc28681246"/>
      <w:r>
        <w:rPr>
          <w:highlight w:val="none"/>
        </w:rPr>
        <w:t>（三）</w:t>
      </w:r>
      <w:r>
        <w:rPr>
          <w:rFonts w:hint="eastAsia"/>
          <w:highlight w:val="none"/>
        </w:rPr>
        <w:t>响应</w:t>
      </w:r>
      <w:r>
        <w:rPr>
          <w:highlight w:val="none"/>
        </w:rPr>
        <w:t>文件的修改</w:t>
      </w:r>
      <w:r>
        <w:rPr>
          <w:rFonts w:hint="eastAsia"/>
          <w:highlight w:val="none"/>
        </w:rPr>
        <w:t>和</w:t>
      </w:r>
      <w:r>
        <w:rPr>
          <w:highlight w:val="none"/>
        </w:rPr>
        <w:t>撤回</w:t>
      </w:r>
      <w:bookmarkEnd w:id="159"/>
    </w:p>
    <w:p w14:paraId="695BA7D9">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1、供应商</w:t>
      </w:r>
      <w:r>
        <w:rPr>
          <w:rFonts w:ascii="仿宋" w:hAnsi="仿宋" w:eastAsia="仿宋"/>
          <w:highlight w:val="none"/>
        </w:rPr>
        <w:t>在递交</w:t>
      </w:r>
      <w:r>
        <w:rPr>
          <w:rFonts w:hint="eastAsia" w:ascii="仿宋" w:hAnsi="仿宋" w:eastAsia="仿宋"/>
          <w:highlight w:val="none"/>
        </w:rPr>
        <w:t>响应</w:t>
      </w:r>
      <w:r>
        <w:rPr>
          <w:rFonts w:ascii="仿宋" w:hAnsi="仿宋" w:eastAsia="仿宋"/>
          <w:highlight w:val="none"/>
        </w:rPr>
        <w:t>文件后，</w:t>
      </w:r>
      <w:r>
        <w:rPr>
          <w:rFonts w:hint="eastAsia" w:ascii="仿宋" w:hAnsi="仿宋" w:eastAsia="仿宋"/>
          <w:highlight w:val="none"/>
        </w:rPr>
        <w:t>且在</w:t>
      </w:r>
      <w:r>
        <w:rPr>
          <w:rFonts w:ascii="仿宋" w:hAnsi="仿宋" w:eastAsia="仿宋"/>
          <w:highlight w:val="none"/>
        </w:rPr>
        <w:t>提交</w:t>
      </w:r>
      <w:r>
        <w:rPr>
          <w:rFonts w:hint="eastAsia" w:ascii="仿宋" w:hAnsi="仿宋" w:eastAsia="仿宋"/>
          <w:highlight w:val="none"/>
        </w:rPr>
        <w:t>响应</w:t>
      </w:r>
      <w:r>
        <w:rPr>
          <w:rFonts w:ascii="仿宋" w:hAnsi="仿宋" w:eastAsia="仿宋"/>
          <w:highlight w:val="none"/>
        </w:rPr>
        <w:t>文件截止时间前，</w:t>
      </w:r>
      <w:r>
        <w:rPr>
          <w:rFonts w:hint="eastAsia" w:ascii="仿宋" w:hAnsi="仿宋" w:eastAsia="仿宋"/>
          <w:highlight w:val="none"/>
        </w:rPr>
        <w:t>可以对所提交</w:t>
      </w:r>
      <w:r>
        <w:rPr>
          <w:rFonts w:ascii="仿宋" w:hAnsi="仿宋" w:eastAsia="仿宋"/>
          <w:highlight w:val="none"/>
        </w:rPr>
        <w:t>的</w:t>
      </w:r>
      <w:r>
        <w:rPr>
          <w:rFonts w:hint="eastAsia" w:ascii="仿宋" w:hAnsi="仿宋" w:eastAsia="仿宋"/>
          <w:highlight w:val="none"/>
        </w:rPr>
        <w:t>响应</w:t>
      </w:r>
      <w:r>
        <w:rPr>
          <w:rFonts w:ascii="仿宋" w:hAnsi="仿宋" w:eastAsia="仿宋"/>
          <w:highlight w:val="none"/>
        </w:rPr>
        <w:t>文件进行补充、修改或撤回，并以书面形式通知</w:t>
      </w:r>
      <w:r>
        <w:rPr>
          <w:rFonts w:hint="eastAsia" w:ascii="仿宋" w:hAnsi="仿宋" w:eastAsia="仿宋" w:cs="仿宋"/>
          <w:highlight w:val="none"/>
        </w:rPr>
        <w:t>陕西中发项目管理发展有限公司</w:t>
      </w:r>
      <w:r>
        <w:rPr>
          <w:rFonts w:hint="eastAsia" w:ascii="仿宋" w:hAnsi="仿宋" w:eastAsia="仿宋"/>
          <w:highlight w:val="none"/>
        </w:rPr>
        <w:t>。</w:t>
      </w:r>
      <w:r>
        <w:rPr>
          <w:rFonts w:ascii="仿宋" w:hAnsi="仿宋" w:eastAsia="仿宋"/>
          <w:highlight w:val="none"/>
        </w:rPr>
        <w:t>补充</w:t>
      </w:r>
      <w:r>
        <w:rPr>
          <w:rFonts w:hint="eastAsia" w:ascii="仿宋" w:hAnsi="仿宋" w:eastAsia="仿宋"/>
          <w:highlight w:val="none"/>
        </w:rPr>
        <w:t>、</w:t>
      </w:r>
      <w:r>
        <w:rPr>
          <w:rFonts w:ascii="仿宋" w:hAnsi="仿宋" w:eastAsia="仿宋"/>
          <w:highlight w:val="none"/>
        </w:rPr>
        <w:t>修改</w:t>
      </w:r>
      <w:r>
        <w:rPr>
          <w:rFonts w:hint="eastAsia" w:ascii="仿宋" w:hAnsi="仿宋" w:eastAsia="仿宋"/>
          <w:highlight w:val="none"/>
        </w:rPr>
        <w:t>的</w:t>
      </w:r>
      <w:r>
        <w:rPr>
          <w:rFonts w:ascii="仿宋" w:hAnsi="仿宋" w:eastAsia="仿宋"/>
          <w:highlight w:val="none"/>
        </w:rPr>
        <w:t>内容为</w:t>
      </w:r>
      <w:r>
        <w:rPr>
          <w:rFonts w:hint="eastAsia" w:ascii="仿宋" w:hAnsi="仿宋" w:eastAsia="仿宋"/>
          <w:highlight w:val="none"/>
        </w:rPr>
        <w:t>响应</w:t>
      </w:r>
      <w:r>
        <w:rPr>
          <w:rFonts w:ascii="仿宋" w:hAnsi="仿宋" w:eastAsia="仿宋"/>
          <w:highlight w:val="none"/>
        </w:rPr>
        <w:t>文件的组成部分</w:t>
      </w:r>
      <w:r>
        <w:rPr>
          <w:rFonts w:hint="eastAsia" w:ascii="仿宋" w:hAnsi="仿宋" w:eastAsia="仿宋"/>
          <w:highlight w:val="none"/>
        </w:rPr>
        <w:t>。补充、修改的内容与响应文件不一致的，以补充、修改的内容为准。</w:t>
      </w:r>
    </w:p>
    <w:p w14:paraId="61D01084">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2</w:t>
      </w:r>
      <w:r>
        <w:rPr>
          <w:rFonts w:hint="eastAsia" w:ascii="仿宋" w:hAnsi="仿宋" w:eastAsia="仿宋"/>
          <w:highlight w:val="none"/>
        </w:rPr>
        <w:t>、补充、</w:t>
      </w:r>
      <w:r>
        <w:rPr>
          <w:rFonts w:ascii="仿宋" w:hAnsi="仿宋" w:eastAsia="仿宋"/>
          <w:highlight w:val="none"/>
        </w:rPr>
        <w:t>修改</w:t>
      </w:r>
      <w:r>
        <w:rPr>
          <w:rFonts w:hint="eastAsia" w:ascii="仿宋" w:hAnsi="仿宋" w:eastAsia="仿宋"/>
          <w:highlight w:val="none"/>
        </w:rPr>
        <w:t>或</w:t>
      </w:r>
      <w:r>
        <w:rPr>
          <w:rFonts w:ascii="仿宋" w:hAnsi="仿宋" w:eastAsia="仿宋"/>
          <w:highlight w:val="none"/>
        </w:rPr>
        <w:t>撤回的内容应按</w:t>
      </w:r>
      <w:r>
        <w:rPr>
          <w:rFonts w:hint="eastAsia" w:ascii="仿宋" w:hAnsi="仿宋" w:eastAsia="仿宋"/>
          <w:highlight w:val="none"/>
        </w:rPr>
        <w:t>前述</w:t>
      </w:r>
      <w:r>
        <w:rPr>
          <w:rFonts w:ascii="仿宋" w:hAnsi="仿宋" w:eastAsia="仿宋"/>
          <w:highlight w:val="none"/>
        </w:rPr>
        <w:t>要求编制、</w:t>
      </w:r>
      <w:r>
        <w:rPr>
          <w:rFonts w:hint="eastAsia" w:ascii="仿宋" w:hAnsi="仿宋" w:eastAsia="仿宋"/>
          <w:highlight w:val="none"/>
        </w:rPr>
        <w:t>签署</w:t>
      </w:r>
      <w:r>
        <w:rPr>
          <w:rFonts w:ascii="仿宋" w:hAnsi="仿宋" w:eastAsia="仿宋"/>
          <w:highlight w:val="none"/>
        </w:rPr>
        <w:t>、密封、标记，并在封套上加注</w:t>
      </w:r>
      <w:r>
        <w:rPr>
          <w:rFonts w:hint="eastAsia" w:ascii="仿宋" w:hAnsi="仿宋" w:eastAsia="仿宋"/>
          <w:highlight w:val="none"/>
        </w:rPr>
        <w:t>“补充”、“修改”或“撤回”</w:t>
      </w:r>
      <w:r>
        <w:rPr>
          <w:rFonts w:ascii="仿宋" w:hAnsi="仿宋" w:eastAsia="仿宋"/>
          <w:highlight w:val="none"/>
        </w:rPr>
        <w:t>字样。</w:t>
      </w:r>
    </w:p>
    <w:p w14:paraId="347E58DB">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3、响应文件提交截止时间后，供应商不得对其响应文件做任何修改。</w:t>
      </w:r>
    </w:p>
    <w:p w14:paraId="64F55EE5">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b/>
          <w:highlight w:val="none"/>
        </w:rPr>
      </w:pPr>
      <w:r>
        <w:rPr>
          <w:rFonts w:ascii="仿宋" w:hAnsi="仿宋" w:eastAsia="仿宋"/>
          <w:b/>
          <w:highlight w:val="none"/>
        </w:rPr>
        <w:t>（四）</w:t>
      </w:r>
      <w:r>
        <w:rPr>
          <w:rFonts w:hint="eastAsia" w:ascii="仿宋" w:hAnsi="仿宋" w:eastAsia="仿宋"/>
          <w:b/>
          <w:highlight w:val="none"/>
        </w:rPr>
        <w:t>供应商</w:t>
      </w:r>
      <w:r>
        <w:rPr>
          <w:rFonts w:ascii="仿宋" w:hAnsi="仿宋" w:eastAsia="仿宋"/>
          <w:b/>
          <w:highlight w:val="none"/>
        </w:rPr>
        <w:t>提交响应文件时，出现下列情况之一的，其响应文件将被拒绝接收：</w:t>
      </w:r>
    </w:p>
    <w:p w14:paraId="6C050EB2">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1、逾期送达的；</w:t>
      </w:r>
    </w:p>
    <w:p w14:paraId="4FBB8AC9">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2、未按</w:t>
      </w:r>
      <w:r>
        <w:rPr>
          <w:rFonts w:hint="eastAsia" w:ascii="仿宋" w:hAnsi="仿宋" w:eastAsia="仿宋"/>
          <w:highlight w:val="none"/>
        </w:rPr>
        <w:t>谈判文件</w:t>
      </w:r>
      <w:r>
        <w:rPr>
          <w:rFonts w:ascii="仿宋" w:hAnsi="仿宋" w:eastAsia="仿宋"/>
          <w:highlight w:val="none"/>
        </w:rPr>
        <w:t>要求密封的；</w:t>
      </w:r>
    </w:p>
    <w:p w14:paraId="2A0109D3">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3、提交的响应文件与本项目不相符的；</w:t>
      </w:r>
    </w:p>
    <w:p w14:paraId="2EF6F7CA">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4、响应文件的封袋未按</w:t>
      </w:r>
      <w:r>
        <w:rPr>
          <w:rFonts w:hint="eastAsia" w:ascii="仿宋" w:hAnsi="仿宋" w:eastAsia="仿宋"/>
          <w:highlight w:val="none"/>
        </w:rPr>
        <w:t>谈判文件</w:t>
      </w:r>
      <w:r>
        <w:rPr>
          <w:rFonts w:ascii="仿宋" w:hAnsi="仿宋" w:eastAsia="仿宋"/>
          <w:highlight w:val="none"/>
        </w:rPr>
        <w:t>第五章第</w:t>
      </w:r>
      <w:r>
        <w:rPr>
          <w:rFonts w:hint="eastAsia" w:ascii="仿宋" w:hAnsi="仿宋" w:eastAsia="仿宋"/>
          <w:highlight w:val="none"/>
        </w:rPr>
        <w:t>四</w:t>
      </w:r>
      <w:r>
        <w:rPr>
          <w:rFonts w:ascii="仿宋" w:hAnsi="仿宋" w:eastAsia="仿宋"/>
          <w:highlight w:val="none"/>
        </w:rPr>
        <w:t>部分《响应文件封袋标识式样》标明的。</w:t>
      </w:r>
    </w:p>
    <w:p w14:paraId="6D00B498">
      <w:pPr>
        <w:pStyle w:val="4"/>
        <w:pageBreakBefore w:val="0"/>
        <w:kinsoku/>
        <w:overflowPunct/>
        <w:topLinePunct w:val="0"/>
        <w:autoSpaceDE/>
        <w:autoSpaceDN/>
        <w:bidi w:val="0"/>
        <w:spacing w:line="560" w:lineRule="exact"/>
        <w:ind w:firstLine="566" w:firstLineChars="200"/>
        <w:textAlignment w:val="auto"/>
        <w:rPr>
          <w:highlight w:val="none"/>
        </w:rPr>
      </w:pPr>
      <w:bookmarkStart w:id="160" w:name="_Toc23196"/>
      <w:bookmarkStart w:id="161" w:name="_Toc20597"/>
      <w:bookmarkStart w:id="162" w:name="_Toc3156"/>
      <w:bookmarkStart w:id="163" w:name="_Toc28681247"/>
      <w:bookmarkStart w:id="164" w:name="_Toc25045"/>
      <w:bookmarkStart w:id="165" w:name="_Toc26193"/>
      <w:bookmarkStart w:id="166" w:name="_Toc7385"/>
      <w:bookmarkStart w:id="167" w:name="_Toc12892"/>
      <w:bookmarkStart w:id="168" w:name="_Toc2990"/>
      <w:bookmarkStart w:id="169" w:name="_Toc21699"/>
      <w:bookmarkStart w:id="170" w:name="_Toc12652"/>
      <w:bookmarkStart w:id="171" w:name="_Toc3657"/>
      <w:bookmarkStart w:id="172" w:name="_Toc3320"/>
      <w:bookmarkStart w:id="173" w:name="_Toc15177"/>
      <w:r>
        <w:rPr>
          <w:rFonts w:hint="eastAsia" w:cs="仿宋"/>
          <w:highlight w:val="none"/>
        </w:rPr>
        <w:t>八、</w:t>
      </w:r>
      <w:r>
        <w:rPr>
          <w:rFonts w:hint="eastAsia"/>
          <w:highlight w:val="none"/>
        </w:rPr>
        <w:t>开启响应文件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28C769A">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一）</w:t>
      </w:r>
      <w:r>
        <w:rPr>
          <w:rFonts w:hint="eastAsia" w:ascii="仿宋" w:hAnsi="仿宋" w:eastAsia="仿宋" w:cs="仿宋"/>
          <w:highlight w:val="none"/>
        </w:rPr>
        <w:t>陕西中发项目管理发展有限公司</w:t>
      </w:r>
      <w:r>
        <w:rPr>
          <w:rFonts w:ascii="仿宋" w:hAnsi="仿宋" w:eastAsia="仿宋"/>
          <w:highlight w:val="none"/>
        </w:rPr>
        <w:t>组织</w:t>
      </w:r>
      <w:r>
        <w:rPr>
          <w:rFonts w:hint="eastAsia" w:ascii="仿宋" w:hAnsi="仿宋" w:eastAsia="仿宋"/>
          <w:highlight w:val="none"/>
        </w:rPr>
        <w:t>谈判</w:t>
      </w:r>
      <w:r>
        <w:rPr>
          <w:rFonts w:ascii="仿宋" w:hAnsi="仿宋" w:eastAsia="仿宋"/>
          <w:highlight w:val="none"/>
        </w:rPr>
        <w:t>工作，整个过程受政府采购监管机构的监督、管理。</w:t>
      </w:r>
    </w:p>
    <w:p w14:paraId="55746C41">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（二</w:t>
      </w:r>
      <w:r>
        <w:rPr>
          <w:rFonts w:ascii="仿宋" w:hAnsi="仿宋" w:eastAsia="仿宋"/>
          <w:highlight w:val="none"/>
        </w:rPr>
        <w:t>）</w:t>
      </w:r>
      <w:r>
        <w:rPr>
          <w:rFonts w:hint="eastAsia" w:ascii="仿宋" w:hAnsi="仿宋" w:eastAsia="仿宋" w:cs="仿宋"/>
          <w:highlight w:val="none"/>
        </w:rPr>
        <w:t>陕西中发项目管理发展有限公司</w:t>
      </w:r>
      <w:r>
        <w:rPr>
          <w:rFonts w:ascii="仿宋" w:hAnsi="仿宋" w:eastAsia="仿宋"/>
          <w:highlight w:val="none"/>
        </w:rPr>
        <w:t>在</w:t>
      </w:r>
      <w:r>
        <w:rPr>
          <w:rFonts w:hint="eastAsia" w:ascii="仿宋" w:hAnsi="仿宋" w:eastAsia="仿宋"/>
          <w:highlight w:val="none"/>
        </w:rPr>
        <w:t>谈判文件</w:t>
      </w:r>
      <w:r>
        <w:rPr>
          <w:rFonts w:ascii="仿宋" w:hAnsi="仿宋" w:eastAsia="仿宋"/>
          <w:highlight w:val="none"/>
        </w:rPr>
        <w:t>规定的时间和地点</w:t>
      </w:r>
      <w:r>
        <w:rPr>
          <w:rFonts w:hint="eastAsia" w:ascii="仿宋" w:hAnsi="仿宋" w:eastAsia="仿宋"/>
          <w:highlight w:val="none"/>
        </w:rPr>
        <w:t>接收响应文件</w:t>
      </w:r>
      <w:r>
        <w:rPr>
          <w:rFonts w:ascii="仿宋" w:hAnsi="仿宋" w:eastAsia="仿宋"/>
          <w:highlight w:val="none"/>
        </w:rPr>
        <w:t>，</w:t>
      </w:r>
      <w:r>
        <w:rPr>
          <w:rFonts w:hint="eastAsia" w:ascii="仿宋" w:hAnsi="仿宋" w:eastAsia="仿宋"/>
          <w:highlight w:val="none"/>
        </w:rPr>
        <w:t>对密封性进行审查后，开启响应文件，并宣布响应文件份数。供应商</w:t>
      </w:r>
      <w:r>
        <w:rPr>
          <w:rFonts w:ascii="仿宋" w:hAnsi="仿宋" w:eastAsia="仿宋"/>
          <w:highlight w:val="none"/>
        </w:rPr>
        <w:t>必须派法定代表人或</w:t>
      </w:r>
      <w:r>
        <w:rPr>
          <w:rFonts w:hint="eastAsia" w:ascii="仿宋" w:hAnsi="仿宋" w:eastAsia="仿宋"/>
          <w:highlight w:val="none"/>
        </w:rPr>
        <w:t>授权代表</w:t>
      </w:r>
      <w:r>
        <w:rPr>
          <w:rFonts w:ascii="仿宋" w:hAnsi="仿宋" w:eastAsia="仿宋"/>
          <w:highlight w:val="none"/>
        </w:rPr>
        <w:t>参加，并签名报到。</w:t>
      </w:r>
    </w:p>
    <w:p w14:paraId="3EB19A60">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响应文件开启过程由</w:t>
      </w:r>
      <w:r>
        <w:rPr>
          <w:rFonts w:hint="eastAsia" w:ascii="仿宋" w:hAnsi="仿宋" w:eastAsia="仿宋" w:cs="仿宋"/>
          <w:highlight w:val="none"/>
        </w:rPr>
        <w:t>陕西中发项目管理发展有限公司</w:t>
      </w:r>
      <w:r>
        <w:rPr>
          <w:rFonts w:hint="eastAsia" w:ascii="仿宋" w:hAnsi="仿宋" w:eastAsia="仿宋"/>
          <w:highlight w:val="none"/>
        </w:rPr>
        <w:t>指定专人记录。供应商若有疑义，以及认为采购人、</w:t>
      </w:r>
      <w:r>
        <w:rPr>
          <w:rFonts w:hint="eastAsia" w:ascii="仿宋" w:hAnsi="仿宋" w:eastAsia="仿宋" w:cs="仿宋"/>
          <w:highlight w:val="none"/>
        </w:rPr>
        <w:t>陕西中发项目管理发展有限公司</w:t>
      </w:r>
      <w:r>
        <w:rPr>
          <w:rFonts w:hint="eastAsia" w:ascii="仿宋" w:hAnsi="仿宋" w:eastAsia="仿宋"/>
          <w:highlight w:val="none"/>
        </w:rPr>
        <w:t>相关工作人员有需要回避情形的，应当场提出询问或回避申请，采购人、</w:t>
      </w:r>
      <w:r>
        <w:rPr>
          <w:rFonts w:hint="eastAsia" w:ascii="仿宋" w:hAnsi="仿宋" w:eastAsia="仿宋" w:cs="仿宋"/>
          <w:highlight w:val="none"/>
        </w:rPr>
        <w:t>陕西中发项目管理发展有限公司</w:t>
      </w:r>
      <w:r>
        <w:rPr>
          <w:rFonts w:hint="eastAsia" w:ascii="仿宋" w:hAnsi="仿宋" w:eastAsia="仿宋"/>
          <w:highlight w:val="none"/>
        </w:rPr>
        <w:t>应当及时处理。</w:t>
      </w:r>
    </w:p>
    <w:p w14:paraId="4B68A974">
      <w:pPr>
        <w:pStyle w:val="4"/>
        <w:pageBreakBefore w:val="0"/>
        <w:kinsoku/>
        <w:overflowPunct/>
        <w:topLinePunct w:val="0"/>
        <w:autoSpaceDE/>
        <w:autoSpaceDN/>
        <w:bidi w:val="0"/>
        <w:spacing w:line="560" w:lineRule="exact"/>
        <w:ind w:firstLine="566" w:firstLineChars="200"/>
        <w:textAlignment w:val="auto"/>
        <w:rPr>
          <w:highlight w:val="none"/>
        </w:rPr>
      </w:pPr>
      <w:bookmarkStart w:id="174" w:name="_Toc2379"/>
      <w:bookmarkStart w:id="175" w:name="_Toc31766"/>
      <w:bookmarkStart w:id="176" w:name="_Toc13215"/>
      <w:bookmarkStart w:id="177" w:name="_Toc2971"/>
      <w:bookmarkStart w:id="178" w:name="_Toc23864"/>
      <w:bookmarkStart w:id="179" w:name="_Toc17752"/>
      <w:bookmarkStart w:id="180" w:name="_Toc5104"/>
      <w:bookmarkStart w:id="181" w:name="_Toc31027"/>
      <w:bookmarkStart w:id="182" w:name="_Toc29548"/>
      <w:bookmarkStart w:id="183" w:name="_Toc31366"/>
      <w:bookmarkStart w:id="184" w:name="_Toc28681248"/>
      <w:bookmarkStart w:id="185" w:name="_Toc15056"/>
      <w:bookmarkStart w:id="186" w:name="_Toc16513"/>
      <w:bookmarkStart w:id="187" w:name="_Toc4397"/>
      <w:r>
        <w:rPr>
          <w:rFonts w:hint="eastAsia"/>
          <w:highlight w:val="none"/>
        </w:rPr>
        <w:t>九、组织谈判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198FF8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（一）采购代理机构负责组织评标工作，并履行下列职责：</w:t>
      </w:r>
    </w:p>
    <w:p w14:paraId="04498F80">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1、核对评审专家身份和采购人代表授权函，对评审专家在政府采购活动中的职责履行情况予以记录，并及时将有关违法违规行为向财政部门报告;</w:t>
      </w:r>
    </w:p>
    <w:p w14:paraId="33993D49">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2、宣布评审纪律;</w:t>
      </w:r>
    </w:p>
    <w:p w14:paraId="1065242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3、公布</w:t>
      </w:r>
      <w:r>
        <w:rPr>
          <w:rFonts w:hint="eastAsia" w:eastAsia="仿宋"/>
          <w:highlight w:val="none"/>
          <w:lang w:eastAsia="zh-CN"/>
        </w:rPr>
        <w:t>供应商</w:t>
      </w:r>
      <w:r>
        <w:rPr>
          <w:rFonts w:hint="eastAsia" w:eastAsia="仿宋"/>
          <w:highlight w:val="none"/>
        </w:rPr>
        <w:t>名单，告知评审专家应当回避的情形;</w:t>
      </w:r>
    </w:p>
    <w:p w14:paraId="12187D5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4、组织谈判小组推选评审组长，采购人代表不得担任组长;</w:t>
      </w:r>
    </w:p>
    <w:p w14:paraId="5E11230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5、在评审期间采取必要的通讯管理措施，保证评审活动不受外界干扰;</w:t>
      </w:r>
    </w:p>
    <w:p w14:paraId="57DB873F">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6、根据谈判小组的要求介绍政府采购相关政策法规、谈判文件;</w:t>
      </w:r>
    </w:p>
    <w:p w14:paraId="32F985BD">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7、维护评审秩序，监督谈判小组依照谈判文件规定的评审程序、方法和标准进行独立评审，及时制止和纠正采购人代表、评审专家的倾向性言论或者违法违规行为;</w:t>
      </w:r>
    </w:p>
    <w:p w14:paraId="1026A70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8、核对评审结果;</w:t>
      </w:r>
    </w:p>
    <w:p w14:paraId="7EEEA8F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9、评审工作完成后，按照规定向评审专家支付劳务报酬和异地评审差旅费，不得向评审专家以外的其他人员支付评审劳务报酬;</w:t>
      </w:r>
    </w:p>
    <w:p w14:paraId="485D97D8">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10、处理与评审有关的其他事项。</w:t>
      </w:r>
    </w:p>
    <w:p w14:paraId="41297345">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采购人可以在评审前说明项目背景和采购需求，说明内容不得含有歧视性、倾向性意见，不得超出谈判文件所述范围。说明应当提交书面材料，并随谈判文件一并存档。</w:t>
      </w:r>
    </w:p>
    <w:p w14:paraId="5715892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（二）谈判小组负责具体评审事务，并独立履行下列职责：</w:t>
      </w:r>
    </w:p>
    <w:p w14:paraId="221B0B9B">
      <w:pPr>
        <w:pageBreakBefore w:val="0"/>
        <w:kinsoku/>
        <w:overflowPunct/>
        <w:topLinePunct w:val="0"/>
        <w:autoSpaceDE/>
        <w:autoSpaceDN/>
        <w:bidi w:val="0"/>
        <w:spacing w:line="560" w:lineRule="exact"/>
        <w:ind w:firstLine="566" w:firstLineChars="200"/>
        <w:textAlignment w:val="auto"/>
        <w:rPr>
          <w:rFonts w:hint="eastAsia" w:eastAsia="仿宋"/>
          <w:highlight w:val="none"/>
        </w:rPr>
      </w:pPr>
      <w:r>
        <w:rPr>
          <w:rFonts w:hint="eastAsia" w:eastAsia="仿宋"/>
          <w:highlight w:val="none"/>
        </w:rPr>
        <w:t>1、严格遵守评审工作纪律,按照客观、公正、审慎的原则,根据谈判文件规定的评审程序、评审方法和评审标准进行独立评审；</w:t>
      </w:r>
    </w:p>
    <w:p w14:paraId="3808A53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2、现谈判文件内容违反国家有关强制性规定或者谈判文件存在歧义、重大缺陷导致评审工作无法进行时,应当停止评审并向采购人或者采购代理机构书面说明情况；</w:t>
      </w:r>
    </w:p>
    <w:p w14:paraId="263CF650">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3、审查、评价响应文件是否符合谈判文件的商务、技术等实质性要求；</w:t>
      </w:r>
    </w:p>
    <w:p w14:paraId="0778DAA2">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4、要求</w:t>
      </w:r>
      <w:r>
        <w:rPr>
          <w:rFonts w:hint="eastAsia" w:eastAsia="仿宋"/>
          <w:highlight w:val="none"/>
          <w:lang w:eastAsia="zh-CN"/>
        </w:rPr>
        <w:t>供应商</w:t>
      </w:r>
      <w:r>
        <w:rPr>
          <w:rFonts w:hint="eastAsia" w:eastAsia="仿宋"/>
          <w:highlight w:val="none"/>
        </w:rPr>
        <w:t>对响应文件有关事项作出澄清或者说明；</w:t>
      </w:r>
    </w:p>
    <w:p w14:paraId="5C3FC57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5、对响应文件进行评价；</w:t>
      </w:r>
    </w:p>
    <w:p w14:paraId="424D375B">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6、确定中标候选人名单，以及根据采购人委托直接确定中标供应商；</w:t>
      </w:r>
    </w:p>
    <w:p w14:paraId="0A04106B">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7、配合答复供应商的询问、质疑和投诉等事项,不得泄露评审文件、评审情况和在评审过程中获悉的商业秘密；</w:t>
      </w:r>
    </w:p>
    <w:p w14:paraId="4F42A3E3">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8、向采购人、采购代理机构或者有关部门报告评审中发现的违法行为。</w:t>
      </w:r>
    </w:p>
    <w:p w14:paraId="79A3B9B7">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（三）成立谈判小组</w:t>
      </w:r>
    </w:p>
    <w:p w14:paraId="514B798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为了确保谈判工作的公平、公正，依据政府采购法和政府采购相关法规、规章，成立谈判小组，谈判小组由采购人代表和自行推荐的评审专家共3人以上单数组成。达到公开招标数额标准的货物或者服务采购项目，或者达到招标规模标准的政府采购工程，谈判小组应当由5人以上单数组成。</w:t>
      </w:r>
    </w:p>
    <w:p w14:paraId="75CC7C5A">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（四）谈判程序</w:t>
      </w:r>
    </w:p>
    <w:p w14:paraId="55F527A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1、资格性审查</w:t>
      </w:r>
    </w:p>
    <w:p w14:paraId="1DC594D6">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依据法律法规和谈判文件的规定，对响应文件正本中的供应商资格证明进行审查。</w:t>
      </w:r>
    </w:p>
    <w:p w14:paraId="2F1941F2">
      <w:pPr>
        <w:rPr>
          <w:rFonts w:hint="eastAsia" w:ascii="宋体" w:hAnsi="宋体" w:eastAsia="宋体" w:cs="宋体"/>
          <w:b/>
          <w:bCs/>
          <w:highlight w:val="none"/>
        </w:rPr>
      </w:pPr>
      <w:r>
        <w:rPr>
          <w:rFonts w:hint="eastAsia" w:ascii="宋体" w:hAnsi="宋体" w:eastAsia="宋体" w:cs="宋体"/>
          <w:b/>
          <w:bCs/>
          <w:highlight w:val="none"/>
        </w:rPr>
        <w:br w:type="page"/>
      </w:r>
    </w:p>
    <w:p w14:paraId="5CBC8DE8">
      <w:pPr>
        <w:pStyle w:val="22"/>
        <w:pageBreakBefore w:val="0"/>
        <w:kinsoku/>
        <w:overflowPunct/>
        <w:topLinePunct w:val="0"/>
        <w:autoSpaceDE/>
        <w:autoSpaceDN/>
        <w:bidi w:val="0"/>
        <w:spacing w:line="560" w:lineRule="exact"/>
        <w:jc w:val="center"/>
        <w:textAlignment w:val="auto"/>
        <w:outlineLvl w:val="2"/>
        <w:rPr>
          <w:rFonts w:ascii="宋体" w:hAnsi="宋体" w:eastAsia="宋体" w:cs="宋体"/>
          <w:highlight w:val="none"/>
        </w:rPr>
      </w:pPr>
      <w:r>
        <w:rPr>
          <w:rFonts w:hint="eastAsia" w:ascii="宋体" w:hAnsi="宋体" w:eastAsia="宋体" w:cs="宋体"/>
          <w:b/>
          <w:bCs/>
          <w:highlight w:val="none"/>
        </w:rPr>
        <w:t>资格性审查表</w:t>
      </w:r>
    </w:p>
    <w:tbl>
      <w:tblPr>
        <w:tblStyle w:val="23"/>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52"/>
        <w:gridCol w:w="5241"/>
        <w:gridCol w:w="917"/>
        <w:gridCol w:w="1076"/>
      </w:tblGrid>
      <w:tr w14:paraId="068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31" w:type="dxa"/>
            <w:shd w:val="clear" w:color="auto" w:fill="D7D7D7" w:themeFill="background1" w:themeFillShade="D8"/>
            <w:vAlign w:val="center"/>
          </w:tcPr>
          <w:p w14:paraId="758EC546">
            <w:pPr>
              <w:pStyle w:val="22"/>
              <w:pageBreakBefore w:val="0"/>
              <w:kinsoku/>
              <w:overflowPunct/>
              <w:topLinePunct w:val="0"/>
              <w:autoSpaceDE/>
              <w:autoSpaceDN/>
              <w:bidi w:val="0"/>
              <w:spacing w:line="560" w:lineRule="exact"/>
              <w:ind w:firstLine="0" w:firstLineChars="0"/>
              <w:jc w:val="center"/>
              <w:textAlignment w:val="auto"/>
              <w:rPr>
                <w:rFonts w:ascii="宋体" w:hAnsi="宋体" w:eastAsia="宋体" w:cs="宋体"/>
                <w:sz w:val="24"/>
                <w:szCs w:val="24"/>
                <w:highlight w:val="none"/>
              </w:rPr>
            </w:pPr>
            <w:r>
              <w:rPr>
                <w:rFonts w:hint="eastAsia" w:ascii="宋体" w:hAnsi="宋体" w:eastAsia="宋体" w:cs="宋体"/>
                <w:b/>
                <w:kern w:val="28"/>
                <w:sz w:val="24"/>
                <w:szCs w:val="24"/>
                <w:highlight w:val="none"/>
              </w:rPr>
              <w:t>序号</w:t>
            </w:r>
          </w:p>
        </w:tc>
        <w:tc>
          <w:tcPr>
            <w:tcW w:w="2152" w:type="dxa"/>
            <w:shd w:val="clear" w:color="auto" w:fill="D7D7D7" w:themeFill="background1" w:themeFillShade="D8"/>
            <w:vAlign w:val="center"/>
          </w:tcPr>
          <w:p w14:paraId="6E0059BA">
            <w:pPr>
              <w:pageBreakBefore w:val="0"/>
              <w:kinsoku/>
              <w:overflowPunct/>
              <w:topLinePunct w:val="0"/>
              <w:autoSpaceDE/>
              <w:autoSpaceDN/>
              <w:bidi w:val="0"/>
              <w:spacing w:line="560" w:lineRule="exact"/>
              <w:jc w:val="center"/>
              <w:textAlignment w:val="auto"/>
              <w:rPr>
                <w:rFonts w:ascii="宋体" w:hAnsi="宋体" w:eastAsia="宋体" w:cs="宋体"/>
                <w:b/>
                <w:kern w:val="28"/>
                <w:sz w:val="24"/>
                <w:szCs w:val="24"/>
                <w:highlight w:val="none"/>
              </w:rPr>
            </w:pPr>
            <w:r>
              <w:rPr>
                <w:rFonts w:hint="eastAsia" w:ascii="宋体" w:hAnsi="宋体" w:eastAsia="宋体" w:cs="宋体"/>
                <w:b/>
                <w:kern w:val="28"/>
                <w:sz w:val="24"/>
                <w:szCs w:val="24"/>
                <w:highlight w:val="none"/>
              </w:rPr>
              <w:t>资格审查项</w:t>
            </w:r>
          </w:p>
        </w:tc>
        <w:tc>
          <w:tcPr>
            <w:tcW w:w="5241" w:type="dxa"/>
            <w:shd w:val="clear" w:color="auto" w:fill="D7D7D7" w:themeFill="background1" w:themeFillShade="D8"/>
            <w:vAlign w:val="center"/>
          </w:tcPr>
          <w:p w14:paraId="70A6A7C1">
            <w:pPr>
              <w:pageBreakBefore w:val="0"/>
              <w:kinsoku/>
              <w:overflowPunct/>
              <w:topLinePunct w:val="0"/>
              <w:autoSpaceDE/>
              <w:autoSpaceDN/>
              <w:bidi w:val="0"/>
              <w:spacing w:line="560" w:lineRule="exact"/>
              <w:jc w:val="center"/>
              <w:textAlignment w:val="auto"/>
              <w:rPr>
                <w:rFonts w:ascii="宋体" w:hAnsi="宋体" w:eastAsia="宋体" w:cs="宋体"/>
                <w:b/>
                <w:kern w:val="28"/>
                <w:sz w:val="24"/>
                <w:szCs w:val="24"/>
                <w:highlight w:val="none"/>
              </w:rPr>
            </w:pPr>
            <w:r>
              <w:rPr>
                <w:rFonts w:hint="eastAsia" w:ascii="宋体" w:hAnsi="宋体" w:eastAsia="宋体" w:cs="宋体"/>
                <w:b/>
                <w:kern w:val="28"/>
                <w:sz w:val="24"/>
                <w:szCs w:val="24"/>
                <w:highlight w:val="none"/>
              </w:rPr>
              <w:t>通过条件</w:t>
            </w:r>
          </w:p>
        </w:tc>
        <w:tc>
          <w:tcPr>
            <w:tcW w:w="917" w:type="dxa"/>
            <w:shd w:val="clear" w:color="auto" w:fill="D7D7D7" w:themeFill="background1" w:themeFillShade="D8"/>
            <w:vAlign w:val="center"/>
          </w:tcPr>
          <w:p w14:paraId="7D3D79B9">
            <w:pPr>
              <w:pageBreakBefore w:val="0"/>
              <w:kinsoku/>
              <w:overflowPunct/>
              <w:topLinePunct w:val="0"/>
              <w:autoSpaceDE/>
              <w:autoSpaceDN/>
              <w:bidi w:val="0"/>
              <w:spacing w:before="40" w:after="40" w:line="560" w:lineRule="exact"/>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结论</w:t>
            </w:r>
          </w:p>
        </w:tc>
        <w:tc>
          <w:tcPr>
            <w:tcW w:w="1076" w:type="dxa"/>
            <w:shd w:val="clear" w:color="auto" w:fill="D7D7D7" w:themeFill="background1" w:themeFillShade="D8"/>
            <w:vAlign w:val="center"/>
          </w:tcPr>
          <w:p w14:paraId="358EE937">
            <w:pPr>
              <w:pageBreakBefore w:val="0"/>
              <w:kinsoku/>
              <w:overflowPunct/>
              <w:topLinePunct w:val="0"/>
              <w:autoSpaceDE/>
              <w:autoSpaceDN/>
              <w:bidi w:val="0"/>
              <w:spacing w:before="40" w:after="40" w:line="560" w:lineRule="exact"/>
              <w:jc w:val="center"/>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不通过原因</w:t>
            </w:r>
          </w:p>
        </w:tc>
      </w:tr>
      <w:tr w14:paraId="7DE0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24F172DC">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152" w:type="dxa"/>
            <w:vAlign w:val="center"/>
          </w:tcPr>
          <w:p w14:paraId="32B960BC">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营业执照等主体资格证明文件</w:t>
            </w:r>
          </w:p>
        </w:tc>
        <w:tc>
          <w:tcPr>
            <w:tcW w:w="5241" w:type="dxa"/>
            <w:vAlign w:val="center"/>
          </w:tcPr>
          <w:p w14:paraId="154F9F8B">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提供有效存续的企业营业执照（副本）/事业单位法人证书/专业服务机构执业许可证/民办非企业单位登记证书。（复印件加盖供应商公章）</w:t>
            </w:r>
          </w:p>
        </w:tc>
        <w:tc>
          <w:tcPr>
            <w:tcW w:w="917" w:type="dxa"/>
            <w:vAlign w:val="center"/>
          </w:tcPr>
          <w:p w14:paraId="647ABA1A">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1C959C5A">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5FBD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831" w:type="dxa"/>
            <w:vAlign w:val="center"/>
          </w:tcPr>
          <w:p w14:paraId="58D557BD">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152" w:type="dxa"/>
            <w:vAlign w:val="center"/>
          </w:tcPr>
          <w:p w14:paraId="313BF74B">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财务状况报告</w:t>
            </w:r>
          </w:p>
        </w:tc>
        <w:tc>
          <w:tcPr>
            <w:tcW w:w="5241" w:type="dxa"/>
            <w:vAlign w:val="center"/>
          </w:tcPr>
          <w:p w14:paraId="17C6322C">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kern w:val="28"/>
                <w:sz w:val="24"/>
                <w:szCs w:val="24"/>
                <w:highlight w:val="none"/>
                <w:lang w:eastAsia="zh-CN"/>
              </w:rPr>
              <w:t>2024年度或2023年度</w:t>
            </w:r>
            <w:r>
              <w:rPr>
                <w:rFonts w:hint="eastAsia" w:ascii="宋体" w:hAnsi="宋体" w:eastAsia="宋体" w:cs="宋体"/>
                <w:kern w:val="28"/>
                <w:sz w:val="24"/>
                <w:szCs w:val="24"/>
                <w:highlight w:val="none"/>
              </w:rPr>
              <w:t>经审计的财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917" w:type="dxa"/>
            <w:vAlign w:val="center"/>
          </w:tcPr>
          <w:p w14:paraId="112609AB">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6617F20B">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581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831" w:type="dxa"/>
            <w:vAlign w:val="center"/>
          </w:tcPr>
          <w:p w14:paraId="2EA582C6">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152" w:type="dxa"/>
            <w:vAlign w:val="center"/>
          </w:tcPr>
          <w:p w14:paraId="05FB55C8">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社保缴纳证明</w:t>
            </w:r>
          </w:p>
        </w:tc>
        <w:tc>
          <w:tcPr>
            <w:tcW w:w="5241" w:type="dxa"/>
            <w:vAlign w:val="center"/>
          </w:tcPr>
          <w:p w14:paraId="3D723049">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提供已缴存的近一年以来至少一个月的社会保障资金缴存单据或社保机构开具的社会保险参保缴费情况证明。依法不需要缴纳社会保障资金的供应商应提供相关文件证明。</w:t>
            </w:r>
          </w:p>
        </w:tc>
        <w:tc>
          <w:tcPr>
            <w:tcW w:w="917" w:type="dxa"/>
            <w:vAlign w:val="center"/>
          </w:tcPr>
          <w:p w14:paraId="3924F89E">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276755FC">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7B7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35DA8E70">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152" w:type="dxa"/>
            <w:vAlign w:val="center"/>
          </w:tcPr>
          <w:p w14:paraId="7570900C">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税收缴纳证明</w:t>
            </w:r>
          </w:p>
        </w:tc>
        <w:tc>
          <w:tcPr>
            <w:tcW w:w="5241" w:type="dxa"/>
            <w:vAlign w:val="center"/>
          </w:tcPr>
          <w:p w14:paraId="7EAFE050">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提供已缴纳近一年以来至少一个月的纳税证明或完税证明（提供增值税、企业所得税至少一种），纳税证明或完税证明上应有代收机构或税务机关的公章或业务专用章。依法免税的供应商应提供相关文件证明。</w:t>
            </w:r>
          </w:p>
        </w:tc>
        <w:tc>
          <w:tcPr>
            <w:tcW w:w="917" w:type="dxa"/>
            <w:vAlign w:val="center"/>
          </w:tcPr>
          <w:p w14:paraId="791D4D70">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5A934744">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4FF1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53956AB8">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152" w:type="dxa"/>
            <w:vAlign w:val="center"/>
          </w:tcPr>
          <w:p w14:paraId="64B2823B">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信用记录</w:t>
            </w:r>
          </w:p>
        </w:tc>
        <w:tc>
          <w:tcPr>
            <w:tcW w:w="5241" w:type="dxa"/>
            <w:vAlign w:val="center"/>
          </w:tcPr>
          <w:p w14:paraId="2DA192BD">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提供《</w:t>
            </w:r>
            <w:r>
              <w:rPr>
                <w:rFonts w:hint="eastAsia" w:ascii="宋体" w:hAnsi="宋体" w:eastAsia="宋体" w:cs="宋体"/>
                <w:sz w:val="24"/>
                <w:szCs w:val="24"/>
                <w:highlight w:val="none"/>
              </w:rPr>
              <w:t>供应商书面声明函</w:t>
            </w:r>
            <w:r>
              <w:rPr>
                <w:rFonts w:hint="eastAsia" w:ascii="宋体" w:hAnsi="宋体" w:eastAsia="宋体" w:cs="宋体"/>
                <w:kern w:val="28"/>
                <w:sz w:val="24"/>
                <w:szCs w:val="24"/>
                <w:highlight w:val="none"/>
              </w:rPr>
              <w:t>》（按格式填写，提供原件）。经查，供应商未被列入“信用中国”网站(www.creditchina.gov.cn)“记录失信被执行人、重大税收违法案件当事人名单或政府采购严重违法失信行为”记录名单；不处于中国政府采购网(www.ccgp.gov.cn)“政府采购严重违法失信行为信息记录”中的禁止参加政府采购活动期间。</w:t>
            </w:r>
          </w:p>
        </w:tc>
        <w:tc>
          <w:tcPr>
            <w:tcW w:w="917" w:type="dxa"/>
            <w:vAlign w:val="center"/>
          </w:tcPr>
          <w:p w14:paraId="1F818DED">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50F7AAC3">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033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1" w:type="dxa"/>
            <w:vAlign w:val="center"/>
          </w:tcPr>
          <w:p w14:paraId="3A55B7FC">
            <w:pPr>
              <w:pageBreakBefore w:val="0"/>
              <w:kinsoku/>
              <w:overflowPunct/>
              <w:topLinePunct w:val="0"/>
              <w:autoSpaceDE/>
              <w:autoSpaceDN/>
              <w:bidi w:val="0"/>
              <w:spacing w:line="560" w:lineRule="exact"/>
              <w:jc w:val="center"/>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152" w:type="dxa"/>
            <w:vAlign w:val="center"/>
          </w:tcPr>
          <w:p w14:paraId="263C9B66">
            <w:pPr>
              <w:pageBreakBefore w:val="0"/>
              <w:kinsoku/>
              <w:overflowPunct/>
              <w:topLinePunct w:val="0"/>
              <w:autoSpaceDE/>
              <w:autoSpaceDN/>
              <w:bidi w:val="0"/>
              <w:spacing w:line="560" w:lineRule="exact"/>
              <w:jc w:val="center"/>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法定代表人授权委托书</w:t>
            </w:r>
          </w:p>
        </w:tc>
        <w:tc>
          <w:tcPr>
            <w:tcW w:w="5241" w:type="dxa"/>
            <w:vAlign w:val="center"/>
          </w:tcPr>
          <w:p w14:paraId="41304AE5">
            <w:pPr>
              <w:pageBreakBefore w:val="0"/>
              <w:kinsoku/>
              <w:overflowPunct/>
              <w:topLinePunct w:val="0"/>
              <w:autoSpaceDE/>
              <w:autoSpaceDN/>
              <w:bidi w:val="0"/>
              <w:spacing w:line="560" w:lineRule="exact"/>
              <w:textAlignment w:val="auto"/>
              <w:rPr>
                <w:rFonts w:ascii="宋体" w:hAnsi="宋体" w:eastAsia="宋体" w:cs="宋体"/>
                <w:kern w:val="28"/>
                <w:sz w:val="24"/>
                <w:szCs w:val="24"/>
                <w:highlight w:val="none"/>
              </w:rPr>
            </w:pPr>
            <w:r>
              <w:rPr>
                <w:rFonts w:hint="eastAsia" w:ascii="宋体" w:hAnsi="宋体" w:eastAsia="宋体" w:cs="宋体"/>
                <w:kern w:val="28"/>
                <w:sz w:val="24"/>
                <w:szCs w:val="24"/>
                <w:highlight w:val="none"/>
              </w:rPr>
              <w:t>法定代表人参加投标的，提供本人身份证复印件；法定代表人授权他人参加投标的，提供法定代表人授权委托书（按格式填写，提供原件）。</w:t>
            </w:r>
          </w:p>
        </w:tc>
        <w:tc>
          <w:tcPr>
            <w:tcW w:w="917" w:type="dxa"/>
            <w:vAlign w:val="center"/>
          </w:tcPr>
          <w:p w14:paraId="391CE5AE">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c>
          <w:tcPr>
            <w:tcW w:w="1076" w:type="dxa"/>
            <w:vAlign w:val="center"/>
          </w:tcPr>
          <w:p w14:paraId="4DEB42ED">
            <w:pPr>
              <w:pageBreakBefore w:val="0"/>
              <w:kinsoku/>
              <w:overflowPunct/>
              <w:topLinePunct w:val="0"/>
              <w:autoSpaceDE/>
              <w:autoSpaceDN/>
              <w:bidi w:val="0"/>
              <w:spacing w:before="40" w:after="40" w:line="560" w:lineRule="exact"/>
              <w:textAlignment w:val="auto"/>
              <w:rPr>
                <w:rFonts w:ascii="仿宋" w:hAnsi="仿宋" w:eastAsia="仿宋" w:cs="华文仿宋"/>
                <w:b/>
                <w:sz w:val="24"/>
                <w:szCs w:val="24"/>
                <w:highlight w:val="none"/>
              </w:rPr>
            </w:pPr>
          </w:p>
        </w:tc>
      </w:tr>
      <w:tr w14:paraId="45AA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217" w:type="dxa"/>
            <w:gridSpan w:val="5"/>
            <w:vAlign w:val="center"/>
          </w:tcPr>
          <w:p w14:paraId="353E569C">
            <w:pPr>
              <w:pageBreakBefore w:val="0"/>
              <w:kinsoku/>
              <w:overflowPunct/>
              <w:topLinePunct w:val="0"/>
              <w:autoSpaceDE/>
              <w:autoSpaceDN/>
              <w:bidi w:val="0"/>
              <w:spacing w:line="560" w:lineRule="exact"/>
              <w:jc w:val="left"/>
              <w:textAlignment w:val="auto"/>
              <w:rPr>
                <w:rFonts w:ascii="仿宋" w:hAnsi="仿宋" w:eastAsia="仿宋" w:cs="华文仿宋"/>
                <w:b/>
                <w:sz w:val="24"/>
                <w:szCs w:val="24"/>
                <w:highlight w:val="none"/>
              </w:rPr>
            </w:pPr>
            <w:r>
              <w:rPr>
                <w:rFonts w:hint="eastAsia" w:ascii="宋体" w:hAnsi="宋体" w:eastAsia="宋体" w:cs="宋体"/>
                <w:b/>
                <w:bCs/>
                <w:kern w:val="0"/>
                <w:sz w:val="24"/>
                <w:szCs w:val="24"/>
                <w:highlight w:val="none"/>
              </w:rPr>
              <w:t>谈判小组成员：（签字或盖章）</w:t>
            </w:r>
          </w:p>
        </w:tc>
      </w:tr>
    </w:tbl>
    <w:p w14:paraId="07DDD3C6">
      <w:pPr>
        <w:pageBreakBefore w:val="0"/>
        <w:kinsoku/>
        <w:overflowPunct/>
        <w:topLinePunct w:val="0"/>
        <w:autoSpaceDE/>
        <w:autoSpaceDN/>
        <w:bidi w:val="0"/>
        <w:spacing w:line="560" w:lineRule="exact"/>
        <w:ind w:firstLine="566" w:firstLineChars="200"/>
        <w:textAlignment w:val="auto"/>
        <w:rPr>
          <w:rFonts w:ascii="仿宋" w:hAnsi="仿宋" w:eastAsia="仿宋"/>
          <w:b/>
          <w:bCs/>
          <w:highlight w:val="none"/>
        </w:rPr>
      </w:pPr>
      <w:r>
        <w:rPr>
          <w:rFonts w:hint="eastAsia" w:ascii="仿宋" w:hAnsi="仿宋" w:eastAsia="仿宋"/>
          <w:b/>
          <w:bCs/>
          <w:highlight w:val="none"/>
        </w:rPr>
        <w:t>出现下列情形的，响应文件将被视为无效：</w:t>
      </w:r>
    </w:p>
    <w:p w14:paraId="71E2E0B7">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1</w:t>
      </w:r>
      <w:r>
        <w:rPr>
          <w:rFonts w:ascii="仿宋" w:hAnsi="仿宋" w:eastAsia="仿宋"/>
          <w:highlight w:val="none"/>
        </w:rPr>
        <w:t>）</w:t>
      </w:r>
      <w:r>
        <w:rPr>
          <w:rFonts w:hint="eastAsia" w:ascii="仿宋" w:hAnsi="仿宋" w:eastAsia="仿宋"/>
          <w:highlight w:val="none"/>
        </w:rPr>
        <w:t>不具备谈判文件中规定的资格要求的；</w:t>
      </w:r>
    </w:p>
    <w:p w14:paraId="51CBCCC3">
      <w:pPr>
        <w:pageBreakBefore w:val="0"/>
        <w:kinsoku/>
        <w:overflowPunct/>
        <w:topLinePunct w:val="0"/>
        <w:autoSpaceDE/>
        <w:autoSpaceDN/>
        <w:bidi w:val="0"/>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2</w:t>
      </w:r>
      <w:r>
        <w:rPr>
          <w:rFonts w:hint="eastAsia" w:ascii="仿宋" w:hAnsi="仿宋" w:eastAsia="仿宋"/>
          <w:highlight w:val="none"/>
        </w:rPr>
        <w:t>）未按谈判文件要求提供</w:t>
      </w:r>
      <w:r>
        <w:rPr>
          <w:rFonts w:ascii="仿宋" w:hAnsi="仿宋" w:eastAsia="仿宋"/>
          <w:highlight w:val="none"/>
        </w:rPr>
        <w:t>资格</w:t>
      </w:r>
      <w:r>
        <w:rPr>
          <w:rFonts w:hint="eastAsia" w:ascii="仿宋" w:hAnsi="仿宋" w:eastAsia="仿宋"/>
          <w:highlight w:val="none"/>
        </w:rPr>
        <w:t>证明文件原件，或未按谈判文件要求加盖公章的；</w:t>
      </w:r>
    </w:p>
    <w:p w14:paraId="5BE17B90">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ascii="仿宋" w:hAnsi="仿宋" w:eastAsia="仿宋"/>
          <w:highlight w:val="none"/>
        </w:rPr>
        <w:t>（3）</w:t>
      </w:r>
      <w:r>
        <w:rPr>
          <w:rFonts w:hint="eastAsia" w:ascii="仿宋" w:hAnsi="仿宋" w:eastAsia="仿宋"/>
          <w:highlight w:val="none"/>
        </w:rPr>
        <w:t>谈判小组认为供应商的资格证明文件存在疑点，要求供应商现场提供原件，供应商不能在规定时限内提供原件或其所提供的原件无法证实响应文件所附证明文件有效性的。</w:t>
      </w:r>
    </w:p>
    <w:p w14:paraId="05DF9DFB">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b/>
          <w:highlight w:val="none"/>
        </w:rPr>
      </w:pPr>
      <w:r>
        <w:rPr>
          <w:rFonts w:ascii="仿宋" w:hAnsi="仿宋" w:eastAsia="仿宋"/>
          <w:b/>
          <w:highlight w:val="none"/>
        </w:rPr>
        <w:t>2</w:t>
      </w:r>
      <w:r>
        <w:rPr>
          <w:rFonts w:hint="eastAsia" w:ascii="仿宋" w:hAnsi="仿宋" w:eastAsia="仿宋"/>
          <w:b/>
          <w:highlight w:val="none"/>
        </w:rPr>
        <w:t>、响应文件的符合性审查</w:t>
      </w:r>
    </w:p>
    <w:p w14:paraId="73E042C7">
      <w:pPr>
        <w:pageBreakBefore w:val="0"/>
        <w:kinsoku/>
        <w:overflowPunct/>
        <w:topLinePunct w:val="0"/>
        <w:autoSpaceDE/>
        <w:autoSpaceDN/>
        <w:bidi w:val="0"/>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依据谈判文件的规定，对响应文件的有效性、完整性和对谈判文件的响应程度</w:t>
      </w:r>
      <w:r>
        <w:rPr>
          <w:rFonts w:ascii="仿宋" w:hAnsi="仿宋" w:eastAsia="仿宋"/>
          <w:highlight w:val="none"/>
        </w:rPr>
        <w:t>进行审查</w:t>
      </w:r>
      <w:r>
        <w:rPr>
          <w:rFonts w:hint="eastAsia" w:ascii="仿宋" w:hAnsi="仿宋" w:eastAsia="仿宋"/>
          <w:highlight w:val="none"/>
        </w:rPr>
        <w:t>。</w:t>
      </w:r>
    </w:p>
    <w:p w14:paraId="178E6EEB">
      <w:pPr>
        <w:pageBreakBefore w:val="0"/>
        <w:kinsoku/>
        <w:overflowPunct/>
        <w:topLinePunct w:val="0"/>
        <w:autoSpaceDE/>
        <w:autoSpaceDN/>
        <w:bidi w:val="0"/>
        <w:spacing w:line="560" w:lineRule="exact"/>
        <w:ind w:firstLine="566" w:firstLineChars="200"/>
        <w:contextualSpacing/>
        <w:textAlignment w:val="auto"/>
        <w:rPr>
          <w:rFonts w:hint="eastAsia" w:ascii="仿宋" w:hAnsi="仿宋" w:eastAsia="仿宋"/>
          <w:highlight w:val="none"/>
        </w:rPr>
      </w:pPr>
      <w:r>
        <w:rPr>
          <w:rFonts w:hint="eastAsia" w:ascii="仿宋" w:hAnsi="仿宋" w:eastAsia="仿宋"/>
          <w:highlight w:val="none"/>
        </w:rPr>
        <w:t>谈判小组要审查响应文件是否实质上响应了谈判文件的要求。实质上没有响应谈判文件要求的响应文件作无效响应处理，谈判小组要告知有关供应商未通过审查的原因。供应商不得通过修正或撤销不符之处而使其成为实质上响应。</w:t>
      </w:r>
    </w:p>
    <w:p w14:paraId="1193085B">
      <w:pPr>
        <w:pageBreakBefore w:val="0"/>
        <w:kinsoku/>
        <w:overflowPunct/>
        <w:topLinePunct w:val="0"/>
        <w:autoSpaceDE/>
        <w:autoSpaceDN/>
        <w:bidi w:val="0"/>
        <w:spacing w:line="560" w:lineRule="exact"/>
        <w:ind w:firstLine="566" w:firstLineChars="200"/>
        <w:contextualSpacing/>
        <w:jc w:val="center"/>
        <w:textAlignment w:val="auto"/>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符合性审查表</w:t>
      </w:r>
    </w:p>
    <w:tbl>
      <w:tblPr>
        <w:tblStyle w:val="23"/>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568"/>
        <w:gridCol w:w="3837"/>
        <w:gridCol w:w="1199"/>
        <w:gridCol w:w="1182"/>
      </w:tblGrid>
      <w:tr w14:paraId="389D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jc w:val="center"/>
        </w:trPr>
        <w:tc>
          <w:tcPr>
            <w:tcW w:w="691" w:type="dxa"/>
            <w:shd w:val="clear" w:color="auto" w:fill="D7D7D7" w:themeFill="background1" w:themeFillShade="D8"/>
            <w:vAlign w:val="center"/>
          </w:tcPr>
          <w:p w14:paraId="3D16DB92">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568" w:type="dxa"/>
            <w:shd w:val="clear" w:color="auto" w:fill="D7D7D7" w:themeFill="background1" w:themeFillShade="D8"/>
            <w:vAlign w:val="center"/>
          </w:tcPr>
          <w:p w14:paraId="42211D8E">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符合性审查项</w:t>
            </w:r>
          </w:p>
        </w:tc>
        <w:tc>
          <w:tcPr>
            <w:tcW w:w="3837" w:type="dxa"/>
            <w:shd w:val="clear" w:color="auto" w:fill="D7D7D7" w:themeFill="background1" w:themeFillShade="D8"/>
            <w:vAlign w:val="center"/>
          </w:tcPr>
          <w:p w14:paraId="420B12CD">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通过条件</w:t>
            </w:r>
          </w:p>
        </w:tc>
        <w:tc>
          <w:tcPr>
            <w:tcW w:w="1199" w:type="dxa"/>
            <w:shd w:val="clear" w:color="auto" w:fill="D7D7D7" w:themeFill="background1" w:themeFillShade="D8"/>
            <w:vAlign w:val="center"/>
          </w:tcPr>
          <w:p w14:paraId="0FEE57C7">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结论</w:t>
            </w:r>
          </w:p>
        </w:tc>
        <w:tc>
          <w:tcPr>
            <w:tcW w:w="1182" w:type="dxa"/>
            <w:shd w:val="clear" w:color="auto" w:fill="D7D7D7" w:themeFill="background1" w:themeFillShade="D8"/>
            <w:vAlign w:val="center"/>
          </w:tcPr>
          <w:p w14:paraId="02D54B25">
            <w:pPr>
              <w:pageBreakBefore w:val="0"/>
              <w:kinsoku/>
              <w:overflowPunct/>
              <w:topLinePunct w:val="0"/>
              <w:autoSpaceDE/>
              <w:autoSpaceDN/>
              <w:bidi w:val="0"/>
              <w:spacing w:line="560" w:lineRule="exact"/>
              <w:jc w:val="center"/>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未通过原因</w:t>
            </w:r>
          </w:p>
        </w:tc>
      </w:tr>
      <w:tr w14:paraId="2929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91" w:type="dxa"/>
            <w:vAlign w:val="center"/>
          </w:tcPr>
          <w:p w14:paraId="2060D49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2568" w:type="dxa"/>
            <w:vAlign w:val="center"/>
          </w:tcPr>
          <w:p w14:paraId="70ECBEDE">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响应文件正、副本数量</w:t>
            </w:r>
          </w:p>
        </w:tc>
        <w:tc>
          <w:tcPr>
            <w:tcW w:w="3837" w:type="dxa"/>
            <w:vAlign w:val="center"/>
          </w:tcPr>
          <w:p w14:paraId="69C8E6DD">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均符合谈判文件要求。</w:t>
            </w:r>
          </w:p>
        </w:tc>
        <w:tc>
          <w:tcPr>
            <w:tcW w:w="1199" w:type="dxa"/>
            <w:vAlign w:val="center"/>
          </w:tcPr>
          <w:p w14:paraId="1083EB72">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5CC2605C">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4494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91" w:type="dxa"/>
            <w:vAlign w:val="center"/>
          </w:tcPr>
          <w:p w14:paraId="1A3C8DC8">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p>
        </w:tc>
        <w:tc>
          <w:tcPr>
            <w:tcW w:w="2568" w:type="dxa"/>
            <w:vAlign w:val="center"/>
          </w:tcPr>
          <w:p w14:paraId="1B33122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响应文件语言、有效期</w:t>
            </w:r>
          </w:p>
        </w:tc>
        <w:tc>
          <w:tcPr>
            <w:tcW w:w="3837" w:type="dxa"/>
            <w:vAlign w:val="center"/>
          </w:tcPr>
          <w:p w14:paraId="0D85B08E">
            <w:pPr>
              <w:pageBreakBefore w:val="0"/>
              <w:kinsoku/>
              <w:overflowPunct/>
              <w:topLinePunct w:val="0"/>
              <w:autoSpaceDE/>
              <w:autoSpaceDN/>
              <w:bidi w:val="0"/>
              <w:spacing w:line="560" w:lineRule="exact"/>
              <w:ind w:left="33"/>
              <w:textAlignment w:val="auto"/>
              <w:rPr>
                <w:rFonts w:ascii="宋体" w:hAnsi="宋体" w:eastAsia="宋体" w:cs="宋体"/>
                <w:sz w:val="24"/>
                <w:szCs w:val="24"/>
                <w:highlight w:val="none"/>
              </w:rPr>
            </w:pPr>
            <w:r>
              <w:rPr>
                <w:rFonts w:hint="eastAsia" w:ascii="宋体" w:hAnsi="宋体" w:eastAsia="宋体" w:cs="宋体"/>
                <w:sz w:val="24"/>
                <w:szCs w:val="24"/>
                <w:highlight w:val="none"/>
              </w:rPr>
              <w:t>响应文件语言、有效期符合谈判文件的要求。</w:t>
            </w:r>
          </w:p>
        </w:tc>
        <w:tc>
          <w:tcPr>
            <w:tcW w:w="1199" w:type="dxa"/>
            <w:vAlign w:val="center"/>
          </w:tcPr>
          <w:p w14:paraId="30997BC4">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5F45908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64E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91" w:type="dxa"/>
            <w:vAlign w:val="center"/>
          </w:tcPr>
          <w:p w14:paraId="65610DF0">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p>
        </w:tc>
        <w:tc>
          <w:tcPr>
            <w:tcW w:w="2568" w:type="dxa"/>
            <w:vAlign w:val="center"/>
          </w:tcPr>
          <w:p w14:paraId="21BD0AAA">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响应文件封面、响应函、法定代表人授权委托书三处的项目名称、项目编号</w:t>
            </w:r>
          </w:p>
        </w:tc>
        <w:tc>
          <w:tcPr>
            <w:tcW w:w="3837" w:type="dxa"/>
            <w:vAlign w:val="center"/>
          </w:tcPr>
          <w:p w14:paraId="7E06001C">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三处均无遗漏，且与所投项目名称、项目编号完全一致。</w:t>
            </w:r>
          </w:p>
        </w:tc>
        <w:tc>
          <w:tcPr>
            <w:tcW w:w="1199" w:type="dxa"/>
            <w:vAlign w:val="center"/>
          </w:tcPr>
          <w:p w14:paraId="0F5046C0">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322F5F1">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30E6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1" w:type="dxa"/>
            <w:vAlign w:val="center"/>
          </w:tcPr>
          <w:p w14:paraId="30C5C93F">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2568" w:type="dxa"/>
            <w:vAlign w:val="center"/>
          </w:tcPr>
          <w:p w14:paraId="0FB5FA11">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响应文件签署、盖章</w:t>
            </w:r>
          </w:p>
        </w:tc>
        <w:tc>
          <w:tcPr>
            <w:tcW w:w="3837" w:type="dxa"/>
            <w:vAlign w:val="center"/>
          </w:tcPr>
          <w:p w14:paraId="1CE5B1EA">
            <w:pPr>
              <w:pageBreakBefore w:val="0"/>
              <w:kinsoku/>
              <w:overflowPunct/>
              <w:topLinePunct w:val="0"/>
              <w:autoSpaceDE/>
              <w:autoSpaceDN/>
              <w:bidi w:val="0"/>
              <w:spacing w:line="56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均按谈判文件要求签字、盖章</w:t>
            </w:r>
          </w:p>
        </w:tc>
        <w:tc>
          <w:tcPr>
            <w:tcW w:w="1199" w:type="dxa"/>
            <w:vAlign w:val="center"/>
          </w:tcPr>
          <w:p w14:paraId="50E6DA50">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2E2EA562">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7C21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91" w:type="dxa"/>
            <w:vAlign w:val="center"/>
          </w:tcPr>
          <w:p w14:paraId="4FDE758B">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2568" w:type="dxa"/>
            <w:vAlign w:val="center"/>
          </w:tcPr>
          <w:p w14:paraId="2CE56FF0">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第一次谈判报价</w:t>
            </w:r>
          </w:p>
        </w:tc>
        <w:tc>
          <w:tcPr>
            <w:tcW w:w="3837" w:type="dxa"/>
            <w:vAlign w:val="center"/>
          </w:tcPr>
          <w:p w14:paraId="588EACAC">
            <w:pPr>
              <w:pageBreakBefore w:val="0"/>
              <w:kinsoku/>
              <w:overflowPunct/>
              <w:topLinePunct w:val="0"/>
              <w:autoSpaceDE/>
              <w:autoSpaceDN/>
              <w:bidi w:val="0"/>
              <w:spacing w:line="560" w:lineRule="exact"/>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（1）第一次谈判报价表填写符合要求；</w:t>
            </w:r>
          </w:p>
          <w:p w14:paraId="696D19D9">
            <w:pPr>
              <w:pageBreakBefore w:val="0"/>
              <w:kinsoku/>
              <w:overflowPunct/>
              <w:topLinePunct w:val="0"/>
              <w:autoSpaceDE/>
              <w:autoSpaceDN/>
              <w:bidi w:val="0"/>
              <w:spacing w:line="560" w:lineRule="exact"/>
              <w:textAlignment w:val="auto"/>
              <w:rPr>
                <w:rFonts w:ascii="宋体" w:hAnsi="宋体" w:eastAsia="宋体" w:cs="宋体"/>
                <w:sz w:val="24"/>
                <w:szCs w:val="24"/>
                <w:highlight w:val="none"/>
              </w:rPr>
            </w:pPr>
            <w:r>
              <w:rPr>
                <w:rFonts w:hint="eastAsia" w:ascii="宋体" w:hAnsi="宋体" w:eastAsia="宋体" w:cs="宋体"/>
                <w:bCs/>
                <w:kern w:val="0"/>
                <w:sz w:val="24"/>
                <w:szCs w:val="24"/>
                <w:highlight w:val="none"/>
              </w:rPr>
              <w:t>（2）未超出采购预算或谈判文件规定的最高限价。</w:t>
            </w:r>
          </w:p>
        </w:tc>
        <w:tc>
          <w:tcPr>
            <w:tcW w:w="1199" w:type="dxa"/>
            <w:vAlign w:val="center"/>
          </w:tcPr>
          <w:p w14:paraId="1190FA8D">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BC27677">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75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691" w:type="dxa"/>
            <w:vAlign w:val="center"/>
          </w:tcPr>
          <w:p w14:paraId="45436961">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2568" w:type="dxa"/>
            <w:vAlign w:val="center"/>
          </w:tcPr>
          <w:p w14:paraId="2612E40F">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技术服务要求</w:t>
            </w:r>
          </w:p>
        </w:tc>
        <w:tc>
          <w:tcPr>
            <w:tcW w:w="3837" w:type="dxa"/>
            <w:vAlign w:val="center"/>
          </w:tcPr>
          <w:p w14:paraId="5F0A33DF">
            <w:pPr>
              <w:pageBreakBefore w:val="0"/>
              <w:kinsoku/>
              <w:overflowPunct/>
              <w:topLinePunct w:val="0"/>
              <w:autoSpaceDE/>
              <w:autoSpaceDN/>
              <w:bidi w:val="0"/>
              <w:spacing w:line="56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完全理解并接受对合格供应商、合格的货物、工程或服务要求，根据供应商响应文件《技术服务偏差表》，结合谈判文件第三章的实质性要求没有负偏离。</w:t>
            </w:r>
          </w:p>
        </w:tc>
        <w:tc>
          <w:tcPr>
            <w:tcW w:w="1199" w:type="dxa"/>
            <w:vAlign w:val="center"/>
          </w:tcPr>
          <w:p w14:paraId="65ECF8B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0DAA953">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140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91" w:type="dxa"/>
            <w:vAlign w:val="center"/>
          </w:tcPr>
          <w:p w14:paraId="40D4E657">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7</w:t>
            </w:r>
          </w:p>
        </w:tc>
        <w:tc>
          <w:tcPr>
            <w:tcW w:w="2568" w:type="dxa"/>
            <w:vAlign w:val="center"/>
          </w:tcPr>
          <w:p w14:paraId="668C4545">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无其他谈判文件或法规明确规定响应无效的事项</w:t>
            </w:r>
          </w:p>
        </w:tc>
        <w:tc>
          <w:tcPr>
            <w:tcW w:w="3837" w:type="dxa"/>
            <w:vAlign w:val="center"/>
          </w:tcPr>
          <w:p w14:paraId="7AD96664">
            <w:pPr>
              <w:pageBreakBefore w:val="0"/>
              <w:kinsoku/>
              <w:overflowPunct/>
              <w:topLinePunct w:val="0"/>
              <w:autoSpaceDE/>
              <w:autoSpaceDN/>
              <w:bidi w:val="0"/>
              <w:spacing w:line="560" w:lineRule="exact"/>
              <w:jc w:val="left"/>
              <w:textAlignment w:val="auto"/>
              <w:rPr>
                <w:rFonts w:ascii="宋体" w:hAnsi="宋体" w:eastAsia="宋体" w:cs="宋体"/>
                <w:bCs/>
                <w:kern w:val="0"/>
                <w:sz w:val="24"/>
                <w:szCs w:val="24"/>
                <w:highlight w:val="none"/>
              </w:rPr>
            </w:pPr>
            <w:r>
              <w:rPr>
                <w:rFonts w:hint="eastAsia" w:ascii="宋体" w:hAnsi="宋体" w:eastAsia="宋体" w:cs="宋体"/>
                <w:sz w:val="24"/>
                <w:szCs w:val="24"/>
                <w:highlight w:val="none"/>
              </w:rPr>
              <w:t>没有不符合谈判文件规定的被视为无效投标响应的其他条款。</w:t>
            </w:r>
          </w:p>
        </w:tc>
        <w:tc>
          <w:tcPr>
            <w:tcW w:w="1199" w:type="dxa"/>
            <w:vAlign w:val="center"/>
          </w:tcPr>
          <w:p w14:paraId="6CE45EBB">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3BDD0AAA">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5FAE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91" w:type="dxa"/>
            <w:vAlign w:val="center"/>
          </w:tcPr>
          <w:p w14:paraId="4D45D897">
            <w:pPr>
              <w:pageBreakBefore w:val="0"/>
              <w:kinsoku/>
              <w:overflowPunct/>
              <w:topLinePunct w:val="0"/>
              <w:autoSpaceDE/>
              <w:autoSpaceDN/>
              <w:bidi w:val="0"/>
              <w:spacing w:line="560" w:lineRule="exact"/>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2568" w:type="dxa"/>
            <w:vAlign w:val="center"/>
          </w:tcPr>
          <w:p w14:paraId="5CF43BE4">
            <w:pPr>
              <w:pageBreakBefore w:val="0"/>
              <w:kinsoku/>
              <w:overflowPunct/>
              <w:topLinePunct w:val="0"/>
              <w:autoSpaceDE/>
              <w:autoSpaceDN/>
              <w:bidi w:val="0"/>
              <w:spacing w:line="560" w:lineRule="exact"/>
              <w:jc w:val="center"/>
              <w:textAlignment w:val="auto"/>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合同条款响应</w:t>
            </w:r>
          </w:p>
        </w:tc>
        <w:tc>
          <w:tcPr>
            <w:tcW w:w="3837" w:type="dxa"/>
            <w:vAlign w:val="center"/>
          </w:tcPr>
          <w:p w14:paraId="1B05FF83">
            <w:pPr>
              <w:pageBreakBefore w:val="0"/>
              <w:kinsoku/>
              <w:overflowPunct/>
              <w:topLinePunct w:val="0"/>
              <w:autoSpaceDE/>
              <w:autoSpaceDN/>
              <w:bidi w:val="0"/>
              <w:spacing w:line="56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有完全理解并接受谈判文件合同基本条款要求的描述。</w:t>
            </w:r>
          </w:p>
        </w:tc>
        <w:tc>
          <w:tcPr>
            <w:tcW w:w="1199" w:type="dxa"/>
            <w:vAlign w:val="center"/>
          </w:tcPr>
          <w:p w14:paraId="20B333A1">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c>
          <w:tcPr>
            <w:tcW w:w="1182" w:type="dxa"/>
            <w:vAlign w:val="center"/>
          </w:tcPr>
          <w:p w14:paraId="0DB4CE38">
            <w:pPr>
              <w:pageBreakBefore w:val="0"/>
              <w:kinsoku/>
              <w:overflowPunct/>
              <w:topLinePunct w:val="0"/>
              <w:autoSpaceDE/>
              <w:autoSpaceDN/>
              <w:bidi w:val="0"/>
              <w:spacing w:line="560" w:lineRule="exact"/>
              <w:jc w:val="center"/>
              <w:textAlignment w:val="auto"/>
              <w:rPr>
                <w:rFonts w:ascii="仿宋" w:hAnsi="仿宋" w:eastAsia="仿宋" w:cs="宋体"/>
                <w:b/>
                <w:bCs/>
                <w:kern w:val="0"/>
                <w:sz w:val="24"/>
                <w:szCs w:val="24"/>
                <w:highlight w:val="none"/>
              </w:rPr>
            </w:pPr>
          </w:p>
        </w:tc>
      </w:tr>
      <w:tr w14:paraId="653D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477" w:type="dxa"/>
            <w:gridSpan w:val="5"/>
            <w:vAlign w:val="center"/>
          </w:tcPr>
          <w:p w14:paraId="3081DB82">
            <w:pPr>
              <w:pageBreakBefore w:val="0"/>
              <w:kinsoku/>
              <w:overflowPunct/>
              <w:topLinePunct w:val="0"/>
              <w:autoSpaceDE/>
              <w:autoSpaceDN/>
              <w:bidi w:val="0"/>
              <w:spacing w:line="560" w:lineRule="exact"/>
              <w:jc w:val="left"/>
              <w:textAlignment w:val="auto"/>
              <w:rPr>
                <w:rFonts w:ascii="仿宋" w:hAnsi="仿宋" w:eastAsia="仿宋" w:cs="宋体"/>
                <w:b/>
                <w:bCs/>
                <w:kern w:val="0"/>
                <w:sz w:val="24"/>
                <w:szCs w:val="24"/>
                <w:highlight w:val="none"/>
              </w:rPr>
            </w:pPr>
            <w:r>
              <w:rPr>
                <w:rFonts w:hint="eastAsia" w:ascii="宋体" w:hAnsi="宋体" w:eastAsia="宋体" w:cs="宋体"/>
                <w:b/>
                <w:bCs/>
                <w:kern w:val="0"/>
                <w:sz w:val="24"/>
                <w:szCs w:val="24"/>
                <w:highlight w:val="none"/>
              </w:rPr>
              <w:t>谈判小组成员：（签字或盖章）</w:t>
            </w:r>
          </w:p>
        </w:tc>
      </w:tr>
    </w:tbl>
    <w:p w14:paraId="3E539C78">
      <w:pPr>
        <w:pageBreakBefore w:val="0"/>
        <w:kinsoku/>
        <w:overflowPunct/>
        <w:topLinePunct w:val="0"/>
        <w:autoSpaceDE/>
        <w:autoSpaceDN/>
        <w:bidi w:val="0"/>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3、响应文件的澄清</w:t>
      </w:r>
    </w:p>
    <w:p w14:paraId="4C10E72F">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1</w:t>
      </w:r>
      <w:r>
        <w:rPr>
          <w:rFonts w:hint="eastAsia" w:ascii="仿宋" w:hAnsi="仿宋" w:eastAsia="仿宋"/>
          <w:highlight w:val="none"/>
        </w:rPr>
        <w:t>）谈判小组在对响应文件的符合性和响应性进行审查时，可以要求供应商对响应文件中含义不明确、同类问题表述不一致或者有明显文字和计算错误的内容等做出必要的澄清、说明或者更正。</w:t>
      </w:r>
    </w:p>
    <w:p w14:paraId="2998171B">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（2</w:t>
      </w:r>
      <w:r>
        <w:rPr>
          <w:rFonts w:ascii="仿宋" w:hAnsi="仿宋" w:eastAsia="仿宋"/>
          <w:highlight w:val="none"/>
        </w:rPr>
        <w:t>）</w:t>
      </w:r>
      <w:r>
        <w:rPr>
          <w:rFonts w:hint="eastAsia" w:ascii="仿宋" w:hAnsi="仿宋" w:eastAsia="仿宋"/>
          <w:highlight w:val="none"/>
        </w:rPr>
        <w:t>谈判小组要求供应商澄清、说明或者补正响应文件应以书面形式作出。供应商应当在规定的澄清时限内以书面形式提交，供应商的澄清、说明或者更正应当由法定代表人或其授权代表签字（或盖章），或者加盖公章。</w:t>
      </w:r>
    </w:p>
    <w:p w14:paraId="217AA13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3）</w:t>
      </w:r>
      <w:r>
        <w:rPr>
          <w:rFonts w:hint="eastAsia" w:ascii="仿宋" w:hAnsi="仿宋" w:eastAsia="仿宋"/>
          <w:highlight w:val="none"/>
        </w:rPr>
        <w:t>谈判小组</w:t>
      </w:r>
      <w:r>
        <w:rPr>
          <w:rFonts w:ascii="仿宋" w:hAnsi="仿宋" w:eastAsia="仿宋"/>
          <w:highlight w:val="none"/>
        </w:rPr>
        <w:t>要求</w:t>
      </w:r>
      <w:r>
        <w:rPr>
          <w:rFonts w:hint="eastAsia" w:ascii="仿宋" w:hAnsi="仿宋" w:eastAsia="仿宋"/>
          <w:highlight w:val="none"/>
        </w:rPr>
        <w:t>供应商</w:t>
      </w:r>
      <w:r>
        <w:rPr>
          <w:rFonts w:ascii="仿宋" w:hAnsi="仿宋" w:eastAsia="仿宋"/>
          <w:highlight w:val="none"/>
        </w:rPr>
        <w:t>澄清、说明或者</w:t>
      </w:r>
      <w:r>
        <w:rPr>
          <w:rFonts w:hint="eastAsia" w:ascii="仿宋" w:hAnsi="仿宋" w:eastAsia="仿宋"/>
          <w:highlight w:val="none"/>
        </w:rPr>
        <w:t>补正响应</w:t>
      </w:r>
      <w:r>
        <w:rPr>
          <w:rFonts w:ascii="仿宋" w:hAnsi="仿宋" w:eastAsia="仿宋"/>
          <w:highlight w:val="none"/>
        </w:rPr>
        <w:t>文件应当以书面形式</w:t>
      </w:r>
      <w:r>
        <w:rPr>
          <w:rFonts w:hint="eastAsia" w:ascii="仿宋" w:hAnsi="仿宋" w:eastAsia="仿宋"/>
          <w:highlight w:val="none"/>
        </w:rPr>
        <w:t>做出</w:t>
      </w:r>
      <w:r>
        <w:rPr>
          <w:rFonts w:ascii="仿宋" w:hAnsi="仿宋" w:eastAsia="仿宋"/>
          <w:highlight w:val="none"/>
        </w:rPr>
        <w:t>。</w:t>
      </w:r>
      <w:r>
        <w:rPr>
          <w:rFonts w:hint="eastAsia" w:ascii="仿宋" w:hAnsi="仿宋" w:eastAsia="仿宋"/>
          <w:highlight w:val="none"/>
        </w:rPr>
        <w:t>供应商</w:t>
      </w:r>
      <w:r>
        <w:rPr>
          <w:rFonts w:ascii="仿宋" w:hAnsi="仿宋" w:eastAsia="仿宋"/>
          <w:highlight w:val="none"/>
        </w:rPr>
        <w:t>应当在规定的澄清时限内以书面形式提交，</w:t>
      </w:r>
      <w:r>
        <w:rPr>
          <w:rFonts w:hint="eastAsia" w:ascii="仿宋" w:hAnsi="仿宋" w:eastAsia="仿宋"/>
          <w:highlight w:val="none"/>
        </w:rPr>
        <w:t>供应商</w:t>
      </w:r>
      <w:r>
        <w:rPr>
          <w:rFonts w:ascii="仿宋" w:hAnsi="仿宋" w:eastAsia="仿宋"/>
          <w:highlight w:val="none"/>
        </w:rPr>
        <w:t>的澄清、说明或者更正应当由法定代表人或其授权代表签字（或盖章），或者加盖公章。</w:t>
      </w:r>
    </w:p>
    <w:p w14:paraId="0F7D5D4C">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4）</w:t>
      </w:r>
      <w:r>
        <w:rPr>
          <w:rFonts w:hint="eastAsia" w:ascii="仿宋" w:hAnsi="仿宋" w:eastAsia="仿宋"/>
          <w:highlight w:val="none"/>
        </w:rPr>
        <w:t>供应商的澄清、说明或者补正不得超出响应文件的范围或者改变响应文件的实质性内容。澄清、说明或者补正的内容将作为</w:t>
      </w:r>
      <w:r>
        <w:rPr>
          <w:rFonts w:hint="eastAsia" w:ascii="仿宋" w:hAnsi="仿宋" w:eastAsia="仿宋"/>
          <w:kern w:val="0"/>
          <w:highlight w:val="none"/>
        </w:rPr>
        <w:t>合同</w:t>
      </w:r>
      <w:r>
        <w:rPr>
          <w:rFonts w:hint="eastAsia" w:ascii="仿宋" w:hAnsi="仿宋" w:eastAsia="仿宋"/>
          <w:highlight w:val="none"/>
        </w:rPr>
        <w:t>履行的重要依据。</w:t>
      </w:r>
    </w:p>
    <w:p w14:paraId="4C367CA8">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ascii="仿宋" w:hAnsi="仿宋" w:eastAsia="仿宋"/>
          <w:b/>
          <w:highlight w:val="none"/>
        </w:rPr>
      </w:pPr>
      <w:r>
        <w:rPr>
          <w:rFonts w:hint="eastAsia" w:ascii="仿宋" w:hAnsi="仿宋" w:eastAsia="仿宋"/>
          <w:b/>
          <w:highlight w:val="none"/>
        </w:rPr>
        <w:t>4、进行协商</w:t>
      </w:r>
    </w:p>
    <w:p w14:paraId="1456C2F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Cs/>
          <w:highlight w:val="none"/>
        </w:rPr>
      </w:pPr>
      <w:r>
        <w:rPr>
          <w:rFonts w:hint="eastAsia" w:ascii="仿宋" w:hAnsi="仿宋" w:eastAsia="仿宋"/>
          <w:bCs/>
          <w:highlight w:val="none"/>
        </w:rPr>
        <w:t>谈判小组</w:t>
      </w:r>
      <w:r>
        <w:rPr>
          <w:rFonts w:hint="eastAsia" w:ascii="仿宋" w:hAnsi="仿宋" w:eastAsia="仿宋"/>
          <w:highlight w:val="none"/>
        </w:rPr>
        <w:t>与供应商商定合理的成交价格并保证采购项目质量。</w:t>
      </w:r>
    </w:p>
    <w:p w14:paraId="7D798B4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5、编写协商情况记录</w:t>
      </w:r>
    </w:p>
    <w:p w14:paraId="159132CC">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谈判小组根据协商情况编制协商情况记录，协商情况记录应当由谈判小组全体人员签字认可。对记录有异议的谈判小组成员，应当签署不同意见并说明理由。谈判小组成员拒绝在记录上签字又不书面说明其不同意见和理由的，视为同意。</w:t>
      </w:r>
    </w:p>
    <w:p w14:paraId="3DB31CE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b/>
          <w:highlight w:val="none"/>
        </w:rPr>
        <w:t>（五）在评审过程</w:t>
      </w:r>
      <w:r>
        <w:rPr>
          <w:rFonts w:ascii="仿宋" w:hAnsi="仿宋" w:eastAsia="仿宋"/>
          <w:b/>
          <w:highlight w:val="none"/>
        </w:rPr>
        <w:t>中，</w:t>
      </w:r>
      <w:r>
        <w:rPr>
          <w:rFonts w:hint="eastAsia" w:ascii="仿宋" w:hAnsi="仿宋" w:eastAsia="仿宋"/>
          <w:b/>
          <w:highlight w:val="none"/>
        </w:rPr>
        <w:t>出现下列情况之一的，响应文件视为无效：</w:t>
      </w:r>
    </w:p>
    <w:p w14:paraId="1E5DBFA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1</w:t>
      </w:r>
      <w:r>
        <w:rPr>
          <w:rFonts w:hint="eastAsia" w:ascii="仿宋" w:hAnsi="仿宋" w:eastAsia="仿宋"/>
          <w:highlight w:val="none"/>
        </w:rPr>
        <w:t>、未按照谈判文件要求装订、签署、盖章的；</w:t>
      </w:r>
    </w:p>
    <w:p w14:paraId="23F3A30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2</w:t>
      </w:r>
      <w:r>
        <w:rPr>
          <w:rFonts w:hint="eastAsia" w:ascii="仿宋" w:hAnsi="仿宋" w:eastAsia="仿宋"/>
          <w:highlight w:val="none"/>
        </w:rPr>
        <w:t>、响应文件中无响应有效期或有效期达不到谈判文件要求的；</w:t>
      </w:r>
    </w:p>
    <w:p w14:paraId="08D84AF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3</w:t>
      </w:r>
      <w:r>
        <w:rPr>
          <w:rFonts w:ascii="仿宋" w:hAnsi="仿宋" w:eastAsia="仿宋"/>
          <w:highlight w:val="none"/>
        </w:rPr>
        <w:t>、</w:t>
      </w:r>
      <w:r>
        <w:rPr>
          <w:rFonts w:hint="eastAsia" w:ascii="仿宋" w:hAnsi="仿宋" w:eastAsia="仿宋"/>
          <w:highlight w:val="none"/>
        </w:rPr>
        <w:t>响应文件封面、响应函、法定代表人授权委托书三处的项目名称、项目编号、标段（如有）与所投项目名称、项目编号以及标段不完全一致的；</w:t>
      </w:r>
    </w:p>
    <w:p w14:paraId="5BE5BEB3">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供应商</w:t>
      </w:r>
      <w:r>
        <w:rPr>
          <w:rFonts w:ascii="仿宋" w:hAnsi="仿宋" w:eastAsia="仿宋"/>
          <w:highlight w:val="none"/>
        </w:rPr>
        <w:t>不具备</w:t>
      </w:r>
      <w:r>
        <w:rPr>
          <w:rFonts w:hint="eastAsia" w:ascii="仿宋" w:hAnsi="仿宋" w:eastAsia="仿宋"/>
          <w:highlight w:val="none"/>
        </w:rPr>
        <w:t>谈判文件</w:t>
      </w:r>
      <w:r>
        <w:rPr>
          <w:rFonts w:ascii="仿宋" w:hAnsi="仿宋" w:eastAsia="仿宋"/>
          <w:highlight w:val="none"/>
        </w:rPr>
        <w:t>中规定的资格条件的。</w:t>
      </w:r>
      <w:r>
        <w:rPr>
          <w:rFonts w:hint="eastAsia" w:ascii="仿宋" w:hAnsi="仿宋" w:eastAsia="仿宋"/>
          <w:highlight w:val="none"/>
        </w:rPr>
        <w:t>如果谈判小组认为供应商的资格证明文件复印件存在疑点，可以要求其现场提供原件进行核查，两者出现不同或在谈判小组规定的时间内未能及时提供原件的，响应文件视为无效；</w:t>
      </w:r>
    </w:p>
    <w:p w14:paraId="5DD5FB9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5、</w:t>
      </w:r>
      <w:r>
        <w:rPr>
          <w:rFonts w:ascii="仿宋" w:hAnsi="仿宋" w:eastAsia="仿宋"/>
          <w:highlight w:val="none"/>
        </w:rPr>
        <w:t>政府采购法律法规及</w:t>
      </w:r>
      <w:r>
        <w:rPr>
          <w:rFonts w:hint="eastAsia" w:ascii="仿宋" w:hAnsi="仿宋" w:eastAsia="仿宋"/>
          <w:highlight w:val="none"/>
        </w:rPr>
        <w:t>谈判文件</w:t>
      </w:r>
      <w:r>
        <w:rPr>
          <w:rFonts w:ascii="仿宋" w:hAnsi="仿宋" w:eastAsia="仿宋"/>
          <w:highlight w:val="none"/>
        </w:rPr>
        <w:t>规定的其他情形。</w:t>
      </w:r>
    </w:p>
    <w:p w14:paraId="2857A2AE">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188" w:name="_Toc27202"/>
      <w:bookmarkStart w:id="189" w:name="_Toc32618"/>
      <w:bookmarkStart w:id="190" w:name="_Toc28681249"/>
      <w:bookmarkStart w:id="191" w:name="_Toc974"/>
      <w:bookmarkStart w:id="192" w:name="_Toc18292"/>
      <w:bookmarkStart w:id="193" w:name="_Toc2173"/>
      <w:bookmarkStart w:id="194" w:name="_Toc16311"/>
      <w:bookmarkStart w:id="195" w:name="_Toc5983"/>
      <w:bookmarkStart w:id="196" w:name="_Toc27546"/>
      <w:bookmarkStart w:id="197" w:name="_Toc7264"/>
      <w:bookmarkStart w:id="198" w:name="_Toc22846"/>
      <w:bookmarkStart w:id="199" w:name="_Toc19747"/>
      <w:bookmarkStart w:id="200" w:name="_Toc30998"/>
      <w:bookmarkStart w:id="201" w:name="_Toc25282"/>
      <w:r>
        <w:rPr>
          <w:highlight w:val="none"/>
        </w:rPr>
        <w:t>十、成交</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B9DCD7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（一）</w:t>
      </w:r>
      <w:r>
        <w:rPr>
          <w:rFonts w:hint="eastAsia" w:ascii="仿宋" w:hAnsi="仿宋" w:eastAsia="仿宋" w:cs="仿宋"/>
          <w:highlight w:val="none"/>
        </w:rPr>
        <w:t>陕西中发项目管理发展有限公司</w:t>
      </w:r>
      <w:r>
        <w:rPr>
          <w:rFonts w:hint="eastAsia" w:ascii="仿宋" w:hAnsi="仿宋" w:eastAsia="仿宋"/>
          <w:highlight w:val="none"/>
        </w:rPr>
        <w:t>在评审结束后2个工作日内将协商情况记录送采购人确认。</w:t>
      </w:r>
    </w:p>
    <w:p w14:paraId="106468D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（二）</w:t>
      </w:r>
      <w:r>
        <w:rPr>
          <w:rFonts w:hint="eastAsia" w:ascii="仿宋" w:hAnsi="仿宋" w:eastAsia="仿宋"/>
          <w:highlight w:val="none"/>
        </w:rPr>
        <w:t>采购人在收到协商情况记录后5个工作日内，按照协商情况记录确定成交供应商，也可以书面授权谈判小组直接确定成交供应商。</w:t>
      </w:r>
    </w:p>
    <w:p w14:paraId="78B394A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（三）在确定成交供应商后，</w:t>
      </w:r>
      <w:r>
        <w:rPr>
          <w:rFonts w:hint="eastAsia" w:ascii="仿宋" w:hAnsi="仿宋" w:eastAsia="仿宋" w:cs="仿宋"/>
          <w:highlight w:val="none"/>
        </w:rPr>
        <w:t>陕西中发项目管理发展有限公司</w:t>
      </w:r>
      <w:r>
        <w:rPr>
          <w:rFonts w:hint="eastAsia" w:ascii="仿宋" w:hAnsi="仿宋" w:eastAsia="仿宋"/>
          <w:highlight w:val="none"/>
        </w:rPr>
        <w:t>在2个工作日内，在【全国公共资源交易平台（陕西省）（http：//www.sxggzyjy.cn/）】上发布成交公告，成交公告期限为1个工作日。同时，</w:t>
      </w:r>
      <w:r>
        <w:rPr>
          <w:rFonts w:hint="eastAsia" w:ascii="仿宋" w:hAnsi="仿宋" w:eastAsia="仿宋" w:cs="仿宋"/>
          <w:highlight w:val="none"/>
        </w:rPr>
        <w:t>陕西中发项目管理发展有限公司</w:t>
      </w:r>
      <w:r>
        <w:rPr>
          <w:rFonts w:hint="eastAsia" w:ascii="仿宋" w:hAnsi="仿宋" w:eastAsia="仿宋"/>
          <w:highlight w:val="none"/>
        </w:rPr>
        <w:t xml:space="preserve">向成交供应商发出“成交通知书”。 </w:t>
      </w:r>
    </w:p>
    <w:p w14:paraId="09EC5C35">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202" w:name="_Toc18167"/>
      <w:bookmarkStart w:id="203" w:name="_Toc30666"/>
      <w:bookmarkStart w:id="204" w:name="_Toc507"/>
      <w:bookmarkStart w:id="205" w:name="_Toc4349"/>
      <w:bookmarkStart w:id="206" w:name="_Toc25403"/>
      <w:bookmarkStart w:id="207" w:name="_Toc28681250"/>
      <w:bookmarkStart w:id="208" w:name="_Toc30613"/>
      <w:bookmarkStart w:id="209" w:name="_Toc8458"/>
      <w:bookmarkStart w:id="210" w:name="_Toc9491"/>
      <w:bookmarkStart w:id="211" w:name="_Toc872"/>
      <w:bookmarkStart w:id="212" w:name="_Toc25836"/>
      <w:bookmarkStart w:id="213" w:name="_Toc13654"/>
      <w:bookmarkStart w:id="214" w:name="_Toc18280"/>
      <w:bookmarkStart w:id="215" w:name="_Toc16308"/>
      <w:r>
        <w:rPr>
          <w:highlight w:val="none"/>
        </w:rPr>
        <w:t>十一、签订政府采购合同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283E3C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一）采购人与成交</w:t>
      </w:r>
      <w:r>
        <w:rPr>
          <w:rFonts w:hint="eastAsia" w:ascii="仿宋" w:hAnsi="仿宋" w:eastAsia="仿宋"/>
          <w:highlight w:val="none"/>
        </w:rPr>
        <w:t>供应商</w:t>
      </w:r>
      <w:r>
        <w:rPr>
          <w:rFonts w:ascii="仿宋" w:hAnsi="仿宋" w:eastAsia="仿宋"/>
          <w:highlight w:val="none"/>
        </w:rPr>
        <w:t>应当在自成交通知书发出之日起</w:t>
      </w:r>
      <w:r>
        <w:rPr>
          <w:rFonts w:hint="eastAsia" w:ascii="仿宋" w:hAnsi="仿宋" w:eastAsia="仿宋"/>
          <w:highlight w:val="none"/>
        </w:rPr>
        <w:t>3</w:t>
      </w:r>
      <w:r>
        <w:rPr>
          <w:rFonts w:ascii="仿宋" w:hAnsi="仿宋" w:eastAsia="仿宋"/>
          <w:highlight w:val="none"/>
        </w:rPr>
        <w:t>0日内，按照</w:t>
      </w:r>
      <w:r>
        <w:rPr>
          <w:rFonts w:hint="eastAsia" w:ascii="仿宋" w:hAnsi="仿宋" w:eastAsia="仿宋"/>
          <w:highlight w:val="none"/>
        </w:rPr>
        <w:t>谈判文件</w:t>
      </w:r>
      <w:r>
        <w:rPr>
          <w:rFonts w:ascii="仿宋" w:hAnsi="仿宋" w:eastAsia="仿宋"/>
          <w:highlight w:val="none"/>
        </w:rPr>
        <w:t>确定的合同文本及成交</w:t>
      </w:r>
      <w:r>
        <w:rPr>
          <w:rFonts w:hint="eastAsia" w:ascii="仿宋" w:hAnsi="仿宋" w:eastAsia="仿宋"/>
          <w:highlight w:val="none"/>
        </w:rPr>
        <w:t>供应商</w:t>
      </w:r>
      <w:r>
        <w:rPr>
          <w:rFonts w:ascii="仿宋" w:hAnsi="仿宋" w:eastAsia="仿宋"/>
          <w:highlight w:val="none"/>
        </w:rPr>
        <w:t>的响应情况签订政府采购合同。</w:t>
      </w:r>
    </w:p>
    <w:p w14:paraId="4E00262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二）采购人不得向成交</w:t>
      </w:r>
      <w:r>
        <w:rPr>
          <w:rFonts w:hint="eastAsia" w:ascii="仿宋" w:hAnsi="仿宋" w:eastAsia="仿宋"/>
          <w:highlight w:val="none"/>
        </w:rPr>
        <w:t>供应商</w:t>
      </w:r>
      <w:r>
        <w:rPr>
          <w:rFonts w:ascii="仿宋" w:hAnsi="仿宋" w:eastAsia="仿宋"/>
          <w:highlight w:val="none"/>
        </w:rPr>
        <w:t>提出超出</w:t>
      </w:r>
      <w:r>
        <w:rPr>
          <w:rFonts w:hint="eastAsia" w:ascii="仿宋" w:hAnsi="仿宋" w:eastAsia="仿宋"/>
          <w:highlight w:val="none"/>
        </w:rPr>
        <w:t>谈判文件</w:t>
      </w:r>
      <w:r>
        <w:rPr>
          <w:rFonts w:ascii="仿宋" w:hAnsi="仿宋" w:eastAsia="仿宋"/>
          <w:highlight w:val="none"/>
        </w:rPr>
        <w:t>以外的任何要求作为签订合同的条件，不得与成交</w:t>
      </w:r>
      <w:r>
        <w:rPr>
          <w:rFonts w:hint="eastAsia" w:ascii="仿宋" w:hAnsi="仿宋" w:eastAsia="仿宋"/>
          <w:highlight w:val="none"/>
        </w:rPr>
        <w:t>供应商</w:t>
      </w:r>
      <w:r>
        <w:rPr>
          <w:rFonts w:ascii="仿宋" w:hAnsi="仿宋" w:eastAsia="仿宋"/>
          <w:highlight w:val="none"/>
        </w:rPr>
        <w:t>订立背离</w:t>
      </w:r>
      <w:r>
        <w:rPr>
          <w:rFonts w:hint="eastAsia" w:ascii="仿宋" w:hAnsi="仿宋" w:eastAsia="仿宋"/>
          <w:highlight w:val="none"/>
        </w:rPr>
        <w:t>谈判文件</w:t>
      </w:r>
      <w:r>
        <w:rPr>
          <w:rFonts w:ascii="仿宋" w:hAnsi="仿宋" w:eastAsia="仿宋"/>
          <w:highlight w:val="none"/>
        </w:rPr>
        <w:t>确定的合同文本以及采购标的、采购金额、技术和服务要求等实质性内容的协议。</w:t>
      </w:r>
    </w:p>
    <w:p w14:paraId="33E1A416">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w:t>
      </w:r>
      <w:r>
        <w:rPr>
          <w:rFonts w:ascii="仿宋" w:hAnsi="仿宋" w:eastAsia="仿宋"/>
          <w:highlight w:val="none"/>
        </w:rPr>
        <w:t>三）政府采购合同在执行过程中，确需修改、变更时，应当按照相应的审核批准程序办理。</w:t>
      </w:r>
    </w:p>
    <w:p w14:paraId="79B0EFA8">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（四</w:t>
      </w:r>
      <w:r>
        <w:rPr>
          <w:rFonts w:ascii="仿宋" w:hAnsi="仿宋" w:eastAsia="仿宋"/>
          <w:highlight w:val="none"/>
        </w:rPr>
        <w:t>）</w:t>
      </w:r>
      <w:r>
        <w:rPr>
          <w:rFonts w:hint="eastAsia" w:ascii="仿宋" w:hAnsi="仿宋" w:eastAsia="仿宋"/>
          <w:highlight w:val="none"/>
        </w:rPr>
        <w:t>谈判文件</w:t>
      </w:r>
      <w:r>
        <w:rPr>
          <w:rFonts w:ascii="仿宋" w:hAnsi="仿宋" w:eastAsia="仿宋"/>
          <w:highlight w:val="none"/>
        </w:rPr>
        <w:t>、响应文件、澄清等为政府采购合同的组成部分，具有同等法律效力。</w:t>
      </w:r>
    </w:p>
    <w:p w14:paraId="6D8901F3">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）采购人按有关规定将政府采购合同报送监管机构备案。</w:t>
      </w:r>
    </w:p>
    <w:p w14:paraId="146A562A">
      <w:pPr>
        <w:pStyle w:val="4"/>
        <w:pageBreakBefore w:val="0"/>
        <w:widowControl/>
        <w:kinsoku/>
        <w:wordWrap/>
        <w:overflowPunct/>
        <w:topLinePunct w:val="0"/>
        <w:autoSpaceDE/>
        <w:autoSpaceDN/>
        <w:bidi w:val="0"/>
        <w:adjustRightInd/>
        <w:snapToGrid/>
        <w:spacing w:line="560" w:lineRule="exact"/>
        <w:ind w:firstLine="566" w:firstLineChars="200"/>
        <w:textAlignment w:val="auto"/>
        <w:rPr>
          <w:highlight w:val="none"/>
        </w:rPr>
      </w:pPr>
      <w:bookmarkStart w:id="216" w:name="_Toc4219"/>
      <w:bookmarkStart w:id="217" w:name="_Toc28681251"/>
      <w:bookmarkStart w:id="218" w:name="_Toc11298"/>
      <w:bookmarkStart w:id="219" w:name="_Toc25345"/>
      <w:bookmarkStart w:id="220" w:name="_Toc10624"/>
      <w:bookmarkStart w:id="221" w:name="_Toc19286"/>
      <w:bookmarkStart w:id="222" w:name="_Toc4530"/>
      <w:bookmarkStart w:id="223" w:name="_Toc23336"/>
      <w:bookmarkStart w:id="224" w:name="_Toc30800"/>
      <w:bookmarkStart w:id="225" w:name="_Toc23648"/>
      <w:bookmarkStart w:id="226" w:name="_Toc7453"/>
      <w:bookmarkStart w:id="227" w:name="_Toc19273"/>
      <w:bookmarkStart w:id="228" w:name="_Toc9134"/>
      <w:bookmarkStart w:id="229" w:name="_Toc4557"/>
      <w:r>
        <w:rPr>
          <w:rFonts w:hint="eastAsia"/>
          <w:highlight w:val="none"/>
        </w:rPr>
        <w:t>十二、其他</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808D27A">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（一）根据《政府采购非招标采购方式管理办法》（财政部74号令）第二十三条、第四十三条，出现下列情况之一的，将终止采购活动：</w:t>
      </w:r>
    </w:p>
    <w:p w14:paraId="29702440">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1、因情况变化，不再符合规定的单一来源采购方式适用情形的；</w:t>
      </w:r>
    </w:p>
    <w:p w14:paraId="07C4CB04">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2、出现影响采购公正的违法、违规行为的；</w:t>
      </w:r>
    </w:p>
    <w:p w14:paraId="12F7A5BD">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3、报价超过采购预算的；</w:t>
      </w:r>
    </w:p>
    <w:p w14:paraId="726292FD">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4、因重大变故，采购任务取消的。</w:t>
      </w:r>
    </w:p>
    <w:p w14:paraId="0F1004AE">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（二）采购活动终止后，除采购任务取消外，将重新组织采购。</w:t>
      </w:r>
    </w:p>
    <w:p w14:paraId="595B173C">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cs="仿宋"/>
          <w:highlight w:val="none"/>
        </w:rPr>
        <w:t>（三）谈判小组成员以及评审工作有关的人员不得泄露评审情况以及评审过程中获悉的国家秘密、商业秘密。</w:t>
      </w:r>
    </w:p>
    <w:p w14:paraId="6223F335">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（四）谈判文件未明确的其他事项，按《政府采购法》及其相关法律法规执行。</w:t>
      </w:r>
      <w:r>
        <w:rPr>
          <w:rFonts w:hint="eastAsia" w:ascii="仿宋" w:hAnsi="仿宋" w:eastAsia="仿宋" w:cs="仿宋"/>
          <w:highlight w:val="none"/>
        </w:rPr>
        <w:br w:type="page"/>
      </w:r>
    </w:p>
    <w:p w14:paraId="1DE82F51">
      <w:pPr>
        <w:pStyle w:val="3"/>
        <w:pageBreakBefore w:val="0"/>
        <w:kinsoku/>
        <w:overflowPunct/>
        <w:topLinePunct w:val="0"/>
        <w:autoSpaceDE/>
        <w:autoSpaceDN/>
        <w:bidi w:val="0"/>
        <w:spacing w:beforeAutospacing="0" w:afterAutospacing="0" w:line="560" w:lineRule="exact"/>
        <w:ind w:firstLine="646" w:firstLineChars="200"/>
        <w:textAlignment w:val="auto"/>
        <w:rPr>
          <w:rFonts w:ascii="黑体" w:hAnsi="黑体" w:eastAsia="黑体" w:cs="黑体"/>
          <w:b w:val="0"/>
          <w:bCs w:val="0"/>
          <w:sz w:val="32"/>
          <w:szCs w:val="32"/>
          <w:highlight w:val="none"/>
        </w:rPr>
      </w:pPr>
      <w:bookmarkStart w:id="230" w:name="_Toc31074"/>
      <w:bookmarkStart w:id="231" w:name="_Toc29409"/>
      <w:bookmarkStart w:id="232" w:name="_Toc19541"/>
      <w:bookmarkStart w:id="233" w:name="_Toc31507"/>
      <w:bookmarkStart w:id="234" w:name="_Toc2958"/>
      <w:bookmarkStart w:id="235" w:name="_Toc28312"/>
      <w:bookmarkStart w:id="236" w:name="_Toc11593"/>
      <w:bookmarkStart w:id="237" w:name="_Toc24957"/>
      <w:bookmarkStart w:id="238" w:name="_Toc22261"/>
      <w:bookmarkStart w:id="239" w:name="_Toc9194"/>
      <w:bookmarkStart w:id="240" w:name="_Toc28681252"/>
      <w:bookmarkStart w:id="241" w:name="_Toc10224"/>
      <w:bookmarkStart w:id="242" w:name="_Toc28800"/>
      <w:bookmarkStart w:id="243" w:name="_Toc8613"/>
      <w:bookmarkStart w:id="244" w:name="_Toc23502"/>
      <w:bookmarkStart w:id="245" w:name="_Toc24117"/>
      <w:r>
        <w:rPr>
          <w:rFonts w:hint="eastAsia" w:ascii="黑体" w:hAnsi="黑体" w:eastAsia="黑体" w:cs="黑体"/>
          <w:b w:val="0"/>
          <w:bCs w:val="0"/>
          <w:sz w:val="32"/>
          <w:szCs w:val="32"/>
          <w:highlight w:val="none"/>
        </w:rPr>
        <w:t>第三章 采购内容及采购要求</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19E7B30">
      <w:pPr>
        <w:pStyle w:val="4"/>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华文仿宋" w:eastAsia="仿宋" w:cs="华文仿宋"/>
          <w:sz w:val="28"/>
          <w:szCs w:val="28"/>
          <w:highlight w:val="none"/>
          <w:lang w:val="en-US" w:eastAsia="zh-CN"/>
        </w:rPr>
      </w:pPr>
      <w:bookmarkStart w:id="246" w:name="_Toc19079"/>
      <w:bookmarkStart w:id="247" w:name="_Toc27466"/>
      <w:bookmarkStart w:id="248" w:name="_Toc13248"/>
      <w:bookmarkStart w:id="249" w:name="_Toc7930"/>
      <w:bookmarkStart w:id="250" w:name="_Toc13362"/>
      <w:bookmarkStart w:id="251" w:name="_Toc2880"/>
      <w:bookmarkStart w:id="252" w:name="_Toc24348"/>
      <w:bookmarkStart w:id="253" w:name="_Toc14915"/>
      <w:bookmarkStart w:id="254" w:name="_Toc16280"/>
      <w:bookmarkStart w:id="255" w:name="_Toc30919"/>
      <w:bookmarkStart w:id="256" w:name="_Toc462"/>
      <w:bookmarkStart w:id="257" w:name="_Toc28501"/>
      <w:bookmarkStart w:id="258" w:name="_Toc14093"/>
      <w:bookmarkStart w:id="259" w:name="_Toc28681253"/>
      <w:bookmarkStart w:id="260" w:name="_Toc14691"/>
      <w:r>
        <w:rPr>
          <w:rFonts w:hint="eastAsia" w:ascii="仿宋" w:hAnsi="华文仿宋" w:eastAsia="仿宋" w:cs="华文仿宋"/>
          <w:sz w:val="28"/>
          <w:szCs w:val="28"/>
          <w:highlight w:val="none"/>
        </w:rPr>
        <w:t>一、项目</w:t>
      </w:r>
      <w:bookmarkEnd w:id="246"/>
      <w:bookmarkEnd w:id="247"/>
      <w:bookmarkEnd w:id="248"/>
      <w:bookmarkEnd w:id="249"/>
      <w:bookmarkEnd w:id="250"/>
      <w:bookmarkEnd w:id="251"/>
      <w:bookmarkEnd w:id="252"/>
      <w:bookmarkEnd w:id="253"/>
      <w:r>
        <w:rPr>
          <w:rFonts w:hint="eastAsia" w:ascii="仿宋" w:hAnsi="华文仿宋" w:eastAsia="仿宋" w:cs="华文仿宋"/>
          <w:sz w:val="28"/>
          <w:szCs w:val="28"/>
          <w:highlight w:val="none"/>
          <w:lang w:val="en-US" w:eastAsia="zh-CN"/>
        </w:rPr>
        <w:t>背景</w:t>
      </w:r>
      <w:bookmarkEnd w:id="254"/>
    </w:p>
    <w:p w14:paraId="5359F76E">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ascii="仿宋" w:hAnsi="仿宋" w:eastAsia="仿宋"/>
          <w:highlight w:val="none"/>
          <w:lang w:val="zh-CN"/>
        </w:rPr>
      </w:pPr>
      <w:r>
        <w:rPr>
          <w:rFonts w:hint="eastAsia" w:ascii="仿宋" w:hAnsi="仿宋" w:eastAsia="仿宋"/>
          <w:highlight w:val="none"/>
          <w:lang w:eastAsia="zh-CN"/>
        </w:rPr>
        <w:t>根据《陕西省人民政府办公厅关于印发整合建立统一的公共资源交易平台实施方案的通知》文件相关要求，陕西省公共资源交易平台于2016年开始建设，2019年全省上线运行；工程建设及相关系统（包括房建市政、水利、交通工程类交易）</w:t>
      </w:r>
      <w:r>
        <w:rPr>
          <w:rFonts w:hint="eastAsia" w:ascii="仿宋" w:hAnsi="仿宋" w:eastAsia="仿宋"/>
          <w:highlight w:val="none"/>
          <w:lang w:val="en-US" w:eastAsia="zh-CN"/>
        </w:rPr>
        <w:t>自平台建设之初至今，一直由广</w:t>
      </w:r>
      <w:r>
        <w:rPr>
          <w:rFonts w:hint="eastAsia" w:ascii="仿宋_GB2312" w:hAnsi="仿宋_GB2312" w:eastAsia="仿宋_GB2312" w:cs="仿宋_GB2312"/>
          <w:bCs/>
          <w:highlight w:val="none"/>
          <w:lang w:val="en-US" w:eastAsia="zh-CN"/>
        </w:rPr>
        <w:t>联达科技股份有限公司</w:t>
      </w:r>
      <w:r>
        <w:rPr>
          <w:rFonts w:hint="eastAsia" w:ascii="仿宋" w:hAnsi="仿宋" w:eastAsia="仿宋"/>
          <w:highlight w:val="none"/>
          <w:lang w:eastAsia="zh-CN"/>
        </w:rPr>
        <w:t>负责这部分系统的维护工作，至今已维护6年。为确保中心业务系统正常使用，现对2025年度工程建设及相关系统运维服务进行采购。</w:t>
      </w:r>
    </w:p>
    <w:p w14:paraId="047FDDA0">
      <w:pPr>
        <w:pStyle w:val="4"/>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6" w:firstLineChars="200"/>
        <w:textAlignment w:val="auto"/>
        <w:rPr>
          <w:rFonts w:ascii="仿宋" w:hAnsi="华文仿宋" w:cs="华文仿宋"/>
          <w:sz w:val="28"/>
          <w:szCs w:val="28"/>
          <w:highlight w:val="none"/>
          <w:lang w:val="zh-CN"/>
        </w:rPr>
      </w:pPr>
      <w:bookmarkStart w:id="261" w:name="_Toc31258"/>
      <w:bookmarkStart w:id="262" w:name="_Toc10843"/>
      <w:bookmarkStart w:id="263" w:name="_Toc26153"/>
      <w:bookmarkStart w:id="264" w:name="_Toc9282"/>
      <w:bookmarkStart w:id="265" w:name="_Toc25298"/>
      <w:r>
        <w:rPr>
          <w:rFonts w:hint="eastAsia" w:hAnsi="华文仿宋" w:cs="华文仿宋"/>
          <w:sz w:val="28"/>
          <w:szCs w:val="28"/>
          <w:highlight w:val="none"/>
          <w:lang w:val="en-US" w:eastAsia="zh-CN"/>
        </w:rPr>
        <w:t>项目</w:t>
      </w:r>
      <w:r>
        <w:rPr>
          <w:rFonts w:hint="eastAsia" w:ascii="仿宋" w:hAnsi="华文仿宋" w:cs="华文仿宋"/>
          <w:sz w:val="28"/>
          <w:szCs w:val="28"/>
          <w:highlight w:val="none"/>
          <w:lang w:val="en-US" w:eastAsia="zh-CN"/>
        </w:rPr>
        <w:t>建设需求</w:t>
      </w:r>
      <w:bookmarkEnd w:id="261"/>
    </w:p>
    <w:bookmarkEnd w:id="262"/>
    <w:bookmarkEnd w:id="263"/>
    <w:bookmarkEnd w:id="264"/>
    <w:bookmarkEnd w:id="265"/>
    <w:p w14:paraId="52A46453">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outlineLvl w:val="9"/>
        <w:rPr>
          <w:rFonts w:hint="eastAsia" w:ascii="仿宋" w:hAnsi="仿宋" w:eastAsia="仿宋" w:cstheme="minorBidi"/>
          <w:b w:val="0"/>
          <w:bCs w:val="0"/>
          <w:kern w:val="2"/>
          <w:sz w:val="28"/>
          <w:szCs w:val="28"/>
          <w:highlight w:val="none"/>
          <w:lang w:val="en-US" w:eastAsia="zh-CN" w:bidi="ar-SA"/>
        </w:rPr>
      </w:pPr>
      <w:bookmarkStart w:id="266" w:name="_Toc173517415"/>
      <w:r>
        <w:rPr>
          <w:rFonts w:hint="eastAsia" w:ascii="仿宋" w:hAnsi="仿宋" w:eastAsia="仿宋" w:cstheme="minorBidi"/>
          <w:b w:val="0"/>
          <w:bCs w:val="0"/>
          <w:kern w:val="2"/>
          <w:sz w:val="28"/>
          <w:szCs w:val="28"/>
          <w:highlight w:val="none"/>
          <w:lang w:val="en-US" w:eastAsia="zh-CN" w:bidi="ar-SA"/>
        </w:rPr>
        <w:t>此次2025年度工程建设及相关系统运维服务包括房建市政、水利、交通工程类交易系统的日常运行稳定；提供运维人员长期驻场，及时解决系统使用过程中遇到的各类问题，提供远程、现场支持工作：通过需求开发的形式，对政府采购及相关系统调整优化。</w:t>
      </w:r>
    </w:p>
    <w:p w14:paraId="2E5EEEC2">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hAnsi="华文仿宋" w:cs="华文仿宋"/>
          <w:sz w:val="28"/>
          <w:szCs w:val="28"/>
          <w:highlight w:val="none"/>
          <w:lang w:val="en-US" w:eastAsia="zh-CN"/>
        </w:rPr>
      </w:pPr>
      <w:r>
        <w:rPr>
          <w:rFonts w:hint="eastAsia" w:hAnsi="华文仿宋" w:cs="华文仿宋"/>
          <w:sz w:val="28"/>
          <w:szCs w:val="28"/>
          <w:highlight w:val="none"/>
          <w:lang w:val="en-US" w:eastAsia="zh-CN"/>
        </w:rPr>
        <w:t>（一）</w:t>
      </w:r>
      <w:bookmarkEnd w:id="266"/>
      <w:r>
        <w:rPr>
          <w:rFonts w:hint="eastAsia" w:hAnsi="华文仿宋" w:cs="华文仿宋"/>
          <w:sz w:val="28"/>
          <w:szCs w:val="28"/>
          <w:highlight w:val="none"/>
          <w:lang w:val="en-US" w:eastAsia="zh-CN"/>
        </w:rPr>
        <w:t>系统日常维护</w:t>
      </w:r>
    </w:p>
    <w:p w14:paraId="59323D49">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outlineLvl w:val="9"/>
        <w:rPr>
          <w:rFonts w:hint="eastAsia" w:ascii="仿宋" w:hAnsi="仿宋" w:eastAsia="仿宋" w:cstheme="minorBidi"/>
          <w:b w:val="0"/>
          <w:bCs w:val="0"/>
          <w:kern w:val="2"/>
          <w:sz w:val="28"/>
          <w:szCs w:val="28"/>
          <w:highlight w:val="none"/>
          <w:lang w:val="en-US" w:eastAsia="zh-CN" w:bidi="ar-SA"/>
        </w:rPr>
      </w:pPr>
      <w:r>
        <w:rPr>
          <w:rFonts w:hint="eastAsia" w:ascii="仿宋" w:hAnsi="仿宋" w:eastAsia="仿宋" w:cstheme="minorBidi"/>
          <w:b w:val="0"/>
          <w:bCs w:val="0"/>
          <w:kern w:val="2"/>
          <w:sz w:val="28"/>
          <w:szCs w:val="28"/>
          <w:highlight w:val="none"/>
          <w:lang w:val="en-US" w:eastAsia="zh-CN" w:bidi="ar-SA"/>
        </w:rPr>
        <w:t>系统日常维护内容包括保障房建、水利、交通工程等交易系统的日常运行稳定，保障网上开评标系统、不见面开评标系统、招投标文件编制工具和第三方接口等相关系统与工具的维护及保障工作，受理日常系统运维问题，并针对系统问题进行记录、处理及回复。</w:t>
      </w:r>
    </w:p>
    <w:p w14:paraId="3BD8199B">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hAnsi="华文仿宋" w:cs="华文仿宋"/>
          <w:sz w:val="28"/>
          <w:szCs w:val="28"/>
          <w:highlight w:val="none"/>
          <w:lang w:val="en-US" w:eastAsia="zh-CN"/>
        </w:rPr>
      </w:pPr>
      <w:r>
        <w:rPr>
          <w:rFonts w:hint="eastAsia" w:hAnsi="华文仿宋" w:cs="华文仿宋"/>
          <w:sz w:val="28"/>
          <w:szCs w:val="28"/>
          <w:highlight w:val="none"/>
          <w:lang w:val="en-US" w:eastAsia="zh-CN"/>
        </w:rPr>
        <w:t>（二）运维人员要求</w:t>
      </w:r>
    </w:p>
    <w:p w14:paraId="215FEA11">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需成立专职运维保障团队，运维服务以运维人员现场服务、研发人员远程支撑为主，现场运维保障人员不少于3人，提供5</w:t>
      </w:r>
      <w:r>
        <w:rPr>
          <w:rFonts w:hint="default" w:ascii="仿宋" w:hAnsi="仿宋" w:eastAsia="仿宋" w:cstheme="minorBidi"/>
          <w:kern w:val="2"/>
          <w:sz w:val="28"/>
          <w:szCs w:val="28"/>
          <w:highlight w:val="none"/>
          <w:lang w:val="en-US" w:eastAsia="zh-CN" w:bidi="ar-SA"/>
        </w:rPr>
        <w:t>×</w:t>
      </w:r>
      <w:r>
        <w:rPr>
          <w:rFonts w:hint="eastAsia" w:ascii="仿宋" w:hAnsi="仿宋" w:eastAsia="仿宋" w:cstheme="minorBidi"/>
          <w:kern w:val="2"/>
          <w:sz w:val="28"/>
          <w:szCs w:val="28"/>
          <w:highlight w:val="none"/>
          <w:lang w:val="en-US" w:eastAsia="zh-CN" w:bidi="ar-SA"/>
        </w:rPr>
        <w:t>8小时服务，及时解决系统使用过程中遇到的各类问题，包括省中心及全省各地市远程与现场支持、开展系统关联业务培训、交易主体与专家问题答疑、远程异地评标保障、夜间与节假日评标保障、配合各地市交易中心与审计部门数据统计、配合完成营商环境考核、配合进行攻防演练与等保三级调整等工作，对系统运维提供全面服务保障。</w:t>
      </w:r>
    </w:p>
    <w:p w14:paraId="76EC9C3C">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凡系统发生故障，若无需现场服务，接到采购人报修后，服务响应时间不超过2小时;若需现场服务,接到采购人报修后2小时内派专业维修人员到达现场，排除故障的时间最长不得超过三个工作日。</w:t>
      </w:r>
    </w:p>
    <w:p w14:paraId="7A1AE48D">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供应商应按采购人的需求组织项目团队开展工作，并保持团队服务人员的稳定。如因疾病、意外、离职等不可控因素造成人员短缺，应及时补充相应人员，确保不影响合同正常履行。</w:t>
      </w:r>
    </w:p>
    <w:p w14:paraId="62006D04">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566" w:firstLineChars="200"/>
        <w:textAlignment w:val="auto"/>
        <w:rPr>
          <w:rFonts w:hint="eastAsia" w:hAnsi="华文仿宋" w:cs="华文仿宋"/>
          <w:sz w:val="28"/>
          <w:szCs w:val="28"/>
          <w:highlight w:val="none"/>
          <w:lang w:val="en-US" w:eastAsia="zh-CN"/>
        </w:rPr>
      </w:pPr>
      <w:r>
        <w:rPr>
          <w:rFonts w:hint="eastAsia" w:hAnsi="华文仿宋" w:cs="华文仿宋"/>
          <w:sz w:val="28"/>
          <w:szCs w:val="28"/>
          <w:highlight w:val="none"/>
          <w:lang w:val="en-US" w:eastAsia="zh-CN"/>
        </w:rPr>
        <w:t>（三）需求开发</w:t>
      </w:r>
    </w:p>
    <w:p w14:paraId="5677598E">
      <w:pPr>
        <w:pStyle w:val="2"/>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为确保交易平台能够满足国家政策的执行、交易业务的不断优化调整，保证市场主体良好的交易体验，在合同服务期限内，采购人对现有系统如需开发新增功能，供应商应遵循客观公正、实事求是的原则，通过新增需求、需求变更等形式，与开发团队沟通，对采购人需求变更或新增产生的相关内容进行初步可行性研究和工作量评估，并对业务的优化调整进行记录和备案。</w:t>
      </w:r>
    </w:p>
    <w:p w14:paraId="18C9979E">
      <w:pPr>
        <w:pStyle w:val="4"/>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566" w:firstLineChars="200"/>
        <w:textAlignment w:val="auto"/>
        <w:rPr>
          <w:rFonts w:ascii="仿宋" w:hAnsi="华文仿宋" w:cs="华文仿宋"/>
          <w:sz w:val="28"/>
          <w:szCs w:val="28"/>
          <w:highlight w:val="none"/>
          <w:lang w:val="zh-CN"/>
        </w:rPr>
      </w:pPr>
      <w:r>
        <w:rPr>
          <w:rFonts w:hint="eastAsia" w:hAnsi="华文仿宋" w:cs="华文仿宋"/>
          <w:sz w:val="28"/>
          <w:szCs w:val="28"/>
          <w:highlight w:val="none"/>
          <w:lang w:eastAsia="zh-CN"/>
        </w:rPr>
        <w:t>服务期</w:t>
      </w:r>
    </w:p>
    <w:p w14:paraId="75367C69">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ascii="仿宋" w:hAnsi="仿宋" w:eastAsia="仿宋" w:cs="仿宋"/>
          <w:kern w:val="2"/>
          <w:sz w:val="28"/>
          <w:szCs w:val="28"/>
          <w:highlight w:val="none"/>
          <w:lang w:val="en-US" w:eastAsia="zh-CN" w:bidi="ar-SA"/>
        </w:rPr>
        <w:t>一年</w:t>
      </w:r>
      <w:r>
        <w:rPr>
          <w:rFonts w:hint="eastAsia" w:ascii="黑体" w:hAnsi="黑体" w:eastAsia="黑体" w:cs="黑体"/>
          <w:sz w:val="32"/>
          <w:szCs w:val="32"/>
          <w:highlight w:val="none"/>
        </w:rPr>
        <w:br w:type="page"/>
      </w:r>
    </w:p>
    <w:p w14:paraId="6C535B7B">
      <w:pPr>
        <w:pStyle w:val="3"/>
        <w:pageBreakBefore w:val="0"/>
        <w:kinsoku/>
        <w:overflowPunct/>
        <w:topLinePunct w:val="0"/>
        <w:autoSpaceDE/>
        <w:autoSpaceDN/>
        <w:bidi w:val="0"/>
        <w:spacing w:line="560" w:lineRule="exact"/>
        <w:ind w:firstLine="646" w:firstLineChars="200"/>
        <w:textAlignment w:val="auto"/>
        <w:rPr>
          <w:rFonts w:ascii="仿宋" w:hAnsi="仿宋" w:eastAsia="仿宋" w:cs="仿宋"/>
          <w:highlight w:val="none"/>
        </w:rPr>
      </w:pPr>
      <w:bookmarkStart w:id="267" w:name="_Toc881"/>
      <w:bookmarkStart w:id="268" w:name="_Toc13492"/>
      <w:bookmarkStart w:id="269" w:name="_Toc22040"/>
      <w:bookmarkStart w:id="270" w:name="_Toc31044"/>
      <w:bookmarkStart w:id="271" w:name="_Toc8940"/>
      <w:bookmarkStart w:id="272" w:name="_Toc12675"/>
      <w:bookmarkStart w:id="273" w:name="_Toc12383"/>
      <w:bookmarkStart w:id="274" w:name="_Toc32538"/>
      <w:bookmarkStart w:id="275" w:name="_Toc21221"/>
      <w:bookmarkStart w:id="276" w:name="_Toc27495"/>
      <w:r>
        <w:rPr>
          <w:rFonts w:hint="eastAsia" w:ascii="黑体" w:hAnsi="黑体" w:eastAsia="黑体" w:cs="黑体"/>
          <w:b w:val="0"/>
          <w:bCs w:val="0"/>
          <w:sz w:val="32"/>
          <w:szCs w:val="32"/>
          <w:highlight w:val="none"/>
        </w:rPr>
        <w:t>第四章 合同基本条款</w:t>
      </w:r>
      <w:bookmarkEnd w:id="267"/>
      <w:bookmarkEnd w:id="268"/>
      <w:bookmarkEnd w:id="269"/>
      <w:bookmarkEnd w:id="270"/>
      <w:bookmarkEnd w:id="271"/>
      <w:bookmarkEnd w:id="272"/>
      <w:bookmarkEnd w:id="273"/>
      <w:bookmarkEnd w:id="274"/>
      <w:bookmarkEnd w:id="275"/>
      <w:bookmarkEnd w:id="276"/>
    </w:p>
    <w:bookmarkEnd w:id="255"/>
    <w:bookmarkEnd w:id="256"/>
    <w:bookmarkEnd w:id="257"/>
    <w:bookmarkEnd w:id="258"/>
    <w:bookmarkEnd w:id="259"/>
    <w:bookmarkEnd w:id="260"/>
    <w:p w14:paraId="46CF70FD">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277" w:name="_Toc23723"/>
      <w:bookmarkStart w:id="278" w:name="_Toc17776"/>
      <w:bookmarkStart w:id="279" w:name="_Toc27676"/>
      <w:bookmarkStart w:id="280" w:name="_Toc8683"/>
      <w:bookmarkStart w:id="281" w:name="_Toc11440"/>
      <w:bookmarkStart w:id="282" w:name="_Toc24790"/>
      <w:bookmarkStart w:id="283" w:name="_Toc4766"/>
      <w:bookmarkStart w:id="284" w:name="_Toc17681"/>
      <w:bookmarkStart w:id="285" w:name="_Toc31093"/>
      <w:bookmarkStart w:id="286" w:name="_Toc14110"/>
      <w:bookmarkStart w:id="287" w:name="_Toc27907"/>
      <w:bookmarkStart w:id="288" w:name="_Toc16792"/>
      <w:bookmarkStart w:id="289" w:name="_Toc16248"/>
      <w:bookmarkStart w:id="290" w:name="_Toc31248"/>
      <w:r>
        <w:rPr>
          <w:rFonts w:ascii="Calibri Light" w:hAnsi="Calibri Light"/>
          <w:highlight w:val="none"/>
        </w:rPr>
        <w:t>一、</w:t>
      </w:r>
      <w:r>
        <w:rPr>
          <w:rFonts w:hint="eastAsia" w:ascii="Calibri Light" w:hAnsi="Calibri Light"/>
          <w:highlight w:val="none"/>
        </w:rPr>
        <w:t>交货</w:t>
      </w:r>
      <w:r>
        <w:rPr>
          <w:rFonts w:ascii="Calibri Light" w:hAnsi="Calibri Light"/>
          <w:highlight w:val="none"/>
        </w:rPr>
        <w:t>条件</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AC1102D">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（一）服务地点：采购人指定地点交货。</w:t>
      </w:r>
    </w:p>
    <w:p w14:paraId="54454C77">
      <w:pPr>
        <w:pStyle w:val="22"/>
        <w:pageBreakBefore w:val="0"/>
        <w:kinsoku/>
        <w:overflowPunct/>
        <w:topLinePunct w:val="0"/>
        <w:autoSpaceDE/>
        <w:autoSpaceDN/>
        <w:bidi w:val="0"/>
        <w:spacing w:after="0" w:line="560" w:lineRule="exact"/>
        <w:ind w:firstLine="566" w:firstLineChars="200"/>
        <w:textAlignment w:val="auto"/>
        <w:rPr>
          <w:rFonts w:hint="default" w:ascii="仿宋" w:hAnsi="仿宋" w:eastAsia="仿宋" w:cs="仿宋"/>
          <w:highlight w:val="none"/>
          <w:u w:val="single"/>
          <w:lang w:val="en-US" w:eastAsia="zh-CN"/>
        </w:rPr>
      </w:pPr>
      <w:r>
        <w:rPr>
          <w:rFonts w:hint="eastAsia" w:ascii="仿宋" w:hAnsi="华文仿宋" w:eastAsia="仿宋" w:cs="华文仿宋"/>
          <w:highlight w:val="none"/>
        </w:rPr>
        <w:t>（二）服务期：</w:t>
      </w:r>
      <w:r>
        <w:rPr>
          <w:rFonts w:hint="eastAsia" w:ascii="仿宋" w:hAnsi="仿宋" w:eastAsia="仿宋" w:cs="仿宋"/>
          <w:kern w:val="2"/>
          <w:sz w:val="28"/>
          <w:szCs w:val="28"/>
          <w:highlight w:val="none"/>
          <w:lang w:val="en-US" w:eastAsia="zh-CN" w:bidi="ar-SA"/>
        </w:rPr>
        <w:t>一年</w:t>
      </w:r>
    </w:p>
    <w:p w14:paraId="2F936318">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（三）服务内容及服务人员（后附名单）</w:t>
      </w:r>
    </w:p>
    <w:p w14:paraId="50B9828A">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291" w:name="_Toc13885"/>
      <w:bookmarkStart w:id="292" w:name="_Toc3604"/>
      <w:bookmarkStart w:id="293" w:name="_Toc26382"/>
      <w:bookmarkStart w:id="294" w:name="_Toc19226"/>
      <w:bookmarkStart w:id="295" w:name="_Toc22772"/>
      <w:bookmarkStart w:id="296" w:name="_Toc6215"/>
      <w:bookmarkStart w:id="297" w:name="_Toc13797"/>
      <w:bookmarkStart w:id="298" w:name="_Toc3683"/>
      <w:bookmarkStart w:id="299" w:name="_Toc27553"/>
      <w:bookmarkStart w:id="300" w:name="_Toc10364"/>
      <w:bookmarkStart w:id="301" w:name="_Toc10368"/>
      <w:bookmarkStart w:id="302" w:name="_Toc4020"/>
      <w:bookmarkStart w:id="303" w:name="_Toc29861"/>
      <w:bookmarkStart w:id="304" w:name="_Toc23348"/>
      <w:r>
        <w:rPr>
          <w:rFonts w:ascii="Calibri Light" w:hAnsi="Calibri Light"/>
          <w:highlight w:val="none"/>
        </w:rPr>
        <w:t>二、合同价款</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8BBE3C6">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合同总价一次性包死，不受市场价格变化因素的影响。</w:t>
      </w:r>
    </w:p>
    <w:p w14:paraId="6F2804AB">
      <w:pPr>
        <w:pStyle w:val="4"/>
        <w:pageBreakBefore w:val="0"/>
        <w:kinsoku/>
        <w:overflowPunct/>
        <w:topLinePunct w:val="0"/>
        <w:autoSpaceDE/>
        <w:autoSpaceDN/>
        <w:bidi w:val="0"/>
        <w:spacing w:line="560" w:lineRule="exact"/>
        <w:ind w:firstLine="566" w:firstLineChars="200"/>
        <w:textAlignment w:val="auto"/>
        <w:rPr>
          <w:highlight w:val="none"/>
        </w:rPr>
      </w:pPr>
      <w:bookmarkStart w:id="305" w:name="_Toc9704"/>
      <w:bookmarkStart w:id="306" w:name="_Toc9356"/>
      <w:bookmarkStart w:id="307" w:name="_Toc20919"/>
      <w:bookmarkStart w:id="308" w:name="_Toc185"/>
      <w:bookmarkStart w:id="309" w:name="_Toc28383"/>
      <w:bookmarkStart w:id="310" w:name="_Toc20587"/>
      <w:bookmarkStart w:id="311" w:name="_Toc29282"/>
      <w:bookmarkStart w:id="312" w:name="_Toc7528"/>
      <w:bookmarkStart w:id="313" w:name="_Toc6150"/>
      <w:bookmarkStart w:id="314" w:name="_Toc2370"/>
      <w:bookmarkStart w:id="315" w:name="_Toc30781"/>
      <w:bookmarkStart w:id="316" w:name="_Toc28510"/>
      <w:bookmarkStart w:id="317" w:name="_Toc9401"/>
      <w:bookmarkStart w:id="318" w:name="_Toc31033"/>
      <w:r>
        <w:rPr>
          <w:rFonts w:hint="eastAsia" w:ascii="Calibri Light" w:hAnsi="Calibri Light"/>
          <w:highlight w:val="none"/>
        </w:rPr>
        <w:t>三、</w:t>
      </w:r>
      <w:r>
        <w:rPr>
          <w:rFonts w:ascii="Calibri Light" w:hAnsi="Calibri Light"/>
          <w:highlight w:val="none"/>
        </w:rPr>
        <w:t>款项结算</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0E841D5">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（一）支付方式：银行转账</w:t>
      </w:r>
    </w:p>
    <w:p w14:paraId="7280CD8D">
      <w:pPr>
        <w:pStyle w:val="46"/>
        <w:pageBreakBefore w:val="0"/>
        <w:kinsoku/>
        <w:overflowPunct/>
        <w:topLinePunct w:val="0"/>
        <w:autoSpaceDE/>
        <w:autoSpaceDN/>
        <w:bidi w:val="0"/>
        <w:spacing w:line="560" w:lineRule="exact"/>
        <w:ind w:firstLine="567"/>
        <w:textAlignment w:val="auto"/>
        <w:rPr>
          <w:rFonts w:ascii="仿宋" w:hAnsi="华文仿宋" w:eastAsia="仿宋" w:cs="华文仿宋"/>
          <w:highlight w:val="none"/>
        </w:rPr>
      </w:pPr>
      <w:r>
        <w:rPr>
          <w:rFonts w:hint="eastAsia" w:ascii="仿宋" w:hAnsi="华文仿宋" w:eastAsia="仿宋" w:cs="华文仿宋"/>
          <w:highlight w:val="none"/>
        </w:rPr>
        <w:t>（二）货币单位：人民币</w:t>
      </w:r>
    </w:p>
    <w:p w14:paraId="2DFB1C54">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（三）结算方式：</w:t>
      </w:r>
      <w:bookmarkStart w:id="319" w:name="_Toc17983_WPSOffice_Level2"/>
      <w:bookmarkStart w:id="320" w:name="_Toc27759"/>
      <w:bookmarkStart w:id="321" w:name="_Toc19805"/>
    </w:p>
    <w:p w14:paraId="0312AA4D">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1、合同款甲方以人民币结算。在付款时，乙方须出具付款申请并开具付款金额等额发票给甲方。</w:t>
      </w:r>
    </w:p>
    <w:p w14:paraId="5DB7B1C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2、付款方式：</w:t>
      </w:r>
    </w:p>
    <w:bookmarkEnd w:id="319"/>
    <w:bookmarkEnd w:id="320"/>
    <w:bookmarkEnd w:id="321"/>
    <w:p w14:paraId="206E2DE8">
      <w:pPr>
        <w:pStyle w:val="4"/>
        <w:pageBreakBefore w:val="0"/>
        <w:kinsoku/>
        <w:overflowPunct/>
        <w:topLinePunct w:val="0"/>
        <w:autoSpaceDE/>
        <w:autoSpaceDN/>
        <w:bidi w:val="0"/>
        <w:spacing w:line="560" w:lineRule="exact"/>
        <w:ind w:firstLine="566" w:firstLineChars="200"/>
        <w:textAlignment w:val="auto"/>
        <w:rPr>
          <w:rFonts w:hint="eastAsia" w:ascii="仿宋" w:hAnsi="华文仿宋" w:eastAsia="仿宋" w:cs="华文仿宋"/>
          <w:b w:val="0"/>
          <w:bCs w:val="0"/>
          <w:kern w:val="2"/>
          <w:sz w:val="28"/>
          <w:szCs w:val="28"/>
          <w:highlight w:val="none"/>
          <w:lang w:val="en-US" w:eastAsia="zh-CN" w:bidi="ar-SA"/>
        </w:rPr>
      </w:pPr>
      <w:bookmarkStart w:id="322" w:name="_Toc24110"/>
      <w:bookmarkStart w:id="323" w:name="_Toc4874"/>
      <w:bookmarkStart w:id="324" w:name="_Toc29238"/>
      <w:bookmarkStart w:id="325" w:name="_Toc8229"/>
      <w:bookmarkStart w:id="326" w:name="_Toc21536"/>
      <w:bookmarkStart w:id="327" w:name="_Toc7178"/>
      <w:bookmarkStart w:id="328" w:name="_Toc4595"/>
      <w:bookmarkStart w:id="329" w:name="_Toc5232"/>
      <w:bookmarkStart w:id="330" w:name="_Toc32122"/>
      <w:bookmarkStart w:id="331" w:name="_Toc9670"/>
      <w:bookmarkStart w:id="332" w:name="_Toc18479"/>
      <w:bookmarkStart w:id="333" w:name="_Toc9859"/>
      <w:bookmarkStart w:id="334" w:name="_Toc1013"/>
      <w:bookmarkStart w:id="335" w:name="_Toc8604"/>
      <w:bookmarkStart w:id="336" w:name="_Toc31253"/>
      <w:bookmarkStart w:id="337" w:name="_Toc745"/>
      <w:bookmarkStart w:id="338" w:name="_Toc1928"/>
      <w:r>
        <w:rPr>
          <w:rFonts w:hint="eastAsia" w:hAnsi="华文仿宋" w:cs="华文仿宋"/>
          <w:b w:val="0"/>
          <w:bCs w:val="0"/>
          <w:kern w:val="2"/>
          <w:sz w:val="28"/>
          <w:szCs w:val="28"/>
          <w:highlight w:val="none"/>
          <w:lang w:val="en-US" w:eastAsia="zh-CN" w:bidi="ar-SA"/>
        </w:rPr>
        <w:t>（1）</w:t>
      </w:r>
      <w:r>
        <w:rPr>
          <w:rFonts w:hint="eastAsia" w:ascii="仿宋" w:hAnsi="华文仿宋" w:eastAsia="仿宋" w:cs="华文仿宋"/>
          <w:b w:val="0"/>
          <w:bCs w:val="0"/>
          <w:kern w:val="2"/>
          <w:sz w:val="28"/>
          <w:szCs w:val="28"/>
          <w:highlight w:val="none"/>
          <w:lang w:val="en-US" w:eastAsia="zh-CN" w:bidi="ar-SA"/>
        </w:rPr>
        <w:t>自双方合同生效后</w:t>
      </w:r>
      <w:r>
        <w:rPr>
          <w:rFonts w:hint="eastAsia" w:hAnsi="华文仿宋" w:cs="华文仿宋"/>
          <w:b w:val="0"/>
          <w:bCs w:val="0"/>
          <w:kern w:val="2"/>
          <w:sz w:val="28"/>
          <w:szCs w:val="28"/>
          <w:highlight w:val="none"/>
          <w:lang w:val="en-US" w:eastAsia="zh-CN" w:bidi="ar-SA"/>
        </w:rPr>
        <w:t>20</w:t>
      </w:r>
      <w:r>
        <w:rPr>
          <w:rFonts w:hint="eastAsia" w:ascii="仿宋" w:hAnsi="华文仿宋" w:eastAsia="仿宋" w:cs="华文仿宋"/>
          <w:b w:val="0"/>
          <w:bCs w:val="0"/>
          <w:kern w:val="2"/>
          <w:sz w:val="28"/>
          <w:szCs w:val="28"/>
          <w:highlight w:val="none"/>
          <w:lang w:val="en-US" w:eastAsia="zh-CN" w:bidi="ar-SA"/>
        </w:rPr>
        <w:t>个工作日内，根据成交供应商提交的付款申请，以及开具的同等金额增值税发票，采购人向成交供应商支付合同总额的</w:t>
      </w:r>
      <w:r>
        <w:rPr>
          <w:rFonts w:hint="eastAsia" w:hAnsi="华文仿宋" w:cs="华文仿宋"/>
          <w:b w:val="0"/>
          <w:bCs w:val="0"/>
          <w:kern w:val="2"/>
          <w:sz w:val="28"/>
          <w:szCs w:val="28"/>
          <w:highlight w:val="none"/>
          <w:lang w:val="en-US" w:eastAsia="zh-CN" w:bidi="ar-SA"/>
        </w:rPr>
        <w:t>90</w:t>
      </w:r>
      <w:r>
        <w:rPr>
          <w:rFonts w:hint="eastAsia" w:ascii="仿宋" w:hAnsi="华文仿宋" w:eastAsia="仿宋" w:cs="华文仿宋"/>
          <w:b w:val="0"/>
          <w:bCs w:val="0"/>
          <w:kern w:val="2"/>
          <w:sz w:val="28"/>
          <w:szCs w:val="28"/>
          <w:highlight w:val="none"/>
          <w:lang w:val="en-US" w:eastAsia="zh-CN" w:bidi="ar-SA"/>
        </w:rPr>
        <w:t>%；</w:t>
      </w:r>
    </w:p>
    <w:p w14:paraId="7EFA8259">
      <w:pPr>
        <w:pStyle w:val="4"/>
        <w:pageBreakBefore w:val="0"/>
        <w:kinsoku/>
        <w:overflowPunct/>
        <w:topLinePunct w:val="0"/>
        <w:autoSpaceDE/>
        <w:autoSpaceDN/>
        <w:bidi w:val="0"/>
        <w:spacing w:line="560" w:lineRule="exact"/>
        <w:ind w:firstLine="566" w:firstLineChars="200"/>
        <w:textAlignment w:val="auto"/>
        <w:rPr>
          <w:rFonts w:hint="eastAsia" w:ascii="仿宋" w:hAnsi="华文仿宋" w:eastAsia="仿宋" w:cs="华文仿宋"/>
          <w:b w:val="0"/>
          <w:bCs w:val="0"/>
          <w:kern w:val="2"/>
          <w:sz w:val="28"/>
          <w:szCs w:val="28"/>
          <w:highlight w:val="none"/>
          <w:lang w:val="en-US" w:eastAsia="zh-CN" w:bidi="ar-SA"/>
        </w:rPr>
      </w:pPr>
      <w:r>
        <w:rPr>
          <w:rFonts w:hint="eastAsia" w:hAnsi="华文仿宋" w:cs="华文仿宋"/>
          <w:b w:val="0"/>
          <w:bCs w:val="0"/>
          <w:kern w:val="2"/>
          <w:sz w:val="28"/>
          <w:szCs w:val="28"/>
          <w:highlight w:val="none"/>
          <w:lang w:val="en-US" w:eastAsia="zh-CN" w:bidi="ar-SA"/>
        </w:rPr>
        <w:t>（2）</w:t>
      </w:r>
      <w:r>
        <w:rPr>
          <w:rFonts w:hint="eastAsia" w:ascii="仿宋" w:hAnsi="华文仿宋" w:eastAsia="仿宋" w:cs="华文仿宋"/>
          <w:b w:val="0"/>
          <w:bCs w:val="0"/>
          <w:kern w:val="2"/>
          <w:sz w:val="28"/>
          <w:szCs w:val="28"/>
          <w:highlight w:val="none"/>
          <w:lang w:val="en-US" w:eastAsia="zh-CN" w:bidi="ar-SA"/>
        </w:rPr>
        <w:t>在合同到期前</w:t>
      </w:r>
      <w:r>
        <w:rPr>
          <w:rFonts w:hint="eastAsia" w:hAnsi="华文仿宋" w:cs="华文仿宋"/>
          <w:b w:val="0"/>
          <w:bCs w:val="0"/>
          <w:kern w:val="2"/>
          <w:sz w:val="28"/>
          <w:szCs w:val="28"/>
          <w:highlight w:val="none"/>
          <w:lang w:val="en-US" w:eastAsia="zh-CN" w:bidi="ar-SA"/>
        </w:rPr>
        <w:t>30</w:t>
      </w:r>
      <w:r>
        <w:rPr>
          <w:rFonts w:hint="eastAsia" w:ascii="仿宋" w:hAnsi="华文仿宋" w:eastAsia="仿宋" w:cs="华文仿宋"/>
          <w:b w:val="0"/>
          <w:bCs w:val="0"/>
          <w:kern w:val="2"/>
          <w:sz w:val="28"/>
          <w:szCs w:val="28"/>
          <w:highlight w:val="none"/>
          <w:lang w:val="en-US" w:eastAsia="zh-CN" w:bidi="ar-SA"/>
        </w:rPr>
        <w:t>个工作日内，采购人组织相关人员对成交供应商的服务进行考核，服务标准和服务方式达到采购要求</w:t>
      </w:r>
      <w:r>
        <w:rPr>
          <w:rFonts w:hint="eastAsia" w:hAnsi="华文仿宋" w:cs="华文仿宋"/>
          <w:b w:val="0"/>
          <w:bCs w:val="0"/>
          <w:kern w:val="2"/>
          <w:sz w:val="28"/>
          <w:szCs w:val="28"/>
          <w:highlight w:val="none"/>
          <w:lang w:val="en-US" w:eastAsia="zh-CN" w:bidi="ar-SA"/>
        </w:rPr>
        <w:t>后</w:t>
      </w:r>
      <w:r>
        <w:rPr>
          <w:rFonts w:hint="eastAsia" w:ascii="仿宋" w:hAnsi="华文仿宋" w:eastAsia="仿宋" w:cs="华文仿宋"/>
          <w:b w:val="0"/>
          <w:bCs w:val="0"/>
          <w:kern w:val="2"/>
          <w:sz w:val="28"/>
          <w:szCs w:val="28"/>
          <w:highlight w:val="none"/>
          <w:lang w:val="en-US" w:eastAsia="zh-CN" w:bidi="ar-SA"/>
        </w:rPr>
        <w:t>，根据成交供应商提交的付款申请，以及开具的同等金额增值税发票，采购人向成交供应商支付合同剩余金额的</w:t>
      </w:r>
      <w:r>
        <w:rPr>
          <w:rFonts w:hint="eastAsia" w:hAnsi="华文仿宋" w:cs="华文仿宋"/>
          <w:b w:val="0"/>
          <w:bCs w:val="0"/>
          <w:kern w:val="2"/>
          <w:sz w:val="28"/>
          <w:szCs w:val="28"/>
          <w:highlight w:val="none"/>
          <w:lang w:val="en-US" w:eastAsia="zh-CN" w:bidi="ar-SA"/>
        </w:rPr>
        <w:t>10</w:t>
      </w:r>
      <w:r>
        <w:rPr>
          <w:rFonts w:hint="eastAsia" w:ascii="仿宋" w:hAnsi="华文仿宋" w:eastAsia="仿宋" w:cs="华文仿宋"/>
          <w:b w:val="0"/>
          <w:bCs w:val="0"/>
          <w:kern w:val="2"/>
          <w:sz w:val="28"/>
          <w:szCs w:val="28"/>
          <w:highlight w:val="none"/>
          <w:lang w:val="en-US" w:eastAsia="zh-CN" w:bidi="ar-SA"/>
        </w:rPr>
        <w:t>%。</w:t>
      </w:r>
    </w:p>
    <w:p w14:paraId="52C4312E">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r>
        <w:rPr>
          <w:rFonts w:hint="eastAsia" w:ascii="Calibri Light" w:hAnsi="Calibri Light"/>
          <w:highlight w:val="none"/>
        </w:rPr>
        <w:t>四、双方权利及义务：</w:t>
      </w:r>
      <w:bookmarkEnd w:id="322"/>
      <w:bookmarkEnd w:id="323"/>
      <w:bookmarkEnd w:id="324"/>
      <w:bookmarkEnd w:id="325"/>
      <w:bookmarkEnd w:id="326"/>
      <w:bookmarkEnd w:id="327"/>
      <w:bookmarkEnd w:id="328"/>
      <w:bookmarkEnd w:id="329"/>
      <w:bookmarkEnd w:id="330"/>
    </w:p>
    <w:p w14:paraId="4F340159">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1、甲方权利及义务：</w:t>
      </w:r>
    </w:p>
    <w:p w14:paraId="72B2A6BA">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w:t>
      </w:r>
      <w:r>
        <w:rPr>
          <w:rFonts w:eastAsia="仿宋"/>
          <w:highlight w:val="none"/>
        </w:rPr>
        <w:t>有权监督乙方的工作进度和工作质量，由项目代表对乙方按照合同约定所完成的工作内容予以阶段确认。</w:t>
      </w:r>
    </w:p>
    <w:p w14:paraId="51C995EA">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（2）</w:t>
      </w:r>
      <w:r>
        <w:rPr>
          <w:rFonts w:eastAsia="仿宋"/>
          <w:highlight w:val="none"/>
        </w:rPr>
        <w:t>有权在技术服务过程中，提出修改意见。</w:t>
      </w:r>
    </w:p>
    <w:p w14:paraId="2EA4574B">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（3）应向乙方提供并允许乙方为完成本项目使用双方商议确认的信息、数据、资料；协助乙方解决项目实施中需由甲方协助解决的问题。</w:t>
      </w:r>
    </w:p>
    <w:p w14:paraId="0CED7028">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eastAsia="仿宋"/>
          <w:highlight w:val="none"/>
        </w:rPr>
        <w:t>（4）</w:t>
      </w:r>
      <w:r>
        <w:rPr>
          <w:rFonts w:hint="eastAsia" w:ascii="仿宋" w:hAnsi="华文仿宋" w:eastAsia="仿宋" w:cs="华文仿宋"/>
          <w:highlight w:val="none"/>
        </w:rPr>
        <w:t>应按本合同的约定向乙方支付合同款和组织项目验收。</w:t>
      </w:r>
    </w:p>
    <w:p w14:paraId="027EAD0B">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（5）遵守本合同约定的知识产权，履行保密义务</w:t>
      </w:r>
    </w:p>
    <w:p w14:paraId="6DA928A9">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2、乙方的权利及义务：</w:t>
      </w:r>
    </w:p>
    <w:p w14:paraId="25A35EDC">
      <w:pPr>
        <w:pStyle w:val="5"/>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eastAsia="仿宋"/>
          <w:highlight w:val="none"/>
        </w:rPr>
        <w:t>（1）指定专人负责本项目的实施，乙方应在合同约定的时间内，向甲方提交书面的项目工作方案相关规定制定的货物，服务人员名单及职责分工。</w:t>
      </w:r>
    </w:p>
    <w:p w14:paraId="52D12FCF">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（2）应按照工作方案，向甲方交付合格的产品和技术资料。保证服务内容与本合同约定的质量要求和数量一致。</w:t>
      </w:r>
    </w:p>
    <w:p w14:paraId="68A05CA8">
      <w:pPr>
        <w:pStyle w:val="5"/>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（3）保证在合同履行期间，拥有采购人要求的资质和开发能力，并保证不会侵犯任何第三方知识产权。</w:t>
      </w:r>
    </w:p>
    <w:p w14:paraId="50F124D1">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（4）按照本合同约定为采购人提供符合要求的场地及人员。人员为乙方聘用员工且符合甲方要求的相应技术，乙方与服务人员按照《劳动法》相关条款规定为其缴纳社会保险。</w:t>
      </w:r>
    </w:p>
    <w:p w14:paraId="0B93861E">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⑸遵守本合同约定的知识产权，履行保密义务。</w:t>
      </w:r>
    </w:p>
    <w:p w14:paraId="79C2910A">
      <w:pPr>
        <w:pageBreakBefore w:val="0"/>
        <w:kinsoku/>
        <w:overflowPunct/>
        <w:topLinePunct w:val="0"/>
        <w:autoSpaceDE/>
        <w:autoSpaceDN/>
        <w:bidi w:val="0"/>
        <w:spacing w:line="560" w:lineRule="exact"/>
        <w:ind w:firstLine="566" w:firstLineChars="200"/>
        <w:textAlignment w:val="auto"/>
        <w:outlineLvl w:val="1"/>
        <w:rPr>
          <w:rFonts w:ascii="仿宋" w:hAnsi="华文仿宋" w:eastAsia="仿宋" w:cs="华文仿宋"/>
          <w:b/>
          <w:highlight w:val="none"/>
        </w:rPr>
      </w:pPr>
      <w:bookmarkStart w:id="339" w:name="_Toc530"/>
      <w:bookmarkStart w:id="340" w:name="_Toc15726"/>
      <w:bookmarkStart w:id="341" w:name="_Toc32313"/>
      <w:bookmarkStart w:id="342" w:name="_Toc28731"/>
      <w:bookmarkStart w:id="343" w:name="_Toc6759"/>
      <w:bookmarkStart w:id="344" w:name="_Toc9223"/>
      <w:bookmarkStart w:id="345" w:name="_Toc24678"/>
      <w:bookmarkStart w:id="346" w:name="_Toc21929"/>
      <w:bookmarkStart w:id="347" w:name="_Toc29580"/>
      <w:bookmarkStart w:id="348" w:name="_Toc7429"/>
      <w:bookmarkStart w:id="349" w:name="_Toc27743"/>
      <w:r>
        <w:rPr>
          <w:rFonts w:hint="eastAsia" w:ascii="仿宋" w:hAnsi="华文仿宋" w:eastAsia="仿宋" w:cs="华文仿宋"/>
          <w:b/>
          <w:highlight w:val="none"/>
        </w:rPr>
        <w:t>五、服务保证</w:t>
      </w:r>
      <w:bookmarkEnd w:id="339"/>
      <w:bookmarkEnd w:id="340"/>
      <w:bookmarkEnd w:id="341"/>
      <w:bookmarkEnd w:id="342"/>
      <w:bookmarkEnd w:id="343"/>
      <w:bookmarkEnd w:id="344"/>
      <w:bookmarkEnd w:id="345"/>
      <w:bookmarkEnd w:id="346"/>
      <w:bookmarkEnd w:id="347"/>
      <w:bookmarkEnd w:id="348"/>
      <w:bookmarkEnd w:id="349"/>
    </w:p>
    <w:p w14:paraId="5A8488FB">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1、人员雇佣及工资标准</w:t>
      </w:r>
    </w:p>
    <w:p w14:paraId="56AA1C9D">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（1）成交供应商须保障所有人员待遇不得低于西安市最低工资标准。</w:t>
      </w:r>
    </w:p>
    <w:p w14:paraId="52E057DE">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（2）成交供应商须与员工签订劳动合同，引起劳动关系问题由成交供应商负责。</w:t>
      </w:r>
    </w:p>
    <w:p w14:paraId="14D500EC">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2、未经采购人书面许可，成交供应商不得从事与本项目合同约定以外的任何经营性活动，不得引进任何单位和个人从事经营性活动，不得出租、出借、出让采购人任何资产，成交供应商有义务爱护采购人管辖范围内的各种设施设备，不得阻碍经采购人批准的服务项目和活动的实施，否则视为违约。</w:t>
      </w:r>
    </w:p>
    <w:p w14:paraId="7A6F3638">
      <w:pPr>
        <w:pageBreakBefore w:val="0"/>
        <w:kinsoku/>
        <w:overflowPunct/>
        <w:topLinePunct w:val="0"/>
        <w:autoSpaceDE/>
        <w:autoSpaceDN/>
        <w:bidi w:val="0"/>
        <w:spacing w:line="560" w:lineRule="exact"/>
        <w:ind w:firstLine="566" w:firstLineChars="200"/>
        <w:textAlignment w:val="auto"/>
        <w:outlineLvl w:val="1"/>
        <w:rPr>
          <w:rFonts w:ascii="仿宋" w:hAnsi="华文仿宋" w:eastAsia="仿宋" w:cs="华文仿宋"/>
          <w:b/>
          <w:highlight w:val="none"/>
        </w:rPr>
      </w:pPr>
      <w:bookmarkStart w:id="350" w:name="_Toc1451"/>
      <w:bookmarkStart w:id="351" w:name="_Toc1967"/>
      <w:bookmarkStart w:id="352" w:name="_Toc32099"/>
      <w:bookmarkStart w:id="353" w:name="_Toc8879"/>
      <w:bookmarkStart w:id="354" w:name="_Toc14919"/>
      <w:bookmarkStart w:id="355" w:name="_Toc15772"/>
      <w:bookmarkStart w:id="356" w:name="_Toc30440"/>
      <w:bookmarkStart w:id="357" w:name="_Toc29742"/>
      <w:bookmarkStart w:id="358" w:name="_Toc754"/>
      <w:bookmarkStart w:id="359" w:name="_Toc16200"/>
      <w:r>
        <w:rPr>
          <w:rFonts w:hint="eastAsia" w:ascii="仿宋" w:hAnsi="华文仿宋" w:eastAsia="仿宋" w:cs="华文仿宋"/>
          <w:b/>
          <w:highlight w:val="none"/>
        </w:rPr>
        <w:t>六、</w:t>
      </w:r>
      <w:bookmarkEnd w:id="350"/>
      <w:bookmarkEnd w:id="351"/>
      <w:bookmarkEnd w:id="352"/>
      <w:r>
        <w:rPr>
          <w:rFonts w:hint="eastAsia" w:ascii="仿宋" w:hAnsi="华文仿宋" w:eastAsia="仿宋" w:cs="华文仿宋"/>
          <w:b/>
          <w:highlight w:val="none"/>
        </w:rPr>
        <w:t>服务要求</w:t>
      </w:r>
      <w:bookmarkEnd w:id="353"/>
      <w:bookmarkEnd w:id="354"/>
      <w:bookmarkEnd w:id="355"/>
      <w:bookmarkEnd w:id="356"/>
      <w:bookmarkEnd w:id="357"/>
      <w:bookmarkEnd w:id="358"/>
      <w:bookmarkEnd w:id="359"/>
    </w:p>
    <w:p w14:paraId="65783DC3">
      <w:pPr>
        <w:pageBreakBefore w:val="0"/>
        <w:tabs>
          <w:tab w:val="left" w:pos="840"/>
        </w:tabs>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bookmarkStart w:id="360" w:name="_Toc3312"/>
      <w:bookmarkStart w:id="361" w:name="_Toc7612"/>
      <w:r>
        <w:rPr>
          <w:rFonts w:hint="eastAsia" w:ascii="仿宋" w:hAnsi="华文仿宋" w:eastAsia="仿宋" w:cs="华文仿宋"/>
          <w:highlight w:val="none"/>
        </w:rPr>
        <w:t>以响应文件、澄清表（函）、合同和随服务的相关文件为准。</w:t>
      </w:r>
    </w:p>
    <w:p w14:paraId="3631017A">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62" w:name="_Toc24147"/>
      <w:bookmarkStart w:id="363" w:name="_Toc3618"/>
      <w:bookmarkStart w:id="364" w:name="_Toc902"/>
      <w:bookmarkStart w:id="365" w:name="_Toc30511"/>
      <w:bookmarkStart w:id="366" w:name="_Toc24101"/>
      <w:bookmarkStart w:id="367" w:name="_Toc22758"/>
      <w:bookmarkStart w:id="368" w:name="_Toc19424"/>
      <w:r>
        <w:rPr>
          <w:rFonts w:hint="eastAsia" w:ascii="Calibri Light" w:hAnsi="Calibri Light"/>
          <w:highlight w:val="none"/>
        </w:rPr>
        <w:t>七、</w:t>
      </w:r>
      <w:r>
        <w:rPr>
          <w:rFonts w:ascii="Calibri Light" w:hAnsi="Calibri Light"/>
          <w:highlight w:val="none"/>
        </w:rPr>
        <w:t>违约责任</w:t>
      </w:r>
      <w:bookmarkEnd w:id="331"/>
      <w:bookmarkEnd w:id="332"/>
      <w:bookmarkEnd w:id="333"/>
      <w:bookmarkEnd w:id="334"/>
      <w:bookmarkEnd w:id="335"/>
      <w:bookmarkEnd w:id="336"/>
      <w:bookmarkEnd w:id="337"/>
      <w:bookmarkEnd w:id="338"/>
      <w:bookmarkEnd w:id="360"/>
      <w:bookmarkEnd w:id="361"/>
      <w:bookmarkEnd w:id="362"/>
      <w:bookmarkEnd w:id="363"/>
      <w:bookmarkEnd w:id="364"/>
      <w:bookmarkEnd w:id="365"/>
      <w:bookmarkEnd w:id="366"/>
      <w:bookmarkEnd w:id="367"/>
      <w:bookmarkEnd w:id="368"/>
    </w:p>
    <w:p w14:paraId="26410F65">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（一）按《合同法》中的相关条款执行。</w:t>
      </w:r>
    </w:p>
    <w:p w14:paraId="125BC274">
      <w:pPr>
        <w:pageBreakBefore w:val="0"/>
        <w:kinsoku/>
        <w:overflowPunct/>
        <w:topLinePunct w:val="0"/>
        <w:autoSpaceDE/>
        <w:autoSpaceDN/>
        <w:bidi w:val="0"/>
        <w:spacing w:line="560" w:lineRule="exact"/>
        <w:ind w:firstLine="566" w:firstLineChars="200"/>
        <w:textAlignment w:val="auto"/>
        <w:rPr>
          <w:rFonts w:eastAsia="仿宋"/>
          <w:highlight w:val="none"/>
        </w:rPr>
      </w:pPr>
      <w:r>
        <w:rPr>
          <w:rFonts w:hint="eastAsia" w:ascii="仿宋" w:hAnsi="华文仿宋" w:eastAsia="仿宋" w:cs="华文仿宋"/>
          <w:highlight w:val="none"/>
        </w:rPr>
        <w:t>（二）未按合同要求提供服务、货物或服务、货物质量不能满足合同要求，采购人有权依据《合同法》有关条款及合同约定终止合同，并要求供应商承担违约责任。</w:t>
      </w:r>
    </w:p>
    <w:p w14:paraId="06330274">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69" w:name="_Toc9893"/>
      <w:bookmarkStart w:id="370" w:name="_Toc32665"/>
      <w:bookmarkStart w:id="371" w:name="_Toc16304"/>
      <w:bookmarkStart w:id="372" w:name="_Toc12807"/>
      <w:bookmarkStart w:id="373" w:name="_Toc20616"/>
      <w:bookmarkStart w:id="374" w:name="_Toc16421"/>
      <w:bookmarkStart w:id="375" w:name="_Toc27319"/>
      <w:bookmarkStart w:id="376" w:name="_Toc24399"/>
      <w:bookmarkStart w:id="377" w:name="_Toc27290"/>
      <w:bookmarkStart w:id="378" w:name="_Toc11377"/>
      <w:bookmarkStart w:id="379" w:name="_Toc29095"/>
      <w:bookmarkStart w:id="380" w:name="_Toc11294"/>
      <w:bookmarkStart w:id="381" w:name="_Toc30027"/>
      <w:bookmarkStart w:id="382" w:name="_Toc29554"/>
      <w:bookmarkStart w:id="383" w:name="_Toc5968"/>
      <w:bookmarkStart w:id="384" w:name="_Toc1540"/>
      <w:bookmarkStart w:id="385" w:name="_Toc22632"/>
      <w:r>
        <w:rPr>
          <w:rFonts w:hint="eastAsia" w:ascii="Calibri Light" w:hAnsi="Calibri Light"/>
          <w:highlight w:val="none"/>
        </w:rPr>
        <w:t>八、争议解决</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429D6E0">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bookmarkStart w:id="386" w:name="_Toc15050"/>
      <w:bookmarkStart w:id="387" w:name="_Toc28579"/>
      <w:r>
        <w:rPr>
          <w:rFonts w:hint="eastAsia" w:ascii="仿宋" w:hAnsi="华文仿宋" w:eastAsia="仿宋" w:cs="华文仿宋"/>
          <w:highlight w:val="none"/>
        </w:rPr>
        <w:t>执行本合同中产生纠纷，由采购人与成交供应商双方协商解决；协商不成，向有管辖权的人民法院提起诉讼。</w:t>
      </w:r>
      <w:bookmarkEnd w:id="386"/>
      <w:bookmarkEnd w:id="387"/>
    </w:p>
    <w:p w14:paraId="1B018817">
      <w:pPr>
        <w:pStyle w:val="4"/>
        <w:pageBreakBefore w:val="0"/>
        <w:kinsoku/>
        <w:overflowPunct/>
        <w:topLinePunct w:val="0"/>
        <w:autoSpaceDE/>
        <w:autoSpaceDN/>
        <w:bidi w:val="0"/>
        <w:spacing w:line="560" w:lineRule="exact"/>
        <w:ind w:firstLine="566" w:firstLineChars="200"/>
        <w:textAlignment w:val="auto"/>
        <w:rPr>
          <w:rFonts w:ascii="Calibri Light" w:hAnsi="Calibri Light"/>
          <w:highlight w:val="none"/>
        </w:rPr>
      </w:pPr>
      <w:bookmarkStart w:id="388" w:name="_Toc20120"/>
      <w:bookmarkStart w:id="389" w:name="_Toc14629"/>
      <w:bookmarkStart w:id="390" w:name="_Toc5329"/>
      <w:bookmarkStart w:id="391" w:name="_Toc28357"/>
      <w:r>
        <w:rPr>
          <w:rFonts w:hint="eastAsia" w:ascii="Calibri Light" w:hAnsi="Calibri Light"/>
          <w:highlight w:val="none"/>
        </w:rPr>
        <w:t>九</w:t>
      </w:r>
      <w:r>
        <w:rPr>
          <w:rFonts w:ascii="Calibri Light" w:hAnsi="Calibri Light"/>
          <w:highlight w:val="none"/>
        </w:rPr>
        <w:t>、</w:t>
      </w:r>
      <w:r>
        <w:rPr>
          <w:rFonts w:hint="eastAsia" w:ascii="Calibri Light" w:hAnsi="Calibri Light"/>
          <w:highlight w:val="none"/>
        </w:rPr>
        <w:t>合同生效及其他</w:t>
      </w:r>
      <w:bookmarkEnd w:id="388"/>
      <w:bookmarkEnd w:id="389"/>
      <w:bookmarkEnd w:id="390"/>
      <w:bookmarkEnd w:id="391"/>
    </w:p>
    <w:p w14:paraId="2C079E1F">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 xml:space="preserve">（一）本合同自签订之日起生效。 </w:t>
      </w:r>
    </w:p>
    <w:p w14:paraId="4E33198C">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（二）合同一式柒份，采购人贰份，成交供应商、陕西中发项目管理发展有限公司各执壹份；政府采购监管机构备案壹份，成交供应商办理结算贰份。</w:t>
      </w:r>
    </w:p>
    <w:p w14:paraId="6FC494B3">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highlight w:val="none"/>
        </w:rPr>
      </w:pPr>
      <w:r>
        <w:rPr>
          <w:rFonts w:hint="eastAsia" w:ascii="仿宋" w:hAnsi="华文仿宋" w:eastAsia="仿宋" w:cs="华文仿宋"/>
          <w:highlight w:val="none"/>
        </w:rPr>
        <w:t>（三）未尽事宜由双方在签订合同时具体明确。</w:t>
      </w:r>
    </w:p>
    <w:p w14:paraId="22ACFCF2">
      <w:pPr>
        <w:pStyle w:val="5"/>
        <w:pageBreakBefore w:val="0"/>
        <w:kinsoku/>
        <w:overflowPunct/>
        <w:topLinePunct w:val="0"/>
        <w:autoSpaceDE/>
        <w:autoSpaceDN/>
        <w:bidi w:val="0"/>
        <w:spacing w:line="560" w:lineRule="exact"/>
        <w:ind w:firstLine="566" w:firstLineChars="200"/>
        <w:textAlignment w:val="auto"/>
        <w:rPr>
          <w:rFonts w:ascii="黑体" w:hAnsi="黑体" w:eastAsia="黑体" w:cs="黑体"/>
          <w:sz w:val="32"/>
          <w:szCs w:val="32"/>
          <w:highlight w:val="none"/>
        </w:rPr>
      </w:pPr>
      <w:r>
        <w:rPr>
          <w:rFonts w:hint="eastAsia" w:ascii="仿宋" w:hAnsi="华文仿宋" w:eastAsia="仿宋" w:cs="华文仿宋"/>
          <w:highlight w:val="none"/>
        </w:rPr>
        <w:t>（四）本合同仅供参考具体合同以采购人和</w:t>
      </w:r>
      <w:r>
        <w:rPr>
          <w:rFonts w:hint="eastAsia" w:ascii="仿宋" w:hAnsi="华文仿宋" w:eastAsia="仿宋" w:cs="华文仿宋"/>
          <w:highlight w:val="none"/>
          <w:lang w:eastAsia="zh-CN"/>
        </w:rPr>
        <w:t>成交单位</w:t>
      </w:r>
      <w:r>
        <w:rPr>
          <w:rFonts w:hint="eastAsia" w:ascii="仿宋" w:hAnsi="华文仿宋" w:eastAsia="仿宋" w:cs="华文仿宋"/>
          <w:highlight w:val="none"/>
        </w:rPr>
        <w:t>签订的为准。</w:t>
      </w:r>
    </w:p>
    <w:p w14:paraId="6CE5EDC1">
      <w:pPr>
        <w:pageBreakBefore w:val="0"/>
        <w:kinsoku/>
        <w:overflowPunct/>
        <w:topLinePunct w:val="0"/>
        <w:autoSpaceDE/>
        <w:autoSpaceDN/>
        <w:bidi w:val="0"/>
        <w:spacing w:line="560" w:lineRule="exact"/>
        <w:ind w:firstLine="566" w:firstLineChars="200"/>
        <w:textAlignment w:val="auto"/>
        <w:rPr>
          <w:rFonts w:ascii="仿宋" w:hAnsi="华文仿宋" w:eastAsia="仿宋" w:cs="华文仿宋"/>
          <w:b/>
          <w:highlight w:val="none"/>
        </w:rPr>
      </w:pPr>
    </w:p>
    <w:p w14:paraId="6E078C7F">
      <w:pPr>
        <w:pageBreakBefore w:val="0"/>
        <w:kinsoku/>
        <w:overflowPunct/>
        <w:topLinePunct w:val="0"/>
        <w:autoSpaceDE/>
        <w:autoSpaceDN/>
        <w:bidi w:val="0"/>
        <w:spacing w:line="560" w:lineRule="exact"/>
        <w:textAlignment w:val="auto"/>
        <w:rPr>
          <w:rFonts w:ascii="黑体" w:hAnsi="黑体" w:eastAsia="黑体" w:cs="黑体"/>
          <w:sz w:val="32"/>
          <w:szCs w:val="32"/>
          <w:highlight w:val="none"/>
        </w:rPr>
      </w:pPr>
      <w:bookmarkStart w:id="392" w:name="_Toc13361"/>
      <w:bookmarkStart w:id="393" w:name="_Toc24613"/>
      <w:bookmarkStart w:id="394" w:name="_Toc22219"/>
      <w:bookmarkStart w:id="395" w:name="_Toc32130"/>
      <w:bookmarkStart w:id="396" w:name="_Toc27351"/>
      <w:bookmarkStart w:id="397" w:name="_Toc28681268"/>
      <w:bookmarkStart w:id="398" w:name="_Toc17437"/>
      <w:bookmarkStart w:id="399" w:name="_Toc11725"/>
      <w:bookmarkStart w:id="400" w:name="_Toc25916"/>
      <w:bookmarkStart w:id="401" w:name="_Toc13662"/>
      <w:bookmarkStart w:id="402" w:name="_Toc9261"/>
      <w:bookmarkStart w:id="403" w:name="_Toc20728"/>
      <w:bookmarkStart w:id="404" w:name="_Toc5620"/>
      <w:bookmarkStart w:id="405" w:name="_Toc31412"/>
      <w:bookmarkStart w:id="406" w:name="_Toc4348"/>
      <w:bookmarkStart w:id="407" w:name="_Toc28591"/>
      <w:bookmarkStart w:id="408" w:name="_Toc26512"/>
      <w:bookmarkStart w:id="409" w:name="_Toc9706"/>
      <w:bookmarkStart w:id="410" w:name="_Toc11783"/>
      <w:r>
        <w:rPr>
          <w:rFonts w:hint="eastAsia" w:ascii="黑体" w:hAnsi="黑体" w:eastAsia="黑体" w:cs="黑体"/>
          <w:sz w:val="32"/>
          <w:szCs w:val="32"/>
          <w:highlight w:val="none"/>
        </w:rPr>
        <w:br w:type="page"/>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087946A7">
      <w:pPr>
        <w:pStyle w:val="3"/>
        <w:ind w:firstLine="646" w:firstLineChars="200"/>
        <w:rPr>
          <w:rFonts w:ascii="黑体" w:hAnsi="黑体" w:eastAsia="黑体" w:cs="黑体"/>
          <w:b w:val="0"/>
          <w:bCs w:val="0"/>
          <w:sz w:val="32"/>
          <w:szCs w:val="32"/>
          <w:highlight w:val="none"/>
        </w:rPr>
      </w:pPr>
      <w:bookmarkStart w:id="411" w:name="_Toc11809"/>
      <w:bookmarkStart w:id="412" w:name="_Toc21430"/>
      <w:bookmarkStart w:id="413" w:name="_Toc26038"/>
      <w:bookmarkStart w:id="414" w:name="_Toc13024"/>
      <w:bookmarkStart w:id="415" w:name="_Toc31303"/>
      <w:bookmarkStart w:id="416" w:name="_Toc15225"/>
      <w:bookmarkStart w:id="417" w:name="_Toc16041"/>
      <w:bookmarkStart w:id="418" w:name="_Toc763"/>
      <w:bookmarkStart w:id="419" w:name="_Toc28681267"/>
      <w:bookmarkStart w:id="420" w:name="_Toc21826"/>
      <w:bookmarkStart w:id="421" w:name="_Toc21914"/>
      <w:bookmarkStart w:id="422" w:name="_Toc18310"/>
      <w:bookmarkStart w:id="423" w:name="_Toc28147"/>
      <w:bookmarkStart w:id="424" w:name="_Toc21448"/>
      <w:bookmarkStart w:id="425" w:name="_Toc8870"/>
      <w:r>
        <w:rPr>
          <w:rFonts w:hint="eastAsia" w:ascii="黑体" w:hAnsi="黑体" w:eastAsia="黑体" w:cs="黑体"/>
          <w:b w:val="0"/>
          <w:bCs w:val="0"/>
          <w:sz w:val="32"/>
          <w:szCs w:val="32"/>
          <w:highlight w:val="none"/>
        </w:rPr>
        <w:t>第五章  响应文件构成及格式</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tbl>
      <w:tblPr>
        <w:tblStyle w:val="23"/>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6B3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8190" w:type="dxa"/>
          </w:tcPr>
          <w:p w14:paraId="160A938F">
            <w:pPr>
              <w:spacing w:before="120"/>
              <w:ind w:firstLine="566" w:firstLineChars="200"/>
              <w:rPr>
                <w:rFonts w:ascii="仿宋" w:hAnsi="仿宋" w:eastAsia="仿宋" w:cs="仿宋"/>
                <w:highlight w:val="none"/>
              </w:rPr>
            </w:pPr>
            <w:r>
              <w:rPr>
                <w:rFonts w:hint="eastAsia" w:ascii="仿宋" w:hAnsi="仿宋" w:eastAsia="仿宋" w:cs="仿宋"/>
                <w:highlight w:val="none"/>
              </w:rPr>
              <w:t>注释：</w:t>
            </w:r>
          </w:p>
          <w:p w14:paraId="06115B02">
            <w:pPr>
              <w:spacing w:before="120" w:line="420" w:lineRule="exact"/>
              <w:ind w:firstLine="566" w:firstLineChars="200"/>
              <w:jc w:val="left"/>
              <w:rPr>
                <w:rFonts w:ascii="仿宋" w:hAnsi="仿宋" w:eastAsia="仿宋" w:cs="仿宋"/>
                <w:highlight w:val="none"/>
              </w:rPr>
            </w:pPr>
            <w:r>
              <w:rPr>
                <w:rFonts w:hint="eastAsia" w:ascii="仿宋" w:hAnsi="仿宋" w:eastAsia="仿宋" w:cs="仿宋"/>
                <w:highlight w:val="none"/>
              </w:rPr>
              <w:t>1、本章分为四部分，是为方便</w:t>
            </w:r>
            <w:r>
              <w:rPr>
                <w:rFonts w:hint="eastAsia" w:ascii="仿宋" w:hAnsi="仿宋" w:eastAsia="仿宋" w:cs="仿宋"/>
                <w:highlight w:val="none"/>
                <w:lang w:eastAsia="zh-CN"/>
              </w:rPr>
              <w:t>供应商</w:t>
            </w:r>
            <w:r>
              <w:rPr>
                <w:rFonts w:hint="eastAsia" w:ascii="仿宋" w:hAnsi="仿宋" w:eastAsia="仿宋" w:cs="仿宋"/>
                <w:highlight w:val="none"/>
              </w:rPr>
              <w:t>制作响应文件设计。第一、二、四部分应按要求或给定格式选择填报。</w:t>
            </w:r>
          </w:p>
          <w:p w14:paraId="3C913069">
            <w:pPr>
              <w:spacing w:before="120" w:line="420" w:lineRule="exact"/>
              <w:ind w:firstLine="566" w:firstLineChars="200"/>
              <w:jc w:val="left"/>
              <w:rPr>
                <w:rFonts w:ascii="仿宋" w:hAnsi="仿宋" w:eastAsia="仿宋" w:cs="仿宋"/>
                <w:sz w:val="24"/>
                <w:szCs w:val="24"/>
                <w:highlight w:val="none"/>
              </w:rPr>
            </w:pPr>
            <w:r>
              <w:rPr>
                <w:rFonts w:hint="eastAsia" w:ascii="仿宋" w:hAnsi="仿宋" w:eastAsia="仿宋" w:cs="仿宋"/>
                <w:highlight w:val="none"/>
              </w:rPr>
              <w:t>2、第三部分投标方案格式仅供参考，</w:t>
            </w:r>
            <w:r>
              <w:rPr>
                <w:rFonts w:hint="eastAsia" w:ascii="仿宋" w:hAnsi="仿宋" w:eastAsia="仿宋" w:cs="仿宋"/>
                <w:highlight w:val="none"/>
                <w:lang w:eastAsia="zh-CN"/>
              </w:rPr>
              <w:t>供应商</w:t>
            </w:r>
            <w:r>
              <w:rPr>
                <w:rFonts w:hint="eastAsia" w:ascii="仿宋" w:hAnsi="仿宋" w:eastAsia="仿宋" w:cs="仿宋"/>
                <w:highlight w:val="none"/>
              </w:rPr>
              <w:t>应根据项目特点，结合本次谈判要求，对有关表格进行补充或修改，但不得对实质性文件的相关条款作出变动。</w:t>
            </w:r>
          </w:p>
        </w:tc>
      </w:tr>
    </w:tbl>
    <w:p w14:paraId="5CDDE8C2">
      <w:pPr>
        <w:widowControl w:val="0"/>
        <w:autoSpaceDE w:val="0"/>
        <w:autoSpaceDN w:val="0"/>
        <w:adjustRightInd w:val="0"/>
        <w:spacing w:line="240" w:lineRule="auto"/>
        <w:ind w:firstLine="486" w:firstLineChars="200"/>
        <w:jc w:val="left"/>
        <w:rPr>
          <w:rFonts w:ascii="宋体" w:hAnsi="Times New Roman" w:eastAsia="宋体" w:cs="Times New Roman"/>
          <w:kern w:val="0"/>
          <w:sz w:val="24"/>
          <w:szCs w:val="20"/>
          <w:highlight w:val="none"/>
        </w:rPr>
      </w:pPr>
    </w:p>
    <w:p w14:paraId="2D9A7EF5">
      <w:pPr>
        <w:spacing w:line="240" w:lineRule="auto"/>
        <w:ind w:firstLine="726" w:firstLineChars="200"/>
        <w:jc w:val="left"/>
        <w:rPr>
          <w:rFonts w:eastAsia="仿宋"/>
          <w:sz w:val="36"/>
          <w:highlight w:val="none"/>
        </w:rPr>
      </w:pPr>
      <w:r>
        <w:rPr>
          <w:rFonts w:eastAsia="仿宋"/>
          <w:sz w:val="36"/>
          <w:highlight w:val="none"/>
        </w:rPr>
        <w:br w:type="page"/>
      </w:r>
    </w:p>
    <w:p w14:paraId="22875F4A">
      <w:pPr>
        <w:spacing w:line="560" w:lineRule="exact"/>
        <w:jc w:val="right"/>
        <w:textAlignment w:val="baseline"/>
        <w:rPr>
          <w:rFonts w:ascii="宋体" w:hAnsi="宋体" w:eastAsia="宋体" w:cs="Times New Roman"/>
          <w:b/>
          <w:bCs/>
          <w:color w:val="000000"/>
          <w:kern w:val="0"/>
          <w:sz w:val="32"/>
          <w:szCs w:val="32"/>
          <w:highlight w:val="none"/>
          <w:u w:color="000000"/>
        </w:rPr>
      </w:pPr>
      <w:r>
        <w:rPr>
          <w:rFonts w:hint="eastAsia" w:ascii="宋体" w:hAnsi="宋体" w:eastAsia="宋体" w:cs="Times New Roman"/>
          <w:b/>
          <w:bCs/>
          <w:color w:val="000000"/>
          <w:kern w:val="0"/>
          <w:sz w:val="32"/>
          <w:szCs w:val="32"/>
          <w:highlight w:val="none"/>
          <w:u w:color="000000"/>
        </w:rPr>
        <w:t>正本/副本</w:t>
      </w:r>
    </w:p>
    <w:p w14:paraId="1323CD09">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27F385F3">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377E37AF">
      <w:pPr>
        <w:autoSpaceDE w:val="0"/>
        <w:autoSpaceDN w:val="0"/>
        <w:adjustRightInd w:val="0"/>
        <w:spacing w:line="560" w:lineRule="exact"/>
        <w:jc w:val="center"/>
        <w:textAlignment w:val="baseline"/>
        <w:rPr>
          <w:rFonts w:hint="eastAsia" w:ascii="宋体" w:hAnsi="宋体" w:eastAsia="宋体" w:cs="微软雅黑"/>
          <w:b/>
          <w:bCs/>
          <w:color w:val="000000"/>
          <w:kern w:val="0"/>
          <w:sz w:val="56"/>
          <w:szCs w:val="56"/>
          <w:highlight w:val="none"/>
          <w:u w:color="000000"/>
          <w:lang w:eastAsia="zh-CN"/>
        </w:rPr>
      </w:pPr>
      <w:r>
        <w:rPr>
          <w:rFonts w:hint="eastAsia" w:ascii="宋体" w:hAnsi="宋体" w:eastAsia="宋体" w:cs="微软雅黑"/>
          <w:b/>
          <w:bCs/>
          <w:color w:val="000000"/>
          <w:kern w:val="0"/>
          <w:sz w:val="56"/>
          <w:szCs w:val="56"/>
          <w:highlight w:val="none"/>
          <w:u w:color="000000"/>
          <w:lang w:eastAsia="zh-CN"/>
        </w:rPr>
        <w:t>2025年度工程建设及相关系统</w:t>
      </w:r>
    </w:p>
    <w:p w14:paraId="243EB9B4">
      <w:pPr>
        <w:autoSpaceDE w:val="0"/>
        <w:autoSpaceDN w:val="0"/>
        <w:adjustRightInd w:val="0"/>
        <w:spacing w:line="560" w:lineRule="exact"/>
        <w:jc w:val="center"/>
        <w:textAlignment w:val="baseline"/>
        <w:rPr>
          <w:rFonts w:hint="eastAsia" w:ascii="宋体" w:hAnsi="宋体" w:eastAsia="宋体" w:cs="微软雅黑"/>
          <w:b/>
          <w:bCs/>
          <w:color w:val="000000"/>
          <w:kern w:val="0"/>
          <w:sz w:val="72"/>
          <w:szCs w:val="72"/>
          <w:highlight w:val="none"/>
          <w:u w:color="000000"/>
          <w:lang w:val="zh-CN" w:eastAsia="zh-CN"/>
        </w:rPr>
      </w:pPr>
      <w:r>
        <w:rPr>
          <w:rFonts w:hint="eastAsia" w:ascii="宋体" w:hAnsi="宋体" w:eastAsia="宋体" w:cs="微软雅黑"/>
          <w:b/>
          <w:bCs/>
          <w:color w:val="000000"/>
          <w:kern w:val="0"/>
          <w:sz w:val="56"/>
          <w:szCs w:val="56"/>
          <w:highlight w:val="none"/>
          <w:u w:color="000000"/>
          <w:lang w:eastAsia="zh-CN"/>
        </w:rPr>
        <w:t>运维服务项目</w:t>
      </w:r>
    </w:p>
    <w:p w14:paraId="7DD661ED">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198BE407">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05AFCCBA">
      <w:pPr>
        <w:autoSpaceDE w:val="0"/>
        <w:autoSpaceDN w:val="0"/>
        <w:adjustRightInd w:val="0"/>
        <w:spacing w:line="560" w:lineRule="exact"/>
        <w:jc w:val="center"/>
        <w:textAlignment w:val="baseline"/>
        <w:rPr>
          <w:rFonts w:ascii="宋体" w:hAnsi="宋体" w:eastAsia="宋体" w:cs="微软雅黑"/>
          <w:b/>
          <w:bCs/>
          <w:color w:val="000000"/>
          <w:kern w:val="0"/>
          <w:sz w:val="72"/>
          <w:szCs w:val="72"/>
          <w:highlight w:val="none"/>
          <w:u w:color="000000"/>
        </w:rPr>
      </w:pPr>
    </w:p>
    <w:p w14:paraId="687807F7">
      <w:pPr>
        <w:tabs>
          <w:tab w:val="left" w:pos="0"/>
        </w:tabs>
        <w:spacing w:line="240" w:lineRule="auto"/>
        <w:jc w:val="center"/>
        <w:textAlignment w:val="baseline"/>
        <w:rPr>
          <w:rFonts w:ascii="微软雅黑" w:hAnsi="微软雅黑" w:eastAsia="微软雅黑" w:cs="微软雅黑"/>
          <w:bCs/>
          <w:snapToGrid w:val="0"/>
          <w:color w:val="000000"/>
          <w:kern w:val="0"/>
          <w:sz w:val="96"/>
          <w:szCs w:val="96"/>
          <w:highlight w:val="none"/>
          <w:u w:color="000000"/>
        </w:rPr>
      </w:pPr>
      <w:r>
        <w:rPr>
          <w:rFonts w:hint="eastAsia" w:ascii="微软雅黑" w:hAnsi="微软雅黑" w:eastAsia="微软雅黑" w:cs="微软雅黑"/>
          <w:bCs/>
          <w:snapToGrid w:val="0"/>
          <w:color w:val="000000"/>
          <w:kern w:val="0"/>
          <w:sz w:val="96"/>
          <w:szCs w:val="96"/>
          <w:highlight w:val="none"/>
          <w:u w:color="000000"/>
        </w:rPr>
        <w:t>响 应 文 件</w:t>
      </w:r>
    </w:p>
    <w:p w14:paraId="05409EF1">
      <w:pPr>
        <w:tabs>
          <w:tab w:val="left" w:pos="3570"/>
        </w:tabs>
        <w:autoSpaceDE w:val="0"/>
        <w:autoSpaceDN w:val="0"/>
        <w:adjustRightInd w:val="0"/>
        <w:spacing w:line="560" w:lineRule="exact"/>
        <w:jc w:val="center"/>
        <w:textAlignment w:val="baseline"/>
        <w:rPr>
          <w:rFonts w:hint="eastAsia" w:ascii="宋体" w:hAnsi="宋体" w:eastAsia="宋体" w:cs="Times New Roman"/>
          <w:b/>
          <w:color w:val="000000"/>
          <w:kern w:val="0"/>
          <w:sz w:val="32"/>
          <w:szCs w:val="32"/>
          <w:highlight w:val="none"/>
          <w:u w:color="000000"/>
          <w:lang w:eastAsia="zh-CN"/>
        </w:rPr>
      </w:pPr>
      <w:r>
        <w:rPr>
          <w:rFonts w:hint="eastAsia" w:ascii="宋体" w:hAnsi="宋体" w:eastAsia="宋体" w:cs="Times New Roman"/>
          <w:b/>
          <w:bCs/>
          <w:snapToGrid w:val="0"/>
          <w:color w:val="000000"/>
          <w:kern w:val="0"/>
          <w:sz w:val="32"/>
          <w:szCs w:val="32"/>
          <w:highlight w:val="none"/>
          <w:u w:color="000000"/>
        </w:rPr>
        <w:t>采购编号：</w:t>
      </w:r>
      <w:r>
        <w:rPr>
          <w:rFonts w:hint="eastAsia" w:ascii="宋体" w:hAnsi="宋体" w:eastAsia="宋体" w:cs="Times New Roman"/>
          <w:b/>
          <w:bCs/>
          <w:snapToGrid w:val="0"/>
          <w:color w:val="000000"/>
          <w:kern w:val="0"/>
          <w:sz w:val="32"/>
          <w:szCs w:val="32"/>
          <w:highlight w:val="none"/>
          <w:u w:color="000000"/>
          <w:lang w:eastAsia="zh-CN"/>
        </w:rPr>
        <w:t>ZFFZ-2025-134</w:t>
      </w:r>
    </w:p>
    <w:p w14:paraId="18EBD6BF">
      <w:pPr>
        <w:spacing w:line="560" w:lineRule="exact"/>
        <w:jc w:val="center"/>
        <w:textAlignment w:val="baseline"/>
        <w:rPr>
          <w:rFonts w:ascii="宋体" w:hAnsi="宋体" w:eastAsia="宋体" w:cs="宋体"/>
          <w:color w:val="000000"/>
          <w:kern w:val="0"/>
          <w:sz w:val="20"/>
          <w:szCs w:val="20"/>
          <w:highlight w:val="none"/>
          <w:u w:color="000000"/>
        </w:rPr>
      </w:pPr>
    </w:p>
    <w:p w14:paraId="70D78BCC">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r>
        <w:rPr>
          <w:rFonts w:hint="eastAsia" w:ascii="宋体" w:hAnsi="宋体" w:eastAsia="宋体" w:cs="Times New Roman"/>
          <w:b/>
          <w:bCs/>
          <w:snapToGrid w:val="0"/>
          <w:color w:val="000000"/>
          <w:kern w:val="0"/>
          <w:sz w:val="32"/>
          <w:szCs w:val="32"/>
          <w:highlight w:val="none"/>
          <w:u w:color="000000"/>
        </w:rPr>
        <w:t xml:space="preserve">  </w:t>
      </w:r>
    </w:p>
    <w:p w14:paraId="0B1B1C00">
      <w:pPr>
        <w:spacing w:line="560" w:lineRule="exact"/>
        <w:jc w:val="center"/>
        <w:textAlignment w:val="baseline"/>
        <w:rPr>
          <w:rFonts w:ascii="宋体" w:hAnsi="宋体" w:eastAsia="宋体" w:cs="Times New Roman"/>
          <w:b/>
          <w:bCs/>
          <w:snapToGrid w:val="0"/>
          <w:color w:val="000000"/>
          <w:kern w:val="0"/>
          <w:sz w:val="32"/>
          <w:szCs w:val="32"/>
          <w:highlight w:val="none"/>
          <w:u w:color="000000"/>
        </w:rPr>
      </w:pPr>
    </w:p>
    <w:p w14:paraId="09FF9ECA">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551F6C17">
      <w:pPr>
        <w:spacing w:line="560" w:lineRule="exact"/>
        <w:jc w:val="center"/>
        <w:textAlignment w:val="baseline"/>
        <w:rPr>
          <w:rFonts w:ascii="宋体" w:hAnsi="宋体" w:eastAsia="宋体" w:cs="Times New Roman"/>
          <w:snapToGrid w:val="0"/>
          <w:color w:val="000000"/>
          <w:kern w:val="0"/>
          <w:sz w:val="44"/>
          <w:szCs w:val="44"/>
          <w:highlight w:val="none"/>
          <w:u w:color="000000"/>
        </w:rPr>
      </w:pPr>
    </w:p>
    <w:p w14:paraId="25502ED1">
      <w:pPr>
        <w:spacing w:line="560" w:lineRule="exact"/>
        <w:jc w:val="center"/>
        <w:textAlignment w:val="baseline"/>
        <w:rPr>
          <w:rFonts w:ascii="宋体" w:hAnsi="宋体" w:eastAsia="宋体" w:cs="Times New Roman"/>
          <w:b/>
          <w:bCs/>
          <w:color w:val="000000"/>
          <w:kern w:val="0"/>
          <w:sz w:val="32"/>
          <w:szCs w:val="32"/>
          <w:highlight w:val="none"/>
          <w:u w:color="000000"/>
        </w:rPr>
      </w:pPr>
    </w:p>
    <w:p w14:paraId="245BD28D">
      <w:pPr>
        <w:spacing w:line="560" w:lineRule="exact"/>
        <w:jc w:val="center"/>
        <w:textAlignment w:val="baseline"/>
        <w:rPr>
          <w:rFonts w:ascii="宋体" w:hAnsi="宋体" w:eastAsia="宋体" w:cs="Times New Roman"/>
          <w:b/>
          <w:bCs/>
          <w:color w:val="000000"/>
          <w:kern w:val="0"/>
          <w:sz w:val="32"/>
          <w:szCs w:val="32"/>
          <w:highlight w:val="none"/>
          <w:u w:color="000000"/>
        </w:rPr>
      </w:pPr>
    </w:p>
    <w:p w14:paraId="3E02EE6A">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供  应  商：</w:t>
      </w:r>
      <w:r>
        <w:rPr>
          <w:rFonts w:hint="eastAsia" w:ascii="仿宋_GB2312" w:hAnsi="楷体_GB2312" w:eastAsia="仿宋_GB2312" w:cs="楷体_GB2312"/>
          <w:b/>
          <w:bCs/>
          <w:color w:val="000000"/>
          <w:kern w:val="0"/>
          <w:sz w:val="32"/>
          <w:szCs w:val="32"/>
          <w:highlight w:val="none"/>
          <w:u w:val="single"/>
        </w:rPr>
        <w:t xml:space="preserve">                     </w:t>
      </w:r>
      <w:r>
        <w:rPr>
          <w:rFonts w:hint="eastAsia" w:ascii="仿宋_GB2312" w:hAnsi="楷体_GB2312" w:eastAsia="仿宋_GB2312" w:cs="楷体_GB2312"/>
          <w:b/>
          <w:bCs/>
          <w:color w:val="000000"/>
          <w:kern w:val="0"/>
          <w:sz w:val="32"/>
          <w:szCs w:val="32"/>
          <w:highlight w:val="none"/>
        </w:rPr>
        <w:t>（盖单位公章）</w:t>
      </w:r>
    </w:p>
    <w:p w14:paraId="55AE6004">
      <w:pPr>
        <w:spacing w:line="360" w:lineRule="auto"/>
        <w:ind w:firstLine="1292" w:firstLineChars="400"/>
        <w:textAlignment w:val="baseline"/>
        <w:rPr>
          <w:rFonts w:ascii="仿宋_GB2312" w:hAnsi="楷体_GB2312" w:eastAsia="仿宋_GB2312" w:cs="楷体_GB2312"/>
          <w:b/>
          <w:bCs/>
          <w:color w:val="000000"/>
          <w:kern w:val="0"/>
          <w:sz w:val="32"/>
          <w:szCs w:val="32"/>
          <w:highlight w:val="none"/>
        </w:rPr>
      </w:pPr>
      <w:r>
        <w:rPr>
          <w:rFonts w:hint="eastAsia" w:ascii="仿宋_GB2312" w:hAnsi="楷体_GB2312" w:eastAsia="仿宋_GB2312" w:cs="楷体_GB2312"/>
          <w:b/>
          <w:bCs/>
          <w:color w:val="000000"/>
          <w:kern w:val="0"/>
          <w:sz w:val="32"/>
          <w:szCs w:val="32"/>
          <w:highlight w:val="none"/>
        </w:rPr>
        <w:t>法定代表人或授权代表：</w:t>
      </w:r>
      <w:r>
        <w:rPr>
          <w:rFonts w:hint="eastAsia" w:ascii="仿宋_GB2312" w:hAnsi="楷体_GB2312" w:eastAsia="仿宋_GB2312" w:cs="楷体_GB2312"/>
          <w:b/>
          <w:bCs/>
          <w:color w:val="000000"/>
          <w:kern w:val="0"/>
          <w:sz w:val="32"/>
          <w:szCs w:val="32"/>
          <w:highlight w:val="none"/>
          <w:u w:val="single"/>
        </w:rPr>
        <w:t xml:space="preserve">           </w:t>
      </w:r>
      <w:r>
        <w:rPr>
          <w:rFonts w:hint="eastAsia" w:ascii="仿宋_GB2312" w:hAnsi="楷体_GB2312" w:eastAsia="仿宋_GB2312" w:cs="楷体_GB2312"/>
          <w:b/>
          <w:bCs/>
          <w:color w:val="000000"/>
          <w:kern w:val="0"/>
          <w:sz w:val="32"/>
          <w:szCs w:val="32"/>
          <w:highlight w:val="none"/>
        </w:rPr>
        <w:t>（签字或盖章）</w:t>
      </w:r>
    </w:p>
    <w:p w14:paraId="303FE9EE">
      <w:pPr>
        <w:spacing w:line="240" w:lineRule="auto"/>
        <w:jc w:val="center"/>
        <w:rPr>
          <w:rFonts w:eastAsia="仿宋"/>
          <w:sz w:val="36"/>
          <w:szCs w:val="36"/>
          <w:highlight w:val="none"/>
        </w:rPr>
      </w:pPr>
      <w:r>
        <w:rPr>
          <w:rFonts w:hint="eastAsia" w:ascii="仿宋_GB2312" w:hAnsi="楷体_GB2312" w:eastAsia="仿宋_GB2312" w:cs="楷体_GB2312"/>
          <w:b/>
          <w:bCs/>
          <w:color w:val="000000"/>
          <w:kern w:val="0"/>
          <w:sz w:val="32"/>
          <w:szCs w:val="32"/>
          <w:highlight w:val="none"/>
          <w:u w:color="000000"/>
        </w:rPr>
        <w:t xml:space="preserve">    年    月    日</w:t>
      </w:r>
    </w:p>
    <w:p w14:paraId="6163E409">
      <w:pPr>
        <w:spacing w:line="240" w:lineRule="auto"/>
        <w:ind w:firstLine="646" w:firstLineChars="200"/>
        <w:jc w:val="left"/>
        <w:rPr>
          <w:rFonts w:ascii="仿宋" w:hAnsi="仿宋" w:eastAsia="仿宋"/>
          <w:b/>
          <w:sz w:val="32"/>
          <w:szCs w:val="32"/>
          <w:highlight w:val="none"/>
        </w:rPr>
      </w:pPr>
      <w:r>
        <w:rPr>
          <w:rFonts w:ascii="仿宋" w:hAnsi="仿宋" w:eastAsia="仿宋"/>
          <w:b/>
          <w:sz w:val="32"/>
          <w:szCs w:val="32"/>
          <w:highlight w:val="none"/>
        </w:rPr>
        <w:br w:type="page"/>
      </w:r>
    </w:p>
    <w:p w14:paraId="676B664E">
      <w:pPr>
        <w:spacing w:line="24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14:paraId="76F01C38">
      <w:pPr>
        <w:pStyle w:val="19"/>
        <w:tabs>
          <w:tab w:val="right" w:leader="dot" w:pos="9354"/>
        </w:tabs>
        <w:rPr>
          <w:rFonts w:eastAsia="仿宋"/>
          <w:highlight w:val="none"/>
        </w:rPr>
      </w:pPr>
    </w:p>
    <w:p w14:paraId="260DE507">
      <w:pPr>
        <w:pStyle w:val="50"/>
        <w:pageBreakBefore w:val="0"/>
        <w:widowControl/>
        <w:kinsoku/>
        <w:wordWrap/>
        <w:overflowPunct/>
        <w:topLinePunct w:val="0"/>
        <w:autoSpaceDE/>
        <w:autoSpaceDN/>
        <w:bidi w:val="0"/>
        <w:adjustRightInd/>
        <w:snapToGrid/>
        <w:spacing w:line="560" w:lineRule="exact"/>
        <w:ind w:firstLine="0" w:firstLineChars="0"/>
        <w:textAlignment w:val="auto"/>
        <w:outlineLvl w:val="0"/>
        <w:rPr>
          <w:rFonts w:ascii="黑体" w:hAnsi="黑体" w:eastAsia="黑体" w:cs="黑体"/>
          <w:b w:val="0"/>
          <w:bCs w:val="0"/>
          <w:sz w:val="32"/>
          <w:szCs w:val="32"/>
          <w:highlight w:val="none"/>
        </w:rPr>
      </w:pPr>
      <w:bookmarkStart w:id="426" w:name="_Toc32646"/>
      <w:bookmarkStart w:id="427" w:name="_Toc22532"/>
      <w:bookmarkStart w:id="428" w:name="_Toc18744"/>
      <w:bookmarkStart w:id="429" w:name="_Toc947"/>
      <w:bookmarkStart w:id="430" w:name="_Toc16198"/>
      <w:bookmarkStart w:id="431" w:name="_Toc24014"/>
      <w:bookmarkStart w:id="432" w:name="_Toc28681277"/>
      <w:bookmarkStart w:id="433" w:name="_Toc19754"/>
      <w:bookmarkStart w:id="434" w:name="_Toc25171"/>
      <w:bookmarkStart w:id="435" w:name="_Toc30479"/>
      <w:bookmarkStart w:id="436" w:name="_Toc537"/>
      <w:r>
        <w:rPr>
          <w:rFonts w:hint="eastAsia" w:ascii="黑体" w:hAnsi="黑体" w:eastAsia="黑体" w:cs="黑体"/>
          <w:b w:val="0"/>
          <w:bCs w:val="0"/>
          <w:sz w:val="32"/>
          <w:szCs w:val="32"/>
          <w:highlight w:val="none"/>
        </w:rPr>
        <w:t>第一部分  资格证明文件</w:t>
      </w:r>
      <w:bookmarkEnd w:id="426"/>
      <w:bookmarkEnd w:id="427"/>
      <w:bookmarkEnd w:id="428"/>
      <w:bookmarkEnd w:id="429"/>
    </w:p>
    <w:p w14:paraId="00448CB2">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bookmarkStart w:id="437" w:name="_Toc6969_WPSOffice_Level2"/>
      <w:r>
        <w:rPr>
          <w:rFonts w:hint="eastAsia" w:ascii="仿宋" w:hAnsi="仿宋" w:eastAsia="仿宋"/>
          <w:highlight w:val="none"/>
        </w:rPr>
        <w:t>供应</w:t>
      </w:r>
      <w:r>
        <w:rPr>
          <w:rFonts w:ascii="仿宋" w:hAnsi="仿宋" w:eastAsia="仿宋"/>
          <w:highlight w:val="none"/>
        </w:rPr>
        <w:t>商应按照</w:t>
      </w:r>
      <w:r>
        <w:rPr>
          <w:rFonts w:hint="eastAsia" w:ascii="仿宋" w:hAnsi="仿宋" w:eastAsia="仿宋"/>
          <w:highlight w:val="none"/>
        </w:rPr>
        <w:t>谈判文件</w:t>
      </w:r>
      <w:r>
        <w:rPr>
          <w:rFonts w:ascii="仿宋" w:hAnsi="仿宋" w:eastAsia="仿宋"/>
          <w:highlight w:val="none"/>
        </w:rPr>
        <w:t>第一章所列</w:t>
      </w:r>
      <w:r>
        <w:rPr>
          <w:rFonts w:hint="eastAsia" w:ascii="仿宋" w:hAnsi="仿宋" w:eastAsia="仿宋"/>
          <w:highlight w:val="none"/>
        </w:rPr>
        <w:t>“供应商资格要求”逐一</w:t>
      </w:r>
      <w:r>
        <w:rPr>
          <w:rFonts w:ascii="仿宋" w:hAnsi="仿宋" w:eastAsia="仿宋"/>
          <w:highlight w:val="none"/>
        </w:rPr>
        <w:t>提供全部资格证明文件。</w:t>
      </w:r>
      <w:r>
        <w:rPr>
          <w:rFonts w:hint="eastAsia" w:ascii="仿宋" w:hAnsi="仿宋" w:eastAsia="仿宋"/>
          <w:highlight w:val="none"/>
        </w:rPr>
        <w:t>缺少其中任何一项，其响应文件将被视为无效文件。</w:t>
      </w:r>
    </w:p>
    <w:p w14:paraId="0A513DEF">
      <w:pPr>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b/>
          <w:highlight w:val="none"/>
        </w:rPr>
      </w:pPr>
      <w:r>
        <w:rPr>
          <w:rFonts w:hint="eastAsia" w:ascii="仿宋" w:hAnsi="仿宋" w:eastAsia="仿宋"/>
          <w:highlight w:val="none"/>
        </w:rPr>
        <w:t>其中，《供应商书面声明函》、《法定代表人授权委托书》须按下文给定格式填写，否则按无效处理。特别说明，法定代表人亲自参加投标的，可不提供法定代表人授权委托书，但须提供其本人身份证（正反面）复印件。</w:t>
      </w:r>
    </w:p>
    <w:bookmarkEnd w:id="437"/>
    <w:p w14:paraId="345C77FB">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38" w:name="_Toc28681269"/>
      <w:bookmarkStart w:id="439" w:name="_Toc11120"/>
      <w:bookmarkStart w:id="440" w:name="_Toc4531"/>
      <w:bookmarkStart w:id="441" w:name="_Toc15013"/>
      <w:r>
        <w:rPr>
          <w:rFonts w:hint="eastAsia" w:eastAsia="仿宋"/>
          <w:b/>
          <w:bCs/>
          <w:sz w:val="30"/>
          <w:szCs w:val="30"/>
          <w:highlight w:val="none"/>
        </w:rPr>
        <w:t>一</w:t>
      </w:r>
      <w:r>
        <w:rPr>
          <w:rFonts w:eastAsia="仿宋"/>
          <w:b/>
          <w:bCs/>
          <w:sz w:val="30"/>
          <w:szCs w:val="30"/>
          <w:highlight w:val="none"/>
        </w:rPr>
        <w:t>、</w:t>
      </w:r>
      <w:r>
        <w:rPr>
          <w:rFonts w:hint="eastAsia" w:eastAsia="仿宋"/>
          <w:b/>
          <w:bCs/>
          <w:sz w:val="30"/>
          <w:szCs w:val="30"/>
          <w:highlight w:val="none"/>
        </w:rPr>
        <w:t>营业执照等主体资格证明文件</w:t>
      </w:r>
      <w:bookmarkEnd w:id="438"/>
      <w:bookmarkEnd w:id="439"/>
      <w:bookmarkEnd w:id="440"/>
      <w:bookmarkEnd w:id="441"/>
    </w:p>
    <w:p w14:paraId="1F5C91F9">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42" w:name="_Toc15134"/>
      <w:bookmarkStart w:id="443" w:name="_Toc9594"/>
      <w:bookmarkStart w:id="444" w:name="_Toc18509"/>
      <w:bookmarkStart w:id="445" w:name="_Toc28681270"/>
      <w:r>
        <w:rPr>
          <w:rFonts w:hint="eastAsia" w:eastAsia="仿宋"/>
          <w:b/>
          <w:bCs/>
          <w:sz w:val="30"/>
          <w:szCs w:val="30"/>
          <w:highlight w:val="none"/>
        </w:rPr>
        <w:t>二、财务状况报告</w:t>
      </w:r>
      <w:bookmarkEnd w:id="442"/>
      <w:bookmarkEnd w:id="443"/>
      <w:bookmarkEnd w:id="444"/>
      <w:bookmarkEnd w:id="445"/>
    </w:p>
    <w:p w14:paraId="6024CAD3">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46" w:name="_Toc1234"/>
      <w:bookmarkStart w:id="447" w:name="_Toc29935"/>
      <w:bookmarkStart w:id="448" w:name="_Toc29328"/>
      <w:bookmarkStart w:id="449" w:name="_Toc28681271"/>
      <w:r>
        <w:rPr>
          <w:rFonts w:hint="eastAsia" w:eastAsia="仿宋"/>
          <w:b/>
          <w:bCs/>
          <w:sz w:val="30"/>
          <w:szCs w:val="30"/>
          <w:highlight w:val="none"/>
        </w:rPr>
        <w:t>三、社保缴纳证明</w:t>
      </w:r>
      <w:bookmarkEnd w:id="446"/>
      <w:bookmarkEnd w:id="447"/>
      <w:bookmarkEnd w:id="448"/>
      <w:bookmarkEnd w:id="449"/>
    </w:p>
    <w:p w14:paraId="141B1D2E">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50" w:name="_Toc15607"/>
      <w:bookmarkStart w:id="451" w:name="_Toc28681272"/>
      <w:bookmarkStart w:id="452" w:name="_Toc31736"/>
      <w:bookmarkStart w:id="453" w:name="_Toc14556"/>
      <w:r>
        <w:rPr>
          <w:rFonts w:hint="eastAsia" w:eastAsia="仿宋"/>
          <w:b/>
          <w:bCs/>
          <w:sz w:val="30"/>
          <w:szCs w:val="30"/>
          <w:highlight w:val="none"/>
        </w:rPr>
        <w:t>四、税收缴纳证明</w:t>
      </w:r>
      <w:bookmarkEnd w:id="450"/>
      <w:bookmarkEnd w:id="451"/>
      <w:bookmarkEnd w:id="452"/>
      <w:bookmarkEnd w:id="453"/>
    </w:p>
    <w:p w14:paraId="1C470624">
      <w:pPr>
        <w:pStyle w:val="46"/>
        <w:pageBreakBefore w:val="0"/>
        <w:widowControl/>
        <w:kinsoku/>
        <w:wordWrap/>
        <w:overflowPunct/>
        <w:topLinePunct w:val="0"/>
        <w:autoSpaceDE/>
        <w:autoSpaceDN/>
        <w:bidi w:val="0"/>
        <w:adjustRightInd/>
        <w:snapToGrid/>
        <w:spacing w:line="560" w:lineRule="exact"/>
        <w:ind w:firstLine="607"/>
        <w:textAlignment w:val="auto"/>
        <w:outlineLvl w:val="1"/>
        <w:rPr>
          <w:rFonts w:eastAsia="仿宋"/>
          <w:b/>
          <w:bCs/>
          <w:sz w:val="30"/>
          <w:szCs w:val="30"/>
          <w:highlight w:val="none"/>
        </w:rPr>
      </w:pPr>
      <w:bookmarkStart w:id="454" w:name="_Toc28681273"/>
      <w:bookmarkStart w:id="455" w:name="_Toc21794"/>
      <w:bookmarkStart w:id="456" w:name="_Toc374"/>
      <w:bookmarkStart w:id="457" w:name="_Toc24411"/>
      <w:r>
        <w:rPr>
          <w:rFonts w:hint="eastAsia" w:eastAsia="仿宋"/>
          <w:b/>
          <w:bCs/>
          <w:sz w:val="30"/>
          <w:szCs w:val="30"/>
          <w:highlight w:val="none"/>
        </w:rPr>
        <w:t>五、</w:t>
      </w:r>
      <w:bookmarkEnd w:id="454"/>
      <w:r>
        <w:rPr>
          <w:rFonts w:hint="eastAsia" w:eastAsia="仿宋"/>
          <w:b/>
          <w:bCs/>
          <w:sz w:val="30"/>
          <w:szCs w:val="30"/>
          <w:highlight w:val="none"/>
        </w:rPr>
        <w:t>信用记录</w:t>
      </w:r>
      <w:bookmarkEnd w:id="455"/>
      <w:bookmarkEnd w:id="456"/>
      <w:bookmarkEnd w:id="457"/>
    </w:p>
    <w:p w14:paraId="09ADD74F">
      <w:pPr>
        <w:pStyle w:val="46"/>
        <w:ind w:firstLine="0" w:firstLineChars="0"/>
        <w:jc w:val="center"/>
        <w:rPr>
          <w:rFonts w:eastAsia="仿宋"/>
          <w:b/>
          <w:bCs/>
          <w:highlight w:val="none"/>
        </w:rPr>
      </w:pPr>
      <w:bookmarkStart w:id="458" w:name="_Toc9011"/>
      <w:bookmarkStart w:id="459" w:name="_Toc528596084"/>
      <w:bookmarkStart w:id="460" w:name="_Toc22518"/>
      <w:bookmarkStart w:id="461" w:name="_Toc726"/>
      <w:bookmarkStart w:id="462" w:name="_Toc28681274"/>
    </w:p>
    <w:p w14:paraId="17A920F9">
      <w:pPr>
        <w:pStyle w:val="46"/>
        <w:ind w:firstLine="0" w:firstLineChars="0"/>
        <w:jc w:val="center"/>
        <w:rPr>
          <w:rFonts w:eastAsia="仿宋"/>
          <w:b/>
          <w:bCs/>
          <w:highlight w:val="none"/>
        </w:rPr>
      </w:pPr>
    </w:p>
    <w:p w14:paraId="02EECE0D">
      <w:pPr>
        <w:ind w:firstLine="606" w:firstLineChars="200"/>
        <w:rPr>
          <w:rFonts w:eastAsia="仿宋"/>
          <w:b/>
          <w:bCs/>
          <w:sz w:val="30"/>
          <w:szCs w:val="30"/>
          <w:highlight w:val="none"/>
        </w:rPr>
      </w:pPr>
      <w:r>
        <w:rPr>
          <w:rFonts w:hint="eastAsia" w:eastAsia="仿宋"/>
          <w:b/>
          <w:bCs/>
          <w:sz w:val="30"/>
          <w:szCs w:val="30"/>
          <w:highlight w:val="none"/>
        </w:rPr>
        <w:br w:type="page"/>
      </w:r>
    </w:p>
    <w:p w14:paraId="4C0A266E">
      <w:pPr>
        <w:pStyle w:val="46"/>
        <w:keepNext w:val="0"/>
        <w:keepLines w:val="0"/>
        <w:pageBreakBefore w:val="0"/>
        <w:widowControl/>
        <w:kinsoku/>
        <w:wordWrap/>
        <w:overflowPunct/>
        <w:topLinePunct w:val="0"/>
        <w:autoSpaceDE/>
        <w:autoSpaceDN/>
        <w:bidi w:val="0"/>
        <w:adjustRightInd/>
        <w:snapToGrid/>
        <w:spacing w:line="560" w:lineRule="exact"/>
        <w:ind w:firstLine="648"/>
        <w:textAlignment w:val="auto"/>
        <w:outlineLvl w:val="1"/>
        <w:rPr>
          <w:rFonts w:eastAsia="仿宋"/>
          <w:b/>
          <w:sz w:val="32"/>
          <w:szCs w:val="32"/>
          <w:highlight w:val="none"/>
        </w:rPr>
      </w:pPr>
      <w:bookmarkStart w:id="463" w:name="_Toc28879"/>
      <w:bookmarkStart w:id="464" w:name="_Toc21406"/>
      <w:bookmarkStart w:id="465" w:name="_Toc7141"/>
      <w:r>
        <w:rPr>
          <w:rFonts w:hint="eastAsia" w:eastAsia="仿宋"/>
          <w:b/>
          <w:sz w:val="32"/>
          <w:szCs w:val="32"/>
          <w:highlight w:val="none"/>
        </w:rPr>
        <w:t>六、供应</w:t>
      </w:r>
      <w:r>
        <w:rPr>
          <w:rFonts w:eastAsia="仿宋"/>
          <w:b/>
          <w:sz w:val="32"/>
          <w:szCs w:val="32"/>
          <w:highlight w:val="none"/>
        </w:rPr>
        <w:t>商书面声明函</w:t>
      </w:r>
      <w:bookmarkEnd w:id="463"/>
      <w:bookmarkEnd w:id="464"/>
      <w:bookmarkEnd w:id="465"/>
    </w:p>
    <w:p w14:paraId="4E95306D">
      <w:pPr>
        <w:pStyle w:val="46"/>
        <w:keepNext w:val="0"/>
        <w:keepLines w:val="0"/>
        <w:pageBreakBefore w:val="0"/>
        <w:widowControl/>
        <w:kinsoku/>
        <w:wordWrap/>
        <w:overflowPunct/>
        <w:topLinePunct w:val="0"/>
        <w:autoSpaceDE/>
        <w:autoSpaceDN/>
        <w:bidi w:val="0"/>
        <w:adjustRightInd/>
        <w:snapToGrid/>
        <w:spacing w:after="193" w:afterLines="50" w:line="560" w:lineRule="exact"/>
        <w:ind w:firstLine="0" w:firstLineChars="0"/>
        <w:jc w:val="center"/>
        <w:textAlignment w:val="auto"/>
        <w:rPr>
          <w:rFonts w:eastAsia="仿宋"/>
          <w:b/>
          <w:bCs/>
          <w:highlight w:val="none"/>
        </w:rPr>
      </w:pPr>
      <w:r>
        <w:rPr>
          <w:rFonts w:hint="eastAsia" w:eastAsia="仿宋"/>
          <w:b/>
          <w:bCs/>
          <w:sz w:val="30"/>
          <w:szCs w:val="30"/>
          <w:highlight w:val="none"/>
        </w:rPr>
        <w:t>供应</w:t>
      </w:r>
      <w:r>
        <w:rPr>
          <w:rFonts w:eastAsia="仿宋"/>
          <w:b/>
          <w:bCs/>
          <w:sz w:val="30"/>
          <w:szCs w:val="30"/>
          <w:highlight w:val="none"/>
        </w:rPr>
        <w:t>商书面声明函</w:t>
      </w:r>
      <w:bookmarkEnd w:id="458"/>
      <w:bookmarkEnd w:id="459"/>
      <w:bookmarkEnd w:id="460"/>
      <w:bookmarkEnd w:id="461"/>
      <w:bookmarkEnd w:id="462"/>
    </w:p>
    <w:p w14:paraId="45AB5E72">
      <w:pPr>
        <w:keepNext w:val="0"/>
        <w:keepLines w:val="0"/>
        <w:pageBreakBefore w:val="0"/>
        <w:widowControl/>
        <w:kinsoku/>
        <w:wordWrap/>
        <w:overflowPunct/>
        <w:topLinePunct w:val="0"/>
        <w:autoSpaceDE/>
        <w:autoSpaceDN/>
        <w:bidi w:val="0"/>
        <w:adjustRightInd/>
        <w:snapToGrid/>
        <w:spacing w:line="560" w:lineRule="exact"/>
        <w:textAlignment w:val="auto"/>
        <w:rPr>
          <w:rFonts w:eastAsia="仿宋"/>
          <w:highlight w:val="none"/>
        </w:rPr>
      </w:pPr>
      <w:r>
        <w:rPr>
          <w:rFonts w:hint="eastAsia" w:ascii="仿宋" w:hAnsi="仿宋" w:eastAsia="仿宋" w:cs="仿宋"/>
          <w:highlight w:val="none"/>
        </w:rPr>
        <w:t>致陕西中发项目管理发展有限公司</w:t>
      </w:r>
      <w:r>
        <w:rPr>
          <w:rFonts w:eastAsia="仿宋"/>
          <w:highlight w:val="none"/>
        </w:rPr>
        <w:t>：</w:t>
      </w:r>
    </w:p>
    <w:p w14:paraId="22BCECBD">
      <w:pPr>
        <w:keepNext w:val="0"/>
        <w:keepLines w:val="0"/>
        <w:pageBreakBefore w:val="0"/>
        <w:widowControl/>
        <w:kinsoku/>
        <w:wordWrap/>
        <w:overflowPunct/>
        <w:topLinePunct w:val="0"/>
        <w:autoSpaceDE/>
        <w:autoSpaceDN/>
        <w:bidi w:val="0"/>
        <w:adjustRightInd/>
        <w:snapToGrid/>
        <w:spacing w:line="560" w:lineRule="exact"/>
        <w:ind w:right="11" w:firstLine="566" w:firstLineChars="200"/>
        <w:textAlignment w:val="auto"/>
        <w:rPr>
          <w:rFonts w:eastAsia="仿宋"/>
          <w:highlight w:val="none"/>
        </w:rPr>
      </w:pPr>
      <w:r>
        <w:rPr>
          <w:rFonts w:hint="eastAsia" w:ascii="仿宋" w:hAnsi="华文仿宋" w:eastAsia="仿宋" w:cs="华文仿宋"/>
          <w:highlight w:val="none"/>
        </w:rPr>
        <w:t>我方作为《</w:t>
      </w:r>
      <w:r>
        <w:rPr>
          <w:rFonts w:hint="eastAsia" w:ascii="仿宋" w:hAnsi="华文仿宋" w:eastAsia="仿宋" w:cs="华文仿宋"/>
          <w:highlight w:val="none"/>
          <w:u w:val="single"/>
        </w:rPr>
        <w:t>项目名称</w:t>
      </w:r>
      <w:r>
        <w:rPr>
          <w:rFonts w:hint="eastAsia" w:ascii="仿宋" w:hAnsi="华文仿宋" w:eastAsia="仿宋" w:cs="华文仿宋"/>
          <w:highlight w:val="none"/>
        </w:rPr>
        <w:t>》（项目编号：</w:t>
      </w:r>
      <w:r>
        <w:rPr>
          <w:rFonts w:hint="eastAsia" w:ascii="仿宋" w:hAnsi="华文仿宋" w:eastAsia="仿宋" w:cs="华文仿宋"/>
          <w:highlight w:val="none"/>
          <w:u w:val="single"/>
        </w:rPr>
        <w:t xml:space="preserve">          </w:t>
      </w:r>
      <w:r>
        <w:rPr>
          <w:rFonts w:hint="eastAsia" w:ascii="仿宋" w:hAnsi="华文仿宋" w:eastAsia="仿宋" w:cs="华文仿宋"/>
          <w:highlight w:val="none"/>
        </w:rPr>
        <w:t>）</w:t>
      </w:r>
      <w:r>
        <w:rPr>
          <w:rFonts w:hint="eastAsia" w:eastAsia="仿宋"/>
          <w:highlight w:val="none"/>
        </w:rPr>
        <w:t>的投标供应商，在此郑重声明：</w:t>
      </w:r>
    </w:p>
    <w:p w14:paraId="756DDDF7">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1、</w:t>
      </w:r>
      <w:r>
        <w:rPr>
          <w:rFonts w:eastAsia="仿宋"/>
          <w:highlight w:val="none"/>
        </w:rPr>
        <w:t>在参加本次政府采购活动前3年内的经营活动中</w:t>
      </w:r>
      <w:r>
        <w:rPr>
          <w:rFonts w:hint="eastAsia" w:eastAsia="仿宋"/>
          <w:highlight w:val="none"/>
        </w:rPr>
        <w:t>____（填“没有”或“有”）</w:t>
      </w:r>
      <w:r>
        <w:rPr>
          <w:rFonts w:eastAsia="仿宋"/>
          <w:highlight w:val="none"/>
        </w:rPr>
        <w:t>重大违法记录。</w:t>
      </w:r>
      <w:r>
        <w:rPr>
          <w:rFonts w:hint="eastAsia" w:eastAsia="仿宋"/>
          <w:highlight w:val="none"/>
        </w:rPr>
        <w:t>供应</w:t>
      </w:r>
      <w:r>
        <w:rPr>
          <w:rFonts w:hint="eastAsia" w:eastAsia="仿宋"/>
          <w:bCs/>
          <w:highlight w:val="none"/>
        </w:rPr>
        <w:t>商</w:t>
      </w:r>
      <w:r>
        <w:rPr>
          <w:rFonts w:hint="eastAsia" w:eastAsia="仿宋"/>
          <w:b/>
          <w:bCs/>
          <w:highlight w:val="none"/>
        </w:rPr>
        <w:t>在参加政府采购活动前3年内因违法经营被禁止在一定期限内参加政府采购活动，期限届满的，可以参加政府采购活动，但应提供期限届满的证明材料。</w:t>
      </w:r>
    </w:p>
    <w:p w14:paraId="2F67BC2C">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2、</w:t>
      </w:r>
      <w:r>
        <w:rPr>
          <w:rFonts w:hint="eastAsia" w:eastAsia="仿宋"/>
          <w:highlight w:val="none"/>
        </w:rPr>
        <w:t>我方______（填“未被列入”或“被列入”）失信被执行人名单。</w:t>
      </w:r>
    </w:p>
    <w:p w14:paraId="493DEC5F">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eastAsia="仿宋"/>
          <w:highlight w:val="none"/>
        </w:rPr>
      </w:pPr>
      <w:r>
        <w:rPr>
          <w:rFonts w:hint="eastAsia" w:ascii="仿宋" w:hAnsi="仿宋" w:eastAsia="仿宋" w:cs="仿宋"/>
          <w:highlight w:val="none"/>
        </w:rPr>
        <w:t>3、</w:t>
      </w:r>
      <w:r>
        <w:rPr>
          <w:rFonts w:hint="eastAsia" w:eastAsia="仿宋"/>
          <w:highlight w:val="none"/>
        </w:rPr>
        <w:t>我方______（填“未被列入”或“被列入”）重大税收违法案件当事人名单。</w:t>
      </w:r>
    </w:p>
    <w:p w14:paraId="284AF4F5">
      <w:pPr>
        <w:spacing w:line="500" w:lineRule="exact"/>
        <w:ind w:firstLine="566" w:firstLineChars="200"/>
        <w:rPr>
          <w:rFonts w:eastAsia="仿宋"/>
          <w:highlight w:val="none"/>
        </w:rPr>
      </w:pPr>
      <w:r>
        <w:rPr>
          <w:rFonts w:hint="eastAsia" w:ascii="仿宋" w:hAnsi="仿宋" w:eastAsia="仿宋" w:cs="仿宋"/>
          <w:highlight w:val="none"/>
        </w:rPr>
        <w:t>4、</w:t>
      </w:r>
      <w:r>
        <w:rPr>
          <w:rFonts w:hint="eastAsia" w:eastAsia="仿宋"/>
          <w:highlight w:val="none"/>
        </w:rPr>
        <w:t>我方______（填“未被列入”或“被列入”）政府采购严重违法失信行为记录名单。</w:t>
      </w:r>
    </w:p>
    <w:p w14:paraId="5971594D">
      <w:pPr>
        <w:spacing w:line="500" w:lineRule="exact"/>
        <w:ind w:firstLine="566" w:firstLineChars="200"/>
        <w:rPr>
          <w:rFonts w:eastAsia="仿宋"/>
          <w:highlight w:val="none"/>
        </w:rPr>
      </w:pPr>
      <w:r>
        <w:rPr>
          <w:rFonts w:eastAsia="仿宋"/>
          <w:highlight w:val="none"/>
        </w:rPr>
        <w:t>如有不实，我方将无条件地退出本项目的采购活动，并遵照《政府采购法》有关</w:t>
      </w:r>
      <w:r>
        <w:rPr>
          <w:rFonts w:hint="eastAsia" w:eastAsia="仿宋"/>
          <w:highlight w:val="none"/>
        </w:rPr>
        <w:t>“提供虚假材料的规定”</w:t>
      </w:r>
      <w:r>
        <w:rPr>
          <w:rFonts w:eastAsia="仿宋"/>
          <w:highlight w:val="none"/>
        </w:rPr>
        <w:t>接受处罚。</w:t>
      </w:r>
    </w:p>
    <w:p w14:paraId="0D20A007">
      <w:pPr>
        <w:spacing w:line="500" w:lineRule="exact"/>
        <w:ind w:firstLine="566" w:firstLineChars="200"/>
        <w:rPr>
          <w:rFonts w:eastAsia="仿宋"/>
          <w:highlight w:val="none"/>
        </w:rPr>
      </w:pPr>
      <w:r>
        <w:rPr>
          <w:rFonts w:eastAsia="仿宋"/>
          <w:highlight w:val="none"/>
        </w:rPr>
        <w:t>特此声明。</w:t>
      </w:r>
    </w:p>
    <w:p w14:paraId="3FDDC4C5">
      <w:pPr>
        <w:spacing w:line="500" w:lineRule="exact"/>
        <w:ind w:firstLine="566" w:firstLineChars="200"/>
        <w:rPr>
          <w:rFonts w:eastAsia="仿宋"/>
          <w:highlight w:val="none"/>
        </w:rPr>
      </w:pPr>
    </w:p>
    <w:p w14:paraId="2DC7DE88">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7BCFAC0F">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60A3BC17">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1F4C39A2">
      <w:pPr>
        <w:pStyle w:val="22"/>
        <w:ind w:firstLine="566" w:firstLineChars="200"/>
        <w:rPr>
          <w:rFonts w:eastAsia="仿宋"/>
          <w:highlight w:val="none"/>
        </w:rPr>
      </w:pPr>
    </w:p>
    <w:p w14:paraId="12EA4443">
      <w:pPr>
        <w:spacing w:line="240" w:lineRule="auto"/>
        <w:ind w:firstLine="606" w:firstLineChars="200"/>
        <w:jc w:val="left"/>
        <w:rPr>
          <w:rFonts w:eastAsia="仿宋"/>
          <w:b/>
          <w:bCs/>
          <w:sz w:val="30"/>
          <w:szCs w:val="30"/>
          <w:highlight w:val="none"/>
        </w:rPr>
      </w:pPr>
      <w:r>
        <w:rPr>
          <w:rFonts w:eastAsia="仿宋"/>
          <w:b/>
          <w:bCs/>
          <w:sz w:val="30"/>
          <w:szCs w:val="30"/>
          <w:highlight w:val="none"/>
        </w:rPr>
        <w:br w:type="page"/>
      </w:r>
    </w:p>
    <w:p w14:paraId="23B3EDAB">
      <w:pPr>
        <w:pStyle w:val="46"/>
        <w:ind w:firstLine="648"/>
        <w:outlineLvl w:val="1"/>
        <w:rPr>
          <w:rFonts w:eastAsia="仿宋"/>
          <w:b/>
          <w:sz w:val="32"/>
          <w:szCs w:val="32"/>
          <w:highlight w:val="none"/>
        </w:rPr>
      </w:pPr>
      <w:bookmarkStart w:id="466" w:name="_Toc13436"/>
      <w:bookmarkStart w:id="467" w:name="_Toc31734"/>
      <w:bookmarkStart w:id="468" w:name="_Toc28681275"/>
      <w:bookmarkStart w:id="469" w:name="_Toc11924"/>
      <w:r>
        <w:rPr>
          <w:rFonts w:hint="eastAsia" w:eastAsia="仿宋"/>
          <w:b/>
          <w:sz w:val="32"/>
          <w:szCs w:val="32"/>
          <w:highlight w:val="none"/>
        </w:rPr>
        <w:t>七、</w:t>
      </w:r>
      <w:r>
        <w:rPr>
          <w:rFonts w:eastAsia="仿宋"/>
          <w:b/>
          <w:sz w:val="32"/>
          <w:szCs w:val="32"/>
          <w:highlight w:val="none"/>
        </w:rPr>
        <w:t>法定代表人授权委托书</w:t>
      </w:r>
      <w:bookmarkEnd w:id="466"/>
      <w:bookmarkEnd w:id="467"/>
      <w:bookmarkEnd w:id="468"/>
      <w:bookmarkEnd w:id="469"/>
    </w:p>
    <w:p w14:paraId="179CC4C0">
      <w:pPr>
        <w:pStyle w:val="46"/>
        <w:spacing w:before="193" w:beforeLines="50"/>
        <w:ind w:firstLine="0" w:firstLineChars="0"/>
        <w:jc w:val="center"/>
        <w:rPr>
          <w:rFonts w:eastAsia="仿宋"/>
          <w:highlight w:val="none"/>
        </w:rPr>
      </w:pPr>
      <w:bookmarkStart w:id="470" w:name="_Toc28681276"/>
      <w:bookmarkStart w:id="471" w:name="_Toc28681120"/>
      <w:r>
        <w:rPr>
          <w:rFonts w:eastAsia="仿宋"/>
          <w:b/>
          <w:bCs/>
          <w:sz w:val="30"/>
          <w:szCs w:val="30"/>
          <w:highlight w:val="none"/>
        </w:rPr>
        <w:t>法定代表人授权委托书</w:t>
      </w:r>
      <w:bookmarkEnd w:id="470"/>
      <w:bookmarkEnd w:id="471"/>
    </w:p>
    <w:p w14:paraId="3256DDDA">
      <w:pPr>
        <w:snapToGrid w:val="0"/>
        <w:spacing w:before="193" w:beforeLines="50" w:line="500" w:lineRule="exact"/>
        <w:rPr>
          <w:rFonts w:ascii="仿宋" w:hAnsi="仿宋" w:eastAsia="仿宋"/>
          <w:highlight w:val="none"/>
        </w:rPr>
      </w:pPr>
      <w:r>
        <w:rPr>
          <w:rFonts w:hint="eastAsia" w:ascii="仿宋" w:hAnsi="仿宋" w:eastAsia="仿宋" w:cs="仿宋"/>
          <w:highlight w:val="none"/>
        </w:rPr>
        <w:t>致陕西中发项目管理发展有限公司</w:t>
      </w:r>
      <w:r>
        <w:rPr>
          <w:rFonts w:ascii="仿宋" w:hAnsi="仿宋" w:eastAsia="仿宋"/>
          <w:highlight w:val="none"/>
        </w:rPr>
        <w:t>：</w:t>
      </w:r>
    </w:p>
    <w:p w14:paraId="3F80A52D">
      <w:pPr>
        <w:snapToGrid w:val="0"/>
        <w:spacing w:after="193" w:afterLines="50" w:line="500" w:lineRule="exact"/>
        <w:ind w:firstLine="566" w:firstLineChars="200"/>
        <w:rPr>
          <w:rFonts w:ascii="仿宋" w:hAnsi="仿宋" w:eastAsia="仿宋" w:cs="仿宋"/>
          <w:highlight w:val="none"/>
        </w:rPr>
      </w:pPr>
      <w:r>
        <w:rPr>
          <w:rFonts w:ascii="仿宋" w:hAnsi="仿宋" w:eastAsia="仿宋" w:cs="仿宋"/>
          <w:highlight w:val="none"/>
        </w:rPr>
        <w:t>现委派</w:t>
      </w:r>
      <w:r>
        <w:rPr>
          <w:rFonts w:ascii="仿宋" w:hAnsi="仿宋" w:eastAsia="仿宋" w:cs="仿宋"/>
          <w:highlight w:val="none"/>
          <w:u w:val="single"/>
        </w:rPr>
        <w:t>（</w:t>
      </w:r>
      <w:r>
        <w:rPr>
          <w:rFonts w:hint="eastAsia" w:ascii="仿宋" w:hAnsi="仿宋" w:eastAsia="仿宋" w:cs="仿宋"/>
          <w:highlight w:val="none"/>
          <w:u w:val="single"/>
        </w:rPr>
        <w:t>授权代表</w:t>
      </w:r>
      <w:r>
        <w:rPr>
          <w:rFonts w:ascii="仿宋" w:hAnsi="仿宋" w:eastAsia="仿宋" w:cs="仿宋"/>
          <w:highlight w:val="none"/>
          <w:u w:val="single"/>
        </w:rPr>
        <w:t>姓名）</w:t>
      </w:r>
      <w:r>
        <w:rPr>
          <w:rFonts w:ascii="仿宋" w:hAnsi="仿宋" w:eastAsia="仿宋" w:cs="仿宋"/>
          <w:highlight w:val="none"/>
        </w:rPr>
        <w:t>为本公司的</w:t>
      </w:r>
      <w:r>
        <w:rPr>
          <w:rFonts w:hint="eastAsia" w:ascii="仿宋" w:hAnsi="仿宋" w:eastAsia="仿宋" w:cs="仿宋"/>
          <w:highlight w:val="none"/>
        </w:rPr>
        <w:t>授权代表</w:t>
      </w:r>
      <w:r>
        <w:rPr>
          <w:rFonts w:ascii="仿宋" w:hAnsi="仿宋" w:eastAsia="仿宋" w:cs="仿宋"/>
          <w:highlight w:val="none"/>
        </w:rPr>
        <w:t>，参加贵</w:t>
      </w:r>
      <w:r>
        <w:rPr>
          <w:rFonts w:hint="eastAsia" w:ascii="仿宋" w:hAnsi="仿宋" w:eastAsia="仿宋" w:cs="仿宋"/>
          <w:highlight w:val="none"/>
        </w:rPr>
        <w:t>公司</w:t>
      </w:r>
      <w:r>
        <w:rPr>
          <w:rFonts w:ascii="仿宋" w:hAnsi="仿宋" w:eastAsia="仿宋" w:cs="仿宋"/>
          <w:highlight w:val="none"/>
        </w:rPr>
        <w:t>组织的</w:t>
      </w:r>
      <w:r>
        <w:rPr>
          <w:rFonts w:hint="eastAsia" w:eastAsia="仿宋"/>
          <w:highlight w:val="none"/>
        </w:rPr>
        <w:t>《</w:t>
      </w:r>
      <w:r>
        <w:rPr>
          <w:rFonts w:hint="eastAsia" w:ascii="仿宋" w:hAnsi="仿宋" w:eastAsia="仿宋" w:cs="仿宋"/>
          <w:highlight w:val="none"/>
          <w:u w:val="single"/>
        </w:rPr>
        <w:t>项目名称</w:t>
      </w:r>
      <w:r>
        <w:rPr>
          <w:rFonts w:hint="eastAsia" w:eastAsia="仿宋"/>
          <w:highlight w:val="none"/>
        </w:rPr>
        <w:t>》</w:t>
      </w:r>
      <w:r>
        <w:rPr>
          <w:rFonts w:hint="eastAsia" w:ascii="仿宋" w:hAnsi="仿宋" w:eastAsia="仿宋" w:cs="仿宋"/>
          <w:highlight w:val="none"/>
        </w:rPr>
        <w:t>（项目编号：</w:t>
      </w:r>
      <w:r>
        <w:rPr>
          <w:rFonts w:hint="eastAsia" w:ascii="仿宋" w:hAnsi="仿宋" w:eastAsia="仿宋" w:cs="华文仿宋"/>
          <w:highlight w:val="none"/>
          <w:u w:val="single"/>
        </w:rPr>
        <w:t xml:space="preserve">  </w:t>
      </w:r>
      <w:r>
        <w:rPr>
          <w:rFonts w:hint="eastAsia" w:ascii="仿宋" w:hAnsi="仿宋" w:eastAsia="仿宋" w:cs="仿宋"/>
          <w:highlight w:val="none"/>
          <w:u w:val="single"/>
        </w:rPr>
        <w:t xml:space="preserve">   </w:t>
      </w:r>
      <w:r>
        <w:rPr>
          <w:rFonts w:ascii="仿宋" w:hAnsi="仿宋" w:eastAsia="仿宋" w:cs="仿宋"/>
          <w:highlight w:val="none"/>
        </w:rPr>
        <w:t>），就该项目的投标及</w:t>
      </w:r>
      <w:r>
        <w:rPr>
          <w:rFonts w:hint="eastAsia" w:ascii="仿宋" w:hAnsi="仿宋" w:eastAsia="仿宋" w:cs="仿宋"/>
          <w:highlight w:val="none"/>
        </w:rPr>
        <w:t>合同</w:t>
      </w:r>
      <w:r>
        <w:rPr>
          <w:rFonts w:ascii="仿宋" w:hAnsi="仿宋" w:eastAsia="仿宋" w:cs="仿宋"/>
          <w:highlight w:val="none"/>
        </w:rPr>
        <w:t>的执行和完成，以本公司的名义处理一切与之有关的事宜。</w:t>
      </w:r>
    </w:p>
    <w:p w14:paraId="3EA43A4D">
      <w:pPr>
        <w:pStyle w:val="22"/>
        <w:ind w:firstLine="566" w:firstLineChars="200"/>
        <w:rPr>
          <w:rFonts w:eastAsia="仿宋"/>
          <w:highlight w:val="none"/>
        </w:rPr>
      </w:pPr>
      <w:r>
        <w:rPr>
          <w:rFonts w:hint="eastAsia" w:eastAsia="仿宋"/>
          <w:highlight w:val="none"/>
        </w:rPr>
        <w:t>授权期限：</w:t>
      </w:r>
      <w:r>
        <w:rPr>
          <w:rFonts w:hint="eastAsia" w:eastAsia="仿宋"/>
          <w:highlight w:val="none"/>
          <w:u w:val="single"/>
        </w:rPr>
        <w:t xml:space="preserve">     </w:t>
      </w:r>
      <w:r>
        <w:rPr>
          <w:rFonts w:hint="eastAsia" w:eastAsia="仿宋"/>
          <w:highlight w:val="none"/>
        </w:rPr>
        <w:t>天</w:t>
      </w:r>
    </w:p>
    <w:p w14:paraId="103A1208">
      <w:pPr>
        <w:tabs>
          <w:tab w:val="left" w:pos="5245"/>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授权代表姓名：</w:t>
      </w:r>
      <w:r>
        <w:rPr>
          <w:rFonts w:ascii="仿宋" w:hAnsi="仿宋" w:eastAsia="仿宋"/>
          <w:highlight w:val="none"/>
        </w:rPr>
        <w:t>_______________</w:t>
      </w:r>
      <w:r>
        <w:rPr>
          <w:rFonts w:ascii="仿宋" w:hAnsi="仿宋" w:eastAsia="仿宋"/>
          <w:highlight w:val="none"/>
        </w:rPr>
        <w:tab/>
      </w:r>
      <w:r>
        <w:rPr>
          <w:rFonts w:hint="eastAsia" w:ascii="仿宋" w:hAnsi="仿宋" w:eastAsia="仿宋"/>
          <w:highlight w:val="none"/>
        </w:rPr>
        <w:t>性别：</w:t>
      </w:r>
      <w:r>
        <w:rPr>
          <w:rFonts w:ascii="仿宋" w:hAnsi="仿宋" w:eastAsia="仿宋"/>
          <w:highlight w:val="none"/>
        </w:rPr>
        <w:t>_____</w:t>
      </w:r>
      <w:r>
        <w:rPr>
          <w:rFonts w:ascii="仿宋" w:hAnsi="仿宋" w:eastAsia="仿宋"/>
          <w:highlight w:val="none"/>
        </w:rPr>
        <w:tab/>
      </w:r>
    </w:p>
    <w:p w14:paraId="5519B55D">
      <w:pPr>
        <w:tabs>
          <w:tab w:val="left" w:pos="5245"/>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职务：</w:t>
      </w:r>
      <w:r>
        <w:rPr>
          <w:rFonts w:ascii="仿宋" w:hAnsi="仿宋" w:eastAsia="仿宋"/>
          <w:highlight w:val="none"/>
        </w:rPr>
        <w:t xml:space="preserve">________________           </w:t>
      </w:r>
      <w:r>
        <w:rPr>
          <w:rFonts w:hint="eastAsia" w:ascii="仿宋" w:hAnsi="仿宋" w:eastAsia="仿宋"/>
          <w:highlight w:val="none"/>
        </w:rPr>
        <w:t>电话：</w:t>
      </w:r>
      <w:r>
        <w:rPr>
          <w:rFonts w:ascii="仿宋" w:hAnsi="仿宋" w:eastAsia="仿宋"/>
          <w:highlight w:val="none"/>
        </w:rPr>
        <w:t>_________</w:t>
      </w:r>
    </w:p>
    <w:p w14:paraId="6628B7F0">
      <w:pPr>
        <w:tabs>
          <w:tab w:val="left" w:pos="3828"/>
          <w:tab w:val="left" w:pos="6237"/>
        </w:tabs>
        <w:snapToGrid w:val="0"/>
        <w:spacing w:line="500" w:lineRule="exact"/>
        <w:ind w:firstLine="566" w:firstLineChars="200"/>
        <w:rPr>
          <w:rFonts w:ascii="仿宋" w:hAnsi="仿宋" w:eastAsia="仿宋"/>
          <w:highlight w:val="none"/>
        </w:rPr>
      </w:pPr>
      <w:r>
        <w:rPr>
          <w:rFonts w:hint="eastAsia" w:ascii="仿宋" w:hAnsi="仿宋" w:eastAsia="仿宋"/>
          <w:highlight w:val="none"/>
        </w:rPr>
        <w:t>通讯地址：</w:t>
      </w:r>
      <w:r>
        <w:rPr>
          <w:rFonts w:ascii="仿宋" w:hAnsi="仿宋" w:eastAsia="仿宋"/>
          <w:highlight w:val="none"/>
        </w:rPr>
        <w:t>_______________________</w:t>
      </w:r>
      <w:r>
        <w:rPr>
          <w:rFonts w:hint="eastAsia" w:ascii="仿宋" w:hAnsi="仿宋" w:eastAsia="仿宋"/>
          <w:highlight w:val="none"/>
        </w:rPr>
        <w:t>邮政编码：</w:t>
      </w:r>
      <w:r>
        <w:rPr>
          <w:rFonts w:ascii="仿宋" w:hAnsi="仿宋" w:eastAsia="仿宋"/>
          <w:highlight w:val="none"/>
        </w:rPr>
        <w:t>__________</w:t>
      </w:r>
      <w:r>
        <w:rPr>
          <w:rFonts w:ascii="仿宋" w:hAnsi="仿宋" w:eastAsia="仿宋"/>
          <w:highlight w:val="none"/>
        </w:rPr>
        <w:tab/>
      </w:r>
    </w:p>
    <w:tbl>
      <w:tblPr>
        <w:tblStyle w:val="23"/>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5"/>
        <w:gridCol w:w="4388"/>
      </w:tblGrid>
      <w:tr w14:paraId="7483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85" w:type="dxa"/>
            <w:tcBorders>
              <w:top w:val="single" w:color="auto" w:sz="4" w:space="0"/>
              <w:left w:val="single" w:color="auto" w:sz="4" w:space="0"/>
              <w:bottom w:val="single" w:color="auto" w:sz="4" w:space="0"/>
              <w:right w:val="single" w:color="auto" w:sz="4" w:space="0"/>
            </w:tcBorders>
            <w:vAlign w:val="center"/>
          </w:tcPr>
          <w:p w14:paraId="55B6F4AB">
            <w:pPr>
              <w:jc w:val="center"/>
              <w:rPr>
                <w:rFonts w:ascii="仿宋" w:hAnsi="仿宋" w:eastAsia="仿宋"/>
                <w:highlight w:val="none"/>
              </w:rPr>
            </w:pPr>
            <w:r>
              <w:rPr>
                <w:rFonts w:ascii="仿宋" w:hAnsi="仿宋" w:eastAsia="仿宋"/>
                <w:highlight w:val="none"/>
              </w:rPr>
              <w:t>法定代表人身份证复印件</w:t>
            </w:r>
          </w:p>
          <w:p w14:paraId="215EAD28">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c>
          <w:tcPr>
            <w:tcW w:w="4388" w:type="dxa"/>
            <w:tcBorders>
              <w:top w:val="single" w:color="auto" w:sz="4" w:space="0"/>
              <w:left w:val="single" w:color="auto" w:sz="4" w:space="0"/>
              <w:bottom w:val="single" w:color="auto" w:sz="4" w:space="0"/>
              <w:right w:val="single" w:color="auto" w:sz="4" w:space="0"/>
            </w:tcBorders>
            <w:vAlign w:val="center"/>
          </w:tcPr>
          <w:p w14:paraId="24A188AA">
            <w:pPr>
              <w:jc w:val="center"/>
              <w:rPr>
                <w:rFonts w:ascii="仿宋" w:hAnsi="仿宋" w:eastAsia="仿宋"/>
                <w:highlight w:val="none"/>
              </w:rPr>
            </w:pPr>
            <w:r>
              <w:rPr>
                <w:rFonts w:ascii="仿宋" w:hAnsi="仿宋" w:eastAsia="仿宋"/>
                <w:highlight w:val="none"/>
              </w:rPr>
              <w:t>授权</w:t>
            </w:r>
            <w:r>
              <w:rPr>
                <w:rFonts w:hint="eastAsia" w:ascii="仿宋" w:hAnsi="仿宋" w:eastAsia="仿宋"/>
                <w:highlight w:val="none"/>
              </w:rPr>
              <w:t>代表</w:t>
            </w:r>
            <w:r>
              <w:rPr>
                <w:rFonts w:ascii="仿宋" w:hAnsi="仿宋" w:eastAsia="仿宋"/>
                <w:highlight w:val="none"/>
              </w:rPr>
              <w:t>身份证复印件</w:t>
            </w:r>
          </w:p>
          <w:p w14:paraId="49FD619B">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r>
      <w:tr w14:paraId="0612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85" w:type="dxa"/>
            <w:vAlign w:val="center"/>
          </w:tcPr>
          <w:p w14:paraId="124181B2">
            <w:pPr>
              <w:jc w:val="center"/>
              <w:rPr>
                <w:rFonts w:ascii="仿宋" w:hAnsi="仿宋" w:eastAsia="仿宋"/>
                <w:highlight w:val="none"/>
              </w:rPr>
            </w:pPr>
            <w:r>
              <w:rPr>
                <w:rFonts w:ascii="仿宋" w:hAnsi="仿宋" w:eastAsia="仿宋"/>
                <w:highlight w:val="none"/>
              </w:rPr>
              <w:t>法定代表人身份证复印件</w:t>
            </w:r>
          </w:p>
          <w:p w14:paraId="33807042">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c>
          <w:tcPr>
            <w:tcW w:w="4388" w:type="dxa"/>
            <w:vAlign w:val="center"/>
          </w:tcPr>
          <w:p w14:paraId="7B440F07">
            <w:pPr>
              <w:jc w:val="center"/>
              <w:rPr>
                <w:rFonts w:ascii="仿宋" w:hAnsi="仿宋" w:eastAsia="仿宋"/>
                <w:highlight w:val="none"/>
              </w:rPr>
            </w:pPr>
            <w:r>
              <w:rPr>
                <w:rFonts w:ascii="仿宋" w:hAnsi="仿宋" w:eastAsia="仿宋"/>
                <w:highlight w:val="none"/>
              </w:rPr>
              <w:t>授权</w:t>
            </w:r>
            <w:r>
              <w:rPr>
                <w:rFonts w:hint="eastAsia" w:ascii="仿宋" w:hAnsi="仿宋" w:eastAsia="仿宋"/>
                <w:highlight w:val="none"/>
              </w:rPr>
              <w:t>代表</w:t>
            </w:r>
            <w:r>
              <w:rPr>
                <w:rFonts w:ascii="仿宋" w:hAnsi="仿宋" w:eastAsia="仿宋"/>
                <w:highlight w:val="none"/>
              </w:rPr>
              <w:t>身份证复印件</w:t>
            </w:r>
          </w:p>
          <w:p w14:paraId="53745B38">
            <w:pPr>
              <w:jc w:val="center"/>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r>
    </w:tbl>
    <w:p w14:paraId="744A686C">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183261C1">
      <w:pPr>
        <w:spacing w:line="500" w:lineRule="exact"/>
        <w:ind w:firstLine="4250" w:firstLineChars="1502"/>
        <w:rPr>
          <w:rFonts w:eastAsia="仿宋"/>
          <w:highlight w:val="none"/>
        </w:rPr>
      </w:pPr>
      <w:r>
        <w:rPr>
          <w:rFonts w:eastAsia="仿宋"/>
          <w:highlight w:val="none"/>
        </w:rPr>
        <w:t>法定代表人：（</w:t>
      </w:r>
      <w:r>
        <w:rPr>
          <w:rFonts w:hint="eastAsia" w:eastAsia="仿宋"/>
          <w:highlight w:val="none"/>
        </w:rPr>
        <w:t>签字或盖章</w:t>
      </w:r>
      <w:r>
        <w:rPr>
          <w:rFonts w:eastAsia="仿宋"/>
          <w:highlight w:val="none"/>
        </w:rPr>
        <w:t>）</w:t>
      </w:r>
    </w:p>
    <w:p w14:paraId="03B3E12C">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05959896">
      <w:pPr>
        <w:ind w:firstLine="646" w:firstLineChars="200"/>
        <w:jc w:val="center"/>
        <w:rPr>
          <w:rFonts w:ascii="仿宋" w:hAnsi="仿宋" w:eastAsia="仿宋" w:cstheme="majorBidi"/>
          <w:bCs/>
          <w:sz w:val="32"/>
          <w:szCs w:val="32"/>
          <w:highlight w:val="none"/>
        </w:rPr>
      </w:pPr>
    </w:p>
    <w:p w14:paraId="40F2C4C7">
      <w:pPr>
        <w:ind w:firstLine="426" w:firstLineChars="200"/>
        <w:jc w:val="left"/>
        <w:rPr>
          <w:rFonts w:ascii="黑体" w:hAnsi="黑体" w:eastAsia="黑体" w:cs="黑体"/>
          <w:sz w:val="32"/>
          <w:szCs w:val="32"/>
          <w:highlight w:val="none"/>
        </w:rPr>
      </w:pPr>
      <w:r>
        <w:rPr>
          <w:rFonts w:hint="eastAsia" w:ascii="宋体" w:hAnsi="宋体" w:eastAsia="宋体" w:cs="Calibri Light"/>
          <w:sz w:val="21"/>
          <w:szCs w:val="21"/>
          <w:highlight w:val="none"/>
        </w:rPr>
        <w:t>备注：法定代表人亲自参加投标的，无需提供该委托授权书，但须提供法定代表人本人身份证（正反面）复印件。</w:t>
      </w:r>
      <w:r>
        <w:rPr>
          <w:rFonts w:hint="eastAsia" w:ascii="黑体" w:hAnsi="黑体" w:eastAsia="黑体" w:cs="黑体"/>
          <w:sz w:val="32"/>
          <w:szCs w:val="32"/>
          <w:highlight w:val="none"/>
        </w:rPr>
        <w:br w:type="page"/>
      </w:r>
    </w:p>
    <w:p w14:paraId="0A9898EB">
      <w:pPr>
        <w:pStyle w:val="46"/>
        <w:ind w:firstLine="648"/>
        <w:outlineLvl w:val="1"/>
        <w:rPr>
          <w:rFonts w:eastAsia="仿宋"/>
          <w:b/>
          <w:sz w:val="32"/>
          <w:szCs w:val="32"/>
          <w:highlight w:val="none"/>
        </w:rPr>
      </w:pPr>
      <w:bookmarkStart w:id="472" w:name="_Toc16571"/>
      <w:bookmarkStart w:id="473" w:name="_Toc17232"/>
      <w:bookmarkStart w:id="474" w:name="_Toc32374"/>
      <w:r>
        <w:rPr>
          <w:rFonts w:hint="eastAsia" w:eastAsia="仿宋"/>
          <w:b/>
          <w:sz w:val="32"/>
          <w:szCs w:val="32"/>
          <w:highlight w:val="none"/>
        </w:rPr>
        <w:t>八、书面声明</w:t>
      </w:r>
      <w:bookmarkEnd w:id="472"/>
      <w:bookmarkEnd w:id="473"/>
      <w:bookmarkEnd w:id="474"/>
    </w:p>
    <w:p w14:paraId="75CD9B68">
      <w:pPr>
        <w:spacing w:line="560" w:lineRule="exact"/>
        <w:jc w:val="center"/>
        <w:rPr>
          <w:rFonts w:ascii="仿宋_GB2312" w:hAnsi="仿宋_GB2312" w:eastAsia="仿宋_GB2312" w:cs="仿宋_GB2312"/>
          <w:b/>
          <w:bCs/>
          <w:sz w:val="32"/>
          <w:szCs w:val="32"/>
          <w:highlight w:val="none"/>
        </w:rPr>
      </w:pPr>
      <w:r>
        <w:rPr>
          <w:rFonts w:hint="eastAsia" w:eastAsia="仿宋"/>
          <w:b/>
          <w:bCs/>
          <w:sz w:val="30"/>
          <w:szCs w:val="30"/>
          <w:highlight w:val="none"/>
        </w:rPr>
        <w:t>书面声明（格式）</w:t>
      </w:r>
    </w:p>
    <w:p w14:paraId="690A9C74">
      <w:pPr>
        <w:spacing w:line="560" w:lineRule="exact"/>
        <w:rPr>
          <w:rFonts w:ascii="仿宋_GB2312" w:hAnsi="仿宋_GB2312" w:eastAsia="仿宋_GB2312" w:cs="仿宋_GB2312"/>
          <w:sz w:val="32"/>
          <w:szCs w:val="32"/>
          <w:highlight w:val="none"/>
        </w:rPr>
      </w:pPr>
      <w:r>
        <w:rPr>
          <w:rFonts w:hint="eastAsia" w:ascii="仿宋" w:hAnsi="仿宋" w:eastAsia="仿宋" w:cs="仿宋"/>
          <w:highlight w:val="none"/>
        </w:rPr>
        <w:t>致陕西中发项目管理发展有限公司</w:t>
      </w:r>
      <w:r>
        <w:rPr>
          <w:rFonts w:ascii="仿宋" w:hAnsi="仿宋" w:eastAsia="仿宋"/>
          <w:highlight w:val="none"/>
        </w:rPr>
        <w:t>：</w:t>
      </w:r>
    </w:p>
    <w:p w14:paraId="06FE036D">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我方作为</w:t>
      </w:r>
      <w:r>
        <w:rPr>
          <w:rFonts w:hint="eastAsia" w:ascii="仿宋" w:hAnsi="仿宋" w:eastAsia="仿宋" w:cs="仿宋"/>
          <w:highlight w:val="none"/>
          <w:u w:val="single"/>
        </w:rPr>
        <w:t>《项目名称》（项目编号：             ）</w:t>
      </w:r>
      <w:r>
        <w:rPr>
          <w:rFonts w:hint="eastAsia" w:ascii="仿宋" w:hAnsi="仿宋" w:eastAsia="仿宋" w:cs="仿宋"/>
          <w:highlight w:val="none"/>
        </w:rPr>
        <w:t>的投标供应商，在此郑重声明：</w:t>
      </w:r>
    </w:p>
    <w:p w14:paraId="09966FDB">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1、我方具备履行合同所必须的设备和专业技术能力。</w:t>
      </w:r>
    </w:p>
    <w:p w14:paraId="21DC132D">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2、我方未为本项目提供整体设计、规范编制或者项目管理、监理、检测等服务。</w:t>
      </w:r>
    </w:p>
    <w:p w14:paraId="22229C96">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如有不实，我方将无条件地退出本项目的采购活动，并遵照《政府采购法》有关“提供虚假材料的规定”接受处罚。</w:t>
      </w:r>
    </w:p>
    <w:p w14:paraId="53A11A95">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特此声明。</w:t>
      </w:r>
    </w:p>
    <w:p w14:paraId="7B1F26AB">
      <w:pPr>
        <w:spacing w:line="560" w:lineRule="exact"/>
        <w:ind w:firstLine="567"/>
        <w:rPr>
          <w:rFonts w:ascii="仿宋" w:hAnsi="仿宋" w:eastAsia="仿宋" w:cs="仿宋"/>
          <w:highlight w:val="none"/>
        </w:rPr>
      </w:pPr>
    </w:p>
    <w:p w14:paraId="65010A0D">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2CE178A">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248037BA">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2FF4175D">
      <w:pPr>
        <w:ind w:firstLine="566" w:firstLineChars="200"/>
        <w:rPr>
          <w:rFonts w:ascii="仿宋" w:hAnsi="仿宋" w:eastAsia="仿宋"/>
          <w:highlight w:val="none"/>
        </w:rPr>
      </w:pPr>
    </w:p>
    <w:p w14:paraId="379833B6">
      <w:pPr>
        <w:ind w:firstLine="566" w:firstLineChars="200"/>
        <w:rPr>
          <w:rFonts w:ascii="仿宋" w:hAnsi="仿宋" w:eastAsia="仿宋"/>
          <w:highlight w:val="none"/>
        </w:rPr>
      </w:pPr>
    </w:p>
    <w:p w14:paraId="32893AC0">
      <w:pPr>
        <w:ind w:firstLine="646"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14:paraId="1DA76A8F">
      <w:pPr>
        <w:pStyle w:val="46"/>
        <w:ind w:firstLine="648"/>
        <w:outlineLvl w:val="1"/>
        <w:rPr>
          <w:rFonts w:eastAsia="仿宋"/>
          <w:b/>
          <w:sz w:val="32"/>
          <w:szCs w:val="32"/>
          <w:highlight w:val="none"/>
        </w:rPr>
      </w:pPr>
      <w:bookmarkStart w:id="475" w:name="_Toc28086"/>
      <w:bookmarkStart w:id="476" w:name="_Toc12506"/>
      <w:bookmarkStart w:id="477" w:name="_Toc3979"/>
      <w:r>
        <w:rPr>
          <w:rFonts w:hint="eastAsia" w:eastAsia="仿宋"/>
          <w:b/>
          <w:sz w:val="32"/>
          <w:szCs w:val="32"/>
          <w:highlight w:val="none"/>
        </w:rPr>
        <w:t>九、本项目不接受联合体响应，不允许分包</w:t>
      </w:r>
      <w:bookmarkEnd w:id="475"/>
      <w:bookmarkEnd w:id="476"/>
      <w:bookmarkEnd w:id="477"/>
    </w:p>
    <w:p w14:paraId="5BA68CF9">
      <w:pPr>
        <w:pStyle w:val="5"/>
        <w:spacing w:line="560" w:lineRule="exact"/>
        <w:ind w:firstLine="567"/>
        <w:jc w:val="center"/>
        <w:rPr>
          <w:rFonts w:ascii="仿宋_GB2312" w:hAnsi="仿宋_GB2312" w:eastAsia="仿宋_GB2312" w:cs="仿宋_GB2312"/>
          <w:b/>
          <w:bCs/>
          <w:sz w:val="32"/>
          <w:szCs w:val="32"/>
          <w:highlight w:val="none"/>
        </w:rPr>
      </w:pPr>
    </w:p>
    <w:p w14:paraId="3612F871">
      <w:pPr>
        <w:spacing w:line="560" w:lineRule="exact"/>
        <w:jc w:val="center"/>
        <w:rPr>
          <w:rFonts w:eastAsia="仿宋"/>
          <w:b/>
          <w:bCs/>
          <w:sz w:val="30"/>
          <w:szCs w:val="30"/>
          <w:highlight w:val="none"/>
        </w:rPr>
      </w:pPr>
      <w:r>
        <w:rPr>
          <w:rFonts w:hint="eastAsia" w:eastAsia="仿宋"/>
          <w:b/>
          <w:bCs/>
          <w:sz w:val="30"/>
          <w:szCs w:val="30"/>
          <w:highlight w:val="none"/>
        </w:rPr>
        <w:t>非联合体不分包投标声明（格式）</w:t>
      </w:r>
    </w:p>
    <w:p w14:paraId="1F68ED96">
      <w:pPr>
        <w:spacing w:line="560" w:lineRule="exact"/>
        <w:rPr>
          <w:rFonts w:ascii="仿宋" w:hAnsi="仿宋" w:eastAsia="仿宋" w:cs="仿宋"/>
          <w:highlight w:val="none"/>
        </w:rPr>
      </w:pPr>
      <w:r>
        <w:rPr>
          <w:rFonts w:hint="eastAsia" w:ascii="仿宋" w:hAnsi="仿宋" w:eastAsia="仿宋" w:cs="仿宋"/>
          <w:highlight w:val="none"/>
        </w:rPr>
        <w:t>致陕西中发项目管理发展有限公司：</w:t>
      </w:r>
    </w:p>
    <w:p w14:paraId="70FA8121">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本单位郑重声明，就参加贵公司组织的</w:t>
      </w:r>
      <w:r>
        <w:rPr>
          <w:rFonts w:hint="eastAsia" w:ascii="仿宋" w:hAnsi="仿宋" w:eastAsia="仿宋" w:cs="仿宋"/>
          <w:highlight w:val="none"/>
          <w:u w:val="single"/>
        </w:rPr>
        <w:t>《项目名称》（项目编号：     ）</w:t>
      </w:r>
      <w:r>
        <w:rPr>
          <w:rFonts w:hint="eastAsia" w:ascii="仿宋" w:hAnsi="仿宋" w:eastAsia="仿宋" w:cs="仿宋"/>
          <w:highlight w:val="none"/>
        </w:rPr>
        <w:t>采购活动，为非联合体投标，本项目实施过程由本单位独立承担。</w:t>
      </w:r>
    </w:p>
    <w:p w14:paraId="0377DC43">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14:paraId="08FC9938">
      <w:pPr>
        <w:spacing w:line="560" w:lineRule="exact"/>
        <w:ind w:firstLine="566" w:firstLineChars="200"/>
        <w:rPr>
          <w:rFonts w:ascii="仿宋" w:hAnsi="仿宋" w:eastAsia="仿宋" w:cs="仿宋"/>
          <w:highlight w:val="none"/>
        </w:rPr>
      </w:pPr>
    </w:p>
    <w:p w14:paraId="2A055E58">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D3CCE1A">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2B49472F">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01AF4065">
      <w:pPr>
        <w:spacing w:line="560" w:lineRule="exact"/>
        <w:ind w:firstLine="567"/>
        <w:rPr>
          <w:rFonts w:ascii="仿宋_GB2312" w:hAnsi="仿宋_GB2312" w:eastAsia="仿宋_GB2312" w:cs="仿宋_GB2312"/>
          <w:sz w:val="32"/>
          <w:szCs w:val="32"/>
          <w:highlight w:val="none"/>
        </w:rPr>
      </w:pPr>
    </w:p>
    <w:p w14:paraId="33D2682C">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43DB9B74">
      <w:pPr>
        <w:pStyle w:val="50"/>
        <w:pageBreakBefore w:val="0"/>
        <w:widowControl/>
        <w:kinsoku/>
        <w:wordWrap/>
        <w:overflowPunct/>
        <w:topLinePunct w:val="0"/>
        <w:autoSpaceDE/>
        <w:autoSpaceDN/>
        <w:bidi w:val="0"/>
        <w:adjustRightInd/>
        <w:snapToGrid/>
        <w:spacing w:line="560" w:lineRule="exact"/>
        <w:ind w:firstLine="646" w:firstLineChars="200"/>
        <w:textAlignment w:val="auto"/>
        <w:outlineLvl w:val="0"/>
        <w:rPr>
          <w:rFonts w:ascii="黑体" w:hAnsi="黑体" w:eastAsia="黑体" w:cs="黑体"/>
          <w:b w:val="0"/>
          <w:bCs w:val="0"/>
          <w:sz w:val="32"/>
          <w:szCs w:val="32"/>
          <w:highlight w:val="none"/>
        </w:rPr>
      </w:pPr>
      <w:bookmarkStart w:id="478" w:name="_Toc4570"/>
      <w:bookmarkStart w:id="479" w:name="_Toc12542"/>
      <w:bookmarkStart w:id="480" w:name="_Toc21417"/>
      <w:bookmarkStart w:id="481" w:name="_Toc2020"/>
      <w:r>
        <w:rPr>
          <w:rFonts w:hint="eastAsia" w:ascii="黑体" w:hAnsi="黑体" w:eastAsia="黑体" w:cs="黑体"/>
          <w:b w:val="0"/>
          <w:bCs w:val="0"/>
          <w:sz w:val="32"/>
          <w:szCs w:val="32"/>
          <w:highlight w:val="none"/>
        </w:rPr>
        <w:t>第二部分  符合性证明文件</w:t>
      </w:r>
      <w:bookmarkEnd w:id="430"/>
      <w:bookmarkEnd w:id="431"/>
      <w:bookmarkEnd w:id="432"/>
      <w:bookmarkEnd w:id="433"/>
      <w:bookmarkEnd w:id="434"/>
      <w:bookmarkEnd w:id="435"/>
      <w:bookmarkEnd w:id="436"/>
      <w:bookmarkEnd w:id="478"/>
      <w:bookmarkEnd w:id="479"/>
      <w:bookmarkEnd w:id="480"/>
      <w:bookmarkEnd w:id="481"/>
    </w:p>
    <w:p w14:paraId="77642F41">
      <w:pPr>
        <w:pStyle w:val="50"/>
        <w:pageBreakBefore w:val="0"/>
        <w:widowControl/>
        <w:kinsoku/>
        <w:wordWrap/>
        <w:overflowPunct/>
        <w:topLinePunct w:val="0"/>
        <w:autoSpaceDE/>
        <w:autoSpaceDN/>
        <w:bidi w:val="0"/>
        <w:adjustRightInd/>
        <w:snapToGrid/>
        <w:spacing w:line="560" w:lineRule="exact"/>
        <w:ind w:firstLine="646" w:firstLineChars="200"/>
        <w:jc w:val="both"/>
        <w:textAlignment w:val="auto"/>
        <w:rPr>
          <w:rFonts w:ascii="仿宋" w:hAnsi="华文仿宋" w:eastAsia="仿宋" w:cs="华文仿宋"/>
          <w:sz w:val="32"/>
          <w:szCs w:val="32"/>
          <w:highlight w:val="none"/>
        </w:rPr>
      </w:pPr>
      <w:bookmarkStart w:id="482" w:name="_Toc19182"/>
      <w:bookmarkStart w:id="483" w:name="_Toc13120"/>
      <w:bookmarkStart w:id="484" w:name="_Toc9090"/>
      <w:bookmarkStart w:id="485" w:name="_Toc13230"/>
      <w:bookmarkStart w:id="486" w:name="_Toc9856"/>
      <w:bookmarkStart w:id="487" w:name="_Toc28681278"/>
      <w:bookmarkStart w:id="488" w:name="_Toc19228"/>
      <w:bookmarkStart w:id="489" w:name="_Toc22893"/>
      <w:bookmarkStart w:id="490" w:name="_Toc19361"/>
      <w:bookmarkStart w:id="491" w:name="_Toc20542"/>
      <w:bookmarkStart w:id="492" w:name="_Toc28681574"/>
      <w:r>
        <w:rPr>
          <w:rFonts w:hint="eastAsia" w:ascii="仿宋" w:hAnsi="华文仿宋" w:eastAsia="仿宋" w:cs="华文仿宋"/>
          <w:sz w:val="32"/>
          <w:szCs w:val="32"/>
          <w:highlight w:val="none"/>
        </w:rPr>
        <w:t>一、响应函格式</w:t>
      </w:r>
      <w:bookmarkEnd w:id="482"/>
      <w:bookmarkEnd w:id="483"/>
      <w:bookmarkEnd w:id="484"/>
      <w:bookmarkEnd w:id="485"/>
      <w:bookmarkEnd w:id="486"/>
      <w:bookmarkEnd w:id="487"/>
      <w:bookmarkEnd w:id="488"/>
      <w:bookmarkEnd w:id="489"/>
      <w:bookmarkEnd w:id="490"/>
      <w:bookmarkEnd w:id="491"/>
      <w:bookmarkEnd w:id="492"/>
    </w:p>
    <w:p w14:paraId="1FF8A1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仿宋"/>
          <w:highlight w:val="none"/>
        </w:rPr>
      </w:pPr>
      <w:bookmarkStart w:id="493" w:name="_Toc28681279"/>
      <w:r>
        <w:rPr>
          <w:rFonts w:hint="eastAsia" w:ascii="黑体" w:hAnsi="黑体" w:eastAsia="黑体" w:cs="黑体"/>
          <w:sz w:val="32"/>
          <w:szCs w:val="32"/>
          <w:highlight w:val="none"/>
        </w:rPr>
        <w:t>响应函</w:t>
      </w:r>
      <w:bookmarkEnd w:id="493"/>
    </w:p>
    <w:p w14:paraId="3DD2304D">
      <w:pPr>
        <w:pStyle w:val="46"/>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ascii="仿宋" w:hAnsi="仿宋" w:eastAsia="仿宋" w:cs="华文仿宋"/>
          <w:highlight w:val="none"/>
          <w:lang w:val="zh-CN"/>
        </w:rPr>
      </w:pPr>
      <w:r>
        <w:rPr>
          <w:rFonts w:hint="eastAsia" w:ascii="仿宋" w:hAnsi="仿宋" w:eastAsia="仿宋" w:cs="华文仿宋"/>
          <w:highlight w:val="none"/>
        </w:rPr>
        <w:t>致陕西中发项目管理发展有限公司</w:t>
      </w:r>
      <w:r>
        <w:rPr>
          <w:rFonts w:hint="eastAsia" w:ascii="仿宋" w:hAnsi="仿宋" w:eastAsia="仿宋" w:cs="华文仿宋"/>
          <w:highlight w:val="none"/>
          <w:lang w:val="zh-CN"/>
        </w:rPr>
        <w:t>：</w:t>
      </w:r>
    </w:p>
    <w:p w14:paraId="78D4A991">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我方收到贵公司发布的</w:t>
      </w:r>
      <w:r>
        <w:rPr>
          <w:rFonts w:hint="eastAsia" w:ascii="仿宋" w:hAnsi="仿宋" w:eastAsia="仿宋" w:cs="华文仿宋"/>
          <w:highlight w:val="none"/>
          <w:u w:val="single"/>
        </w:rPr>
        <w:t>《</w:t>
      </w:r>
      <w:r>
        <w:rPr>
          <w:rFonts w:hint="eastAsia" w:ascii="仿宋" w:hAnsi="仿宋" w:eastAsia="仿宋"/>
          <w:highlight w:val="none"/>
          <w:u w:val="single"/>
        </w:rPr>
        <w:t>项目名称</w:t>
      </w:r>
      <w:r>
        <w:rPr>
          <w:rFonts w:hint="eastAsia" w:ascii="仿宋" w:hAnsi="仿宋" w:eastAsia="仿宋" w:cs="华文仿宋"/>
          <w:highlight w:val="none"/>
          <w:u w:val="single"/>
        </w:rPr>
        <w:t>》</w:t>
      </w:r>
      <w:r>
        <w:rPr>
          <w:rFonts w:hint="eastAsia" w:ascii="仿宋" w:hAnsi="仿宋" w:eastAsia="仿宋" w:cs="华文仿宋"/>
          <w:highlight w:val="none"/>
        </w:rPr>
        <w:t>（项目编号：</w:t>
      </w:r>
      <w:r>
        <w:rPr>
          <w:rFonts w:hint="eastAsia" w:ascii="仿宋" w:hAnsi="仿宋" w:eastAsia="仿宋" w:cs="华文仿宋"/>
          <w:highlight w:val="none"/>
          <w:u w:val="single"/>
        </w:rPr>
        <w:t xml:space="preserve">      </w:t>
      </w:r>
      <w:r>
        <w:rPr>
          <w:rFonts w:hint="eastAsia" w:ascii="仿宋" w:hAnsi="仿宋" w:eastAsia="仿宋" w:cs="华文仿宋"/>
          <w:highlight w:val="none"/>
        </w:rPr>
        <w:t>）谈判文件，经详细研究，我方决定参加该项目采购活动。为此，我方郑重声明以下诸点，并负法律责任。</w:t>
      </w:r>
    </w:p>
    <w:p w14:paraId="2AA07A32">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ascii="仿宋" w:hAnsi="仿宋" w:eastAsia="仿宋"/>
          <w:highlight w:val="none"/>
        </w:rPr>
        <w:t>一、我方已详细阅读了</w:t>
      </w:r>
      <w:r>
        <w:rPr>
          <w:rFonts w:hint="eastAsia" w:ascii="仿宋" w:hAnsi="仿宋" w:eastAsia="仿宋"/>
          <w:highlight w:val="none"/>
        </w:rPr>
        <w:t>谈判文件</w:t>
      </w:r>
      <w:r>
        <w:rPr>
          <w:rFonts w:ascii="仿宋" w:hAnsi="仿宋" w:eastAsia="仿宋"/>
          <w:highlight w:val="none"/>
        </w:rPr>
        <w:t>，完全理解并同意</w:t>
      </w:r>
      <w:r>
        <w:rPr>
          <w:rFonts w:hint="eastAsia" w:ascii="仿宋" w:hAnsi="仿宋" w:eastAsia="仿宋"/>
          <w:highlight w:val="none"/>
        </w:rPr>
        <w:t>谈判文件</w:t>
      </w:r>
      <w:r>
        <w:rPr>
          <w:rFonts w:ascii="仿宋" w:hAnsi="仿宋" w:eastAsia="仿宋"/>
          <w:highlight w:val="none"/>
        </w:rPr>
        <w:t>的所有事项及内容。</w:t>
      </w:r>
    </w:p>
    <w:p w14:paraId="4A18A1D4">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cs="华文仿宋"/>
          <w:highlight w:val="none"/>
        </w:rPr>
      </w:pPr>
      <w:r>
        <w:rPr>
          <w:rFonts w:hint="eastAsia" w:ascii="仿宋" w:hAnsi="仿宋" w:eastAsia="仿宋" w:cs="华文仿宋"/>
          <w:highlight w:val="none"/>
        </w:rPr>
        <w:t>二、我方已悉知并关注了贵方在政府采购信息发布媒体（详见第二章第三条中的“谈判文件的修改、澄清”）上发布的关于本项目的有关变更公告（包括但不限于对谈判文件做出的修改或澄清、答疑纪要，以及项目暂停、重启、延期、终止等）。</w:t>
      </w:r>
    </w:p>
    <w:p w14:paraId="77153B39">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三</w:t>
      </w:r>
      <w:r>
        <w:rPr>
          <w:rFonts w:ascii="仿宋" w:hAnsi="仿宋" w:eastAsia="仿宋"/>
          <w:highlight w:val="none"/>
        </w:rPr>
        <w:t>、我方同意向</w:t>
      </w:r>
      <w:r>
        <w:rPr>
          <w:rFonts w:hint="eastAsia" w:ascii="仿宋" w:hAnsi="仿宋" w:eastAsia="仿宋"/>
          <w:highlight w:val="none"/>
        </w:rPr>
        <w:t>贵方</w:t>
      </w:r>
      <w:r>
        <w:rPr>
          <w:rFonts w:ascii="仿宋" w:hAnsi="仿宋" w:eastAsia="仿宋"/>
          <w:highlight w:val="none"/>
        </w:rPr>
        <w:t>提供与本次</w:t>
      </w:r>
      <w:r>
        <w:rPr>
          <w:rFonts w:hint="eastAsia" w:ascii="仿宋" w:hAnsi="仿宋" w:eastAsia="仿宋"/>
          <w:highlight w:val="none"/>
        </w:rPr>
        <w:t>谈判</w:t>
      </w:r>
      <w:r>
        <w:rPr>
          <w:rFonts w:ascii="仿宋" w:hAnsi="仿宋" w:eastAsia="仿宋"/>
          <w:highlight w:val="none"/>
        </w:rPr>
        <w:t>有关的任何</w:t>
      </w:r>
      <w:r>
        <w:rPr>
          <w:rFonts w:hint="eastAsia" w:ascii="仿宋" w:hAnsi="仿宋" w:eastAsia="仿宋"/>
          <w:highlight w:val="none"/>
        </w:rPr>
        <w:t>证明材料，并保证</w:t>
      </w:r>
      <w:r>
        <w:rPr>
          <w:rFonts w:ascii="仿宋" w:hAnsi="仿宋" w:eastAsia="仿宋"/>
          <w:highlight w:val="none"/>
        </w:rPr>
        <w:t>所</w:t>
      </w:r>
      <w:r>
        <w:rPr>
          <w:rFonts w:hint="eastAsia" w:ascii="仿宋" w:hAnsi="仿宋" w:eastAsia="仿宋"/>
          <w:highlight w:val="none"/>
        </w:rPr>
        <w:t>提交的证明</w:t>
      </w:r>
      <w:r>
        <w:rPr>
          <w:rFonts w:ascii="仿宋" w:hAnsi="仿宋" w:eastAsia="仿宋"/>
          <w:highlight w:val="none"/>
        </w:rPr>
        <w:t>材料</w:t>
      </w:r>
      <w:r>
        <w:rPr>
          <w:rFonts w:hint="eastAsia" w:ascii="仿宋" w:hAnsi="仿宋" w:eastAsia="仿宋"/>
          <w:highlight w:val="none"/>
        </w:rPr>
        <w:t>真实、合法、</w:t>
      </w:r>
      <w:r>
        <w:rPr>
          <w:rFonts w:ascii="仿宋" w:hAnsi="仿宋" w:eastAsia="仿宋"/>
          <w:highlight w:val="none"/>
        </w:rPr>
        <w:t>有效</w:t>
      </w:r>
      <w:r>
        <w:rPr>
          <w:rFonts w:hint="eastAsia" w:ascii="仿宋" w:hAnsi="仿宋" w:eastAsia="仿宋"/>
          <w:highlight w:val="none"/>
        </w:rPr>
        <w:t>，</w:t>
      </w:r>
      <w:r>
        <w:rPr>
          <w:rFonts w:hint="eastAsia" w:ascii="仿宋" w:hAnsi="仿宋" w:eastAsia="仿宋" w:cs="仿宋"/>
          <w:highlight w:val="none"/>
        </w:rPr>
        <w:t>我方理解</w:t>
      </w:r>
      <w:r>
        <w:rPr>
          <w:rFonts w:hint="eastAsia" w:ascii="仿宋" w:hAnsi="仿宋" w:eastAsia="仿宋" w:cs="仿宋"/>
          <w:b/>
          <w:bCs/>
          <w:highlight w:val="none"/>
        </w:rPr>
        <w:t>最低报价</w:t>
      </w:r>
      <w:r>
        <w:rPr>
          <w:rFonts w:hint="eastAsia" w:ascii="仿宋" w:hAnsi="仿宋" w:eastAsia="仿宋" w:cs="仿宋"/>
          <w:highlight w:val="none"/>
        </w:rPr>
        <w:t>不是成交的唯一条件，</w:t>
      </w:r>
      <w:r>
        <w:rPr>
          <w:rFonts w:ascii="仿宋" w:hAnsi="仿宋" w:eastAsia="仿宋"/>
          <w:highlight w:val="none"/>
        </w:rPr>
        <w:t>并尊重</w:t>
      </w:r>
      <w:r>
        <w:rPr>
          <w:rFonts w:hint="eastAsia" w:ascii="仿宋" w:hAnsi="仿宋" w:eastAsia="仿宋"/>
          <w:highlight w:val="none"/>
        </w:rPr>
        <w:t>谈判</w:t>
      </w:r>
      <w:r>
        <w:rPr>
          <w:rFonts w:ascii="仿宋" w:hAnsi="仿宋" w:eastAsia="仿宋"/>
          <w:highlight w:val="none"/>
        </w:rPr>
        <w:t>小组的评审结果。</w:t>
      </w:r>
    </w:p>
    <w:p w14:paraId="01491164">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四</w:t>
      </w:r>
      <w:r>
        <w:rPr>
          <w:rFonts w:ascii="仿宋" w:hAnsi="仿宋" w:eastAsia="仿宋"/>
          <w:highlight w:val="none"/>
        </w:rPr>
        <w:t>、我方愿意按照</w:t>
      </w:r>
      <w:r>
        <w:rPr>
          <w:rFonts w:hint="eastAsia" w:ascii="仿宋" w:hAnsi="仿宋" w:eastAsia="仿宋"/>
          <w:highlight w:val="none"/>
        </w:rPr>
        <w:t>谈判文件</w:t>
      </w:r>
      <w:r>
        <w:rPr>
          <w:rFonts w:ascii="仿宋" w:hAnsi="仿宋" w:eastAsia="仿宋"/>
          <w:highlight w:val="none"/>
        </w:rPr>
        <w:t>中的一切要求，完成本项目的合同责任和义务。</w:t>
      </w:r>
    </w:p>
    <w:p w14:paraId="32FB0B16">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、我方提交的响应文件正本</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壹</w:t>
      </w:r>
      <w:r>
        <w:rPr>
          <w:rFonts w:hint="eastAsia" w:ascii="仿宋" w:hAnsi="仿宋" w:eastAsia="仿宋"/>
          <w:highlight w:val="none"/>
          <w:u w:val="single"/>
        </w:rPr>
        <w:t xml:space="preserve"> </w:t>
      </w:r>
      <w:r>
        <w:rPr>
          <w:rFonts w:ascii="仿宋" w:hAnsi="仿宋" w:eastAsia="仿宋"/>
          <w:highlight w:val="none"/>
        </w:rPr>
        <w:t>套、</w:t>
      </w:r>
      <w:r>
        <w:rPr>
          <w:rFonts w:hint="eastAsia" w:ascii="仿宋" w:hAnsi="仿宋" w:eastAsia="仿宋"/>
          <w:highlight w:val="none"/>
        </w:rPr>
        <w:t>副本</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壹</w:t>
      </w:r>
      <w:r>
        <w:rPr>
          <w:rFonts w:hint="eastAsia" w:ascii="仿宋" w:hAnsi="仿宋" w:eastAsia="仿宋"/>
          <w:highlight w:val="none"/>
          <w:u w:val="single"/>
        </w:rPr>
        <w:t xml:space="preserve"> </w:t>
      </w:r>
      <w:r>
        <w:rPr>
          <w:rFonts w:hint="eastAsia" w:ascii="仿宋" w:hAnsi="仿宋" w:eastAsia="仿宋"/>
          <w:highlight w:val="none"/>
        </w:rPr>
        <w:t>套、电子件（U盘）</w:t>
      </w:r>
      <w:r>
        <w:rPr>
          <w:rFonts w:hint="eastAsia" w:ascii="仿宋" w:hAnsi="仿宋" w:eastAsia="仿宋"/>
          <w:highlight w:val="none"/>
          <w:u w:val="single"/>
          <w:lang w:val="en-US" w:eastAsia="zh-CN"/>
        </w:rPr>
        <w:t xml:space="preserve"> 壹</w:t>
      </w:r>
      <w:r>
        <w:rPr>
          <w:rFonts w:hint="eastAsia" w:ascii="仿宋" w:hAnsi="仿宋" w:eastAsia="仿宋"/>
          <w:highlight w:val="none"/>
        </w:rPr>
        <w:t>份。</w:t>
      </w:r>
    </w:p>
    <w:p w14:paraId="0E0848A2">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六</w:t>
      </w:r>
      <w:r>
        <w:rPr>
          <w:rFonts w:ascii="仿宋" w:hAnsi="仿宋" w:eastAsia="仿宋"/>
          <w:highlight w:val="none"/>
        </w:rPr>
        <w:t>、我方的响应文件在</w:t>
      </w:r>
      <w:r>
        <w:rPr>
          <w:rFonts w:hint="eastAsia" w:ascii="仿宋" w:hAnsi="仿宋" w:eastAsia="仿宋"/>
          <w:highlight w:val="none"/>
        </w:rPr>
        <w:t>开启之日起</w:t>
      </w:r>
      <w:r>
        <w:rPr>
          <w:rFonts w:hint="eastAsia" w:ascii="仿宋" w:hAnsi="仿宋" w:eastAsia="仿宋"/>
          <w:highlight w:val="none"/>
          <w:u w:val="single"/>
        </w:rPr>
        <w:t xml:space="preserve"> </w:t>
      </w:r>
      <w:r>
        <w:rPr>
          <w:rFonts w:hint="eastAsia" w:ascii="仿宋" w:hAnsi="仿宋" w:eastAsia="仿宋"/>
          <w:b/>
          <w:bCs/>
          <w:highlight w:val="none"/>
          <w:u w:val="single"/>
        </w:rPr>
        <w:t xml:space="preserve">90 </w:t>
      </w:r>
      <w:r>
        <w:rPr>
          <w:rFonts w:hint="eastAsia" w:ascii="仿宋" w:hAnsi="仿宋" w:eastAsia="仿宋"/>
          <w:highlight w:val="none"/>
        </w:rPr>
        <w:t>个日历日</w:t>
      </w:r>
      <w:r>
        <w:rPr>
          <w:rFonts w:ascii="仿宋" w:hAnsi="仿宋" w:eastAsia="仿宋"/>
          <w:highlight w:val="none"/>
        </w:rPr>
        <w:t>内有效，如成交，延长至合同执行完毕时止。</w:t>
      </w:r>
    </w:p>
    <w:p w14:paraId="18A87C6B">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ascii="仿宋" w:hAnsi="仿宋" w:eastAsia="仿宋"/>
          <w:highlight w:val="none"/>
        </w:rPr>
      </w:pPr>
      <w:r>
        <w:rPr>
          <w:rFonts w:hint="eastAsia" w:ascii="仿宋" w:hAnsi="仿宋" w:eastAsia="仿宋"/>
          <w:highlight w:val="none"/>
        </w:rPr>
        <w:t>七</w:t>
      </w:r>
      <w:r>
        <w:rPr>
          <w:rFonts w:ascii="仿宋" w:hAnsi="仿宋" w:eastAsia="仿宋"/>
          <w:highlight w:val="none"/>
        </w:rPr>
        <w:t>、所有关于此次</w:t>
      </w:r>
      <w:r>
        <w:rPr>
          <w:rFonts w:hint="eastAsia" w:ascii="仿宋" w:hAnsi="仿宋" w:eastAsia="仿宋"/>
          <w:highlight w:val="none"/>
        </w:rPr>
        <w:t>谈判</w:t>
      </w:r>
      <w:r>
        <w:rPr>
          <w:rFonts w:ascii="仿宋" w:hAnsi="仿宋" w:eastAsia="仿宋"/>
          <w:highlight w:val="none"/>
        </w:rPr>
        <w:t>活动的函电，请按下列地址联系：</w:t>
      </w:r>
    </w:p>
    <w:p w14:paraId="30DE9263">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供应商：（加盖公章）</w:t>
      </w:r>
    </w:p>
    <w:p w14:paraId="3C521AE5">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法定代表人或授权代表：（签字或盖章）</w:t>
      </w:r>
    </w:p>
    <w:p w14:paraId="7E9CEEC6">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地  址：</w:t>
      </w:r>
    </w:p>
    <w:p w14:paraId="264F0387">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开户银行：</w:t>
      </w:r>
    </w:p>
    <w:p w14:paraId="241D1004">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账  号：</w:t>
      </w:r>
    </w:p>
    <w:p w14:paraId="18BA2506">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电  话：</w:t>
      </w:r>
    </w:p>
    <w:p w14:paraId="7367F757">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传  真：</w:t>
      </w:r>
    </w:p>
    <w:p w14:paraId="14998905">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邮  编：</w:t>
      </w:r>
    </w:p>
    <w:p w14:paraId="2DB0621F">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电子邮箱：</w:t>
      </w:r>
    </w:p>
    <w:p w14:paraId="390EFBE4">
      <w:pPr>
        <w:pStyle w:val="46"/>
        <w:keepNext w:val="0"/>
        <w:keepLines w:val="0"/>
        <w:pageBreakBefore w:val="0"/>
        <w:widowControl/>
        <w:kinsoku/>
        <w:wordWrap/>
        <w:overflowPunct/>
        <w:topLinePunct w:val="0"/>
        <w:autoSpaceDE/>
        <w:autoSpaceDN/>
        <w:bidi w:val="0"/>
        <w:adjustRightInd/>
        <w:snapToGrid/>
        <w:spacing w:line="560" w:lineRule="exact"/>
        <w:ind w:firstLine="567"/>
        <w:textAlignment w:val="auto"/>
        <w:rPr>
          <w:rFonts w:ascii="仿宋" w:hAnsi="仿宋" w:eastAsia="仿宋" w:cs="华文仿宋"/>
          <w:highlight w:val="none"/>
        </w:rPr>
      </w:pPr>
      <w:r>
        <w:rPr>
          <w:rFonts w:hint="eastAsia" w:ascii="仿宋" w:hAnsi="仿宋" w:eastAsia="仿宋" w:cs="华文仿宋"/>
          <w:highlight w:val="none"/>
        </w:rPr>
        <w:t>日  期：  年  月  日</w:t>
      </w:r>
    </w:p>
    <w:p w14:paraId="1873D792">
      <w:pPr>
        <w:pStyle w:val="46"/>
        <w:ind w:firstLine="727"/>
        <w:rPr>
          <w:rFonts w:ascii="仿宋" w:hAnsi="仿宋" w:eastAsia="仿宋"/>
          <w:sz w:val="36"/>
          <w:highlight w:val="none"/>
        </w:rPr>
      </w:pPr>
    </w:p>
    <w:p w14:paraId="1B0C5BB9">
      <w:pPr>
        <w:pStyle w:val="46"/>
        <w:ind w:firstLine="727"/>
        <w:rPr>
          <w:rFonts w:ascii="仿宋" w:hAnsi="仿宋" w:eastAsia="仿宋"/>
          <w:sz w:val="36"/>
          <w:highlight w:val="none"/>
        </w:rPr>
      </w:pPr>
    </w:p>
    <w:p w14:paraId="03364734">
      <w:pPr>
        <w:ind w:firstLine="646" w:firstLineChars="200"/>
        <w:rPr>
          <w:rFonts w:ascii="仿宋" w:hAnsi="仿宋" w:eastAsia="仿宋" w:cs="华文仿宋"/>
          <w:b/>
          <w:bCs/>
          <w:sz w:val="32"/>
          <w:szCs w:val="32"/>
          <w:highlight w:val="none"/>
        </w:rPr>
      </w:pPr>
      <w:r>
        <w:rPr>
          <w:rFonts w:hint="eastAsia" w:ascii="仿宋" w:hAnsi="仿宋" w:eastAsia="仿宋" w:cs="华文仿宋"/>
          <w:b/>
          <w:bCs/>
          <w:sz w:val="32"/>
          <w:szCs w:val="32"/>
          <w:highlight w:val="none"/>
        </w:rPr>
        <w:br w:type="page"/>
      </w:r>
    </w:p>
    <w:p w14:paraId="7F17C383">
      <w:pPr>
        <w:pStyle w:val="50"/>
        <w:ind w:firstLine="646" w:firstLineChars="200"/>
        <w:jc w:val="both"/>
        <w:rPr>
          <w:sz w:val="32"/>
          <w:szCs w:val="32"/>
          <w:highlight w:val="none"/>
        </w:rPr>
      </w:pPr>
      <w:bookmarkStart w:id="494" w:name="_Toc9779"/>
      <w:bookmarkStart w:id="495" w:name="_Toc28681575"/>
      <w:bookmarkStart w:id="496" w:name="_Toc30242"/>
      <w:bookmarkStart w:id="497" w:name="_Toc16930"/>
      <w:bookmarkStart w:id="498" w:name="_Toc2710"/>
      <w:bookmarkStart w:id="499" w:name="_Toc27760"/>
      <w:bookmarkStart w:id="500" w:name="_Toc31459"/>
      <w:bookmarkStart w:id="501" w:name="_Toc6884"/>
      <w:bookmarkStart w:id="502" w:name="_Toc11781"/>
      <w:bookmarkStart w:id="503" w:name="_Toc2857"/>
      <w:r>
        <w:rPr>
          <w:rFonts w:hint="eastAsia"/>
          <w:sz w:val="32"/>
          <w:szCs w:val="32"/>
          <w:highlight w:val="none"/>
        </w:rPr>
        <w:t>二、第一次谈判报价表</w:t>
      </w:r>
      <w:bookmarkEnd w:id="494"/>
      <w:bookmarkEnd w:id="495"/>
      <w:bookmarkEnd w:id="496"/>
      <w:bookmarkEnd w:id="497"/>
      <w:bookmarkEnd w:id="498"/>
      <w:bookmarkEnd w:id="499"/>
      <w:bookmarkEnd w:id="500"/>
      <w:bookmarkEnd w:id="501"/>
      <w:bookmarkEnd w:id="502"/>
      <w:bookmarkEnd w:id="503"/>
    </w:p>
    <w:p w14:paraId="0B167CA5">
      <w:pPr>
        <w:ind w:firstLine="486" w:firstLineChars="200"/>
        <w:rPr>
          <w:rFonts w:ascii="仿宋" w:hAnsi="仿宋" w:eastAsia="仿宋"/>
          <w:sz w:val="24"/>
          <w:szCs w:val="24"/>
          <w:highlight w:val="none"/>
        </w:rPr>
      </w:pPr>
      <w:r>
        <w:rPr>
          <w:rFonts w:hint="eastAsia" w:ascii="仿宋" w:hAnsi="仿宋" w:eastAsia="仿宋"/>
          <w:sz w:val="24"/>
          <w:szCs w:val="24"/>
          <w:highlight w:val="none"/>
        </w:rPr>
        <w:t xml:space="preserve">                         </w:t>
      </w:r>
    </w:p>
    <w:p w14:paraId="4E59BDF6">
      <w:pPr>
        <w:spacing w:line="500" w:lineRule="exact"/>
        <w:ind w:firstLine="566" w:firstLineChars="20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项目名称：</w:t>
      </w:r>
    </w:p>
    <w:p w14:paraId="24FF279E">
      <w:pPr>
        <w:pStyle w:val="20"/>
        <w:wordWrap w:val="0"/>
        <w:spacing w:beforeAutospacing="0" w:afterAutospacing="0" w:line="500" w:lineRule="exact"/>
        <w:ind w:firstLine="566" w:firstLineChars="200"/>
        <w:rPr>
          <w:rFonts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项目编号：</w:t>
      </w:r>
    </w:p>
    <w:p w14:paraId="274F5C40">
      <w:pPr>
        <w:spacing w:line="440" w:lineRule="exact"/>
        <w:ind w:right="560" w:firstLine="566" w:firstLineChars="200"/>
        <w:rPr>
          <w:rFonts w:ascii="仿宋" w:hAnsi="仿宋" w:eastAsia="仿宋"/>
          <w:sz w:val="24"/>
          <w:szCs w:val="24"/>
          <w:highlight w:val="none"/>
        </w:rPr>
      </w:pPr>
      <w:r>
        <w:rPr>
          <w:rFonts w:hint="eastAsia" w:ascii="仿宋" w:hAnsi="仿宋" w:eastAsia="仿宋"/>
          <w:highlight w:val="none"/>
        </w:rPr>
        <w:t xml:space="preserve">  </w:t>
      </w:r>
    </w:p>
    <w:tbl>
      <w:tblPr>
        <w:tblStyle w:val="2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23"/>
        <w:gridCol w:w="7116"/>
      </w:tblGrid>
      <w:tr w14:paraId="4CC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3953063E">
            <w:pPr>
              <w:pStyle w:val="5"/>
              <w:spacing w:line="360" w:lineRule="auto"/>
              <w:ind w:firstLine="0"/>
              <w:jc w:val="center"/>
              <w:rPr>
                <w:rFonts w:ascii="仿宋" w:hAnsi="仿宋" w:eastAsia="仿宋" w:cs="宋体"/>
                <w:szCs w:val="24"/>
                <w:highlight w:val="none"/>
              </w:rPr>
            </w:pPr>
          </w:p>
        </w:tc>
        <w:tc>
          <w:tcPr>
            <w:tcW w:w="7116" w:type="dxa"/>
            <w:vAlign w:val="center"/>
          </w:tcPr>
          <w:p w14:paraId="49CED4FB">
            <w:pPr>
              <w:spacing w:line="440" w:lineRule="exact"/>
              <w:jc w:val="center"/>
              <w:rPr>
                <w:rFonts w:ascii="仿宋" w:hAnsi="仿宋" w:eastAsia="仿宋" w:cs="宋体"/>
                <w:szCs w:val="24"/>
                <w:highlight w:val="none"/>
              </w:rPr>
            </w:pPr>
            <w:r>
              <w:rPr>
                <w:rFonts w:hint="eastAsia" w:ascii="仿宋" w:hAnsi="仿宋" w:eastAsia="仿宋" w:cs="宋体"/>
                <w:szCs w:val="24"/>
                <w:highlight w:val="none"/>
              </w:rPr>
              <w:t>内容</w:t>
            </w:r>
          </w:p>
        </w:tc>
      </w:tr>
      <w:tr w14:paraId="6617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219C78C3">
            <w:pPr>
              <w:pStyle w:val="5"/>
              <w:spacing w:line="360" w:lineRule="auto"/>
              <w:ind w:firstLine="0"/>
              <w:jc w:val="center"/>
              <w:rPr>
                <w:rFonts w:ascii="仿宋" w:hAnsi="仿宋" w:eastAsia="仿宋" w:cs="宋体"/>
                <w:szCs w:val="24"/>
                <w:highlight w:val="none"/>
              </w:rPr>
            </w:pPr>
            <w:r>
              <w:rPr>
                <w:rFonts w:hint="eastAsia" w:ascii="仿宋" w:hAnsi="仿宋" w:eastAsia="仿宋" w:cs="宋体"/>
                <w:szCs w:val="24"/>
                <w:highlight w:val="none"/>
              </w:rPr>
              <w:t>谈判报价</w:t>
            </w:r>
          </w:p>
        </w:tc>
        <w:tc>
          <w:tcPr>
            <w:tcW w:w="7116" w:type="dxa"/>
            <w:vAlign w:val="center"/>
          </w:tcPr>
          <w:p w14:paraId="114256EE">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小写：</w:t>
            </w:r>
          </w:p>
          <w:p w14:paraId="73869A5B">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 xml:space="preserve">                </w:t>
            </w:r>
            <w:r>
              <w:rPr>
                <w:rFonts w:hint="eastAsia" w:ascii="仿宋" w:hAnsi="仿宋" w:eastAsia="仿宋" w:cs="宋体"/>
                <w:kern w:val="0"/>
                <w:szCs w:val="24"/>
                <w:highlight w:val="none"/>
              </w:rPr>
              <w:t xml:space="preserve">           </w:t>
            </w:r>
            <w:r>
              <w:rPr>
                <w:rFonts w:ascii="仿宋" w:hAnsi="仿宋" w:eastAsia="仿宋"/>
                <w:sz w:val="24"/>
                <w:szCs w:val="24"/>
                <w:highlight w:val="none"/>
              </w:rPr>
              <w:t>单位：元（</w:t>
            </w:r>
            <w:r>
              <w:rPr>
                <w:rFonts w:hint="eastAsia" w:ascii="仿宋" w:hAnsi="仿宋" w:eastAsia="仿宋"/>
                <w:sz w:val="24"/>
                <w:szCs w:val="24"/>
                <w:highlight w:val="none"/>
              </w:rPr>
              <w:t>保留到元</w:t>
            </w:r>
            <w:r>
              <w:rPr>
                <w:rFonts w:ascii="仿宋" w:hAnsi="仿宋" w:eastAsia="仿宋"/>
                <w:sz w:val="24"/>
                <w:szCs w:val="24"/>
                <w:highlight w:val="none"/>
              </w:rPr>
              <w:t>）</w:t>
            </w:r>
          </w:p>
          <w:p w14:paraId="3EE10D5D">
            <w:pPr>
              <w:autoSpaceDE w:val="0"/>
              <w:autoSpaceDN w:val="0"/>
              <w:spacing w:line="360" w:lineRule="auto"/>
              <w:ind w:firstLine="566" w:firstLineChars="200"/>
              <w:rPr>
                <w:rFonts w:ascii="仿宋" w:hAnsi="仿宋" w:eastAsia="仿宋" w:cs="宋体"/>
                <w:szCs w:val="24"/>
                <w:highlight w:val="none"/>
              </w:rPr>
            </w:pPr>
            <w:r>
              <w:rPr>
                <w:rFonts w:hint="eastAsia" w:ascii="仿宋" w:hAnsi="仿宋" w:eastAsia="仿宋" w:cs="宋体"/>
                <w:kern w:val="0"/>
                <w:highlight w:val="none"/>
                <w:lang w:val="zh-CN"/>
              </w:rPr>
              <w:t>大写：</w:t>
            </w:r>
          </w:p>
        </w:tc>
      </w:tr>
      <w:tr w14:paraId="73C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323" w:type="dxa"/>
            <w:vAlign w:val="center"/>
          </w:tcPr>
          <w:p w14:paraId="5E69F47C">
            <w:pPr>
              <w:pStyle w:val="5"/>
              <w:spacing w:line="360" w:lineRule="auto"/>
              <w:ind w:firstLine="0"/>
              <w:jc w:val="center"/>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服务期</w:t>
            </w:r>
          </w:p>
        </w:tc>
        <w:tc>
          <w:tcPr>
            <w:tcW w:w="7116" w:type="dxa"/>
            <w:vAlign w:val="center"/>
          </w:tcPr>
          <w:p w14:paraId="21EF2EDE">
            <w:pPr>
              <w:pStyle w:val="22"/>
              <w:spacing w:after="0" w:line="560" w:lineRule="exact"/>
              <w:ind w:firstLine="0" w:firstLineChars="0"/>
              <w:jc w:val="center"/>
              <w:rPr>
                <w:rFonts w:hint="default" w:ascii="仿宋" w:hAnsi="仿宋" w:eastAsia="仿宋" w:cs="宋体"/>
                <w:kern w:val="0"/>
                <w:highlight w:val="none"/>
                <w:lang w:val="en-US" w:eastAsia="zh-CN"/>
              </w:rPr>
            </w:pPr>
          </w:p>
        </w:tc>
      </w:tr>
    </w:tbl>
    <w:p w14:paraId="7E62968F">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 “谈判报价”为总价。谈判报价必须包括本项目所需全部费用。</w:t>
      </w:r>
    </w:p>
    <w:p w14:paraId="2A81466D">
      <w:pPr>
        <w:autoSpaceDE w:val="0"/>
        <w:autoSpaceDN w:val="0"/>
        <w:spacing w:line="240" w:lineRule="auto"/>
        <w:ind w:firstLine="426" w:firstLineChars="200"/>
        <w:rPr>
          <w:rFonts w:ascii="宋体" w:hAnsi="宋体" w:eastAsia="宋体" w:cs="宋体"/>
          <w:kern w:val="0"/>
          <w:sz w:val="21"/>
          <w:szCs w:val="21"/>
          <w:highlight w:val="none"/>
          <w:lang w:val="zh-CN"/>
        </w:rPr>
      </w:pPr>
    </w:p>
    <w:p w14:paraId="650904A3">
      <w:pPr>
        <w:autoSpaceDE w:val="0"/>
        <w:autoSpaceDN w:val="0"/>
        <w:spacing w:line="240" w:lineRule="auto"/>
        <w:ind w:firstLine="426" w:firstLineChars="200"/>
        <w:rPr>
          <w:rFonts w:ascii="宋体" w:hAnsi="宋体" w:eastAsia="宋体" w:cs="宋体"/>
          <w:sz w:val="21"/>
          <w:szCs w:val="21"/>
          <w:highlight w:val="none"/>
        </w:rPr>
      </w:pPr>
    </w:p>
    <w:p w14:paraId="34A37A11">
      <w:pPr>
        <w:spacing w:line="440" w:lineRule="exact"/>
        <w:ind w:right="560" w:firstLine="486" w:firstLineChars="200"/>
        <w:jc w:val="right"/>
        <w:rPr>
          <w:rFonts w:ascii="仿宋" w:hAnsi="仿宋" w:eastAsia="仿宋"/>
          <w:sz w:val="24"/>
          <w:szCs w:val="24"/>
          <w:highlight w:val="none"/>
        </w:rPr>
      </w:pPr>
    </w:p>
    <w:p w14:paraId="0823D686">
      <w:pPr>
        <w:adjustRightInd w:val="0"/>
        <w:snapToGrid w:val="0"/>
        <w:spacing w:line="500" w:lineRule="exact"/>
        <w:ind w:firstLine="566" w:firstLineChars="200"/>
        <w:rPr>
          <w:rFonts w:ascii="仿宋" w:hAnsi="仿宋" w:eastAsia="仿宋"/>
          <w:highlight w:val="none"/>
        </w:rPr>
      </w:pPr>
    </w:p>
    <w:p w14:paraId="1B8E108F">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0111A584">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47091F5">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2650A50D">
      <w:pPr>
        <w:adjustRightInd w:val="0"/>
        <w:snapToGrid w:val="0"/>
        <w:spacing w:line="500" w:lineRule="exact"/>
        <w:ind w:firstLine="566" w:firstLineChars="200"/>
        <w:rPr>
          <w:rFonts w:ascii="仿宋" w:hAnsi="仿宋" w:eastAsia="仿宋"/>
          <w:highlight w:val="none"/>
        </w:rPr>
      </w:pPr>
    </w:p>
    <w:p w14:paraId="34508D6E">
      <w:pPr>
        <w:adjustRightInd w:val="0"/>
        <w:snapToGrid w:val="0"/>
        <w:spacing w:line="500" w:lineRule="exact"/>
        <w:ind w:firstLine="566" w:firstLineChars="200"/>
        <w:rPr>
          <w:rFonts w:ascii="仿宋" w:hAnsi="仿宋" w:eastAsia="仿宋"/>
          <w:highlight w:val="none"/>
        </w:rPr>
      </w:pPr>
    </w:p>
    <w:p w14:paraId="3706B40A">
      <w:pPr>
        <w:rPr>
          <w:rFonts w:eastAsia="仿宋"/>
          <w:highlight w:val="none"/>
        </w:rPr>
      </w:pPr>
      <w:r>
        <w:rPr>
          <w:rFonts w:eastAsia="仿宋"/>
          <w:highlight w:val="none"/>
        </w:rPr>
        <w:br w:type="page"/>
      </w:r>
    </w:p>
    <w:p w14:paraId="7D7DD09F">
      <w:pPr>
        <w:rPr>
          <w:rFonts w:eastAsia="仿宋"/>
          <w:highlight w:val="none"/>
        </w:rPr>
      </w:pPr>
    </w:p>
    <w:p w14:paraId="0E632FC3">
      <w:pPr>
        <w:spacing w:line="240" w:lineRule="auto"/>
        <w:jc w:val="center"/>
        <w:rPr>
          <w:rFonts w:ascii="华文仿宋" w:hAnsi="华文仿宋" w:cs="华文仿宋"/>
          <w:b/>
          <w:highlight w:val="none"/>
        </w:rPr>
      </w:pPr>
      <w:r>
        <w:rPr>
          <w:rFonts w:hint="eastAsia" w:ascii="宋体" w:hAnsi="宋体" w:eastAsia="仿宋"/>
          <w:b/>
          <w:bCs/>
          <w:sz w:val="32"/>
          <w:szCs w:val="32"/>
          <w:highlight w:val="none"/>
        </w:rPr>
        <w:t>分项报价表（样表）</w:t>
      </w:r>
    </w:p>
    <w:tbl>
      <w:tblPr>
        <w:tblStyle w:val="23"/>
        <w:tblW w:w="9347" w:type="dxa"/>
        <w:jc w:val="center"/>
        <w:tblLayout w:type="fixed"/>
        <w:tblCellMar>
          <w:top w:w="0" w:type="dxa"/>
          <w:left w:w="0" w:type="dxa"/>
          <w:bottom w:w="0" w:type="dxa"/>
          <w:right w:w="0" w:type="dxa"/>
        </w:tblCellMar>
      </w:tblPr>
      <w:tblGrid>
        <w:gridCol w:w="754"/>
        <w:gridCol w:w="1515"/>
        <w:gridCol w:w="2721"/>
        <w:gridCol w:w="995"/>
        <w:gridCol w:w="1230"/>
        <w:gridCol w:w="1139"/>
        <w:gridCol w:w="993"/>
      </w:tblGrid>
      <w:tr w14:paraId="6E91C602">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226EEE7B">
            <w:pPr>
              <w:pStyle w:val="11"/>
              <w:ind w:firstLine="0" w:firstLineChars="0"/>
              <w:jc w:val="center"/>
              <w:rPr>
                <w:rFonts w:ascii="宋体" w:hAnsi="宋体" w:eastAsia="宋体" w:cs="宋体"/>
                <w:b/>
                <w:sz w:val="24"/>
                <w:szCs w:val="24"/>
                <w:highlight w:val="none"/>
              </w:rPr>
            </w:pPr>
            <w:bookmarkStart w:id="504" w:name="_Toc26257"/>
            <w:bookmarkStart w:id="505" w:name="_Toc18433"/>
            <w:bookmarkStart w:id="506" w:name="_Toc1934"/>
            <w:bookmarkStart w:id="507" w:name="_Toc28408"/>
            <w:bookmarkStart w:id="508" w:name="_Toc11855"/>
            <w:bookmarkStart w:id="509" w:name="_Toc22090"/>
            <w:bookmarkStart w:id="510" w:name="_Toc32361"/>
            <w:bookmarkStart w:id="511" w:name="_Toc16723"/>
            <w:r>
              <w:rPr>
                <w:rFonts w:hint="eastAsia" w:ascii="宋体" w:hAnsi="宋体" w:eastAsia="宋体" w:cs="宋体"/>
                <w:b/>
                <w:sz w:val="24"/>
                <w:szCs w:val="24"/>
                <w:highlight w:val="none"/>
              </w:rPr>
              <w:t>序号</w:t>
            </w:r>
          </w:p>
        </w:tc>
        <w:tc>
          <w:tcPr>
            <w:tcW w:w="1515"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459D929F">
            <w:pPr>
              <w:pStyle w:val="11"/>
              <w:ind w:firstLine="0" w:firstLineChars="0"/>
              <w:jc w:val="center"/>
              <w:rPr>
                <w:rFonts w:hint="default"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服务项目</w:t>
            </w:r>
          </w:p>
        </w:tc>
        <w:tc>
          <w:tcPr>
            <w:tcW w:w="2721"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2A9D3B01">
            <w:pPr>
              <w:pStyle w:val="11"/>
              <w:ind w:firstLine="0" w:firstLineChars="0"/>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服务内容</w:t>
            </w:r>
          </w:p>
        </w:tc>
        <w:tc>
          <w:tcPr>
            <w:tcW w:w="995"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7C8FA86E">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单价</w:t>
            </w:r>
          </w:p>
        </w:tc>
        <w:tc>
          <w:tcPr>
            <w:tcW w:w="1230"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567CB173">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1139"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17FCF217">
            <w:pPr>
              <w:pStyle w:val="11"/>
              <w:ind w:firstLine="0" w:firstLineChar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总价</w:t>
            </w:r>
          </w:p>
        </w:tc>
        <w:tc>
          <w:tcPr>
            <w:tcW w:w="993" w:type="dxa"/>
            <w:tcBorders>
              <w:top w:val="single" w:color="auto" w:sz="4" w:space="0"/>
              <w:left w:val="nil"/>
              <w:bottom w:val="single" w:color="auto" w:sz="4" w:space="0"/>
              <w:right w:val="single" w:color="auto" w:sz="4" w:space="0"/>
            </w:tcBorders>
            <w:shd w:val="clear" w:color="auto" w:fill="D8D8D8" w:themeFill="background1" w:themeFillShade="D9"/>
            <w:tcMar>
              <w:top w:w="20" w:type="dxa"/>
              <w:left w:w="20" w:type="dxa"/>
              <w:bottom w:w="0" w:type="dxa"/>
              <w:right w:w="20" w:type="dxa"/>
            </w:tcMar>
            <w:vAlign w:val="center"/>
          </w:tcPr>
          <w:p w14:paraId="5CEDF7F2">
            <w:pPr>
              <w:pStyle w:val="11"/>
              <w:ind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3D27DFD2">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A99E76B">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5943DBE">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BEE5875">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8621DD3">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4BA7E60">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F876940">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7E5B0C6">
            <w:pPr>
              <w:spacing w:line="440" w:lineRule="exact"/>
              <w:jc w:val="center"/>
              <w:rPr>
                <w:rFonts w:ascii="宋体" w:hAnsi="宋体" w:eastAsia="宋体" w:cs="宋体"/>
                <w:b/>
                <w:bCs/>
                <w:sz w:val="24"/>
                <w:szCs w:val="24"/>
                <w:highlight w:val="none"/>
              </w:rPr>
            </w:pPr>
          </w:p>
        </w:tc>
      </w:tr>
      <w:tr w14:paraId="6553F986">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08AE12">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3A65D72">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9A05316">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CE12075">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D3DCEF5">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F37A042">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53FB459">
            <w:pPr>
              <w:spacing w:line="440" w:lineRule="exact"/>
              <w:jc w:val="center"/>
              <w:rPr>
                <w:rFonts w:ascii="宋体" w:hAnsi="宋体" w:eastAsia="宋体" w:cs="宋体"/>
                <w:b/>
                <w:bCs/>
                <w:sz w:val="24"/>
                <w:szCs w:val="24"/>
                <w:highlight w:val="none"/>
              </w:rPr>
            </w:pPr>
          </w:p>
        </w:tc>
      </w:tr>
      <w:tr w14:paraId="3F3792BD">
        <w:tblPrEx>
          <w:tblCellMar>
            <w:top w:w="0" w:type="dxa"/>
            <w:left w:w="0" w:type="dxa"/>
            <w:bottom w:w="0" w:type="dxa"/>
            <w:right w:w="0" w:type="dxa"/>
          </w:tblCellMar>
        </w:tblPrEx>
        <w:trPr>
          <w:trHeight w:val="567"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4D7CF02">
            <w:pPr>
              <w:spacing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w:t>
            </w:r>
          </w:p>
        </w:tc>
        <w:tc>
          <w:tcPr>
            <w:tcW w:w="15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5A422AD">
            <w:pPr>
              <w:spacing w:line="440" w:lineRule="exact"/>
              <w:jc w:val="center"/>
              <w:rPr>
                <w:rFonts w:ascii="宋体" w:hAnsi="宋体" w:eastAsia="宋体" w:cs="宋体"/>
                <w:b/>
                <w:bCs/>
                <w:sz w:val="24"/>
                <w:szCs w:val="24"/>
                <w:highlight w:val="none"/>
              </w:rPr>
            </w:pPr>
          </w:p>
        </w:tc>
        <w:tc>
          <w:tcPr>
            <w:tcW w:w="27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6C49DC">
            <w:pPr>
              <w:spacing w:line="440" w:lineRule="exact"/>
              <w:jc w:val="center"/>
              <w:rPr>
                <w:rFonts w:ascii="宋体" w:hAnsi="宋体" w:eastAsia="宋体" w:cs="宋体"/>
                <w:b/>
                <w:bCs/>
                <w:sz w:val="24"/>
                <w:szCs w:val="24"/>
                <w:highlight w:val="none"/>
              </w:rPr>
            </w:pPr>
          </w:p>
        </w:tc>
        <w:tc>
          <w:tcPr>
            <w:tcW w:w="9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9EB9A9A">
            <w:pPr>
              <w:spacing w:line="440" w:lineRule="exact"/>
              <w:jc w:val="center"/>
              <w:rPr>
                <w:rFonts w:ascii="宋体" w:hAnsi="宋体" w:eastAsia="宋体" w:cs="宋体"/>
                <w:b/>
                <w:bCs/>
                <w:sz w:val="24"/>
                <w:szCs w:val="24"/>
                <w:highlight w:val="none"/>
              </w:rPr>
            </w:pPr>
          </w:p>
        </w:tc>
        <w:tc>
          <w:tcPr>
            <w:tcW w:w="123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6E77294">
            <w:pPr>
              <w:spacing w:line="440" w:lineRule="exact"/>
              <w:jc w:val="center"/>
              <w:rPr>
                <w:rFonts w:ascii="宋体" w:hAnsi="宋体" w:eastAsia="宋体" w:cs="宋体"/>
                <w:b/>
                <w:bCs/>
                <w:sz w:val="24"/>
                <w:szCs w:val="24"/>
                <w:highlight w:val="none"/>
              </w:rPr>
            </w:pPr>
          </w:p>
        </w:tc>
        <w:tc>
          <w:tcPr>
            <w:tcW w:w="113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6EE8B2B">
            <w:pPr>
              <w:spacing w:line="440" w:lineRule="exact"/>
              <w:jc w:val="center"/>
              <w:rPr>
                <w:rFonts w:ascii="宋体" w:hAnsi="宋体" w:eastAsia="宋体" w:cs="宋体"/>
                <w:b/>
                <w:bCs/>
                <w:sz w:val="24"/>
                <w:szCs w:val="24"/>
                <w:highlight w:val="none"/>
              </w:rPr>
            </w:pPr>
          </w:p>
        </w:tc>
        <w:tc>
          <w:tcPr>
            <w:tcW w:w="99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C3CAAD6">
            <w:pPr>
              <w:spacing w:line="440" w:lineRule="exact"/>
              <w:jc w:val="center"/>
              <w:rPr>
                <w:rFonts w:ascii="宋体" w:hAnsi="宋体" w:eastAsia="宋体" w:cs="宋体"/>
                <w:b/>
                <w:bCs/>
                <w:sz w:val="24"/>
                <w:szCs w:val="24"/>
                <w:highlight w:val="none"/>
              </w:rPr>
            </w:pPr>
          </w:p>
        </w:tc>
      </w:tr>
      <w:tr w14:paraId="6C8129FE">
        <w:tblPrEx>
          <w:tblCellMar>
            <w:top w:w="0" w:type="dxa"/>
            <w:left w:w="0" w:type="dxa"/>
            <w:bottom w:w="0" w:type="dxa"/>
            <w:right w:w="0" w:type="dxa"/>
          </w:tblCellMar>
        </w:tblPrEx>
        <w:trPr>
          <w:trHeight w:val="944" w:hRule="atLeast"/>
          <w:jc w:val="center"/>
        </w:trPr>
        <w:tc>
          <w:tcPr>
            <w:tcW w:w="75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B6D969F">
            <w:pPr>
              <w:autoSpaceDE w:val="0"/>
              <w:autoSpaceDN w:val="0"/>
              <w:spacing w:line="240" w:lineRule="auto"/>
              <w:jc w:val="center"/>
              <w:rPr>
                <w:rFonts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en-US" w:eastAsia="zh-CN"/>
              </w:rPr>
              <w:t>谈判</w:t>
            </w:r>
            <w:r>
              <w:rPr>
                <w:rFonts w:hint="eastAsia" w:ascii="宋体" w:hAnsi="宋体" w:eastAsia="宋体" w:cs="宋体"/>
                <w:b/>
                <w:kern w:val="0"/>
                <w:sz w:val="24"/>
                <w:szCs w:val="24"/>
                <w:highlight w:val="none"/>
                <w:lang w:val="zh-CN"/>
              </w:rPr>
              <w:t>报价</w:t>
            </w:r>
          </w:p>
        </w:tc>
        <w:tc>
          <w:tcPr>
            <w:tcW w:w="8593"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E31DE9E">
            <w:pPr>
              <w:autoSpaceDE w:val="0"/>
              <w:autoSpaceDN w:val="0"/>
              <w:spacing w:line="240" w:lineRule="auto"/>
              <w:ind w:firstLine="486" w:firstLineChars="200"/>
              <w:jc w:val="left"/>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小写：</w:t>
            </w:r>
          </w:p>
          <w:p w14:paraId="04ADF1A9">
            <w:pPr>
              <w:autoSpaceDE w:val="0"/>
              <w:autoSpaceDN w:val="0"/>
              <w:spacing w:line="240" w:lineRule="auto"/>
              <w:ind w:firstLine="486" w:firstLineChars="200"/>
              <w:jc w:val="left"/>
              <w:rPr>
                <w:rFonts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大写：</w:t>
            </w:r>
            <w:r>
              <w:rPr>
                <w:rFonts w:hint="eastAsia" w:ascii="宋体" w:hAnsi="宋体" w:eastAsia="宋体" w:cs="宋体"/>
                <w:sz w:val="24"/>
                <w:szCs w:val="24"/>
                <w:highlight w:val="none"/>
              </w:rPr>
              <w:t xml:space="preserve">  </w:t>
            </w:r>
          </w:p>
        </w:tc>
      </w:tr>
      <w:bookmarkEnd w:id="504"/>
      <w:bookmarkEnd w:id="505"/>
      <w:bookmarkEnd w:id="506"/>
      <w:bookmarkEnd w:id="507"/>
      <w:bookmarkEnd w:id="508"/>
      <w:bookmarkEnd w:id="509"/>
      <w:bookmarkEnd w:id="510"/>
      <w:bookmarkEnd w:id="511"/>
    </w:tbl>
    <w:p w14:paraId="79EC47F1">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本表应对第三章采购内容</w:t>
      </w:r>
      <w:r>
        <w:rPr>
          <w:rFonts w:hint="eastAsia" w:ascii="宋体" w:hAnsi="宋体" w:eastAsia="宋体" w:cs="宋体"/>
          <w:sz w:val="21"/>
          <w:szCs w:val="21"/>
          <w:highlight w:val="none"/>
          <w:lang w:val="en-US" w:eastAsia="zh-CN"/>
        </w:rPr>
        <w:t>及采购要求</w:t>
      </w:r>
      <w:r>
        <w:rPr>
          <w:rFonts w:hint="eastAsia" w:ascii="宋体" w:hAnsi="宋体" w:eastAsia="宋体" w:cs="宋体"/>
          <w:sz w:val="21"/>
          <w:szCs w:val="21"/>
          <w:highlight w:val="none"/>
          <w:lang w:val="zh-CN"/>
        </w:rPr>
        <w:t>中的</w:t>
      </w:r>
      <w:r>
        <w:rPr>
          <w:rFonts w:hint="eastAsia" w:ascii="宋体" w:hAnsi="宋体" w:eastAsia="宋体" w:cs="宋体"/>
          <w:sz w:val="21"/>
          <w:szCs w:val="21"/>
          <w:highlight w:val="none"/>
          <w:lang w:val="en-US" w:eastAsia="zh-CN"/>
        </w:rPr>
        <w:t>建设需求</w:t>
      </w:r>
      <w:r>
        <w:rPr>
          <w:rFonts w:hint="eastAsia" w:ascii="宋体" w:hAnsi="宋体" w:eastAsia="宋体" w:cs="宋体"/>
          <w:sz w:val="21"/>
          <w:szCs w:val="21"/>
          <w:highlight w:val="none"/>
          <w:lang w:val="zh-CN"/>
        </w:rPr>
        <w:t>填写</w:t>
      </w:r>
      <w:r>
        <w:rPr>
          <w:rFonts w:hint="eastAsia" w:ascii="宋体" w:hAnsi="宋体" w:eastAsia="宋体" w:cs="宋体"/>
          <w:sz w:val="21"/>
          <w:szCs w:val="21"/>
          <w:highlight w:val="none"/>
        </w:rPr>
        <w:t>；</w:t>
      </w:r>
    </w:p>
    <w:p w14:paraId="5126120D">
      <w:pPr>
        <w:tabs>
          <w:tab w:val="right" w:pos="9072"/>
        </w:tabs>
        <w:ind w:firstLine="1132" w:firstLineChars="400"/>
        <w:rPr>
          <w:rFonts w:ascii="仿宋" w:hAnsi="仿宋" w:eastAsia="仿宋"/>
          <w:b/>
          <w:highlight w:val="none"/>
        </w:rPr>
      </w:pPr>
    </w:p>
    <w:p w14:paraId="7638BF74">
      <w:pPr>
        <w:tabs>
          <w:tab w:val="right" w:pos="9070"/>
        </w:tabs>
        <w:spacing w:line="500" w:lineRule="exact"/>
        <w:rPr>
          <w:rFonts w:ascii="仿宋" w:hAnsi="仿宋" w:eastAsia="仿宋" w:cs="华文仿宋"/>
          <w:sz w:val="21"/>
          <w:szCs w:val="21"/>
          <w:highlight w:val="none"/>
        </w:rPr>
      </w:pPr>
    </w:p>
    <w:p w14:paraId="5D45E8E9">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2B652A69">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597E28CD">
      <w:pPr>
        <w:spacing w:line="500" w:lineRule="exact"/>
        <w:ind w:firstLine="4250" w:firstLineChars="1502"/>
        <w:rPr>
          <w:rFonts w:hint="eastAsia"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3F25A8DF">
      <w:pPr>
        <w:rPr>
          <w:rFonts w:hint="eastAsia" w:eastAsia="仿宋"/>
          <w:highlight w:val="none"/>
        </w:rPr>
      </w:pPr>
      <w:r>
        <w:rPr>
          <w:rFonts w:hint="eastAsia" w:eastAsia="仿宋"/>
          <w:highlight w:val="none"/>
        </w:rPr>
        <w:br w:type="page"/>
      </w:r>
    </w:p>
    <w:p w14:paraId="3AC93BE4">
      <w:pPr>
        <w:pStyle w:val="50"/>
        <w:ind w:firstLine="646" w:firstLineChars="200"/>
        <w:jc w:val="center"/>
        <w:rPr>
          <w:sz w:val="32"/>
          <w:szCs w:val="32"/>
          <w:highlight w:val="none"/>
        </w:rPr>
      </w:pPr>
      <w:r>
        <w:rPr>
          <w:rFonts w:hint="eastAsia"/>
          <w:sz w:val="32"/>
          <w:szCs w:val="32"/>
          <w:highlight w:val="none"/>
          <w:lang w:val="en-US" w:eastAsia="zh-CN"/>
        </w:rPr>
        <w:t>最终</w:t>
      </w:r>
      <w:r>
        <w:rPr>
          <w:rFonts w:hint="eastAsia"/>
          <w:sz w:val="32"/>
          <w:szCs w:val="32"/>
          <w:highlight w:val="none"/>
        </w:rPr>
        <w:t>谈判报价表</w:t>
      </w:r>
    </w:p>
    <w:p w14:paraId="66FF21EA">
      <w:pPr>
        <w:ind w:firstLine="486" w:firstLineChars="200"/>
        <w:rPr>
          <w:rFonts w:ascii="仿宋" w:hAnsi="仿宋" w:eastAsia="仿宋"/>
          <w:sz w:val="24"/>
          <w:szCs w:val="24"/>
          <w:highlight w:val="none"/>
        </w:rPr>
      </w:pPr>
      <w:r>
        <w:rPr>
          <w:rFonts w:hint="eastAsia" w:ascii="仿宋" w:hAnsi="仿宋" w:eastAsia="仿宋"/>
          <w:sz w:val="24"/>
          <w:szCs w:val="24"/>
          <w:highlight w:val="none"/>
        </w:rPr>
        <w:t xml:space="preserve">                         </w:t>
      </w:r>
    </w:p>
    <w:p w14:paraId="39F8AF79">
      <w:pPr>
        <w:spacing w:line="500" w:lineRule="exact"/>
        <w:ind w:firstLine="566" w:firstLineChars="20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项目名称：</w:t>
      </w:r>
    </w:p>
    <w:p w14:paraId="43003858">
      <w:pPr>
        <w:pStyle w:val="20"/>
        <w:wordWrap w:val="0"/>
        <w:spacing w:beforeAutospacing="0" w:afterAutospacing="0" w:line="500" w:lineRule="exact"/>
        <w:ind w:firstLine="566" w:firstLineChars="200"/>
        <w:rPr>
          <w:rFonts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项目编号：</w:t>
      </w:r>
    </w:p>
    <w:p w14:paraId="4D20EA9A">
      <w:pPr>
        <w:spacing w:line="440" w:lineRule="exact"/>
        <w:ind w:right="560" w:firstLine="566" w:firstLineChars="200"/>
        <w:rPr>
          <w:rFonts w:ascii="仿宋" w:hAnsi="仿宋" w:eastAsia="仿宋"/>
          <w:sz w:val="24"/>
          <w:szCs w:val="24"/>
          <w:highlight w:val="none"/>
        </w:rPr>
      </w:pPr>
      <w:r>
        <w:rPr>
          <w:rFonts w:hint="eastAsia" w:ascii="仿宋" w:hAnsi="仿宋" w:eastAsia="仿宋"/>
          <w:highlight w:val="none"/>
        </w:rPr>
        <w:t xml:space="preserve">  </w:t>
      </w:r>
    </w:p>
    <w:tbl>
      <w:tblPr>
        <w:tblStyle w:val="2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23"/>
        <w:gridCol w:w="7116"/>
      </w:tblGrid>
      <w:tr w14:paraId="001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5F91B51C">
            <w:pPr>
              <w:pStyle w:val="5"/>
              <w:spacing w:line="360" w:lineRule="auto"/>
              <w:ind w:firstLine="0"/>
              <w:jc w:val="center"/>
              <w:rPr>
                <w:rFonts w:ascii="仿宋" w:hAnsi="仿宋" w:eastAsia="仿宋" w:cs="宋体"/>
                <w:szCs w:val="24"/>
                <w:highlight w:val="none"/>
              </w:rPr>
            </w:pPr>
          </w:p>
        </w:tc>
        <w:tc>
          <w:tcPr>
            <w:tcW w:w="7116" w:type="dxa"/>
            <w:vAlign w:val="center"/>
          </w:tcPr>
          <w:p w14:paraId="528A8827">
            <w:pPr>
              <w:spacing w:line="440" w:lineRule="exact"/>
              <w:jc w:val="center"/>
              <w:rPr>
                <w:rFonts w:ascii="仿宋" w:hAnsi="仿宋" w:eastAsia="仿宋" w:cs="宋体"/>
                <w:szCs w:val="24"/>
                <w:highlight w:val="none"/>
              </w:rPr>
            </w:pPr>
            <w:r>
              <w:rPr>
                <w:rFonts w:hint="eastAsia" w:ascii="仿宋" w:hAnsi="仿宋" w:eastAsia="仿宋" w:cs="宋体"/>
                <w:szCs w:val="24"/>
                <w:highlight w:val="none"/>
              </w:rPr>
              <w:t>内容</w:t>
            </w:r>
          </w:p>
        </w:tc>
      </w:tr>
      <w:tr w14:paraId="6C3A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323" w:type="dxa"/>
            <w:vAlign w:val="center"/>
          </w:tcPr>
          <w:p w14:paraId="57F48899">
            <w:pPr>
              <w:pStyle w:val="5"/>
              <w:spacing w:line="360" w:lineRule="auto"/>
              <w:ind w:firstLine="0"/>
              <w:jc w:val="center"/>
              <w:rPr>
                <w:rFonts w:ascii="仿宋" w:hAnsi="仿宋" w:eastAsia="仿宋" w:cs="宋体"/>
                <w:szCs w:val="24"/>
                <w:highlight w:val="none"/>
              </w:rPr>
            </w:pPr>
            <w:r>
              <w:rPr>
                <w:rFonts w:hint="eastAsia" w:ascii="仿宋" w:hAnsi="仿宋" w:eastAsia="仿宋" w:cs="宋体"/>
                <w:szCs w:val="24"/>
                <w:highlight w:val="none"/>
                <w:lang w:val="en-US" w:eastAsia="zh-CN"/>
              </w:rPr>
              <w:t>最终</w:t>
            </w:r>
            <w:r>
              <w:rPr>
                <w:rFonts w:hint="eastAsia" w:ascii="仿宋" w:hAnsi="仿宋" w:eastAsia="仿宋" w:cs="宋体"/>
                <w:szCs w:val="24"/>
                <w:highlight w:val="none"/>
              </w:rPr>
              <w:t>谈判报价</w:t>
            </w:r>
          </w:p>
        </w:tc>
        <w:tc>
          <w:tcPr>
            <w:tcW w:w="7116" w:type="dxa"/>
            <w:vAlign w:val="center"/>
          </w:tcPr>
          <w:p w14:paraId="17A4B9F2">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小写：</w:t>
            </w:r>
          </w:p>
          <w:p w14:paraId="6BC54F93">
            <w:pPr>
              <w:autoSpaceDE w:val="0"/>
              <w:autoSpaceDN w:val="0"/>
              <w:spacing w:line="360" w:lineRule="auto"/>
              <w:ind w:firstLine="566" w:firstLineChars="200"/>
              <w:rPr>
                <w:rFonts w:ascii="仿宋" w:hAnsi="仿宋" w:eastAsia="仿宋" w:cs="宋体"/>
                <w:kern w:val="0"/>
                <w:szCs w:val="24"/>
                <w:highlight w:val="none"/>
                <w:lang w:val="zh-CN"/>
              </w:rPr>
            </w:pPr>
            <w:r>
              <w:rPr>
                <w:rFonts w:hint="eastAsia" w:ascii="仿宋" w:hAnsi="仿宋" w:eastAsia="仿宋" w:cs="宋体"/>
                <w:kern w:val="0"/>
                <w:szCs w:val="24"/>
                <w:highlight w:val="none"/>
                <w:lang w:val="zh-CN"/>
              </w:rPr>
              <w:t xml:space="preserve">                </w:t>
            </w:r>
            <w:r>
              <w:rPr>
                <w:rFonts w:hint="eastAsia" w:ascii="仿宋" w:hAnsi="仿宋" w:eastAsia="仿宋" w:cs="宋体"/>
                <w:kern w:val="0"/>
                <w:szCs w:val="24"/>
                <w:highlight w:val="none"/>
              </w:rPr>
              <w:t xml:space="preserve">           </w:t>
            </w:r>
            <w:r>
              <w:rPr>
                <w:rFonts w:ascii="仿宋" w:hAnsi="仿宋" w:eastAsia="仿宋"/>
                <w:sz w:val="24"/>
                <w:szCs w:val="24"/>
                <w:highlight w:val="none"/>
              </w:rPr>
              <w:t>单位：元（</w:t>
            </w:r>
            <w:r>
              <w:rPr>
                <w:rFonts w:hint="eastAsia" w:ascii="仿宋" w:hAnsi="仿宋" w:eastAsia="仿宋"/>
                <w:sz w:val="24"/>
                <w:szCs w:val="24"/>
                <w:highlight w:val="none"/>
              </w:rPr>
              <w:t>保留到元</w:t>
            </w:r>
            <w:r>
              <w:rPr>
                <w:rFonts w:ascii="仿宋" w:hAnsi="仿宋" w:eastAsia="仿宋"/>
                <w:sz w:val="24"/>
                <w:szCs w:val="24"/>
                <w:highlight w:val="none"/>
              </w:rPr>
              <w:t>）</w:t>
            </w:r>
          </w:p>
          <w:p w14:paraId="193CB807">
            <w:pPr>
              <w:autoSpaceDE w:val="0"/>
              <w:autoSpaceDN w:val="0"/>
              <w:spacing w:line="360" w:lineRule="auto"/>
              <w:ind w:firstLine="566" w:firstLineChars="200"/>
              <w:rPr>
                <w:rFonts w:ascii="仿宋" w:hAnsi="仿宋" w:eastAsia="仿宋" w:cs="宋体"/>
                <w:szCs w:val="24"/>
                <w:highlight w:val="none"/>
              </w:rPr>
            </w:pPr>
            <w:r>
              <w:rPr>
                <w:rFonts w:hint="eastAsia" w:ascii="仿宋" w:hAnsi="仿宋" w:eastAsia="仿宋" w:cs="宋体"/>
                <w:kern w:val="0"/>
                <w:highlight w:val="none"/>
                <w:lang w:val="zh-CN"/>
              </w:rPr>
              <w:t>大写：</w:t>
            </w:r>
          </w:p>
        </w:tc>
      </w:tr>
      <w:tr w14:paraId="619D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323" w:type="dxa"/>
            <w:vAlign w:val="center"/>
          </w:tcPr>
          <w:p w14:paraId="154A645D">
            <w:pPr>
              <w:pStyle w:val="5"/>
              <w:spacing w:line="360" w:lineRule="auto"/>
              <w:ind w:firstLine="0"/>
              <w:jc w:val="center"/>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服务期</w:t>
            </w:r>
          </w:p>
        </w:tc>
        <w:tc>
          <w:tcPr>
            <w:tcW w:w="7116" w:type="dxa"/>
            <w:vAlign w:val="center"/>
          </w:tcPr>
          <w:p w14:paraId="50AAB7EC">
            <w:pPr>
              <w:pStyle w:val="22"/>
              <w:spacing w:after="0" w:line="560" w:lineRule="exact"/>
              <w:ind w:firstLine="0" w:firstLineChars="0"/>
              <w:jc w:val="center"/>
              <w:rPr>
                <w:rFonts w:hint="default" w:ascii="仿宋" w:hAnsi="仿宋" w:eastAsia="仿宋" w:cs="宋体"/>
                <w:kern w:val="0"/>
                <w:highlight w:val="none"/>
                <w:lang w:val="en-US" w:eastAsia="zh-CN"/>
              </w:rPr>
            </w:pPr>
          </w:p>
        </w:tc>
      </w:tr>
    </w:tbl>
    <w:p w14:paraId="490D1CF0">
      <w:pPr>
        <w:tabs>
          <w:tab w:val="left" w:pos="5670"/>
        </w:tabs>
        <w:spacing w:beforeAutospacing="0" w:afterAutospacing="0" w:line="560" w:lineRule="exact"/>
        <w:ind w:firstLine="426"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zh-CN"/>
        </w:rPr>
        <w:t xml:space="preserve">： </w:t>
      </w:r>
      <w:r>
        <w:rPr>
          <w:rFonts w:hint="eastAsia" w:ascii="宋体" w:hAnsi="宋体" w:eastAsia="宋体" w:cs="宋体"/>
          <w:sz w:val="21"/>
          <w:szCs w:val="21"/>
          <w:highlight w:val="none"/>
          <w:lang w:val="en-US" w:eastAsia="zh-CN"/>
        </w:rPr>
        <w:t>1、此最终谈判报价表不需要装订在响应文件中。</w:t>
      </w:r>
    </w:p>
    <w:p w14:paraId="053B1073">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“谈判报价”为总价。谈判报价必须包括本项目所需全部费用。</w:t>
      </w:r>
    </w:p>
    <w:p w14:paraId="0E889E04">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3、最终谈判报价最为评审的依据。供应商应在开标当天，在规定的报价时间内填写，并盖章提交。</w:t>
      </w:r>
    </w:p>
    <w:p w14:paraId="520BED8D">
      <w:pPr>
        <w:tabs>
          <w:tab w:val="left" w:pos="5670"/>
        </w:tabs>
        <w:spacing w:beforeAutospacing="0" w:afterAutospacing="0" w:line="560" w:lineRule="exact"/>
        <w:ind w:firstLine="426" w:firstLineChars="20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招标内容无实质性变更，供应商的报价应逐次降低。本次报价超过招标预算或谈判文件中规定的最高限价的，按无效响应处理；本次报价超过上次报价但未超过招标预算或谈判文件规定的最高限价的，或在规定时间内未提交、提交不成功的均为无效报价，按无效响应处理。</w:t>
      </w:r>
    </w:p>
    <w:p w14:paraId="3E0740A0">
      <w:pPr>
        <w:autoSpaceDE w:val="0"/>
        <w:autoSpaceDN w:val="0"/>
        <w:spacing w:line="240" w:lineRule="auto"/>
        <w:ind w:firstLine="426" w:firstLineChars="200"/>
        <w:rPr>
          <w:rFonts w:ascii="宋体" w:hAnsi="宋体" w:eastAsia="宋体" w:cs="宋体"/>
          <w:sz w:val="21"/>
          <w:szCs w:val="21"/>
          <w:highlight w:val="none"/>
        </w:rPr>
      </w:pPr>
    </w:p>
    <w:p w14:paraId="0C6B8AFF">
      <w:pPr>
        <w:spacing w:line="440" w:lineRule="exact"/>
        <w:ind w:right="560" w:firstLine="486" w:firstLineChars="200"/>
        <w:jc w:val="right"/>
        <w:rPr>
          <w:rFonts w:ascii="仿宋" w:hAnsi="仿宋" w:eastAsia="仿宋"/>
          <w:sz w:val="24"/>
          <w:szCs w:val="24"/>
          <w:highlight w:val="none"/>
        </w:rPr>
      </w:pPr>
    </w:p>
    <w:p w14:paraId="33F89220">
      <w:pPr>
        <w:adjustRightInd w:val="0"/>
        <w:snapToGrid w:val="0"/>
        <w:spacing w:line="500" w:lineRule="exact"/>
        <w:ind w:firstLine="566" w:firstLineChars="200"/>
        <w:rPr>
          <w:rFonts w:ascii="仿宋" w:hAnsi="仿宋" w:eastAsia="仿宋"/>
          <w:highlight w:val="none"/>
        </w:rPr>
      </w:pPr>
    </w:p>
    <w:p w14:paraId="78F1FAFF">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3D3770D4">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92A8A95">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35B9AF58">
      <w:pPr>
        <w:spacing w:line="500" w:lineRule="exact"/>
        <w:ind w:firstLine="4250" w:firstLineChars="1502"/>
        <w:rPr>
          <w:rFonts w:hint="eastAsia" w:eastAsia="仿宋"/>
          <w:highlight w:val="none"/>
        </w:rPr>
      </w:pPr>
    </w:p>
    <w:p w14:paraId="480D3B37">
      <w:pPr>
        <w:rPr>
          <w:rFonts w:ascii="仿宋" w:hAnsi="仿宋" w:eastAsia="仿宋"/>
          <w:highlight w:val="none"/>
        </w:rPr>
      </w:pPr>
      <w:r>
        <w:rPr>
          <w:rFonts w:hint="eastAsia"/>
          <w:highlight w:val="none"/>
        </w:rPr>
        <w:br w:type="page"/>
      </w:r>
      <w:bookmarkStart w:id="512" w:name="_Toc28681576"/>
      <w:bookmarkStart w:id="513" w:name="_Toc28681288"/>
      <w:bookmarkStart w:id="514" w:name="_Toc26411"/>
      <w:bookmarkStart w:id="515" w:name="_Toc14662"/>
      <w:bookmarkStart w:id="516" w:name="_Toc22889"/>
      <w:bookmarkStart w:id="517" w:name="_Toc12538"/>
      <w:bookmarkStart w:id="518" w:name="_Toc28274"/>
      <w:bookmarkStart w:id="519" w:name="_Toc2792"/>
    </w:p>
    <w:p w14:paraId="02B67410">
      <w:pPr>
        <w:spacing w:line="560" w:lineRule="exact"/>
        <w:ind w:firstLine="646" w:firstLineChars="200"/>
        <w:outlineLvl w:val="1"/>
        <w:rPr>
          <w:rFonts w:ascii="仿宋" w:hAnsi="华文仿宋" w:eastAsia="仿宋" w:cs="华文仿宋"/>
          <w:b/>
          <w:bCs/>
          <w:sz w:val="32"/>
          <w:szCs w:val="32"/>
          <w:highlight w:val="none"/>
        </w:rPr>
      </w:pPr>
      <w:bookmarkStart w:id="520" w:name="_Toc23096"/>
      <w:bookmarkStart w:id="521" w:name="_Toc9468"/>
      <w:bookmarkStart w:id="522" w:name="_Toc29807"/>
      <w:r>
        <w:rPr>
          <w:rFonts w:hint="eastAsia" w:ascii="仿宋" w:hAnsi="华文仿宋" w:eastAsia="仿宋" w:cs="华文仿宋"/>
          <w:b/>
          <w:bCs/>
          <w:sz w:val="32"/>
          <w:szCs w:val="32"/>
          <w:highlight w:val="none"/>
        </w:rPr>
        <w:t>三、</w:t>
      </w:r>
      <w:bookmarkEnd w:id="512"/>
      <w:bookmarkEnd w:id="513"/>
      <w:bookmarkStart w:id="523" w:name="_Toc28681577"/>
      <w:r>
        <w:rPr>
          <w:rFonts w:hint="eastAsia" w:ascii="仿宋" w:hAnsi="华文仿宋" w:eastAsia="仿宋" w:cs="华文仿宋"/>
          <w:b/>
          <w:bCs/>
          <w:sz w:val="32"/>
          <w:szCs w:val="32"/>
          <w:highlight w:val="none"/>
        </w:rPr>
        <w:t>供应商参加政府采购活动承诺书</w:t>
      </w:r>
      <w:bookmarkEnd w:id="514"/>
      <w:bookmarkEnd w:id="515"/>
      <w:bookmarkEnd w:id="516"/>
      <w:bookmarkEnd w:id="517"/>
      <w:bookmarkEnd w:id="518"/>
      <w:bookmarkEnd w:id="519"/>
      <w:bookmarkEnd w:id="520"/>
      <w:bookmarkEnd w:id="521"/>
      <w:bookmarkEnd w:id="522"/>
      <w:bookmarkEnd w:id="523"/>
    </w:p>
    <w:p w14:paraId="1413F980">
      <w:pPr>
        <w:spacing w:line="560" w:lineRule="exact"/>
        <w:ind w:firstLine="566" w:firstLineChars="200"/>
        <w:rPr>
          <w:rFonts w:ascii="仿宋" w:hAnsi="仿宋" w:eastAsia="仿宋" w:cs="仿宋"/>
          <w:highlight w:val="none"/>
        </w:rPr>
      </w:pPr>
      <w:r>
        <w:rPr>
          <w:rFonts w:hint="eastAsia" w:ascii="仿宋" w:hAnsi="仿宋" w:eastAsia="仿宋" w:cs="仿宋"/>
          <w:highlight w:val="none"/>
        </w:rPr>
        <w:t>未签署下列承诺书的，其责任由供应商自行承担。响应文件正本中须装订本承诺书原件，副本是否装订原件不做要求。</w:t>
      </w:r>
    </w:p>
    <w:p w14:paraId="11F3787B">
      <w:pPr>
        <w:spacing w:line="560" w:lineRule="exact"/>
        <w:jc w:val="center"/>
        <w:rPr>
          <w:rFonts w:ascii="仿宋" w:hAnsi="仿宋" w:eastAsia="仿宋"/>
          <w:b/>
          <w:highlight w:val="none"/>
        </w:rPr>
      </w:pPr>
      <w:r>
        <w:rPr>
          <w:rFonts w:hint="eastAsia" w:ascii="仿宋" w:hAnsi="仿宋" w:eastAsia="仿宋"/>
          <w:b/>
          <w:highlight w:val="none"/>
        </w:rPr>
        <w:t>（</w:t>
      </w:r>
      <w:r>
        <w:rPr>
          <w:rFonts w:ascii="仿宋" w:hAnsi="仿宋" w:eastAsia="仿宋"/>
          <w:b/>
          <w:highlight w:val="none"/>
        </w:rPr>
        <w:t>一</w:t>
      </w:r>
      <w:r>
        <w:rPr>
          <w:rFonts w:hint="eastAsia" w:ascii="仿宋" w:hAnsi="仿宋" w:eastAsia="仿宋"/>
          <w:b/>
          <w:highlight w:val="none"/>
        </w:rPr>
        <w:t>）</w:t>
      </w:r>
      <w:r>
        <w:rPr>
          <w:rFonts w:ascii="仿宋" w:hAnsi="仿宋" w:eastAsia="仿宋"/>
          <w:b/>
          <w:highlight w:val="none"/>
        </w:rPr>
        <w:t>质量安全责任承诺书</w:t>
      </w:r>
    </w:p>
    <w:p w14:paraId="2F778262">
      <w:pPr>
        <w:spacing w:line="560" w:lineRule="exact"/>
        <w:ind w:firstLine="566" w:firstLineChars="200"/>
        <w:rPr>
          <w:rFonts w:ascii="仿宋" w:hAnsi="仿宋" w:eastAsia="仿宋"/>
          <w:highlight w:val="none"/>
        </w:rPr>
      </w:pPr>
      <w:r>
        <w:rPr>
          <w:rFonts w:ascii="仿宋" w:hAnsi="仿宋" w:eastAsia="仿宋"/>
          <w:highlight w:val="none"/>
        </w:rPr>
        <w:t>为保证本采购项目顺利进行，作为投标</w:t>
      </w:r>
      <w:r>
        <w:rPr>
          <w:rFonts w:hint="eastAsia" w:ascii="仿宋" w:hAnsi="仿宋" w:eastAsia="仿宋"/>
          <w:highlight w:val="none"/>
        </w:rPr>
        <w:t>供应商</w:t>
      </w:r>
      <w:r>
        <w:rPr>
          <w:rFonts w:ascii="仿宋" w:hAnsi="仿宋" w:eastAsia="仿宋"/>
          <w:highlight w:val="none"/>
        </w:rPr>
        <w:t>，现郑重承诺：</w:t>
      </w:r>
    </w:p>
    <w:p w14:paraId="24F40FAA">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1、我方投标产品的生产（包括设计、制造、安装、改造、维修等）、投入使用的材料等均完全符合国家现行</w:t>
      </w:r>
      <w:r>
        <w:rPr>
          <w:rFonts w:hint="eastAsia" w:ascii="仿宋" w:hAnsi="仿宋" w:eastAsia="仿宋"/>
          <w:highlight w:val="none"/>
        </w:rPr>
        <w:t>质量、安全、环保标准和要求。</w:t>
      </w:r>
    </w:p>
    <w:p w14:paraId="53062CB5">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2、我方将严格按照国家现行相关储存、运输、安装调试技术标准及规范、服务标准及规范、施工标准及规范，在规定的时限内，保质、保量完成项目全部内容，并向采购人交付合格产品。</w:t>
      </w:r>
    </w:p>
    <w:p w14:paraId="7A1F28E0">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3、对于因产品生产质量以及储存、运输、安装调试、服务、施工等过程中产生的任何安全事故，我方承担全部责任。</w:t>
      </w:r>
    </w:p>
    <w:p w14:paraId="1079D747">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4、我方提供的货物、工程、服务等符合现行的国家、行业、地区、企业标准及要求，标准不一致的，以更为严格的为准，我方对提供的货物、工程、服务等的质量、安全、环保等承担全部责任。</w:t>
      </w:r>
    </w:p>
    <w:p w14:paraId="4294241E">
      <w:pPr>
        <w:spacing w:line="560" w:lineRule="exact"/>
        <w:ind w:firstLine="566" w:firstLineChars="200"/>
        <w:rPr>
          <w:rFonts w:ascii="仿宋" w:hAnsi="仿宋" w:eastAsia="仿宋"/>
          <w:highlight w:val="none"/>
        </w:rPr>
      </w:pPr>
    </w:p>
    <w:p w14:paraId="03CFB77E">
      <w:pPr>
        <w:spacing w:line="500" w:lineRule="exact"/>
        <w:ind w:firstLine="4250" w:firstLineChars="1502"/>
        <w:rPr>
          <w:rFonts w:eastAsia="仿宋"/>
          <w:highlight w:val="none"/>
        </w:rPr>
      </w:pPr>
      <w:r>
        <w:rPr>
          <w:rFonts w:hint="eastAsia" w:eastAsia="仿宋"/>
          <w:highlight w:val="none"/>
        </w:rPr>
        <w:t>供应</w:t>
      </w:r>
      <w:r>
        <w:rPr>
          <w:rFonts w:eastAsia="仿宋"/>
          <w:highlight w:val="none"/>
        </w:rPr>
        <w:t>商：</w:t>
      </w:r>
      <w:r>
        <w:rPr>
          <w:rFonts w:hint="eastAsia" w:eastAsia="仿宋"/>
          <w:highlight w:val="none"/>
          <w:u w:val="single"/>
        </w:rPr>
        <w:t>名称</w:t>
      </w:r>
      <w:r>
        <w:rPr>
          <w:rFonts w:eastAsia="仿宋"/>
          <w:highlight w:val="none"/>
        </w:rPr>
        <w:t>（加盖公章）</w:t>
      </w:r>
    </w:p>
    <w:p w14:paraId="01B440F9">
      <w:pPr>
        <w:spacing w:line="500" w:lineRule="exact"/>
        <w:ind w:firstLine="4250" w:firstLineChars="1502"/>
        <w:rPr>
          <w:rFonts w:eastAsia="仿宋"/>
          <w:highlight w:val="none"/>
        </w:rPr>
      </w:pPr>
      <w:r>
        <w:rPr>
          <w:rFonts w:eastAsia="仿宋"/>
          <w:highlight w:val="none"/>
        </w:rPr>
        <w:t>法定代表人或授权</w:t>
      </w:r>
      <w:r>
        <w:rPr>
          <w:rFonts w:hint="eastAsia" w:eastAsia="仿宋"/>
          <w:highlight w:val="none"/>
        </w:rPr>
        <w:t>代表</w:t>
      </w:r>
      <w:r>
        <w:rPr>
          <w:rFonts w:eastAsia="仿宋"/>
          <w:highlight w:val="none"/>
        </w:rPr>
        <w:t>：（</w:t>
      </w:r>
      <w:r>
        <w:rPr>
          <w:rFonts w:hint="eastAsia" w:eastAsia="仿宋"/>
          <w:highlight w:val="none"/>
        </w:rPr>
        <w:t>签字或盖章</w:t>
      </w:r>
      <w:r>
        <w:rPr>
          <w:rFonts w:eastAsia="仿宋"/>
          <w:highlight w:val="none"/>
        </w:rPr>
        <w:t>）</w:t>
      </w:r>
    </w:p>
    <w:p w14:paraId="1E496B7A">
      <w:pPr>
        <w:spacing w:line="500" w:lineRule="exact"/>
        <w:ind w:firstLine="4250" w:firstLineChars="1502"/>
        <w:rPr>
          <w:rFonts w:eastAsia="仿宋"/>
          <w:highlight w:val="none"/>
        </w:rPr>
      </w:pPr>
      <w:r>
        <w:rPr>
          <w:rFonts w:eastAsia="仿宋"/>
          <w:highlight w:val="none"/>
        </w:rPr>
        <w:t>日</w:t>
      </w:r>
      <w:r>
        <w:rPr>
          <w:rFonts w:hint="eastAsia" w:eastAsia="仿宋"/>
          <w:highlight w:val="none"/>
        </w:rPr>
        <w:t xml:space="preserve">  </w:t>
      </w:r>
      <w:r>
        <w:rPr>
          <w:rFonts w:eastAsia="仿宋"/>
          <w:highlight w:val="none"/>
        </w:rPr>
        <w:t>期：</w:t>
      </w:r>
      <w:r>
        <w:rPr>
          <w:rFonts w:hint="eastAsia" w:eastAsia="仿宋"/>
          <w:highlight w:val="none"/>
        </w:rPr>
        <w:t xml:space="preserve">   年  月  日</w:t>
      </w:r>
    </w:p>
    <w:p w14:paraId="773EBA27">
      <w:pPr>
        <w:spacing w:line="560" w:lineRule="exact"/>
        <w:jc w:val="center"/>
        <w:rPr>
          <w:rFonts w:ascii="仿宋" w:hAnsi="仿宋" w:eastAsia="仿宋"/>
          <w:b/>
          <w:highlight w:val="none"/>
        </w:rPr>
      </w:pPr>
      <w:r>
        <w:rPr>
          <w:rFonts w:hint="eastAsia" w:ascii="仿宋" w:hAnsi="仿宋" w:eastAsia="仿宋"/>
          <w:b/>
          <w:highlight w:val="none"/>
        </w:rPr>
        <w:br w:type="page"/>
      </w:r>
      <w:r>
        <w:rPr>
          <w:rFonts w:hint="eastAsia" w:ascii="仿宋" w:hAnsi="仿宋" w:eastAsia="仿宋"/>
          <w:b/>
          <w:highlight w:val="none"/>
        </w:rPr>
        <w:t>（二）拒绝政府采购领域商业贿赂承诺书</w:t>
      </w:r>
    </w:p>
    <w:p w14:paraId="393265F6">
      <w:pPr>
        <w:overflowPunct w:val="0"/>
        <w:topLinePunct/>
        <w:spacing w:line="560" w:lineRule="exact"/>
        <w:jc w:val="center"/>
        <w:rPr>
          <w:rFonts w:ascii="仿宋" w:hAnsi="仿宋" w:eastAsia="仿宋" w:cs="宋体-18030"/>
          <w:bCs/>
          <w:highlight w:val="none"/>
        </w:rPr>
      </w:pPr>
      <w:r>
        <w:rPr>
          <w:rFonts w:hint="eastAsia" w:ascii="仿宋" w:hAnsi="仿宋" w:eastAsia="仿宋" w:cs="宋体-18030"/>
          <w:bCs/>
          <w:highlight w:val="none"/>
        </w:rPr>
        <w:t>（执行陕财办采管[2006]21号文件）</w:t>
      </w:r>
    </w:p>
    <w:p w14:paraId="0E83EE4C">
      <w:pPr>
        <w:spacing w:line="560" w:lineRule="exact"/>
        <w:ind w:firstLine="566" w:firstLineChars="200"/>
        <w:rPr>
          <w:rFonts w:ascii="仿宋" w:hAnsi="仿宋" w:eastAsia="仿宋"/>
          <w:highlight w:val="none"/>
        </w:rPr>
      </w:pPr>
      <w:r>
        <w:rPr>
          <w:rFonts w:hint="eastAsia" w:ascii="仿宋" w:hAnsi="仿宋" w:eastAsia="仿宋"/>
          <w:highlight w:val="none"/>
        </w:rPr>
        <w:t>为响应党中央、国务院关于治理政府采购领域商业贿赂行为的号召，我公司在此庄严承诺：</w:t>
      </w:r>
    </w:p>
    <w:p w14:paraId="543DFF04">
      <w:pPr>
        <w:spacing w:line="560" w:lineRule="exact"/>
        <w:ind w:firstLine="566" w:firstLineChars="200"/>
        <w:rPr>
          <w:rFonts w:ascii="仿宋" w:hAnsi="仿宋" w:eastAsia="仿宋"/>
          <w:highlight w:val="none"/>
        </w:rPr>
      </w:pPr>
      <w:r>
        <w:rPr>
          <w:rFonts w:hint="eastAsia" w:ascii="仿宋" w:hAnsi="仿宋" w:eastAsia="仿宋"/>
          <w:highlight w:val="none"/>
        </w:rPr>
        <w:t>1、在参与政府采购活动中遵纪守法、诚信经营、公平竞标。</w:t>
      </w:r>
    </w:p>
    <w:p w14:paraId="5FAEDA4B">
      <w:pPr>
        <w:spacing w:line="560" w:lineRule="exact"/>
        <w:ind w:firstLine="566" w:firstLineChars="200"/>
        <w:rPr>
          <w:rFonts w:ascii="仿宋" w:hAnsi="仿宋" w:eastAsia="仿宋"/>
          <w:highlight w:val="none"/>
        </w:rPr>
      </w:pPr>
      <w:r>
        <w:rPr>
          <w:rFonts w:hint="eastAsia" w:ascii="仿宋" w:hAnsi="仿宋" w:eastAsia="仿宋"/>
          <w:highlight w:val="none"/>
        </w:rPr>
        <w:t>2、不向政府采购人、采购代理机构和政府采购评审专家进行任何形式的商业贿赂以谋取交易机会。</w:t>
      </w:r>
    </w:p>
    <w:p w14:paraId="17120BEC">
      <w:pPr>
        <w:spacing w:line="560" w:lineRule="exact"/>
        <w:ind w:firstLine="566" w:firstLineChars="200"/>
        <w:rPr>
          <w:rFonts w:ascii="仿宋" w:hAnsi="仿宋" w:eastAsia="仿宋"/>
          <w:highlight w:val="none"/>
        </w:rPr>
      </w:pPr>
      <w:r>
        <w:rPr>
          <w:rFonts w:hint="eastAsia" w:ascii="仿宋" w:hAnsi="仿宋" w:eastAsia="仿宋"/>
          <w:highlight w:val="none"/>
        </w:rPr>
        <w:t>3、不向政府采购代理机构和采购人提供虚假资质文件或采用虚假应标方式参与政府采购市场竞争并谋取中标、成交。</w:t>
      </w:r>
    </w:p>
    <w:p w14:paraId="3548DE52">
      <w:pPr>
        <w:spacing w:line="560" w:lineRule="exact"/>
        <w:ind w:firstLine="566" w:firstLineChars="200"/>
        <w:rPr>
          <w:rFonts w:ascii="仿宋" w:hAnsi="仿宋" w:eastAsia="仿宋"/>
          <w:highlight w:val="none"/>
        </w:rPr>
      </w:pPr>
      <w:r>
        <w:rPr>
          <w:rFonts w:hint="eastAsia" w:ascii="仿宋" w:hAnsi="仿宋" w:eastAsia="仿宋"/>
          <w:highlight w:val="none"/>
        </w:rPr>
        <w:t>4、不采取“围标、陪标”等商业欺诈手段获得政府采购定单。</w:t>
      </w:r>
    </w:p>
    <w:p w14:paraId="5B6BBFB8">
      <w:pPr>
        <w:spacing w:line="560" w:lineRule="exact"/>
        <w:ind w:firstLine="566" w:firstLineChars="200"/>
        <w:rPr>
          <w:rFonts w:ascii="仿宋" w:hAnsi="仿宋" w:eastAsia="仿宋"/>
          <w:highlight w:val="none"/>
        </w:rPr>
      </w:pPr>
      <w:r>
        <w:rPr>
          <w:rFonts w:hint="eastAsia" w:ascii="仿宋" w:hAnsi="仿宋" w:eastAsia="仿宋"/>
          <w:highlight w:val="none"/>
        </w:rPr>
        <w:t>5、不采取不正当手段诋毁、排挤其他供应商。</w:t>
      </w:r>
    </w:p>
    <w:p w14:paraId="78C79F26">
      <w:pPr>
        <w:spacing w:line="560" w:lineRule="exact"/>
        <w:ind w:firstLine="566" w:firstLineChars="200"/>
        <w:rPr>
          <w:rFonts w:ascii="仿宋" w:hAnsi="仿宋" w:eastAsia="仿宋"/>
          <w:highlight w:val="none"/>
        </w:rPr>
      </w:pPr>
      <w:r>
        <w:rPr>
          <w:rFonts w:hint="eastAsia" w:ascii="仿宋" w:hAnsi="仿宋" w:eastAsia="仿宋"/>
          <w:highlight w:val="none"/>
        </w:rPr>
        <w:t>6、不在提供商品和服务时“偷梁换柱、以次充好”损害采购人的合法权益。</w:t>
      </w:r>
    </w:p>
    <w:p w14:paraId="77F940D9">
      <w:pPr>
        <w:spacing w:line="560" w:lineRule="exact"/>
        <w:ind w:firstLine="566" w:firstLineChars="200"/>
        <w:rPr>
          <w:rFonts w:ascii="仿宋" w:hAnsi="仿宋" w:eastAsia="仿宋"/>
          <w:highlight w:val="none"/>
        </w:rPr>
      </w:pPr>
      <w:r>
        <w:rPr>
          <w:rFonts w:hint="eastAsia" w:ascii="仿宋" w:hAnsi="仿宋" w:eastAsia="仿宋"/>
          <w:highlight w:val="none"/>
        </w:rPr>
        <w:t>7、不与采购人、采购代理机构政府采购评审专家或其它供应商恶意串通，进行质疑和投诉，维护政府采购市场秩序。</w:t>
      </w:r>
    </w:p>
    <w:p w14:paraId="6F669596">
      <w:pPr>
        <w:spacing w:line="560" w:lineRule="exact"/>
        <w:ind w:firstLine="566" w:firstLineChars="200"/>
        <w:rPr>
          <w:rFonts w:ascii="仿宋" w:hAnsi="仿宋" w:eastAsia="仿宋"/>
          <w:highlight w:val="none"/>
        </w:rPr>
      </w:pPr>
      <w:r>
        <w:rPr>
          <w:rFonts w:hint="eastAsia" w:ascii="仿宋" w:hAnsi="仿宋" w:eastAsia="仿宋"/>
          <w:highlight w:val="none"/>
        </w:rPr>
        <w:t>8、尊重和接受政府采购监督管理部门的监督和政府采购代理机构招标采购要求，承担因违约行为给采购人造成的损失。</w:t>
      </w:r>
    </w:p>
    <w:p w14:paraId="7F673180">
      <w:pPr>
        <w:spacing w:line="560" w:lineRule="exact"/>
        <w:ind w:firstLine="566" w:firstLineChars="200"/>
        <w:rPr>
          <w:rFonts w:ascii="仿宋" w:hAnsi="仿宋" w:eastAsia="仿宋"/>
          <w:highlight w:val="none"/>
        </w:rPr>
      </w:pPr>
      <w:r>
        <w:rPr>
          <w:rFonts w:hint="eastAsia" w:ascii="仿宋" w:hAnsi="仿宋" w:eastAsia="仿宋"/>
          <w:highlight w:val="none"/>
        </w:rPr>
        <w:t>9、不发生其他有悖于政府采购公开、公平、公正和诚信原则的行为。</w:t>
      </w:r>
    </w:p>
    <w:p w14:paraId="7112B40D">
      <w:pPr>
        <w:spacing w:line="560" w:lineRule="exact"/>
        <w:ind w:firstLine="566" w:firstLineChars="200"/>
        <w:rPr>
          <w:rFonts w:ascii="仿宋" w:hAnsi="仿宋" w:eastAsia="仿宋" w:cs="仿宋"/>
          <w:highlight w:val="none"/>
        </w:rPr>
      </w:pPr>
    </w:p>
    <w:p w14:paraId="17E3E72B">
      <w:pPr>
        <w:spacing w:line="500" w:lineRule="exact"/>
        <w:ind w:firstLine="4250" w:firstLineChars="1502"/>
        <w:rPr>
          <w:rFonts w:ascii="仿宋" w:hAnsi="仿宋" w:eastAsia="仿宋" w:cs="仿宋"/>
          <w:highlight w:val="none"/>
        </w:rPr>
      </w:pPr>
      <w:bookmarkStart w:id="524" w:name="_Toc22287"/>
      <w:bookmarkStart w:id="525" w:name="_Toc28681579"/>
      <w:bookmarkStart w:id="526" w:name="_Toc31208"/>
      <w:bookmarkStart w:id="527" w:name="_Toc20907"/>
      <w:bookmarkStart w:id="528" w:name="_Toc2295"/>
      <w:bookmarkStart w:id="529" w:name="_Toc25416"/>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3341F65B">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49708F19">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37A20EE4">
      <w:pPr>
        <w:spacing w:line="560" w:lineRule="exact"/>
        <w:rPr>
          <w:rFonts w:eastAsia="仿宋"/>
          <w:highlight w:val="none"/>
        </w:rPr>
      </w:pPr>
      <w:r>
        <w:rPr>
          <w:rFonts w:hint="eastAsia" w:eastAsia="仿宋"/>
          <w:highlight w:val="none"/>
        </w:rPr>
        <w:br w:type="page"/>
      </w:r>
    </w:p>
    <w:p w14:paraId="47B5F560">
      <w:pPr>
        <w:pStyle w:val="50"/>
        <w:spacing w:line="560" w:lineRule="exact"/>
        <w:ind w:firstLine="646" w:firstLineChars="200"/>
        <w:jc w:val="both"/>
        <w:rPr>
          <w:sz w:val="32"/>
          <w:szCs w:val="32"/>
          <w:highlight w:val="none"/>
        </w:rPr>
      </w:pPr>
      <w:bookmarkStart w:id="530" w:name="_Toc6570"/>
      <w:bookmarkStart w:id="531" w:name="_Toc14044"/>
      <w:bookmarkStart w:id="532" w:name="_Toc2247"/>
      <w:bookmarkStart w:id="533" w:name="_Toc15631"/>
      <w:r>
        <w:rPr>
          <w:rFonts w:hint="eastAsia"/>
          <w:sz w:val="32"/>
          <w:szCs w:val="32"/>
          <w:highlight w:val="none"/>
        </w:rPr>
        <w:t>四、合同</w:t>
      </w:r>
      <w:r>
        <w:rPr>
          <w:sz w:val="32"/>
          <w:szCs w:val="32"/>
          <w:highlight w:val="none"/>
        </w:rPr>
        <w:t>条款</w:t>
      </w:r>
      <w:r>
        <w:rPr>
          <w:rFonts w:hint="eastAsia"/>
          <w:sz w:val="32"/>
          <w:szCs w:val="32"/>
          <w:highlight w:val="none"/>
        </w:rPr>
        <w:t>响应</w:t>
      </w:r>
      <w:bookmarkEnd w:id="524"/>
      <w:bookmarkEnd w:id="525"/>
      <w:bookmarkEnd w:id="526"/>
      <w:bookmarkEnd w:id="527"/>
      <w:bookmarkEnd w:id="528"/>
      <w:bookmarkEnd w:id="529"/>
      <w:bookmarkEnd w:id="530"/>
      <w:bookmarkEnd w:id="531"/>
      <w:bookmarkEnd w:id="532"/>
      <w:bookmarkEnd w:id="533"/>
    </w:p>
    <w:p w14:paraId="47BA2449">
      <w:pPr>
        <w:spacing w:line="560" w:lineRule="exact"/>
        <w:ind w:firstLine="566" w:firstLineChars="200"/>
        <w:jc w:val="left"/>
        <w:rPr>
          <w:rFonts w:ascii="仿宋" w:hAnsi="仿宋" w:eastAsia="仿宋"/>
          <w:bCs/>
          <w:highlight w:val="none"/>
        </w:rPr>
      </w:pPr>
    </w:p>
    <w:p w14:paraId="660C7CBE">
      <w:pPr>
        <w:spacing w:line="560" w:lineRule="exact"/>
        <w:ind w:firstLine="566" w:firstLineChars="200"/>
        <w:jc w:val="left"/>
        <w:rPr>
          <w:rFonts w:ascii="仿宋" w:hAnsi="仿宋" w:eastAsia="仿宋"/>
          <w:bCs/>
          <w:highlight w:val="none"/>
        </w:rPr>
      </w:pPr>
      <w:r>
        <w:rPr>
          <w:rFonts w:hint="eastAsia" w:ascii="仿宋" w:hAnsi="仿宋" w:eastAsia="仿宋"/>
          <w:bCs/>
          <w:highlight w:val="none"/>
        </w:rPr>
        <w:t>完全理解并接受谈判文件中“合同基本条款”要求。</w:t>
      </w:r>
    </w:p>
    <w:p w14:paraId="37C40A45">
      <w:pPr>
        <w:spacing w:line="560" w:lineRule="exact"/>
        <w:ind w:firstLine="566" w:firstLineChars="200"/>
        <w:jc w:val="left"/>
        <w:rPr>
          <w:rFonts w:ascii="仿宋" w:hAnsi="仿宋" w:eastAsia="仿宋"/>
          <w:bCs/>
          <w:highlight w:val="none"/>
        </w:rPr>
      </w:pPr>
    </w:p>
    <w:p w14:paraId="1947329C">
      <w:pPr>
        <w:spacing w:line="560" w:lineRule="exact"/>
        <w:ind w:firstLine="566" w:firstLineChars="200"/>
        <w:jc w:val="left"/>
        <w:rPr>
          <w:rFonts w:ascii="仿宋" w:hAnsi="仿宋" w:eastAsia="仿宋"/>
          <w:bCs/>
          <w:highlight w:val="none"/>
        </w:rPr>
      </w:pPr>
    </w:p>
    <w:p w14:paraId="5D1AB367">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74055FCF">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6E3E53BD">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55B8BE54">
      <w:pPr>
        <w:spacing w:line="560" w:lineRule="exact"/>
        <w:ind w:firstLine="566" w:firstLineChars="200"/>
        <w:jc w:val="left"/>
        <w:rPr>
          <w:rFonts w:ascii="仿宋" w:hAnsi="仿宋" w:eastAsia="仿宋"/>
          <w:bCs/>
          <w:highlight w:val="none"/>
        </w:rPr>
      </w:pPr>
    </w:p>
    <w:p w14:paraId="6FCA2C43">
      <w:pPr>
        <w:spacing w:line="560" w:lineRule="exact"/>
        <w:ind w:firstLine="566" w:firstLineChars="200"/>
        <w:jc w:val="left"/>
        <w:rPr>
          <w:rFonts w:ascii="仿宋" w:hAnsi="仿宋" w:eastAsia="仿宋"/>
          <w:bCs/>
          <w:highlight w:val="none"/>
        </w:rPr>
      </w:pPr>
    </w:p>
    <w:p w14:paraId="0BA842B6">
      <w:pPr>
        <w:spacing w:line="560" w:lineRule="exact"/>
        <w:ind w:firstLine="646" w:firstLineChars="200"/>
        <w:rPr>
          <w:rFonts w:ascii="宋体" w:hAnsi="宋体" w:eastAsia="仿宋" w:cs="宋体"/>
          <w:b/>
          <w:sz w:val="32"/>
          <w:szCs w:val="32"/>
          <w:highlight w:val="none"/>
        </w:rPr>
      </w:pPr>
      <w:r>
        <w:rPr>
          <w:rFonts w:hint="eastAsia" w:ascii="宋体" w:hAnsi="宋体" w:eastAsia="仿宋" w:cs="宋体"/>
          <w:b/>
          <w:sz w:val="32"/>
          <w:szCs w:val="32"/>
          <w:highlight w:val="none"/>
        </w:rPr>
        <w:br w:type="page"/>
      </w:r>
    </w:p>
    <w:p w14:paraId="44FC6A51">
      <w:pPr>
        <w:pStyle w:val="50"/>
        <w:ind w:firstLine="0" w:firstLineChars="0"/>
        <w:rPr>
          <w:sz w:val="32"/>
          <w:szCs w:val="32"/>
          <w:highlight w:val="none"/>
        </w:rPr>
      </w:pPr>
      <w:bookmarkStart w:id="534" w:name="_Toc25954"/>
      <w:bookmarkStart w:id="535" w:name="_Toc4406"/>
      <w:bookmarkStart w:id="536" w:name="_Toc12740"/>
      <w:bookmarkStart w:id="537" w:name="_Toc31920"/>
      <w:r>
        <w:rPr>
          <w:rFonts w:hint="eastAsia" w:ascii="宋体" w:hAnsi="宋体" w:cs="宋体"/>
          <w:sz w:val="32"/>
          <w:szCs w:val="32"/>
          <w:highlight w:val="none"/>
        </w:rPr>
        <w:t>五、</w:t>
      </w:r>
      <w:r>
        <w:rPr>
          <w:rFonts w:hint="eastAsia" w:ascii="仿宋_GB2312" w:hAnsi="仿宋_GB2312" w:eastAsia="仿宋_GB2312" w:cs="仿宋_GB2312"/>
          <w:sz w:val="32"/>
          <w:szCs w:val="32"/>
          <w:highlight w:val="none"/>
        </w:rPr>
        <w:t>技术服务偏差表</w:t>
      </w:r>
      <w:bookmarkEnd w:id="534"/>
      <w:bookmarkEnd w:id="535"/>
      <w:bookmarkEnd w:id="536"/>
      <w:bookmarkEnd w:id="537"/>
    </w:p>
    <w:p w14:paraId="7B554A06">
      <w:pPr>
        <w:spacing w:line="500" w:lineRule="exact"/>
        <w:ind w:firstLine="486" w:firstLineChars="200"/>
        <w:jc w:val="center"/>
        <w:rPr>
          <w:rFonts w:ascii="宋体" w:hAnsi="宋体" w:cs="宋体"/>
          <w:sz w:val="24"/>
          <w:highlight w:val="none"/>
        </w:rPr>
      </w:pPr>
    </w:p>
    <w:tbl>
      <w:tblPr>
        <w:tblStyle w:val="2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512"/>
        <w:gridCol w:w="1275"/>
        <w:gridCol w:w="1941"/>
      </w:tblGrid>
      <w:tr w14:paraId="4D5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494FD2FF">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698" w:type="dxa"/>
            <w:shd w:val="clear" w:color="auto" w:fill="D8D8D8"/>
            <w:vAlign w:val="center"/>
          </w:tcPr>
          <w:p w14:paraId="465332DB">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谈判文件要求</w:t>
            </w:r>
          </w:p>
        </w:tc>
        <w:tc>
          <w:tcPr>
            <w:tcW w:w="3512" w:type="dxa"/>
            <w:shd w:val="clear" w:color="auto" w:fill="D8D8D8"/>
            <w:vAlign w:val="center"/>
          </w:tcPr>
          <w:p w14:paraId="0BA6631A">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响应文件响应条款</w:t>
            </w:r>
          </w:p>
        </w:tc>
        <w:tc>
          <w:tcPr>
            <w:tcW w:w="1275" w:type="dxa"/>
            <w:shd w:val="clear" w:color="auto" w:fill="D8D8D8"/>
            <w:vAlign w:val="center"/>
          </w:tcPr>
          <w:p w14:paraId="03C8014A">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偏离程度</w:t>
            </w:r>
          </w:p>
        </w:tc>
        <w:tc>
          <w:tcPr>
            <w:tcW w:w="1941" w:type="dxa"/>
            <w:shd w:val="clear" w:color="auto" w:fill="D8D8D8"/>
            <w:vAlign w:val="center"/>
          </w:tcPr>
          <w:p w14:paraId="7AE3F1E3">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偏离简述</w:t>
            </w:r>
          </w:p>
          <w:p w14:paraId="632724B6">
            <w:pPr>
              <w:spacing w:line="24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或相关证明材料</w:t>
            </w:r>
          </w:p>
        </w:tc>
      </w:tr>
      <w:tr w14:paraId="62D5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995482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698" w:type="dxa"/>
            <w:vAlign w:val="center"/>
          </w:tcPr>
          <w:p w14:paraId="18CA2E7F">
            <w:pPr>
              <w:spacing w:line="240" w:lineRule="auto"/>
              <w:jc w:val="center"/>
              <w:rPr>
                <w:rFonts w:ascii="宋体" w:hAnsi="宋体" w:eastAsia="宋体" w:cs="宋体"/>
                <w:sz w:val="24"/>
                <w:szCs w:val="24"/>
                <w:highlight w:val="none"/>
              </w:rPr>
            </w:pPr>
          </w:p>
        </w:tc>
        <w:tc>
          <w:tcPr>
            <w:tcW w:w="3512" w:type="dxa"/>
            <w:vAlign w:val="center"/>
          </w:tcPr>
          <w:p w14:paraId="145C1F30">
            <w:pPr>
              <w:spacing w:line="240" w:lineRule="auto"/>
              <w:jc w:val="center"/>
              <w:rPr>
                <w:rFonts w:ascii="宋体" w:hAnsi="宋体" w:eastAsia="宋体" w:cs="宋体"/>
                <w:sz w:val="24"/>
                <w:szCs w:val="24"/>
                <w:highlight w:val="none"/>
              </w:rPr>
            </w:pPr>
          </w:p>
        </w:tc>
        <w:tc>
          <w:tcPr>
            <w:tcW w:w="1275" w:type="dxa"/>
            <w:vAlign w:val="center"/>
          </w:tcPr>
          <w:p w14:paraId="429C5F34">
            <w:pPr>
              <w:spacing w:line="240" w:lineRule="auto"/>
              <w:jc w:val="center"/>
              <w:rPr>
                <w:rFonts w:ascii="宋体" w:hAnsi="宋体" w:eastAsia="宋体" w:cs="宋体"/>
                <w:sz w:val="24"/>
                <w:szCs w:val="24"/>
                <w:highlight w:val="none"/>
              </w:rPr>
            </w:pPr>
          </w:p>
        </w:tc>
        <w:tc>
          <w:tcPr>
            <w:tcW w:w="1941" w:type="dxa"/>
            <w:vAlign w:val="center"/>
          </w:tcPr>
          <w:p w14:paraId="38C274A0">
            <w:pPr>
              <w:spacing w:line="240" w:lineRule="auto"/>
              <w:jc w:val="center"/>
              <w:rPr>
                <w:rFonts w:ascii="宋体" w:hAnsi="宋体" w:eastAsia="宋体" w:cs="宋体"/>
                <w:sz w:val="24"/>
                <w:szCs w:val="24"/>
                <w:highlight w:val="none"/>
              </w:rPr>
            </w:pPr>
          </w:p>
        </w:tc>
      </w:tr>
      <w:tr w14:paraId="6056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08C2219">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698" w:type="dxa"/>
            <w:vAlign w:val="center"/>
          </w:tcPr>
          <w:p w14:paraId="44A33351">
            <w:pPr>
              <w:spacing w:line="240" w:lineRule="auto"/>
              <w:jc w:val="center"/>
              <w:rPr>
                <w:rFonts w:ascii="宋体" w:hAnsi="宋体" w:eastAsia="宋体" w:cs="宋体"/>
                <w:sz w:val="24"/>
                <w:szCs w:val="24"/>
                <w:highlight w:val="none"/>
              </w:rPr>
            </w:pPr>
          </w:p>
        </w:tc>
        <w:tc>
          <w:tcPr>
            <w:tcW w:w="3512" w:type="dxa"/>
            <w:vAlign w:val="center"/>
          </w:tcPr>
          <w:p w14:paraId="465977CB">
            <w:pPr>
              <w:spacing w:line="240" w:lineRule="auto"/>
              <w:jc w:val="center"/>
              <w:rPr>
                <w:rFonts w:ascii="宋体" w:hAnsi="宋体" w:eastAsia="宋体" w:cs="宋体"/>
                <w:sz w:val="24"/>
                <w:szCs w:val="24"/>
                <w:highlight w:val="none"/>
              </w:rPr>
            </w:pPr>
          </w:p>
        </w:tc>
        <w:tc>
          <w:tcPr>
            <w:tcW w:w="1275" w:type="dxa"/>
            <w:vAlign w:val="center"/>
          </w:tcPr>
          <w:p w14:paraId="635CA754">
            <w:pPr>
              <w:spacing w:line="240" w:lineRule="auto"/>
              <w:jc w:val="center"/>
              <w:rPr>
                <w:rFonts w:ascii="宋体" w:hAnsi="宋体" w:eastAsia="宋体" w:cs="宋体"/>
                <w:sz w:val="24"/>
                <w:szCs w:val="24"/>
                <w:highlight w:val="none"/>
              </w:rPr>
            </w:pPr>
          </w:p>
        </w:tc>
        <w:tc>
          <w:tcPr>
            <w:tcW w:w="1941" w:type="dxa"/>
            <w:vAlign w:val="center"/>
          </w:tcPr>
          <w:p w14:paraId="58F72516">
            <w:pPr>
              <w:spacing w:line="240" w:lineRule="auto"/>
              <w:jc w:val="center"/>
              <w:rPr>
                <w:rFonts w:ascii="宋体" w:hAnsi="宋体" w:eastAsia="宋体" w:cs="宋体"/>
                <w:sz w:val="24"/>
                <w:szCs w:val="24"/>
                <w:highlight w:val="none"/>
              </w:rPr>
            </w:pPr>
          </w:p>
        </w:tc>
      </w:tr>
      <w:tr w14:paraId="4A6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D037E4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698" w:type="dxa"/>
            <w:vAlign w:val="center"/>
          </w:tcPr>
          <w:p w14:paraId="6F31274C">
            <w:pPr>
              <w:spacing w:line="240" w:lineRule="auto"/>
              <w:jc w:val="center"/>
              <w:rPr>
                <w:rFonts w:ascii="宋体" w:hAnsi="宋体" w:eastAsia="宋体" w:cs="宋体"/>
                <w:sz w:val="24"/>
                <w:szCs w:val="24"/>
                <w:highlight w:val="none"/>
              </w:rPr>
            </w:pPr>
          </w:p>
        </w:tc>
        <w:tc>
          <w:tcPr>
            <w:tcW w:w="3512" w:type="dxa"/>
            <w:vAlign w:val="center"/>
          </w:tcPr>
          <w:p w14:paraId="348273A6">
            <w:pPr>
              <w:spacing w:line="240" w:lineRule="auto"/>
              <w:jc w:val="center"/>
              <w:rPr>
                <w:rFonts w:ascii="宋体" w:hAnsi="宋体" w:eastAsia="宋体" w:cs="宋体"/>
                <w:sz w:val="24"/>
                <w:szCs w:val="24"/>
                <w:highlight w:val="none"/>
              </w:rPr>
            </w:pPr>
          </w:p>
        </w:tc>
        <w:tc>
          <w:tcPr>
            <w:tcW w:w="1275" w:type="dxa"/>
            <w:vAlign w:val="center"/>
          </w:tcPr>
          <w:p w14:paraId="07BB1D9B">
            <w:pPr>
              <w:spacing w:line="240" w:lineRule="auto"/>
              <w:jc w:val="center"/>
              <w:rPr>
                <w:rFonts w:ascii="宋体" w:hAnsi="宋体" w:eastAsia="宋体" w:cs="宋体"/>
                <w:sz w:val="24"/>
                <w:szCs w:val="24"/>
                <w:highlight w:val="none"/>
              </w:rPr>
            </w:pPr>
          </w:p>
        </w:tc>
        <w:tc>
          <w:tcPr>
            <w:tcW w:w="1941" w:type="dxa"/>
            <w:vAlign w:val="center"/>
          </w:tcPr>
          <w:p w14:paraId="3B0019C0">
            <w:pPr>
              <w:spacing w:line="240" w:lineRule="auto"/>
              <w:jc w:val="center"/>
              <w:rPr>
                <w:rFonts w:ascii="宋体" w:hAnsi="宋体" w:eastAsia="宋体" w:cs="宋体"/>
                <w:sz w:val="24"/>
                <w:szCs w:val="24"/>
                <w:highlight w:val="none"/>
              </w:rPr>
            </w:pPr>
          </w:p>
        </w:tc>
      </w:tr>
      <w:tr w14:paraId="4199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CC9E660">
            <w:pPr>
              <w:spacing w:line="240" w:lineRule="auto"/>
              <w:jc w:val="center"/>
              <w:rPr>
                <w:rFonts w:ascii="宋体" w:hAnsi="宋体" w:eastAsia="宋体" w:cs="宋体"/>
                <w:sz w:val="24"/>
                <w:szCs w:val="24"/>
                <w:highlight w:val="none"/>
              </w:rPr>
            </w:pPr>
          </w:p>
        </w:tc>
        <w:tc>
          <w:tcPr>
            <w:tcW w:w="1698" w:type="dxa"/>
            <w:vAlign w:val="center"/>
          </w:tcPr>
          <w:p w14:paraId="37999F14">
            <w:pPr>
              <w:spacing w:line="240" w:lineRule="auto"/>
              <w:jc w:val="center"/>
              <w:rPr>
                <w:rFonts w:ascii="宋体" w:hAnsi="宋体" w:eastAsia="宋体" w:cs="宋体"/>
                <w:sz w:val="24"/>
                <w:szCs w:val="24"/>
                <w:highlight w:val="none"/>
              </w:rPr>
            </w:pPr>
          </w:p>
        </w:tc>
        <w:tc>
          <w:tcPr>
            <w:tcW w:w="3512" w:type="dxa"/>
            <w:vAlign w:val="center"/>
          </w:tcPr>
          <w:p w14:paraId="270764DC">
            <w:pPr>
              <w:spacing w:line="240" w:lineRule="auto"/>
              <w:jc w:val="center"/>
              <w:rPr>
                <w:rFonts w:ascii="宋体" w:hAnsi="宋体" w:eastAsia="宋体" w:cs="宋体"/>
                <w:sz w:val="24"/>
                <w:szCs w:val="24"/>
                <w:highlight w:val="none"/>
              </w:rPr>
            </w:pPr>
          </w:p>
        </w:tc>
        <w:tc>
          <w:tcPr>
            <w:tcW w:w="1275" w:type="dxa"/>
            <w:vAlign w:val="center"/>
          </w:tcPr>
          <w:p w14:paraId="57E55AD7">
            <w:pPr>
              <w:spacing w:line="240" w:lineRule="auto"/>
              <w:jc w:val="center"/>
              <w:rPr>
                <w:rFonts w:ascii="宋体" w:hAnsi="宋体" w:eastAsia="宋体" w:cs="宋体"/>
                <w:sz w:val="24"/>
                <w:szCs w:val="24"/>
                <w:highlight w:val="none"/>
              </w:rPr>
            </w:pPr>
          </w:p>
        </w:tc>
        <w:tc>
          <w:tcPr>
            <w:tcW w:w="1941" w:type="dxa"/>
            <w:vAlign w:val="center"/>
          </w:tcPr>
          <w:p w14:paraId="2CDDF695">
            <w:pPr>
              <w:spacing w:line="240" w:lineRule="auto"/>
              <w:jc w:val="center"/>
              <w:rPr>
                <w:rFonts w:ascii="宋体" w:hAnsi="宋体" w:eastAsia="宋体" w:cs="宋体"/>
                <w:sz w:val="24"/>
                <w:szCs w:val="24"/>
                <w:highlight w:val="none"/>
              </w:rPr>
            </w:pPr>
          </w:p>
        </w:tc>
      </w:tr>
      <w:tr w14:paraId="5DE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BD70FFE">
            <w:pPr>
              <w:spacing w:line="240" w:lineRule="auto"/>
              <w:jc w:val="center"/>
              <w:rPr>
                <w:rFonts w:ascii="宋体" w:hAnsi="宋体" w:eastAsia="宋体" w:cs="宋体"/>
                <w:sz w:val="24"/>
                <w:szCs w:val="24"/>
                <w:highlight w:val="none"/>
              </w:rPr>
            </w:pPr>
          </w:p>
        </w:tc>
        <w:tc>
          <w:tcPr>
            <w:tcW w:w="1698" w:type="dxa"/>
            <w:vAlign w:val="center"/>
          </w:tcPr>
          <w:p w14:paraId="762F9C07">
            <w:pPr>
              <w:spacing w:line="240" w:lineRule="auto"/>
              <w:jc w:val="center"/>
              <w:rPr>
                <w:rFonts w:ascii="宋体" w:hAnsi="宋体" w:eastAsia="宋体" w:cs="宋体"/>
                <w:sz w:val="24"/>
                <w:szCs w:val="24"/>
                <w:highlight w:val="none"/>
              </w:rPr>
            </w:pPr>
          </w:p>
        </w:tc>
        <w:tc>
          <w:tcPr>
            <w:tcW w:w="3512" w:type="dxa"/>
            <w:vAlign w:val="center"/>
          </w:tcPr>
          <w:p w14:paraId="6D14283E">
            <w:pPr>
              <w:spacing w:line="240" w:lineRule="auto"/>
              <w:jc w:val="center"/>
              <w:rPr>
                <w:rFonts w:ascii="宋体" w:hAnsi="宋体" w:eastAsia="宋体" w:cs="宋体"/>
                <w:sz w:val="24"/>
                <w:szCs w:val="24"/>
                <w:highlight w:val="none"/>
              </w:rPr>
            </w:pPr>
          </w:p>
        </w:tc>
        <w:tc>
          <w:tcPr>
            <w:tcW w:w="1275" w:type="dxa"/>
            <w:vAlign w:val="center"/>
          </w:tcPr>
          <w:p w14:paraId="220B31DF">
            <w:pPr>
              <w:spacing w:line="240" w:lineRule="auto"/>
              <w:jc w:val="center"/>
              <w:rPr>
                <w:rFonts w:ascii="宋体" w:hAnsi="宋体" w:eastAsia="宋体" w:cs="宋体"/>
                <w:sz w:val="24"/>
                <w:szCs w:val="24"/>
                <w:highlight w:val="none"/>
              </w:rPr>
            </w:pPr>
          </w:p>
        </w:tc>
        <w:tc>
          <w:tcPr>
            <w:tcW w:w="1941" w:type="dxa"/>
            <w:vAlign w:val="center"/>
          </w:tcPr>
          <w:p w14:paraId="32465C26">
            <w:pPr>
              <w:spacing w:line="240" w:lineRule="auto"/>
              <w:jc w:val="center"/>
              <w:rPr>
                <w:rFonts w:ascii="宋体" w:hAnsi="宋体" w:eastAsia="宋体" w:cs="宋体"/>
                <w:sz w:val="24"/>
                <w:szCs w:val="24"/>
                <w:highlight w:val="none"/>
              </w:rPr>
            </w:pPr>
          </w:p>
        </w:tc>
      </w:tr>
      <w:tr w14:paraId="01D9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DA55B48">
            <w:pPr>
              <w:spacing w:line="240" w:lineRule="auto"/>
              <w:jc w:val="center"/>
              <w:rPr>
                <w:rFonts w:ascii="宋体" w:hAnsi="宋体" w:eastAsia="宋体" w:cs="宋体"/>
                <w:sz w:val="24"/>
                <w:szCs w:val="24"/>
                <w:highlight w:val="none"/>
              </w:rPr>
            </w:pPr>
          </w:p>
        </w:tc>
        <w:tc>
          <w:tcPr>
            <w:tcW w:w="1698" w:type="dxa"/>
            <w:vAlign w:val="center"/>
          </w:tcPr>
          <w:p w14:paraId="645DEED4">
            <w:pPr>
              <w:spacing w:line="240" w:lineRule="auto"/>
              <w:jc w:val="center"/>
              <w:rPr>
                <w:rFonts w:ascii="宋体" w:hAnsi="宋体" w:eastAsia="宋体" w:cs="宋体"/>
                <w:sz w:val="24"/>
                <w:szCs w:val="24"/>
                <w:highlight w:val="none"/>
              </w:rPr>
            </w:pPr>
          </w:p>
        </w:tc>
        <w:tc>
          <w:tcPr>
            <w:tcW w:w="3512" w:type="dxa"/>
            <w:vAlign w:val="center"/>
          </w:tcPr>
          <w:p w14:paraId="4F04AF03">
            <w:pPr>
              <w:spacing w:line="240" w:lineRule="auto"/>
              <w:jc w:val="center"/>
              <w:rPr>
                <w:rFonts w:ascii="宋体" w:hAnsi="宋体" w:eastAsia="宋体" w:cs="宋体"/>
                <w:sz w:val="24"/>
                <w:szCs w:val="24"/>
                <w:highlight w:val="none"/>
              </w:rPr>
            </w:pPr>
          </w:p>
        </w:tc>
        <w:tc>
          <w:tcPr>
            <w:tcW w:w="1275" w:type="dxa"/>
            <w:vAlign w:val="center"/>
          </w:tcPr>
          <w:p w14:paraId="6932BEEE">
            <w:pPr>
              <w:spacing w:line="240" w:lineRule="auto"/>
              <w:jc w:val="center"/>
              <w:rPr>
                <w:rFonts w:ascii="宋体" w:hAnsi="宋体" w:eastAsia="宋体" w:cs="宋体"/>
                <w:sz w:val="24"/>
                <w:szCs w:val="24"/>
                <w:highlight w:val="none"/>
              </w:rPr>
            </w:pPr>
          </w:p>
        </w:tc>
        <w:tc>
          <w:tcPr>
            <w:tcW w:w="1941" w:type="dxa"/>
            <w:vAlign w:val="center"/>
          </w:tcPr>
          <w:p w14:paraId="2E9FECAF">
            <w:pPr>
              <w:spacing w:line="240" w:lineRule="auto"/>
              <w:jc w:val="center"/>
              <w:rPr>
                <w:rFonts w:ascii="宋体" w:hAnsi="宋体" w:eastAsia="宋体" w:cs="宋体"/>
                <w:sz w:val="24"/>
                <w:szCs w:val="24"/>
                <w:highlight w:val="none"/>
              </w:rPr>
            </w:pPr>
          </w:p>
        </w:tc>
      </w:tr>
      <w:tr w14:paraId="63C3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18F3F07">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1698" w:type="dxa"/>
            <w:vAlign w:val="center"/>
          </w:tcPr>
          <w:p w14:paraId="6FBE8929">
            <w:pPr>
              <w:spacing w:line="240" w:lineRule="auto"/>
              <w:jc w:val="center"/>
              <w:rPr>
                <w:rFonts w:ascii="宋体" w:hAnsi="宋体" w:eastAsia="宋体" w:cs="宋体"/>
                <w:sz w:val="24"/>
                <w:szCs w:val="24"/>
                <w:highlight w:val="none"/>
              </w:rPr>
            </w:pPr>
          </w:p>
        </w:tc>
        <w:tc>
          <w:tcPr>
            <w:tcW w:w="3512" w:type="dxa"/>
            <w:vAlign w:val="center"/>
          </w:tcPr>
          <w:p w14:paraId="390060B7">
            <w:pPr>
              <w:spacing w:line="240" w:lineRule="auto"/>
              <w:jc w:val="center"/>
              <w:rPr>
                <w:rFonts w:ascii="宋体" w:hAnsi="宋体" w:eastAsia="宋体" w:cs="宋体"/>
                <w:sz w:val="24"/>
                <w:szCs w:val="24"/>
                <w:highlight w:val="none"/>
              </w:rPr>
            </w:pPr>
          </w:p>
        </w:tc>
        <w:tc>
          <w:tcPr>
            <w:tcW w:w="1275" w:type="dxa"/>
            <w:vAlign w:val="center"/>
          </w:tcPr>
          <w:p w14:paraId="6EEC1AC1">
            <w:pPr>
              <w:spacing w:line="240" w:lineRule="auto"/>
              <w:jc w:val="center"/>
              <w:rPr>
                <w:rFonts w:ascii="宋体" w:hAnsi="宋体" w:eastAsia="宋体" w:cs="宋体"/>
                <w:sz w:val="24"/>
                <w:szCs w:val="24"/>
                <w:highlight w:val="none"/>
              </w:rPr>
            </w:pPr>
          </w:p>
        </w:tc>
        <w:tc>
          <w:tcPr>
            <w:tcW w:w="1941" w:type="dxa"/>
            <w:vAlign w:val="center"/>
          </w:tcPr>
          <w:p w14:paraId="2FCDE843">
            <w:pPr>
              <w:spacing w:line="240" w:lineRule="auto"/>
              <w:jc w:val="center"/>
              <w:rPr>
                <w:rFonts w:ascii="宋体" w:hAnsi="宋体" w:eastAsia="宋体" w:cs="宋体"/>
                <w:sz w:val="24"/>
                <w:szCs w:val="24"/>
                <w:highlight w:val="none"/>
              </w:rPr>
            </w:pPr>
          </w:p>
        </w:tc>
      </w:tr>
    </w:tbl>
    <w:p w14:paraId="0CA1D043">
      <w:pPr>
        <w:pStyle w:val="22"/>
        <w:ind w:firstLine="243"/>
        <w:rPr>
          <w:rFonts w:ascii="宋体" w:hAnsi="宋体" w:eastAsia="仿宋" w:cs="宋体"/>
          <w:bCs/>
          <w:sz w:val="24"/>
          <w:highlight w:val="none"/>
        </w:rPr>
      </w:pPr>
    </w:p>
    <w:p w14:paraId="262770AE">
      <w:pPr>
        <w:tabs>
          <w:tab w:val="left" w:pos="5670"/>
        </w:tabs>
        <w:spacing w:beforeAutospacing="0" w:afterAutospacing="0" w:line="560" w:lineRule="exact"/>
        <w:ind w:firstLine="426"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备注：请对应谈判文件的“第</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部分”中的要求依次、认真填写本表。偏离情况填写：“优于、等于或低于”。如有优于请在说明栏写明“优于”的详细情况。如供应商承诺响应谈判文件中规定的实质性要求和条件，上栏可不填写，但本页必须满足签字或盖章要求；</w:t>
      </w:r>
    </w:p>
    <w:p w14:paraId="355D875C">
      <w:pPr>
        <w:spacing w:line="500" w:lineRule="exact"/>
        <w:ind w:firstLine="566" w:firstLineChars="200"/>
        <w:rPr>
          <w:rFonts w:ascii="仿宋" w:hAnsi="仿宋" w:eastAsia="仿宋"/>
          <w:highlight w:val="none"/>
        </w:rPr>
      </w:pPr>
    </w:p>
    <w:p w14:paraId="6FDB0F99">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14:paraId="7B2381EC">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法定代表人或授权代表：（签字或盖章）</w:t>
      </w:r>
    </w:p>
    <w:p w14:paraId="348C58FC">
      <w:pPr>
        <w:spacing w:line="500" w:lineRule="exact"/>
        <w:ind w:firstLine="4250" w:firstLineChars="1502"/>
        <w:rPr>
          <w:rFonts w:ascii="仿宋" w:hAnsi="仿宋" w:eastAsia="仿宋" w:cs="仿宋"/>
          <w:highlight w:val="none"/>
        </w:rPr>
      </w:pPr>
      <w:r>
        <w:rPr>
          <w:rFonts w:hint="eastAsia" w:ascii="仿宋" w:hAnsi="仿宋" w:eastAsia="仿宋" w:cs="仿宋"/>
          <w:highlight w:val="none"/>
        </w:rPr>
        <w:t>日  期：   年  月  日</w:t>
      </w:r>
    </w:p>
    <w:p w14:paraId="376B64F1">
      <w:pPr>
        <w:pStyle w:val="22"/>
        <w:ind w:firstLine="243"/>
        <w:rPr>
          <w:rFonts w:ascii="宋体" w:hAnsi="宋体" w:eastAsia="仿宋" w:cs="宋体"/>
          <w:bCs/>
          <w:sz w:val="24"/>
          <w:highlight w:val="none"/>
        </w:rPr>
      </w:pPr>
    </w:p>
    <w:p w14:paraId="53DAF0EE">
      <w:pPr>
        <w:pStyle w:val="22"/>
        <w:ind w:firstLine="243"/>
        <w:rPr>
          <w:rFonts w:ascii="宋体" w:hAnsi="宋体" w:eastAsia="仿宋" w:cs="宋体"/>
          <w:bCs/>
          <w:sz w:val="24"/>
          <w:highlight w:val="none"/>
        </w:rPr>
      </w:pPr>
    </w:p>
    <w:p w14:paraId="42167F06">
      <w:pPr>
        <w:ind w:firstLine="486" w:firstLineChars="200"/>
        <w:rPr>
          <w:rFonts w:ascii="宋体" w:hAnsi="宋体" w:eastAsia="仿宋" w:cs="宋体"/>
          <w:bCs/>
          <w:sz w:val="24"/>
          <w:highlight w:val="none"/>
        </w:rPr>
      </w:pPr>
      <w:r>
        <w:rPr>
          <w:rFonts w:hint="eastAsia" w:ascii="宋体" w:hAnsi="宋体" w:eastAsia="仿宋" w:cs="宋体"/>
          <w:bCs/>
          <w:sz w:val="24"/>
          <w:highlight w:val="none"/>
        </w:rPr>
        <w:br w:type="page"/>
      </w:r>
    </w:p>
    <w:p w14:paraId="09E64745">
      <w:pPr>
        <w:pStyle w:val="50"/>
        <w:pageBreakBefore w:val="0"/>
        <w:widowControl/>
        <w:kinsoku/>
        <w:wordWrap/>
        <w:overflowPunct/>
        <w:topLinePunct w:val="0"/>
        <w:autoSpaceDE/>
        <w:autoSpaceDN/>
        <w:bidi w:val="0"/>
        <w:adjustRightInd/>
        <w:snapToGrid/>
        <w:spacing w:beforeAutospacing="0" w:afterAutospacing="0" w:line="560" w:lineRule="exact"/>
        <w:ind w:firstLine="0" w:firstLineChars="0"/>
        <w:textAlignment w:val="auto"/>
        <w:outlineLvl w:val="0"/>
        <w:rPr>
          <w:rFonts w:ascii="黑体" w:hAnsi="黑体" w:eastAsia="黑体" w:cs="黑体"/>
          <w:b w:val="0"/>
          <w:bCs w:val="0"/>
          <w:sz w:val="32"/>
          <w:szCs w:val="32"/>
          <w:highlight w:val="none"/>
        </w:rPr>
      </w:pPr>
      <w:bookmarkStart w:id="538" w:name="_Toc27702"/>
      <w:bookmarkStart w:id="539" w:name="_Toc24858"/>
      <w:bookmarkStart w:id="540" w:name="_Toc13901"/>
      <w:bookmarkStart w:id="541" w:name="_Toc25987"/>
      <w:bookmarkStart w:id="542" w:name="_Toc12714"/>
      <w:bookmarkStart w:id="543" w:name="_Toc13494"/>
      <w:bookmarkStart w:id="544" w:name="_Toc13303"/>
      <w:bookmarkStart w:id="545" w:name="_Toc28681289"/>
      <w:bookmarkStart w:id="546" w:name="_Toc10904"/>
      <w:bookmarkStart w:id="547" w:name="_Toc1502"/>
      <w:bookmarkStart w:id="548" w:name="_Toc9741"/>
      <w:r>
        <w:rPr>
          <w:rFonts w:hint="eastAsia" w:ascii="黑体" w:hAnsi="黑体" w:eastAsia="黑体" w:cs="黑体"/>
          <w:b w:val="0"/>
          <w:bCs w:val="0"/>
          <w:sz w:val="32"/>
          <w:szCs w:val="32"/>
          <w:highlight w:val="none"/>
        </w:rPr>
        <w:t>第三部分  响应方案</w:t>
      </w:r>
      <w:bookmarkEnd w:id="538"/>
      <w:bookmarkEnd w:id="539"/>
      <w:bookmarkEnd w:id="540"/>
      <w:bookmarkEnd w:id="541"/>
      <w:bookmarkEnd w:id="542"/>
      <w:bookmarkEnd w:id="543"/>
      <w:bookmarkEnd w:id="544"/>
      <w:bookmarkEnd w:id="545"/>
      <w:bookmarkEnd w:id="546"/>
      <w:bookmarkEnd w:id="547"/>
      <w:bookmarkEnd w:id="548"/>
    </w:p>
    <w:p w14:paraId="5BF2BC54">
      <w:pPr>
        <w:pStyle w:val="50"/>
        <w:pageBreakBefore w:val="0"/>
        <w:widowControl/>
        <w:kinsoku/>
        <w:wordWrap/>
        <w:overflowPunct/>
        <w:topLinePunct w:val="0"/>
        <w:autoSpaceDE/>
        <w:autoSpaceDN/>
        <w:bidi w:val="0"/>
        <w:adjustRightInd/>
        <w:snapToGrid/>
        <w:spacing w:beforeAutospacing="0" w:afterAutospacing="0" w:line="560" w:lineRule="exact"/>
        <w:ind w:firstLine="646" w:firstLineChars="200"/>
        <w:jc w:val="both"/>
        <w:textAlignment w:val="auto"/>
        <w:rPr>
          <w:rFonts w:cs="仿宋"/>
          <w:sz w:val="32"/>
          <w:szCs w:val="32"/>
          <w:highlight w:val="none"/>
        </w:rPr>
      </w:pPr>
      <w:bookmarkStart w:id="549" w:name="_Toc31380"/>
      <w:bookmarkStart w:id="550" w:name="_Toc14977"/>
      <w:bookmarkStart w:id="551" w:name="_Toc31854"/>
      <w:bookmarkStart w:id="552" w:name="_Toc21831"/>
      <w:bookmarkStart w:id="553" w:name="_Toc10990"/>
      <w:bookmarkStart w:id="554" w:name="_Toc30122"/>
      <w:bookmarkStart w:id="555" w:name="_Toc21177"/>
      <w:bookmarkStart w:id="556" w:name="_Toc28681290"/>
      <w:bookmarkStart w:id="557" w:name="_Toc26225"/>
      <w:bookmarkStart w:id="558" w:name="_Toc15766"/>
      <w:bookmarkStart w:id="559" w:name="_Toc28681581"/>
      <w:r>
        <w:rPr>
          <w:rFonts w:hint="eastAsia" w:cs="仿宋"/>
          <w:sz w:val="32"/>
          <w:szCs w:val="32"/>
          <w:highlight w:val="none"/>
        </w:rPr>
        <w:t>一、供应商性质及其概况</w:t>
      </w:r>
      <w:bookmarkEnd w:id="549"/>
      <w:bookmarkEnd w:id="550"/>
      <w:bookmarkEnd w:id="551"/>
      <w:bookmarkEnd w:id="552"/>
      <w:bookmarkEnd w:id="553"/>
      <w:bookmarkEnd w:id="554"/>
      <w:bookmarkEnd w:id="555"/>
      <w:bookmarkEnd w:id="556"/>
      <w:bookmarkEnd w:id="557"/>
      <w:bookmarkEnd w:id="558"/>
      <w:bookmarkEnd w:id="559"/>
    </w:p>
    <w:p w14:paraId="0625DE46">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outlineLvl w:val="2"/>
        <w:rPr>
          <w:rFonts w:eastAsia="仿宋"/>
          <w:b/>
          <w:bCs/>
          <w:highlight w:val="none"/>
        </w:rPr>
      </w:pPr>
      <w:bookmarkStart w:id="560" w:name="_Toc28681291"/>
      <w:r>
        <w:rPr>
          <w:rFonts w:hint="eastAsia" w:eastAsia="仿宋"/>
          <w:b/>
          <w:bCs/>
          <w:highlight w:val="none"/>
        </w:rPr>
        <w:t>（</w:t>
      </w:r>
      <w:r>
        <w:rPr>
          <w:rFonts w:eastAsia="仿宋"/>
          <w:b/>
          <w:bCs/>
          <w:highlight w:val="none"/>
        </w:rPr>
        <w:t>一</w:t>
      </w:r>
      <w:r>
        <w:rPr>
          <w:rFonts w:hint="eastAsia" w:eastAsia="仿宋"/>
          <w:b/>
          <w:bCs/>
          <w:highlight w:val="none"/>
        </w:rPr>
        <w:t>）供应</w:t>
      </w:r>
      <w:r>
        <w:rPr>
          <w:rFonts w:eastAsia="仿宋"/>
          <w:b/>
          <w:bCs/>
          <w:highlight w:val="none"/>
        </w:rPr>
        <w:t>商基本</w:t>
      </w:r>
      <w:r>
        <w:rPr>
          <w:rFonts w:hint="eastAsia" w:eastAsia="仿宋"/>
          <w:b/>
          <w:bCs/>
          <w:highlight w:val="none"/>
        </w:rPr>
        <w:t>情况</w:t>
      </w:r>
      <w:bookmarkEnd w:id="560"/>
    </w:p>
    <w:p w14:paraId="294986EA">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包括但不限于成立时间、经营范围、股权变更、总公司分公司分布及经营状况、管理制度、人员配备、用户评价、正在实施的项目以及评优获奖等情况，以及供应商认为有利于成交的其他情况等说明。</w:t>
      </w:r>
    </w:p>
    <w:p w14:paraId="0FC40A04">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outlineLvl w:val="2"/>
        <w:rPr>
          <w:rFonts w:eastAsia="仿宋"/>
          <w:b/>
          <w:bCs/>
          <w:highlight w:val="none"/>
        </w:rPr>
      </w:pPr>
      <w:r>
        <w:rPr>
          <w:rFonts w:hint="eastAsia" w:eastAsia="仿宋"/>
          <w:b/>
          <w:bCs/>
          <w:highlight w:val="none"/>
        </w:rPr>
        <w:t>（二）供应商性质</w:t>
      </w:r>
    </w:p>
    <w:p w14:paraId="1D73FAF5">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中小企业、残疾人福利性单位投标时，应提供声明函（按下文给定格式）。未提供或未按给定格式提供</w:t>
      </w:r>
      <w:r>
        <w:rPr>
          <w:rFonts w:hint="eastAsia" w:eastAsia="仿宋"/>
          <w:b/>
          <w:bCs/>
          <w:highlight w:val="none"/>
        </w:rPr>
        <w:t>声明函</w:t>
      </w:r>
      <w:r>
        <w:rPr>
          <w:rFonts w:hint="eastAsia" w:eastAsia="仿宋"/>
          <w:highlight w:val="none"/>
        </w:rPr>
        <w:t>的，其投标产品中的小型、微型企业产品、残疾人福利性单位生产的产品将不能享受谈判文件规定的价格扣除，但不影响投标文件的有效性。</w:t>
      </w:r>
    </w:p>
    <w:p w14:paraId="34CB7864">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监狱企业投标时，应当提供由省级以上监狱管理局、戒毒管理局（含新疆生产建设兵团）出具的属于监狱企业的</w:t>
      </w:r>
      <w:r>
        <w:rPr>
          <w:rFonts w:hint="eastAsia" w:eastAsia="仿宋"/>
          <w:b/>
          <w:bCs/>
          <w:highlight w:val="none"/>
        </w:rPr>
        <w:t>证明文件</w:t>
      </w:r>
      <w:r>
        <w:rPr>
          <w:rFonts w:hint="eastAsia" w:eastAsia="仿宋"/>
          <w:highlight w:val="none"/>
        </w:rPr>
        <w:t>（格式不做要求）。未提供证明文件的不能享受谈判文件规定的价格扣除，但不影响投标文件的有效性。</w:t>
      </w:r>
    </w:p>
    <w:p w14:paraId="39D9D169">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highlight w:val="none"/>
        </w:rPr>
      </w:pPr>
      <w:r>
        <w:rPr>
          <w:rFonts w:hint="eastAsia" w:eastAsia="仿宋"/>
          <w:highlight w:val="none"/>
        </w:rPr>
        <w:t>本项目不接受联合体响应，不允许分包。供应商提供《非联合体不分包投标声明》，视为独立投标，不分包。</w:t>
      </w:r>
    </w:p>
    <w:p w14:paraId="289EB2E1">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b/>
          <w:bCs/>
          <w:highlight w:val="none"/>
        </w:rPr>
      </w:pPr>
      <w:r>
        <w:rPr>
          <w:rFonts w:hint="eastAsia" w:eastAsia="仿宋"/>
          <w:b/>
          <w:bCs/>
          <w:highlight w:val="none"/>
        </w:rPr>
        <w:t>特别提醒：供应商性质（声明函或证明文件）将随中标公告一同公布，接受社会监督。</w:t>
      </w:r>
    </w:p>
    <w:p w14:paraId="7E6E21B7">
      <w:pPr>
        <w:pageBreakBefore w:val="0"/>
        <w:widowControl/>
        <w:kinsoku/>
        <w:wordWrap/>
        <w:overflowPunct/>
        <w:topLinePunct w:val="0"/>
        <w:autoSpaceDE/>
        <w:autoSpaceDN/>
        <w:bidi w:val="0"/>
        <w:adjustRightInd/>
        <w:snapToGrid/>
        <w:spacing w:beforeAutospacing="0" w:afterAutospacing="0" w:line="560" w:lineRule="exact"/>
        <w:ind w:firstLine="566" w:firstLineChars="200"/>
        <w:textAlignment w:val="auto"/>
        <w:rPr>
          <w:rFonts w:eastAsia="仿宋"/>
          <w:b/>
          <w:highlight w:val="none"/>
        </w:rPr>
      </w:pPr>
      <w:r>
        <w:rPr>
          <w:rFonts w:hint="eastAsia" w:eastAsia="仿宋"/>
          <w:b/>
          <w:highlight w:val="none"/>
        </w:rPr>
        <w:t>（三）</w:t>
      </w:r>
      <w:r>
        <w:rPr>
          <w:rFonts w:eastAsia="仿宋"/>
          <w:b/>
          <w:highlight w:val="none"/>
        </w:rPr>
        <w:t>其他</w:t>
      </w:r>
    </w:p>
    <w:p w14:paraId="6A08CA1C">
      <w:pPr>
        <w:pageBreakBefore w:val="0"/>
        <w:widowControl/>
        <w:tabs>
          <w:tab w:val="right" w:pos="8364"/>
        </w:tabs>
        <w:kinsoku/>
        <w:wordWrap/>
        <w:overflowPunct/>
        <w:topLinePunct w:val="0"/>
        <w:autoSpaceDE/>
        <w:autoSpaceDN/>
        <w:bidi w:val="0"/>
        <w:adjustRightInd/>
        <w:snapToGrid/>
        <w:spacing w:beforeAutospacing="0" w:afterAutospacing="0" w:line="560" w:lineRule="exact"/>
        <w:ind w:firstLine="566" w:firstLineChars="200"/>
        <w:jc w:val="left"/>
        <w:textAlignment w:val="auto"/>
        <w:rPr>
          <w:rFonts w:eastAsia="仿宋"/>
          <w:highlight w:val="none"/>
        </w:rPr>
      </w:pPr>
      <w:r>
        <w:rPr>
          <w:rFonts w:hint="eastAsia" w:eastAsia="仿宋"/>
          <w:highlight w:val="none"/>
        </w:rPr>
        <w:t>如：</w:t>
      </w:r>
      <w:r>
        <w:rPr>
          <w:rFonts w:eastAsia="仿宋"/>
          <w:highlight w:val="none"/>
        </w:rPr>
        <w:t>经营状况</w:t>
      </w:r>
      <w:r>
        <w:rPr>
          <w:rFonts w:hint="eastAsia" w:eastAsia="仿宋"/>
          <w:highlight w:val="none"/>
        </w:rPr>
        <w:t>、相关产品、</w:t>
      </w:r>
      <w:r>
        <w:rPr>
          <w:rFonts w:eastAsia="仿宋"/>
          <w:highlight w:val="none"/>
        </w:rPr>
        <w:t>用户评价</w:t>
      </w:r>
      <w:r>
        <w:rPr>
          <w:rFonts w:hint="eastAsia" w:eastAsia="仿宋"/>
          <w:highlight w:val="none"/>
        </w:rPr>
        <w:t>等</w:t>
      </w:r>
      <w:r>
        <w:rPr>
          <w:rFonts w:eastAsia="仿宋"/>
          <w:highlight w:val="none"/>
        </w:rPr>
        <w:t>。</w:t>
      </w:r>
    </w:p>
    <w:p w14:paraId="554FF406">
      <w:pPr>
        <w:spacing w:beforeAutospacing="0" w:afterAutospacing="0" w:line="560" w:lineRule="exact"/>
        <w:ind w:firstLine="566" w:firstLineChars="200"/>
        <w:jc w:val="left"/>
        <w:rPr>
          <w:rFonts w:eastAsia="仿宋"/>
          <w:highlight w:val="none"/>
        </w:rPr>
      </w:pPr>
      <w:r>
        <w:rPr>
          <w:rFonts w:eastAsia="仿宋"/>
          <w:highlight w:val="none"/>
        </w:rPr>
        <w:br w:type="page"/>
      </w:r>
    </w:p>
    <w:p w14:paraId="388AB7ED">
      <w:pPr>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中小企业声明函（格式）</w:t>
      </w:r>
    </w:p>
    <w:p w14:paraId="3980A0FF">
      <w:pPr>
        <w:spacing w:beforeAutospacing="0" w:afterAutospacing="0" w:line="560" w:lineRule="exact"/>
        <w:ind w:firstLine="566" w:firstLineChars="200"/>
        <w:rPr>
          <w:rFonts w:eastAsia="仿宋"/>
          <w:highlight w:val="none"/>
        </w:rPr>
      </w:pPr>
      <w:r>
        <w:rPr>
          <w:rFonts w:hint="eastAsia" w:eastAsia="仿宋"/>
          <w:highlight w:val="none"/>
        </w:rPr>
        <w:t>本公司郑重声明，根据《政府采购促进中小企业发展暂行办法》（财库[2011]181号）的规定，本公司为______（请填写：中型、小型、微型）企业。即，本公司同时满足以下条件：</w:t>
      </w:r>
    </w:p>
    <w:p w14:paraId="27E45FAB">
      <w:pPr>
        <w:spacing w:beforeAutospacing="0" w:afterAutospacing="0" w:line="560" w:lineRule="exact"/>
        <w:ind w:firstLine="566" w:firstLineChars="200"/>
        <w:rPr>
          <w:rFonts w:eastAsia="仿宋"/>
          <w:highlight w:val="none"/>
        </w:rPr>
      </w:pPr>
      <w:r>
        <w:rPr>
          <w:rFonts w:hint="eastAsia" w:eastAsia="仿宋"/>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0F6D0D">
      <w:pPr>
        <w:spacing w:beforeAutospacing="0" w:afterAutospacing="0" w:line="560" w:lineRule="exact"/>
        <w:ind w:firstLine="566" w:firstLineChars="200"/>
        <w:rPr>
          <w:rFonts w:eastAsia="仿宋"/>
          <w:highlight w:val="none"/>
        </w:rPr>
      </w:pPr>
      <w:r>
        <w:rPr>
          <w:rFonts w:hint="eastAsia" w:eastAsia="仿宋"/>
          <w:highlight w:val="none"/>
        </w:rPr>
        <w:t>2、本公司参加</w:t>
      </w:r>
      <w:r>
        <w:rPr>
          <w:rFonts w:hint="eastAsia" w:eastAsia="仿宋"/>
          <w:highlight w:val="none"/>
          <w:u w:val="single"/>
        </w:rPr>
        <w:t xml:space="preserve">  项目名称  （</w:t>
      </w:r>
      <w:r>
        <w:rPr>
          <w:rFonts w:hint="eastAsia" w:eastAsia="仿宋"/>
          <w:highlight w:val="none"/>
        </w:rPr>
        <w:t>项目编号：</w:t>
      </w:r>
      <w:r>
        <w:rPr>
          <w:rFonts w:hint="eastAsia" w:ascii="仿宋" w:hAnsi="仿宋" w:eastAsia="仿宋" w:cs="仿宋"/>
          <w:highlight w:val="none"/>
          <w:u w:val="single"/>
        </w:rPr>
        <w:t xml:space="preserve">      </w:t>
      </w:r>
      <w:r>
        <w:rPr>
          <w:rFonts w:hint="eastAsia" w:eastAsia="仿宋"/>
          <w:highlight w:val="none"/>
        </w:rPr>
        <w:t>）采购活动提供本企业制造的货物，由本企业承担工程、提供服务，或者提供其他______（请填写：中型、小型、微型）企业制造的货物。本条所称货物不包括使用大型企业注册商标的货物。</w:t>
      </w:r>
    </w:p>
    <w:p w14:paraId="2396D90A">
      <w:pPr>
        <w:spacing w:beforeAutospacing="0" w:afterAutospacing="0" w:line="560" w:lineRule="exact"/>
        <w:ind w:firstLine="566" w:firstLineChars="200"/>
        <w:rPr>
          <w:rFonts w:eastAsia="仿宋"/>
          <w:highlight w:val="none"/>
        </w:rPr>
      </w:pPr>
      <w:r>
        <w:rPr>
          <w:rFonts w:hint="eastAsia" w:eastAsia="仿宋"/>
          <w:highlight w:val="none"/>
        </w:rPr>
        <w:t>本公司对上述声明的真实性负责。如有虚假，将依法承担相应责任。</w:t>
      </w:r>
    </w:p>
    <w:p w14:paraId="79A8E811">
      <w:pPr>
        <w:tabs>
          <w:tab w:val="left" w:pos="5670"/>
        </w:tabs>
        <w:spacing w:beforeAutospacing="0" w:afterAutospacing="0" w:line="560" w:lineRule="exact"/>
        <w:ind w:firstLine="566" w:firstLineChars="200"/>
        <w:jc w:val="left"/>
        <w:rPr>
          <w:rFonts w:eastAsia="仿宋"/>
          <w:highlight w:val="none"/>
        </w:rPr>
      </w:pPr>
    </w:p>
    <w:p w14:paraId="054949F1">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供应商：</w:t>
      </w:r>
      <w:r>
        <w:rPr>
          <w:rFonts w:hint="eastAsia" w:ascii="仿宋" w:hAnsi="仿宋" w:eastAsia="仿宋"/>
          <w:highlight w:val="none"/>
          <w:u w:val="single"/>
        </w:rPr>
        <w:t>名称</w:t>
      </w:r>
      <w:r>
        <w:rPr>
          <w:rFonts w:ascii="仿宋" w:hAnsi="仿宋" w:eastAsia="仿宋"/>
          <w:highlight w:val="none"/>
        </w:rPr>
        <w:t>（加盖公章）</w:t>
      </w:r>
      <w:r>
        <w:rPr>
          <w:rFonts w:ascii="仿宋" w:hAnsi="仿宋" w:eastAsia="仿宋"/>
          <w:highlight w:val="none"/>
        </w:rPr>
        <w:tab/>
      </w:r>
      <w:r>
        <w:rPr>
          <w:rFonts w:hint="eastAsia" w:ascii="仿宋" w:hAnsi="仿宋" w:eastAsia="仿宋"/>
          <w:highlight w:val="none"/>
        </w:rPr>
        <w:t xml:space="preserve">   </w:t>
      </w:r>
    </w:p>
    <w:p w14:paraId="415EC107">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法定代表人或</w:t>
      </w:r>
      <w:r>
        <w:rPr>
          <w:rFonts w:hint="eastAsia" w:ascii="仿宋" w:hAnsi="仿宋" w:eastAsia="仿宋"/>
          <w:highlight w:val="none"/>
        </w:rPr>
        <w:t>授权代表</w:t>
      </w:r>
      <w:r>
        <w:rPr>
          <w:rFonts w:ascii="仿宋" w:hAnsi="仿宋" w:eastAsia="仿宋"/>
          <w:highlight w:val="none"/>
        </w:rPr>
        <w:t>：</w:t>
      </w:r>
      <w:r>
        <w:rPr>
          <w:rFonts w:hint="eastAsia" w:ascii="仿宋" w:hAnsi="仿宋" w:eastAsia="仿宋"/>
          <w:highlight w:val="none"/>
        </w:rPr>
        <w:t xml:space="preserve">  </w:t>
      </w:r>
      <w:r>
        <w:rPr>
          <w:rFonts w:ascii="仿宋" w:hAnsi="仿宋" w:eastAsia="仿宋"/>
          <w:highlight w:val="none"/>
        </w:rPr>
        <w:t>（</w:t>
      </w:r>
      <w:r>
        <w:rPr>
          <w:rFonts w:hint="eastAsia" w:ascii="仿宋" w:hAnsi="仿宋" w:eastAsia="仿宋"/>
          <w:highlight w:val="none"/>
        </w:rPr>
        <w:t>签字或</w:t>
      </w:r>
      <w:r>
        <w:rPr>
          <w:rFonts w:ascii="仿宋" w:hAnsi="仿宋" w:eastAsia="仿宋"/>
          <w:highlight w:val="none"/>
        </w:rPr>
        <w:t>盖章）</w:t>
      </w:r>
    </w:p>
    <w:p w14:paraId="0136FDCE">
      <w:pPr>
        <w:tabs>
          <w:tab w:val="left" w:pos="5670"/>
        </w:tabs>
        <w:spacing w:beforeAutospacing="0" w:afterAutospacing="0" w:line="560" w:lineRule="exact"/>
        <w:ind w:firstLine="566" w:firstLineChars="200"/>
        <w:jc w:val="left"/>
        <w:rPr>
          <w:rFonts w:eastAsia="仿宋"/>
          <w:highlight w:val="none"/>
        </w:rPr>
      </w:pPr>
      <w:r>
        <w:rPr>
          <w:rFonts w:hint="eastAsia" w:ascii="仿宋" w:hAnsi="仿宋" w:eastAsia="仿宋"/>
          <w:highlight w:val="none"/>
        </w:rPr>
        <w:t xml:space="preserve">                                    日期：   年</w:t>
      </w:r>
      <w:r>
        <w:rPr>
          <w:rFonts w:hint="eastAsia" w:ascii="仿宋" w:hAnsi="仿宋" w:eastAsia="仿宋"/>
          <w:highlight w:val="none"/>
          <w:lang w:eastAsia="zh-CN"/>
        </w:rPr>
        <w:t xml:space="preserve"> </w:t>
      </w:r>
      <w:r>
        <w:rPr>
          <w:rFonts w:hint="eastAsia" w:ascii="仿宋" w:hAnsi="仿宋" w:eastAsia="仿宋"/>
          <w:highlight w:val="none"/>
        </w:rPr>
        <w:t>月</w:t>
      </w:r>
      <w:r>
        <w:rPr>
          <w:rFonts w:hint="eastAsia" w:ascii="仿宋" w:hAnsi="仿宋" w:eastAsia="仿宋"/>
          <w:highlight w:val="none"/>
          <w:lang w:eastAsia="zh-CN"/>
        </w:rPr>
        <w:t xml:space="preserve"> </w:t>
      </w:r>
      <w:r>
        <w:rPr>
          <w:rFonts w:hint="eastAsia" w:ascii="仿宋" w:hAnsi="仿宋" w:eastAsia="仿宋"/>
          <w:highlight w:val="none"/>
        </w:rPr>
        <w:t>日</w:t>
      </w:r>
    </w:p>
    <w:p w14:paraId="5320C7FE">
      <w:pPr>
        <w:tabs>
          <w:tab w:val="left" w:pos="5670"/>
        </w:tabs>
        <w:spacing w:beforeAutospacing="0" w:afterAutospacing="0" w:line="560" w:lineRule="exact"/>
        <w:ind w:firstLine="566" w:firstLineChars="200"/>
        <w:jc w:val="left"/>
        <w:rPr>
          <w:rFonts w:eastAsia="仿宋"/>
          <w:highlight w:val="none"/>
        </w:rPr>
      </w:pPr>
    </w:p>
    <w:p w14:paraId="58C9C9DE">
      <w:pPr>
        <w:tabs>
          <w:tab w:val="left" w:pos="5670"/>
        </w:tabs>
        <w:spacing w:beforeAutospacing="0" w:afterAutospacing="0" w:line="560" w:lineRule="exact"/>
        <w:ind w:firstLine="426" w:firstLineChars="200"/>
        <w:jc w:val="left"/>
        <w:rPr>
          <w:rFonts w:eastAsia="宋体"/>
          <w:highlight w:val="none"/>
        </w:rPr>
      </w:pPr>
      <w:r>
        <w:rPr>
          <w:rFonts w:hint="eastAsia" w:ascii="宋体" w:hAnsi="宋体" w:eastAsia="宋体" w:cs="宋体"/>
          <w:b/>
          <w:bCs/>
          <w:sz w:val="21"/>
          <w:szCs w:val="21"/>
          <w:highlight w:val="none"/>
        </w:rPr>
        <w:t>备注：</w:t>
      </w:r>
      <w:r>
        <w:rPr>
          <w:rFonts w:hint="eastAsia" w:ascii="宋体" w:hAnsi="宋体" w:eastAsia="宋体" w:cs="宋体"/>
          <w:sz w:val="21"/>
          <w:szCs w:val="21"/>
          <w:highlight w:val="none"/>
        </w:rPr>
        <w:t>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14:paraId="671A8B32">
      <w:pPr>
        <w:tabs>
          <w:tab w:val="left" w:pos="5670"/>
        </w:tabs>
        <w:spacing w:beforeAutospacing="0" w:afterAutospacing="0" w:line="560" w:lineRule="exact"/>
        <w:ind w:firstLine="566" w:firstLineChars="200"/>
        <w:jc w:val="left"/>
        <w:rPr>
          <w:rFonts w:eastAsia="仿宋"/>
          <w:highlight w:val="none"/>
        </w:rPr>
      </w:pPr>
    </w:p>
    <w:p w14:paraId="2A5F8EF3">
      <w:pPr>
        <w:tabs>
          <w:tab w:val="left" w:pos="5670"/>
        </w:tabs>
        <w:spacing w:line="500" w:lineRule="exact"/>
        <w:ind w:firstLine="566" w:firstLineChars="200"/>
        <w:jc w:val="left"/>
        <w:rPr>
          <w:rFonts w:eastAsia="仿宋"/>
          <w:highlight w:val="none"/>
        </w:rPr>
      </w:pPr>
      <w:r>
        <w:rPr>
          <w:rFonts w:eastAsia="仿宋"/>
          <w:highlight w:val="none"/>
        </w:rPr>
        <w:br w:type="page"/>
      </w:r>
    </w:p>
    <w:p w14:paraId="3F2BC198">
      <w:pPr>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残疾人福利性单位声明函（格式）</w:t>
      </w:r>
    </w:p>
    <w:p w14:paraId="0A7807B0">
      <w:pPr>
        <w:spacing w:beforeAutospacing="0" w:afterAutospacing="0" w:line="560" w:lineRule="exact"/>
        <w:ind w:firstLine="566" w:firstLineChars="200"/>
        <w:jc w:val="left"/>
        <w:rPr>
          <w:rFonts w:eastAsia="仿宋"/>
          <w:highlight w:val="none"/>
        </w:rPr>
      </w:pPr>
      <w:r>
        <w:rPr>
          <w:rFonts w:hint="eastAsia" w:eastAsia="仿宋"/>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eastAsia="仿宋"/>
          <w:highlight w:val="none"/>
          <w:u w:val="single"/>
        </w:rPr>
        <w:t xml:space="preserve">   项目名称 （</w:t>
      </w:r>
      <w:r>
        <w:rPr>
          <w:rFonts w:hint="eastAsia" w:eastAsia="仿宋"/>
          <w:highlight w:val="none"/>
        </w:rPr>
        <w:t>项目编号：</w:t>
      </w:r>
      <w:r>
        <w:rPr>
          <w:rFonts w:hint="eastAsia" w:eastAsia="仿宋"/>
          <w:highlight w:val="none"/>
          <w:u w:val="single"/>
        </w:rPr>
        <w:t xml:space="preserve">        </w:t>
      </w:r>
      <w:r>
        <w:rPr>
          <w:rFonts w:hint="eastAsia" w:eastAsia="仿宋"/>
          <w:highlight w:val="none"/>
        </w:rPr>
        <w:t>）采购活动提供本单位制造的货物（由本单位承担工程/提供服务），或者提供其他残疾人福利性单位制造的货物（不包括使用非残疾人福利性单位注册商标的货物）。</w:t>
      </w:r>
    </w:p>
    <w:p w14:paraId="10011CE1">
      <w:pPr>
        <w:spacing w:beforeAutospacing="0" w:afterAutospacing="0" w:line="560" w:lineRule="exact"/>
        <w:ind w:firstLine="566" w:firstLineChars="200"/>
        <w:jc w:val="left"/>
        <w:rPr>
          <w:rFonts w:eastAsia="仿宋"/>
          <w:highlight w:val="none"/>
        </w:rPr>
      </w:pPr>
      <w:r>
        <w:rPr>
          <w:rFonts w:hint="eastAsia" w:eastAsia="仿宋"/>
          <w:highlight w:val="none"/>
        </w:rPr>
        <w:t>本单位对上述声明的真实性负责。如有虚假，将依法承担相应责任。</w:t>
      </w:r>
    </w:p>
    <w:p w14:paraId="01FB82EA">
      <w:pPr>
        <w:spacing w:beforeAutospacing="0" w:afterAutospacing="0" w:line="560" w:lineRule="exact"/>
        <w:ind w:firstLine="566" w:firstLineChars="200"/>
        <w:jc w:val="left"/>
        <w:rPr>
          <w:rFonts w:eastAsia="仿宋"/>
          <w:highlight w:val="none"/>
        </w:rPr>
      </w:pPr>
    </w:p>
    <w:p w14:paraId="4A2C58F4">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供应商：</w:t>
      </w:r>
      <w:r>
        <w:rPr>
          <w:rFonts w:hint="eastAsia" w:ascii="仿宋" w:hAnsi="仿宋" w:eastAsia="仿宋"/>
          <w:highlight w:val="none"/>
          <w:u w:val="single"/>
        </w:rPr>
        <w:t>名称</w:t>
      </w:r>
      <w:r>
        <w:rPr>
          <w:rFonts w:ascii="仿宋" w:hAnsi="仿宋" w:eastAsia="仿宋"/>
          <w:highlight w:val="none"/>
        </w:rPr>
        <w:t>（加盖公章）</w:t>
      </w:r>
      <w:r>
        <w:rPr>
          <w:rFonts w:ascii="仿宋" w:hAnsi="仿宋" w:eastAsia="仿宋"/>
          <w:highlight w:val="none"/>
        </w:rPr>
        <w:tab/>
      </w:r>
      <w:r>
        <w:rPr>
          <w:rFonts w:hint="eastAsia" w:ascii="仿宋" w:hAnsi="仿宋" w:eastAsia="仿宋"/>
          <w:highlight w:val="none"/>
        </w:rPr>
        <w:t xml:space="preserve">   </w:t>
      </w:r>
    </w:p>
    <w:p w14:paraId="06903A2D">
      <w:pPr>
        <w:spacing w:beforeAutospacing="0" w:afterAutospacing="0" w:line="560" w:lineRule="exact"/>
        <w:ind w:firstLine="566" w:firstLineChars="200"/>
        <w:rPr>
          <w:rFonts w:ascii="仿宋" w:hAnsi="仿宋" w:eastAsia="仿宋"/>
          <w:highlight w:val="none"/>
        </w:rPr>
      </w:pPr>
      <w:r>
        <w:rPr>
          <w:rFonts w:ascii="仿宋" w:hAnsi="仿宋" w:eastAsia="仿宋"/>
          <w:highlight w:val="none"/>
        </w:rPr>
        <w:t>法定代表人或</w:t>
      </w:r>
      <w:r>
        <w:rPr>
          <w:rFonts w:hint="eastAsia" w:ascii="仿宋" w:hAnsi="仿宋" w:eastAsia="仿宋"/>
          <w:highlight w:val="none"/>
        </w:rPr>
        <w:t>授权代表</w:t>
      </w:r>
      <w:r>
        <w:rPr>
          <w:rFonts w:ascii="仿宋" w:hAnsi="仿宋" w:eastAsia="仿宋"/>
          <w:highlight w:val="none"/>
        </w:rPr>
        <w:t>：</w:t>
      </w:r>
      <w:r>
        <w:rPr>
          <w:rFonts w:hint="eastAsia" w:ascii="仿宋" w:hAnsi="仿宋" w:eastAsia="仿宋"/>
          <w:highlight w:val="none"/>
        </w:rPr>
        <w:t xml:space="preserve">  </w:t>
      </w:r>
      <w:r>
        <w:rPr>
          <w:rFonts w:ascii="仿宋" w:hAnsi="仿宋" w:eastAsia="仿宋"/>
          <w:highlight w:val="none"/>
        </w:rPr>
        <w:t>（</w:t>
      </w:r>
      <w:r>
        <w:rPr>
          <w:rFonts w:hint="eastAsia" w:ascii="仿宋" w:hAnsi="仿宋" w:eastAsia="仿宋"/>
          <w:highlight w:val="none"/>
        </w:rPr>
        <w:t>签字或</w:t>
      </w:r>
      <w:r>
        <w:rPr>
          <w:rFonts w:ascii="仿宋" w:hAnsi="仿宋" w:eastAsia="仿宋"/>
          <w:highlight w:val="none"/>
        </w:rPr>
        <w:t>盖章）</w:t>
      </w:r>
    </w:p>
    <w:p w14:paraId="15BDBF10">
      <w:pPr>
        <w:tabs>
          <w:tab w:val="left" w:pos="5670"/>
        </w:tabs>
        <w:spacing w:beforeAutospacing="0" w:afterAutospacing="0" w:line="560" w:lineRule="exact"/>
        <w:ind w:firstLine="566" w:firstLineChars="200"/>
        <w:jc w:val="left"/>
        <w:rPr>
          <w:rFonts w:eastAsia="仿宋"/>
          <w:highlight w:val="none"/>
        </w:rPr>
      </w:pPr>
      <w:r>
        <w:rPr>
          <w:rFonts w:hint="eastAsia" w:ascii="仿宋" w:hAnsi="仿宋" w:eastAsia="仿宋"/>
          <w:highlight w:val="none"/>
        </w:rPr>
        <w:t xml:space="preserve">                                    日期：   年</w:t>
      </w:r>
      <w:r>
        <w:rPr>
          <w:rFonts w:hint="eastAsia" w:ascii="仿宋" w:hAnsi="仿宋" w:eastAsia="仿宋"/>
          <w:highlight w:val="none"/>
          <w:lang w:eastAsia="zh-CN"/>
        </w:rPr>
        <w:t xml:space="preserve"> </w:t>
      </w:r>
      <w:r>
        <w:rPr>
          <w:rFonts w:hint="eastAsia" w:ascii="仿宋" w:hAnsi="仿宋" w:eastAsia="仿宋"/>
          <w:highlight w:val="none"/>
        </w:rPr>
        <w:t>月</w:t>
      </w:r>
      <w:r>
        <w:rPr>
          <w:rFonts w:hint="eastAsia" w:ascii="仿宋" w:hAnsi="仿宋" w:eastAsia="仿宋"/>
          <w:highlight w:val="none"/>
          <w:lang w:eastAsia="zh-CN"/>
        </w:rPr>
        <w:t xml:space="preserve"> </w:t>
      </w:r>
      <w:r>
        <w:rPr>
          <w:rFonts w:hint="eastAsia" w:ascii="仿宋" w:hAnsi="仿宋" w:eastAsia="仿宋"/>
          <w:highlight w:val="none"/>
        </w:rPr>
        <w:t>日</w:t>
      </w:r>
    </w:p>
    <w:p w14:paraId="0D8784EA">
      <w:pPr>
        <w:tabs>
          <w:tab w:val="left" w:pos="5670"/>
        </w:tabs>
        <w:spacing w:beforeAutospacing="0" w:afterAutospacing="0" w:line="560" w:lineRule="exact"/>
        <w:ind w:firstLine="566" w:firstLineChars="200"/>
        <w:jc w:val="left"/>
        <w:rPr>
          <w:rFonts w:eastAsia="仿宋"/>
          <w:highlight w:val="none"/>
        </w:rPr>
      </w:pPr>
    </w:p>
    <w:p w14:paraId="06A0FF84">
      <w:pPr>
        <w:pStyle w:val="22"/>
        <w:spacing w:beforeAutospacing="0" w:after="0" w:afterAutospacing="0" w:line="560" w:lineRule="exact"/>
        <w:ind w:firstLine="426" w:firstLineChars="200"/>
        <w:rPr>
          <w:rFonts w:eastAsia="宋体"/>
          <w:highlight w:val="none"/>
        </w:rPr>
      </w:pPr>
      <w:r>
        <w:rPr>
          <w:rFonts w:hint="eastAsia" w:ascii="宋体" w:hAnsi="宋体" w:eastAsia="宋体" w:cs="宋体"/>
          <w:b/>
          <w:bCs/>
          <w:sz w:val="21"/>
          <w:szCs w:val="21"/>
          <w:highlight w:val="none"/>
        </w:rPr>
        <w:t>备注：</w:t>
      </w:r>
    </w:p>
    <w:p w14:paraId="28A8AA7F">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根据《财政部 民政部 中国残疾人联合会关于促进残疾人就业政府采购政策的通知》（财库〔2017〕141号）的规定：</w:t>
      </w:r>
    </w:p>
    <w:p w14:paraId="05A9B98A">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一、享受政府采购支持政策的残疾人福利性单位应当同时满足以下条件：</w:t>
      </w:r>
    </w:p>
    <w:p w14:paraId="4926A636">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（一）安置的残疾人占本单位在职职工人数的比例不低于25%（含25%），并且安置的残疾人人数不少于10人（含10人）；</w:t>
      </w:r>
    </w:p>
    <w:p w14:paraId="3BAA648D">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（二）依法与安置的每位残疾人签订了一年以上（含一年）的劳动合同或服务协议；</w:t>
      </w:r>
    </w:p>
    <w:p w14:paraId="02943407">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（三）为安置的每位残疾人按月足额缴纳了基本养老保险、基本医疗保险、失业保险、工伤保险和生育保险等社会保险费；</w:t>
      </w:r>
    </w:p>
    <w:p w14:paraId="1DFD2985">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（四）通过银行等金融机构向安置的每位残疾人，按月支付了不低于单位所在区县适用的经省级人民政府批准的月最低工资标准的工资；</w:t>
      </w:r>
    </w:p>
    <w:p w14:paraId="1E6BBBCB">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（五）提供本单位制造的货物、承担的工程或者服务（以下简称产品），或者提供其他残疾人福利性单位制造的货物（不包括使用非残疾人福利性单位注册商标的货物）。</w:t>
      </w:r>
    </w:p>
    <w:p w14:paraId="4460F8A1">
      <w:pPr>
        <w:tabs>
          <w:tab w:val="left" w:pos="5670"/>
        </w:tabs>
        <w:spacing w:beforeAutospacing="0" w:afterAutospacing="0" w:line="560" w:lineRule="exact"/>
        <w:ind w:firstLine="426"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E740E3">
      <w:pPr>
        <w:tabs>
          <w:tab w:val="left" w:pos="5670"/>
        </w:tabs>
        <w:spacing w:beforeAutospacing="0" w:afterAutospacing="0" w:line="560" w:lineRule="exact"/>
        <w:ind w:firstLine="426" w:firstLineChars="200"/>
        <w:jc w:val="left"/>
        <w:rPr>
          <w:rFonts w:eastAsia="仿宋"/>
          <w:highlight w:val="none"/>
        </w:rPr>
      </w:pPr>
      <w:r>
        <w:rPr>
          <w:rFonts w:hint="eastAsia" w:ascii="宋体" w:hAnsi="宋体" w:eastAsia="宋体" w:cs="宋体"/>
          <w:sz w:val="21"/>
          <w:szCs w:val="21"/>
          <w:highlight w:val="none"/>
        </w:rPr>
        <w:t>二、中标、成交供应商为残疾人福利性单位的，采购人或者其委托的采购代理机构应当随中标、成交结果同时公告其《残疾人福利性单位声明函》，接受社会监督。</w:t>
      </w:r>
    </w:p>
    <w:p w14:paraId="7E2E7F46">
      <w:pPr>
        <w:tabs>
          <w:tab w:val="left" w:pos="5670"/>
        </w:tabs>
        <w:spacing w:beforeAutospacing="0" w:afterAutospacing="0" w:line="560" w:lineRule="exact"/>
        <w:jc w:val="center"/>
        <w:outlineLvl w:val="2"/>
        <w:rPr>
          <w:rFonts w:eastAsia="仿宋"/>
          <w:b/>
          <w:sz w:val="30"/>
          <w:szCs w:val="30"/>
          <w:highlight w:val="none"/>
        </w:rPr>
      </w:pPr>
      <w:r>
        <w:rPr>
          <w:rFonts w:hint="eastAsia" w:eastAsia="仿宋"/>
          <w:b/>
          <w:sz w:val="30"/>
          <w:szCs w:val="30"/>
          <w:highlight w:val="none"/>
        </w:rPr>
        <w:t>监狱企业证明函（格式）</w:t>
      </w:r>
    </w:p>
    <w:p w14:paraId="2E78EBD9">
      <w:pPr>
        <w:spacing w:beforeAutospacing="0" w:afterAutospacing="0" w:line="560" w:lineRule="exact"/>
        <w:ind w:firstLine="566" w:firstLineChars="200"/>
        <w:jc w:val="left"/>
        <w:rPr>
          <w:rFonts w:eastAsia="仿宋"/>
          <w:highlight w:val="none"/>
        </w:rPr>
      </w:pPr>
      <w:r>
        <w:rPr>
          <w:rFonts w:hint="eastAsia" w:eastAsia="仿宋"/>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318E48">
      <w:pPr>
        <w:spacing w:beforeAutospacing="0" w:afterAutospacing="0" w:line="560" w:lineRule="exact"/>
        <w:ind w:firstLine="566" w:firstLineChars="200"/>
        <w:jc w:val="left"/>
        <w:rPr>
          <w:rFonts w:eastAsia="仿宋"/>
          <w:highlight w:val="none"/>
        </w:rPr>
      </w:pPr>
      <w:r>
        <w:rPr>
          <w:rFonts w:hint="eastAsia" w:eastAsia="仿宋"/>
          <w:highlight w:val="none"/>
        </w:rPr>
        <w:t>监狱企业参加政府采购活动时，应当提供由省级以上监狱管理局、戒毒管理局（含新疆生产建设兵团）出具的属于监狱企业的证明文件。</w:t>
      </w:r>
    </w:p>
    <w:p w14:paraId="4F000B80">
      <w:pPr>
        <w:spacing w:beforeAutospacing="0" w:afterAutospacing="0" w:line="560" w:lineRule="exact"/>
        <w:ind w:firstLine="566" w:firstLineChars="200"/>
        <w:rPr>
          <w:rFonts w:eastAsia="仿宋"/>
          <w:b/>
          <w:highlight w:val="none"/>
        </w:rPr>
      </w:pPr>
      <w:r>
        <w:rPr>
          <w:rFonts w:eastAsia="仿宋"/>
          <w:b/>
          <w:highlight w:val="none"/>
        </w:rPr>
        <w:br w:type="page"/>
      </w:r>
    </w:p>
    <w:p w14:paraId="7DC3BB36">
      <w:pPr>
        <w:pStyle w:val="50"/>
        <w:spacing w:beforeAutospacing="0" w:afterAutospacing="0" w:line="560" w:lineRule="exact"/>
        <w:ind w:firstLine="646" w:firstLineChars="200"/>
        <w:jc w:val="left"/>
        <w:rPr>
          <w:rFonts w:ascii="仿宋" w:hAnsi="华文仿宋" w:eastAsia="仿宋" w:cs="华文仿宋"/>
          <w:sz w:val="32"/>
          <w:szCs w:val="32"/>
          <w:highlight w:val="none"/>
        </w:rPr>
      </w:pPr>
      <w:bookmarkStart w:id="561" w:name="_Toc23158"/>
      <w:bookmarkStart w:id="562" w:name="_Toc22002"/>
      <w:bookmarkStart w:id="563" w:name="_Toc14706"/>
      <w:bookmarkStart w:id="564" w:name="_Toc28681582"/>
      <w:bookmarkStart w:id="565" w:name="_Toc2402"/>
      <w:bookmarkStart w:id="566" w:name="_Toc12827"/>
      <w:bookmarkStart w:id="567" w:name="_Toc11318"/>
      <w:bookmarkStart w:id="568" w:name="_Toc15951"/>
      <w:bookmarkStart w:id="569" w:name="_Toc17242"/>
      <w:bookmarkStart w:id="570" w:name="_Toc8360"/>
      <w:r>
        <w:rPr>
          <w:rFonts w:hint="eastAsia" w:ascii="仿宋" w:hAnsi="华文仿宋" w:eastAsia="仿宋" w:cs="华文仿宋"/>
          <w:sz w:val="32"/>
          <w:szCs w:val="32"/>
          <w:highlight w:val="none"/>
        </w:rPr>
        <w:t>二、响应方案</w:t>
      </w:r>
      <w:bookmarkEnd w:id="561"/>
      <w:bookmarkEnd w:id="562"/>
      <w:bookmarkEnd w:id="563"/>
      <w:bookmarkEnd w:id="564"/>
      <w:bookmarkEnd w:id="565"/>
      <w:bookmarkEnd w:id="566"/>
      <w:bookmarkEnd w:id="567"/>
      <w:bookmarkEnd w:id="568"/>
      <w:bookmarkEnd w:id="569"/>
      <w:bookmarkEnd w:id="570"/>
    </w:p>
    <w:p w14:paraId="0AA76D69">
      <w:pPr>
        <w:spacing w:beforeAutospacing="0" w:afterAutospacing="0" w:line="560" w:lineRule="exact"/>
        <w:ind w:firstLine="566" w:firstLineChars="200"/>
        <w:rPr>
          <w:rFonts w:ascii="仿宋" w:hAnsi="仿宋" w:eastAsia="仿宋"/>
          <w:bCs/>
          <w:highlight w:val="none"/>
        </w:rPr>
      </w:pPr>
      <w:r>
        <w:rPr>
          <w:rFonts w:hint="eastAsia" w:ascii="仿宋" w:hAnsi="仿宋" w:eastAsia="仿宋"/>
          <w:bCs/>
          <w:highlight w:val="none"/>
        </w:rPr>
        <w:t>结合谈判文件</w:t>
      </w:r>
      <w:r>
        <w:rPr>
          <w:rFonts w:ascii="仿宋" w:hAnsi="仿宋" w:eastAsia="仿宋"/>
          <w:bCs/>
          <w:highlight w:val="none"/>
        </w:rPr>
        <w:t>第三章《</w:t>
      </w:r>
      <w:r>
        <w:rPr>
          <w:rFonts w:hint="eastAsia" w:ascii="仿宋" w:hAnsi="仿宋" w:eastAsia="仿宋"/>
          <w:bCs/>
          <w:highlight w:val="none"/>
        </w:rPr>
        <w:t>采购</w:t>
      </w:r>
      <w:r>
        <w:rPr>
          <w:rFonts w:ascii="仿宋" w:hAnsi="仿宋" w:eastAsia="仿宋"/>
          <w:bCs/>
          <w:highlight w:val="none"/>
        </w:rPr>
        <w:t>内容及</w:t>
      </w:r>
      <w:r>
        <w:rPr>
          <w:rFonts w:hint="eastAsia" w:ascii="仿宋" w:hAnsi="仿宋" w:eastAsia="仿宋"/>
          <w:bCs/>
          <w:highlight w:val="none"/>
        </w:rPr>
        <w:t>采购</w:t>
      </w:r>
      <w:r>
        <w:rPr>
          <w:rFonts w:ascii="仿宋" w:hAnsi="仿宋" w:eastAsia="仿宋"/>
          <w:bCs/>
          <w:highlight w:val="none"/>
        </w:rPr>
        <w:t>要求》编制</w:t>
      </w:r>
      <w:r>
        <w:rPr>
          <w:rFonts w:hint="eastAsia" w:ascii="仿宋" w:hAnsi="仿宋" w:eastAsia="仿宋"/>
          <w:bCs/>
          <w:highlight w:val="none"/>
        </w:rPr>
        <w:t>响应</w:t>
      </w:r>
      <w:r>
        <w:rPr>
          <w:rFonts w:ascii="仿宋" w:hAnsi="仿宋" w:eastAsia="仿宋"/>
          <w:bCs/>
          <w:highlight w:val="none"/>
        </w:rPr>
        <w:t>方案。</w:t>
      </w:r>
    </w:p>
    <w:p w14:paraId="70DE037B">
      <w:pPr>
        <w:pStyle w:val="50"/>
        <w:spacing w:beforeAutospacing="0" w:afterAutospacing="0" w:line="560" w:lineRule="exact"/>
        <w:ind w:firstLine="646" w:firstLineChars="200"/>
        <w:jc w:val="left"/>
        <w:rPr>
          <w:highlight w:val="none"/>
        </w:rPr>
      </w:pPr>
      <w:bookmarkStart w:id="571" w:name="_Toc13658"/>
      <w:bookmarkStart w:id="572" w:name="_Toc24967"/>
      <w:bookmarkStart w:id="573" w:name="_Toc3487"/>
      <w:bookmarkStart w:id="574" w:name="_Toc9457"/>
      <w:bookmarkStart w:id="575" w:name="_Toc25154"/>
      <w:bookmarkStart w:id="576" w:name="_Toc25404"/>
      <w:bookmarkStart w:id="577" w:name="_Toc3065"/>
      <w:bookmarkStart w:id="578" w:name="_Toc21775"/>
      <w:bookmarkStart w:id="579" w:name="_Toc28681583"/>
      <w:bookmarkStart w:id="580" w:name="_Toc3263"/>
      <w:r>
        <w:rPr>
          <w:rFonts w:hint="eastAsia" w:ascii="仿宋" w:hAnsi="华文仿宋" w:eastAsia="仿宋" w:cs="华文仿宋"/>
          <w:sz w:val="32"/>
          <w:szCs w:val="32"/>
          <w:highlight w:val="none"/>
        </w:rPr>
        <w:t>三、参考样表</w:t>
      </w:r>
      <w:bookmarkEnd w:id="571"/>
      <w:bookmarkEnd w:id="572"/>
      <w:bookmarkEnd w:id="573"/>
      <w:bookmarkEnd w:id="574"/>
      <w:bookmarkEnd w:id="575"/>
      <w:bookmarkEnd w:id="576"/>
      <w:bookmarkEnd w:id="577"/>
      <w:bookmarkEnd w:id="578"/>
      <w:bookmarkEnd w:id="579"/>
      <w:bookmarkEnd w:id="580"/>
    </w:p>
    <w:p w14:paraId="4A9301D9">
      <w:pPr>
        <w:tabs>
          <w:tab w:val="right" w:pos="9070"/>
        </w:tabs>
        <w:snapToGrid w:val="0"/>
        <w:spacing w:beforeAutospacing="0" w:afterAutospacing="0" w:line="560" w:lineRule="exact"/>
        <w:ind w:firstLine="566" w:firstLineChars="200"/>
        <w:rPr>
          <w:rFonts w:ascii="仿宋" w:hAnsi="仿宋" w:eastAsia="仿宋" w:cs="华文仿宋"/>
          <w:szCs w:val="21"/>
          <w:highlight w:val="none"/>
        </w:rPr>
      </w:pPr>
      <w:r>
        <w:rPr>
          <w:rFonts w:hint="eastAsia" w:ascii="仿宋" w:hAnsi="仿宋" w:eastAsia="仿宋" w:cs="华文仿宋"/>
          <w:b/>
          <w:bCs/>
          <w:szCs w:val="21"/>
          <w:highlight w:val="none"/>
        </w:rPr>
        <w:t>（一）服务团队样表（仅供参考）</w:t>
      </w:r>
    </w:p>
    <w:p w14:paraId="74BC906C">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1、服务团队情况概述</w:t>
      </w:r>
    </w:p>
    <w:p w14:paraId="0CC25B2F">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概述内容包括但不限于为本项目提供服务的团队整体情况、团队负责人、联系人基本情况、背景、能力介绍等，具体内容自行编制。</w:t>
      </w:r>
    </w:p>
    <w:p w14:paraId="7A62DB67">
      <w:pPr>
        <w:tabs>
          <w:tab w:val="right" w:pos="9070"/>
        </w:tabs>
        <w:spacing w:beforeAutospacing="0" w:afterAutospacing="0" w:line="560" w:lineRule="exact"/>
        <w:ind w:firstLine="566" w:firstLineChars="200"/>
        <w:rPr>
          <w:rFonts w:ascii="仿宋" w:hAnsi="仿宋" w:eastAsia="仿宋" w:cs="华文仿宋"/>
          <w:highlight w:val="none"/>
        </w:rPr>
      </w:pPr>
      <w:r>
        <w:rPr>
          <w:rFonts w:hint="eastAsia" w:ascii="仿宋" w:hAnsi="仿宋" w:eastAsia="仿宋" w:cs="华文仿宋"/>
          <w:highlight w:val="none"/>
        </w:rPr>
        <w:t>2、服务团队人员清单</w:t>
      </w:r>
    </w:p>
    <w:tbl>
      <w:tblPr>
        <w:tblStyle w:val="23"/>
        <w:tblW w:w="845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79"/>
        <w:gridCol w:w="1278"/>
        <w:gridCol w:w="1278"/>
        <w:gridCol w:w="1506"/>
        <w:gridCol w:w="1050"/>
        <w:gridCol w:w="1278"/>
      </w:tblGrid>
      <w:tr w14:paraId="41E3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99F2DA3">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序号</w:t>
            </w:r>
          </w:p>
        </w:tc>
        <w:tc>
          <w:tcPr>
            <w:tcW w:w="1279" w:type="dxa"/>
            <w:vAlign w:val="center"/>
          </w:tcPr>
          <w:p w14:paraId="3C7BD6C0">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姓名</w:t>
            </w:r>
          </w:p>
        </w:tc>
        <w:tc>
          <w:tcPr>
            <w:tcW w:w="1278" w:type="dxa"/>
            <w:vAlign w:val="center"/>
          </w:tcPr>
          <w:p w14:paraId="24467B56">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性别</w:t>
            </w:r>
          </w:p>
        </w:tc>
        <w:tc>
          <w:tcPr>
            <w:tcW w:w="1278" w:type="dxa"/>
            <w:vAlign w:val="center"/>
          </w:tcPr>
          <w:p w14:paraId="3AFA5A2E">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年龄</w:t>
            </w:r>
          </w:p>
        </w:tc>
        <w:tc>
          <w:tcPr>
            <w:tcW w:w="1506" w:type="dxa"/>
            <w:vAlign w:val="center"/>
          </w:tcPr>
          <w:p w14:paraId="6E5BBF54">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职务/职称/执业资格</w:t>
            </w:r>
          </w:p>
        </w:tc>
        <w:tc>
          <w:tcPr>
            <w:tcW w:w="1050" w:type="dxa"/>
            <w:vAlign w:val="center"/>
          </w:tcPr>
          <w:p w14:paraId="39CBBABB">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学历</w:t>
            </w:r>
          </w:p>
        </w:tc>
        <w:tc>
          <w:tcPr>
            <w:tcW w:w="1278" w:type="dxa"/>
            <w:vAlign w:val="center"/>
          </w:tcPr>
          <w:p w14:paraId="3FAB2614">
            <w:pPr>
              <w:spacing w:beforeAutospacing="0" w:afterAutospacing="0" w:line="560" w:lineRule="exact"/>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主要经历经验</w:t>
            </w:r>
          </w:p>
        </w:tc>
      </w:tr>
      <w:tr w14:paraId="6A9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0D955A1">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1</w:t>
            </w:r>
          </w:p>
        </w:tc>
        <w:tc>
          <w:tcPr>
            <w:tcW w:w="1279" w:type="dxa"/>
            <w:vAlign w:val="center"/>
          </w:tcPr>
          <w:p w14:paraId="11AA43A9">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5AAA4913">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532791EC">
            <w:pPr>
              <w:spacing w:beforeAutospacing="0" w:afterAutospacing="0" w:line="560" w:lineRule="exact"/>
              <w:jc w:val="center"/>
              <w:rPr>
                <w:rFonts w:ascii="仿宋" w:hAnsi="仿宋" w:eastAsia="仿宋" w:cs="华文仿宋"/>
                <w:sz w:val="24"/>
                <w:szCs w:val="24"/>
                <w:highlight w:val="none"/>
              </w:rPr>
            </w:pPr>
          </w:p>
        </w:tc>
        <w:tc>
          <w:tcPr>
            <w:tcW w:w="1506" w:type="dxa"/>
          </w:tcPr>
          <w:p w14:paraId="3E488EB8">
            <w:pPr>
              <w:spacing w:beforeAutospacing="0" w:afterAutospacing="0" w:line="560" w:lineRule="exact"/>
              <w:jc w:val="center"/>
              <w:rPr>
                <w:rFonts w:ascii="仿宋" w:hAnsi="仿宋" w:eastAsia="仿宋" w:cs="华文仿宋"/>
                <w:sz w:val="24"/>
                <w:szCs w:val="24"/>
                <w:highlight w:val="none"/>
              </w:rPr>
            </w:pPr>
          </w:p>
        </w:tc>
        <w:tc>
          <w:tcPr>
            <w:tcW w:w="1050" w:type="dxa"/>
          </w:tcPr>
          <w:p w14:paraId="4014FF02">
            <w:pPr>
              <w:spacing w:beforeAutospacing="0" w:afterAutospacing="0" w:line="560" w:lineRule="exact"/>
              <w:jc w:val="center"/>
              <w:rPr>
                <w:rFonts w:ascii="仿宋" w:hAnsi="仿宋" w:eastAsia="仿宋" w:cs="华文仿宋"/>
                <w:sz w:val="24"/>
                <w:szCs w:val="24"/>
                <w:highlight w:val="none"/>
              </w:rPr>
            </w:pPr>
          </w:p>
        </w:tc>
        <w:tc>
          <w:tcPr>
            <w:tcW w:w="1278" w:type="dxa"/>
          </w:tcPr>
          <w:p w14:paraId="5FE03951">
            <w:pPr>
              <w:spacing w:beforeAutospacing="0" w:afterAutospacing="0" w:line="560" w:lineRule="exact"/>
              <w:jc w:val="center"/>
              <w:rPr>
                <w:rFonts w:ascii="仿宋" w:hAnsi="仿宋" w:eastAsia="仿宋" w:cs="华文仿宋"/>
                <w:sz w:val="24"/>
                <w:szCs w:val="24"/>
                <w:highlight w:val="none"/>
              </w:rPr>
            </w:pPr>
          </w:p>
        </w:tc>
      </w:tr>
      <w:tr w14:paraId="3480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EB16667">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2</w:t>
            </w:r>
          </w:p>
        </w:tc>
        <w:tc>
          <w:tcPr>
            <w:tcW w:w="1279" w:type="dxa"/>
            <w:vAlign w:val="center"/>
          </w:tcPr>
          <w:p w14:paraId="03B9F2DF">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1386144C">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79C6CD92">
            <w:pPr>
              <w:spacing w:beforeAutospacing="0" w:afterAutospacing="0" w:line="560" w:lineRule="exact"/>
              <w:jc w:val="center"/>
              <w:rPr>
                <w:rFonts w:ascii="仿宋" w:hAnsi="仿宋" w:eastAsia="仿宋" w:cs="华文仿宋"/>
                <w:sz w:val="24"/>
                <w:szCs w:val="24"/>
                <w:highlight w:val="none"/>
              </w:rPr>
            </w:pPr>
          </w:p>
        </w:tc>
        <w:tc>
          <w:tcPr>
            <w:tcW w:w="1506" w:type="dxa"/>
          </w:tcPr>
          <w:p w14:paraId="4E8D4CCE">
            <w:pPr>
              <w:spacing w:beforeAutospacing="0" w:afterAutospacing="0" w:line="560" w:lineRule="exact"/>
              <w:jc w:val="center"/>
              <w:rPr>
                <w:rFonts w:ascii="仿宋" w:hAnsi="仿宋" w:eastAsia="仿宋" w:cs="华文仿宋"/>
                <w:sz w:val="24"/>
                <w:szCs w:val="24"/>
                <w:highlight w:val="none"/>
              </w:rPr>
            </w:pPr>
          </w:p>
        </w:tc>
        <w:tc>
          <w:tcPr>
            <w:tcW w:w="1050" w:type="dxa"/>
          </w:tcPr>
          <w:p w14:paraId="56D986FC">
            <w:pPr>
              <w:spacing w:beforeAutospacing="0" w:afterAutospacing="0" w:line="560" w:lineRule="exact"/>
              <w:jc w:val="center"/>
              <w:rPr>
                <w:rFonts w:ascii="仿宋" w:hAnsi="仿宋" w:eastAsia="仿宋" w:cs="华文仿宋"/>
                <w:sz w:val="24"/>
                <w:szCs w:val="24"/>
                <w:highlight w:val="none"/>
              </w:rPr>
            </w:pPr>
          </w:p>
        </w:tc>
        <w:tc>
          <w:tcPr>
            <w:tcW w:w="1278" w:type="dxa"/>
          </w:tcPr>
          <w:p w14:paraId="27CC2633">
            <w:pPr>
              <w:spacing w:beforeAutospacing="0" w:afterAutospacing="0" w:line="560" w:lineRule="exact"/>
              <w:jc w:val="center"/>
              <w:rPr>
                <w:rFonts w:ascii="仿宋" w:hAnsi="仿宋" w:eastAsia="仿宋" w:cs="华文仿宋"/>
                <w:sz w:val="24"/>
                <w:szCs w:val="24"/>
                <w:highlight w:val="none"/>
              </w:rPr>
            </w:pPr>
          </w:p>
        </w:tc>
      </w:tr>
      <w:tr w14:paraId="4EF7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02B11F69">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3</w:t>
            </w:r>
          </w:p>
        </w:tc>
        <w:tc>
          <w:tcPr>
            <w:tcW w:w="1279" w:type="dxa"/>
            <w:vAlign w:val="center"/>
          </w:tcPr>
          <w:p w14:paraId="31CE5B35">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2B12E033">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4DBFD6E0">
            <w:pPr>
              <w:spacing w:beforeAutospacing="0" w:afterAutospacing="0" w:line="560" w:lineRule="exact"/>
              <w:jc w:val="center"/>
              <w:rPr>
                <w:rFonts w:ascii="仿宋" w:hAnsi="仿宋" w:eastAsia="仿宋" w:cs="华文仿宋"/>
                <w:sz w:val="24"/>
                <w:szCs w:val="24"/>
                <w:highlight w:val="none"/>
              </w:rPr>
            </w:pPr>
          </w:p>
        </w:tc>
        <w:tc>
          <w:tcPr>
            <w:tcW w:w="1506" w:type="dxa"/>
          </w:tcPr>
          <w:p w14:paraId="6D71554F">
            <w:pPr>
              <w:spacing w:beforeAutospacing="0" w:afterAutospacing="0" w:line="560" w:lineRule="exact"/>
              <w:jc w:val="center"/>
              <w:rPr>
                <w:rFonts w:ascii="仿宋" w:hAnsi="仿宋" w:eastAsia="仿宋" w:cs="华文仿宋"/>
                <w:sz w:val="24"/>
                <w:szCs w:val="24"/>
                <w:highlight w:val="none"/>
              </w:rPr>
            </w:pPr>
          </w:p>
        </w:tc>
        <w:tc>
          <w:tcPr>
            <w:tcW w:w="1050" w:type="dxa"/>
          </w:tcPr>
          <w:p w14:paraId="0CB90FD2">
            <w:pPr>
              <w:spacing w:beforeAutospacing="0" w:afterAutospacing="0" w:line="560" w:lineRule="exact"/>
              <w:jc w:val="center"/>
              <w:rPr>
                <w:rFonts w:ascii="仿宋" w:hAnsi="仿宋" w:eastAsia="仿宋" w:cs="华文仿宋"/>
                <w:sz w:val="24"/>
                <w:szCs w:val="24"/>
                <w:highlight w:val="none"/>
              </w:rPr>
            </w:pPr>
          </w:p>
        </w:tc>
        <w:tc>
          <w:tcPr>
            <w:tcW w:w="1278" w:type="dxa"/>
          </w:tcPr>
          <w:p w14:paraId="25FBC62B">
            <w:pPr>
              <w:spacing w:beforeAutospacing="0" w:afterAutospacing="0" w:line="560" w:lineRule="exact"/>
              <w:jc w:val="center"/>
              <w:rPr>
                <w:rFonts w:ascii="仿宋" w:hAnsi="仿宋" w:eastAsia="仿宋" w:cs="华文仿宋"/>
                <w:sz w:val="24"/>
                <w:szCs w:val="24"/>
                <w:highlight w:val="none"/>
              </w:rPr>
            </w:pPr>
          </w:p>
        </w:tc>
      </w:tr>
      <w:tr w14:paraId="002F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07DF51C">
            <w:pPr>
              <w:spacing w:beforeAutospacing="0" w:afterAutospacing="0" w:line="56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w:t>
            </w:r>
          </w:p>
        </w:tc>
        <w:tc>
          <w:tcPr>
            <w:tcW w:w="1279" w:type="dxa"/>
            <w:vAlign w:val="center"/>
          </w:tcPr>
          <w:p w14:paraId="7C9FBA67">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432750F9">
            <w:pPr>
              <w:spacing w:beforeAutospacing="0" w:afterAutospacing="0" w:line="560" w:lineRule="exact"/>
              <w:jc w:val="center"/>
              <w:rPr>
                <w:rFonts w:ascii="仿宋" w:hAnsi="仿宋" w:eastAsia="仿宋" w:cs="华文仿宋"/>
                <w:sz w:val="24"/>
                <w:szCs w:val="24"/>
                <w:highlight w:val="none"/>
              </w:rPr>
            </w:pPr>
          </w:p>
        </w:tc>
        <w:tc>
          <w:tcPr>
            <w:tcW w:w="1278" w:type="dxa"/>
            <w:vAlign w:val="center"/>
          </w:tcPr>
          <w:p w14:paraId="2758EBC0">
            <w:pPr>
              <w:spacing w:beforeAutospacing="0" w:afterAutospacing="0" w:line="560" w:lineRule="exact"/>
              <w:jc w:val="center"/>
              <w:rPr>
                <w:rFonts w:ascii="仿宋" w:hAnsi="仿宋" w:eastAsia="仿宋" w:cs="华文仿宋"/>
                <w:sz w:val="24"/>
                <w:szCs w:val="24"/>
                <w:highlight w:val="none"/>
              </w:rPr>
            </w:pPr>
          </w:p>
        </w:tc>
        <w:tc>
          <w:tcPr>
            <w:tcW w:w="1506" w:type="dxa"/>
          </w:tcPr>
          <w:p w14:paraId="3C52F502">
            <w:pPr>
              <w:spacing w:beforeAutospacing="0" w:afterAutospacing="0" w:line="560" w:lineRule="exact"/>
              <w:jc w:val="center"/>
              <w:rPr>
                <w:rFonts w:ascii="仿宋" w:hAnsi="仿宋" w:eastAsia="仿宋" w:cs="华文仿宋"/>
                <w:sz w:val="24"/>
                <w:szCs w:val="24"/>
                <w:highlight w:val="none"/>
              </w:rPr>
            </w:pPr>
          </w:p>
        </w:tc>
        <w:tc>
          <w:tcPr>
            <w:tcW w:w="1050" w:type="dxa"/>
          </w:tcPr>
          <w:p w14:paraId="3D5BFB29">
            <w:pPr>
              <w:spacing w:beforeAutospacing="0" w:afterAutospacing="0" w:line="560" w:lineRule="exact"/>
              <w:jc w:val="center"/>
              <w:rPr>
                <w:rFonts w:ascii="仿宋" w:hAnsi="仿宋" w:eastAsia="仿宋" w:cs="华文仿宋"/>
                <w:sz w:val="24"/>
                <w:szCs w:val="24"/>
                <w:highlight w:val="none"/>
              </w:rPr>
            </w:pPr>
          </w:p>
        </w:tc>
        <w:tc>
          <w:tcPr>
            <w:tcW w:w="1278" w:type="dxa"/>
          </w:tcPr>
          <w:p w14:paraId="58BEC2AA">
            <w:pPr>
              <w:spacing w:beforeAutospacing="0" w:afterAutospacing="0" w:line="560" w:lineRule="exact"/>
              <w:jc w:val="center"/>
              <w:rPr>
                <w:rFonts w:ascii="仿宋" w:hAnsi="仿宋" w:eastAsia="仿宋" w:cs="华文仿宋"/>
                <w:sz w:val="24"/>
                <w:szCs w:val="24"/>
                <w:highlight w:val="none"/>
              </w:rPr>
            </w:pPr>
          </w:p>
        </w:tc>
      </w:tr>
    </w:tbl>
    <w:p w14:paraId="4E9FC550">
      <w:pPr>
        <w:spacing w:beforeAutospacing="0" w:afterAutospacing="0" w:line="560" w:lineRule="exact"/>
        <w:ind w:firstLine="566" w:firstLineChars="200"/>
        <w:rPr>
          <w:rFonts w:ascii="仿宋" w:hAnsi="仿宋" w:eastAsia="仿宋" w:cs="华文仿宋"/>
          <w:b/>
          <w:bCs/>
          <w:highlight w:val="none"/>
        </w:rPr>
      </w:pPr>
      <w:r>
        <w:rPr>
          <w:rFonts w:hint="eastAsia" w:ascii="仿宋" w:hAnsi="仿宋" w:eastAsia="仿宋" w:cs="华文仿宋"/>
          <w:b/>
          <w:bCs/>
          <w:highlight w:val="none"/>
        </w:rPr>
        <w:t>（二）业绩合同样表（仅供参考）</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79D5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E601541">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736" w:type="dxa"/>
            <w:vAlign w:val="center"/>
          </w:tcPr>
          <w:p w14:paraId="129525D7">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合同签署日期</w:t>
            </w:r>
          </w:p>
        </w:tc>
        <w:tc>
          <w:tcPr>
            <w:tcW w:w="1701" w:type="dxa"/>
            <w:vAlign w:val="center"/>
          </w:tcPr>
          <w:p w14:paraId="6B96CB4F">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采购单位名称</w:t>
            </w:r>
          </w:p>
        </w:tc>
        <w:tc>
          <w:tcPr>
            <w:tcW w:w="2557" w:type="dxa"/>
            <w:vAlign w:val="center"/>
          </w:tcPr>
          <w:p w14:paraId="27AB4603">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服务名称/内容</w:t>
            </w:r>
          </w:p>
        </w:tc>
        <w:tc>
          <w:tcPr>
            <w:tcW w:w="1984" w:type="dxa"/>
            <w:vAlign w:val="center"/>
          </w:tcPr>
          <w:p w14:paraId="52505309">
            <w:pPr>
              <w:widowControl w:val="0"/>
              <w:adjustRightInd w:val="0"/>
              <w:snapToGrid w:val="0"/>
              <w:spacing w:beforeAutospacing="0" w:afterAutospacing="0" w:line="560" w:lineRule="exact"/>
              <w:jc w:val="center"/>
              <w:rPr>
                <w:rFonts w:ascii="仿宋" w:hAnsi="仿宋" w:eastAsia="仿宋"/>
                <w:b/>
                <w:sz w:val="24"/>
                <w:szCs w:val="24"/>
                <w:highlight w:val="none"/>
              </w:rPr>
            </w:pPr>
            <w:r>
              <w:rPr>
                <w:rFonts w:hint="eastAsia" w:ascii="仿宋" w:hAnsi="仿宋" w:eastAsia="仿宋"/>
                <w:b/>
                <w:sz w:val="24"/>
                <w:szCs w:val="24"/>
                <w:highlight w:val="none"/>
              </w:rPr>
              <w:t>资产总额</w:t>
            </w:r>
          </w:p>
        </w:tc>
      </w:tr>
      <w:tr w14:paraId="280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08BA585">
            <w:pPr>
              <w:widowControl w:val="0"/>
              <w:spacing w:beforeAutospacing="0" w:afterAutospacing="0" w:line="560" w:lineRule="exact"/>
              <w:jc w:val="center"/>
              <w:rPr>
                <w:rFonts w:ascii="仿宋" w:hAnsi="仿宋" w:eastAsia="仿宋"/>
                <w:sz w:val="24"/>
                <w:szCs w:val="24"/>
                <w:highlight w:val="none"/>
              </w:rPr>
            </w:pPr>
          </w:p>
        </w:tc>
        <w:tc>
          <w:tcPr>
            <w:tcW w:w="1736" w:type="dxa"/>
            <w:vAlign w:val="center"/>
          </w:tcPr>
          <w:p w14:paraId="3533DF7F">
            <w:pPr>
              <w:widowControl w:val="0"/>
              <w:spacing w:beforeAutospacing="0" w:afterAutospacing="0" w:line="560" w:lineRule="exact"/>
              <w:jc w:val="center"/>
              <w:rPr>
                <w:rFonts w:ascii="仿宋" w:hAnsi="仿宋" w:eastAsia="仿宋"/>
                <w:sz w:val="24"/>
                <w:szCs w:val="24"/>
                <w:highlight w:val="none"/>
              </w:rPr>
            </w:pPr>
          </w:p>
        </w:tc>
        <w:tc>
          <w:tcPr>
            <w:tcW w:w="1701" w:type="dxa"/>
            <w:vAlign w:val="center"/>
          </w:tcPr>
          <w:p w14:paraId="322A0193">
            <w:pPr>
              <w:widowControl w:val="0"/>
              <w:spacing w:beforeAutospacing="0" w:afterAutospacing="0" w:line="560" w:lineRule="exact"/>
              <w:jc w:val="center"/>
              <w:rPr>
                <w:rFonts w:ascii="仿宋" w:hAnsi="仿宋" w:eastAsia="仿宋"/>
                <w:sz w:val="24"/>
                <w:szCs w:val="24"/>
                <w:highlight w:val="none"/>
              </w:rPr>
            </w:pPr>
          </w:p>
        </w:tc>
        <w:tc>
          <w:tcPr>
            <w:tcW w:w="2557" w:type="dxa"/>
            <w:vAlign w:val="center"/>
          </w:tcPr>
          <w:p w14:paraId="2FEF4840">
            <w:pPr>
              <w:widowControl w:val="0"/>
              <w:spacing w:beforeAutospacing="0" w:afterAutospacing="0" w:line="560" w:lineRule="exact"/>
              <w:jc w:val="center"/>
              <w:rPr>
                <w:rFonts w:ascii="仿宋" w:hAnsi="仿宋" w:eastAsia="仿宋"/>
                <w:sz w:val="24"/>
                <w:szCs w:val="24"/>
                <w:highlight w:val="none"/>
              </w:rPr>
            </w:pPr>
          </w:p>
        </w:tc>
        <w:tc>
          <w:tcPr>
            <w:tcW w:w="1984" w:type="dxa"/>
            <w:vAlign w:val="center"/>
          </w:tcPr>
          <w:p w14:paraId="02D7C724">
            <w:pPr>
              <w:widowControl w:val="0"/>
              <w:spacing w:beforeAutospacing="0" w:afterAutospacing="0" w:line="560" w:lineRule="exact"/>
              <w:jc w:val="center"/>
              <w:rPr>
                <w:rFonts w:ascii="仿宋" w:hAnsi="仿宋" w:eastAsia="仿宋"/>
                <w:sz w:val="24"/>
                <w:szCs w:val="24"/>
                <w:highlight w:val="none"/>
              </w:rPr>
            </w:pPr>
          </w:p>
        </w:tc>
      </w:tr>
      <w:tr w14:paraId="4C00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00AAFB80">
            <w:pPr>
              <w:widowControl w:val="0"/>
              <w:spacing w:beforeAutospacing="0" w:afterAutospacing="0" w:line="560" w:lineRule="exact"/>
              <w:jc w:val="center"/>
              <w:rPr>
                <w:rFonts w:ascii="仿宋" w:hAnsi="仿宋" w:eastAsia="仿宋"/>
                <w:sz w:val="24"/>
                <w:szCs w:val="24"/>
                <w:highlight w:val="none"/>
              </w:rPr>
            </w:pPr>
            <w:r>
              <w:rPr>
                <w:rFonts w:ascii="仿宋" w:hAnsi="仿宋" w:eastAsia="仿宋"/>
                <w:sz w:val="24"/>
                <w:szCs w:val="24"/>
                <w:highlight w:val="none"/>
              </w:rPr>
              <w:t>……</w:t>
            </w:r>
          </w:p>
        </w:tc>
        <w:tc>
          <w:tcPr>
            <w:tcW w:w="1736" w:type="dxa"/>
            <w:vAlign w:val="center"/>
          </w:tcPr>
          <w:p w14:paraId="5241E672">
            <w:pPr>
              <w:widowControl w:val="0"/>
              <w:spacing w:beforeAutospacing="0" w:afterAutospacing="0" w:line="560" w:lineRule="exact"/>
              <w:jc w:val="center"/>
              <w:rPr>
                <w:rFonts w:ascii="仿宋" w:hAnsi="仿宋" w:eastAsia="仿宋"/>
                <w:sz w:val="24"/>
                <w:szCs w:val="24"/>
                <w:highlight w:val="none"/>
              </w:rPr>
            </w:pPr>
          </w:p>
        </w:tc>
        <w:tc>
          <w:tcPr>
            <w:tcW w:w="1701" w:type="dxa"/>
            <w:vAlign w:val="center"/>
          </w:tcPr>
          <w:p w14:paraId="484E3CD9">
            <w:pPr>
              <w:widowControl w:val="0"/>
              <w:spacing w:beforeAutospacing="0" w:afterAutospacing="0" w:line="560" w:lineRule="exact"/>
              <w:jc w:val="center"/>
              <w:rPr>
                <w:rFonts w:ascii="仿宋" w:hAnsi="仿宋" w:eastAsia="仿宋"/>
                <w:sz w:val="24"/>
                <w:szCs w:val="24"/>
                <w:highlight w:val="none"/>
              </w:rPr>
            </w:pPr>
          </w:p>
        </w:tc>
        <w:tc>
          <w:tcPr>
            <w:tcW w:w="2557" w:type="dxa"/>
            <w:vAlign w:val="center"/>
          </w:tcPr>
          <w:p w14:paraId="61DBD481">
            <w:pPr>
              <w:widowControl w:val="0"/>
              <w:spacing w:beforeAutospacing="0" w:afterAutospacing="0" w:line="560" w:lineRule="exact"/>
              <w:jc w:val="center"/>
              <w:rPr>
                <w:rFonts w:ascii="仿宋" w:hAnsi="仿宋" w:eastAsia="仿宋"/>
                <w:sz w:val="24"/>
                <w:szCs w:val="24"/>
                <w:highlight w:val="none"/>
              </w:rPr>
            </w:pPr>
          </w:p>
        </w:tc>
        <w:tc>
          <w:tcPr>
            <w:tcW w:w="1984" w:type="dxa"/>
            <w:vAlign w:val="center"/>
          </w:tcPr>
          <w:p w14:paraId="21541D31">
            <w:pPr>
              <w:widowControl w:val="0"/>
              <w:spacing w:beforeAutospacing="0" w:afterAutospacing="0" w:line="560" w:lineRule="exact"/>
              <w:jc w:val="center"/>
              <w:rPr>
                <w:rFonts w:ascii="仿宋" w:hAnsi="仿宋" w:eastAsia="仿宋"/>
                <w:sz w:val="24"/>
                <w:szCs w:val="24"/>
                <w:highlight w:val="none"/>
              </w:rPr>
            </w:pPr>
          </w:p>
        </w:tc>
      </w:tr>
      <w:tr w14:paraId="269B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4363F1D0">
            <w:pPr>
              <w:widowControl w:val="0"/>
              <w:spacing w:beforeAutospacing="0" w:afterAutospacing="0" w:line="560" w:lineRule="exact"/>
              <w:jc w:val="left"/>
              <w:rPr>
                <w:rFonts w:ascii="仿宋" w:hAnsi="仿宋" w:eastAsia="仿宋"/>
                <w:sz w:val="24"/>
                <w:szCs w:val="24"/>
                <w:highlight w:val="none"/>
              </w:rPr>
            </w:pPr>
            <w:r>
              <w:rPr>
                <w:rFonts w:hint="eastAsia" w:ascii="仿宋" w:hAnsi="仿宋" w:eastAsia="仿宋"/>
                <w:b/>
                <w:sz w:val="24"/>
                <w:szCs w:val="24"/>
                <w:highlight w:val="none"/>
              </w:rPr>
              <w:t>数量合计（个）</w:t>
            </w:r>
            <w:r>
              <w:rPr>
                <w:rFonts w:hint="eastAsia" w:ascii="仿宋" w:hAnsi="仿宋" w:eastAsia="仿宋"/>
                <w:sz w:val="24"/>
                <w:szCs w:val="24"/>
                <w:highlight w:val="none"/>
              </w:rPr>
              <w:t>：</w:t>
            </w:r>
          </w:p>
        </w:tc>
      </w:tr>
    </w:tbl>
    <w:p w14:paraId="2F616E40">
      <w:pPr>
        <w:spacing w:beforeAutospacing="0" w:afterAutospacing="0" w:line="560" w:lineRule="exact"/>
        <w:ind w:firstLine="566" w:firstLineChars="200"/>
        <w:rPr>
          <w:rFonts w:eastAsia="仿宋"/>
          <w:highlight w:val="none"/>
        </w:rPr>
      </w:pPr>
      <w:r>
        <w:rPr>
          <w:rFonts w:hint="eastAsia" w:eastAsia="仿宋"/>
          <w:highlight w:val="none"/>
        </w:rPr>
        <w:t xml:space="preserve">   </w:t>
      </w:r>
      <w:r>
        <w:rPr>
          <w:rFonts w:hint="eastAsia" w:eastAsia="仿宋"/>
          <w:sz w:val="24"/>
          <w:szCs w:val="24"/>
          <w:highlight w:val="none"/>
        </w:rPr>
        <w:t xml:space="preserve"> 备注：后附</w:t>
      </w:r>
      <w:r>
        <w:rPr>
          <w:rFonts w:hint="eastAsia" w:ascii="仿宋" w:hAnsi="仿宋" w:eastAsia="仿宋" w:cs="仿宋"/>
          <w:bCs/>
          <w:sz w:val="24"/>
          <w:szCs w:val="24"/>
          <w:highlight w:val="none"/>
        </w:rPr>
        <w:t>近一年以来同类项目业绩，以合同签订日期为准，并加盖供应商公章的合同关键页复印件。</w:t>
      </w:r>
    </w:p>
    <w:p w14:paraId="0B2D26F6">
      <w:pPr>
        <w:pStyle w:val="50"/>
        <w:spacing w:beforeAutospacing="0" w:afterAutospacing="0" w:line="560" w:lineRule="exact"/>
        <w:ind w:firstLine="646" w:firstLineChars="200"/>
        <w:jc w:val="left"/>
        <w:rPr>
          <w:highlight w:val="none"/>
        </w:rPr>
      </w:pPr>
      <w:bookmarkStart w:id="581" w:name="_Toc28681292"/>
      <w:bookmarkStart w:id="582" w:name="_Toc19018"/>
      <w:bookmarkStart w:id="583" w:name="_Toc13228"/>
      <w:bookmarkStart w:id="584" w:name="_Toc28681584"/>
      <w:bookmarkStart w:id="585" w:name="_Toc28058"/>
      <w:bookmarkStart w:id="586" w:name="_Toc31915"/>
      <w:bookmarkStart w:id="587" w:name="_Toc12603"/>
      <w:bookmarkStart w:id="588" w:name="_Toc13192"/>
      <w:bookmarkStart w:id="589" w:name="_Toc17159"/>
      <w:bookmarkStart w:id="590" w:name="_Toc14992"/>
      <w:bookmarkStart w:id="591" w:name="_Toc17901"/>
      <w:r>
        <w:rPr>
          <w:rFonts w:hint="eastAsia" w:ascii="仿宋" w:hAnsi="华文仿宋" w:eastAsia="仿宋" w:cs="华文仿宋"/>
          <w:sz w:val="32"/>
          <w:szCs w:val="32"/>
          <w:highlight w:val="none"/>
        </w:rPr>
        <w:t>四、供应商认为有利于本次谈判的其他情况说明。</w:t>
      </w:r>
      <w:bookmarkEnd w:id="581"/>
      <w:bookmarkEnd w:id="582"/>
      <w:bookmarkEnd w:id="583"/>
      <w:bookmarkEnd w:id="584"/>
      <w:bookmarkEnd w:id="585"/>
      <w:bookmarkEnd w:id="586"/>
      <w:bookmarkEnd w:id="587"/>
      <w:bookmarkEnd w:id="588"/>
      <w:bookmarkEnd w:id="589"/>
      <w:bookmarkEnd w:id="590"/>
      <w:bookmarkEnd w:id="591"/>
    </w:p>
    <w:p w14:paraId="3BFE12EC">
      <w:pPr>
        <w:rPr>
          <w:rFonts w:eastAsia="仿宋"/>
          <w:highlight w:val="none"/>
        </w:rPr>
      </w:pPr>
    </w:p>
    <w:p w14:paraId="4D1E7877">
      <w:pPr>
        <w:pStyle w:val="50"/>
        <w:ind w:firstLine="566" w:firstLineChars="200"/>
        <w:outlineLvl w:val="0"/>
        <w:rPr>
          <w:rFonts w:ascii="黑体" w:hAnsi="黑体" w:eastAsia="黑体" w:cs="黑体"/>
          <w:b w:val="0"/>
          <w:bCs w:val="0"/>
          <w:sz w:val="32"/>
          <w:szCs w:val="32"/>
          <w:highlight w:val="none"/>
        </w:rPr>
      </w:pPr>
      <w:r>
        <w:rPr>
          <w:highlight w:val="none"/>
        </w:rPr>
        <w:br w:type="page"/>
      </w:r>
      <w:bookmarkStart w:id="592" w:name="_Toc19551"/>
      <w:bookmarkStart w:id="593" w:name="_Toc11950"/>
      <w:bookmarkStart w:id="594" w:name="_Toc249"/>
      <w:bookmarkStart w:id="595" w:name="_Toc4328"/>
      <w:bookmarkStart w:id="596" w:name="_Toc21029"/>
      <w:bookmarkStart w:id="597" w:name="_Toc16695"/>
      <w:bookmarkStart w:id="598" w:name="_Toc26192"/>
      <w:bookmarkStart w:id="599" w:name="_Toc7149"/>
      <w:bookmarkStart w:id="600" w:name="_Toc28681293"/>
      <w:bookmarkStart w:id="601" w:name="_Toc32728"/>
      <w:bookmarkStart w:id="602" w:name="_Toc6938"/>
      <w:bookmarkStart w:id="603" w:name="_Toc12580"/>
      <w:bookmarkStart w:id="604" w:name="_Toc22824"/>
      <w:bookmarkStart w:id="605" w:name="_Toc16537"/>
      <w:r>
        <w:rPr>
          <w:rFonts w:hint="eastAsia" w:ascii="黑体" w:hAnsi="黑体" w:eastAsia="黑体" w:cs="黑体"/>
          <w:b w:val="0"/>
          <w:bCs w:val="0"/>
          <w:sz w:val="32"/>
          <w:szCs w:val="32"/>
          <w:highlight w:val="none"/>
        </w:rPr>
        <w:t>第四部分  响应文件封袋标识式样</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F327F6B">
      <w:pPr>
        <w:ind w:firstLine="726" w:firstLineChars="200"/>
        <w:jc w:val="center"/>
        <w:rPr>
          <w:rFonts w:ascii="仿宋" w:hAnsi="仿宋" w:eastAsia="仿宋"/>
          <w:b/>
          <w:sz w:val="36"/>
          <w:szCs w:val="36"/>
          <w:highlight w:val="none"/>
        </w:rPr>
      </w:pPr>
    </w:p>
    <w:p w14:paraId="08593AC1">
      <w:pPr>
        <w:jc w:val="center"/>
        <w:rPr>
          <w:rFonts w:eastAsia="仿宋"/>
          <w:b/>
          <w:sz w:val="36"/>
          <w:szCs w:val="36"/>
          <w:highlight w:val="none"/>
        </w:rPr>
      </w:pPr>
    </w:p>
    <w:p w14:paraId="62BF0D14">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06" w:name="_Toc28571"/>
      <w:bookmarkStart w:id="607" w:name="_Toc9861"/>
      <w:bookmarkStart w:id="608" w:name="_Toc522"/>
      <w:r>
        <w:rPr>
          <w:rFonts w:hint="eastAsia" w:ascii="仿宋" w:hAnsi="华文仿宋" w:eastAsia="仿宋" w:cs="华文仿宋"/>
          <w:sz w:val="30"/>
          <w:szCs w:val="30"/>
          <w:highlight w:val="none"/>
        </w:rPr>
        <w:t>致：陕西中发项目管理发展有限公司</w:t>
      </w:r>
      <w:bookmarkEnd w:id="606"/>
      <w:bookmarkEnd w:id="607"/>
      <w:bookmarkEnd w:id="608"/>
    </w:p>
    <w:p w14:paraId="737BA68F">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09" w:name="_Toc26279"/>
      <w:bookmarkStart w:id="610" w:name="_Toc4190"/>
      <w:bookmarkStart w:id="611" w:name="_Toc18679"/>
      <w:r>
        <w:rPr>
          <w:rFonts w:hint="eastAsia" w:ascii="仿宋" w:hAnsi="华文仿宋" w:eastAsia="仿宋" w:cs="华文仿宋"/>
          <w:sz w:val="30"/>
          <w:szCs w:val="30"/>
          <w:highlight w:val="none"/>
        </w:rPr>
        <w:t>项目名称：</w:t>
      </w:r>
      <w:bookmarkEnd w:id="609"/>
      <w:bookmarkEnd w:id="610"/>
      <w:bookmarkEnd w:id="611"/>
      <w:r>
        <w:rPr>
          <w:rFonts w:hint="eastAsia" w:ascii="仿宋" w:hAnsi="华文仿宋" w:eastAsia="仿宋" w:cs="华文仿宋"/>
          <w:sz w:val="30"/>
          <w:szCs w:val="30"/>
          <w:highlight w:val="none"/>
          <w:u w:val="single"/>
        </w:rPr>
        <w:t xml:space="preserve">                       </w:t>
      </w:r>
    </w:p>
    <w:p w14:paraId="2582A605">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12" w:name="_Toc29515"/>
      <w:bookmarkStart w:id="613" w:name="_Toc25487"/>
      <w:bookmarkStart w:id="614" w:name="_Toc430"/>
      <w:r>
        <w:rPr>
          <w:rFonts w:hint="eastAsia" w:ascii="仿宋" w:hAnsi="华文仿宋" w:eastAsia="仿宋" w:cs="华文仿宋"/>
          <w:sz w:val="30"/>
          <w:szCs w:val="30"/>
          <w:highlight w:val="none"/>
        </w:rPr>
        <w:t>项目编号：</w:t>
      </w:r>
      <w:bookmarkEnd w:id="612"/>
      <w:bookmarkEnd w:id="613"/>
      <w:bookmarkEnd w:id="614"/>
      <w:r>
        <w:rPr>
          <w:rFonts w:hint="eastAsia" w:ascii="仿宋" w:hAnsi="华文仿宋" w:eastAsia="仿宋" w:cs="华文仿宋"/>
          <w:sz w:val="30"/>
          <w:szCs w:val="30"/>
          <w:highlight w:val="none"/>
          <w:u w:val="single"/>
        </w:rPr>
        <w:t xml:space="preserve">                       </w:t>
      </w:r>
    </w:p>
    <w:p w14:paraId="6D761900">
      <w:pPr>
        <w:pBdr>
          <w:top w:val="thickThinSmallGap" w:color="auto" w:sz="24" w:space="1"/>
          <w:left w:val="thickThinSmallGap" w:color="auto" w:sz="24" w:space="4"/>
          <w:bottom w:val="thinThickSmallGap" w:color="auto" w:sz="24" w:space="1"/>
          <w:right w:val="thinThickSmallGap" w:color="auto" w:sz="24" w:space="4"/>
        </w:pBdr>
        <w:spacing w:line="500" w:lineRule="exact"/>
        <w:rPr>
          <w:rFonts w:ascii="仿宋" w:hAnsi="华文仿宋" w:eastAsia="仿宋" w:cs="华文仿宋"/>
          <w:sz w:val="30"/>
          <w:szCs w:val="30"/>
          <w:highlight w:val="none"/>
        </w:rPr>
      </w:pPr>
    </w:p>
    <w:p w14:paraId="3956DAFB">
      <w:pPr>
        <w:pBdr>
          <w:top w:val="thickThinSmallGap" w:color="auto" w:sz="24" w:space="1"/>
          <w:left w:val="thickThinSmallGap" w:color="auto" w:sz="24" w:space="4"/>
          <w:bottom w:val="thinThickSmallGap" w:color="auto" w:sz="24" w:space="1"/>
          <w:right w:val="thinThickSmallGap" w:color="auto" w:sz="24" w:space="4"/>
        </w:pBdr>
        <w:jc w:val="center"/>
        <w:rPr>
          <w:rFonts w:eastAsia="仿宋"/>
          <w:b/>
          <w:sz w:val="44"/>
          <w:szCs w:val="44"/>
          <w:highlight w:val="none"/>
        </w:rPr>
      </w:pPr>
    </w:p>
    <w:p w14:paraId="2ACA85CC">
      <w:pPr>
        <w:pBdr>
          <w:top w:val="thickThinSmallGap" w:color="auto" w:sz="24" w:space="1"/>
          <w:left w:val="thickThinSmallGap" w:color="auto" w:sz="24" w:space="4"/>
          <w:bottom w:val="thinThickSmallGap" w:color="auto" w:sz="24" w:space="1"/>
          <w:right w:val="thinThickSmallGap" w:color="auto" w:sz="24" w:space="4"/>
        </w:pBdr>
        <w:spacing w:line="240" w:lineRule="auto"/>
        <w:ind w:firstLine="806" w:firstLineChars="200"/>
        <w:jc w:val="center"/>
        <w:rPr>
          <w:rFonts w:eastAsia="仿宋"/>
          <w:sz w:val="36"/>
          <w:szCs w:val="44"/>
          <w:highlight w:val="none"/>
        </w:rPr>
      </w:pPr>
      <w:r>
        <w:rPr>
          <w:rFonts w:hint="eastAsia" w:ascii="黑体" w:hAnsi="黑体" w:eastAsia="黑体" w:cs="黑体"/>
          <w:sz w:val="40"/>
          <w:szCs w:val="48"/>
          <w:highlight w:val="none"/>
        </w:rPr>
        <w:t>响应文件（正本/副本、电子件）</w:t>
      </w:r>
    </w:p>
    <w:p w14:paraId="3EBFBC28">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566" w:firstLineChars="200"/>
        <w:jc w:val="center"/>
        <w:rPr>
          <w:rFonts w:ascii="仿宋" w:hAnsi="华文仿宋" w:eastAsia="仿宋" w:cs="华文仿宋"/>
          <w:highlight w:val="none"/>
        </w:rPr>
      </w:pPr>
      <w:r>
        <w:rPr>
          <w:rFonts w:hint="eastAsia" w:ascii="仿宋" w:hAnsi="华文仿宋" w:eastAsia="仿宋" w:cs="华文仿宋"/>
          <w:highlight w:val="none"/>
        </w:rPr>
        <w:t>（在规定的开启时间前不得启封）</w:t>
      </w:r>
    </w:p>
    <w:p w14:paraId="03C840A5">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仿宋" w:hAnsi="华文仿宋" w:eastAsia="仿宋" w:cs="华文仿宋"/>
          <w:highlight w:val="none"/>
        </w:rPr>
      </w:pPr>
    </w:p>
    <w:p w14:paraId="6F18F6A0">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rPr>
          <w:rFonts w:ascii="仿宋" w:hAnsi="华文仿宋" w:eastAsia="仿宋" w:cs="华文仿宋"/>
          <w:highlight w:val="none"/>
        </w:rPr>
      </w:pPr>
    </w:p>
    <w:p w14:paraId="7021C7E1">
      <w:pPr>
        <w:pBdr>
          <w:top w:val="thickThinSmallGap" w:color="auto" w:sz="24" w:space="1"/>
          <w:left w:val="thickThinSmallGap" w:color="auto" w:sz="24" w:space="4"/>
          <w:bottom w:val="thinThickSmallGap" w:color="auto" w:sz="24" w:space="1"/>
          <w:right w:val="thinThickSmallGap" w:color="auto" w:sz="24" w:space="4"/>
        </w:pBdr>
        <w:spacing w:line="500" w:lineRule="exact"/>
        <w:ind w:firstLine="606" w:firstLineChars="200"/>
        <w:rPr>
          <w:rFonts w:ascii="仿宋" w:hAnsi="华文仿宋" w:eastAsia="仿宋" w:cs="华文仿宋"/>
          <w:sz w:val="30"/>
          <w:szCs w:val="30"/>
          <w:highlight w:val="none"/>
        </w:rPr>
      </w:pPr>
      <w:bookmarkStart w:id="615" w:name="_Toc6486"/>
      <w:bookmarkStart w:id="616" w:name="_Toc5396"/>
      <w:bookmarkStart w:id="617" w:name="_Toc7052"/>
      <w:r>
        <w:rPr>
          <w:rFonts w:hint="eastAsia" w:ascii="仿宋" w:hAnsi="华文仿宋" w:eastAsia="仿宋" w:cs="华文仿宋"/>
          <w:sz w:val="30"/>
          <w:szCs w:val="30"/>
          <w:highlight w:val="none"/>
        </w:rPr>
        <w:t>供应商：</w:t>
      </w:r>
      <w:r>
        <w:rPr>
          <w:rFonts w:hint="eastAsia" w:ascii="仿宋" w:hAnsi="华文仿宋" w:eastAsia="仿宋" w:cs="华文仿宋"/>
          <w:sz w:val="30"/>
          <w:szCs w:val="30"/>
          <w:highlight w:val="none"/>
          <w:u w:val="single"/>
        </w:rPr>
        <w:t xml:space="preserve">                </w:t>
      </w:r>
      <w:r>
        <w:rPr>
          <w:rFonts w:hint="eastAsia" w:ascii="仿宋" w:hAnsi="华文仿宋" w:eastAsia="仿宋" w:cs="华文仿宋"/>
          <w:sz w:val="30"/>
          <w:szCs w:val="30"/>
          <w:highlight w:val="none"/>
        </w:rPr>
        <w:t>（加盖公章）</w:t>
      </w:r>
      <w:bookmarkEnd w:id="615"/>
      <w:bookmarkEnd w:id="616"/>
      <w:bookmarkEnd w:id="617"/>
    </w:p>
    <w:p w14:paraId="636519FD">
      <w:pPr>
        <w:pBdr>
          <w:top w:val="thickThinSmallGap" w:color="auto" w:sz="24" w:space="1"/>
          <w:left w:val="thickThinSmallGap" w:color="auto" w:sz="24" w:space="4"/>
          <w:bottom w:val="thinThickSmallGap" w:color="auto" w:sz="24" w:space="1"/>
          <w:right w:val="thinThickSmallGap" w:color="auto" w:sz="24" w:space="4"/>
        </w:pBdr>
        <w:tabs>
          <w:tab w:val="left" w:pos="5670"/>
        </w:tabs>
        <w:spacing w:line="500" w:lineRule="exact"/>
        <w:ind w:firstLine="606" w:firstLineChars="200"/>
        <w:rPr>
          <w:rFonts w:ascii="仿宋" w:hAnsi="华文仿宋" w:eastAsia="仿宋" w:cs="华文仿宋"/>
          <w:highlight w:val="none"/>
          <w:u w:val="single"/>
        </w:rPr>
      </w:pPr>
      <w:bookmarkStart w:id="618" w:name="_Toc6826"/>
      <w:bookmarkStart w:id="619" w:name="_Toc8049"/>
      <w:bookmarkStart w:id="620" w:name="_Toc2347"/>
      <w:r>
        <w:rPr>
          <w:rFonts w:hint="eastAsia" w:ascii="仿宋" w:hAnsi="华文仿宋" w:eastAsia="仿宋" w:cs="华文仿宋"/>
          <w:sz w:val="30"/>
          <w:szCs w:val="30"/>
          <w:highlight w:val="none"/>
          <w:lang w:val="en-US" w:eastAsia="zh-CN"/>
        </w:rPr>
        <w:t>日  期</w:t>
      </w:r>
      <w:r>
        <w:rPr>
          <w:rFonts w:hint="eastAsia" w:ascii="仿宋" w:hAnsi="华文仿宋" w:eastAsia="仿宋" w:cs="华文仿宋"/>
          <w:sz w:val="30"/>
          <w:szCs w:val="30"/>
          <w:highlight w:val="none"/>
        </w:rPr>
        <w:t>：</w:t>
      </w:r>
      <w:r>
        <w:rPr>
          <w:rFonts w:hint="eastAsia" w:ascii="仿宋" w:hAnsi="华文仿宋" w:eastAsia="仿宋" w:cs="华文仿宋"/>
          <w:sz w:val="30"/>
          <w:szCs w:val="30"/>
          <w:highlight w:val="none"/>
          <w:u w:val="single"/>
        </w:rPr>
        <w:t xml:space="preserve">                 </w:t>
      </w:r>
      <w:bookmarkEnd w:id="618"/>
      <w:bookmarkEnd w:id="619"/>
      <w:bookmarkEnd w:id="620"/>
    </w:p>
    <w:p w14:paraId="385B4A99">
      <w:pPr>
        <w:spacing w:line="240" w:lineRule="auto"/>
        <w:rPr>
          <w:rFonts w:ascii="黑体" w:hAnsi="黑体" w:eastAsia="黑体"/>
          <w:b/>
          <w:highlight w:val="none"/>
        </w:rPr>
      </w:pPr>
    </w:p>
    <w:p w14:paraId="02908072">
      <w:pPr>
        <w:ind w:firstLine="566" w:firstLineChars="200"/>
        <w:jc w:val="left"/>
        <w:rPr>
          <w:rFonts w:ascii="仿宋" w:hAnsi="仿宋" w:eastAsia="仿宋"/>
          <w:highlight w:val="none"/>
        </w:rPr>
      </w:pPr>
    </w:p>
    <w:sectPr>
      <w:headerReference r:id="rId7" w:type="default"/>
      <w:footerReference r:id="rId8" w:type="default"/>
      <w:pgSz w:w="11906" w:h="16838"/>
      <w:pgMar w:top="1440" w:right="1276" w:bottom="1440" w:left="1276" w:header="850" w:footer="992" w:gutter="0"/>
      <w:pgNumType w:fmt="decimal" w:start="1"/>
      <w:cols w:space="0" w:num="1"/>
      <w:docGrid w:type="linesAndChars" w:linePitch="387"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10867F-57F7-4418-8F48-2B76D60F7D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embedRegular r:id="rId2" w:fontKey="{04B3ED78-C6F7-4B0F-ADE3-7625A1DCCF5C}"/>
  </w:font>
  <w:font w:name="华文仿宋">
    <w:panose1 w:val="02010600040101010101"/>
    <w:charset w:val="86"/>
    <w:family w:val="auto"/>
    <w:pitch w:val="default"/>
    <w:sig w:usb0="00000287" w:usb1="080F0000" w:usb2="00000000" w:usb3="00000000" w:csb0="0004009F" w:csb1="DFD70000"/>
    <w:embedRegular r:id="rId3" w:fontKey="{34F7635D-FB86-4CE9-B57E-5572A21B5F0D}"/>
  </w:font>
  <w:font w:name="仿宋">
    <w:panose1 w:val="02010609060101010101"/>
    <w:charset w:val="86"/>
    <w:family w:val="modern"/>
    <w:pitch w:val="default"/>
    <w:sig w:usb0="800002BF" w:usb1="38CF7CFA" w:usb2="00000016" w:usb3="00000000" w:csb0="00040001" w:csb1="00000000"/>
    <w:embedRegular r:id="rId4" w:fontKey="{83DF04F3-B79A-4784-A265-71A4D8E2E1BA}"/>
  </w:font>
  <w:font w:name="仿宋_GB2312">
    <w:panose1 w:val="02010609030101010101"/>
    <w:charset w:val="86"/>
    <w:family w:val="modern"/>
    <w:pitch w:val="default"/>
    <w:sig w:usb0="00000001" w:usb1="080E0000" w:usb2="00000000" w:usb3="00000000" w:csb0="00040000" w:csb1="00000000"/>
    <w:embedRegular r:id="rId5" w:fontKey="{6ED3347D-6331-4282-8F4B-9C8A14E7138E}"/>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6" w:fontKey="{285AF5DD-F924-422F-AFF0-8A55C2D89CBD}"/>
  </w:font>
  <w:font w:name="楷体_GB2312">
    <w:panose1 w:val="02010609030101010101"/>
    <w:charset w:val="86"/>
    <w:family w:val="modern"/>
    <w:pitch w:val="default"/>
    <w:sig w:usb0="00000001" w:usb1="080E0000" w:usb2="00000000" w:usb3="00000000" w:csb0="00040000" w:csb1="00000000"/>
    <w:embedRegular r:id="rId7" w:fontKey="{13578B6F-ACE3-493B-B465-7FC734AF91EA}"/>
  </w:font>
  <w:font w:name="宋体-18030">
    <w:altName w:val="微软雅黑"/>
    <w:panose1 w:val="00000000000000000000"/>
    <w:charset w:val="86"/>
    <w:family w:val="modern"/>
    <w:pitch w:val="default"/>
    <w:sig w:usb0="00000000" w:usb1="00000000" w:usb2="000A005E" w:usb3="00000000" w:csb0="00040001" w:csb1="00000000"/>
    <w:embedRegular r:id="rId8" w:fontKey="{5037A394-68F7-4E25-B43A-33D57098697C}"/>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09E7">
    <w:pPr>
      <w:tabs>
        <w:tab w:val="left" w:pos="5230"/>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C811A">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23</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36C811A">
                    <w:pPr>
                      <w:pStyle w:val="16"/>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sz w:val="22"/>
                        <w:szCs w:val="40"/>
                      </w:rPr>
                      <w:fldChar w:fldCharType="begin"/>
                    </w:r>
                    <w:r>
                      <w:rPr>
                        <w:rFonts w:hint="eastAsia" w:ascii="宋体" w:hAnsi="宋体" w:eastAsia="宋体" w:cs="宋体"/>
                        <w:sz w:val="22"/>
                        <w:szCs w:val="40"/>
                      </w:rPr>
                      <w:instrText xml:space="preserve"> PAGE  \* MERGEFORMAT </w:instrText>
                    </w:r>
                    <w:r>
                      <w:rPr>
                        <w:rFonts w:hint="eastAsia" w:ascii="宋体" w:hAnsi="宋体" w:eastAsia="宋体" w:cs="宋体"/>
                        <w:sz w:val="22"/>
                        <w:szCs w:val="40"/>
                      </w:rPr>
                      <w:fldChar w:fldCharType="separate"/>
                    </w:r>
                    <w:r>
                      <w:rPr>
                        <w:rFonts w:hint="eastAsia" w:ascii="宋体" w:hAnsi="宋体" w:eastAsia="宋体" w:cs="宋体"/>
                        <w:sz w:val="22"/>
                        <w:szCs w:val="40"/>
                      </w:rPr>
                      <w:t>23</w:t>
                    </w:r>
                    <w:r>
                      <w:rPr>
                        <w:rFonts w:hint="eastAsia" w:ascii="宋体" w:hAnsi="宋体" w:eastAsia="宋体" w:cs="宋体"/>
                        <w:sz w:val="22"/>
                        <w:szCs w:val="40"/>
                      </w:rPr>
                      <w:fldChar w:fldCharType="end"/>
                    </w:r>
                    <w:r>
                      <w:rPr>
                        <w:rFonts w:hint="eastAsia" w:ascii="宋体" w:hAnsi="宋体" w:eastAsia="宋体" w:cs="宋体"/>
                        <w:sz w:val="22"/>
                        <w:szCs w:val="40"/>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EA89B">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F7EA89B">
                    <w:pPr>
                      <w:pStyle w:val="1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58696">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7258696">
                    <w:pPr>
                      <w:pStyle w:val="16"/>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A0AC">
    <w:pPr>
      <w:pStyle w:val="17"/>
      <w:rPr>
        <w:rFonts w:hint="eastAsia" w:ascii="仿宋_GB2312" w:hAnsi="仿宋_GB2312" w:eastAsia="仿宋_GB2312" w:cs="仿宋_GB2312"/>
        <w:sz w:val="22"/>
        <w:szCs w:val="40"/>
        <w:lang w:eastAsia="zh-CN"/>
      </w:rPr>
    </w:pPr>
    <w:r>
      <w:rPr>
        <w:rFonts w:hint="eastAsia" w:ascii="仿宋_GB2312" w:hAnsi="仿宋_GB2312" w:eastAsia="仿宋_GB2312" w:cs="仿宋_GB2312"/>
        <w:sz w:val="22"/>
        <w:szCs w:val="40"/>
        <w:lang w:eastAsia="zh-CN"/>
      </w:rPr>
      <w:t>2025年度工程建设及相关系统运维服务项目</w:t>
    </w:r>
  </w:p>
  <w:p w14:paraId="1F680CEF">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0AE0">
    <w:pPr>
      <w:pStyle w:val="1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D951">
    <w:pPr>
      <w:pStyle w:val="17"/>
      <w:rPr>
        <w:rFonts w:hint="eastAsia" w:ascii="仿宋_GB2312" w:hAnsi="仿宋_GB2312" w:eastAsia="仿宋_GB2312" w:cs="仿宋_GB2312"/>
        <w:sz w:val="22"/>
        <w:szCs w:val="40"/>
        <w:lang w:eastAsia="zh-CN"/>
      </w:rPr>
    </w:pPr>
    <w:r>
      <w:rPr>
        <w:rFonts w:hint="eastAsia" w:ascii="仿宋_GB2312" w:hAnsi="仿宋_GB2312" w:eastAsia="仿宋_GB2312" w:cs="仿宋_GB2312"/>
        <w:sz w:val="22"/>
        <w:szCs w:val="40"/>
        <w:lang w:eastAsia="zh-CN"/>
      </w:rPr>
      <w:t>2025年度工程建设及相关系统运维服务项目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D6662"/>
    <w:multiLevelType w:val="singleLevel"/>
    <w:tmpl w:val="937D66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attachedTemplate r:id="rId1"/>
  <w:documentProtection w:enforcement="0"/>
  <w:defaultTabStop w:val="420"/>
  <w:drawingGridHorizontalSpacing w:val="283"/>
  <w:drawingGridVerticalSpacing w:val="19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MzFiYWViYmM5MzlhYzAzOTQ1Yzg5NTMyYmRjM2UifQ=="/>
    <w:docVar w:name="KSO_WPS_MARK_KEY" w:val="7a2a0690-3707-464e-a6b7-8abc59c87f5c"/>
  </w:docVars>
  <w:rsids>
    <w:rsidRoot w:val="0041784D"/>
    <w:rsid w:val="0000132A"/>
    <w:rsid w:val="00006CB1"/>
    <w:rsid w:val="00006D93"/>
    <w:rsid w:val="00006EA0"/>
    <w:rsid w:val="00006F79"/>
    <w:rsid w:val="000077A5"/>
    <w:rsid w:val="00010272"/>
    <w:rsid w:val="00010B45"/>
    <w:rsid w:val="0001192B"/>
    <w:rsid w:val="000134AA"/>
    <w:rsid w:val="00013D05"/>
    <w:rsid w:val="000153C4"/>
    <w:rsid w:val="00016CA4"/>
    <w:rsid w:val="0001710C"/>
    <w:rsid w:val="00017AA2"/>
    <w:rsid w:val="00017C69"/>
    <w:rsid w:val="0002046D"/>
    <w:rsid w:val="00021A1F"/>
    <w:rsid w:val="00021AAC"/>
    <w:rsid w:val="00023622"/>
    <w:rsid w:val="00025A17"/>
    <w:rsid w:val="00026265"/>
    <w:rsid w:val="00026FE0"/>
    <w:rsid w:val="00027F98"/>
    <w:rsid w:val="00030F95"/>
    <w:rsid w:val="000327A3"/>
    <w:rsid w:val="00040F12"/>
    <w:rsid w:val="00041418"/>
    <w:rsid w:val="000445DF"/>
    <w:rsid w:val="00045426"/>
    <w:rsid w:val="00045CF6"/>
    <w:rsid w:val="00050D4B"/>
    <w:rsid w:val="000540B1"/>
    <w:rsid w:val="00057D89"/>
    <w:rsid w:val="000612A6"/>
    <w:rsid w:val="00062574"/>
    <w:rsid w:val="000631FB"/>
    <w:rsid w:val="00063761"/>
    <w:rsid w:val="000658F0"/>
    <w:rsid w:val="00065F6A"/>
    <w:rsid w:val="000668A4"/>
    <w:rsid w:val="0006721D"/>
    <w:rsid w:val="00067A9B"/>
    <w:rsid w:val="0007114C"/>
    <w:rsid w:val="000720B4"/>
    <w:rsid w:val="00072955"/>
    <w:rsid w:val="00072FFC"/>
    <w:rsid w:val="00073169"/>
    <w:rsid w:val="00073A1B"/>
    <w:rsid w:val="00080F19"/>
    <w:rsid w:val="000821A1"/>
    <w:rsid w:val="00084B2A"/>
    <w:rsid w:val="00087A67"/>
    <w:rsid w:val="00092451"/>
    <w:rsid w:val="00093129"/>
    <w:rsid w:val="000934DB"/>
    <w:rsid w:val="000953A2"/>
    <w:rsid w:val="000964D9"/>
    <w:rsid w:val="000A1AD0"/>
    <w:rsid w:val="000A5337"/>
    <w:rsid w:val="000B6558"/>
    <w:rsid w:val="000C07CF"/>
    <w:rsid w:val="000C0BF5"/>
    <w:rsid w:val="000C10D2"/>
    <w:rsid w:val="000C28F4"/>
    <w:rsid w:val="000C3342"/>
    <w:rsid w:val="000C7932"/>
    <w:rsid w:val="000D19FB"/>
    <w:rsid w:val="000D490F"/>
    <w:rsid w:val="000D566B"/>
    <w:rsid w:val="000E0BB3"/>
    <w:rsid w:val="000E3C3E"/>
    <w:rsid w:val="000E474C"/>
    <w:rsid w:val="000E5AEA"/>
    <w:rsid w:val="000E7452"/>
    <w:rsid w:val="000F04D9"/>
    <w:rsid w:val="000F2028"/>
    <w:rsid w:val="000F2C4F"/>
    <w:rsid w:val="000F37C0"/>
    <w:rsid w:val="000F4630"/>
    <w:rsid w:val="000F6013"/>
    <w:rsid w:val="000F6716"/>
    <w:rsid w:val="000F6AE3"/>
    <w:rsid w:val="001019C2"/>
    <w:rsid w:val="00103434"/>
    <w:rsid w:val="00104800"/>
    <w:rsid w:val="00104DA6"/>
    <w:rsid w:val="00105EA7"/>
    <w:rsid w:val="001061DD"/>
    <w:rsid w:val="001062C7"/>
    <w:rsid w:val="0010651A"/>
    <w:rsid w:val="00106D28"/>
    <w:rsid w:val="00107F68"/>
    <w:rsid w:val="001127DB"/>
    <w:rsid w:val="00113090"/>
    <w:rsid w:val="00113290"/>
    <w:rsid w:val="00113939"/>
    <w:rsid w:val="001141F6"/>
    <w:rsid w:val="00114ECB"/>
    <w:rsid w:val="00115E63"/>
    <w:rsid w:val="0012102A"/>
    <w:rsid w:val="00122811"/>
    <w:rsid w:val="0012349B"/>
    <w:rsid w:val="0012385C"/>
    <w:rsid w:val="00123BC2"/>
    <w:rsid w:val="00123C26"/>
    <w:rsid w:val="00123F8F"/>
    <w:rsid w:val="00124D56"/>
    <w:rsid w:val="001275F9"/>
    <w:rsid w:val="00130186"/>
    <w:rsid w:val="001302E4"/>
    <w:rsid w:val="00133200"/>
    <w:rsid w:val="00134524"/>
    <w:rsid w:val="0014313C"/>
    <w:rsid w:val="00143F5B"/>
    <w:rsid w:val="001442C3"/>
    <w:rsid w:val="001455C6"/>
    <w:rsid w:val="001475C3"/>
    <w:rsid w:val="00152490"/>
    <w:rsid w:val="00152EBF"/>
    <w:rsid w:val="00153F57"/>
    <w:rsid w:val="001577F0"/>
    <w:rsid w:val="00157A00"/>
    <w:rsid w:val="00157BBE"/>
    <w:rsid w:val="00161EB3"/>
    <w:rsid w:val="00163C8A"/>
    <w:rsid w:val="00166B2F"/>
    <w:rsid w:val="00167D95"/>
    <w:rsid w:val="00171A5D"/>
    <w:rsid w:val="0017209E"/>
    <w:rsid w:val="00176AFD"/>
    <w:rsid w:val="00182B70"/>
    <w:rsid w:val="00182D83"/>
    <w:rsid w:val="0018359D"/>
    <w:rsid w:val="00183E89"/>
    <w:rsid w:val="00184D76"/>
    <w:rsid w:val="00187807"/>
    <w:rsid w:val="0019404E"/>
    <w:rsid w:val="001940D9"/>
    <w:rsid w:val="00194B83"/>
    <w:rsid w:val="00195011"/>
    <w:rsid w:val="001A1299"/>
    <w:rsid w:val="001A286C"/>
    <w:rsid w:val="001A2D5E"/>
    <w:rsid w:val="001A3331"/>
    <w:rsid w:val="001A3A80"/>
    <w:rsid w:val="001A3AA1"/>
    <w:rsid w:val="001A71EF"/>
    <w:rsid w:val="001B0488"/>
    <w:rsid w:val="001B2552"/>
    <w:rsid w:val="001B49D1"/>
    <w:rsid w:val="001B5246"/>
    <w:rsid w:val="001C0085"/>
    <w:rsid w:val="001C1241"/>
    <w:rsid w:val="001C23E9"/>
    <w:rsid w:val="001C47FF"/>
    <w:rsid w:val="001C6AD6"/>
    <w:rsid w:val="001D13EB"/>
    <w:rsid w:val="001D52AF"/>
    <w:rsid w:val="001D5748"/>
    <w:rsid w:val="001D5AD7"/>
    <w:rsid w:val="001D779F"/>
    <w:rsid w:val="001D7F8F"/>
    <w:rsid w:val="001E086B"/>
    <w:rsid w:val="001E1ECD"/>
    <w:rsid w:val="001E1FB3"/>
    <w:rsid w:val="001E4C56"/>
    <w:rsid w:val="001E4D10"/>
    <w:rsid w:val="001E6274"/>
    <w:rsid w:val="001F0F45"/>
    <w:rsid w:val="001F104D"/>
    <w:rsid w:val="001F1290"/>
    <w:rsid w:val="001F555E"/>
    <w:rsid w:val="0020361E"/>
    <w:rsid w:val="002062C6"/>
    <w:rsid w:val="00206384"/>
    <w:rsid w:val="00211854"/>
    <w:rsid w:val="00215052"/>
    <w:rsid w:val="0021650A"/>
    <w:rsid w:val="002169A9"/>
    <w:rsid w:val="00216A4E"/>
    <w:rsid w:val="0022130C"/>
    <w:rsid w:val="00222772"/>
    <w:rsid w:val="00224818"/>
    <w:rsid w:val="0022495B"/>
    <w:rsid w:val="00224E74"/>
    <w:rsid w:val="00226DA4"/>
    <w:rsid w:val="002301E5"/>
    <w:rsid w:val="00230A38"/>
    <w:rsid w:val="00232219"/>
    <w:rsid w:val="002351F5"/>
    <w:rsid w:val="00237339"/>
    <w:rsid w:val="002403EB"/>
    <w:rsid w:val="00251487"/>
    <w:rsid w:val="002515D9"/>
    <w:rsid w:val="00252CCF"/>
    <w:rsid w:val="00253069"/>
    <w:rsid w:val="00253807"/>
    <w:rsid w:val="002543E8"/>
    <w:rsid w:val="0025722A"/>
    <w:rsid w:val="00260979"/>
    <w:rsid w:val="002609F3"/>
    <w:rsid w:val="00266E57"/>
    <w:rsid w:val="002701C1"/>
    <w:rsid w:val="00270C45"/>
    <w:rsid w:val="002718A6"/>
    <w:rsid w:val="0027190A"/>
    <w:rsid w:val="00271D32"/>
    <w:rsid w:val="00273C17"/>
    <w:rsid w:val="00275633"/>
    <w:rsid w:val="002758E9"/>
    <w:rsid w:val="00277CF6"/>
    <w:rsid w:val="002827A4"/>
    <w:rsid w:val="002860B3"/>
    <w:rsid w:val="00286AA5"/>
    <w:rsid w:val="0028708F"/>
    <w:rsid w:val="002901D6"/>
    <w:rsid w:val="0029022F"/>
    <w:rsid w:val="00290F80"/>
    <w:rsid w:val="00297D3C"/>
    <w:rsid w:val="002A22F0"/>
    <w:rsid w:val="002A3FDD"/>
    <w:rsid w:val="002A4E5D"/>
    <w:rsid w:val="002A5E1C"/>
    <w:rsid w:val="002A6979"/>
    <w:rsid w:val="002A6CD6"/>
    <w:rsid w:val="002A76AB"/>
    <w:rsid w:val="002B0150"/>
    <w:rsid w:val="002B4A8B"/>
    <w:rsid w:val="002B4DD0"/>
    <w:rsid w:val="002B4DDF"/>
    <w:rsid w:val="002B5EA1"/>
    <w:rsid w:val="002C3518"/>
    <w:rsid w:val="002C375F"/>
    <w:rsid w:val="002C4E90"/>
    <w:rsid w:val="002D5BA3"/>
    <w:rsid w:val="002E0DC3"/>
    <w:rsid w:val="002E1BFB"/>
    <w:rsid w:val="002E3460"/>
    <w:rsid w:val="002E35F5"/>
    <w:rsid w:val="002E3EA4"/>
    <w:rsid w:val="002E61F9"/>
    <w:rsid w:val="002F1089"/>
    <w:rsid w:val="002F1C38"/>
    <w:rsid w:val="002F3593"/>
    <w:rsid w:val="002F4169"/>
    <w:rsid w:val="002F4A48"/>
    <w:rsid w:val="002F5556"/>
    <w:rsid w:val="002F57A8"/>
    <w:rsid w:val="002F66CF"/>
    <w:rsid w:val="002F72AF"/>
    <w:rsid w:val="00300FB5"/>
    <w:rsid w:val="00305E41"/>
    <w:rsid w:val="003077C4"/>
    <w:rsid w:val="003118B9"/>
    <w:rsid w:val="00311E53"/>
    <w:rsid w:val="0031392F"/>
    <w:rsid w:val="00314478"/>
    <w:rsid w:val="003171A5"/>
    <w:rsid w:val="003215A4"/>
    <w:rsid w:val="00326A35"/>
    <w:rsid w:val="00326D8C"/>
    <w:rsid w:val="0033123B"/>
    <w:rsid w:val="00331ED3"/>
    <w:rsid w:val="003403ED"/>
    <w:rsid w:val="003415B8"/>
    <w:rsid w:val="0034451E"/>
    <w:rsid w:val="003479A9"/>
    <w:rsid w:val="00347C45"/>
    <w:rsid w:val="00350678"/>
    <w:rsid w:val="003513BE"/>
    <w:rsid w:val="00351A22"/>
    <w:rsid w:val="00352D79"/>
    <w:rsid w:val="00355785"/>
    <w:rsid w:val="003557CA"/>
    <w:rsid w:val="00355927"/>
    <w:rsid w:val="00356611"/>
    <w:rsid w:val="00357F57"/>
    <w:rsid w:val="0036333E"/>
    <w:rsid w:val="00364B39"/>
    <w:rsid w:val="00370521"/>
    <w:rsid w:val="00372364"/>
    <w:rsid w:val="00373F68"/>
    <w:rsid w:val="00374B82"/>
    <w:rsid w:val="00377114"/>
    <w:rsid w:val="00387B22"/>
    <w:rsid w:val="00390270"/>
    <w:rsid w:val="00390F06"/>
    <w:rsid w:val="00391C6E"/>
    <w:rsid w:val="00391E75"/>
    <w:rsid w:val="003962E7"/>
    <w:rsid w:val="00397538"/>
    <w:rsid w:val="003A1787"/>
    <w:rsid w:val="003A295E"/>
    <w:rsid w:val="003A3C3F"/>
    <w:rsid w:val="003A70F2"/>
    <w:rsid w:val="003B11ED"/>
    <w:rsid w:val="003B78F7"/>
    <w:rsid w:val="003C1297"/>
    <w:rsid w:val="003C13A6"/>
    <w:rsid w:val="003C303F"/>
    <w:rsid w:val="003C3A13"/>
    <w:rsid w:val="003C6454"/>
    <w:rsid w:val="003D07DB"/>
    <w:rsid w:val="003D2B66"/>
    <w:rsid w:val="003D375A"/>
    <w:rsid w:val="003E063C"/>
    <w:rsid w:val="003E0F8A"/>
    <w:rsid w:val="003E1E40"/>
    <w:rsid w:val="003E3256"/>
    <w:rsid w:val="003E3707"/>
    <w:rsid w:val="003E3FAD"/>
    <w:rsid w:val="003F093D"/>
    <w:rsid w:val="003F20D6"/>
    <w:rsid w:val="003F3A2B"/>
    <w:rsid w:val="003F4085"/>
    <w:rsid w:val="003F5E75"/>
    <w:rsid w:val="003F7491"/>
    <w:rsid w:val="003F7E69"/>
    <w:rsid w:val="00401437"/>
    <w:rsid w:val="00401849"/>
    <w:rsid w:val="00403C6C"/>
    <w:rsid w:val="0040431F"/>
    <w:rsid w:val="0040454B"/>
    <w:rsid w:val="00406380"/>
    <w:rsid w:val="00410875"/>
    <w:rsid w:val="004122B3"/>
    <w:rsid w:val="0041784D"/>
    <w:rsid w:val="0042214B"/>
    <w:rsid w:val="004242E2"/>
    <w:rsid w:val="00424947"/>
    <w:rsid w:val="0042607E"/>
    <w:rsid w:val="00427FBB"/>
    <w:rsid w:val="00432CCA"/>
    <w:rsid w:val="004350F7"/>
    <w:rsid w:val="00441924"/>
    <w:rsid w:val="00442991"/>
    <w:rsid w:val="00445EB1"/>
    <w:rsid w:val="004466EB"/>
    <w:rsid w:val="00447286"/>
    <w:rsid w:val="00447749"/>
    <w:rsid w:val="00447FE5"/>
    <w:rsid w:val="004508DC"/>
    <w:rsid w:val="00450B91"/>
    <w:rsid w:val="00450EFC"/>
    <w:rsid w:val="004516D2"/>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4786"/>
    <w:rsid w:val="00475BF8"/>
    <w:rsid w:val="00476873"/>
    <w:rsid w:val="0048218F"/>
    <w:rsid w:val="00482C98"/>
    <w:rsid w:val="00483F32"/>
    <w:rsid w:val="0048563D"/>
    <w:rsid w:val="0048565B"/>
    <w:rsid w:val="004901FE"/>
    <w:rsid w:val="00490AF1"/>
    <w:rsid w:val="0049101A"/>
    <w:rsid w:val="004919AE"/>
    <w:rsid w:val="00491FCC"/>
    <w:rsid w:val="0049200C"/>
    <w:rsid w:val="0049465F"/>
    <w:rsid w:val="004956A0"/>
    <w:rsid w:val="004A01EB"/>
    <w:rsid w:val="004A2417"/>
    <w:rsid w:val="004A34BC"/>
    <w:rsid w:val="004A3FA2"/>
    <w:rsid w:val="004A418D"/>
    <w:rsid w:val="004A4432"/>
    <w:rsid w:val="004A6C03"/>
    <w:rsid w:val="004B01C0"/>
    <w:rsid w:val="004B0283"/>
    <w:rsid w:val="004B1964"/>
    <w:rsid w:val="004B2197"/>
    <w:rsid w:val="004B35D8"/>
    <w:rsid w:val="004B4D1B"/>
    <w:rsid w:val="004B5371"/>
    <w:rsid w:val="004B55AA"/>
    <w:rsid w:val="004B57CB"/>
    <w:rsid w:val="004B740D"/>
    <w:rsid w:val="004B7923"/>
    <w:rsid w:val="004C12AB"/>
    <w:rsid w:val="004C4D27"/>
    <w:rsid w:val="004C51C2"/>
    <w:rsid w:val="004C69C2"/>
    <w:rsid w:val="004D1616"/>
    <w:rsid w:val="004D2689"/>
    <w:rsid w:val="004D3ABF"/>
    <w:rsid w:val="004D70BB"/>
    <w:rsid w:val="004D7826"/>
    <w:rsid w:val="004E03C6"/>
    <w:rsid w:val="004E5EFB"/>
    <w:rsid w:val="004E7D4E"/>
    <w:rsid w:val="004F0D4C"/>
    <w:rsid w:val="004F71E1"/>
    <w:rsid w:val="004F792A"/>
    <w:rsid w:val="00501590"/>
    <w:rsid w:val="00503D14"/>
    <w:rsid w:val="00504388"/>
    <w:rsid w:val="0050679B"/>
    <w:rsid w:val="0050770A"/>
    <w:rsid w:val="00510BFA"/>
    <w:rsid w:val="005112AC"/>
    <w:rsid w:val="00511C56"/>
    <w:rsid w:val="00512FDD"/>
    <w:rsid w:val="005135BB"/>
    <w:rsid w:val="00513BD5"/>
    <w:rsid w:val="00514FEE"/>
    <w:rsid w:val="005163B0"/>
    <w:rsid w:val="00520927"/>
    <w:rsid w:val="00520E8A"/>
    <w:rsid w:val="005231C1"/>
    <w:rsid w:val="005241CB"/>
    <w:rsid w:val="005267B6"/>
    <w:rsid w:val="00527532"/>
    <w:rsid w:val="00530943"/>
    <w:rsid w:val="0053127A"/>
    <w:rsid w:val="00531682"/>
    <w:rsid w:val="00535614"/>
    <w:rsid w:val="0053611A"/>
    <w:rsid w:val="005406EF"/>
    <w:rsid w:val="005409B6"/>
    <w:rsid w:val="00541498"/>
    <w:rsid w:val="00542F4A"/>
    <w:rsid w:val="00543D57"/>
    <w:rsid w:val="0054404F"/>
    <w:rsid w:val="00544ABB"/>
    <w:rsid w:val="005451CF"/>
    <w:rsid w:val="00550243"/>
    <w:rsid w:val="00550A04"/>
    <w:rsid w:val="005528B2"/>
    <w:rsid w:val="005540C6"/>
    <w:rsid w:val="005541CA"/>
    <w:rsid w:val="005557F4"/>
    <w:rsid w:val="00555D64"/>
    <w:rsid w:val="00560138"/>
    <w:rsid w:val="00562ADB"/>
    <w:rsid w:val="00563E58"/>
    <w:rsid w:val="005660B6"/>
    <w:rsid w:val="00570266"/>
    <w:rsid w:val="005702D0"/>
    <w:rsid w:val="00571208"/>
    <w:rsid w:val="005745AA"/>
    <w:rsid w:val="00577A5C"/>
    <w:rsid w:val="00581002"/>
    <w:rsid w:val="00581B53"/>
    <w:rsid w:val="00582BD0"/>
    <w:rsid w:val="00584D1A"/>
    <w:rsid w:val="00586FBA"/>
    <w:rsid w:val="005916B7"/>
    <w:rsid w:val="00592ED2"/>
    <w:rsid w:val="005945E0"/>
    <w:rsid w:val="0059711B"/>
    <w:rsid w:val="005A1419"/>
    <w:rsid w:val="005A7B24"/>
    <w:rsid w:val="005B365A"/>
    <w:rsid w:val="005B56F6"/>
    <w:rsid w:val="005B687F"/>
    <w:rsid w:val="005C05C1"/>
    <w:rsid w:val="005C4268"/>
    <w:rsid w:val="005C4309"/>
    <w:rsid w:val="005C6058"/>
    <w:rsid w:val="005C7B56"/>
    <w:rsid w:val="005D023C"/>
    <w:rsid w:val="005D4548"/>
    <w:rsid w:val="005D5205"/>
    <w:rsid w:val="005D5586"/>
    <w:rsid w:val="005D64EE"/>
    <w:rsid w:val="005D6E97"/>
    <w:rsid w:val="005E45BF"/>
    <w:rsid w:val="005E4C3A"/>
    <w:rsid w:val="005F04FD"/>
    <w:rsid w:val="005F2746"/>
    <w:rsid w:val="005F548E"/>
    <w:rsid w:val="005F5E79"/>
    <w:rsid w:val="005F725C"/>
    <w:rsid w:val="00600A11"/>
    <w:rsid w:val="00600D89"/>
    <w:rsid w:val="0060285A"/>
    <w:rsid w:val="00610AD8"/>
    <w:rsid w:val="0061134D"/>
    <w:rsid w:val="00612E00"/>
    <w:rsid w:val="00614095"/>
    <w:rsid w:val="00616613"/>
    <w:rsid w:val="00616640"/>
    <w:rsid w:val="00617594"/>
    <w:rsid w:val="006228D0"/>
    <w:rsid w:val="00622BBD"/>
    <w:rsid w:val="00624310"/>
    <w:rsid w:val="00630A94"/>
    <w:rsid w:val="00631712"/>
    <w:rsid w:val="0063296F"/>
    <w:rsid w:val="00634B5A"/>
    <w:rsid w:val="0063701B"/>
    <w:rsid w:val="006370CC"/>
    <w:rsid w:val="006411E7"/>
    <w:rsid w:val="006412AF"/>
    <w:rsid w:val="00641D8C"/>
    <w:rsid w:val="00643122"/>
    <w:rsid w:val="00644CBF"/>
    <w:rsid w:val="00644FB2"/>
    <w:rsid w:val="0064598C"/>
    <w:rsid w:val="00645A9C"/>
    <w:rsid w:val="00645F63"/>
    <w:rsid w:val="006537CA"/>
    <w:rsid w:val="00654E16"/>
    <w:rsid w:val="00655146"/>
    <w:rsid w:val="0066002E"/>
    <w:rsid w:val="00663B59"/>
    <w:rsid w:val="00666B60"/>
    <w:rsid w:val="00667AC6"/>
    <w:rsid w:val="00671E2C"/>
    <w:rsid w:val="00672F41"/>
    <w:rsid w:val="00674377"/>
    <w:rsid w:val="00674E4C"/>
    <w:rsid w:val="0067540F"/>
    <w:rsid w:val="0067586D"/>
    <w:rsid w:val="00676080"/>
    <w:rsid w:val="0067653F"/>
    <w:rsid w:val="00676C3D"/>
    <w:rsid w:val="0067748A"/>
    <w:rsid w:val="006777CB"/>
    <w:rsid w:val="00680594"/>
    <w:rsid w:val="00680D75"/>
    <w:rsid w:val="00683B76"/>
    <w:rsid w:val="00683F8E"/>
    <w:rsid w:val="0068426C"/>
    <w:rsid w:val="0068477A"/>
    <w:rsid w:val="0068647A"/>
    <w:rsid w:val="0068751B"/>
    <w:rsid w:val="006927EF"/>
    <w:rsid w:val="006945EF"/>
    <w:rsid w:val="00694A99"/>
    <w:rsid w:val="00694EF9"/>
    <w:rsid w:val="00696B4B"/>
    <w:rsid w:val="00696C89"/>
    <w:rsid w:val="00697F16"/>
    <w:rsid w:val="006A3951"/>
    <w:rsid w:val="006A4B66"/>
    <w:rsid w:val="006A6570"/>
    <w:rsid w:val="006A7ECD"/>
    <w:rsid w:val="006B14E5"/>
    <w:rsid w:val="006B1B5C"/>
    <w:rsid w:val="006B3336"/>
    <w:rsid w:val="006B3A1F"/>
    <w:rsid w:val="006B47F6"/>
    <w:rsid w:val="006B57AE"/>
    <w:rsid w:val="006C2C5C"/>
    <w:rsid w:val="006C343E"/>
    <w:rsid w:val="006C4411"/>
    <w:rsid w:val="006C4768"/>
    <w:rsid w:val="006C5EC4"/>
    <w:rsid w:val="006C7F7C"/>
    <w:rsid w:val="006D06A5"/>
    <w:rsid w:val="006D16C3"/>
    <w:rsid w:val="006D1D07"/>
    <w:rsid w:val="006D2086"/>
    <w:rsid w:val="006D35DF"/>
    <w:rsid w:val="006D3824"/>
    <w:rsid w:val="006D427E"/>
    <w:rsid w:val="006D773A"/>
    <w:rsid w:val="006E10EB"/>
    <w:rsid w:val="006E260A"/>
    <w:rsid w:val="006E285F"/>
    <w:rsid w:val="006E333D"/>
    <w:rsid w:val="006E6629"/>
    <w:rsid w:val="006E7F07"/>
    <w:rsid w:val="006F0265"/>
    <w:rsid w:val="006F056A"/>
    <w:rsid w:val="006F1299"/>
    <w:rsid w:val="006F37F6"/>
    <w:rsid w:val="006F5FD1"/>
    <w:rsid w:val="006F6E63"/>
    <w:rsid w:val="006F7AA9"/>
    <w:rsid w:val="00700376"/>
    <w:rsid w:val="00700A86"/>
    <w:rsid w:val="00700FCF"/>
    <w:rsid w:val="007011FE"/>
    <w:rsid w:val="00701DDB"/>
    <w:rsid w:val="007034BB"/>
    <w:rsid w:val="0070614D"/>
    <w:rsid w:val="00710183"/>
    <w:rsid w:val="00710676"/>
    <w:rsid w:val="007115CA"/>
    <w:rsid w:val="0071187E"/>
    <w:rsid w:val="00712113"/>
    <w:rsid w:val="007207B3"/>
    <w:rsid w:val="00720A50"/>
    <w:rsid w:val="007210C4"/>
    <w:rsid w:val="007236AC"/>
    <w:rsid w:val="00723F19"/>
    <w:rsid w:val="007271CA"/>
    <w:rsid w:val="00727240"/>
    <w:rsid w:val="00727297"/>
    <w:rsid w:val="0073175D"/>
    <w:rsid w:val="007319C5"/>
    <w:rsid w:val="00732849"/>
    <w:rsid w:val="00733BDF"/>
    <w:rsid w:val="00733E30"/>
    <w:rsid w:val="00736364"/>
    <w:rsid w:val="0074444D"/>
    <w:rsid w:val="00744B38"/>
    <w:rsid w:val="0074552A"/>
    <w:rsid w:val="00746914"/>
    <w:rsid w:val="007505BE"/>
    <w:rsid w:val="0075075C"/>
    <w:rsid w:val="0075307C"/>
    <w:rsid w:val="00753870"/>
    <w:rsid w:val="0075467B"/>
    <w:rsid w:val="00755A5A"/>
    <w:rsid w:val="00757BAD"/>
    <w:rsid w:val="00760BFE"/>
    <w:rsid w:val="00764207"/>
    <w:rsid w:val="007652C1"/>
    <w:rsid w:val="007675FD"/>
    <w:rsid w:val="00770B10"/>
    <w:rsid w:val="00771E66"/>
    <w:rsid w:val="00771FF2"/>
    <w:rsid w:val="007723EF"/>
    <w:rsid w:val="00773CEE"/>
    <w:rsid w:val="007764DA"/>
    <w:rsid w:val="007769B2"/>
    <w:rsid w:val="00777142"/>
    <w:rsid w:val="00777644"/>
    <w:rsid w:val="00777F79"/>
    <w:rsid w:val="007838CE"/>
    <w:rsid w:val="007839A3"/>
    <w:rsid w:val="0078513F"/>
    <w:rsid w:val="00785378"/>
    <w:rsid w:val="007855C4"/>
    <w:rsid w:val="00787A7E"/>
    <w:rsid w:val="00787ED0"/>
    <w:rsid w:val="00791D74"/>
    <w:rsid w:val="00791E82"/>
    <w:rsid w:val="00792222"/>
    <w:rsid w:val="0079267A"/>
    <w:rsid w:val="00794274"/>
    <w:rsid w:val="00797DB9"/>
    <w:rsid w:val="007A168F"/>
    <w:rsid w:val="007A43CD"/>
    <w:rsid w:val="007A5AF4"/>
    <w:rsid w:val="007A5C8C"/>
    <w:rsid w:val="007A66AC"/>
    <w:rsid w:val="007A7E8A"/>
    <w:rsid w:val="007B1F02"/>
    <w:rsid w:val="007B31E0"/>
    <w:rsid w:val="007B4351"/>
    <w:rsid w:val="007B59B9"/>
    <w:rsid w:val="007B65E8"/>
    <w:rsid w:val="007B67CF"/>
    <w:rsid w:val="007B7BD3"/>
    <w:rsid w:val="007C00D3"/>
    <w:rsid w:val="007C0BD2"/>
    <w:rsid w:val="007C2978"/>
    <w:rsid w:val="007C382E"/>
    <w:rsid w:val="007D2517"/>
    <w:rsid w:val="007D60FD"/>
    <w:rsid w:val="007D7A75"/>
    <w:rsid w:val="007D7D6D"/>
    <w:rsid w:val="007E0172"/>
    <w:rsid w:val="007E0B38"/>
    <w:rsid w:val="007E4436"/>
    <w:rsid w:val="007E68F7"/>
    <w:rsid w:val="007F0CE6"/>
    <w:rsid w:val="007F11AC"/>
    <w:rsid w:val="007F2873"/>
    <w:rsid w:val="007F52A3"/>
    <w:rsid w:val="007F681B"/>
    <w:rsid w:val="007F74AA"/>
    <w:rsid w:val="00801CDF"/>
    <w:rsid w:val="0080298A"/>
    <w:rsid w:val="00803707"/>
    <w:rsid w:val="0080637F"/>
    <w:rsid w:val="008102C5"/>
    <w:rsid w:val="0081053E"/>
    <w:rsid w:val="00810A48"/>
    <w:rsid w:val="00814414"/>
    <w:rsid w:val="00816A5F"/>
    <w:rsid w:val="00817A5C"/>
    <w:rsid w:val="00817E8E"/>
    <w:rsid w:val="00822C9C"/>
    <w:rsid w:val="0082381C"/>
    <w:rsid w:val="008311CC"/>
    <w:rsid w:val="0083184D"/>
    <w:rsid w:val="0083306C"/>
    <w:rsid w:val="008375CF"/>
    <w:rsid w:val="00844DBE"/>
    <w:rsid w:val="008506CD"/>
    <w:rsid w:val="00850BE9"/>
    <w:rsid w:val="00851242"/>
    <w:rsid w:val="00853367"/>
    <w:rsid w:val="00856CF3"/>
    <w:rsid w:val="00863DEF"/>
    <w:rsid w:val="00865191"/>
    <w:rsid w:val="00865E8F"/>
    <w:rsid w:val="00872EAC"/>
    <w:rsid w:val="00876A20"/>
    <w:rsid w:val="00876C16"/>
    <w:rsid w:val="008778A5"/>
    <w:rsid w:val="0088051B"/>
    <w:rsid w:val="00880B72"/>
    <w:rsid w:val="00881B1B"/>
    <w:rsid w:val="00885204"/>
    <w:rsid w:val="00885CF8"/>
    <w:rsid w:val="00886AE0"/>
    <w:rsid w:val="00892978"/>
    <w:rsid w:val="00895765"/>
    <w:rsid w:val="0089734C"/>
    <w:rsid w:val="00897F59"/>
    <w:rsid w:val="008A170B"/>
    <w:rsid w:val="008A223E"/>
    <w:rsid w:val="008A4121"/>
    <w:rsid w:val="008B3932"/>
    <w:rsid w:val="008B421D"/>
    <w:rsid w:val="008B475E"/>
    <w:rsid w:val="008B4EAF"/>
    <w:rsid w:val="008B52CC"/>
    <w:rsid w:val="008B54CA"/>
    <w:rsid w:val="008B6973"/>
    <w:rsid w:val="008C4096"/>
    <w:rsid w:val="008C4322"/>
    <w:rsid w:val="008C47D8"/>
    <w:rsid w:val="008C69FF"/>
    <w:rsid w:val="008D09D8"/>
    <w:rsid w:val="008D4CF4"/>
    <w:rsid w:val="008D5A30"/>
    <w:rsid w:val="008D7E1C"/>
    <w:rsid w:val="008E1073"/>
    <w:rsid w:val="008E2D9F"/>
    <w:rsid w:val="008E3152"/>
    <w:rsid w:val="008E61CA"/>
    <w:rsid w:val="008E7C7E"/>
    <w:rsid w:val="008F0FD7"/>
    <w:rsid w:val="008F16E4"/>
    <w:rsid w:val="008F2CDA"/>
    <w:rsid w:val="008F3EB0"/>
    <w:rsid w:val="008F4AA6"/>
    <w:rsid w:val="008F6604"/>
    <w:rsid w:val="00901379"/>
    <w:rsid w:val="00901A7A"/>
    <w:rsid w:val="00905A72"/>
    <w:rsid w:val="0091272C"/>
    <w:rsid w:val="00912E11"/>
    <w:rsid w:val="0091336C"/>
    <w:rsid w:val="00917309"/>
    <w:rsid w:val="009228F1"/>
    <w:rsid w:val="00923C7C"/>
    <w:rsid w:val="009260C3"/>
    <w:rsid w:val="009320E7"/>
    <w:rsid w:val="00933A45"/>
    <w:rsid w:val="009359A0"/>
    <w:rsid w:val="00935BA5"/>
    <w:rsid w:val="00937260"/>
    <w:rsid w:val="009373F7"/>
    <w:rsid w:val="009402D7"/>
    <w:rsid w:val="00943498"/>
    <w:rsid w:val="00944610"/>
    <w:rsid w:val="0094504E"/>
    <w:rsid w:val="0094527E"/>
    <w:rsid w:val="009471F9"/>
    <w:rsid w:val="00947657"/>
    <w:rsid w:val="009500AC"/>
    <w:rsid w:val="0095438E"/>
    <w:rsid w:val="00955B6F"/>
    <w:rsid w:val="0096177F"/>
    <w:rsid w:val="009638CD"/>
    <w:rsid w:val="00963D1F"/>
    <w:rsid w:val="009641A6"/>
    <w:rsid w:val="00964BB1"/>
    <w:rsid w:val="00966784"/>
    <w:rsid w:val="00966E52"/>
    <w:rsid w:val="009704BB"/>
    <w:rsid w:val="009714FB"/>
    <w:rsid w:val="009717C8"/>
    <w:rsid w:val="00972845"/>
    <w:rsid w:val="0097393E"/>
    <w:rsid w:val="009758BA"/>
    <w:rsid w:val="0097592C"/>
    <w:rsid w:val="00977C2A"/>
    <w:rsid w:val="00980618"/>
    <w:rsid w:val="009807D9"/>
    <w:rsid w:val="00980CE4"/>
    <w:rsid w:val="00982AAC"/>
    <w:rsid w:val="00986F44"/>
    <w:rsid w:val="0098743E"/>
    <w:rsid w:val="0098789D"/>
    <w:rsid w:val="00992EF1"/>
    <w:rsid w:val="009945C0"/>
    <w:rsid w:val="00996A50"/>
    <w:rsid w:val="00997461"/>
    <w:rsid w:val="009A0D01"/>
    <w:rsid w:val="009A25D6"/>
    <w:rsid w:val="009A4379"/>
    <w:rsid w:val="009B014C"/>
    <w:rsid w:val="009B1F15"/>
    <w:rsid w:val="009B4127"/>
    <w:rsid w:val="009B5723"/>
    <w:rsid w:val="009B6037"/>
    <w:rsid w:val="009B75C4"/>
    <w:rsid w:val="009C03D9"/>
    <w:rsid w:val="009C2120"/>
    <w:rsid w:val="009C3052"/>
    <w:rsid w:val="009C407E"/>
    <w:rsid w:val="009C4340"/>
    <w:rsid w:val="009C4BF0"/>
    <w:rsid w:val="009C5E01"/>
    <w:rsid w:val="009C66F9"/>
    <w:rsid w:val="009C6DEA"/>
    <w:rsid w:val="009D60F5"/>
    <w:rsid w:val="009D6425"/>
    <w:rsid w:val="009D7B9F"/>
    <w:rsid w:val="009E008A"/>
    <w:rsid w:val="009E2B1A"/>
    <w:rsid w:val="009E2C13"/>
    <w:rsid w:val="009E3F40"/>
    <w:rsid w:val="009E41B9"/>
    <w:rsid w:val="009E5518"/>
    <w:rsid w:val="009E6D3F"/>
    <w:rsid w:val="009F190C"/>
    <w:rsid w:val="009F1C40"/>
    <w:rsid w:val="009F541A"/>
    <w:rsid w:val="009F6B72"/>
    <w:rsid w:val="009F6FE3"/>
    <w:rsid w:val="00A02B1C"/>
    <w:rsid w:val="00A03661"/>
    <w:rsid w:val="00A043D7"/>
    <w:rsid w:val="00A04D52"/>
    <w:rsid w:val="00A07FC8"/>
    <w:rsid w:val="00A100F7"/>
    <w:rsid w:val="00A1293E"/>
    <w:rsid w:val="00A12CD9"/>
    <w:rsid w:val="00A13AB8"/>
    <w:rsid w:val="00A13F36"/>
    <w:rsid w:val="00A16E43"/>
    <w:rsid w:val="00A20EB0"/>
    <w:rsid w:val="00A20FB2"/>
    <w:rsid w:val="00A21D19"/>
    <w:rsid w:val="00A230C4"/>
    <w:rsid w:val="00A2319B"/>
    <w:rsid w:val="00A23795"/>
    <w:rsid w:val="00A2472E"/>
    <w:rsid w:val="00A24D10"/>
    <w:rsid w:val="00A25371"/>
    <w:rsid w:val="00A25F9B"/>
    <w:rsid w:val="00A27B61"/>
    <w:rsid w:val="00A27D92"/>
    <w:rsid w:val="00A322FF"/>
    <w:rsid w:val="00A33008"/>
    <w:rsid w:val="00A34145"/>
    <w:rsid w:val="00A4054B"/>
    <w:rsid w:val="00A40573"/>
    <w:rsid w:val="00A4078A"/>
    <w:rsid w:val="00A421D9"/>
    <w:rsid w:val="00A4472D"/>
    <w:rsid w:val="00A464F0"/>
    <w:rsid w:val="00A5754C"/>
    <w:rsid w:val="00A61CE9"/>
    <w:rsid w:val="00A62647"/>
    <w:rsid w:val="00A63E3E"/>
    <w:rsid w:val="00A64C66"/>
    <w:rsid w:val="00A67246"/>
    <w:rsid w:val="00A701CB"/>
    <w:rsid w:val="00A70FF5"/>
    <w:rsid w:val="00A71FA4"/>
    <w:rsid w:val="00A73102"/>
    <w:rsid w:val="00A74570"/>
    <w:rsid w:val="00A745AD"/>
    <w:rsid w:val="00A757AA"/>
    <w:rsid w:val="00A75A24"/>
    <w:rsid w:val="00A77A40"/>
    <w:rsid w:val="00A8126B"/>
    <w:rsid w:val="00A8335E"/>
    <w:rsid w:val="00A84532"/>
    <w:rsid w:val="00A854E0"/>
    <w:rsid w:val="00A92F78"/>
    <w:rsid w:val="00A93FC9"/>
    <w:rsid w:val="00A957F4"/>
    <w:rsid w:val="00AA233A"/>
    <w:rsid w:val="00AA3964"/>
    <w:rsid w:val="00AA4C4C"/>
    <w:rsid w:val="00AA7225"/>
    <w:rsid w:val="00AA7392"/>
    <w:rsid w:val="00AA7F0C"/>
    <w:rsid w:val="00AB0A7A"/>
    <w:rsid w:val="00AB21C2"/>
    <w:rsid w:val="00AB30E6"/>
    <w:rsid w:val="00AB4A84"/>
    <w:rsid w:val="00AC066D"/>
    <w:rsid w:val="00AC49DB"/>
    <w:rsid w:val="00AD1226"/>
    <w:rsid w:val="00AD5730"/>
    <w:rsid w:val="00AD5E54"/>
    <w:rsid w:val="00AE23B9"/>
    <w:rsid w:val="00AE50A1"/>
    <w:rsid w:val="00AE623F"/>
    <w:rsid w:val="00AE660D"/>
    <w:rsid w:val="00AE6A2B"/>
    <w:rsid w:val="00AE703E"/>
    <w:rsid w:val="00AE71A6"/>
    <w:rsid w:val="00AF03FB"/>
    <w:rsid w:val="00AF2534"/>
    <w:rsid w:val="00AF4E70"/>
    <w:rsid w:val="00AF4ECC"/>
    <w:rsid w:val="00AF5CB7"/>
    <w:rsid w:val="00B0116D"/>
    <w:rsid w:val="00B0337A"/>
    <w:rsid w:val="00B103B1"/>
    <w:rsid w:val="00B10FB4"/>
    <w:rsid w:val="00B1196A"/>
    <w:rsid w:val="00B12D7F"/>
    <w:rsid w:val="00B147F2"/>
    <w:rsid w:val="00B14B60"/>
    <w:rsid w:val="00B20C61"/>
    <w:rsid w:val="00B20D21"/>
    <w:rsid w:val="00B2349D"/>
    <w:rsid w:val="00B24B21"/>
    <w:rsid w:val="00B27599"/>
    <w:rsid w:val="00B27BC7"/>
    <w:rsid w:val="00B27F2E"/>
    <w:rsid w:val="00B30782"/>
    <w:rsid w:val="00B35124"/>
    <w:rsid w:val="00B36FEB"/>
    <w:rsid w:val="00B379AB"/>
    <w:rsid w:val="00B41534"/>
    <w:rsid w:val="00B417F1"/>
    <w:rsid w:val="00B4213F"/>
    <w:rsid w:val="00B4341C"/>
    <w:rsid w:val="00B439DD"/>
    <w:rsid w:val="00B44C00"/>
    <w:rsid w:val="00B47973"/>
    <w:rsid w:val="00B512E9"/>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BBF"/>
    <w:rsid w:val="00B670B5"/>
    <w:rsid w:val="00B70590"/>
    <w:rsid w:val="00B724F8"/>
    <w:rsid w:val="00B737D6"/>
    <w:rsid w:val="00B74283"/>
    <w:rsid w:val="00B75B61"/>
    <w:rsid w:val="00B77594"/>
    <w:rsid w:val="00B77A9E"/>
    <w:rsid w:val="00B77E4B"/>
    <w:rsid w:val="00B80078"/>
    <w:rsid w:val="00B81E64"/>
    <w:rsid w:val="00B8235F"/>
    <w:rsid w:val="00B83112"/>
    <w:rsid w:val="00B8350F"/>
    <w:rsid w:val="00BA056F"/>
    <w:rsid w:val="00BB0332"/>
    <w:rsid w:val="00BB1168"/>
    <w:rsid w:val="00BB3C51"/>
    <w:rsid w:val="00BB4D66"/>
    <w:rsid w:val="00BB588A"/>
    <w:rsid w:val="00BB5970"/>
    <w:rsid w:val="00BB74CC"/>
    <w:rsid w:val="00BB7EE9"/>
    <w:rsid w:val="00BC0489"/>
    <w:rsid w:val="00BC1E8C"/>
    <w:rsid w:val="00BC282A"/>
    <w:rsid w:val="00BC6999"/>
    <w:rsid w:val="00BD25E5"/>
    <w:rsid w:val="00BD5666"/>
    <w:rsid w:val="00BD6A04"/>
    <w:rsid w:val="00BD7DFA"/>
    <w:rsid w:val="00BE2852"/>
    <w:rsid w:val="00BF201E"/>
    <w:rsid w:val="00BF4792"/>
    <w:rsid w:val="00BF4AF7"/>
    <w:rsid w:val="00BF5F09"/>
    <w:rsid w:val="00BF7C62"/>
    <w:rsid w:val="00BF7C8B"/>
    <w:rsid w:val="00C041DB"/>
    <w:rsid w:val="00C0759C"/>
    <w:rsid w:val="00C11333"/>
    <w:rsid w:val="00C13885"/>
    <w:rsid w:val="00C144D4"/>
    <w:rsid w:val="00C14706"/>
    <w:rsid w:val="00C14D76"/>
    <w:rsid w:val="00C15BEE"/>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683F"/>
    <w:rsid w:val="00C3690B"/>
    <w:rsid w:val="00C369CF"/>
    <w:rsid w:val="00C42F09"/>
    <w:rsid w:val="00C4456A"/>
    <w:rsid w:val="00C50CD5"/>
    <w:rsid w:val="00C516DA"/>
    <w:rsid w:val="00C554DF"/>
    <w:rsid w:val="00C60A10"/>
    <w:rsid w:val="00C619DB"/>
    <w:rsid w:val="00C6290E"/>
    <w:rsid w:val="00C63FB9"/>
    <w:rsid w:val="00C640AA"/>
    <w:rsid w:val="00C65096"/>
    <w:rsid w:val="00C6723A"/>
    <w:rsid w:val="00C71465"/>
    <w:rsid w:val="00C714E3"/>
    <w:rsid w:val="00C72213"/>
    <w:rsid w:val="00C72DFF"/>
    <w:rsid w:val="00C73D79"/>
    <w:rsid w:val="00C754F0"/>
    <w:rsid w:val="00C762CE"/>
    <w:rsid w:val="00C82ED4"/>
    <w:rsid w:val="00C84694"/>
    <w:rsid w:val="00C90046"/>
    <w:rsid w:val="00C91BD6"/>
    <w:rsid w:val="00C94554"/>
    <w:rsid w:val="00C946EF"/>
    <w:rsid w:val="00C9603A"/>
    <w:rsid w:val="00C96CDF"/>
    <w:rsid w:val="00C96FC3"/>
    <w:rsid w:val="00C971D9"/>
    <w:rsid w:val="00CA41D0"/>
    <w:rsid w:val="00CA4B18"/>
    <w:rsid w:val="00CA5218"/>
    <w:rsid w:val="00CB01EC"/>
    <w:rsid w:val="00CB3DE1"/>
    <w:rsid w:val="00CB7201"/>
    <w:rsid w:val="00CC119D"/>
    <w:rsid w:val="00CC152E"/>
    <w:rsid w:val="00CC1DAB"/>
    <w:rsid w:val="00CC273C"/>
    <w:rsid w:val="00CC31F0"/>
    <w:rsid w:val="00CC3601"/>
    <w:rsid w:val="00CC3DE4"/>
    <w:rsid w:val="00CC4CA5"/>
    <w:rsid w:val="00CC67C7"/>
    <w:rsid w:val="00CD013A"/>
    <w:rsid w:val="00CD541A"/>
    <w:rsid w:val="00CD7984"/>
    <w:rsid w:val="00CD7DFB"/>
    <w:rsid w:val="00CE03DA"/>
    <w:rsid w:val="00CE2E4F"/>
    <w:rsid w:val="00CE394C"/>
    <w:rsid w:val="00CE5833"/>
    <w:rsid w:val="00CE5D15"/>
    <w:rsid w:val="00CE7E40"/>
    <w:rsid w:val="00CF08A6"/>
    <w:rsid w:val="00CF31D5"/>
    <w:rsid w:val="00CF3320"/>
    <w:rsid w:val="00CF45EC"/>
    <w:rsid w:val="00CF536D"/>
    <w:rsid w:val="00CF7C2C"/>
    <w:rsid w:val="00D015E0"/>
    <w:rsid w:val="00D01AD1"/>
    <w:rsid w:val="00D01E19"/>
    <w:rsid w:val="00D045EE"/>
    <w:rsid w:val="00D04EA4"/>
    <w:rsid w:val="00D06868"/>
    <w:rsid w:val="00D0792B"/>
    <w:rsid w:val="00D103A6"/>
    <w:rsid w:val="00D107B3"/>
    <w:rsid w:val="00D12809"/>
    <w:rsid w:val="00D12FC9"/>
    <w:rsid w:val="00D145BD"/>
    <w:rsid w:val="00D15996"/>
    <w:rsid w:val="00D174E6"/>
    <w:rsid w:val="00D202F1"/>
    <w:rsid w:val="00D21FFA"/>
    <w:rsid w:val="00D2265D"/>
    <w:rsid w:val="00D22B35"/>
    <w:rsid w:val="00D23E07"/>
    <w:rsid w:val="00D23EF1"/>
    <w:rsid w:val="00D24A0D"/>
    <w:rsid w:val="00D26AE9"/>
    <w:rsid w:val="00D305BE"/>
    <w:rsid w:val="00D31382"/>
    <w:rsid w:val="00D31BC4"/>
    <w:rsid w:val="00D32024"/>
    <w:rsid w:val="00D33E23"/>
    <w:rsid w:val="00D34C9F"/>
    <w:rsid w:val="00D36695"/>
    <w:rsid w:val="00D37230"/>
    <w:rsid w:val="00D40FA0"/>
    <w:rsid w:val="00D41F4D"/>
    <w:rsid w:val="00D44333"/>
    <w:rsid w:val="00D44D93"/>
    <w:rsid w:val="00D46A6D"/>
    <w:rsid w:val="00D46EC6"/>
    <w:rsid w:val="00D470E8"/>
    <w:rsid w:val="00D47D0D"/>
    <w:rsid w:val="00D52268"/>
    <w:rsid w:val="00D534BA"/>
    <w:rsid w:val="00D54168"/>
    <w:rsid w:val="00D5471B"/>
    <w:rsid w:val="00D5587A"/>
    <w:rsid w:val="00D55EE9"/>
    <w:rsid w:val="00D56365"/>
    <w:rsid w:val="00D56A20"/>
    <w:rsid w:val="00D56D9C"/>
    <w:rsid w:val="00D6174D"/>
    <w:rsid w:val="00D62E05"/>
    <w:rsid w:val="00D63FB6"/>
    <w:rsid w:val="00D65E0E"/>
    <w:rsid w:val="00D7026C"/>
    <w:rsid w:val="00D7110C"/>
    <w:rsid w:val="00D7216C"/>
    <w:rsid w:val="00D72A29"/>
    <w:rsid w:val="00D733D1"/>
    <w:rsid w:val="00D73D48"/>
    <w:rsid w:val="00D740FD"/>
    <w:rsid w:val="00D74265"/>
    <w:rsid w:val="00D74AAB"/>
    <w:rsid w:val="00D75A01"/>
    <w:rsid w:val="00D839FF"/>
    <w:rsid w:val="00D85602"/>
    <w:rsid w:val="00D86535"/>
    <w:rsid w:val="00D87B97"/>
    <w:rsid w:val="00D91C5F"/>
    <w:rsid w:val="00D92785"/>
    <w:rsid w:val="00D9479C"/>
    <w:rsid w:val="00D94AE5"/>
    <w:rsid w:val="00D94C1C"/>
    <w:rsid w:val="00D95F0C"/>
    <w:rsid w:val="00D9723B"/>
    <w:rsid w:val="00DA050E"/>
    <w:rsid w:val="00DA09E9"/>
    <w:rsid w:val="00DA18FC"/>
    <w:rsid w:val="00DA1930"/>
    <w:rsid w:val="00DA3319"/>
    <w:rsid w:val="00DA3F43"/>
    <w:rsid w:val="00DA6573"/>
    <w:rsid w:val="00DB0AE8"/>
    <w:rsid w:val="00DB39CC"/>
    <w:rsid w:val="00DB414B"/>
    <w:rsid w:val="00DB5538"/>
    <w:rsid w:val="00DB6376"/>
    <w:rsid w:val="00DC0DAB"/>
    <w:rsid w:val="00DC2FD0"/>
    <w:rsid w:val="00DC4375"/>
    <w:rsid w:val="00DC4460"/>
    <w:rsid w:val="00DC4A69"/>
    <w:rsid w:val="00DD0CA9"/>
    <w:rsid w:val="00DD0E66"/>
    <w:rsid w:val="00DD265E"/>
    <w:rsid w:val="00DD2C9D"/>
    <w:rsid w:val="00DD3466"/>
    <w:rsid w:val="00DD40C8"/>
    <w:rsid w:val="00DD4E10"/>
    <w:rsid w:val="00DD6565"/>
    <w:rsid w:val="00DD6CED"/>
    <w:rsid w:val="00DD6EA8"/>
    <w:rsid w:val="00DE0980"/>
    <w:rsid w:val="00DE3F1C"/>
    <w:rsid w:val="00DE51FD"/>
    <w:rsid w:val="00DF02DD"/>
    <w:rsid w:val="00DF07B4"/>
    <w:rsid w:val="00DF2F99"/>
    <w:rsid w:val="00DF37C6"/>
    <w:rsid w:val="00DF78DA"/>
    <w:rsid w:val="00E027A2"/>
    <w:rsid w:val="00E028B6"/>
    <w:rsid w:val="00E02961"/>
    <w:rsid w:val="00E02A2C"/>
    <w:rsid w:val="00E060A3"/>
    <w:rsid w:val="00E065C0"/>
    <w:rsid w:val="00E07255"/>
    <w:rsid w:val="00E113D1"/>
    <w:rsid w:val="00E135FC"/>
    <w:rsid w:val="00E14134"/>
    <w:rsid w:val="00E14737"/>
    <w:rsid w:val="00E169AB"/>
    <w:rsid w:val="00E16A67"/>
    <w:rsid w:val="00E16ECE"/>
    <w:rsid w:val="00E17661"/>
    <w:rsid w:val="00E23047"/>
    <w:rsid w:val="00E23DF7"/>
    <w:rsid w:val="00E24E5E"/>
    <w:rsid w:val="00E2790A"/>
    <w:rsid w:val="00E33B26"/>
    <w:rsid w:val="00E33F2D"/>
    <w:rsid w:val="00E35024"/>
    <w:rsid w:val="00E35B65"/>
    <w:rsid w:val="00E36937"/>
    <w:rsid w:val="00E37A98"/>
    <w:rsid w:val="00E41B46"/>
    <w:rsid w:val="00E4310B"/>
    <w:rsid w:val="00E52E26"/>
    <w:rsid w:val="00E53776"/>
    <w:rsid w:val="00E54F77"/>
    <w:rsid w:val="00E556F6"/>
    <w:rsid w:val="00E5699D"/>
    <w:rsid w:val="00E611FD"/>
    <w:rsid w:val="00E61ED9"/>
    <w:rsid w:val="00E653E4"/>
    <w:rsid w:val="00E65ED9"/>
    <w:rsid w:val="00E723C7"/>
    <w:rsid w:val="00E72442"/>
    <w:rsid w:val="00E73DE5"/>
    <w:rsid w:val="00E73E34"/>
    <w:rsid w:val="00E7447D"/>
    <w:rsid w:val="00E752CA"/>
    <w:rsid w:val="00E75F8B"/>
    <w:rsid w:val="00E75FE3"/>
    <w:rsid w:val="00E77A19"/>
    <w:rsid w:val="00E82AEE"/>
    <w:rsid w:val="00E82F74"/>
    <w:rsid w:val="00E84F3B"/>
    <w:rsid w:val="00E850CD"/>
    <w:rsid w:val="00E858EB"/>
    <w:rsid w:val="00E86D17"/>
    <w:rsid w:val="00E8711D"/>
    <w:rsid w:val="00E87776"/>
    <w:rsid w:val="00E91D69"/>
    <w:rsid w:val="00E928DC"/>
    <w:rsid w:val="00E93746"/>
    <w:rsid w:val="00E93AEB"/>
    <w:rsid w:val="00E94ADD"/>
    <w:rsid w:val="00E9686C"/>
    <w:rsid w:val="00EA16F9"/>
    <w:rsid w:val="00EA1991"/>
    <w:rsid w:val="00EA1B00"/>
    <w:rsid w:val="00EA266C"/>
    <w:rsid w:val="00EA32C5"/>
    <w:rsid w:val="00EB1202"/>
    <w:rsid w:val="00EB34ED"/>
    <w:rsid w:val="00EB4525"/>
    <w:rsid w:val="00EB45C6"/>
    <w:rsid w:val="00EB5528"/>
    <w:rsid w:val="00EC0C28"/>
    <w:rsid w:val="00EC0FB6"/>
    <w:rsid w:val="00EC1E68"/>
    <w:rsid w:val="00EC229C"/>
    <w:rsid w:val="00EC3FE8"/>
    <w:rsid w:val="00EC5568"/>
    <w:rsid w:val="00EC7740"/>
    <w:rsid w:val="00ED2FDF"/>
    <w:rsid w:val="00ED504B"/>
    <w:rsid w:val="00ED611D"/>
    <w:rsid w:val="00EE1410"/>
    <w:rsid w:val="00EE1C83"/>
    <w:rsid w:val="00EE5983"/>
    <w:rsid w:val="00EE5A35"/>
    <w:rsid w:val="00EE7BF0"/>
    <w:rsid w:val="00EF1F49"/>
    <w:rsid w:val="00EF2323"/>
    <w:rsid w:val="00EF233B"/>
    <w:rsid w:val="00EF28C4"/>
    <w:rsid w:val="00EF549C"/>
    <w:rsid w:val="00EF5CC6"/>
    <w:rsid w:val="00F0262E"/>
    <w:rsid w:val="00F02935"/>
    <w:rsid w:val="00F03125"/>
    <w:rsid w:val="00F045B8"/>
    <w:rsid w:val="00F04CD4"/>
    <w:rsid w:val="00F06ED4"/>
    <w:rsid w:val="00F11BE0"/>
    <w:rsid w:val="00F12518"/>
    <w:rsid w:val="00F13E76"/>
    <w:rsid w:val="00F15B4D"/>
    <w:rsid w:val="00F15EF9"/>
    <w:rsid w:val="00F16A8F"/>
    <w:rsid w:val="00F206B7"/>
    <w:rsid w:val="00F2104B"/>
    <w:rsid w:val="00F23577"/>
    <w:rsid w:val="00F25884"/>
    <w:rsid w:val="00F25F16"/>
    <w:rsid w:val="00F27D97"/>
    <w:rsid w:val="00F30A2B"/>
    <w:rsid w:val="00F33DFC"/>
    <w:rsid w:val="00F4342D"/>
    <w:rsid w:val="00F44C74"/>
    <w:rsid w:val="00F4597E"/>
    <w:rsid w:val="00F46C79"/>
    <w:rsid w:val="00F471AD"/>
    <w:rsid w:val="00F5149F"/>
    <w:rsid w:val="00F52478"/>
    <w:rsid w:val="00F530A9"/>
    <w:rsid w:val="00F54995"/>
    <w:rsid w:val="00F62EF6"/>
    <w:rsid w:val="00F6498F"/>
    <w:rsid w:val="00F65B4E"/>
    <w:rsid w:val="00F729B1"/>
    <w:rsid w:val="00F74824"/>
    <w:rsid w:val="00F759E4"/>
    <w:rsid w:val="00F75E0D"/>
    <w:rsid w:val="00F80D4B"/>
    <w:rsid w:val="00F81176"/>
    <w:rsid w:val="00F81886"/>
    <w:rsid w:val="00F834E0"/>
    <w:rsid w:val="00F8721E"/>
    <w:rsid w:val="00F87505"/>
    <w:rsid w:val="00F918DB"/>
    <w:rsid w:val="00F971DC"/>
    <w:rsid w:val="00FA003E"/>
    <w:rsid w:val="00FA0D87"/>
    <w:rsid w:val="00FA17BC"/>
    <w:rsid w:val="00FA213E"/>
    <w:rsid w:val="00FA2271"/>
    <w:rsid w:val="00FA3D0D"/>
    <w:rsid w:val="00FA3D50"/>
    <w:rsid w:val="00FA40A2"/>
    <w:rsid w:val="00FA5956"/>
    <w:rsid w:val="00FA6F08"/>
    <w:rsid w:val="00FA704D"/>
    <w:rsid w:val="00FA73CA"/>
    <w:rsid w:val="00FB2DC5"/>
    <w:rsid w:val="00FB4588"/>
    <w:rsid w:val="00FB5A39"/>
    <w:rsid w:val="00FB6CF4"/>
    <w:rsid w:val="00FC03FE"/>
    <w:rsid w:val="00FC23A3"/>
    <w:rsid w:val="00FC3AE6"/>
    <w:rsid w:val="00FC3B32"/>
    <w:rsid w:val="00FC565F"/>
    <w:rsid w:val="00FD00F9"/>
    <w:rsid w:val="00FD0365"/>
    <w:rsid w:val="00FD0FCD"/>
    <w:rsid w:val="00FD425D"/>
    <w:rsid w:val="00FD49BC"/>
    <w:rsid w:val="00FD4D36"/>
    <w:rsid w:val="00FD5C56"/>
    <w:rsid w:val="00FE050D"/>
    <w:rsid w:val="00FE1299"/>
    <w:rsid w:val="00FE1776"/>
    <w:rsid w:val="00FE3DBC"/>
    <w:rsid w:val="00FE529E"/>
    <w:rsid w:val="00FE53AE"/>
    <w:rsid w:val="00FE7D33"/>
    <w:rsid w:val="00FF08DC"/>
    <w:rsid w:val="00FF2A55"/>
    <w:rsid w:val="00FF3751"/>
    <w:rsid w:val="00FF4B6E"/>
    <w:rsid w:val="00FF6009"/>
    <w:rsid w:val="00FF775B"/>
    <w:rsid w:val="01026155"/>
    <w:rsid w:val="01414A34"/>
    <w:rsid w:val="01BC47DF"/>
    <w:rsid w:val="01BE592F"/>
    <w:rsid w:val="01EF73E5"/>
    <w:rsid w:val="01F36D14"/>
    <w:rsid w:val="021307B3"/>
    <w:rsid w:val="021B2818"/>
    <w:rsid w:val="02DB58BB"/>
    <w:rsid w:val="02EC6B49"/>
    <w:rsid w:val="03071FA8"/>
    <w:rsid w:val="030A563B"/>
    <w:rsid w:val="031A01F8"/>
    <w:rsid w:val="0331718A"/>
    <w:rsid w:val="033F4FF4"/>
    <w:rsid w:val="035B12CD"/>
    <w:rsid w:val="037E269F"/>
    <w:rsid w:val="039327D7"/>
    <w:rsid w:val="03A660E5"/>
    <w:rsid w:val="03D42E2E"/>
    <w:rsid w:val="03FB5B99"/>
    <w:rsid w:val="040A3BFE"/>
    <w:rsid w:val="041332A1"/>
    <w:rsid w:val="0423576E"/>
    <w:rsid w:val="045B159D"/>
    <w:rsid w:val="046105A5"/>
    <w:rsid w:val="0488344B"/>
    <w:rsid w:val="048A5583"/>
    <w:rsid w:val="04B12F1C"/>
    <w:rsid w:val="04B353B3"/>
    <w:rsid w:val="04C01DE5"/>
    <w:rsid w:val="05380B5D"/>
    <w:rsid w:val="055403AE"/>
    <w:rsid w:val="055C5B4F"/>
    <w:rsid w:val="05927939"/>
    <w:rsid w:val="05A31C8C"/>
    <w:rsid w:val="06444866"/>
    <w:rsid w:val="0659503D"/>
    <w:rsid w:val="06684BBA"/>
    <w:rsid w:val="06725D9B"/>
    <w:rsid w:val="06841D37"/>
    <w:rsid w:val="069A6270"/>
    <w:rsid w:val="06C60DD8"/>
    <w:rsid w:val="06E36692"/>
    <w:rsid w:val="06F27474"/>
    <w:rsid w:val="0731409A"/>
    <w:rsid w:val="074A1E92"/>
    <w:rsid w:val="07534304"/>
    <w:rsid w:val="075449B1"/>
    <w:rsid w:val="075D02AA"/>
    <w:rsid w:val="07930F1B"/>
    <w:rsid w:val="07B56510"/>
    <w:rsid w:val="080261BB"/>
    <w:rsid w:val="08611050"/>
    <w:rsid w:val="088E5AA1"/>
    <w:rsid w:val="08B00A43"/>
    <w:rsid w:val="0913728C"/>
    <w:rsid w:val="09610229"/>
    <w:rsid w:val="098C7AFA"/>
    <w:rsid w:val="099E3FEF"/>
    <w:rsid w:val="09AC4421"/>
    <w:rsid w:val="09AC72B8"/>
    <w:rsid w:val="09C23F07"/>
    <w:rsid w:val="09FA1581"/>
    <w:rsid w:val="0A0E4BF7"/>
    <w:rsid w:val="0A152F8C"/>
    <w:rsid w:val="0A2D1468"/>
    <w:rsid w:val="0A747016"/>
    <w:rsid w:val="0A842286"/>
    <w:rsid w:val="0AA55DCB"/>
    <w:rsid w:val="0AB11786"/>
    <w:rsid w:val="0ADC6477"/>
    <w:rsid w:val="0AF3418E"/>
    <w:rsid w:val="0AF55357"/>
    <w:rsid w:val="0B156206"/>
    <w:rsid w:val="0B1D155E"/>
    <w:rsid w:val="0B7A60D7"/>
    <w:rsid w:val="0B7F3242"/>
    <w:rsid w:val="0B952699"/>
    <w:rsid w:val="0B9A495D"/>
    <w:rsid w:val="0BA23FD5"/>
    <w:rsid w:val="0BFB210D"/>
    <w:rsid w:val="0C02667B"/>
    <w:rsid w:val="0C191D25"/>
    <w:rsid w:val="0CC5251B"/>
    <w:rsid w:val="0CE95B9C"/>
    <w:rsid w:val="0D1D66D1"/>
    <w:rsid w:val="0D246BD4"/>
    <w:rsid w:val="0D2941EA"/>
    <w:rsid w:val="0D457756"/>
    <w:rsid w:val="0D9A0BAD"/>
    <w:rsid w:val="0DBD5DBE"/>
    <w:rsid w:val="0DEB5944"/>
    <w:rsid w:val="0DEC63AE"/>
    <w:rsid w:val="0DFD0446"/>
    <w:rsid w:val="0E62411B"/>
    <w:rsid w:val="0E8036BD"/>
    <w:rsid w:val="0E9D6817"/>
    <w:rsid w:val="0EA24254"/>
    <w:rsid w:val="0ED55993"/>
    <w:rsid w:val="0F587009"/>
    <w:rsid w:val="0F75573A"/>
    <w:rsid w:val="0F7B37E5"/>
    <w:rsid w:val="0F9F20B4"/>
    <w:rsid w:val="0FA26D2E"/>
    <w:rsid w:val="0FAA4A5B"/>
    <w:rsid w:val="0FD506C4"/>
    <w:rsid w:val="0FE20CA5"/>
    <w:rsid w:val="0FE64614"/>
    <w:rsid w:val="10392996"/>
    <w:rsid w:val="10581D75"/>
    <w:rsid w:val="10613805"/>
    <w:rsid w:val="108250D4"/>
    <w:rsid w:val="10E24DDC"/>
    <w:rsid w:val="10F25464"/>
    <w:rsid w:val="10F87DC0"/>
    <w:rsid w:val="111D4066"/>
    <w:rsid w:val="112913FE"/>
    <w:rsid w:val="1147307C"/>
    <w:rsid w:val="11734152"/>
    <w:rsid w:val="11B30468"/>
    <w:rsid w:val="121C12A3"/>
    <w:rsid w:val="12307DC9"/>
    <w:rsid w:val="12387AD6"/>
    <w:rsid w:val="12557B54"/>
    <w:rsid w:val="126D6FE0"/>
    <w:rsid w:val="12873C58"/>
    <w:rsid w:val="12940A62"/>
    <w:rsid w:val="12A12A75"/>
    <w:rsid w:val="13051A7F"/>
    <w:rsid w:val="1328023E"/>
    <w:rsid w:val="13394F00"/>
    <w:rsid w:val="13531FC1"/>
    <w:rsid w:val="135D6510"/>
    <w:rsid w:val="13636338"/>
    <w:rsid w:val="136C05C1"/>
    <w:rsid w:val="137657C9"/>
    <w:rsid w:val="13AC7809"/>
    <w:rsid w:val="13CB1B4A"/>
    <w:rsid w:val="13DF7859"/>
    <w:rsid w:val="13EB2CED"/>
    <w:rsid w:val="14134EB3"/>
    <w:rsid w:val="146F0040"/>
    <w:rsid w:val="14BD6F12"/>
    <w:rsid w:val="14E347B7"/>
    <w:rsid w:val="14FD4D07"/>
    <w:rsid w:val="14FF5A99"/>
    <w:rsid w:val="15100288"/>
    <w:rsid w:val="15194D45"/>
    <w:rsid w:val="15344B89"/>
    <w:rsid w:val="15396570"/>
    <w:rsid w:val="15547E46"/>
    <w:rsid w:val="1557566D"/>
    <w:rsid w:val="157051FD"/>
    <w:rsid w:val="158107D4"/>
    <w:rsid w:val="158A5977"/>
    <w:rsid w:val="15A20FDE"/>
    <w:rsid w:val="15B152A4"/>
    <w:rsid w:val="15C921D9"/>
    <w:rsid w:val="16116649"/>
    <w:rsid w:val="161812A0"/>
    <w:rsid w:val="164263BA"/>
    <w:rsid w:val="164E5E37"/>
    <w:rsid w:val="166E169E"/>
    <w:rsid w:val="16BC510E"/>
    <w:rsid w:val="16C13CF0"/>
    <w:rsid w:val="16C63975"/>
    <w:rsid w:val="16C83A45"/>
    <w:rsid w:val="16F615E1"/>
    <w:rsid w:val="16FC2600"/>
    <w:rsid w:val="171442DA"/>
    <w:rsid w:val="1715253C"/>
    <w:rsid w:val="17302492"/>
    <w:rsid w:val="178957D4"/>
    <w:rsid w:val="17B23461"/>
    <w:rsid w:val="17D47F62"/>
    <w:rsid w:val="17F36A9C"/>
    <w:rsid w:val="180B5E39"/>
    <w:rsid w:val="180E7EE7"/>
    <w:rsid w:val="184A05D3"/>
    <w:rsid w:val="187134BE"/>
    <w:rsid w:val="1875300B"/>
    <w:rsid w:val="188B3FAB"/>
    <w:rsid w:val="18906763"/>
    <w:rsid w:val="18A40FA6"/>
    <w:rsid w:val="18D94D16"/>
    <w:rsid w:val="191F6C3A"/>
    <w:rsid w:val="192D2B30"/>
    <w:rsid w:val="19762399"/>
    <w:rsid w:val="19855485"/>
    <w:rsid w:val="198B221B"/>
    <w:rsid w:val="198E1180"/>
    <w:rsid w:val="19CD4580"/>
    <w:rsid w:val="19F7346D"/>
    <w:rsid w:val="1A4563DB"/>
    <w:rsid w:val="1A521290"/>
    <w:rsid w:val="1A5671B0"/>
    <w:rsid w:val="1A6C60EB"/>
    <w:rsid w:val="1A8F5861"/>
    <w:rsid w:val="1AAE7046"/>
    <w:rsid w:val="1AD17786"/>
    <w:rsid w:val="1B1A73EC"/>
    <w:rsid w:val="1B3E4972"/>
    <w:rsid w:val="1B534A21"/>
    <w:rsid w:val="1B706658"/>
    <w:rsid w:val="1B7B557B"/>
    <w:rsid w:val="1BBD7CBF"/>
    <w:rsid w:val="1BC01E47"/>
    <w:rsid w:val="1BCF41AF"/>
    <w:rsid w:val="1C20746D"/>
    <w:rsid w:val="1C533B3B"/>
    <w:rsid w:val="1C5E52FA"/>
    <w:rsid w:val="1C773C4F"/>
    <w:rsid w:val="1CAD0ECD"/>
    <w:rsid w:val="1CB44CD9"/>
    <w:rsid w:val="1D294E8A"/>
    <w:rsid w:val="1D6E53D4"/>
    <w:rsid w:val="1D981A88"/>
    <w:rsid w:val="1DA0612F"/>
    <w:rsid w:val="1DA17DCD"/>
    <w:rsid w:val="1DC73B97"/>
    <w:rsid w:val="1DF80BA0"/>
    <w:rsid w:val="1E0A1957"/>
    <w:rsid w:val="1E0C2950"/>
    <w:rsid w:val="1E257212"/>
    <w:rsid w:val="1E2C0718"/>
    <w:rsid w:val="1E302D5C"/>
    <w:rsid w:val="1E8F5A87"/>
    <w:rsid w:val="1EA00772"/>
    <w:rsid w:val="1EAD566E"/>
    <w:rsid w:val="1ED80731"/>
    <w:rsid w:val="1F55394A"/>
    <w:rsid w:val="1F861028"/>
    <w:rsid w:val="1FCD07BE"/>
    <w:rsid w:val="201E74B3"/>
    <w:rsid w:val="204E6648"/>
    <w:rsid w:val="2063580D"/>
    <w:rsid w:val="20DB6A33"/>
    <w:rsid w:val="20E92118"/>
    <w:rsid w:val="20EE18B5"/>
    <w:rsid w:val="20FD5819"/>
    <w:rsid w:val="212C689A"/>
    <w:rsid w:val="213E30AA"/>
    <w:rsid w:val="21823B19"/>
    <w:rsid w:val="21C61BB0"/>
    <w:rsid w:val="222F4291"/>
    <w:rsid w:val="223A3A3D"/>
    <w:rsid w:val="223B7F48"/>
    <w:rsid w:val="2240009C"/>
    <w:rsid w:val="22562DD1"/>
    <w:rsid w:val="225C57E4"/>
    <w:rsid w:val="22C07B9C"/>
    <w:rsid w:val="22D269EA"/>
    <w:rsid w:val="22DB4FC3"/>
    <w:rsid w:val="23343F18"/>
    <w:rsid w:val="23467C87"/>
    <w:rsid w:val="23857D61"/>
    <w:rsid w:val="239A1546"/>
    <w:rsid w:val="239E358C"/>
    <w:rsid w:val="23A9050A"/>
    <w:rsid w:val="23E5231B"/>
    <w:rsid w:val="23FA56C6"/>
    <w:rsid w:val="23FC3FAF"/>
    <w:rsid w:val="243C5474"/>
    <w:rsid w:val="24833E31"/>
    <w:rsid w:val="24E13040"/>
    <w:rsid w:val="24E70EA1"/>
    <w:rsid w:val="252F7AD2"/>
    <w:rsid w:val="25385289"/>
    <w:rsid w:val="255B4310"/>
    <w:rsid w:val="2569586F"/>
    <w:rsid w:val="25916979"/>
    <w:rsid w:val="259E7291"/>
    <w:rsid w:val="25DE56BB"/>
    <w:rsid w:val="26153008"/>
    <w:rsid w:val="268109E6"/>
    <w:rsid w:val="26814BAB"/>
    <w:rsid w:val="26856B94"/>
    <w:rsid w:val="269009DE"/>
    <w:rsid w:val="26B0066D"/>
    <w:rsid w:val="26E62EAE"/>
    <w:rsid w:val="26F33261"/>
    <w:rsid w:val="270C0EF8"/>
    <w:rsid w:val="27261D45"/>
    <w:rsid w:val="272631ED"/>
    <w:rsid w:val="274442D8"/>
    <w:rsid w:val="2764613E"/>
    <w:rsid w:val="2775752D"/>
    <w:rsid w:val="278413EE"/>
    <w:rsid w:val="27D019DA"/>
    <w:rsid w:val="27DD546B"/>
    <w:rsid w:val="27F46816"/>
    <w:rsid w:val="283F588A"/>
    <w:rsid w:val="28AD4498"/>
    <w:rsid w:val="28B0248C"/>
    <w:rsid w:val="28C31DE1"/>
    <w:rsid w:val="28E3573D"/>
    <w:rsid w:val="295916A5"/>
    <w:rsid w:val="29645C12"/>
    <w:rsid w:val="296E14AB"/>
    <w:rsid w:val="296F5CAF"/>
    <w:rsid w:val="298B6437"/>
    <w:rsid w:val="29962213"/>
    <w:rsid w:val="29F57BD7"/>
    <w:rsid w:val="2A2A53BD"/>
    <w:rsid w:val="2A3F4F40"/>
    <w:rsid w:val="2A481CFC"/>
    <w:rsid w:val="2A783AED"/>
    <w:rsid w:val="2A843E4B"/>
    <w:rsid w:val="2A9E7F78"/>
    <w:rsid w:val="2ADA66CC"/>
    <w:rsid w:val="2AEB2687"/>
    <w:rsid w:val="2B25203D"/>
    <w:rsid w:val="2B2D0EF2"/>
    <w:rsid w:val="2B366830"/>
    <w:rsid w:val="2B395E52"/>
    <w:rsid w:val="2B68741B"/>
    <w:rsid w:val="2B6E274F"/>
    <w:rsid w:val="2B721146"/>
    <w:rsid w:val="2BB475DE"/>
    <w:rsid w:val="2BB71B37"/>
    <w:rsid w:val="2BC26024"/>
    <w:rsid w:val="2C1F735F"/>
    <w:rsid w:val="2C285DDE"/>
    <w:rsid w:val="2C394C89"/>
    <w:rsid w:val="2C520DB9"/>
    <w:rsid w:val="2C534988"/>
    <w:rsid w:val="2C5833F1"/>
    <w:rsid w:val="2D233317"/>
    <w:rsid w:val="2D303665"/>
    <w:rsid w:val="2D376058"/>
    <w:rsid w:val="2D3C366E"/>
    <w:rsid w:val="2D3C53C6"/>
    <w:rsid w:val="2D403897"/>
    <w:rsid w:val="2D6430D3"/>
    <w:rsid w:val="2D7F1BAC"/>
    <w:rsid w:val="2E4F206F"/>
    <w:rsid w:val="2E560B72"/>
    <w:rsid w:val="2E5E49E9"/>
    <w:rsid w:val="2F481CF7"/>
    <w:rsid w:val="2F6649D2"/>
    <w:rsid w:val="2F6A2714"/>
    <w:rsid w:val="2F6B1FE9"/>
    <w:rsid w:val="2F7F2E24"/>
    <w:rsid w:val="2FA14F96"/>
    <w:rsid w:val="2FD261BA"/>
    <w:rsid w:val="2FE447DE"/>
    <w:rsid w:val="2FE926C3"/>
    <w:rsid w:val="2FF412E7"/>
    <w:rsid w:val="2FFA2F2D"/>
    <w:rsid w:val="30116340"/>
    <w:rsid w:val="3014497E"/>
    <w:rsid w:val="30190B17"/>
    <w:rsid w:val="302C0287"/>
    <w:rsid w:val="30357723"/>
    <w:rsid w:val="30490B35"/>
    <w:rsid w:val="305807BF"/>
    <w:rsid w:val="30824B3A"/>
    <w:rsid w:val="308B2898"/>
    <w:rsid w:val="308D4252"/>
    <w:rsid w:val="30C85A7E"/>
    <w:rsid w:val="31006137"/>
    <w:rsid w:val="31223F66"/>
    <w:rsid w:val="313718FE"/>
    <w:rsid w:val="316F3963"/>
    <w:rsid w:val="319121DA"/>
    <w:rsid w:val="31E9597C"/>
    <w:rsid w:val="32294DB9"/>
    <w:rsid w:val="324F174E"/>
    <w:rsid w:val="32514F97"/>
    <w:rsid w:val="325D030E"/>
    <w:rsid w:val="326D662E"/>
    <w:rsid w:val="32776A4F"/>
    <w:rsid w:val="328D3929"/>
    <w:rsid w:val="32A95092"/>
    <w:rsid w:val="32AB7EE6"/>
    <w:rsid w:val="32FE3624"/>
    <w:rsid w:val="33160FFD"/>
    <w:rsid w:val="332F1909"/>
    <w:rsid w:val="333C00D7"/>
    <w:rsid w:val="33785A27"/>
    <w:rsid w:val="33792F26"/>
    <w:rsid w:val="338773FB"/>
    <w:rsid w:val="33B71546"/>
    <w:rsid w:val="33CC2E63"/>
    <w:rsid w:val="340C1162"/>
    <w:rsid w:val="34A264AC"/>
    <w:rsid w:val="34A66C45"/>
    <w:rsid w:val="34AD57EA"/>
    <w:rsid w:val="34AF2977"/>
    <w:rsid w:val="34E10CD4"/>
    <w:rsid w:val="35321DFC"/>
    <w:rsid w:val="354969F7"/>
    <w:rsid w:val="35906B7F"/>
    <w:rsid w:val="35936B8D"/>
    <w:rsid w:val="35D05DF4"/>
    <w:rsid w:val="35E21AB3"/>
    <w:rsid w:val="35FE2075"/>
    <w:rsid w:val="3619610C"/>
    <w:rsid w:val="36344D15"/>
    <w:rsid w:val="3672405E"/>
    <w:rsid w:val="371061C9"/>
    <w:rsid w:val="3760316E"/>
    <w:rsid w:val="37732E15"/>
    <w:rsid w:val="377A7B26"/>
    <w:rsid w:val="37BB6C92"/>
    <w:rsid w:val="37DA4162"/>
    <w:rsid w:val="37FA2AD9"/>
    <w:rsid w:val="384E6289"/>
    <w:rsid w:val="3852284D"/>
    <w:rsid w:val="385448D0"/>
    <w:rsid w:val="38712C15"/>
    <w:rsid w:val="38AF21FA"/>
    <w:rsid w:val="38C87200"/>
    <w:rsid w:val="38DE608A"/>
    <w:rsid w:val="38E94C29"/>
    <w:rsid w:val="39882115"/>
    <w:rsid w:val="39BE67A1"/>
    <w:rsid w:val="3A2D13E3"/>
    <w:rsid w:val="3A4E636D"/>
    <w:rsid w:val="3A565CF9"/>
    <w:rsid w:val="3A61332B"/>
    <w:rsid w:val="3AA57AEB"/>
    <w:rsid w:val="3AB26D1E"/>
    <w:rsid w:val="3ABD122B"/>
    <w:rsid w:val="3B0C560B"/>
    <w:rsid w:val="3B2A4F9E"/>
    <w:rsid w:val="3BA237C3"/>
    <w:rsid w:val="3BB24720"/>
    <w:rsid w:val="3C033CD5"/>
    <w:rsid w:val="3C0465E0"/>
    <w:rsid w:val="3C124837"/>
    <w:rsid w:val="3C501953"/>
    <w:rsid w:val="3C6D66C1"/>
    <w:rsid w:val="3D031AB2"/>
    <w:rsid w:val="3D0E0B97"/>
    <w:rsid w:val="3D7563E3"/>
    <w:rsid w:val="3D9B6387"/>
    <w:rsid w:val="3DA75963"/>
    <w:rsid w:val="3DC93366"/>
    <w:rsid w:val="3DEC090F"/>
    <w:rsid w:val="3E257275"/>
    <w:rsid w:val="3E31789C"/>
    <w:rsid w:val="3E3916A1"/>
    <w:rsid w:val="3E422664"/>
    <w:rsid w:val="3E5050DE"/>
    <w:rsid w:val="3E7E7899"/>
    <w:rsid w:val="3E9E3E52"/>
    <w:rsid w:val="3EA01BA4"/>
    <w:rsid w:val="3EFA6787"/>
    <w:rsid w:val="3EFC1CC5"/>
    <w:rsid w:val="3F1D32FF"/>
    <w:rsid w:val="3F3221DE"/>
    <w:rsid w:val="3F4A3664"/>
    <w:rsid w:val="3F4B1179"/>
    <w:rsid w:val="3F4D34B9"/>
    <w:rsid w:val="3F5D16D4"/>
    <w:rsid w:val="3F712A45"/>
    <w:rsid w:val="3F77332A"/>
    <w:rsid w:val="3F911B89"/>
    <w:rsid w:val="3FC45139"/>
    <w:rsid w:val="3FC667B3"/>
    <w:rsid w:val="3FC9630E"/>
    <w:rsid w:val="400A0D75"/>
    <w:rsid w:val="401F2F68"/>
    <w:rsid w:val="4036290E"/>
    <w:rsid w:val="404273FD"/>
    <w:rsid w:val="40447007"/>
    <w:rsid w:val="404A5FA7"/>
    <w:rsid w:val="40A61542"/>
    <w:rsid w:val="40E32E07"/>
    <w:rsid w:val="40F2256A"/>
    <w:rsid w:val="40FF192D"/>
    <w:rsid w:val="412F2AF8"/>
    <w:rsid w:val="4139164A"/>
    <w:rsid w:val="419877B2"/>
    <w:rsid w:val="41A804DB"/>
    <w:rsid w:val="41B01190"/>
    <w:rsid w:val="41C17286"/>
    <w:rsid w:val="41F00C27"/>
    <w:rsid w:val="41FF6CEC"/>
    <w:rsid w:val="421A23FD"/>
    <w:rsid w:val="422634B4"/>
    <w:rsid w:val="42277181"/>
    <w:rsid w:val="42291FBB"/>
    <w:rsid w:val="42585357"/>
    <w:rsid w:val="425D6B44"/>
    <w:rsid w:val="426A2550"/>
    <w:rsid w:val="427D49D3"/>
    <w:rsid w:val="427E21E6"/>
    <w:rsid w:val="42D04BF1"/>
    <w:rsid w:val="42DF649D"/>
    <w:rsid w:val="42EF4FB3"/>
    <w:rsid w:val="42F779C3"/>
    <w:rsid w:val="430161BE"/>
    <w:rsid w:val="432E4DA4"/>
    <w:rsid w:val="43473D05"/>
    <w:rsid w:val="435A633D"/>
    <w:rsid w:val="436314BC"/>
    <w:rsid w:val="43AF64F0"/>
    <w:rsid w:val="43C54682"/>
    <w:rsid w:val="43E17F56"/>
    <w:rsid w:val="440B643F"/>
    <w:rsid w:val="440D7107"/>
    <w:rsid w:val="442904D6"/>
    <w:rsid w:val="446F4AE0"/>
    <w:rsid w:val="4475233E"/>
    <w:rsid w:val="447A721F"/>
    <w:rsid w:val="447D6DD0"/>
    <w:rsid w:val="44831672"/>
    <w:rsid w:val="449B07B7"/>
    <w:rsid w:val="44B76BFB"/>
    <w:rsid w:val="450B6428"/>
    <w:rsid w:val="451C5681"/>
    <w:rsid w:val="452F5B3A"/>
    <w:rsid w:val="459060E5"/>
    <w:rsid w:val="45AF4585"/>
    <w:rsid w:val="45AF50FA"/>
    <w:rsid w:val="45B86723"/>
    <w:rsid w:val="45C81AEB"/>
    <w:rsid w:val="45EF2A0F"/>
    <w:rsid w:val="46550F29"/>
    <w:rsid w:val="469F4655"/>
    <w:rsid w:val="46C6525E"/>
    <w:rsid w:val="46C9300C"/>
    <w:rsid w:val="46E456BB"/>
    <w:rsid w:val="46FC5E48"/>
    <w:rsid w:val="47016784"/>
    <w:rsid w:val="4732388D"/>
    <w:rsid w:val="47564AAF"/>
    <w:rsid w:val="475F022D"/>
    <w:rsid w:val="476475F1"/>
    <w:rsid w:val="478F48B9"/>
    <w:rsid w:val="47945F72"/>
    <w:rsid w:val="47975C19"/>
    <w:rsid w:val="47CB3625"/>
    <w:rsid w:val="47D3483A"/>
    <w:rsid w:val="47E80223"/>
    <w:rsid w:val="48266FE8"/>
    <w:rsid w:val="482B3C30"/>
    <w:rsid w:val="484A2423"/>
    <w:rsid w:val="48721EEC"/>
    <w:rsid w:val="4890478D"/>
    <w:rsid w:val="48A406E6"/>
    <w:rsid w:val="48D2515B"/>
    <w:rsid w:val="48D42F22"/>
    <w:rsid w:val="48D76177"/>
    <w:rsid w:val="48E30ECA"/>
    <w:rsid w:val="490B30E0"/>
    <w:rsid w:val="491002E2"/>
    <w:rsid w:val="49547C0B"/>
    <w:rsid w:val="4A135840"/>
    <w:rsid w:val="4A863D78"/>
    <w:rsid w:val="4AA02DC8"/>
    <w:rsid w:val="4B572DCD"/>
    <w:rsid w:val="4B6148D3"/>
    <w:rsid w:val="4B6D5F85"/>
    <w:rsid w:val="4B7D6954"/>
    <w:rsid w:val="4B803312"/>
    <w:rsid w:val="4B8C008B"/>
    <w:rsid w:val="4C0B0378"/>
    <w:rsid w:val="4C21650E"/>
    <w:rsid w:val="4C253B68"/>
    <w:rsid w:val="4C715FE1"/>
    <w:rsid w:val="4C867F15"/>
    <w:rsid w:val="4CCC7F61"/>
    <w:rsid w:val="4CD314A1"/>
    <w:rsid w:val="4CE706D7"/>
    <w:rsid w:val="4CF91CCC"/>
    <w:rsid w:val="4D3042A5"/>
    <w:rsid w:val="4D535E37"/>
    <w:rsid w:val="4D6A4019"/>
    <w:rsid w:val="4D84297A"/>
    <w:rsid w:val="4D8B316A"/>
    <w:rsid w:val="4DB26E0D"/>
    <w:rsid w:val="4DC71D1E"/>
    <w:rsid w:val="4DC756AF"/>
    <w:rsid w:val="4E5E7182"/>
    <w:rsid w:val="4E63623F"/>
    <w:rsid w:val="4E7E368F"/>
    <w:rsid w:val="4E9467D7"/>
    <w:rsid w:val="4EB33338"/>
    <w:rsid w:val="4EB440A2"/>
    <w:rsid w:val="4EB946C7"/>
    <w:rsid w:val="4ED94580"/>
    <w:rsid w:val="4F000151"/>
    <w:rsid w:val="4F174982"/>
    <w:rsid w:val="4F3D6B29"/>
    <w:rsid w:val="4F3E37F0"/>
    <w:rsid w:val="4F594BCD"/>
    <w:rsid w:val="4F725AF4"/>
    <w:rsid w:val="4FB658C3"/>
    <w:rsid w:val="4FD55DD9"/>
    <w:rsid w:val="4FED2502"/>
    <w:rsid w:val="50257D79"/>
    <w:rsid w:val="502C37A8"/>
    <w:rsid w:val="502D0EC8"/>
    <w:rsid w:val="50540B7D"/>
    <w:rsid w:val="50944830"/>
    <w:rsid w:val="50B10296"/>
    <w:rsid w:val="50B7494C"/>
    <w:rsid w:val="50B85D73"/>
    <w:rsid w:val="50C61AD3"/>
    <w:rsid w:val="51286797"/>
    <w:rsid w:val="51287EC8"/>
    <w:rsid w:val="51625253"/>
    <w:rsid w:val="516C605F"/>
    <w:rsid w:val="51A97C06"/>
    <w:rsid w:val="51C74A0B"/>
    <w:rsid w:val="51CB1985"/>
    <w:rsid w:val="521D2337"/>
    <w:rsid w:val="52500175"/>
    <w:rsid w:val="52697E4B"/>
    <w:rsid w:val="52BC435E"/>
    <w:rsid w:val="52DB202C"/>
    <w:rsid w:val="52E8557B"/>
    <w:rsid w:val="531176D5"/>
    <w:rsid w:val="531B76FE"/>
    <w:rsid w:val="531D07E6"/>
    <w:rsid w:val="532C190B"/>
    <w:rsid w:val="532E0DD2"/>
    <w:rsid w:val="535449BE"/>
    <w:rsid w:val="535D47E7"/>
    <w:rsid w:val="536E3595"/>
    <w:rsid w:val="537B0515"/>
    <w:rsid w:val="53B93E5D"/>
    <w:rsid w:val="53CB033D"/>
    <w:rsid w:val="54032CAE"/>
    <w:rsid w:val="5406215C"/>
    <w:rsid w:val="542B7642"/>
    <w:rsid w:val="54937F6D"/>
    <w:rsid w:val="54A454D1"/>
    <w:rsid w:val="54D9161F"/>
    <w:rsid w:val="54DA1A52"/>
    <w:rsid w:val="54E65B5B"/>
    <w:rsid w:val="54EC395C"/>
    <w:rsid w:val="54FB4318"/>
    <w:rsid w:val="55605E7A"/>
    <w:rsid w:val="5570542C"/>
    <w:rsid w:val="55BC3351"/>
    <w:rsid w:val="55BF0815"/>
    <w:rsid w:val="55CE7630"/>
    <w:rsid w:val="55D112A3"/>
    <w:rsid w:val="55E14F52"/>
    <w:rsid w:val="55EB785C"/>
    <w:rsid w:val="55F42D8F"/>
    <w:rsid w:val="56014320"/>
    <w:rsid w:val="56127738"/>
    <w:rsid w:val="56294A8F"/>
    <w:rsid w:val="56347039"/>
    <w:rsid w:val="56356D29"/>
    <w:rsid w:val="5659140E"/>
    <w:rsid w:val="565C6063"/>
    <w:rsid w:val="56896E44"/>
    <w:rsid w:val="56ED7603"/>
    <w:rsid w:val="570F7634"/>
    <w:rsid w:val="5732516C"/>
    <w:rsid w:val="573D094E"/>
    <w:rsid w:val="574E6959"/>
    <w:rsid w:val="576953C1"/>
    <w:rsid w:val="57B2148B"/>
    <w:rsid w:val="57FC150E"/>
    <w:rsid w:val="58135F10"/>
    <w:rsid w:val="58311654"/>
    <w:rsid w:val="583F5C3D"/>
    <w:rsid w:val="586D221A"/>
    <w:rsid w:val="5876720A"/>
    <w:rsid w:val="589D2963"/>
    <w:rsid w:val="58DB4D7E"/>
    <w:rsid w:val="58FB48AF"/>
    <w:rsid w:val="590914C5"/>
    <w:rsid w:val="590D5382"/>
    <w:rsid w:val="594D1E2C"/>
    <w:rsid w:val="59605D82"/>
    <w:rsid w:val="5963617B"/>
    <w:rsid w:val="59742E10"/>
    <w:rsid w:val="59806429"/>
    <w:rsid w:val="598C3104"/>
    <w:rsid w:val="59C903BB"/>
    <w:rsid w:val="59F041C8"/>
    <w:rsid w:val="59FA2F33"/>
    <w:rsid w:val="5A1D18B3"/>
    <w:rsid w:val="5A3A29BB"/>
    <w:rsid w:val="5A6C7840"/>
    <w:rsid w:val="5AC468CD"/>
    <w:rsid w:val="5AD27EE8"/>
    <w:rsid w:val="5AD3291B"/>
    <w:rsid w:val="5B1435C0"/>
    <w:rsid w:val="5B446176"/>
    <w:rsid w:val="5B7B38DD"/>
    <w:rsid w:val="5BA0516F"/>
    <w:rsid w:val="5BB82DBB"/>
    <w:rsid w:val="5BE2372F"/>
    <w:rsid w:val="5BFE7600"/>
    <w:rsid w:val="5C3A1A1A"/>
    <w:rsid w:val="5C453E53"/>
    <w:rsid w:val="5C6B2721"/>
    <w:rsid w:val="5C875E04"/>
    <w:rsid w:val="5CBC3EF9"/>
    <w:rsid w:val="5CD64EEC"/>
    <w:rsid w:val="5D0F5000"/>
    <w:rsid w:val="5D251A0D"/>
    <w:rsid w:val="5D2F6B7A"/>
    <w:rsid w:val="5D4C597D"/>
    <w:rsid w:val="5D812CCF"/>
    <w:rsid w:val="5DD13705"/>
    <w:rsid w:val="5DE228D8"/>
    <w:rsid w:val="5E3A6688"/>
    <w:rsid w:val="5E4168B4"/>
    <w:rsid w:val="5E4329FB"/>
    <w:rsid w:val="5EB17168"/>
    <w:rsid w:val="5EE25574"/>
    <w:rsid w:val="5EE80E74"/>
    <w:rsid w:val="5F010FEC"/>
    <w:rsid w:val="5F700DD2"/>
    <w:rsid w:val="600C1F76"/>
    <w:rsid w:val="60250C61"/>
    <w:rsid w:val="60472566"/>
    <w:rsid w:val="605F2F56"/>
    <w:rsid w:val="60A52CFD"/>
    <w:rsid w:val="60C87CD9"/>
    <w:rsid w:val="60E47906"/>
    <w:rsid w:val="60E60DCE"/>
    <w:rsid w:val="60FB647C"/>
    <w:rsid w:val="60FD323D"/>
    <w:rsid w:val="61163E89"/>
    <w:rsid w:val="61255530"/>
    <w:rsid w:val="61486BF3"/>
    <w:rsid w:val="616B5A50"/>
    <w:rsid w:val="616D669B"/>
    <w:rsid w:val="61802467"/>
    <w:rsid w:val="61B03470"/>
    <w:rsid w:val="61BC5B07"/>
    <w:rsid w:val="61BD1F0D"/>
    <w:rsid w:val="61BF7DEE"/>
    <w:rsid w:val="62076DCF"/>
    <w:rsid w:val="620E1E6C"/>
    <w:rsid w:val="626D65D0"/>
    <w:rsid w:val="62764951"/>
    <w:rsid w:val="62F651D6"/>
    <w:rsid w:val="63695775"/>
    <w:rsid w:val="644A1D32"/>
    <w:rsid w:val="64521E9E"/>
    <w:rsid w:val="64882DA8"/>
    <w:rsid w:val="64B513DA"/>
    <w:rsid w:val="64C30C37"/>
    <w:rsid w:val="64C319A4"/>
    <w:rsid w:val="64C3789D"/>
    <w:rsid w:val="64CE1678"/>
    <w:rsid w:val="64D25804"/>
    <w:rsid w:val="64F41B5D"/>
    <w:rsid w:val="64F42193"/>
    <w:rsid w:val="64FA342D"/>
    <w:rsid w:val="64FD6C64"/>
    <w:rsid w:val="650B38EE"/>
    <w:rsid w:val="653305E7"/>
    <w:rsid w:val="65AD18CD"/>
    <w:rsid w:val="65D5055A"/>
    <w:rsid w:val="65E53083"/>
    <w:rsid w:val="665B6B11"/>
    <w:rsid w:val="667A1427"/>
    <w:rsid w:val="66937568"/>
    <w:rsid w:val="66AE5D23"/>
    <w:rsid w:val="66C41CCF"/>
    <w:rsid w:val="66C513F4"/>
    <w:rsid w:val="66E22B39"/>
    <w:rsid w:val="672D55CF"/>
    <w:rsid w:val="67662C42"/>
    <w:rsid w:val="67FD6F4D"/>
    <w:rsid w:val="68275CF6"/>
    <w:rsid w:val="68352BB8"/>
    <w:rsid w:val="68422EF1"/>
    <w:rsid w:val="68640EDE"/>
    <w:rsid w:val="68867717"/>
    <w:rsid w:val="69083C24"/>
    <w:rsid w:val="690E1350"/>
    <w:rsid w:val="69287B34"/>
    <w:rsid w:val="693140D7"/>
    <w:rsid w:val="69644122"/>
    <w:rsid w:val="69AB102B"/>
    <w:rsid w:val="69E2394A"/>
    <w:rsid w:val="69E51706"/>
    <w:rsid w:val="6A002836"/>
    <w:rsid w:val="6A2904FB"/>
    <w:rsid w:val="6A3B012F"/>
    <w:rsid w:val="6A992416"/>
    <w:rsid w:val="6AA01173"/>
    <w:rsid w:val="6AAB13CB"/>
    <w:rsid w:val="6AE461D0"/>
    <w:rsid w:val="6AF067B7"/>
    <w:rsid w:val="6AF30236"/>
    <w:rsid w:val="6B2C3BD9"/>
    <w:rsid w:val="6B396285"/>
    <w:rsid w:val="6B97037C"/>
    <w:rsid w:val="6BA42E7D"/>
    <w:rsid w:val="6BAC4D39"/>
    <w:rsid w:val="6BB17694"/>
    <w:rsid w:val="6BC14DF8"/>
    <w:rsid w:val="6BC61BDC"/>
    <w:rsid w:val="6BE40B7D"/>
    <w:rsid w:val="6C195D31"/>
    <w:rsid w:val="6C342EEB"/>
    <w:rsid w:val="6C5A47DA"/>
    <w:rsid w:val="6C981A12"/>
    <w:rsid w:val="6CA2614A"/>
    <w:rsid w:val="6CC71A9F"/>
    <w:rsid w:val="6CCB5899"/>
    <w:rsid w:val="6CE028C4"/>
    <w:rsid w:val="6D1F7562"/>
    <w:rsid w:val="6D335581"/>
    <w:rsid w:val="6DB9605E"/>
    <w:rsid w:val="6DF65610"/>
    <w:rsid w:val="6E1C10FC"/>
    <w:rsid w:val="6E253DA3"/>
    <w:rsid w:val="6E3A378C"/>
    <w:rsid w:val="6E5C286A"/>
    <w:rsid w:val="6E6570B5"/>
    <w:rsid w:val="6ECB033D"/>
    <w:rsid w:val="6EF57539"/>
    <w:rsid w:val="6F107CDF"/>
    <w:rsid w:val="6F1B1CBB"/>
    <w:rsid w:val="6F216CEC"/>
    <w:rsid w:val="6F217109"/>
    <w:rsid w:val="6F5767EF"/>
    <w:rsid w:val="6F5A56FD"/>
    <w:rsid w:val="6F5D456E"/>
    <w:rsid w:val="6F836B40"/>
    <w:rsid w:val="6FB85662"/>
    <w:rsid w:val="6FBB32C2"/>
    <w:rsid w:val="6FEC7775"/>
    <w:rsid w:val="6FF002F6"/>
    <w:rsid w:val="700E702E"/>
    <w:rsid w:val="704B6F4B"/>
    <w:rsid w:val="705F0FC6"/>
    <w:rsid w:val="70742386"/>
    <w:rsid w:val="70824ECB"/>
    <w:rsid w:val="709958A8"/>
    <w:rsid w:val="709D487B"/>
    <w:rsid w:val="70C97661"/>
    <w:rsid w:val="70F82A8F"/>
    <w:rsid w:val="70FF56AB"/>
    <w:rsid w:val="70FF68A0"/>
    <w:rsid w:val="711B6C7D"/>
    <w:rsid w:val="711E6761"/>
    <w:rsid w:val="712B7CC9"/>
    <w:rsid w:val="71353C29"/>
    <w:rsid w:val="713F6277"/>
    <w:rsid w:val="714F6A99"/>
    <w:rsid w:val="71A069B1"/>
    <w:rsid w:val="71A1306D"/>
    <w:rsid w:val="71A573FA"/>
    <w:rsid w:val="71BB412E"/>
    <w:rsid w:val="722B6570"/>
    <w:rsid w:val="7249173A"/>
    <w:rsid w:val="724F164E"/>
    <w:rsid w:val="725105EF"/>
    <w:rsid w:val="727B38BE"/>
    <w:rsid w:val="72983E75"/>
    <w:rsid w:val="72A850EC"/>
    <w:rsid w:val="72C45BD6"/>
    <w:rsid w:val="72CE10BA"/>
    <w:rsid w:val="731C1323"/>
    <w:rsid w:val="7354619C"/>
    <w:rsid w:val="738F5B18"/>
    <w:rsid w:val="73AB1F81"/>
    <w:rsid w:val="73AE4625"/>
    <w:rsid w:val="73C26CBB"/>
    <w:rsid w:val="740E57CB"/>
    <w:rsid w:val="740F2A15"/>
    <w:rsid w:val="741F6D38"/>
    <w:rsid w:val="743924D8"/>
    <w:rsid w:val="74443ACB"/>
    <w:rsid w:val="745D4241"/>
    <w:rsid w:val="748F2FB2"/>
    <w:rsid w:val="750A263F"/>
    <w:rsid w:val="75254AD8"/>
    <w:rsid w:val="75557450"/>
    <w:rsid w:val="75595A2F"/>
    <w:rsid w:val="757B7C55"/>
    <w:rsid w:val="759A405B"/>
    <w:rsid w:val="75A722E1"/>
    <w:rsid w:val="75E01220"/>
    <w:rsid w:val="760000CF"/>
    <w:rsid w:val="761F054C"/>
    <w:rsid w:val="763D1909"/>
    <w:rsid w:val="764213FF"/>
    <w:rsid w:val="767A6304"/>
    <w:rsid w:val="76872205"/>
    <w:rsid w:val="76903C11"/>
    <w:rsid w:val="76956F44"/>
    <w:rsid w:val="76BC3B2E"/>
    <w:rsid w:val="76EA2B17"/>
    <w:rsid w:val="77142556"/>
    <w:rsid w:val="772C4E44"/>
    <w:rsid w:val="77742BCC"/>
    <w:rsid w:val="77BC2305"/>
    <w:rsid w:val="77EC0C58"/>
    <w:rsid w:val="780B26F0"/>
    <w:rsid w:val="78174088"/>
    <w:rsid w:val="782234E4"/>
    <w:rsid w:val="7826571E"/>
    <w:rsid w:val="78600961"/>
    <w:rsid w:val="78A551F0"/>
    <w:rsid w:val="793A6C14"/>
    <w:rsid w:val="793F5645"/>
    <w:rsid w:val="795310F0"/>
    <w:rsid w:val="79541732"/>
    <w:rsid w:val="795804B5"/>
    <w:rsid w:val="79AE04A8"/>
    <w:rsid w:val="79BC6C6B"/>
    <w:rsid w:val="79DF6EEB"/>
    <w:rsid w:val="7A5C1D86"/>
    <w:rsid w:val="7A8D4B20"/>
    <w:rsid w:val="7A924DE3"/>
    <w:rsid w:val="7A963DDD"/>
    <w:rsid w:val="7AA55D5A"/>
    <w:rsid w:val="7AB56037"/>
    <w:rsid w:val="7ABA1672"/>
    <w:rsid w:val="7ACE4ED2"/>
    <w:rsid w:val="7AE466EA"/>
    <w:rsid w:val="7AF55949"/>
    <w:rsid w:val="7B0466C1"/>
    <w:rsid w:val="7B277BE1"/>
    <w:rsid w:val="7B787749"/>
    <w:rsid w:val="7B9B56CB"/>
    <w:rsid w:val="7BD74202"/>
    <w:rsid w:val="7BDE40A6"/>
    <w:rsid w:val="7C1D79D7"/>
    <w:rsid w:val="7C2644EB"/>
    <w:rsid w:val="7C2718F4"/>
    <w:rsid w:val="7C4B7F5A"/>
    <w:rsid w:val="7C576BC7"/>
    <w:rsid w:val="7C6E06F9"/>
    <w:rsid w:val="7C9360B2"/>
    <w:rsid w:val="7CCB388B"/>
    <w:rsid w:val="7D162008"/>
    <w:rsid w:val="7D3547CC"/>
    <w:rsid w:val="7D5A35B8"/>
    <w:rsid w:val="7D646F2E"/>
    <w:rsid w:val="7D6561E0"/>
    <w:rsid w:val="7DD65EE7"/>
    <w:rsid w:val="7E4F1EBF"/>
    <w:rsid w:val="7E6647ED"/>
    <w:rsid w:val="7E7A465F"/>
    <w:rsid w:val="7E9B1805"/>
    <w:rsid w:val="7E9E4DE1"/>
    <w:rsid w:val="7EA56E0E"/>
    <w:rsid w:val="7EB8301C"/>
    <w:rsid w:val="7EBC52F3"/>
    <w:rsid w:val="7F0A0A87"/>
    <w:rsid w:val="7F3C572C"/>
    <w:rsid w:val="7F4323A8"/>
    <w:rsid w:val="7F703CDF"/>
    <w:rsid w:val="7F724B08"/>
    <w:rsid w:val="7FA81F9E"/>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heme="minorBidi"/>
      <w:kern w:val="2"/>
      <w:sz w:val="28"/>
      <w:szCs w:val="28"/>
      <w:lang w:val="en-US" w:eastAsia="zh-CN" w:bidi="ar-SA"/>
    </w:rPr>
  </w:style>
  <w:style w:type="paragraph" w:styleId="3">
    <w:name w:val="heading 1"/>
    <w:basedOn w:val="1"/>
    <w:next w:val="1"/>
    <w:link w:val="44"/>
    <w:qFormat/>
    <w:uiPriority w:val="9"/>
    <w:pPr>
      <w:keepNext/>
      <w:keepLines/>
      <w:spacing w:line="240" w:lineRule="auto"/>
      <w:jc w:val="center"/>
      <w:outlineLvl w:val="0"/>
    </w:pPr>
    <w:rPr>
      <w:b/>
      <w:bCs/>
      <w:kern w:val="44"/>
      <w:sz w:val="36"/>
      <w:szCs w:val="44"/>
    </w:rPr>
  </w:style>
  <w:style w:type="paragraph" w:styleId="4">
    <w:name w:val="heading 2"/>
    <w:basedOn w:val="1"/>
    <w:next w:val="5"/>
    <w:link w:val="45"/>
    <w:unhideWhenUsed/>
    <w:qFormat/>
    <w:uiPriority w:val="9"/>
    <w:pPr>
      <w:keepNext/>
      <w:keepLines/>
      <w:spacing w:line="500" w:lineRule="exact"/>
      <w:ind w:firstLine="285" w:firstLineChars="100"/>
      <w:contextualSpacing/>
      <w:outlineLvl w:val="1"/>
    </w:pPr>
    <w:rPr>
      <w:rFonts w:ascii="仿宋" w:hAnsi="仿宋" w:eastAsia="仿宋" w:cstheme="majorBidi"/>
      <w:b/>
      <w:bCs/>
    </w:rPr>
  </w:style>
  <w:style w:type="paragraph" w:styleId="7">
    <w:name w:val="heading 3"/>
    <w:basedOn w:val="1"/>
    <w:next w:val="1"/>
    <w:link w:val="48"/>
    <w:unhideWhenUsed/>
    <w:qFormat/>
    <w:uiPriority w:val="9"/>
    <w:pPr>
      <w:ind w:firstLine="569" w:firstLineChars="200"/>
      <w:outlineLvl w:val="2"/>
    </w:pPr>
    <w:rPr>
      <w:rFonts w:ascii="仿宋" w:hAnsi="仿宋" w:eastAsia="仿宋"/>
      <w:b/>
      <w:bCs/>
    </w:rPr>
  </w:style>
  <w:style w:type="paragraph" w:styleId="8">
    <w:name w:val="heading 4"/>
    <w:basedOn w:val="1"/>
    <w:next w:val="1"/>
    <w:link w:val="65"/>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unhideWhenUsed/>
    <w:qFormat/>
    <w:uiPriority w:val="99"/>
    <w:pPr>
      <w:spacing w:after="120"/>
    </w:pPr>
  </w:style>
  <w:style w:type="paragraph" w:styleId="5">
    <w:name w:val="Normal Indent"/>
    <w:basedOn w:val="1"/>
    <w:next w:val="6"/>
    <w:unhideWhenUsed/>
    <w:qFormat/>
    <w:uiPriority w:val="99"/>
    <w:pPr>
      <w:ind w:firstLine="420"/>
    </w:pPr>
  </w:style>
  <w:style w:type="paragraph" w:styleId="6">
    <w:name w:val="toc 4"/>
    <w:next w:val="1"/>
    <w:unhideWhenUsed/>
    <w:qFormat/>
    <w:uiPriority w:val="39"/>
    <w:pPr>
      <w:ind w:left="1260" w:leftChars="600" w:firstLine="566" w:firstLineChars="200"/>
      <w:jc w:val="both"/>
    </w:pPr>
    <w:rPr>
      <w:rFonts w:ascii="Calibri Light" w:hAnsi="Calibri Light" w:eastAsia="华文仿宋" w:cs="Calibri Light"/>
      <w:kern w:val="2"/>
      <w:sz w:val="28"/>
      <w:szCs w:val="28"/>
      <w:lang w:val="en-US" w:eastAsia="zh-CN" w:bidi="ar-SA"/>
    </w:rPr>
  </w:style>
  <w:style w:type="paragraph" w:styleId="9">
    <w:name w:val="Document Map"/>
    <w:basedOn w:val="1"/>
    <w:link w:val="56"/>
    <w:unhideWhenUsed/>
    <w:qFormat/>
    <w:uiPriority w:val="99"/>
    <w:rPr>
      <w:rFonts w:ascii="宋体" w:eastAsia="宋体"/>
      <w:sz w:val="18"/>
      <w:szCs w:val="18"/>
    </w:rPr>
  </w:style>
  <w:style w:type="paragraph" w:styleId="10">
    <w:name w:val="annotation text"/>
    <w:basedOn w:val="1"/>
    <w:link w:val="57"/>
    <w:unhideWhenUsed/>
    <w:qFormat/>
    <w:uiPriority w:val="99"/>
    <w:pPr>
      <w:jc w:val="left"/>
    </w:pPr>
  </w:style>
  <w:style w:type="paragraph" w:styleId="11">
    <w:name w:val="Body Text Indent"/>
    <w:basedOn w:val="1"/>
    <w:qFormat/>
    <w:uiPriority w:val="0"/>
    <w:pPr>
      <w:ind w:firstLine="830" w:firstLineChars="352"/>
    </w:pPr>
    <w:rPr>
      <w:rFonts w:ascii="仿宋_GB2312" w:eastAsia="仿宋_GB2312"/>
      <w:sz w:val="32"/>
    </w:rPr>
  </w:style>
  <w:style w:type="paragraph" w:styleId="12">
    <w:name w:val="index 4"/>
    <w:basedOn w:val="1"/>
    <w:next w:val="1"/>
    <w:unhideWhenUsed/>
    <w:qFormat/>
    <w:uiPriority w:val="99"/>
    <w:pPr>
      <w:ind w:left="428" w:firstLine="140"/>
    </w:pPr>
  </w:style>
  <w:style w:type="paragraph" w:styleId="13">
    <w:name w:val="toc 3"/>
    <w:basedOn w:val="1"/>
    <w:next w:val="1"/>
    <w:unhideWhenUsed/>
    <w:qFormat/>
    <w:uiPriority w:val="39"/>
    <w:pPr>
      <w:ind w:left="840" w:leftChars="400"/>
    </w:pPr>
  </w:style>
  <w:style w:type="paragraph" w:styleId="14">
    <w:name w:val="Date"/>
    <w:basedOn w:val="1"/>
    <w:next w:val="1"/>
    <w:link w:val="42"/>
    <w:unhideWhenUsed/>
    <w:qFormat/>
    <w:uiPriority w:val="99"/>
    <w:pPr>
      <w:ind w:left="100" w:leftChars="2500"/>
    </w:pPr>
  </w:style>
  <w:style w:type="paragraph" w:styleId="15">
    <w:name w:val="Balloon Text"/>
    <w:basedOn w:val="1"/>
    <w:link w:val="43"/>
    <w:unhideWhenUsed/>
    <w:qFormat/>
    <w:uiPriority w:val="99"/>
    <w:pPr>
      <w:spacing w:line="240" w:lineRule="auto"/>
    </w:pPr>
    <w:rPr>
      <w:sz w:val="18"/>
      <w:szCs w:val="18"/>
    </w:rPr>
  </w:style>
  <w:style w:type="paragraph" w:styleId="16">
    <w:name w:val="footer"/>
    <w:basedOn w:val="1"/>
    <w:link w:val="52"/>
    <w:qFormat/>
    <w:uiPriority w:val="99"/>
    <w:pPr>
      <w:widowControl w:val="0"/>
      <w:tabs>
        <w:tab w:val="center" w:pos="4153"/>
        <w:tab w:val="right" w:pos="8306"/>
      </w:tabs>
      <w:snapToGrid w:val="0"/>
      <w:spacing w:line="240" w:lineRule="auto"/>
      <w:jc w:val="left"/>
    </w:pPr>
    <w:rPr>
      <w:sz w:val="18"/>
    </w:rPr>
  </w:style>
  <w:style w:type="paragraph" w:styleId="17">
    <w:name w:val="header"/>
    <w:basedOn w:val="1"/>
    <w:link w:val="49"/>
    <w:qFormat/>
    <w:uiPriority w:val="99"/>
    <w:pPr>
      <w:widowControl w:val="0"/>
      <w:pBdr>
        <w:bottom w:val="single" w:color="auto" w:sz="6" w:space="1"/>
      </w:pBdr>
      <w:tabs>
        <w:tab w:val="center" w:pos="4153"/>
        <w:tab w:val="right" w:pos="8306"/>
      </w:tabs>
      <w:snapToGrid w:val="0"/>
      <w:spacing w:line="240" w:lineRule="auto"/>
      <w:jc w:val="center"/>
    </w:pPr>
    <w:rPr>
      <w:sz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annotation subject"/>
    <w:basedOn w:val="10"/>
    <w:next w:val="10"/>
    <w:link w:val="58"/>
    <w:unhideWhenUsed/>
    <w:qFormat/>
    <w:uiPriority w:val="99"/>
    <w:rPr>
      <w:b/>
      <w:bCs/>
    </w:rPr>
  </w:style>
  <w:style w:type="paragraph" w:styleId="22">
    <w:name w:val="Body Text First Indent"/>
    <w:basedOn w:val="2"/>
    <w:link w:val="64"/>
    <w:unhideWhenUsed/>
    <w:qFormat/>
    <w:uiPriority w:val="99"/>
    <w:pPr>
      <w:ind w:firstLine="420" w:firstLineChars="1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color w:val="FFFFFF"/>
      <w:shd w:val="clear" w:color="auto" w:fill="76C0E3"/>
    </w:rPr>
  </w:style>
  <w:style w:type="character" w:styleId="27">
    <w:name w:val="page number"/>
    <w:qFormat/>
    <w:uiPriority w:val="0"/>
    <w:rPr>
      <w:rFonts w:ascii="Times New Roman" w:hAnsi="Times New Roman" w:eastAsia="宋体" w:cs="Times New Roman"/>
    </w:rPr>
  </w:style>
  <w:style w:type="character" w:styleId="28">
    <w:name w:val="FollowedHyperlink"/>
    <w:basedOn w:val="25"/>
    <w:unhideWhenUsed/>
    <w:qFormat/>
    <w:uiPriority w:val="99"/>
    <w:rPr>
      <w:color w:val="800080"/>
      <w:u w:val="none"/>
    </w:rPr>
  </w:style>
  <w:style w:type="character" w:styleId="29">
    <w:name w:val="Emphasis"/>
    <w:basedOn w:val="25"/>
    <w:qFormat/>
    <w:uiPriority w:val="20"/>
    <w:rPr>
      <w:b/>
    </w:rPr>
  </w:style>
  <w:style w:type="character" w:styleId="30">
    <w:name w:val="HTML Definition"/>
    <w:basedOn w:val="25"/>
    <w:unhideWhenUsed/>
    <w:qFormat/>
    <w:uiPriority w:val="99"/>
  </w:style>
  <w:style w:type="character" w:styleId="31">
    <w:name w:val="HTML Typewriter"/>
    <w:basedOn w:val="25"/>
    <w:unhideWhenUsed/>
    <w:qFormat/>
    <w:uiPriority w:val="99"/>
    <w:rPr>
      <w:rFonts w:ascii="monospace" w:hAnsi="monospace" w:eastAsia="monospace" w:cs="monospace"/>
      <w:sz w:val="20"/>
    </w:rPr>
  </w:style>
  <w:style w:type="character" w:styleId="32">
    <w:name w:val="HTML Acronym"/>
    <w:basedOn w:val="25"/>
    <w:unhideWhenUsed/>
    <w:qFormat/>
    <w:uiPriority w:val="99"/>
    <w:rPr>
      <w:color w:val="FFFFFF"/>
      <w:sz w:val="19"/>
      <w:szCs w:val="19"/>
      <w:shd w:val="clear" w:color="auto" w:fill="F6F6F6"/>
    </w:rPr>
  </w:style>
  <w:style w:type="character" w:styleId="33">
    <w:name w:val="HTML Variable"/>
    <w:basedOn w:val="25"/>
    <w:unhideWhenUsed/>
    <w:qFormat/>
    <w:uiPriority w:val="99"/>
  </w:style>
  <w:style w:type="character" w:styleId="34">
    <w:name w:val="Hyperlink"/>
    <w:qFormat/>
    <w:uiPriority w:val="99"/>
    <w:rPr>
      <w:color w:val="000000"/>
      <w:sz w:val="18"/>
      <w:szCs w:val="18"/>
      <w:u w:val="none"/>
    </w:rPr>
  </w:style>
  <w:style w:type="character" w:styleId="35">
    <w:name w:val="HTML Code"/>
    <w:basedOn w:val="25"/>
    <w:unhideWhenUsed/>
    <w:qFormat/>
    <w:uiPriority w:val="99"/>
    <w:rPr>
      <w:rFonts w:hint="default" w:ascii="monospace" w:hAnsi="monospace" w:eastAsia="monospace" w:cs="monospace"/>
      <w:sz w:val="20"/>
    </w:rPr>
  </w:style>
  <w:style w:type="character" w:styleId="36">
    <w:name w:val="annotation reference"/>
    <w:basedOn w:val="25"/>
    <w:unhideWhenUsed/>
    <w:qFormat/>
    <w:uiPriority w:val="99"/>
    <w:rPr>
      <w:sz w:val="21"/>
      <w:szCs w:val="21"/>
    </w:rPr>
  </w:style>
  <w:style w:type="character" w:styleId="37">
    <w:name w:val="HTML Cite"/>
    <w:basedOn w:val="25"/>
    <w:unhideWhenUsed/>
    <w:qFormat/>
    <w:uiPriority w:val="99"/>
  </w:style>
  <w:style w:type="character" w:styleId="38">
    <w:name w:val="HTML Keyboard"/>
    <w:basedOn w:val="25"/>
    <w:unhideWhenUsed/>
    <w:qFormat/>
    <w:uiPriority w:val="99"/>
    <w:rPr>
      <w:rFonts w:hint="default" w:ascii="monospace" w:hAnsi="monospace" w:eastAsia="monospace" w:cs="monospace"/>
      <w:sz w:val="20"/>
    </w:rPr>
  </w:style>
  <w:style w:type="character" w:styleId="39">
    <w:name w:val="HTML Sample"/>
    <w:basedOn w:val="25"/>
    <w:unhideWhenUsed/>
    <w:qFormat/>
    <w:uiPriority w:val="99"/>
    <w:rPr>
      <w:rFonts w:hint="default" w:ascii="monospace" w:hAnsi="monospace" w:eastAsia="monospace" w:cs="monospace"/>
    </w:rPr>
  </w:style>
  <w:style w:type="paragraph" w:customStyle="1" w:styleId="40">
    <w:name w:val="正文（缩进）"/>
    <w:basedOn w:val="1"/>
    <w:qFormat/>
    <w:uiPriority w:val="0"/>
    <w:pPr>
      <w:widowControl/>
      <w:spacing w:before="156" w:after="156" w:line="360" w:lineRule="auto"/>
      <w:ind w:firstLine="480" w:firstLineChars="200"/>
      <w:jc w:val="left"/>
    </w:pPr>
    <w:rPr>
      <w:rFonts w:ascii="仿宋_GB2312" w:eastAsia="仿宋_GB2312"/>
      <w:kern w:val="0"/>
      <w:sz w:val="24"/>
    </w:rPr>
  </w:style>
  <w:style w:type="paragraph" w:customStyle="1" w:styleId="41">
    <w:name w:val="HTML Preformatted1"/>
    <w:qFormat/>
    <w:uiPriority w:val="0"/>
    <w:pPr>
      <w:widowControl w:val="0"/>
      <w:jc w:val="both"/>
    </w:pPr>
    <w:rPr>
      <w:rFonts w:ascii="Courier New" w:hAnsi="Courier New" w:eastAsia="宋体" w:cs="Times New Roman"/>
      <w:kern w:val="2"/>
      <w:szCs w:val="24"/>
      <w:lang w:val="en-US" w:eastAsia="zh-CN" w:bidi="ar-SA"/>
    </w:rPr>
  </w:style>
  <w:style w:type="character" w:customStyle="1" w:styleId="42">
    <w:name w:val="日期 字符"/>
    <w:basedOn w:val="25"/>
    <w:link w:val="14"/>
    <w:semiHidden/>
    <w:qFormat/>
    <w:uiPriority w:val="99"/>
    <w:rPr>
      <w:rFonts w:ascii="Calibri Light" w:hAnsi="Calibri Light" w:eastAsia="华文仿宋"/>
      <w:sz w:val="28"/>
    </w:rPr>
  </w:style>
  <w:style w:type="character" w:customStyle="1" w:styleId="43">
    <w:name w:val="批注框文本 字符"/>
    <w:basedOn w:val="25"/>
    <w:link w:val="15"/>
    <w:semiHidden/>
    <w:qFormat/>
    <w:uiPriority w:val="99"/>
    <w:rPr>
      <w:sz w:val="18"/>
      <w:szCs w:val="18"/>
    </w:rPr>
  </w:style>
  <w:style w:type="character" w:customStyle="1" w:styleId="44">
    <w:name w:val="标题 1 字符"/>
    <w:basedOn w:val="25"/>
    <w:link w:val="3"/>
    <w:qFormat/>
    <w:uiPriority w:val="9"/>
    <w:rPr>
      <w:b/>
      <w:bCs/>
      <w:kern w:val="44"/>
      <w:sz w:val="36"/>
      <w:szCs w:val="44"/>
    </w:rPr>
  </w:style>
  <w:style w:type="character" w:customStyle="1" w:styleId="45">
    <w:name w:val="标题 2 字符"/>
    <w:basedOn w:val="25"/>
    <w:link w:val="4"/>
    <w:qFormat/>
    <w:uiPriority w:val="9"/>
    <w:rPr>
      <w:rFonts w:ascii="仿宋" w:hAnsi="仿宋" w:eastAsia="仿宋" w:cstheme="majorBidi"/>
      <w:b/>
      <w:bCs/>
      <w:kern w:val="2"/>
      <w:sz w:val="28"/>
      <w:szCs w:val="28"/>
    </w:rPr>
  </w:style>
  <w:style w:type="paragraph" w:customStyle="1" w:styleId="46">
    <w:name w:val="正文（缩进 2 字符）"/>
    <w:basedOn w:val="1"/>
    <w:qFormat/>
    <w:uiPriority w:val="0"/>
    <w:pPr>
      <w:ind w:firstLine="200" w:firstLineChars="200"/>
    </w:pPr>
  </w:style>
  <w:style w:type="paragraph" w:customStyle="1" w:styleId="47">
    <w:name w:val="正文（缩进 4 字符）"/>
    <w:basedOn w:val="1"/>
    <w:qFormat/>
    <w:uiPriority w:val="0"/>
    <w:pPr>
      <w:ind w:firstLine="1134" w:firstLineChars="400"/>
    </w:pPr>
  </w:style>
  <w:style w:type="character" w:customStyle="1" w:styleId="48">
    <w:name w:val="标题 3 字符"/>
    <w:basedOn w:val="25"/>
    <w:link w:val="7"/>
    <w:qFormat/>
    <w:uiPriority w:val="9"/>
    <w:rPr>
      <w:rFonts w:ascii="仿宋" w:hAnsi="仿宋" w:eastAsia="仿宋" w:cstheme="minorBidi"/>
      <w:b/>
      <w:bCs/>
      <w:kern w:val="2"/>
      <w:sz w:val="28"/>
      <w:szCs w:val="28"/>
    </w:rPr>
  </w:style>
  <w:style w:type="character" w:customStyle="1" w:styleId="49">
    <w:name w:val="页眉 字符"/>
    <w:link w:val="17"/>
    <w:qFormat/>
    <w:uiPriority w:val="99"/>
    <w:rPr>
      <w:sz w:val="18"/>
    </w:rPr>
  </w:style>
  <w:style w:type="paragraph" w:customStyle="1" w:styleId="50">
    <w:name w:val="标题 2（投标文件）"/>
    <w:basedOn w:val="4"/>
    <w:qFormat/>
    <w:uiPriority w:val="0"/>
    <w:pPr>
      <w:jc w:val="center"/>
    </w:pPr>
  </w:style>
  <w:style w:type="character" w:customStyle="1" w:styleId="51">
    <w:name w:val="页眉 Char1"/>
    <w:basedOn w:val="25"/>
    <w:semiHidden/>
    <w:qFormat/>
    <w:uiPriority w:val="99"/>
    <w:rPr>
      <w:sz w:val="18"/>
      <w:szCs w:val="18"/>
    </w:rPr>
  </w:style>
  <w:style w:type="character" w:customStyle="1" w:styleId="52">
    <w:name w:val="页脚 字符"/>
    <w:link w:val="16"/>
    <w:qFormat/>
    <w:uiPriority w:val="99"/>
    <w:rPr>
      <w:sz w:val="18"/>
    </w:rPr>
  </w:style>
  <w:style w:type="character" w:customStyle="1" w:styleId="53">
    <w:name w:val="页脚 Char1"/>
    <w:basedOn w:val="25"/>
    <w:semiHidden/>
    <w:qFormat/>
    <w:uiPriority w:val="99"/>
    <w:rPr>
      <w:sz w:val="18"/>
      <w:szCs w:val="18"/>
    </w:rPr>
  </w:style>
  <w:style w:type="paragraph" w:customStyle="1" w:styleId="54">
    <w:name w:val="标题 3（投标文件）"/>
    <w:basedOn w:val="7"/>
    <w:qFormat/>
    <w:uiPriority w:val="0"/>
    <w:pPr>
      <w:jc w:val="left"/>
    </w:pPr>
  </w:style>
  <w:style w:type="paragraph" w:customStyle="1" w:styleId="5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character" w:customStyle="1" w:styleId="56">
    <w:name w:val="文档结构图 字符"/>
    <w:basedOn w:val="25"/>
    <w:link w:val="9"/>
    <w:semiHidden/>
    <w:qFormat/>
    <w:uiPriority w:val="99"/>
    <w:rPr>
      <w:rFonts w:ascii="宋体" w:eastAsia="宋体"/>
      <w:sz w:val="18"/>
      <w:szCs w:val="18"/>
    </w:rPr>
  </w:style>
  <w:style w:type="character" w:customStyle="1" w:styleId="57">
    <w:name w:val="批注文字 字符"/>
    <w:basedOn w:val="25"/>
    <w:link w:val="10"/>
    <w:semiHidden/>
    <w:qFormat/>
    <w:uiPriority w:val="99"/>
  </w:style>
  <w:style w:type="character" w:customStyle="1" w:styleId="58">
    <w:name w:val="批注主题 字符"/>
    <w:basedOn w:val="57"/>
    <w:link w:val="21"/>
    <w:semiHidden/>
    <w:qFormat/>
    <w:uiPriority w:val="99"/>
    <w:rPr>
      <w:b/>
      <w:bCs/>
    </w:rPr>
  </w:style>
  <w:style w:type="character" w:customStyle="1" w:styleId="59">
    <w:name w:val="mini-outputtext1"/>
    <w:basedOn w:val="25"/>
    <w:qFormat/>
    <w:uiPriority w:val="0"/>
  </w:style>
  <w:style w:type="paragraph" w:customStyle="1" w:styleId="60">
    <w:name w:val="正文首行缩进1"/>
    <w:basedOn w:val="2"/>
    <w:qFormat/>
    <w:uiPriority w:val="0"/>
    <w:pPr>
      <w:ind w:firstLine="420"/>
      <w:jc w:val="left"/>
    </w:pPr>
    <w:rPr>
      <w:rFonts w:eastAsia="宋体" w:cs="Calibri Light"/>
      <w:sz w:val="24"/>
      <w:szCs w:val="24"/>
    </w:rPr>
  </w:style>
  <w:style w:type="character" w:customStyle="1" w:styleId="61">
    <w:name w:val="正文文本 字符"/>
    <w:basedOn w:val="25"/>
    <w:link w:val="2"/>
    <w:semiHidden/>
    <w:qFormat/>
    <w:uiPriority w:val="99"/>
    <w:rPr>
      <w:rFonts w:ascii="Calibri Light" w:hAnsi="Calibri Light" w:eastAsia="华文仿宋" w:cstheme="minorBidi"/>
      <w:kern w:val="2"/>
      <w:sz w:val="28"/>
      <w:szCs w:val="28"/>
    </w:rPr>
  </w:style>
  <w:style w:type="paragraph" w:customStyle="1" w:styleId="62">
    <w:name w:val="※正文（缩进4）"/>
    <w:basedOn w:val="1"/>
    <w:qFormat/>
    <w:uiPriority w:val="0"/>
    <w:pPr>
      <w:wordWrap w:val="0"/>
      <w:ind w:firstLine="400" w:firstLineChars="400"/>
    </w:pPr>
    <w:rPr>
      <w:rFonts w:cs="Times New Roman"/>
    </w:rPr>
  </w:style>
  <w:style w:type="paragraph" w:customStyle="1" w:styleId="63">
    <w:name w:val="列表段落1"/>
    <w:basedOn w:val="1"/>
    <w:qFormat/>
    <w:uiPriority w:val="34"/>
    <w:pPr>
      <w:ind w:firstLine="420" w:firstLineChars="200"/>
    </w:pPr>
  </w:style>
  <w:style w:type="character" w:customStyle="1" w:styleId="64">
    <w:name w:val="正文文本首行缩进 字符"/>
    <w:basedOn w:val="61"/>
    <w:link w:val="22"/>
    <w:semiHidden/>
    <w:qFormat/>
    <w:uiPriority w:val="99"/>
    <w:rPr>
      <w:rFonts w:ascii="Calibri Light" w:hAnsi="Calibri Light" w:eastAsia="华文仿宋" w:cstheme="minorBidi"/>
      <w:kern w:val="2"/>
      <w:sz w:val="28"/>
      <w:szCs w:val="28"/>
    </w:rPr>
  </w:style>
  <w:style w:type="character" w:customStyle="1" w:styleId="65">
    <w:name w:val="标题 4 字符"/>
    <w:basedOn w:val="25"/>
    <w:link w:val="8"/>
    <w:semiHidden/>
    <w:qFormat/>
    <w:uiPriority w:val="9"/>
    <w:rPr>
      <w:rFonts w:asciiTheme="majorHAnsi" w:hAnsiTheme="majorHAnsi" w:eastAsiaTheme="majorEastAsia" w:cstheme="majorBidi"/>
      <w:b/>
      <w:bCs/>
      <w:kern w:val="2"/>
      <w:sz w:val="28"/>
      <w:szCs w:val="28"/>
    </w:rPr>
  </w:style>
  <w:style w:type="paragraph" w:customStyle="1" w:styleId="66">
    <w:name w:val="TOC 标题1"/>
    <w:basedOn w:val="3"/>
    <w:next w:val="1"/>
    <w:unhideWhenUsed/>
    <w:qFormat/>
    <w:uiPriority w:val="39"/>
    <w:p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7">
    <w:name w:val="Other|1"/>
    <w:basedOn w:val="1"/>
    <w:qFormat/>
    <w:uiPriority w:val="0"/>
    <w:pPr>
      <w:widowControl w:val="0"/>
      <w:spacing w:line="456" w:lineRule="auto"/>
      <w:ind w:firstLine="400"/>
    </w:pPr>
    <w:rPr>
      <w:rFonts w:ascii="宋体" w:hAnsi="宋体" w:eastAsia="宋体" w:cs="宋体"/>
      <w:sz w:val="22"/>
      <w:szCs w:val="22"/>
      <w:lang w:val="zh-TW" w:eastAsia="zh-TW" w:bidi="zh-TW"/>
    </w:rPr>
  </w:style>
  <w:style w:type="paragraph" w:customStyle="1" w:styleId="68">
    <w:name w:val="列表段落11"/>
    <w:basedOn w:val="1"/>
    <w:qFormat/>
    <w:uiPriority w:val="34"/>
    <w:pPr>
      <w:ind w:firstLine="420" w:firstLineChars="200"/>
    </w:pPr>
  </w:style>
  <w:style w:type="paragraph" w:customStyle="1" w:styleId="69">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70">
    <w:name w:val="纯文本1"/>
    <w:basedOn w:val="1"/>
    <w:qFormat/>
    <w:uiPriority w:val="0"/>
    <w:pPr>
      <w:widowControl w:val="0"/>
      <w:spacing w:line="240" w:lineRule="auto"/>
    </w:pPr>
    <w:rPr>
      <w:rFonts w:ascii="宋体" w:hAnsi="Courier New" w:eastAsia="宋体" w:cs="Times New Roman"/>
      <w:sz w:val="21"/>
      <w:szCs w:val="20"/>
    </w:rPr>
  </w:style>
  <w:style w:type="paragraph" w:customStyle="1" w:styleId="71">
    <w:name w:val="WPSOffice手动目录 1"/>
    <w:qFormat/>
    <w:uiPriority w:val="0"/>
    <w:rPr>
      <w:rFonts w:ascii="Calibri" w:hAnsi="Calibri" w:eastAsia="宋体" w:cs="Times New Roman"/>
      <w:lang w:val="en-US" w:eastAsia="zh-CN" w:bidi="ar-SA"/>
    </w:rPr>
  </w:style>
  <w:style w:type="paragraph" w:customStyle="1" w:styleId="72">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65341;\&#26032;&#29256;&#21333;&#19968;&#26469;&#28304;&#37319;&#36141;&#25991;&#20214;&#65288;2017.7.1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E9B4A-44AC-4F20-8E1A-270D53D82427}">
  <ds:schemaRefs/>
</ds:datastoreItem>
</file>

<file path=docProps/app.xml><?xml version="1.0" encoding="utf-8"?>
<Properties xmlns="http://schemas.openxmlformats.org/officeDocument/2006/extended-properties" xmlns:vt="http://schemas.openxmlformats.org/officeDocument/2006/docPropsVTypes">
  <Template>新版单一来源采购文件（2017.7.17）.dotx</Template>
  <Company>xczx</Company>
  <Pages>56</Pages>
  <Words>22201</Words>
  <Characters>22991</Characters>
  <Lines>200</Lines>
  <Paragraphs>56</Paragraphs>
  <TotalTime>0</TotalTime>
  <ScaleCrop>false</ScaleCrop>
  <LinksUpToDate>false</LinksUpToDate>
  <CharactersWithSpaces>23637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2017-07-31T08:13:00Z</dcterms:created>
  <dc:creator>lenovo</dc:creator>
  <cp:lastModifiedBy>思</cp:lastModifiedBy>
  <cp:lastPrinted>2022-04-25T06:49:00Z</cp:lastPrinted>
  <dcterms:modified xsi:type="dcterms:W3CDTF">2025-10-28T02:40:00Z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3ADCF44281EB4F18B5782CCB2E764B12_13</vt:lpwstr>
  </property>
  <property fmtid="{D5CDD505-2E9C-101B-9397-08002B2CF9AE}" pid="4" name="KSOTemplateDocerSaveRecord">
    <vt:lpwstr>eyJoZGlkIjoiMTE4NDQzNjM5Y2M5YzhiZGE3ZjZjMWE4OTc3ZTA5YmEiLCJ1c2VySWQiOiI3MDE2MzgzNzEifQ==</vt:lpwstr>
  </property>
</Properties>
</file>